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oter5.xml" ContentType="application/vnd.openxmlformats-officedocument.wordprocessingml.footer+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ajorEastAsia" w:cs="Times New Roman"/>
          <w:color w:val="2E74B5" w:themeColor="accent1" w:themeShade="BF"/>
          <w:sz w:val="32"/>
          <w:szCs w:val="32"/>
          <w:lang w:val="en-US"/>
        </w:rPr>
        <w:id w:val="1199042396"/>
        <w:docPartObj>
          <w:docPartGallery w:val="Cover Pages"/>
          <w:docPartUnique/>
        </w:docPartObj>
      </w:sdtPr>
      <w:sdtEndPr/>
      <w:sdtContent>
        <w:p w:rsidR="0045619F" w:rsidRPr="00C370EC" w:rsidRDefault="00896C88">
          <w:pPr>
            <w:rPr>
              <w:rFonts w:eastAsiaTheme="majorEastAsia" w:cs="Times New Roman"/>
              <w:color w:val="2E74B5" w:themeColor="accent1" w:themeShade="BF"/>
              <w:sz w:val="32"/>
              <w:szCs w:val="32"/>
              <w:lang w:val="en-US"/>
            </w:rPr>
          </w:pPr>
          <w:r>
            <w:rPr>
              <w:rFonts w:eastAsiaTheme="majorEastAsia" w:cs="Times New Roman"/>
              <w:noProof/>
              <w:color w:val="2E74B5" w:themeColor="accent1" w:themeShade="BF"/>
              <w:sz w:val="32"/>
              <w:szCs w:val="32"/>
              <w:lang w:eastAsia="bg-BG"/>
            </w:rPr>
            <mc:AlternateContent>
              <mc:Choice Requires="wps">
                <w:drawing>
                  <wp:anchor distT="0" distB="0" distL="114300" distR="114300" simplePos="0" relativeHeight="251659264" behindDoc="0" locked="0" layoutInCell="1" allowOverlap="1" wp14:anchorId="30B14CD1">
                    <wp:simplePos x="0" y="0"/>
                    <wp:positionH relativeFrom="page">
                      <wp:align>center</wp:align>
                    </wp:positionH>
                    <wp:positionV relativeFrom="page">
                      <wp:align>center</wp:align>
                    </wp:positionV>
                    <wp:extent cx="7113905" cy="8262620"/>
                    <wp:effectExtent l="0" t="0" r="0" b="2540"/>
                    <wp:wrapNone/>
                    <wp:docPr id="205"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3905" cy="8262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9515"/>
                                  <w:gridCol w:w="1679"/>
                                </w:tblGrid>
                                <w:tr w:rsidR="00EA2176" w:rsidTr="007702FF">
                                  <w:trPr>
                                    <w:trHeight w:val="10810"/>
                                    <w:jc w:val="center"/>
                                  </w:trPr>
                                  <w:tc>
                                    <w:tcPr>
                                      <w:tcW w:w="4250" w:type="pct"/>
                                      <w:vAlign w:val="center"/>
                                    </w:tcPr>
                                    <w:p w:rsidR="00EA2176" w:rsidRPr="00AD6892" w:rsidRDefault="00896C88">
                                      <w:pPr>
                                        <w:jc w:val="right"/>
                                        <w:rPr>
                                          <w:sz w:val="32"/>
                                          <w:szCs w:val="32"/>
                                        </w:rPr>
                                      </w:pPr>
                                      <w:r>
                                        <w:rPr>
                                          <w:sz w:val="32"/>
                                          <w:szCs w:val="32"/>
                                        </w:rPr>
                                        <w:t>СЕПТЕМВРИ</w:t>
                                      </w:r>
                                      <w:r w:rsidR="00EA2176" w:rsidRPr="00AD6892">
                                        <w:rPr>
                                          <w:sz w:val="32"/>
                                          <w:szCs w:val="32"/>
                                        </w:rPr>
                                        <w:t xml:space="preserve"> 2014</w:t>
                                      </w:r>
                                    </w:p>
                                    <w:sdt>
                                      <w:sdtPr>
                                        <w:rPr>
                                          <w:caps/>
                                          <w:color w:val="191919" w:themeColor="text1" w:themeTint="E6"/>
                                          <w:sz w:val="72"/>
                                          <w:szCs w:val="72"/>
                                        </w:rPr>
                                        <w:alias w:val="Title"/>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EA2176" w:rsidRDefault="00EA2176">
                                          <w:pPr>
                                            <w:pStyle w:val="NoSpacing"/>
                                            <w:spacing w:line="312" w:lineRule="auto"/>
                                            <w:jc w:val="right"/>
                                            <w:rPr>
                                              <w:caps/>
                                              <w:color w:val="191919" w:themeColor="text1" w:themeTint="E6"/>
                                              <w:sz w:val="72"/>
                                              <w:szCs w:val="72"/>
                                            </w:rPr>
                                          </w:pPr>
                                          <w:r>
                                            <w:rPr>
                                              <w:caps/>
                                              <w:color w:val="191919" w:themeColor="text1" w:themeTint="E6"/>
                                              <w:sz w:val="72"/>
                                              <w:szCs w:val="72"/>
                                              <w:lang w:val="bg-BG"/>
                                            </w:rPr>
                                            <w:t>ПРЕДВАРИТЕЛНА ОЦЕНКА НА ФИНАНСОВИ ИНСТРУМЕНТИ ПО ОП ОКОЛНА СРЕДА 2014-2020г.</w:t>
                                          </w:r>
                                        </w:p>
                                      </w:sdtContent>
                                    </w:sdt>
                                    <w:sdt>
                                      <w:sdtPr>
                                        <w:rPr>
                                          <w:color w:val="000000" w:themeColor="text1"/>
                                          <w:sz w:val="24"/>
                                          <w:szCs w:val="24"/>
                                        </w:rPr>
                                        <w:alias w:val="Subtitle"/>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EA2176" w:rsidRDefault="00973A07" w:rsidP="00BA2260">
                                          <w:pPr>
                                            <w:jc w:val="right"/>
                                            <w:rPr>
                                              <w:sz w:val="24"/>
                                              <w:szCs w:val="24"/>
                                            </w:rPr>
                                          </w:pPr>
                                          <w:r>
                                            <w:rPr>
                                              <w:color w:val="000000" w:themeColor="text1"/>
                                              <w:sz w:val="24"/>
                                              <w:szCs w:val="24"/>
                                            </w:rPr>
                                            <w:t>Доклад</w:t>
                                          </w:r>
                                        </w:p>
                                      </w:sdtContent>
                                    </w:sdt>
                                  </w:tc>
                                  <w:tc>
                                    <w:tcPr>
                                      <w:tcW w:w="750" w:type="pct"/>
                                      <w:vAlign w:val="center"/>
                                    </w:tcPr>
                                    <w:p w:rsidR="00EA2176" w:rsidRDefault="00EA2176" w:rsidP="0045619F">
                                      <w:pPr>
                                        <w:pStyle w:val="NoSpacing"/>
                                      </w:pPr>
                                    </w:p>
                                  </w:tc>
                                </w:tr>
                              </w:tbl>
                              <w:p w:rsidR="00EA2176" w:rsidRDefault="00EA2176"/>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30B14CD1" id="_x0000_t202" coordsize="21600,21600" o:spt="202" path="m,l,21600r21600,l21600,xe">
                    <v:stroke joinstyle="miter"/>
                    <v:path gradientshapeok="t" o:connecttype="rect"/>
                  </v:shapetype>
                  <v:shape id="Text Box 138" o:spid="_x0000_s1026" type="#_x0000_t202" style="position:absolute;margin-left:0;margin-top:0;width:560.15pt;height:650.6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" fillcolor="white [3201]" stroked="f" strokeweight=".5pt">
                    <v:path arrowok="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9515"/>
                            <w:gridCol w:w="1679"/>
                          </w:tblGrid>
                          <w:tr w:rsidR="00EA2176" w:rsidTr="007702FF">
                            <w:trPr>
                              <w:trHeight w:val="10810"/>
                              <w:jc w:val="center"/>
                            </w:trPr>
                            <w:tc>
                              <w:tcPr>
                                <w:tcW w:w="4250" w:type="pct"/>
                                <w:vAlign w:val="center"/>
                              </w:tcPr>
                              <w:p w:rsidR="00EA2176" w:rsidRPr="00AD6892" w:rsidRDefault="00896C88">
                                <w:pPr>
                                  <w:jc w:val="right"/>
                                  <w:rPr>
                                    <w:sz w:val="32"/>
                                    <w:szCs w:val="32"/>
                                  </w:rPr>
                                </w:pPr>
                                <w:r>
                                  <w:rPr>
                                    <w:sz w:val="32"/>
                                    <w:szCs w:val="32"/>
                                  </w:rPr>
                                  <w:t>СЕПТЕМВРИ</w:t>
                                </w:r>
                                <w:r w:rsidR="00EA2176" w:rsidRPr="00AD6892">
                                  <w:rPr>
                                    <w:sz w:val="32"/>
                                    <w:szCs w:val="32"/>
                                  </w:rPr>
                                  <w:t xml:space="preserve"> 2014</w:t>
                                </w:r>
                              </w:p>
                              <w:sdt>
                                <w:sdtPr>
                                  <w:rPr>
                                    <w:caps/>
                                    <w:color w:val="191919" w:themeColor="text1" w:themeTint="E6"/>
                                    <w:sz w:val="72"/>
                                    <w:szCs w:val="72"/>
                                  </w:rPr>
                                  <w:alias w:val="Title"/>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EA2176" w:rsidRDefault="00EA2176">
                                    <w:pPr>
                                      <w:pStyle w:val="NoSpacing"/>
                                      <w:spacing w:line="312" w:lineRule="auto"/>
                                      <w:jc w:val="right"/>
                                      <w:rPr>
                                        <w:caps/>
                                        <w:color w:val="191919" w:themeColor="text1" w:themeTint="E6"/>
                                        <w:sz w:val="72"/>
                                        <w:szCs w:val="72"/>
                                      </w:rPr>
                                    </w:pPr>
                                    <w:r>
                                      <w:rPr>
                                        <w:caps/>
                                        <w:color w:val="191919" w:themeColor="text1" w:themeTint="E6"/>
                                        <w:sz w:val="72"/>
                                        <w:szCs w:val="72"/>
                                        <w:lang w:val="bg-BG"/>
                                      </w:rPr>
                                      <w:t>ПРЕДВАРИТЕЛНА ОЦЕНКА НА ФИНАНСОВИ ИНСТРУМЕНТИ ПО ОП ОКОЛНА СРЕДА 2014-2020г.</w:t>
                                    </w:r>
                                  </w:p>
                                </w:sdtContent>
                              </w:sdt>
                              <w:sdt>
                                <w:sdtPr>
                                  <w:rPr>
                                    <w:color w:val="000000" w:themeColor="text1"/>
                                    <w:sz w:val="24"/>
                                    <w:szCs w:val="24"/>
                                  </w:rPr>
                                  <w:alias w:val="Subtitle"/>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EA2176" w:rsidRDefault="00973A07" w:rsidP="00BA2260">
                                    <w:pPr>
                                      <w:jc w:val="right"/>
                                      <w:rPr>
                                        <w:sz w:val="24"/>
                                        <w:szCs w:val="24"/>
                                      </w:rPr>
                                    </w:pPr>
                                    <w:r>
                                      <w:rPr>
                                        <w:color w:val="000000" w:themeColor="text1"/>
                                        <w:sz w:val="24"/>
                                        <w:szCs w:val="24"/>
                                      </w:rPr>
                                      <w:t>Доклад</w:t>
                                    </w:r>
                                  </w:p>
                                </w:sdtContent>
                              </w:sdt>
                            </w:tc>
                            <w:tc>
                              <w:tcPr>
                                <w:tcW w:w="750" w:type="pct"/>
                                <w:vAlign w:val="center"/>
                              </w:tcPr>
                              <w:p w:rsidR="00EA2176" w:rsidRDefault="00EA2176" w:rsidP="0045619F">
                                <w:pPr>
                                  <w:pStyle w:val="NoSpacing"/>
                                </w:pPr>
                              </w:p>
                            </w:tc>
                          </w:tr>
                        </w:tbl>
                        <w:p w:rsidR="00EA2176" w:rsidRDefault="00EA2176"/>
                      </w:txbxContent>
                    </v:textbox>
                    <w10:wrap anchorx="page" anchory="page"/>
                  </v:shape>
                </w:pict>
              </mc:Fallback>
            </mc:AlternateContent>
          </w:r>
          <w:r w:rsidR="0045619F" w:rsidRPr="00C370EC">
            <w:rPr>
              <w:rFonts w:eastAsiaTheme="majorEastAsia" w:cs="Times New Roman"/>
              <w:color w:val="2E74B5" w:themeColor="accent1" w:themeShade="BF"/>
              <w:sz w:val="32"/>
              <w:szCs w:val="32"/>
              <w:lang w:val="en-US"/>
            </w:rPr>
            <w:br w:type="page"/>
          </w:r>
        </w:p>
      </w:sdtContent>
    </w:sdt>
    <w:p w:rsidR="00307756" w:rsidRPr="00C370EC" w:rsidRDefault="00307756" w:rsidP="00181C9C">
      <w:pPr>
        <w:rPr>
          <w:rFonts w:cs="Times New Roman"/>
        </w:rPr>
      </w:pPr>
    </w:p>
    <w:sdt>
      <w:sdtPr>
        <w:rPr>
          <w:rFonts w:asciiTheme="minorHAnsi" w:eastAsiaTheme="minorHAnsi" w:hAnsiTheme="minorHAnsi" w:cs="Times New Roman"/>
          <w:color w:val="auto"/>
          <w:sz w:val="22"/>
          <w:szCs w:val="22"/>
          <w:lang w:val="bg-BG"/>
        </w:rPr>
        <w:id w:val="-1743478262"/>
        <w:docPartObj>
          <w:docPartGallery w:val="Table of Contents"/>
          <w:docPartUnique/>
        </w:docPartObj>
      </w:sdtPr>
      <w:sdtEndPr>
        <w:rPr>
          <w:b/>
          <w:bCs/>
          <w:noProof/>
        </w:rPr>
      </w:sdtEndPr>
      <w:sdtContent>
        <w:p w:rsidR="00307756" w:rsidRPr="00BD5EEB" w:rsidRDefault="00BD5EEB">
          <w:pPr>
            <w:pStyle w:val="TOCHeading"/>
            <w:rPr>
              <w:rFonts w:asciiTheme="minorHAnsi" w:hAnsiTheme="minorHAnsi" w:cs="Times New Roman"/>
              <w:lang w:val="bg-BG"/>
            </w:rPr>
          </w:pPr>
          <w:r>
            <w:rPr>
              <w:rFonts w:asciiTheme="minorHAnsi" w:hAnsiTheme="minorHAnsi" w:cs="Times New Roman"/>
            </w:rPr>
            <w:t>C</w:t>
          </w:r>
          <w:r>
            <w:rPr>
              <w:rFonts w:asciiTheme="minorHAnsi" w:hAnsiTheme="minorHAnsi" w:cs="Times New Roman"/>
              <w:lang w:val="bg-BG"/>
            </w:rPr>
            <w:t>ъдържание</w:t>
          </w:r>
        </w:p>
        <w:p w:rsidR="003A69A7" w:rsidRDefault="008E6461">
          <w:pPr>
            <w:pStyle w:val="TOC1"/>
            <w:tabs>
              <w:tab w:val="right" w:leader="dot" w:pos="9062"/>
            </w:tabs>
            <w:rPr>
              <w:rFonts w:eastAsiaTheme="minorEastAsia"/>
              <w:noProof/>
              <w:lang w:eastAsia="bg-BG"/>
            </w:rPr>
          </w:pPr>
          <w:r w:rsidRPr="00C370EC">
            <w:rPr>
              <w:rFonts w:cs="Times New Roman"/>
            </w:rPr>
            <w:fldChar w:fldCharType="begin"/>
          </w:r>
          <w:r w:rsidR="00307756" w:rsidRPr="00C370EC">
            <w:rPr>
              <w:rFonts w:cs="Times New Roman"/>
            </w:rPr>
            <w:instrText xml:space="preserve"> TOC \o "1-3" \h \z \u </w:instrText>
          </w:r>
          <w:r w:rsidRPr="00C370EC">
            <w:rPr>
              <w:rFonts w:cs="Times New Roman"/>
            </w:rPr>
            <w:fldChar w:fldCharType="separate"/>
          </w:r>
          <w:hyperlink w:anchor="_Toc399494503" w:history="1">
            <w:r w:rsidR="003A69A7" w:rsidRPr="0028690A">
              <w:rPr>
                <w:rStyle w:val="Hyperlink"/>
                <w:rFonts w:cs="Times New Roman"/>
                <w:b/>
                <w:noProof/>
              </w:rPr>
              <w:t>Въведение</w:t>
            </w:r>
            <w:r w:rsidR="003A69A7">
              <w:rPr>
                <w:noProof/>
                <w:webHidden/>
              </w:rPr>
              <w:tab/>
            </w:r>
            <w:r>
              <w:rPr>
                <w:noProof/>
                <w:webHidden/>
              </w:rPr>
              <w:fldChar w:fldCharType="begin"/>
            </w:r>
            <w:r w:rsidR="003A69A7">
              <w:rPr>
                <w:noProof/>
                <w:webHidden/>
              </w:rPr>
              <w:instrText xml:space="preserve"> PAGEREF _Toc399494503 \h </w:instrText>
            </w:r>
            <w:r>
              <w:rPr>
                <w:noProof/>
                <w:webHidden/>
              </w:rPr>
            </w:r>
            <w:r>
              <w:rPr>
                <w:noProof/>
                <w:webHidden/>
              </w:rPr>
              <w:fldChar w:fldCharType="separate"/>
            </w:r>
            <w:r w:rsidR="0041519B">
              <w:rPr>
                <w:noProof/>
                <w:webHidden/>
              </w:rPr>
              <w:t>11</w:t>
            </w:r>
            <w:r>
              <w:rPr>
                <w:noProof/>
                <w:webHidden/>
              </w:rPr>
              <w:fldChar w:fldCharType="end"/>
            </w:r>
          </w:hyperlink>
        </w:p>
        <w:p w:rsidR="003A69A7" w:rsidRDefault="00CD14DF">
          <w:pPr>
            <w:pStyle w:val="TOC1"/>
            <w:tabs>
              <w:tab w:val="right" w:leader="dot" w:pos="9062"/>
            </w:tabs>
            <w:rPr>
              <w:rFonts w:eastAsiaTheme="minorEastAsia"/>
              <w:noProof/>
              <w:lang w:eastAsia="bg-BG"/>
            </w:rPr>
          </w:pPr>
          <w:hyperlink w:anchor="_Toc399494504" w:history="1">
            <w:r w:rsidR="003A69A7" w:rsidRPr="0028690A">
              <w:rPr>
                <w:rStyle w:val="Hyperlink"/>
                <w:rFonts w:cs="Times New Roman"/>
                <w:b/>
                <w:noProof/>
              </w:rPr>
              <w:t>Методологичен подход, използвани методи и инструменти</w:t>
            </w:r>
            <w:r w:rsidR="003A69A7">
              <w:rPr>
                <w:noProof/>
                <w:webHidden/>
              </w:rPr>
              <w:tab/>
            </w:r>
            <w:r w:rsidR="008E6461">
              <w:rPr>
                <w:noProof/>
                <w:webHidden/>
              </w:rPr>
              <w:fldChar w:fldCharType="begin"/>
            </w:r>
            <w:r w:rsidR="003A69A7">
              <w:rPr>
                <w:noProof/>
                <w:webHidden/>
              </w:rPr>
              <w:instrText xml:space="preserve"> PAGEREF _Toc399494504 \h </w:instrText>
            </w:r>
            <w:r w:rsidR="008E6461">
              <w:rPr>
                <w:noProof/>
                <w:webHidden/>
              </w:rPr>
            </w:r>
            <w:r w:rsidR="008E6461">
              <w:rPr>
                <w:noProof/>
                <w:webHidden/>
              </w:rPr>
              <w:fldChar w:fldCharType="separate"/>
            </w:r>
            <w:r w:rsidR="0041519B">
              <w:rPr>
                <w:noProof/>
                <w:webHidden/>
              </w:rPr>
              <w:t>12</w:t>
            </w:r>
            <w:r w:rsidR="008E6461">
              <w:rPr>
                <w:noProof/>
                <w:webHidden/>
              </w:rPr>
              <w:fldChar w:fldCharType="end"/>
            </w:r>
          </w:hyperlink>
        </w:p>
        <w:p w:rsidR="003A69A7" w:rsidRDefault="00CD14DF">
          <w:pPr>
            <w:pStyle w:val="TOC1"/>
            <w:tabs>
              <w:tab w:val="left" w:pos="440"/>
              <w:tab w:val="right" w:leader="dot" w:pos="9062"/>
            </w:tabs>
            <w:rPr>
              <w:rFonts w:eastAsiaTheme="minorEastAsia"/>
              <w:noProof/>
              <w:lang w:eastAsia="bg-BG"/>
            </w:rPr>
          </w:pPr>
          <w:hyperlink w:anchor="_Toc399494505" w:history="1">
            <w:r w:rsidR="003A69A7" w:rsidRPr="0028690A">
              <w:rPr>
                <w:rStyle w:val="Hyperlink"/>
                <w:rFonts w:cs="Times New Roman"/>
                <w:b/>
                <w:noProof/>
                <w:lang w:val="en-US"/>
              </w:rPr>
              <w:t>1.</w:t>
            </w:r>
            <w:r w:rsidR="003A69A7">
              <w:rPr>
                <w:rFonts w:eastAsiaTheme="minorEastAsia"/>
                <w:noProof/>
                <w:lang w:eastAsia="bg-BG"/>
              </w:rPr>
              <w:tab/>
            </w:r>
            <w:r w:rsidR="003A69A7" w:rsidRPr="0028690A">
              <w:rPr>
                <w:rStyle w:val="Hyperlink"/>
                <w:rFonts w:cs="Times New Roman"/>
                <w:b/>
                <w:noProof/>
              </w:rPr>
              <w:t>Анализ на пазарните неуспехи и неоптималните инвестиционни ситуации</w:t>
            </w:r>
            <w:r w:rsidR="003A69A7">
              <w:rPr>
                <w:noProof/>
                <w:webHidden/>
              </w:rPr>
              <w:tab/>
            </w:r>
            <w:r w:rsidR="008E6461">
              <w:rPr>
                <w:noProof/>
                <w:webHidden/>
              </w:rPr>
              <w:fldChar w:fldCharType="begin"/>
            </w:r>
            <w:r w:rsidR="003A69A7">
              <w:rPr>
                <w:noProof/>
                <w:webHidden/>
              </w:rPr>
              <w:instrText xml:space="preserve"> PAGEREF _Toc399494505 \h </w:instrText>
            </w:r>
            <w:r w:rsidR="008E6461">
              <w:rPr>
                <w:noProof/>
                <w:webHidden/>
              </w:rPr>
            </w:r>
            <w:r w:rsidR="008E6461">
              <w:rPr>
                <w:noProof/>
                <w:webHidden/>
              </w:rPr>
              <w:fldChar w:fldCharType="separate"/>
            </w:r>
            <w:r w:rsidR="0041519B">
              <w:rPr>
                <w:noProof/>
                <w:webHidden/>
              </w:rPr>
              <w:t>18</w:t>
            </w:r>
            <w:r w:rsidR="008E6461">
              <w:rPr>
                <w:noProof/>
                <w:webHidden/>
              </w:rPr>
              <w:fldChar w:fldCharType="end"/>
            </w:r>
          </w:hyperlink>
        </w:p>
        <w:p w:rsidR="003A69A7" w:rsidRDefault="00CD14DF">
          <w:pPr>
            <w:pStyle w:val="TOC3"/>
            <w:rPr>
              <w:rFonts w:eastAsiaTheme="minorEastAsia"/>
              <w:lang w:eastAsia="bg-BG"/>
            </w:rPr>
          </w:pPr>
          <w:hyperlink w:anchor="_Toc399494506" w:history="1">
            <w:r w:rsidR="003A69A7" w:rsidRPr="0028690A">
              <w:rPr>
                <w:rStyle w:val="Hyperlink"/>
                <w:rFonts w:cs="Times New Roman"/>
              </w:rPr>
              <w:t>А. Анализ на пазарните неуспехи (неефективности) и/или неоптимални инвестиционни ситуации.</w:t>
            </w:r>
            <w:r w:rsidR="003A69A7">
              <w:rPr>
                <w:webHidden/>
              </w:rPr>
              <w:tab/>
            </w:r>
            <w:r w:rsidR="008E6461">
              <w:rPr>
                <w:webHidden/>
              </w:rPr>
              <w:fldChar w:fldCharType="begin"/>
            </w:r>
            <w:r w:rsidR="003A69A7">
              <w:rPr>
                <w:webHidden/>
              </w:rPr>
              <w:instrText xml:space="preserve"> PAGEREF _Toc399494506 \h </w:instrText>
            </w:r>
            <w:r w:rsidR="008E6461">
              <w:rPr>
                <w:webHidden/>
              </w:rPr>
            </w:r>
            <w:r w:rsidR="008E6461">
              <w:rPr>
                <w:webHidden/>
              </w:rPr>
              <w:fldChar w:fldCharType="separate"/>
            </w:r>
            <w:r w:rsidR="0041519B">
              <w:rPr>
                <w:webHidden/>
              </w:rPr>
              <w:t>18</w:t>
            </w:r>
            <w:r w:rsidR="008E6461">
              <w:rPr>
                <w:webHidden/>
              </w:rPr>
              <w:fldChar w:fldCharType="end"/>
            </w:r>
          </w:hyperlink>
        </w:p>
        <w:p w:rsidR="003A69A7" w:rsidRDefault="00CD14DF">
          <w:pPr>
            <w:pStyle w:val="TOC2"/>
            <w:rPr>
              <w:rFonts w:eastAsiaTheme="minorEastAsia"/>
              <w:noProof/>
              <w:lang w:eastAsia="bg-BG"/>
            </w:rPr>
          </w:pPr>
          <w:hyperlink w:anchor="_Toc399494507" w:history="1">
            <w:r w:rsidR="003A69A7" w:rsidRPr="0028690A">
              <w:rPr>
                <w:rStyle w:val="Hyperlink"/>
                <w:rFonts w:cs="Times New Roman"/>
                <w:noProof/>
              </w:rPr>
              <w:t>1.1. Ефективно управление на Водния сектор в страната – изграждане / доизграждане / разширяване / модернизация / рехабилитация на ВиК инфраструктура</w:t>
            </w:r>
            <w:r w:rsidR="003A69A7">
              <w:rPr>
                <w:noProof/>
                <w:webHidden/>
              </w:rPr>
              <w:tab/>
            </w:r>
            <w:r w:rsidR="008E6461">
              <w:rPr>
                <w:noProof/>
                <w:webHidden/>
              </w:rPr>
              <w:fldChar w:fldCharType="begin"/>
            </w:r>
            <w:r w:rsidR="003A69A7">
              <w:rPr>
                <w:noProof/>
                <w:webHidden/>
              </w:rPr>
              <w:instrText xml:space="preserve"> PAGEREF _Toc399494507 \h </w:instrText>
            </w:r>
            <w:r w:rsidR="008E6461">
              <w:rPr>
                <w:noProof/>
                <w:webHidden/>
              </w:rPr>
            </w:r>
            <w:r w:rsidR="008E6461">
              <w:rPr>
                <w:noProof/>
                <w:webHidden/>
              </w:rPr>
              <w:fldChar w:fldCharType="separate"/>
            </w:r>
            <w:r w:rsidR="0041519B">
              <w:rPr>
                <w:noProof/>
                <w:webHidden/>
              </w:rPr>
              <w:t>18</w:t>
            </w:r>
            <w:r w:rsidR="008E6461">
              <w:rPr>
                <w:noProof/>
                <w:webHidden/>
              </w:rPr>
              <w:fldChar w:fldCharType="end"/>
            </w:r>
          </w:hyperlink>
        </w:p>
        <w:p w:rsidR="003A69A7" w:rsidRDefault="00CD14DF">
          <w:pPr>
            <w:pStyle w:val="TOC3"/>
            <w:rPr>
              <w:rFonts w:eastAsiaTheme="minorEastAsia"/>
              <w:lang w:eastAsia="bg-BG"/>
            </w:rPr>
          </w:pPr>
          <w:hyperlink w:anchor="_Toc399494508" w:history="1">
            <w:r w:rsidR="003A69A7" w:rsidRPr="0028690A">
              <w:rPr>
                <w:rStyle w:val="Hyperlink"/>
                <w:rFonts w:eastAsia="Calibri"/>
              </w:rPr>
              <w:t>1.1.1. Основни характеристики на ВиК сектора в България</w:t>
            </w:r>
            <w:r w:rsidR="003A69A7">
              <w:rPr>
                <w:webHidden/>
              </w:rPr>
              <w:tab/>
            </w:r>
            <w:r w:rsidR="008E6461">
              <w:rPr>
                <w:webHidden/>
              </w:rPr>
              <w:fldChar w:fldCharType="begin"/>
            </w:r>
            <w:r w:rsidR="003A69A7">
              <w:rPr>
                <w:webHidden/>
              </w:rPr>
              <w:instrText xml:space="preserve"> PAGEREF _Toc399494508 \h </w:instrText>
            </w:r>
            <w:r w:rsidR="008E6461">
              <w:rPr>
                <w:webHidden/>
              </w:rPr>
            </w:r>
            <w:r w:rsidR="008E6461">
              <w:rPr>
                <w:webHidden/>
              </w:rPr>
              <w:fldChar w:fldCharType="separate"/>
            </w:r>
            <w:r w:rsidR="0041519B">
              <w:rPr>
                <w:webHidden/>
              </w:rPr>
              <w:t>18</w:t>
            </w:r>
            <w:r w:rsidR="008E6461">
              <w:rPr>
                <w:webHidden/>
              </w:rPr>
              <w:fldChar w:fldCharType="end"/>
            </w:r>
          </w:hyperlink>
        </w:p>
        <w:p w:rsidR="003A69A7" w:rsidRDefault="00CD14DF">
          <w:pPr>
            <w:pStyle w:val="TOC3"/>
            <w:rPr>
              <w:rFonts w:eastAsiaTheme="minorEastAsia"/>
              <w:lang w:eastAsia="bg-BG"/>
            </w:rPr>
          </w:pPr>
          <w:hyperlink w:anchor="_Toc399494509" w:history="1">
            <w:r w:rsidR="003A69A7" w:rsidRPr="0028690A">
              <w:rPr>
                <w:rStyle w:val="Hyperlink"/>
                <w:rFonts w:eastAsia="Calibri"/>
              </w:rPr>
              <w:t>1.1.2. Идентифициране на съществуващите проблеми на пазара във ВиК сектора в България</w:t>
            </w:r>
            <w:r w:rsidR="003A69A7">
              <w:rPr>
                <w:webHidden/>
              </w:rPr>
              <w:tab/>
            </w:r>
            <w:r w:rsidR="008E6461">
              <w:rPr>
                <w:webHidden/>
              </w:rPr>
              <w:fldChar w:fldCharType="begin"/>
            </w:r>
            <w:r w:rsidR="003A69A7">
              <w:rPr>
                <w:webHidden/>
              </w:rPr>
              <w:instrText xml:space="preserve"> PAGEREF _Toc399494509 \h </w:instrText>
            </w:r>
            <w:r w:rsidR="008E6461">
              <w:rPr>
                <w:webHidden/>
              </w:rPr>
            </w:r>
            <w:r w:rsidR="008E6461">
              <w:rPr>
                <w:webHidden/>
              </w:rPr>
              <w:fldChar w:fldCharType="separate"/>
            </w:r>
            <w:r w:rsidR="0041519B">
              <w:rPr>
                <w:webHidden/>
              </w:rPr>
              <w:t>22</w:t>
            </w:r>
            <w:r w:rsidR="008E6461">
              <w:rPr>
                <w:webHidden/>
              </w:rPr>
              <w:fldChar w:fldCharType="end"/>
            </w:r>
          </w:hyperlink>
        </w:p>
        <w:p w:rsidR="003A69A7" w:rsidRDefault="00CD14DF">
          <w:pPr>
            <w:pStyle w:val="TOC3"/>
            <w:rPr>
              <w:rFonts w:eastAsiaTheme="minorEastAsia"/>
              <w:lang w:eastAsia="bg-BG"/>
            </w:rPr>
          </w:pPr>
          <w:hyperlink w:anchor="_Toc399494510" w:history="1">
            <w:r w:rsidR="003A69A7" w:rsidRPr="0028690A">
              <w:rPr>
                <w:rStyle w:val="Hyperlink"/>
                <w:rFonts w:eastAsia="Calibri"/>
              </w:rPr>
              <w:t>1.1.3. Анализ на търсенето и предлагането на ВиК услуги</w:t>
            </w:r>
            <w:r w:rsidR="003A69A7">
              <w:rPr>
                <w:webHidden/>
              </w:rPr>
              <w:tab/>
            </w:r>
            <w:r w:rsidR="008E6461">
              <w:rPr>
                <w:webHidden/>
              </w:rPr>
              <w:fldChar w:fldCharType="begin"/>
            </w:r>
            <w:r w:rsidR="003A69A7">
              <w:rPr>
                <w:webHidden/>
              </w:rPr>
              <w:instrText xml:space="preserve"> PAGEREF _Toc399494510 \h </w:instrText>
            </w:r>
            <w:r w:rsidR="008E6461">
              <w:rPr>
                <w:webHidden/>
              </w:rPr>
            </w:r>
            <w:r w:rsidR="008E6461">
              <w:rPr>
                <w:webHidden/>
              </w:rPr>
              <w:fldChar w:fldCharType="separate"/>
            </w:r>
            <w:r w:rsidR="0041519B">
              <w:rPr>
                <w:webHidden/>
              </w:rPr>
              <w:t>31</w:t>
            </w:r>
            <w:r w:rsidR="008E6461">
              <w:rPr>
                <w:webHidden/>
              </w:rPr>
              <w:fldChar w:fldCharType="end"/>
            </w:r>
          </w:hyperlink>
        </w:p>
        <w:p w:rsidR="003A69A7" w:rsidRDefault="00CD14DF">
          <w:pPr>
            <w:pStyle w:val="TOC3"/>
            <w:rPr>
              <w:rFonts w:eastAsiaTheme="minorEastAsia"/>
              <w:lang w:eastAsia="bg-BG"/>
            </w:rPr>
          </w:pPr>
          <w:hyperlink w:anchor="_Toc399494511" w:history="1">
            <w:r w:rsidR="003A69A7" w:rsidRPr="0028690A">
              <w:rPr>
                <w:rStyle w:val="Hyperlink"/>
                <w:rFonts w:eastAsia="Calibri"/>
              </w:rPr>
              <w:t>1.1.4. Инвестиционен недостиг</w:t>
            </w:r>
            <w:r w:rsidR="003A69A7">
              <w:rPr>
                <w:webHidden/>
              </w:rPr>
              <w:tab/>
            </w:r>
            <w:r w:rsidR="008E6461">
              <w:rPr>
                <w:webHidden/>
              </w:rPr>
              <w:fldChar w:fldCharType="begin"/>
            </w:r>
            <w:r w:rsidR="003A69A7">
              <w:rPr>
                <w:webHidden/>
              </w:rPr>
              <w:instrText xml:space="preserve"> PAGEREF _Toc399494511 \h </w:instrText>
            </w:r>
            <w:r w:rsidR="008E6461">
              <w:rPr>
                <w:webHidden/>
              </w:rPr>
            </w:r>
            <w:r w:rsidR="008E6461">
              <w:rPr>
                <w:webHidden/>
              </w:rPr>
              <w:fldChar w:fldCharType="separate"/>
            </w:r>
            <w:r w:rsidR="0041519B">
              <w:rPr>
                <w:webHidden/>
              </w:rPr>
              <w:t>40</w:t>
            </w:r>
            <w:r w:rsidR="008E6461">
              <w:rPr>
                <w:webHidden/>
              </w:rPr>
              <w:fldChar w:fldCharType="end"/>
            </w:r>
          </w:hyperlink>
        </w:p>
        <w:p w:rsidR="003A69A7" w:rsidRDefault="00CD14DF">
          <w:pPr>
            <w:pStyle w:val="TOC3"/>
            <w:rPr>
              <w:rFonts w:eastAsiaTheme="minorEastAsia"/>
              <w:lang w:eastAsia="bg-BG"/>
            </w:rPr>
          </w:pPr>
          <w:hyperlink w:anchor="_Toc399494512" w:history="1">
            <w:r w:rsidR="003A69A7" w:rsidRPr="0028690A">
              <w:rPr>
                <w:rStyle w:val="Hyperlink"/>
                <w:rFonts w:eastAsia="Calibri"/>
              </w:rPr>
              <w:t>1.1.5. Анализ на търсенето и предлагането на финансиране</w:t>
            </w:r>
            <w:r w:rsidR="003A69A7">
              <w:rPr>
                <w:webHidden/>
              </w:rPr>
              <w:tab/>
            </w:r>
            <w:r w:rsidR="008E6461">
              <w:rPr>
                <w:webHidden/>
              </w:rPr>
              <w:fldChar w:fldCharType="begin"/>
            </w:r>
            <w:r w:rsidR="003A69A7">
              <w:rPr>
                <w:webHidden/>
              </w:rPr>
              <w:instrText xml:space="preserve"> PAGEREF _Toc399494512 \h </w:instrText>
            </w:r>
            <w:r w:rsidR="008E6461">
              <w:rPr>
                <w:webHidden/>
              </w:rPr>
            </w:r>
            <w:r w:rsidR="008E6461">
              <w:rPr>
                <w:webHidden/>
              </w:rPr>
              <w:fldChar w:fldCharType="separate"/>
            </w:r>
            <w:r w:rsidR="0041519B">
              <w:rPr>
                <w:webHidden/>
              </w:rPr>
              <w:t>41</w:t>
            </w:r>
            <w:r w:rsidR="008E6461">
              <w:rPr>
                <w:webHidden/>
              </w:rPr>
              <w:fldChar w:fldCharType="end"/>
            </w:r>
          </w:hyperlink>
        </w:p>
        <w:p w:rsidR="003A69A7" w:rsidRDefault="00CD14DF">
          <w:pPr>
            <w:pStyle w:val="TOC3"/>
            <w:rPr>
              <w:rFonts w:eastAsiaTheme="minorEastAsia"/>
              <w:lang w:eastAsia="bg-BG"/>
            </w:rPr>
          </w:pPr>
          <w:hyperlink w:anchor="_Toc399494513" w:history="1">
            <w:r w:rsidR="003A69A7" w:rsidRPr="0028690A">
              <w:rPr>
                <w:rStyle w:val="Hyperlink"/>
                <w:rFonts w:eastAsia="Calibri"/>
              </w:rPr>
              <w:t>1.1.6. Обобщение на неоптималната инвестиционна ситуация</w:t>
            </w:r>
            <w:r w:rsidR="003A69A7">
              <w:rPr>
                <w:webHidden/>
              </w:rPr>
              <w:tab/>
            </w:r>
            <w:r w:rsidR="008E6461">
              <w:rPr>
                <w:webHidden/>
              </w:rPr>
              <w:fldChar w:fldCharType="begin"/>
            </w:r>
            <w:r w:rsidR="003A69A7">
              <w:rPr>
                <w:webHidden/>
              </w:rPr>
              <w:instrText xml:space="preserve"> PAGEREF _Toc399494513 \h </w:instrText>
            </w:r>
            <w:r w:rsidR="008E6461">
              <w:rPr>
                <w:webHidden/>
              </w:rPr>
            </w:r>
            <w:r w:rsidR="008E6461">
              <w:rPr>
                <w:webHidden/>
              </w:rPr>
              <w:fldChar w:fldCharType="separate"/>
            </w:r>
            <w:r w:rsidR="0041519B">
              <w:rPr>
                <w:webHidden/>
              </w:rPr>
              <w:t>46</w:t>
            </w:r>
            <w:r w:rsidR="008E6461">
              <w:rPr>
                <w:webHidden/>
              </w:rPr>
              <w:fldChar w:fldCharType="end"/>
            </w:r>
          </w:hyperlink>
        </w:p>
        <w:p w:rsidR="003A69A7" w:rsidRDefault="00CD14DF">
          <w:pPr>
            <w:pStyle w:val="TOC2"/>
            <w:rPr>
              <w:rFonts w:eastAsiaTheme="minorEastAsia"/>
              <w:noProof/>
              <w:lang w:eastAsia="bg-BG"/>
            </w:rPr>
          </w:pPr>
          <w:hyperlink w:anchor="_Toc399494514" w:history="1">
            <w:r w:rsidR="003A69A7" w:rsidRPr="0028690A">
              <w:rPr>
                <w:rStyle w:val="Hyperlink"/>
                <w:rFonts w:cs="Times New Roman"/>
                <w:noProof/>
              </w:rPr>
              <w:t>1.2. Ефективно управление на отпадъците - изграждане на инсталации, съгласно йерархията за управление на отпадъците, нужни за подобряване управлението на битовите отпадъци в изпълнение на законодателните изисквания.</w:t>
            </w:r>
            <w:r w:rsidR="003A69A7">
              <w:rPr>
                <w:noProof/>
                <w:webHidden/>
              </w:rPr>
              <w:tab/>
            </w:r>
            <w:r w:rsidR="008E6461">
              <w:rPr>
                <w:noProof/>
                <w:webHidden/>
              </w:rPr>
              <w:fldChar w:fldCharType="begin"/>
            </w:r>
            <w:r w:rsidR="003A69A7">
              <w:rPr>
                <w:noProof/>
                <w:webHidden/>
              </w:rPr>
              <w:instrText xml:space="preserve"> PAGEREF _Toc399494514 \h </w:instrText>
            </w:r>
            <w:r w:rsidR="008E6461">
              <w:rPr>
                <w:noProof/>
                <w:webHidden/>
              </w:rPr>
            </w:r>
            <w:r w:rsidR="008E6461">
              <w:rPr>
                <w:noProof/>
                <w:webHidden/>
              </w:rPr>
              <w:fldChar w:fldCharType="separate"/>
            </w:r>
            <w:r w:rsidR="0041519B">
              <w:rPr>
                <w:noProof/>
                <w:webHidden/>
              </w:rPr>
              <w:t>48</w:t>
            </w:r>
            <w:r w:rsidR="008E6461">
              <w:rPr>
                <w:noProof/>
                <w:webHidden/>
              </w:rPr>
              <w:fldChar w:fldCharType="end"/>
            </w:r>
          </w:hyperlink>
        </w:p>
        <w:p w:rsidR="003A69A7" w:rsidRDefault="00CD14DF">
          <w:pPr>
            <w:pStyle w:val="TOC3"/>
            <w:rPr>
              <w:rFonts w:eastAsiaTheme="minorEastAsia"/>
              <w:lang w:eastAsia="bg-BG"/>
            </w:rPr>
          </w:pPr>
          <w:hyperlink w:anchor="_Toc399494515" w:history="1">
            <w:r w:rsidR="003A69A7" w:rsidRPr="0028690A">
              <w:rPr>
                <w:rStyle w:val="Hyperlink"/>
                <w:rFonts w:eastAsia="Calibri"/>
              </w:rPr>
              <w:t>1.2.1. Основни характеристики на сектор Отпадъци в България</w:t>
            </w:r>
            <w:r w:rsidR="003A69A7">
              <w:rPr>
                <w:webHidden/>
              </w:rPr>
              <w:tab/>
            </w:r>
            <w:r w:rsidR="008E6461">
              <w:rPr>
                <w:webHidden/>
              </w:rPr>
              <w:fldChar w:fldCharType="begin"/>
            </w:r>
            <w:r w:rsidR="003A69A7">
              <w:rPr>
                <w:webHidden/>
              </w:rPr>
              <w:instrText xml:space="preserve"> PAGEREF _Toc399494515 \h </w:instrText>
            </w:r>
            <w:r w:rsidR="008E6461">
              <w:rPr>
                <w:webHidden/>
              </w:rPr>
            </w:r>
            <w:r w:rsidR="008E6461">
              <w:rPr>
                <w:webHidden/>
              </w:rPr>
              <w:fldChar w:fldCharType="separate"/>
            </w:r>
            <w:r w:rsidR="0041519B">
              <w:rPr>
                <w:webHidden/>
              </w:rPr>
              <w:t>48</w:t>
            </w:r>
            <w:r w:rsidR="008E6461">
              <w:rPr>
                <w:webHidden/>
              </w:rPr>
              <w:fldChar w:fldCharType="end"/>
            </w:r>
          </w:hyperlink>
        </w:p>
        <w:p w:rsidR="003A69A7" w:rsidRDefault="00CD14DF">
          <w:pPr>
            <w:pStyle w:val="TOC3"/>
            <w:rPr>
              <w:rFonts w:eastAsiaTheme="minorEastAsia"/>
              <w:lang w:eastAsia="bg-BG"/>
            </w:rPr>
          </w:pPr>
          <w:hyperlink w:anchor="_Toc399494516" w:history="1">
            <w:r w:rsidR="003A69A7" w:rsidRPr="0028690A">
              <w:rPr>
                <w:rStyle w:val="Hyperlink"/>
                <w:rFonts w:eastAsia="Calibri"/>
              </w:rPr>
              <w:t>1.2.2. Идентифициране на съществуващите проблеми на пазара в сектор Отпадъци в България</w:t>
            </w:r>
            <w:r w:rsidR="003A69A7">
              <w:rPr>
                <w:webHidden/>
              </w:rPr>
              <w:tab/>
            </w:r>
            <w:r w:rsidR="008E6461">
              <w:rPr>
                <w:webHidden/>
              </w:rPr>
              <w:fldChar w:fldCharType="begin"/>
            </w:r>
            <w:r w:rsidR="003A69A7">
              <w:rPr>
                <w:webHidden/>
              </w:rPr>
              <w:instrText xml:space="preserve"> PAGEREF _Toc399494516 \h </w:instrText>
            </w:r>
            <w:r w:rsidR="008E6461">
              <w:rPr>
                <w:webHidden/>
              </w:rPr>
            </w:r>
            <w:r w:rsidR="008E6461">
              <w:rPr>
                <w:webHidden/>
              </w:rPr>
              <w:fldChar w:fldCharType="separate"/>
            </w:r>
            <w:r w:rsidR="0041519B">
              <w:rPr>
                <w:webHidden/>
              </w:rPr>
              <w:t>53</w:t>
            </w:r>
            <w:r w:rsidR="008E6461">
              <w:rPr>
                <w:webHidden/>
              </w:rPr>
              <w:fldChar w:fldCharType="end"/>
            </w:r>
          </w:hyperlink>
        </w:p>
        <w:p w:rsidR="003A69A7" w:rsidRDefault="00CD14DF">
          <w:pPr>
            <w:pStyle w:val="TOC3"/>
            <w:rPr>
              <w:rFonts w:eastAsiaTheme="minorEastAsia"/>
              <w:lang w:eastAsia="bg-BG"/>
            </w:rPr>
          </w:pPr>
          <w:hyperlink w:anchor="_Toc399494517" w:history="1">
            <w:r w:rsidR="003A69A7" w:rsidRPr="0028690A">
              <w:rPr>
                <w:rStyle w:val="Hyperlink"/>
                <w:rFonts w:eastAsia="Calibri"/>
              </w:rPr>
              <w:t>1.2.3. Анализ на търсенето и предлагането в сектор Отпадъци</w:t>
            </w:r>
            <w:r w:rsidR="003A69A7">
              <w:rPr>
                <w:webHidden/>
              </w:rPr>
              <w:tab/>
            </w:r>
            <w:r w:rsidR="008E6461">
              <w:rPr>
                <w:webHidden/>
              </w:rPr>
              <w:fldChar w:fldCharType="begin"/>
            </w:r>
            <w:r w:rsidR="003A69A7">
              <w:rPr>
                <w:webHidden/>
              </w:rPr>
              <w:instrText xml:space="preserve"> PAGEREF _Toc399494517 \h </w:instrText>
            </w:r>
            <w:r w:rsidR="008E6461">
              <w:rPr>
                <w:webHidden/>
              </w:rPr>
            </w:r>
            <w:r w:rsidR="008E6461">
              <w:rPr>
                <w:webHidden/>
              </w:rPr>
              <w:fldChar w:fldCharType="separate"/>
            </w:r>
            <w:r w:rsidR="0041519B">
              <w:rPr>
                <w:webHidden/>
              </w:rPr>
              <w:t>64</w:t>
            </w:r>
            <w:r w:rsidR="008E6461">
              <w:rPr>
                <w:webHidden/>
              </w:rPr>
              <w:fldChar w:fldCharType="end"/>
            </w:r>
          </w:hyperlink>
        </w:p>
        <w:p w:rsidR="003A69A7" w:rsidRDefault="00CD14DF">
          <w:pPr>
            <w:pStyle w:val="TOC3"/>
            <w:rPr>
              <w:rFonts w:eastAsiaTheme="minorEastAsia"/>
              <w:lang w:eastAsia="bg-BG"/>
            </w:rPr>
          </w:pPr>
          <w:hyperlink w:anchor="_Toc399494518" w:history="1">
            <w:r w:rsidR="003A69A7" w:rsidRPr="0028690A">
              <w:rPr>
                <w:rStyle w:val="Hyperlink"/>
                <w:rFonts w:eastAsia="Calibri"/>
              </w:rPr>
              <w:t>1.2.4. Инвестиционен недостиг</w:t>
            </w:r>
            <w:r w:rsidR="003A69A7">
              <w:rPr>
                <w:webHidden/>
              </w:rPr>
              <w:tab/>
            </w:r>
            <w:r w:rsidR="008E6461">
              <w:rPr>
                <w:webHidden/>
              </w:rPr>
              <w:fldChar w:fldCharType="begin"/>
            </w:r>
            <w:r w:rsidR="003A69A7">
              <w:rPr>
                <w:webHidden/>
              </w:rPr>
              <w:instrText xml:space="preserve"> PAGEREF _Toc399494518 \h </w:instrText>
            </w:r>
            <w:r w:rsidR="008E6461">
              <w:rPr>
                <w:webHidden/>
              </w:rPr>
            </w:r>
            <w:r w:rsidR="008E6461">
              <w:rPr>
                <w:webHidden/>
              </w:rPr>
              <w:fldChar w:fldCharType="separate"/>
            </w:r>
            <w:r w:rsidR="0041519B">
              <w:rPr>
                <w:webHidden/>
              </w:rPr>
              <w:t>67</w:t>
            </w:r>
            <w:r w:rsidR="008E6461">
              <w:rPr>
                <w:webHidden/>
              </w:rPr>
              <w:fldChar w:fldCharType="end"/>
            </w:r>
          </w:hyperlink>
        </w:p>
        <w:p w:rsidR="003A69A7" w:rsidRDefault="00CD14DF">
          <w:pPr>
            <w:pStyle w:val="TOC3"/>
            <w:rPr>
              <w:rFonts w:eastAsiaTheme="minorEastAsia"/>
              <w:lang w:eastAsia="bg-BG"/>
            </w:rPr>
          </w:pPr>
          <w:hyperlink w:anchor="_Toc399494519" w:history="1">
            <w:r w:rsidR="003A69A7" w:rsidRPr="0028690A">
              <w:rPr>
                <w:rStyle w:val="Hyperlink"/>
                <w:rFonts w:eastAsia="Calibri"/>
              </w:rPr>
              <w:t>1.2.5. Анализ на търсенето и предлагането на финансиране</w:t>
            </w:r>
            <w:r w:rsidR="003A69A7">
              <w:rPr>
                <w:webHidden/>
              </w:rPr>
              <w:tab/>
            </w:r>
            <w:r w:rsidR="008E6461">
              <w:rPr>
                <w:webHidden/>
              </w:rPr>
              <w:fldChar w:fldCharType="begin"/>
            </w:r>
            <w:r w:rsidR="003A69A7">
              <w:rPr>
                <w:webHidden/>
              </w:rPr>
              <w:instrText xml:space="preserve"> PAGEREF _Toc399494519 \h </w:instrText>
            </w:r>
            <w:r w:rsidR="008E6461">
              <w:rPr>
                <w:webHidden/>
              </w:rPr>
            </w:r>
            <w:r w:rsidR="008E6461">
              <w:rPr>
                <w:webHidden/>
              </w:rPr>
              <w:fldChar w:fldCharType="separate"/>
            </w:r>
            <w:r w:rsidR="0041519B">
              <w:rPr>
                <w:webHidden/>
              </w:rPr>
              <w:t>69</w:t>
            </w:r>
            <w:r w:rsidR="008E6461">
              <w:rPr>
                <w:webHidden/>
              </w:rPr>
              <w:fldChar w:fldCharType="end"/>
            </w:r>
          </w:hyperlink>
        </w:p>
        <w:p w:rsidR="003A69A7" w:rsidRDefault="00CD14DF">
          <w:pPr>
            <w:pStyle w:val="TOC3"/>
            <w:rPr>
              <w:rFonts w:eastAsiaTheme="minorEastAsia"/>
              <w:lang w:eastAsia="bg-BG"/>
            </w:rPr>
          </w:pPr>
          <w:hyperlink w:anchor="_Toc399494520" w:history="1">
            <w:r w:rsidR="003A69A7" w:rsidRPr="0028690A">
              <w:rPr>
                <w:rStyle w:val="Hyperlink"/>
                <w:rFonts w:eastAsia="Calibri"/>
              </w:rPr>
              <w:t>1.2.6. Обобщение на неоптималната инвестиционна ситуация</w:t>
            </w:r>
            <w:r w:rsidR="003A69A7">
              <w:rPr>
                <w:webHidden/>
              </w:rPr>
              <w:tab/>
            </w:r>
            <w:r w:rsidR="008E6461">
              <w:rPr>
                <w:webHidden/>
              </w:rPr>
              <w:fldChar w:fldCharType="begin"/>
            </w:r>
            <w:r w:rsidR="003A69A7">
              <w:rPr>
                <w:webHidden/>
              </w:rPr>
              <w:instrText xml:space="preserve"> PAGEREF _Toc399494520 \h </w:instrText>
            </w:r>
            <w:r w:rsidR="008E6461">
              <w:rPr>
                <w:webHidden/>
              </w:rPr>
            </w:r>
            <w:r w:rsidR="008E6461">
              <w:rPr>
                <w:webHidden/>
              </w:rPr>
              <w:fldChar w:fldCharType="separate"/>
            </w:r>
            <w:r w:rsidR="0041519B">
              <w:rPr>
                <w:webHidden/>
              </w:rPr>
              <w:t>74</w:t>
            </w:r>
            <w:r w:rsidR="008E6461">
              <w:rPr>
                <w:webHidden/>
              </w:rPr>
              <w:fldChar w:fldCharType="end"/>
            </w:r>
          </w:hyperlink>
        </w:p>
        <w:p w:rsidR="003A69A7" w:rsidRDefault="00CD14DF">
          <w:pPr>
            <w:pStyle w:val="TOC2"/>
            <w:rPr>
              <w:rFonts w:eastAsiaTheme="minorEastAsia"/>
              <w:noProof/>
              <w:lang w:eastAsia="bg-BG"/>
            </w:rPr>
          </w:pPr>
          <w:hyperlink w:anchor="_Toc399494521" w:history="1">
            <w:r w:rsidR="003A69A7" w:rsidRPr="0028690A">
              <w:rPr>
                <w:rStyle w:val="Hyperlink"/>
                <w:rFonts w:cs="Times New Roman"/>
                <w:noProof/>
              </w:rPr>
              <w:t>1.3. Дейности за подобряване качеството на въздуха</w:t>
            </w:r>
            <w:r w:rsidR="003A69A7">
              <w:rPr>
                <w:noProof/>
                <w:webHidden/>
              </w:rPr>
              <w:tab/>
            </w:r>
            <w:r w:rsidR="008E6461">
              <w:rPr>
                <w:noProof/>
                <w:webHidden/>
              </w:rPr>
              <w:fldChar w:fldCharType="begin"/>
            </w:r>
            <w:r w:rsidR="003A69A7">
              <w:rPr>
                <w:noProof/>
                <w:webHidden/>
              </w:rPr>
              <w:instrText xml:space="preserve"> PAGEREF _Toc399494521 \h </w:instrText>
            </w:r>
            <w:r w:rsidR="008E6461">
              <w:rPr>
                <w:noProof/>
                <w:webHidden/>
              </w:rPr>
            </w:r>
            <w:r w:rsidR="008E6461">
              <w:rPr>
                <w:noProof/>
                <w:webHidden/>
              </w:rPr>
              <w:fldChar w:fldCharType="separate"/>
            </w:r>
            <w:r w:rsidR="0041519B">
              <w:rPr>
                <w:noProof/>
                <w:webHidden/>
              </w:rPr>
              <w:t>76</w:t>
            </w:r>
            <w:r w:rsidR="008E6461">
              <w:rPr>
                <w:noProof/>
                <w:webHidden/>
              </w:rPr>
              <w:fldChar w:fldCharType="end"/>
            </w:r>
          </w:hyperlink>
        </w:p>
        <w:p w:rsidR="003A69A7" w:rsidRDefault="00CD14DF">
          <w:pPr>
            <w:pStyle w:val="TOC3"/>
            <w:rPr>
              <w:rFonts w:eastAsiaTheme="minorEastAsia"/>
              <w:lang w:eastAsia="bg-BG"/>
            </w:rPr>
          </w:pPr>
          <w:hyperlink w:anchor="_Toc399494522" w:history="1">
            <w:r w:rsidR="003A69A7" w:rsidRPr="0028690A">
              <w:rPr>
                <w:rStyle w:val="Hyperlink"/>
                <w:rFonts w:ascii="Calibri" w:eastAsia="Calibri" w:hAnsi="Calibri" w:cs="Times New Roman"/>
              </w:rPr>
              <w:t>1.3.1. Основни характеристики на сектор Въздух в България</w:t>
            </w:r>
            <w:r w:rsidR="003A69A7">
              <w:rPr>
                <w:webHidden/>
              </w:rPr>
              <w:tab/>
            </w:r>
            <w:r w:rsidR="008E6461">
              <w:rPr>
                <w:webHidden/>
              </w:rPr>
              <w:fldChar w:fldCharType="begin"/>
            </w:r>
            <w:r w:rsidR="003A69A7">
              <w:rPr>
                <w:webHidden/>
              </w:rPr>
              <w:instrText xml:space="preserve"> PAGEREF _Toc399494522 \h </w:instrText>
            </w:r>
            <w:r w:rsidR="008E6461">
              <w:rPr>
                <w:webHidden/>
              </w:rPr>
            </w:r>
            <w:r w:rsidR="008E6461">
              <w:rPr>
                <w:webHidden/>
              </w:rPr>
              <w:fldChar w:fldCharType="separate"/>
            </w:r>
            <w:r w:rsidR="0041519B">
              <w:rPr>
                <w:webHidden/>
              </w:rPr>
              <w:t>76</w:t>
            </w:r>
            <w:r w:rsidR="008E6461">
              <w:rPr>
                <w:webHidden/>
              </w:rPr>
              <w:fldChar w:fldCharType="end"/>
            </w:r>
          </w:hyperlink>
        </w:p>
        <w:p w:rsidR="003A69A7" w:rsidRDefault="00CD14DF">
          <w:pPr>
            <w:pStyle w:val="TOC3"/>
            <w:rPr>
              <w:rFonts w:eastAsiaTheme="minorEastAsia"/>
              <w:lang w:eastAsia="bg-BG"/>
            </w:rPr>
          </w:pPr>
          <w:hyperlink w:anchor="_Toc399494523" w:history="1">
            <w:r w:rsidR="003A69A7" w:rsidRPr="0028690A">
              <w:rPr>
                <w:rStyle w:val="Hyperlink"/>
                <w:rFonts w:ascii="Calibri" w:eastAsia="Calibri" w:hAnsi="Calibri" w:cs="Times New Roman"/>
              </w:rPr>
              <w:t>1.3.2. Идентифициране на съществуващите проблеми на пазара в сектор Въздух в България</w:t>
            </w:r>
            <w:r w:rsidR="003A69A7">
              <w:rPr>
                <w:webHidden/>
              </w:rPr>
              <w:tab/>
            </w:r>
            <w:r w:rsidR="008E6461">
              <w:rPr>
                <w:webHidden/>
              </w:rPr>
              <w:fldChar w:fldCharType="begin"/>
            </w:r>
            <w:r w:rsidR="003A69A7">
              <w:rPr>
                <w:webHidden/>
              </w:rPr>
              <w:instrText xml:space="preserve"> PAGEREF _Toc399494523 \h </w:instrText>
            </w:r>
            <w:r w:rsidR="008E6461">
              <w:rPr>
                <w:webHidden/>
              </w:rPr>
            </w:r>
            <w:r w:rsidR="008E6461">
              <w:rPr>
                <w:webHidden/>
              </w:rPr>
              <w:fldChar w:fldCharType="separate"/>
            </w:r>
            <w:r w:rsidR="0041519B">
              <w:rPr>
                <w:webHidden/>
              </w:rPr>
              <w:t>79</w:t>
            </w:r>
            <w:r w:rsidR="008E6461">
              <w:rPr>
                <w:webHidden/>
              </w:rPr>
              <w:fldChar w:fldCharType="end"/>
            </w:r>
          </w:hyperlink>
        </w:p>
        <w:p w:rsidR="003A69A7" w:rsidRDefault="00CD14DF">
          <w:pPr>
            <w:pStyle w:val="TOC3"/>
            <w:rPr>
              <w:rFonts w:eastAsiaTheme="minorEastAsia"/>
              <w:lang w:eastAsia="bg-BG"/>
            </w:rPr>
          </w:pPr>
          <w:hyperlink w:anchor="_Toc399494524" w:history="1">
            <w:r w:rsidR="003A69A7" w:rsidRPr="0028690A">
              <w:rPr>
                <w:rStyle w:val="Hyperlink"/>
                <w:rFonts w:ascii="Calibri" w:eastAsia="Calibri" w:hAnsi="Calibri" w:cs="Times New Roman"/>
              </w:rPr>
              <w:t>1.3.3. Анализ на търсенето и предлагането в сектор Въздух</w:t>
            </w:r>
            <w:r w:rsidR="003A69A7">
              <w:rPr>
                <w:webHidden/>
              </w:rPr>
              <w:tab/>
            </w:r>
            <w:r w:rsidR="008E6461">
              <w:rPr>
                <w:webHidden/>
              </w:rPr>
              <w:fldChar w:fldCharType="begin"/>
            </w:r>
            <w:r w:rsidR="003A69A7">
              <w:rPr>
                <w:webHidden/>
              </w:rPr>
              <w:instrText xml:space="preserve"> PAGEREF _Toc399494524 \h </w:instrText>
            </w:r>
            <w:r w:rsidR="008E6461">
              <w:rPr>
                <w:webHidden/>
              </w:rPr>
            </w:r>
            <w:r w:rsidR="008E6461">
              <w:rPr>
                <w:webHidden/>
              </w:rPr>
              <w:fldChar w:fldCharType="separate"/>
            </w:r>
            <w:r w:rsidR="0041519B">
              <w:rPr>
                <w:webHidden/>
              </w:rPr>
              <w:t>84</w:t>
            </w:r>
            <w:r w:rsidR="008E6461">
              <w:rPr>
                <w:webHidden/>
              </w:rPr>
              <w:fldChar w:fldCharType="end"/>
            </w:r>
          </w:hyperlink>
        </w:p>
        <w:p w:rsidR="003A69A7" w:rsidRDefault="00CD14DF">
          <w:pPr>
            <w:pStyle w:val="TOC3"/>
            <w:rPr>
              <w:rFonts w:eastAsiaTheme="minorEastAsia"/>
              <w:lang w:eastAsia="bg-BG"/>
            </w:rPr>
          </w:pPr>
          <w:hyperlink w:anchor="_Toc399494525" w:history="1">
            <w:r w:rsidR="003A69A7" w:rsidRPr="0028690A">
              <w:rPr>
                <w:rStyle w:val="Hyperlink"/>
                <w:rFonts w:ascii="Calibri" w:eastAsia="Calibri" w:hAnsi="Calibri" w:cs="Times New Roman"/>
              </w:rPr>
              <w:t>1.3.4. Анализ на търсенето и предлагането на финансиране</w:t>
            </w:r>
            <w:r w:rsidR="003A69A7">
              <w:rPr>
                <w:webHidden/>
              </w:rPr>
              <w:tab/>
            </w:r>
            <w:r w:rsidR="008E6461">
              <w:rPr>
                <w:webHidden/>
              </w:rPr>
              <w:fldChar w:fldCharType="begin"/>
            </w:r>
            <w:r w:rsidR="003A69A7">
              <w:rPr>
                <w:webHidden/>
              </w:rPr>
              <w:instrText xml:space="preserve"> PAGEREF _Toc399494525 \h </w:instrText>
            </w:r>
            <w:r w:rsidR="008E6461">
              <w:rPr>
                <w:webHidden/>
              </w:rPr>
            </w:r>
            <w:r w:rsidR="008E6461">
              <w:rPr>
                <w:webHidden/>
              </w:rPr>
              <w:fldChar w:fldCharType="separate"/>
            </w:r>
            <w:r w:rsidR="0041519B">
              <w:rPr>
                <w:webHidden/>
              </w:rPr>
              <w:t>85</w:t>
            </w:r>
            <w:r w:rsidR="008E6461">
              <w:rPr>
                <w:webHidden/>
              </w:rPr>
              <w:fldChar w:fldCharType="end"/>
            </w:r>
          </w:hyperlink>
        </w:p>
        <w:p w:rsidR="003A69A7" w:rsidRDefault="00CD14DF">
          <w:pPr>
            <w:pStyle w:val="TOC3"/>
            <w:rPr>
              <w:rFonts w:eastAsiaTheme="minorEastAsia"/>
              <w:lang w:eastAsia="bg-BG"/>
            </w:rPr>
          </w:pPr>
          <w:hyperlink w:anchor="_Toc399494526" w:history="1">
            <w:r w:rsidR="003A69A7" w:rsidRPr="0028690A">
              <w:rPr>
                <w:rStyle w:val="Hyperlink"/>
                <w:rFonts w:ascii="Calibri" w:eastAsia="Calibri" w:hAnsi="Calibri" w:cs="Times New Roman"/>
              </w:rPr>
              <w:t>1.3.</w:t>
            </w:r>
            <w:r w:rsidR="003A69A7" w:rsidRPr="0028690A">
              <w:rPr>
                <w:rStyle w:val="Hyperlink"/>
                <w:rFonts w:ascii="Calibri" w:eastAsia="Calibri" w:hAnsi="Calibri" w:cs="Times New Roman"/>
                <w:lang w:val="en-US"/>
              </w:rPr>
              <w:t>5</w:t>
            </w:r>
            <w:r w:rsidR="003A69A7" w:rsidRPr="0028690A">
              <w:rPr>
                <w:rStyle w:val="Hyperlink"/>
                <w:rFonts w:ascii="Calibri" w:eastAsia="Calibri" w:hAnsi="Calibri" w:cs="Times New Roman"/>
              </w:rPr>
              <w:t>. Обобщение на неоптималната инвестиционна ситуация в сектор Въздух</w:t>
            </w:r>
            <w:r w:rsidR="003A69A7">
              <w:rPr>
                <w:webHidden/>
              </w:rPr>
              <w:tab/>
            </w:r>
            <w:r w:rsidR="008E6461">
              <w:rPr>
                <w:webHidden/>
              </w:rPr>
              <w:fldChar w:fldCharType="begin"/>
            </w:r>
            <w:r w:rsidR="003A69A7">
              <w:rPr>
                <w:webHidden/>
              </w:rPr>
              <w:instrText xml:space="preserve"> PAGEREF _Toc399494526 \h </w:instrText>
            </w:r>
            <w:r w:rsidR="008E6461">
              <w:rPr>
                <w:webHidden/>
              </w:rPr>
            </w:r>
            <w:r w:rsidR="008E6461">
              <w:rPr>
                <w:webHidden/>
              </w:rPr>
              <w:fldChar w:fldCharType="separate"/>
            </w:r>
            <w:r w:rsidR="0041519B">
              <w:rPr>
                <w:webHidden/>
              </w:rPr>
              <w:t>88</w:t>
            </w:r>
            <w:r w:rsidR="008E6461">
              <w:rPr>
                <w:webHidden/>
              </w:rPr>
              <w:fldChar w:fldCharType="end"/>
            </w:r>
          </w:hyperlink>
        </w:p>
        <w:p w:rsidR="003A69A7" w:rsidRDefault="00CD14DF">
          <w:pPr>
            <w:pStyle w:val="TOC3"/>
            <w:rPr>
              <w:rFonts w:eastAsiaTheme="minorEastAsia"/>
              <w:lang w:eastAsia="bg-BG"/>
            </w:rPr>
          </w:pPr>
          <w:hyperlink w:anchor="_Toc399494527" w:history="1">
            <w:r w:rsidR="003A69A7" w:rsidRPr="0028690A">
              <w:rPr>
                <w:rStyle w:val="Hyperlink"/>
                <w:rFonts w:cs="Times New Roman"/>
              </w:rPr>
              <w:t>Б. Недостиг на финансиране и нужди от инвестиции за постигане на съответствие с тематични цели и инвестиционните приоритети на ОПОС, които могат да бъдат подпомогнати чрез финансови инструменти</w:t>
            </w:r>
            <w:r w:rsidR="003A69A7">
              <w:rPr>
                <w:webHidden/>
              </w:rPr>
              <w:tab/>
            </w:r>
            <w:r w:rsidR="008E6461">
              <w:rPr>
                <w:webHidden/>
              </w:rPr>
              <w:fldChar w:fldCharType="begin"/>
            </w:r>
            <w:r w:rsidR="003A69A7">
              <w:rPr>
                <w:webHidden/>
              </w:rPr>
              <w:instrText xml:space="preserve"> PAGEREF _Toc399494527 \h </w:instrText>
            </w:r>
            <w:r w:rsidR="008E6461">
              <w:rPr>
                <w:webHidden/>
              </w:rPr>
            </w:r>
            <w:r w:rsidR="008E6461">
              <w:rPr>
                <w:webHidden/>
              </w:rPr>
              <w:fldChar w:fldCharType="separate"/>
            </w:r>
            <w:r w:rsidR="0041519B">
              <w:rPr>
                <w:webHidden/>
              </w:rPr>
              <w:t>89</w:t>
            </w:r>
            <w:r w:rsidR="008E6461">
              <w:rPr>
                <w:webHidden/>
              </w:rPr>
              <w:fldChar w:fldCharType="end"/>
            </w:r>
          </w:hyperlink>
        </w:p>
        <w:p w:rsidR="003A69A7" w:rsidRDefault="00CD14DF">
          <w:pPr>
            <w:pStyle w:val="TOC3"/>
            <w:rPr>
              <w:rFonts w:eastAsiaTheme="minorEastAsia"/>
              <w:lang w:eastAsia="bg-BG"/>
            </w:rPr>
          </w:pPr>
          <w:hyperlink w:anchor="_Toc399494528" w:history="1">
            <w:r w:rsidR="003A69A7" w:rsidRPr="0028690A">
              <w:rPr>
                <w:rStyle w:val="Hyperlink"/>
                <w:rFonts w:ascii="Calibri" w:eastAsia="Calibri" w:hAnsi="Calibri" w:cs="Times New Roman"/>
              </w:rPr>
              <w:t>1.3.6. Инвестиционни приоритети, тематични цели и специфични цели на ОПОС 2014-2020, които могат да бъдат подпомогнати чрез финансови инструменти</w:t>
            </w:r>
            <w:r w:rsidR="003A69A7">
              <w:rPr>
                <w:webHidden/>
              </w:rPr>
              <w:tab/>
            </w:r>
            <w:r w:rsidR="008E6461">
              <w:rPr>
                <w:webHidden/>
              </w:rPr>
              <w:fldChar w:fldCharType="begin"/>
            </w:r>
            <w:r w:rsidR="003A69A7">
              <w:rPr>
                <w:webHidden/>
              </w:rPr>
              <w:instrText xml:space="preserve"> PAGEREF _Toc399494528 \h </w:instrText>
            </w:r>
            <w:r w:rsidR="008E6461">
              <w:rPr>
                <w:webHidden/>
              </w:rPr>
            </w:r>
            <w:r w:rsidR="008E6461">
              <w:rPr>
                <w:webHidden/>
              </w:rPr>
              <w:fldChar w:fldCharType="separate"/>
            </w:r>
            <w:r w:rsidR="0041519B">
              <w:rPr>
                <w:webHidden/>
              </w:rPr>
              <w:t>89</w:t>
            </w:r>
            <w:r w:rsidR="008E6461">
              <w:rPr>
                <w:webHidden/>
              </w:rPr>
              <w:fldChar w:fldCharType="end"/>
            </w:r>
          </w:hyperlink>
        </w:p>
        <w:p w:rsidR="003A69A7" w:rsidRDefault="00CD14DF">
          <w:pPr>
            <w:pStyle w:val="TOC3"/>
            <w:rPr>
              <w:rFonts w:eastAsiaTheme="minorEastAsia"/>
              <w:lang w:eastAsia="bg-BG"/>
            </w:rPr>
          </w:pPr>
          <w:hyperlink w:anchor="_Toc399494529" w:history="1">
            <w:r w:rsidR="003A69A7" w:rsidRPr="0028690A">
              <w:rPr>
                <w:rStyle w:val="Hyperlink"/>
                <w:rFonts w:ascii="Calibri" w:eastAsia="Calibri" w:hAnsi="Calibri" w:cs="Times New Roman"/>
              </w:rPr>
              <w:t>1.3.7. Обобщение на недостига на финансиране и нуждите от инвестиции във ВиК сектора</w:t>
            </w:r>
            <w:r w:rsidR="003A69A7">
              <w:rPr>
                <w:webHidden/>
              </w:rPr>
              <w:tab/>
            </w:r>
            <w:r w:rsidR="008E6461">
              <w:rPr>
                <w:webHidden/>
              </w:rPr>
              <w:fldChar w:fldCharType="begin"/>
            </w:r>
            <w:r w:rsidR="003A69A7">
              <w:rPr>
                <w:webHidden/>
              </w:rPr>
              <w:instrText xml:space="preserve"> PAGEREF _Toc399494529 \h </w:instrText>
            </w:r>
            <w:r w:rsidR="008E6461">
              <w:rPr>
                <w:webHidden/>
              </w:rPr>
            </w:r>
            <w:r w:rsidR="008E6461">
              <w:rPr>
                <w:webHidden/>
              </w:rPr>
              <w:fldChar w:fldCharType="separate"/>
            </w:r>
            <w:r w:rsidR="0041519B">
              <w:rPr>
                <w:webHidden/>
              </w:rPr>
              <w:t>89</w:t>
            </w:r>
            <w:r w:rsidR="008E6461">
              <w:rPr>
                <w:webHidden/>
              </w:rPr>
              <w:fldChar w:fldCharType="end"/>
            </w:r>
          </w:hyperlink>
        </w:p>
        <w:p w:rsidR="003A69A7" w:rsidRDefault="00CD14DF">
          <w:pPr>
            <w:pStyle w:val="TOC3"/>
            <w:rPr>
              <w:rFonts w:eastAsiaTheme="minorEastAsia"/>
              <w:lang w:eastAsia="bg-BG"/>
            </w:rPr>
          </w:pPr>
          <w:hyperlink w:anchor="_Toc399494530" w:history="1">
            <w:r w:rsidR="003A69A7" w:rsidRPr="0028690A">
              <w:rPr>
                <w:rStyle w:val="Hyperlink"/>
                <w:rFonts w:ascii="Calibri" w:eastAsia="Times New Roman" w:hAnsi="Calibri" w:cs="Arial"/>
                <w:bCs/>
                <w:i/>
                <w:lang w:eastAsia="bg-BG"/>
              </w:rPr>
              <w:t>Забележка: Общият размер на финансовия ресурс се отнася за видовете инвестиции по ОПОС 2014-2020</w:t>
            </w:r>
            <w:r w:rsidR="003A69A7">
              <w:rPr>
                <w:webHidden/>
              </w:rPr>
              <w:tab/>
            </w:r>
            <w:r w:rsidR="008E6461">
              <w:rPr>
                <w:webHidden/>
              </w:rPr>
              <w:fldChar w:fldCharType="begin"/>
            </w:r>
            <w:r w:rsidR="003A69A7">
              <w:rPr>
                <w:webHidden/>
              </w:rPr>
              <w:instrText xml:space="preserve"> PAGEREF _Toc399494530 \h </w:instrText>
            </w:r>
            <w:r w:rsidR="008E6461">
              <w:rPr>
                <w:webHidden/>
              </w:rPr>
            </w:r>
            <w:r w:rsidR="008E6461">
              <w:rPr>
                <w:webHidden/>
              </w:rPr>
              <w:fldChar w:fldCharType="separate"/>
            </w:r>
            <w:r w:rsidR="0041519B">
              <w:rPr>
                <w:webHidden/>
              </w:rPr>
              <w:t>90</w:t>
            </w:r>
            <w:r w:rsidR="008E6461">
              <w:rPr>
                <w:webHidden/>
              </w:rPr>
              <w:fldChar w:fldCharType="end"/>
            </w:r>
          </w:hyperlink>
        </w:p>
        <w:p w:rsidR="003A69A7" w:rsidRDefault="00CD14DF">
          <w:pPr>
            <w:pStyle w:val="TOC3"/>
            <w:rPr>
              <w:rFonts w:eastAsiaTheme="minorEastAsia"/>
              <w:lang w:eastAsia="bg-BG"/>
            </w:rPr>
          </w:pPr>
          <w:hyperlink w:anchor="_Toc399494531" w:history="1">
            <w:r w:rsidR="003A69A7" w:rsidRPr="0028690A">
              <w:rPr>
                <w:rStyle w:val="Hyperlink"/>
                <w:rFonts w:ascii="Calibri" w:eastAsia="Calibri" w:hAnsi="Calibri" w:cs="Times New Roman"/>
              </w:rPr>
              <w:t>1.3.8. Обобщение на недостига на финансиране и нуждите от инвестиции в сектор Отпадъци</w:t>
            </w:r>
            <w:r w:rsidR="003A69A7">
              <w:rPr>
                <w:webHidden/>
              </w:rPr>
              <w:tab/>
            </w:r>
            <w:r w:rsidR="008E6461">
              <w:rPr>
                <w:webHidden/>
              </w:rPr>
              <w:fldChar w:fldCharType="begin"/>
            </w:r>
            <w:r w:rsidR="003A69A7">
              <w:rPr>
                <w:webHidden/>
              </w:rPr>
              <w:instrText xml:space="preserve"> PAGEREF _Toc399494531 \h </w:instrText>
            </w:r>
            <w:r w:rsidR="008E6461">
              <w:rPr>
                <w:webHidden/>
              </w:rPr>
            </w:r>
            <w:r w:rsidR="008E6461">
              <w:rPr>
                <w:webHidden/>
              </w:rPr>
              <w:fldChar w:fldCharType="separate"/>
            </w:r>
            <w:r w:rsidR="0041519B">
              <w:rPr>
                <w:webHidden/>
              </w:rPr>
              <w:t>91</w:t>
            </w:r>
            <w:r w:rsidR="008E6461">
              <w:rPr>
                <w:webHidden/>
              </w:rPr>
              <w:fldChar w:fldCharType="end"/>
            </w:r>
          </w:hyperlink>
        </w:p>
        <w:p w:rsidR="003A69A7" w:rsidRDefault="00CD14DF">
          <w:pPr>
            <w:pStyle w:val="TOC2"/>
            <w:rPr>
              <w:rFonts w:eastAsiaTheme="minorEastAsia"/>
              <w:noProof/>
              <w:lang w:eastAsia="bg-BG"/>
            </w:rPr>
          </w:pPr>
          <w:hyperlink w:anchor="_Toc399494532" w:history="1">
            <w:r w:rsidR="003A69A7" w:rsidRPr="0028690A">
              <w:rPr>
                <w:rStyle w:val="Hyperlink"/>
                <w:rFonts w:cs="Times New Roman"/>
                <w:noProof/>
              </w:rPr>
              <w:t>1.4. Търсене и предлагане на финансови инструменти за реализирането на инвестиционни приоритети в сектор Околна среда</w:t>
            </w:r>
            <w:r w:rsidR="003A69A7">
              <w:rPr>
                <w:noProof/>
                <w:webHidden/>
              </w:rPr>
              <w:tab/>
            </w:r>
            <w:r w:rsidR="008E6461">
              <w:rPr>
                <w:noProof/>
                <w:webHidden/>
              </w:rPr>
              <w:fldChar w:fldCharType="begin"/>
            </w:r>
            <w:r w:rsidR="003A69A7">
              <w:rPr>
                <w:noProof/>
                <w:webHidden/>
              </w:rPr>
              <w:instrText xml:space="preserve"> PAGEREF _Toc399494532 \h </w:instrText>
            </w:r>
            <w:r w:rsidR="008E6461">
              <w:rPr>
                <w:noProof/>
                <w:webHidden/>
              </w:rPr>
            </w:r>
            <w:r w:rsidR="008E6461">
              <w:rPr>
                <w:noProof/>
                <w:webHidden/>
              </w:rPr>
              <w:fldChar w:fldCharType="separate"/>
            </w:r>
            <w:r w:rsidR="0041519B">
              <w:rPr>
                <w:noProof/>
                <w:webHidden/>
              </w:rPr>
              <w:t>93</w:t>
            </w:r>
            <w:r w:rsidR="008E6461">
              <w:rPr>
                <w:noProof/>
                <w:webHidden/>
              </w:rPr>
              <w:fldChar w:fldCharType="end"/>
            </w:r>
          </w:hyperlink>
        </w:p>
        <w:p w:rsidR="003A69A7" w:rsidRDefault="00CD14DF">
          <w:pPr>
            <w:pStyle w:val="TOC3"/>
            <w:rPr>
              <w:rFonts w:eastAsiaTheme="minorEastAsia"/>
              <w:lang w:eastAsia="bg-BG"/>
            </w:rPr>
          </w:pPr>
          <w:hyperlink w:anchor="_Toc399494533" w:history="1">
            <w:r w:rsidR="003A69A7" w:rsidRPr="0028690A">
              <w:rPr>
                <w:rStyle w:val="Hyperlink"/>
                <w:rFonts w:ascii="Calibri" w:eastAsia="Calibri" w:hAnsi="Calibri" w:cs="Times New Roman"/>
              </w:rPr>
              <w:t>1.4.1. Предлагане на финансови инструменти за финансиране на проекти в сектор Околна среда</w:t>
            </w:r>
            <w:r w:rsidR="003A69A7">
              <w:rPr>
                <w:webHidden/>
              </w:rPr>
              <w:tab/>
            </w:r>
            <w:r w:rsidR="008E6461">
              <w:rPr>
                <w:webHidden/>
              </w:rPr>
              <w:fldChar w:fldCharType="begin"/>
            </w:r>
            <w:r w:rsidR="003A69A7">
              <w:rPr>
                <w:webHidden/>
              </w:rPr>
              <w:instrText xml:space="preserve"> PAGEREF _Toc399494533 \h </w:instrText>
            </w:r>
            <w:r w:rsidR="008E6461">
              <w:rPr>
                <w:webHidden/>
              </w:rPr>
            </w:r>
            <w:r w:rsidR="008E6461">
              <w:rPr>
                <w:webHidden/>
              </w:rPr>
              <w:fldChar w:fldCharType="separate"/>
            </w:r>
            <w:r w:rsidR="0041519B">
              <w:rPr>
                <w:webHidden/>
              </w:rPr>
              <w:t>93</w:t>
            </w:r>
            <w:r w:rsidR="008E6461">
              <w:rPr>
                <w:webHidden/>
              </w:rPr>
              <w:fldChar w:fldCharType="end"/>
            </w:r>
          </w:hyperlink>
        </w:p>
        <w:p w:rsidR="003A69A7" w:rsidRDefault="00CD14DF">
          <w:pPr>
            <w:pStyle w:val="TOC3"/>
            <w:rPr>
              <w:rFonts w:eastAsiaTheme="minorEastAsia"/>
              <w:lang w:eastAsia="bg-BG"/>
            </w:rPr>
          </w:pPr>
          <w:hyperlink w:anchor="_Toc399494534" w:history="1">
            <w:r w:rsidR="003A69A7" w:rsidRPr="0028690A">
              <w:rPr>
                <w:rStyle w:val="Hyperlink"/>
                <w:rFonts w:ascii="Calibri" w:eastAsia="Calibri" w:hAnsi="Calibri" w:cs="Times New Roman"/>
              </w:rPr>
              <w:t>1.4.1.1. Финансови инструменти от български институции</w:t>
            </w:r>
            <w:r w:rsidR="003A69A7">
              <w:rPr>
                <w:webHidden/>
              </w:rPr>
              <w:tab/>
            </w:r>
            <w:r w:rsidR="008E6461">
              <w:rPr>
                <w:webHidden/>
              </w:rPr>
              <w:fldChar w:fldCharType="begin"/>
            </w:r>
            <w:r w:rsidR="003A69A7">
              <w:rPr>
                <w:webHidden/>
              </w:rPr>
              <w:instrText xml:space="preserve"> PAGEREF _Toc399494534 \h </w:instrText>
            </w:r>
            <w:r w:rsidR="008E6461">
              <w:rPr>
                <w:webHidden/>
              </w:rPr>
            </w:r>
            <w:r w:rsidR="008E6461">
              <w:rPr>
                <w:webHidden/>
              </w:rPr>
              <w:fldChar w:fldCharType="separate"/>
            </w:r>
            <w:r w:rsidR="0041519B">
              <w:rPr>
                <w:webHidden/>
              </w:rPr>
              <w:t>93</w:t>
            </w:r>
            <w:r w:rsidR="008E6461">
              <w:rPr>
                <w:webHidden/>
              </w:rPr>
              <w:fldChar w:fldCharType="end"/>
            </w:r>
          </w:hyperlink>
        </w:p>
        <w:p w:rsidR="003A69A7" w:rsidRDefault="00CD14DF">
          <w:pPr>
            <w:pStyle w:val="TOC3"/>
            <w:rPr>
              <w:rFonts w:eastAsiaTheme="minorEastAsia"/>
              <w:lang w:eastAsia="bg-BG"/>
            </w:rPr>
          </w:pPr>
          <w:hyperlink w:anchor="_Toc399494535" w:history="1">
            <w:r w:rsidR="003A69A7" w:rsidRPr="0028690A">
              <w:rPr>
                <w:rStyle w:val="Hyperlink"/>
                <w:rFonts w:ascii="Calibri" w:eastAsia="Calibri" w:hAnsi="Calibri" w:cs="Times New Roman"/>
              </w:rPr>
              <w:t>1.4.1.2. Финансови инструменти от международни институции</w:t>
            </w:r>
            <w:r w:rsidR="003A69A7">
              <w:rPr>
                <w:webHidden/>
              </w:rPr>
              <w:tab/>
            </w:r>
            <w:r w:rsidR="008E6461">
              <w:rPr>
                <w:webHidden/>
              </w:rPr>
              <w:fldChar w:fldCharType="begin"/>
            </w:r>
            <w:r w:rsidR="003A69A7">
              <w:rPr>
                <w:webHidden/>
              </w:rPr>
              <w:instrText xml:space="preserve"> PAGEREF _Toc399494535 \h </w:instrText>
            </w:r>
            <w:r w:rsidR="008E6461">
              <w:rPr>
                <w:webHidden/>
              </w:rPr>
            </w:r>
            <w:r w:rsidR="008E6461">
              <w:rPr>
                <w:webHidden/>
              </w:rPr>
              <w:fldChar w:fldCharType="separate"/>
            </w:r>
            <w:r w:rsidR="0041519B">
              <w:rPr>
                <w:webHidden/>
              </w:rPr>
              <w:t>100</w:t>
            </w:r>
            <w:r w:rsidR="008E6461">
              <w:rPr>
                <w:webHidden/>
              </w:rPr>
              <w:fldChar w:fldCharType="end"/>
            </w:r>
          </w:hyperlink>
        </w:p>
        <w:p w:rsidR="003A69A7" w:rsidRDefault="00CD14DF">
          <w:pPr>
            <w:pStyle w:val="TOC3"/>
            <w:rPr>
              <w:rFonts w:eastAsiaTheme="minorEastAsia"/>
              <w:lang w:eastAsia="bg-BG"/>
            </w:rPr>
          </w:pPr>
          <w:hyperlink w:anchor="_Toc399494536" w:history="1">
            <w:r w:rsidR="003A69A7" w:rsidRPr="0028690A">
              <w:rPr>
                <w:rStyle w:val="Hyperlink"/>
                <w:rFonts w:ascii="Calibri" w:eastAsia="Calibri" w:hAnsi="Calibri" w:cs="Times New Roman"/>
              </w:rPr>
              <w:t>1.4.2. Анализ на анкета, адресирана към общини, потенциални бенефициенти по ОПОС 2014 – 2020 като база за определяне на търсенето на финансови инструменти</w:t>
            </w:r>
            <w:r w:rsidR="003A69A7">
              <w:rPr>
                <w:webHidden/>
              </w:rPr>
              <w:tab/>
            </w:r>
            <w:r w:rsidR="008E6461">
              <w:rPr>
                <w:webHidden/>
              </w:rPr>
              <w:fldChar w:fldCharType="begin"/>
            </w:r>
            <w:r w:rsidR="003A69A7">
              <w:rPr>
                <w:webHidden/>
              </w:rPr>
              <w:instrText xml:space="preserve"> PAGEREF _Toc399494536 \h </w:instrText>
            </w:r>
            <w:r w:rsidR="008E6461">
              <w:rPr>
                <w:webHidden/>
              </w:rPr>
            </w:r>
            <w:r w:rsidR="008E6461">
              <w:rPr>
                <w:webHidden/>
              </w:rPr>
              <w:fldChar w:fldCharType="separate"/>
            </w:r>
            <w:r w:rsidR="0041519B">
              <w:rPr>
                <w:webHidden/>
              </w:rPr>
              <w:t>106</w:t>
            </w:r>
            <w:r w:rsidR="008E6461">
              <w:rPr>
                <w:webHidden/>
              </w:rPr>
              <w:fldChar w:fldCharType="end"/>
            </w:r>
          </w:hyperlink>
        </w:p>
        <w:p w:rsidR="003A69A7" w:rsidRDefault="00CD14DF">
          <w:pPr>
            <w:pStyle w:val="TOC3"/>
            <w:rPr>
              <w:rFonts w:eastAsiaTheme="minorEastAsia"/>
              <w:lang w:eastAsia="bg-BG"/>
            </w:rPr>
          </w:pPr>
          <w:hyperlink w:anchor="_Toc399494537" w:history="1">
            <w:r w:rsidR="003A69A7" w:rsidRPr="0028690A">
              <w:rPr>
                <w:rStyle w:val="Hyperlink"/>
                <w:rFonts w:ascii="Calibri" w:eastAsia="Calibri" w:hAnsi="Calibri" w:cs="Times New Roman"/>
              </w:rPr>
              <w:t>1.4.3. Обобщение на търсенето и предлагането на финансови инструменти в сектор Околна среда в България</w:t>
            </w:r>
            <w:r w:rsidR="003A69A7">
              <w:rPr>
                <w:webHidden/>
              </w:rPr>
              <w:tab/>
            </w:r>
            <w:r w:rsidR="008E6461">
              <w:rPr>
                <w:webHidden/>
              </w:rPr>
              <w:fldChar w:fldCharType="begin"/>
            </w:r>
            <w:r w:rsidR="003A69A7">
              <w:rPr>
                <w:webHidden/>
              </w:rPr>
              <w:instrText xml:space="preserve"> PAGEREF _Toc399494537 \h </w:instrText>
            </w:r>
            <w:r w:rsidR="008E6461">
              <w:rPr>
                <w:webHidden/>
              </w:rPr>
            </w:r>
            <w:r w:rsidR="008E6461">
              <w:rPr>
                <w:webHidden/>
              </w:rPr>
              <w:fldChar w:fldCharType="separate"/>
            </w:r>
            <w:r w:rsidR="0041519B">
              <w:rPr>
                <w:webHidden/>
              </w:rPr>
              <w:t>135</w:t>
            </w:r>
            <w:r w:rsidR="008E6461">
              <w:rPr>
                <w:webHidden/>
              </w:rPr>
              <w:fldChar w:fldCharType="end"/>
            </w:r>
          </w:hyperlink>
        </w:p>
        <w:p w:rsidR="003A69A7" w:rsidRDefault="00CD14DF">
          <w:pPr>
            <w:pStyle w:val="TOC1"/>
            <w:tabs>
              <w:tab w:val="right" w:leader="dot" w:pos="9062"/>
            </w:tabs>
            <w:rPr>
              <w:rFonts w:eastAsiaTheme="minorEastAsia"/>
              <w:noProof/>
              <w:lang w:eastAsia="bg-BG"/>
            </w:rPr>
          </w:pPr>
          <w:hyperlink w:anchor="_Toc399494538" w:history="1">
            <w:r w:rsidR="003A69A7" w:rsidRPr="0028690A">
              <w:rPr>
                <w:rStyle w:val="Hyperlink"/>
                <w:rFonts w:cs="Times New Roman"/>
                <w:b/>
                <w:noProof/>
              </w:rPr>
              <w:t>2. Добавена стойност на финансовите инструменти</w:t>
            </w:r>
            <w:r w:rsidR="003A69A7">
              <w:rPr>
                <w:noProof/>
                <w:webHidden/>
              </w:rPr>
              <w:tab/>
            </w:r>
            <w:r w:rsidR="008E6461">
              <w:rPr>
                <w:noProof/>
                <w:webHidden/>
              </w:rPr>
              <w:fldChar w:fldCharType="begin"/>
            </w:r>
            <w:r w:rsidR="003A69A7">
              <w:rPr>
                <w:noProof/>
                <w:webHidden/>
              </w:rPr>
              <w:instrText xml:space="preserve"> PAGEREF _Toc399494538 \h </w:instrText>
            </w:r>
            <w:r w:rsidR="008E6461">
              <w:rPr>
                <w:noProof/>
                <w:webHidden/>
              </w:rPr>
            </w:r>
            <w:r w:rsidR="008E6461">
              <w:rPr>
                <w:noProof/>
                <w:webHidden/>
              </w:rPr>
              <w:fldChar w:fldCharType="separate"/>
            </w:r>
            <w:r w:rsidR="0041519B">
              <w:rPr>
                <w:noProof/>
                <w:webHidden/>
              </w:rPr>
              <w:t>136</w:t>
            </w:r>
            <w:r w:rsidR="008E6461">
              <w:rPr>
                <w:noProof/>
                <w:webHidden/>
              </w:rPr>
              <w:fldChar w:fldCharType="end"/>
            </w:r>
          </w:hyperlink>
        </w:p>
        <w:p w:rsidR="003A69A7" w:rsidRDefault="00CD14DF">
          <w:pPr>
            <w:pStyle w:val="TOC2"/>
            <w:rPr>
              <w:rFonts w:eastAsiaTheme="minorEastAsia"/>
              <w:noProof/>
              <w:lang w:eastAsia="bg-BG"/>
            </w:rPr>
          </w:pPr>
          <w:hyperlink w:anchor="_Toc399494539" w:history="1">
            <w:r w:rsidR="003A69A7" w:rsidRPr="0028690A">
              <w:rPr>
                <w:rStyle w:val="Hyperlink"/>
                <w:rFonts w:cs="Times New Roman"/>
                <w:noProof/>
              </w:rPr>
              <w:t>2.1. Анализ  на възможните видове форми на подкрепа, предоставяни чрез финансови инструменти – заеми, дялово участие, гаранции, др., както и техни специфични под-видове съобразно сферата на интервенция по ОПОС (количествено и качествено измерение на добавената стойност на всеки от възможните видове финансови инструменти)</w:t>
            </w:r>
            <w:r w:rsidR="003A69A7">
              <w:rPr>
                <w:noProof/>
                <w:webHidden/>
              </w:rPr>
              <w:tab/>
            </w:r>
            <w:r w:rsidR="008E6461">
              <w:rPr>
                <w:noProof/>
                <w:webHidden/>
              </w:rPr>
              <w:fldChar w:fldCharType="begin"/>
            </w:r>
            <w:r w:rsidR="003A69A7">
              <w:rPr>
                <w:noProof/>
                <w:webHidden/>
              </w:rPr>
              <w:instrText xml:space="preserve"> PAGEREF _Toc399494539 \h </w:instrText>
            </w:r>
            <w:r w:rsidR="008E6461">
              <w:rPr>
                <w:noProof/>
                <w:webHidden/>
              </w:rPr>
            </w:r>
            <w:r w:rsidR="008E6461">
              <w:rPr>
                <w:noProof/>
                <w:webHidden/>
              </w:rPr>
              <w:fldChar w:fldCharType="separate"/>
            </w:r>
            <w:r w:rsidR="0041519B">
              <w:rPr>
                <w:noProof/>
                <w:webHidden/>
              </w:rPr>
              <w:t>136</w:t>
            </w:r>
            <w:r w:rsidR="008E6461">
              <w:rPr>
                <w:noProof/>
                <w:webHidden/>
              </w:rPr>
              <w:fldChar w:fldCharType="end"/>
            </w:r>
          </w:hyperlink>
        </w:p>
        <w:p w:rsidR="003A69A7" w:rsidRDefault="00CD14DF">
          <w:pPr>
            <w:pStyle w:val="TOC3"/>
            <w:rPr>
              <w:rFonts w:eastAsiaTheme="minorEastAsia"/>
              <w:lang w:eastAsia="bg-BG"/>
            </w:rPr>
          </w:pPr>
          <w:hyperlink w:anchor="_Toc399494540" w:history="1">
            <w:r w:rsidR="003A69A7" w:rsidRPr="0028690A">
              <w:rPr>
                <w:rStyle w:val="Hyperlink"/>
                <w:rFonts w:ascii="Calibri" w:eastAsia="Calibri" w:hAnsi="Calibri" w:cs="Times New Roman"/>
              </w:rPr>
              <w:t>2.1.1. Обща характеристика на възможните финансови инструменти</w:t>
            </w:r>
            <w:r w:rsidR="003A69A7">
              <w:rPr>
                <w:webHidden/>
              </w:rPr>
              <w:tab/>
            </w:r>
            <w:r w:rsidR="008E6461">
              <w:rPr>
                <w:webHidden/>
              </w:rPr>
              <w:fldChar w:fldCharType="begin"/>
            </w:r>
            <w:r w:rsidR="003A69A7">
              <w:rPr>
                <w:webHidden/>
              </w:rPr>
              <w:instrText xml:space="preserve"> PAGEREF _Toc399494540 \h </w:instrText>
            </w:r>
            <w:r w:rsidR="008E6461">
              <w:rPr>
                <w:webHidden/>
              </w:rPr>
            </w:r>
            <w:r w:rsidR="008E6461">
              <w:rPr>
                <w:webHidden/>
              </w:rPr>
              <w:fldChar w:fldCharType="separate"/>
            </w:r>
            <w:r w:rsidR="0041519B">
              <w:rPr>
                <w:webHidden/>
              </w:rPr>
              <w:t>136</w:t>
            </w:r>
            <w:r w:rsidR="008E6461">
              <w:rPr>
                <w:webHidden/>
              </w:rPr>
              <w:fldChar w:fldCharType="end"/>
            </w:r>
          </w:hyperlink>
        </w:p>
        <w:p w:rsidR="003A69A7" w:rsidRDefault="00CD14DF">
          <w:pPr>
            <w:pStyle w:val="TOC3"/>
            <w:rPr>
              <w:rFonts w:eastAsiaTheme="minorEastAsia"/>
              <w:lang w:eastAsia="bg-BG"/>
            </w:rPr>
          </w:pPr>
          <w:hyperlink w:anchor="_Toc399494541" w:history="1">
            <w:r w:rsidR="003A69A7" w:rsidRPr="0028690A">
              <w:rPr>
                <w:rStyle w:val="Hyperlink"/>
                <w:rFonts w:ascii="Calibri" w:eastAsia="Calibri" w:hAnsi="Calibri" w:cs="Times New Roman"/>
              </w:rPr>
              <w:t>2.1.2. Оценка на количественото измерение на добавената стойност</w:t>
            </w:r>
            <w:r w:rsidR="003A69A7">
              <w:rPr>
                <w:webHidden/>
              </w:rPr>
              <w:tab/>
            </w:r>
            <w:r w:rsidR="008E6461">
              <w:rPr>
                <w:webHidden/>
              </w:rPr>
              <w:fldChar w:fldCharType="begin"/>
            </w:r>
            <w:r w:rsidR="003A69A7">
              <w:rPr>
                <w:webHidden/>
              </w:rPr>
              <w:instrText xml:space="preserve"> PAGEREF _Toc399494541 \h </w:instrText>
            </w:r>
            <w:r w:rsidR="008E6461">
              <w:rPr>
                <w:webHidden/>
              </w:rPr>
            </w:r>
            <w:r w:rsidR="008E6461">
              <w:rPr>
                <w:webHidden/>
              </w:rPr>
              <w:fldChar w:fldCharType="separate"/>
            </w:r>
            <w:r w:rsidR="0041519B">
              <w:rPr>
                <w:webHidden/>
              </w:rPr>
              <w:t>142</w:t>
            </w:r>
            <w:r w:rsidR="008E6461">
              <w:rPr>
                <w:webHidden/>
              </w:rPr>
              <w:fldChar w:fldCharType="end"/>
            </w:r>
          </w:hyperlink>
        </w:p>
        <w:p w:rsidR="003A69A7" w:rsidRDefault="00CD14DF">
          <w:pPr>
            <w:pStyle w:val="TOC3"/>
            <w:rPr>
              <w:rFonts w:eastAsiaTheme="minorEastAsia"/>
              <w:lang w:eastAsia="bg-BG"/>
            </w:rPr>
          </w:pPr>
          <w:hyperlink w:anchor="_Toc399494542" w:history="1">
            <w:r w:rsidR="003A69A7" w:rsidRPr="0028690A">
              <w:rPr>
                <w:rStyle w:val="Hyperlink"/>
                <w:rFonts w:ascii="Calibri" w:eastAsia="Calibri" w:hAnsi="Calibri" w:cs="Times New Roman"/>
              </w:rPr>
              <w:t>2.1.3. Оценка на качественото измерение на добавената стойност</w:t>
            </w:r>
            <w:r w:rsidR="003A69A7">
              <w:rPr>
                <w:webHidden/>
              </w:rPr>
              <w:tab/>
            </w:r>
            <w:r w:rsidR="008E6461">
              <w:rPr>
                <w:webHidden/>
              </w:rPr>
              <w:fldChar w:fldCharType="begin"/>
            </w:r>
            <w:r w:rsidR="003A69A7">
              <w:rPr>
                <w:webHidden/>
              </w:rPr>
              <w:instrText xml:space="preserve"> PAGEREF _Toc399494542 \h </w:instrText>
            </w:r>
            <w:r w:rsidR="008E6461">
              <w:rPr>
                <w:webHidden/>
              </w:rPr>
            </w:r>
            <w:r w:rsidR="008E6461">
              <w:rPr>
                <w:webHidden/>
              </w:rPr>
              <w:fldChar w:fldCharType="separate"/>
            </w:r>
            <w:r w:rsidR="0041519B">
              <w:rPr>
                <w:webHidden/>
              </w:rPr>
              <w:t>152</w:t>
            </w:r>
            <w:r w:rsidR="008E6461">
              <w:rPr>
                <w:webHidden/>
              </w:rPr>
              <w:fldChar w:fldCharType="end"/>
            </w:r>
          </w:hyperlink>
        </w:p>
        <w:p w:rsidR="003A69A7" w:rsidRDefault="00CD14DF">
          <w:pPr>
            <w:pStyle w:val="TOC2"/>
            <w:rPr>
              <w:rFonts w:eastAsiaTheme="minorEastAsia"/>
              <w:noProof/>
              <w:lang w:eastAsia="bg-BG"/>
            </w:rPr>
          </w:pPr>
          <w:hyperlink w:anchor="_Toc399494543" w:history="1">
            <w:r w:rsidR="003A69A7" w:rsidRPr="0028690A">
              <w:rPr>
                <w:rStyle w:val="Hyperlink"/>
                <w:rFonts w:cs="Times New Roman"/>
                <w:noProof/>
              </w:rPr>
              <w:t>2.2. Съпоставка между финансовия инструмент, в качеството му на специфична форма на предоставяне на финансова помощ за постигане на определени цели и резултати, и други алтернативни форми на предоставяне на финансова помощ (грантове, награди и възстановима помощ) по правилата на отделните фондове на ЕС, които могат да бъдат реализирани за постигане на същите цели и резултати, чиято реализация преследва финансовият инструмент</w:t>
            </w:r>
            <w:r w:rsidR="003A69A7">
              <w:rPr>
                <w:noProof/>
                <w:webHidden/>
              </w:rPr>
              <w:tab/>
            </w:r>
            <w:r w:rsidR="008E6461">
              <w:rPr>
                <w:noProof/>
                <w:webHidden/>
              </w:rPr>
              <w:fldChar w:fldCharType="begin"/>
            </w:r>
            <w:r w:rsidR="003A69A7">
              <w:rPr>
                <w:noProof/>
                <w:webHidden/>
              </w:rPr>
              <w:instrText xml:space="preserve"> PAGEREF _Toc399494543 \h </w:instrText>
            </w:r>
            <w:r w:rsidR="008E6461">
              <w:rPr>
                <w:noProof/>
                <w:webHidden/>
              </w:rPr>
            </w:r>
            <w:r w:rsidR="008E6461">
              <w:rPr>
                <w:noProof/>
                <w:webHidden/>
              </w:rPr>
              <w:fldChar w:fldCharType="separate"/>
            </w:r>
            <w:r w:rsidR="0041519B">
              <w:rPr>
                <w:noProof/>
                <w:webHidden/>
              </w:rPr>
              <w:t>156</w:t>
            </w:r>
            <w:r w:rsidR="008E6461">
              <w:rPr>
                <w:noProof/>
                <w:webHidden/>
              </w:rPr>
              <w:fldChar w:fldCharType="end"/>
            </w:r>
          </w:hyperlink>
        </w:p>
        <w:p w:rsidR="003A69A7" w:rsidRDefault="00CD14DF">
          <w:pPr>
            <w:pStyle w:val="TOC2"/>
            <w:rPr>
              <w:rFonts w:eastAsiaTheme="minorEastAsia"/>
              <w:noProof/>
              <w:lang w:eastAsia="bg-BG"/>
            </w:rPr>
          </w:pPr>
          <w:hyperlink w:anchor="_Toc399494544" w:history="1">
            <w:r w:rsidR="003A69A7" w:rsidRPr="0028690A">
              <w:rPr>
                <w:rStyle w:val="Hyperlink"/>
                <w:rFonts w:cs="Times New Roman"/>
                <w:noProof/>
              </w:rPr>
              <w:t>2.3. Оценка на възможностите за комбиниране на финансови инструменти и други форми на подкрепа (грантове, награди, възстановима помощ) за постигане на синергичен ефект за съответната сфера на интервенция</w:t>
            </w:r>
            <w:r w:rsidR="003A69A7">
              <w:rPr>
                <w:noProof/>
                <w:webHidden/>
              </w:rPr>
              <w:tab/>
            </w:r>
            <w:r w:rsidR="008E6461">
              <w:rPr>
                <w:noProof/>
                <w:webHidden/>
              </w:rPr>
              <w:fldChar w:fldCharType="begin"/>
            </w:r>
            <w:r w:rsidR="003A69A7">
              <w:rPr>
                <w:noProof/>
                <w:webHidden/>
              </w:rPr>
              <w:instrText xml:space="preserve"> PAGEREF _Toc399494544 \h </w:instrText>
            </w:r>
            <w:r w:rsidR="008E6461">
              <w:rPr>
                <w:noProof/>
                <w:webHidden/>
              </w:rPr>
            </w:r>
            <w:r w:rsidR="008E6461">
              <w:rPr>
                <w:noProof/>
                <w:webHidden/>
              </w:rPr>
              <w:fldChar w:fldCharType="separate"/>
            </w:r>
            <w:r w:rsidR="0041519B">
              <w:rPr>
                <w:noProof/>
                <w:webHidden/>
              </w:rPr>
              <w:t>161</w:t>
            </w:r>
            <w:r w:rsidR="008E6461">
              <w:rPr>
                <w:noProof/>
                <w:webHidden/>
              </w:rPr>
              <w:fldChar w:fldCharType="end"/>
            </w:r>
          </w:hyperlink>
        </w:p>
        <w:p w:rsidR="003A69A7" w:rsidRDefault="00CD14DF">
          <w:pPr>
            <w:pStyle w:val="TOC2"/>
            <w:rPr>
              <w:rFonts w:eastAsiaTheme="minorEastAsia"/>
              <w:noProof/>
              <w:lang w:eastAsia="bg-BG"/>
            </w:rPr>
          </w:pPr>
          <w:hyperlink w:anchor="_Toc399494545" w:history="1">
            <w:r w:rsidR="003A69A7" w:rsidRPr="0028690A">
              <w:rPr>
                <w:rStyle w:val="Hyperlink"/>
                <w:rFonts w:cs="Times New Roman"/>
                <w:noProof/>
              </w:rPr>
              <w:t>2.4. Анализ и оценка на приложимост на правилата за държавни помощи, пропорционалността на предвидената намеса и мерки за минимизиране ефекта на изкривяване на пазара</w:t>
            </w:r>
            <w:r w:rsidR="003A69A7">
              <w:rPr>
                <w:noProof/>
                <w:webHidden/>
              </w:rPr>
              <w:tab/>
            </w:r>
            <w:r w:rsidR="008E6461">
              <w:rPr>
                <w:noProof/>
                <w:webHidden/>
              </w:rPr>
              <w:fldChar w:fldCharType="begin"/>
            </w:r>
            <w:r w:rsidR="003A69A7">
              <w:rPr>
                <w:noProof/>
                <w:webHidden/>
              </w:rPr>
              <w:instrText xml:space="preserve"> PAGEREF _Toc399494545 \h </w:instrText>
            </w:r>
            <w:r w:rsidR="008E6461">
              <w:rPr>
                <w:noProof/>
                <w:webHidden/>
              </w:rPr>
            </w:r>
            <w:r w:rsidR="008E6461">
              <w:rPr>
                <w:noProof/>
                <w:webHidden/>
              </w:rPr>
              <w:fldChar w:fldCharType="separate"/>
            </w:r>
            <w:r w:rsidR="0041519B">
              <w:rPr>
                <w:noProof/>
                <w:webHidden/>
              </w:rPr>
              <w:t>166</w:t>
            </w:r>
            <w:r w:rsidR="008E6461">
              <w:rPr>
                <w:noProof/>
                <w:webHidden/>
              </w:rPr>
              <w:fldChar w:fldCharType="end"/>
            </w:r>
          </w:hyperlink>
        </w:p>
        <w:p w:rsidR="003A69A7" w:rsidRDefault="00CD14DF">
          <w:pPr>
            <w:pStyle w:val="TOC3"/>
            <w:rPr>
              <w:rFonts w:eastAsiaTheme="minorEastAsia"/>
              <w:lang w:eastAsia="bg-BG"/>
            </w:rPr>
          </w:pPr>
          <w:hyperlink w:anchor="_Toc399494546" w:history="1">
            <w:r w:rsidR="003A69A7" w:rsidRPr="0028690A">
              <w:rPr>
                <w:rStyle w:val="Hyperlink"/>
                <w:rFonts w:cs="Times New Roman"/>
              </w:rPr>
              <w:t>2.4.1.Общи положения</w:t>
            </w:r>
            <w:r w:rsidR="003A69A7">
              <w:rPr>
                <w:webHidden/>
              </w:rPr>
              <w:tab/>
            </w:r>
            <w:r w:rsidR="008E6461">
              <w:rPr>
                <w:webHidden/>
              </w:rPr>
              <w:fldChar w:fldCharType="begin"/>
            </w:r>
            <w:r w:rsidR="003A69A7">
              <w:rPr>
                <w:webHidden/>
              </w:rPr>
              <w:instrText xml:space="preserve"> PAGEREF _Toc399494546 \h </w:instrText>
            </w:r>
            <w:r w:rsidR="008E6461">
              <w:rPr>
                <w:webHidden/>
              </w:rPr>
            </w:r>
            <w:r w:rsidR="008E6461">
              <w:rPr>
                <w:webHidden/>
              </w:rPr>
              <w:fldChar w:fldCharType="separate"/>
            </w:r>
            <w:r w:rsidR="0041519B">
              <w:rPr>
                <w:webHidden/>
              </w:rPr>
              <w:t>166</w:t>
            </w:r>
            <w:r w:rsidR="008E6461">
              <w:rPr>
                <w:webHidden/>
              </w:rPr>
              <w:fldChar w:fldCharType="end"/>
            </w:r>
          </w:hyperlink>
        </w:p>
        <w:p w:rsidR="003A69A7" w:rsidRDefault="00CD14DF">
          <w:pPr>
            <w:pStyle w:val="TOC3"/>
            <w:rPr>
              <w:rFonts w:eastAsiaTheme="minorEastAsia"/>
              <w:lang w:eastAsia="bg-BG"/>
            </w:rPr>
          </w:pPr>
          <w:hyperlink w:anchor="_Toc399494547" w:history="1">
            <w:r w:rsidR="003A69A7" w:rsidRPr="0028690A">
              <w:rPr>
                <w:rStyle w:val="Hyperlink"/>
                <w:rFonts w:cs="Times New Roman"/>
              </w:rPr>
              <w:t>2.4.2.Европейски структурни и инвестиционни фонове</w:t>
            </w:r>
            <w:r w:rsidR="003A69A7">
              <w:rPr>
                <w:webHidden/>
              </w:rPr>
              <w:tab/>
            </w:r>
            <w:r w:rsidR="008E6461">
              <w:rPr>
                <w:webHidden/>
              </w:rPr>
              <w:fldChar w:fldCharType="begin"/>
            </w:r>
            <w:r w:rsidR="003A69A7">
              <w:rPr>
                <w:webHidden/>
              </w:rPr>
              <w:instrText xml:space="preserve"> PAGEREF _Toc399494547 \h </w:instrText>
            </w:r>
            <w:r w:rsidR="008E6461">
              <w:rPr>
                <w:webHidden/>
              </w:rPr>
            </w:r>
            <w:r w:rsidR="008E6461">
              <w:rPr>
                <w:webHidden/>
              </w:rPr>
              <w:fldChar w:fldCharType="separate"/>
            </w:r>
            <w:r w:rsidR="0041519B">
              <w:rPr>
                <w:webHidden/>
              </w:rPr>
              <w:t>171</w:t>
            </w:r>
            <w:r w:rsidR="008E6461">
              <w:rPr>
                <w:webHidden/>
              </w:rPr>
              <w:fldChar w:fldCharType="end"/>
            </w:r>
          </w:hyperlink>
        </w:p>
        <w:p w:rsidR="003A69A7" w:rsidRDefault="00CD14DF">
          <w:pPr>
            <w:pStyle w:val="TOC3"/>
            <w:rPr>
              <w:rFonts w:eastAsiaTheme="minorEastAsia"/>
              <w:lang w:eastAsia="bg-BG"/>
            </w:rPr>
          </w:pPr>
          <w:hyperlink w:anchor="_Toc399494548" w:history="1">
            <w:r w:rsidR="003A69A7" w:rsidRPr="0028690A">
              <w:rPr>
                <w:rStyle w:val="Hyperlink"/>
                <w:rFonts w:cs="Times New Roman"/>
              </w:rPr>
              <w:t>2.4.3.Оценка за съвместимостта</w:t>
            </w:r>
            <w:r w:rsidR="003A69A7">
              <w:rPr>
                <w:webHidden/>
              </w:rPr>
              <w:tab/>
            </w:r>
            <w:r w:rsidR="008E6461">
              <w:rPr>
                <w:webHidden/>
              </w:rPr>
              <w:fldChar w:fldCharType="begin"/>
            </w:r>
            <w:r w:rsidR="003A69A7">
              <w:rPr>
                <w:webHidden/>
              </w:rPr>
              <w:instrText xml:space="preserve"> PAGEREF _Toc399494548 \h </w:instrText>
            </w:r>
            <w:r w:rsidR="008E6461">
              <w:rPr>
                <w:webHidden/>
              </w:rPr>
            </w:r>
            <w:r w:rsidR="008E6461">
              <w:rPr>
                <w:webHidden/>
              </w:rPr>
              <w:fldChar w:fldCharType="separate"/>
            </w:r>
            <w:r w:rsidR="0041519B">
              <w:rPr>
                <w:webHidden/>
              </w:rPr>
              <w:t>173</w:t>
            </w:r>
            <w:r w:rsidR="008E6461">
              <w:rPr>
                <w:webHidden/>
              </w:rPr>
              <w:fldChar w:fldCharType="end"/>
            </w:r>
          </w:hyperlink>
        </w:p>
        <w:p w:rsidR="003A69A7" w:rsidRDefault="00CD14DF">
          <w:pPr>
            <w:pStyle w:val="TOC3"/>
            <w:rPr>
              <w:rFonts w:eastAsiaTheme="minorEastAsia"/>
              <w:lang w:eastAsia="bg-BG"/>
            </w:rPr>
          </w:pPr>
          <w:hyperlink w:anchor="_Toc399494549" w:history="1">
            <w:r w:rsidR="003A69A7" w:rsidRPr="0028690A">
              <w:rPr>
                <w:rStyle w:val="Hyperlink"/>
                <w:rFonts w:cs="Times New Roman"/>
              </w:rPr>
              <w:t>2.4.4. Стъпки на оценката и приложимо право</w:t>
            </w:r>
            <w:r w:rsidR="003A69A7">
              <w:rPr>
                <w:webHidden/>
              </w:rPr>
              <w:tab/>
            </w:r>
            <w:r w:rsidR="008E6461">
              <w:rPr>
                <w:webHidden/>
              </w:rPr>
              <w:fldChar w:fldCharType="begin"/>
            </w:r>
            <w:r w:rsidR="003A69A7">
              <w:rPr>
                <w:webHidden/>
              </w:rPr>
              <w:instrText xml:space="preserve"> PAGEREF _Toc399494549 \h </w:instrText>
            </w:r>
            <w:r w:rsidR="008E6461">
              <w:rPr>
                <w:webHidden/>
              </w:rPr>
            </w:r>
            <w:r w:rsidR="008E6461">
              <w:rPr>
                <w:webHidden/>
              </w:rPr>
              <w:fldChar w:fldCharType="separate"/>
            </w:r>
            <w:r w:rsidR="0041519B">
              <w:rPr>
                <w:webHidden/>
              </w:rPr>
              <w:t>175</w:t>
            </w:r>
            <w:r w:rsidR="008E6461">
              <w:rPr>
                <w:webHidden/>
              </w:rPr>
              <w:fldChar w:fldCharType="end"/>
            </w:r>
          </w:hyperlink>
        </w:p>
        <w:p w:rsidR="003A69A7" w:rsidRDefault="00CD14DF">
          <w:pPr>
            <w:pStyle w:val="TOC3"/>
            <w:rPr>
              <w:rFonts w:eastAsiaTheme="minorEastAsia"/>
              <w:lang w:eastAsia="bg-BG"/>
            </w:rPr>
          </w:pPr>
          <w:hyperlink w:anchor="_Toc399494550" w:history="1">
            <w:r w:rsidR="003A69A7" w:rsidRPr="0028690A">
              <w:rPr>
                <w:rStyle w:val="Hyperlink"/>
                <w:rFonts w:cs="Times New Roman"/>
              </w:rPr>
              <w:t>2.4.5. Оценка на съвместимостта на отделните видове финансови инструменти</w:t>
            </w:r>
            <w:r w:rsidR="003A69A7">
              <w:rPr>
                <w:webHidden/>
              </w:rPr>
              <w:tab/>
            </w:r>
            <w:r w:rsidR="008E6461">
              <w:rPr>
                <w:webHidden/>
              </w:rPr>
              <w:fldChar w:fldCharType="begin"/>
            </w:r>
            <w:r w:rsidR="003A69A7">
              <w:rPr>
                <w:webHidden/>
              </w:rPr>
              <w:instrText xml:space="preserve"> PAGEREF _Toc399494550 \h </w:instrText>
            </w:r>
            <w:r w:rsidR="008E6461">
              <w:rPr>
                <w:webHidden/>
              </w:rPr>
            </w:r>
            <w:r w:rsidR="008E6461">
              <w:rPr>
                <w:webHidden/>
              </w:rPr>
              <w:fldChar w:fldCharType="separate"/>
            </w:r>
            <w:r w:rsidR="0041519B">
              <w:rPr>
                <w:webHidden/>
              </w:rPr>
              <w:t>179</w:t>
            </w:r>
            <w:r w:rsidR="008E6461">
              <w:rPr>
                <w:webHidden/>
              </w:rPr>
              <w:fldChar w:fldCharType="end"/>
            </w:r>
          </w:hyperlink>
        </w:p>
        <w:p w:rsidR="003A69A7" w:rsidRDefault="00CD14DF">
          <w:pPr>
            <w:pStyle w:val="TOC3"/>
            <w:rPr>
              <w:rFonts w:eastAsiaTheme="minorEastAsia"/>
              <w:lang w:eastAsia="bg-BG"/>
            </w:rPr>
          </w:pPr>
          <w:hyperlink w:anchor="_Toc399494551" w:history="1">
            <w:r w:rsidR="003A69A7" w:rsidRPr="0028690A">
              <w:rPr>
                <w:rStyle w:val="Hyperlink"/>
                <w:rFonts w:cs="Times New Roman"/>
              </w:rPr>
              <w:t>2.4.6. Специфични изисквания за оценка държавната помощ при прилагане на финансовите инструменти за опазване на околната среда</w:t>
            </w:r>
            <w:r w:rsidR="003A69A7">
              <w:rPr>
                <w:webHidden/>
              </w:rPr>
              <w:tab/>
            </w:r>
            <w:r w:rsidR="008E6461">
              <w:rPr>
                <w:webHidden/>
              </w:rPr>
              <w:fldChar w:fldCharType="begin"/>
            </w:r>
            <w:r w:rsidR="003A69A7">
              <w:rPr>
                <w:webHidden/>
              </w:rPr>
              <w:instrText xml:space="preserve"> PAGEREF _Toc399494551 \h </w:instrText>
            </w:r>
            <w:r w:rsidR="008E6461">
              <w:rPr>
                <w:webHidden/>
              </w:rPr>
            </w:r>
            <w:r w:rsidR="008E6461">
              <w:rPr>
                <w:webHidden/>
              </w:rPr>
              <w:fldChar w:fldCharType="separate"/>
            </w:r>
            <w:r w:rsidR="0041519B">
              <w:rPr>
                <w:webHidden/>
              </w:rPr>
              <w:t>185</w:t>
            </w:r>
            <w:r w:rsidR="008E6461">
              <w:rPr>
                <w:webHidden/>
              </w:rPr>
              <w:fldChar w:fldCharType="end"/>
            </w:r>
          </w:hyperlink>
        </w:p>
        <w:p w:rsidR="003A69A7" w:rsidRDefault="00CD14DF">
          <w:pPr>
            <w:pStyle w:val="TOC1"/>
            <w:tabs>
              <w:tab w:val="right" w:leader="dot" w:pos="9062"/>
            </w:tabs>
            <w:rPr>
              <w:rFonts w:eastAsiaTheme="minorEastAsia"/>
              <w:noProof/>
              <w:lang w:eastAsia="bg-BG"/>
            </w:rPr>
          </w:pPr>
          <w:hyperlink w:anchor="_Toc399494552" w:history="1">
            <w:r w:rsidR="003A69A7" w:rsidRPr="0028690A">
              <w:rPr>
                <w:rStyle w:val="Hyperlink"/>
                <w:rFonts w:cs="Times New Roman"/>
                <w:b/>
                <w:noProof/>
              </w:rPr>
              <w:t>3. Допълнителни публични и частни ресурси</w:t>
            </w:r>
            <w:r w:rsidR="003A69A7">
              <w:rPr>
                <w:noProof/>
                <w:webHidden/>
              </w:rPr>
              <w:tab/>
            </w:r>
            <w:r w:rsidR="008E6461">
              <w:rPr>
                <w:noProof/>
                <w:webHidden/>
              </w:rPr>
              <w:fldChar w:fldCharType="begin"/>
            </w:r>
            <w:r w:rsidR="003A69A7">
              <w:rPr>
                <w:noProof/>
                <w:webHidden/>
              </w:rPr>
              <w:instrText xml:space="preserve"> PAGEREF _Toc399494552 \h </w:instrText>
            </w:r>
            <w:r w:rsidR="008E6461">
              <w:rPr>
                <w:noProof/>
                <w:webHidden/>
              </w:rPr>
            </w:r>
            <w:r w:rsidR="008E6461">
              <w:rPr>
                <w:noProof/>
                <w:webHidden/>
              </w:rPr>
              <w:fldChar w:fldCharType="separate"/>
            </w:r>
            <w:r w:rsidR="0041519B">
              <w:rPr>
                <w:noProof/>
                <w:webHidden/>
              </w:rPr>
              <w:t>190</w:t>
            </w:r>
            <w:r w:rsidR="008E6461">
              <w:rPr>
                <w:noProof/>
                <w:webHidden/>
              </w:rPr>
              <w:fldChar w:fldCharType="end"/>
            </w:r>
          </w:hyperlink>
        </w:p>
        <w:p w:rsidR="003A69A7" w:rsidRDefault="00CD14DF">
          <w:pPr>
            <w:pStyle w:val="TOC2"/>
            <w:rPr>
              <w:rFonts w:eastAsiaTheme="minorEastAsia"/>
              <w:noProof/>
              <w:lang w:eastAsia="bg-BG"/>
            </w:rPr>
          </w:pPr>
          <w:hyperlink w:anchor="_Toc399494553" w:history="1">
            <w:r w:rsidR="003A69A7" w:rsidRPr="0028690A">
              <w:rPr>
                <w:rStyle w:val="Hyperlink"/>
                <w:rFonts w:cs="Times New Roman"/>
                <w:noProof/>
              </w:rPr>
              <w:t>3.1. Оценка на допълнителните публични и частни ресурси - анализ на нивото, на което следва да бъдат привлечени частните инвестиции/съфинансиране (на ниво холдингов фонд, финансови посредници или съответно краен получател)</w:t>
            </w:r>
            <w:r w:rsidR="003A69A7">
              <w:rPr>
                <w:noProof/>
                <w:webHidden/>
              </w:rPr>
              <w:tab/>
            </w:r>
            <w:r w:rsidR="008E6461">
              <w:rPr>
                <w:noProof/>
                <w:webHidden/>
              </w:rPr>
              <w:fldChar w:fldCharType="begin"/>
            </w:r>
            <w:r w:rsidR="003A69A7">
              <w:rPr>
                <w:noProof/>
                <w:webHidden/>
              </w:rPr>
              <w:instrText xml:space="preserve"> PAGEREF _Toc399494553 \h </w:instrText>
            </w:r>
            <w:r w:rsidR="008E6461">
              <w:rPr>
                <w:noProof/>
                <w:webHidden/>
              </w:rPr>
            </w:r>
            <w:r w:rsidR="008E6461">
              <w:rPr>
                <w:noProof/>
                <w:webHidden/>
              </w:rPr>
              <w:fldChar w:fldCharType="separate"/>
            </w:r>
            <w:r w:rsidR="0041519B">
              <w:rPr>
                <w:noProof/>
                <w:webHidden/>
              </w:rPr>
              <w:t>190</w:t>
            </w:r>
            <w:r w:rsidR="008E6461">
              <w:rPr>
                <w:noProof/>
                <w:webHidden/>
              </w:rPr>
              <w:fldChar w:fldCharType="end"/>
            </w:r>
          </w:hyperlink>
        </w:p>
        <w:p w:rsidR="003A69A7" w:rsidRDefault="00CD14DF">
          <w:pPr>
            <w:pStyle w:val="TOC3"/>
            <w:rPr>
              <w:rFonts w:eastAsiaTheme="minorEastAsia"/>
              <w:lang w:eastAsia="bg-BG"/>
            </w:rPr>
          </w:pPr>
          <w:hyperlink w:anchor="_Toc399494554" w:history="1">
            <w:r w:rsidR="003A69A7" w:rsidRPr="0028690A">
              <w:rPr>
                <w:rStyle w:val="Hyperlink"/>
                <w:rFonts w:cs="Times New Roman"/>
              </w:rPr>
              <w:t>3.1.1. Идентифициране на различни потенциални източници</w:t>
            </w:r>
            <w:r w:rsidR="003A69A7">
              <w:rPr>
                <w:webHidden/>
              </w:rPr>
              <w:tab/>
            </w:r>
            <w:r w:rsidR="008E6461">
              <w:rPr>
                <w:webHidden/>
              </w:rPr>
              <w:fldChar w:fldCharType="begin"/>
            </w:r>
            <w:r w:rsidR="003A69A7">
              <w:rPr>
                <w:webHidden/>
              </w:rPr>
              <w:instrText xml:space="preserve"> PAGEREF _Toc399494554 \h </w:instrText>
            </w:r>
            <w:r w:rsidR="008E6461">
              <w:rPr>
                <w:webHidden/>
              </w:rPr>
            </w:r>
            <w:r w:rsidR="008E6461">
              <w:rPr>
                <w:webHidden/>
              </w:rPr>
              <w:fldChar w:fldCharType="separate"/>
            </w:r>
            <w:r w:rsidR="0041519B">
              <w:rPr>
                <w:webHidden/>
              </w:rPr>
              <w:t>191</w:t>
            </w:r>
            <w:r w:rsidR="008E6461">
              <w:rPr>
                <w:webHidden/>
              </w:rPr>
              <w:fldChar w:fldCharType="end"/>
            </w:r>
          </w:hyperlink>
        </w:p>
        <w:p w:rsidR="003A69A7" w:rsidRDefault="00CD14DF">
          <w:pPr>
            <w:pStyle w:val="TOC3"/>
            <w:rPr>
              <w:rFonts w:eastAsiaTheme="minorEastAsia"/>
              <w:lang w:eastAsia="bg-BG"/>
            </w:rPr>
          </w:pPr>
          <w:hyperlink w:anchor="_Toc399494555" w:history="1">
            <w:r w:rsidR="003A69A7" w:rsidRPr="0028690A">
              <w:rPr>
                <w:rStyle w:val="Hyperlink"/>
                <w:rFonts w:cs="Times New Roman"/>
              </w:rPr>
              <w:t>3.1.2. Идентифициране на нивото, на което действа националното съфинансиране към ЕСИФ</w:t>
            </w:r>
            <w:r w:rsidR="003A69A7">
              <w:rPr>
                <w:webHidden/>
              </w:rPr>
              <w:tab/>
            </w:r>
            <w:r w:rsidR="008E6461">
              <w:rPr>
                <w:webHidden/>
              </w:rPr>
              <w:fldChar w:fldCharType="begin"/>
            </w:r>
            <w:r w:rsidR="003A69A7">
              <w:rPr>
                <w:webHidden/>
              </w:rPr>
              <w:instrText xml:space="preserve"> PAGEREF _Toc399494555 \h </w:instrText>
            </w:r>
            <w:r w:rsidR="008E6461">
              <w:rPr>
                <w:webHidden/>
              </w:rPr>
            </w:r>
            <w:r w:rsidR="008E6461">
              <w:rPr>
                <w:webHidden/>
              </w:rPr>
              <w:fldChar w:fldCharType="separate"/>
            </w:r>
            <w:r w:rsidR="0041519B">
              <w:rPr>
                <w:webHidden/>
              </w:rPr>
              <w:t>195</w:t>
            </w:r>
            <w:r w:rsidR="008E6461">
              <w:rPr>
                <w:webHidden/>
              </w:rPr>
              <w:fldChar w:fldCharType="end"/>
            </w:r>
          </w:hyperlink>
        </w:p>
        <w:p w:rsidR="003A69A7" w:rsidRDefault="00CD14DF">
          <w:pPr>
            <w:pStyle w:val="TOC2"/>
            <w:rPr>
              <w:rFonts w:eastAsiaTheme="minorEastAsia"/>
              <w:noProof/>
              <w:lang w:eastAsia="bg-BG"/>
            </w:rPr>
          </w:pPr>
          <w:hyperlink w:anchor="_Toc399494556" w:history="1">
            <w:r w:rsidR="003A69A7" w:rsidRPr="0028690A">
              <w:rPr>
                <w:rStyle w:val="Hyperlink"/>
                <w:rFonts w:cs="Times New Roman"/>
                <w:noProof/>
              </w:rPr>
              <w:t>3.2. Оценка на допълнителни публични и частни ресурси, които могат потенциално да бъдат привлечени като ресурс за финансовия инструмент на ниво краен получател (leverage effect)</w:t>
            </w:r>
            <w:r w:rsidR="003A69A7">
              <w:rPr>
                <w:noProof/>
                <w:webHidden/>
              </w:rPr>
              <w:tab/>
            </w:r>
            <w:r w:rsidR="008E6461">
              <w:rPr>
                <w:noProof/>
                <w:webHidden/>
              </w:rPr>
              <w:fldChar w:fldCharType="begin"/>
            </w:r>
            <w:r w:rsidR="003A69A7">
              <w:rPr>
                <w:noProof/>
                <w:webHidden/>
              </w:rPr>
              <w:instrText xml:space="preserve"> PAGEREF _Toc399494556 \h </w:instrText>
            </w:r>
            <w:r w:rsidR="008E6461">
              <w:rPr>
                <w:noProof/>
                <w:webHidden/>
              </w:rPr>
            </w:r>
            <w:r w:rsidR="008E6461">
              <w:rPr>
                <w:noProof/>
                <w:webHidden/>
              </w:rPr>
              <w:fldChar w:fldCharType="separate"/>
            </w:r>
            <w:r w:rsidR="0041519B">
              <w:rPr>
                <w:noProof/>
                <w:webHidden/>
              </w:rPr>
              <w:t>198</w:t>
            </w:r>
            <w:r w:rsidR="008E6461">
              <w:rPr>
                <w:noProof/>
                <w:webHidden/>
              </w:rPr>
              <w:fldChar w:fldCharType="end"/>
            </w:r>
          </w:hyperlink>
        </w:p>
        <w:p w:rsidR="003A69A7" w:rsidRDefault="00CD14DF">
          <w:pPr>
            <w:pStyle w:val="TOC2"/>
            <w:rPr>
              <w:rFonts w:eastAsiaTheme="minorEastAsia"/>
              <w:noProof/>
              <w:lang w:eastAsia="bg-BG"/>
            </w:rPr>
          </w:pPr>
          <w:hyperlink w:anchor="_Toc399494557" w:history="1">
            <w:r w:rsidR="003A69A7" w:rsidRPr="0028690A">
              <w:rPr>
                <w:rStyle w:val="Hyperlink"/>
                <w:rFonts w:cs="Times New Roman"/>
                <w:noProof/>
              </w:rPr>
              <w:t>3.3. Анализ и оценка на необходимите стимули за привличане на частни инвестиции/съфинансиране, както и механизмите, чрез които ще бъдат предоставени стимулите (на конкурентен принцип или чрез независима оценка)</w:t>
            </w:r>
            <w:r w:rsidR="003A69A7">
              <w:rPr>
                <w:noProof/>
                <w:webHidden/>
              </w:rPr>
              <w:tab/>
            </w:r>
            <w:r w:rsidR="008E6461">
              <w:rPr>
                <w:noProof/>
                <w:webHidden/>
              </w:rPr>
              <w:fldChar w:fldCharType="begin"/>
            </w:r>
            <w:r w:rsidR="003A69A7">
              <w:rPr>
                <w:noProof/>
                <w:webHidden/>
              </w:rPr>
              <w:instrText xml:space="preserve"> PAGEREF _Toc399494557 \h </w:instrText>
            </w:r>
            <w:r w:rsidR="008E6461">
              <w:rPr>
                <w:noProof/>
                <w:webHidden/>
              </w:rPr>
            </w:r>
            <w:r w:rsidR="008E6461">
              <w:rPr>
                <w:noProof/>
                <w:webHidden/>
              </w:rPr>
              <w:fldChar w:fldCharType="separate"/>
            </w:r>
            <w:r w:rsidR="0041519B">
              <w:rPr>
                <w:noProof/>
                <w:webHidden/>
              </w:rPr>
              <w:t>202</w:t>
            </w:r>
            <w:r w:rsidR="008E6461">
              <w:rPr>
                <w:noProof/>
                <w:webHidden/>
              </w:rPr>
              <w:fldChar w:fldCharType="end"/>
            </w:r>
          </w:hyperlink>
        </w:p>
        <w:p w:rsidR="003A69A7" w:rsidRDefault="00CD14DF">
          <w:pPr>
            <w:pStyle w:val="TOC3"/>
            <w:rPr>
              <w:rFonts w:eastAsiaTheme="minorEastAsia"/>
              <w:lang w:eastAsia="bg-BG"/>
            </w:rPr>
          </w:pPr>
          <w:hyperlink w:anchor="_Toc399494558" w:history="1">
            <w:r w:rsidR="003A69A7" w:rsidRPr="0028690A">
              <w:rPr>
                <w:rStyle w:val="Hyperlink"/>
                <w:rFonts w:cs="Times New Roman"/>
              </w:rPr>
              <w:t>3.3.1. Описание на механизмите, които следва бъдат използвани за Оценка на необходимостта и нивото на преференциално възнаграждение/стимули с цел привличане на средства от частни инвеститори (като напр. конкурентен процес на оценяване)</w:t>
            </w:r>
            <w:r w:rsidR="003A69A7">
              <w:rPr>
                <w:webHidden/>
              </w:rPr>
              <w:tab/>
            </w:r>
            <w:r w:rsidR="008E6461">
              <w:rPr>
                <w:webHidden/>
              </w:rPr>
              <w:fldChar w:fldCharType="begin"/>
            </w:r>
            <w:r w:rsidR="003A69A7">
              <w:rPr>
                <w:webHidden/>
              </w:rPr>
              <w:instrText xml:space="preserve"> PAGEREF _Toc399494558 \h </w:instrText>
            </w:r>
            <w:r w:rsidR="008E6461">
              <w:rPr>
                <w:webHidden/>
              </w:rPr>
            </w:r>
            <w:r w:rsidR="008E6461">
              <w:rPr>
                <w:webHidden/>
              </w:rPr>
              <w:fldChar w:fldCharType="separate"/>
            </w:r>
            <w:r w:rsidR="0041519B">
              <w:rPr>
                <w:webHidden/>
              </w:rPr>
              <w:t>203</w:t>
            </w:r>
            <w:r w:rsidR="008E6461">
              <w:rPr>
                <w:webHidden/>
              </w:rPr>
              <w:fldChar w:fldCharType="end"/>
            </w:r>
          </w:hyperlink>
        </w:p>
        <w:p w:rsidR="003A69A7" w:rsidRDefault="00CD14DF">
          <w:pPr>
            <w:pStyle w:val="TOC1"/>
            <w:tabs>
              <w:tab w:val="right" w:leader="dot" w:pos="9062"/>
            </w:tabs>
            <w:rPr>
              <w:rFonts w:eastAsiaTheme="minorEastAsia"/>
              <w:noProof/>
              <w:lang w:eastAsia="bg-BG"/>
            </w:rPr>
          </w:pPr>
          <w:hyperlink w:anchor="_Toc399494559" w:history="1">
            <w:r w:rsidR="003A69A7" w:rsidRPr="0028690A">
              <w:rPr>
                <w:rStyle w:val="Hyperlink"/>
                <w:rFonts w:cs="Times New Roman"/>
                <w:b/>
                <w:noProof/>
              </w:rPr>
              <w:t>4. Извлечени поуки</w:t>
            </w:r>
            <w:r w:rsidR="003A69A7">
              <w:rPr>
                <w:noProof/>
                <w:webHidden/>
              </w:rPr>
              <w:tab/>
            </w:r>
            <w:r w:rsidR="008E6461">
              <w:rPr>
                <w:noProof/>
                <w:webHidden/>
              </w:rPr>
              <w:fldChar w:fldCharType="begin"/>
            </w:r>
            <w:r w:rsidR="003A69A7">
              <w:rPr>
                <w:noProof/>
                <w:webHidden/>
              </w:rPr>
              <w:instrText xml:space="preserve"> PAGEREF _Toc399494559 \h </w:instrText>
            </w:r>
            <w:r w:rsidR="008E6461">
              <w:rPr>
                <w:noProof/>
                <w:webHidden/>
              </w:rPr>
            </w:r>
            <w:r w:rsidR="008E6461">
              <w:rPr>
                <w:noProof/>
                <w:webHidden/>
              </w:rPr>
              <w:fldChar w:fldCharType="separate"/>
            </w:r>
            <w:r w:rsidR="0041519B">
              <w:rPr>
                <w:noProof/>
                <w:webHidden/>
              </w:rPr>
              <w:t>207</w:t>
            </w:r>
            <w:r w:rsidR="008E6461">
              <w:rPr>
                <w:noProof/>
                <w:webHidden/>
              </w:rPr>
              <w:fldChar w:fldCharType="end"/>
            </w:r>
          </w:hyperlink>
        </w:p>
        <w:p w:rsidR="003A69A7" w:rsidRDefault="00CD14DF">
          <w:pPr>
            <w:pStyle w:val="TOC2"/>
            <w:rPr>
              <w:rFonts w:eastAsiaTheme="minorEastAsia"/>
              <w:noProof/>
              <w:lang w:eastAsia="bg-BG"/>
            </w:rPr>
          </w:pPr>
          <w:hyperlink w:anchor="_Toc399494560" w:history="1">
            <w:r w:rsidR="003A69A7" w:rsidRPr="0028690A">
              <w:rPr>
                <w:rStyle w:val="Hyperlink"/>
                <w:rFonts w:cs="Times New Roman"/>
                <w:noProof/>
              </w:rPr>
              <w:t>4.1. Анализ на добри практики по прилагането на инструментите за финансов инженеринг в други страни членки на ЕС в сектор околна среда</w:t>
            </w:r>
            <w:r w:rsidR="003A69A7">
              <w:rPr>
                <w:noProof/>
                <w:webHidden/>
              </w:rPr>
              <w:tab/>
            </w:r>
            <w:r w:rsidR="008E6461">
              <w:rPr>
                <w:noProof/>
                <w:webHidden/>
              </w:rPr>
              <w:fldChar w:fldCharType="begin"/>
            </w:r>
            <w:r w:rsidR="003A69A7">
              <w:rPr>
                <w:noProof/>
                <w:webHidden/>
              </w:rPr>
              <w:instrText xml:space="preserve"> PAGEREF _Toc399494560 \h </w:instrText>
            </w:r>
            <w:r w:rsidR="008E6461">
              <w:rPr>
                <w:noProof/>
                <w:webHidden/>
              </w:rPr>
            </w:r>
            <w:r w:rsidR="008E6461">
              <w:rPr>
                <w:noProof/>
                <w:webHidden/>
              </w:rPr>
              <w:fldChar w:fldCharType="separate"/>
            </w:r>
            <w:r w:rsidR="0041519B">
              <w:rPr>
                <w:noProof/>
                <w:webHidden/>
              </w:rPr>
              <w:t>207</w:t>
            </w:r>
            <w:r w:rsidR="008E6461">
              <w:rPr>
                <w:noProof/>
                <w:webHidden/>
              </w:rPr>
              <w:fldChar w:fldCharType="end"/>
            </w:r>
          </w:hyperlink>
        </w:p>
        <w:p w:rsidR="003A69A7" w:rsidRDefault="00CD14DF">
          <w:pPr>
            <w:pStyle w:val="TOC3"/>
            <w:rPr>
              <w:rFonts w:eastAsiaTheme="minorEastAsia"/>
              <w:lang w:eastAsia="bg-BG"/>
            </w:rPr>
          </w:pPr>
          <w:hyperlink w:anchor="_Toc399494561" w:history="1">
            <w:r w:rsidR="003A69A7" w:rsidRPr="0028690A">
              <w:rPr>
                <w:rStyle w:val="Hyperlink"/>
              </w:rPr>
              <w:t>4.1.1. Използване на финансови инструменти в страните членки на ЕС в периода 2007-2013г.</w:t>
            </w:r>
            <w:r w:rsidR="003A69A7">
              <w:rPr>
                <w:webHidden/>
              </w:rPr>
              <w:tab/>
            </w:r>
            <w:r w:rsidR="008E6461">
              <w:rPr>
                <w:webHidden/>
              </w:rPr>
              <w:fldChar w:fldCharType="begin"/>
            </w:r>
            <w:r w:rsidR="003A69A7">
              <w:rPr>
                <w:webHidden/>
              </w:rPr>
              <w:instrText xml:space="preserve"> PAGEREF _Toc399494561 \h </w:instrText>
            </w:r>
            <w:r w:rsidR="008E6461">
              <w:rPr>
                <w:webHidden/>
              </w:rPr>
            </w:r>
            <w:r w:rsidR="008E6461">
              <w:rPr>
                <w:webHidden/>
              </w:rPr>
              <w:fldChar w:fldCharType="separate"/>
            </w:r>
            <w:r w:rsidR="0041519B">
              <w:rPr>
                <w:webHidden/>
              </w:rPr>
              <w:t>207</w:t>
            </w:r>
            <w:r w:rsidR="008E6461">
              <w:rPr>
                <w:webHidden/>
              </w:rPr>
              <w:fldChar w:fldCharType="end"/>
            </w:r>
          </w:hyperlink>
        </w:p>
        <w:p w:rsidR="003A69A7" w:rsidRDefault="00CD14DF">
          <w:pPr>
            <w:pStyle w:val="TOC3"/>
            <w:rPr>
              <w:rFonts w:eastAsiaTheme="minorEastAsia"/>
              <w:lang w:eastAsia="bg-BG"/>
            </w:rPr>
          </w:pPr>
          <w:hyperlink w:anchor="_Toc399494562" w:history="1">
            <w:r w:rsidR="003A69A7" w:rsidRPr="0028690A">
              <w:rPr>
                <w:rStyle w:val="Hyperlink"/>
              </w:rPr>
              <w:t>4.1.2. Добри практики и фактори за успех в отделните етапи на създаване на финансовите инструменти</w:t>
            </w:r>
            <w:r w:rsidR="003A69A7">
              <w:rPr>
                <w:webHidden/>
              </w:rPr>
              <w:tab/>
            </w:r>
            <w:r w:rsidR="008E6461">
              <w:rPr>
                <w:webHidden/>
              </w:rPr>
              <w:fldChar w:fldCharType="begin"/>
            </w:r>
            <w:r w:rsidR="003A69A7">
              <w:rPr>
                <w:webHidden/>
              </w:rPr>
              <w:instrText xml:space="preserve"> PAGEREF _Toc399494562 \h </w:instrText>
            </w:r>
            <w:r w:rsidR="008E6461">
              <w:rPr>
                <w:webHidden/>
              </w:rPr>
            </w:r>
            <w:r w:rsidR="008E6461">
              <w:rPr>
                <w:webHidden/>
              </w:rPr>
              <w:fldChar w:fldCharType="separate"/>
            </w:r>
            <w:r w:rsidR="0041519B">
              <w:rPr>
                <w:webHidden/>
              </w:rPr>
              <w:t>222</w:t>
            </w:r>
            <w:r w:rsidR="008E6461">
              <w:rPr>
                <w:webHidden/>
              </w:rPr>
              <w:fldChar w:fldCharType="end"/>
            </w:r>
          </w:hyperlink>
        </w:p>
        <w:p w:rsidR="003A69A7" w:rsidRDefault="00CD14DF">
          <w:pPr>
            <w:pStyle w:val="TOC3"/>
            <w:rPr>
              <w:rFonts w:eastAsiaTheme="minorEastAsia"/>
              <w:lang w:eastAsia="bg-BG"/>
            </w:rPr>
          </w:pPr>
          <w:hyperlink w:anchor="_Toc399494563" w:history="1">
            <w:r w:rsidR="003A69A7" w:rsidRPr="0028690A">
              <w:rPr>
                <w:rStyle w:val="Hyperlink"/>
              </w:rPr>
              <w:t>4.1.3. Примери за местни инструменти в подкрепа на околната среда в други държави.</w:t>
            </w:r>
            <w:r w:rsidR="003A69A7">
              <w:rPr>
                <w:webHidden/>
              </w:rPr>
              <w:tab/>
            </w:r>
            <w:r w:rsidR="008E6461">
              <w:rPr>
                <w:webHidden/>
              </w:rPr>
              <w:fldChar w:fldCharType="begin"/>
            </w:r>
            <w:r w:rsidR="003A69A7">
              <w:rPr>
                <w:webHidden/>
              </w:rPr>
              <w:instrText xml:space="preserve"> PAGEREF _Toc399494563 \h </w:instrText>
            </w:r>
            <w:r w:rsidR="008E6461">
              <w:rPr>
                <w:webHidden/>
              </w:rPr>
            </w:r>
            <w:r w:rsidR="008E6461">
              <w:rPr>
                <w:webHidden/>
              </w:rPr>
              <w:fldChar w:fldCharType="separate"/>
            </w:r>
            <w:r w:rsidR="0041519B">
              <w:rPr>
                <w:webHidden/>
              </w:rPr>
              <w:t>226</w:t>
            </w:r>
            <w:r w:rsidR="008E6461">
              <w:rPr>
                <w:webHidden/>
              </w:rPr>
              <w:fldChar w:fldCharType="end"/>
            </w:r>
          </w:hyperlink>
        </w:p>
        <w:p w:rsidR="003A69A7" w:rsidRDefault="00CD14DF">
          <w:pPr>
            <w:pStyle w:val="TOC2"/>
            <w:rPr>
              <w:rFonts w:eastAsiaTheme="minorEastAsia"/>
              <w:noProof/>
              <w:lang w:eastAsia="bg-BG"/>
            </w:rPr>
          </w:pPr>
          <w:hyperlink w:anchor="_Toc399494564" w:history="1">
            <w:r w:rsidR="003A69A7" w:rsidRPr="0028690A">
              <w:rPr>
                <w:rStyle w:val="Hyperlink"/>
                <w:rFonts w:cs="Times New Roman"/>
                <w:noProof/>
              </w:rPr>
              <w:t>4.2. Анализ на структурата на прилаганите в периода 2007-2013 г. финансови инструменти в сектор околна среда в България – предимства и недостатъци</w:t>
            </w:r>
            <w:r w:rsidR="003A69A7">
              <w:rPr>
                <w:noProof/>
                <w:webHidden/>
              </w:rPr>
              <w:tab/>
            </w:r>
            <w:r w:rsidR="008E6461">
              <w:rPr>
                <w:noProof/>
                <w:webHidden/>
              </w:rPr>
              <w:fldChar w:fldCharType="begin"/>
            </w:r>
            <w:r w:rsidR="003A69A7">
              <w:rPr>
                <w:noProof/>
                <w:webHidden/>
              </w:rPr>
              <w:instrText xml:space="preserve"> PAGEREF _Toc399494564 \h </w:instrText>
            </w:r>
            <w:r w:rsidR="008E6461">
              <w:rPr>
                <w:noProof/>
                <w:webHidden/>
              </w:rPr>
            </w:r>
            <w:r w:rsidR="008E6461">
              <w:rPr>
                <w:noProof/>
                <w:webHidden/>
              </w:rPr>
              <w:fldChar w:fldCharType="separate"/>
            </w:r>
            <w:r w:rsidR="0041519B">
              <w:rPr>
                <w:noProof/>
                <w:webHidden/>
              </w:rPr>
              <w:t>236</w:t>
            </w:r>
            <w:r w:rsidR="008E6461">
              <w:rPr>
                <w:noProof/>
                <w:webHidden/>
              </w:rPr>
              <w:fldChar w:fldCharType="end"/>
            </w:r>
          </w:hyperlink>
        </w:p>
        <w:p w:rsidR="003A69A7" w:rsidRDefault="00CD14DF">
          <w:pPr>
            <w:pStyle w:val="TOC2"/>
            <w:rPr>
              <w:rFonts w:eastAsiaTheme="minorEastAsia"/>
              <w:noProof/>
              <w:lang w:eastAsia="bg-BG"/>
            </w:rPr>
          </w:pPr>
          <w:hyperlink w:anchor="_Toc399494565" w:history="1">
            <w:r w:rsidR="003A69A7" w:rsidRPr="0028690A">
              <w:rPr>
                <w:rStyle w:val="Hyperlink"/>
                <w:rFonts w:cs="Times New Roman"/>
                <w:noProof/>
              </w:rPr>
              <w:t>4.3. Трудности при прилагане на финансови инструменти – извлечени поуки</w:t>
            </w:r>
            <w:r w:rsidR="003A69A7">
              <w:rPr>
                <w:noProof/>
                <w:webHidden/>
              </w:rPr>
              <w:tab/>
            </w:r>
            <w:r w:rsidR="008E6461">
              <w:rPr>
                <w:noProof/>
                <w:webHidden/>
              </w:rPr>
              <w:fldChar w:fldCharType="begin"/>
            </w:r>
            <w:r w:rsidR="003A69A7">
              <w:rPr>
                <w:noProof/>
                <w:webHidden/>
              </w:rPr>
              <w:instrText xml:space="preserve"> PAGEREF _Toc399494565 \h </w:instrText>
            </w:r>
            <w:r w:rsidR="008E6461">
              <w:rPr>
                <w:noProof/>
                <w:webHidden/>
              </w:rPr>
            </w:r>
            <w:r w:rsidR="008E6461">
              <w:rPr>
                <w:noProof/>
                <w:webHidden/>
              </w:rPr>
              <w:fldChar w:fldCharType="separate"/>
            </w:r>
            <w:r w:rsidR="0041519B">
              <w:rPr>
                <w:noProof/>
                <w:webHidden/>
              </w:rPr>
              <w:t>236</w:t>
            </w:r>
            <w:r w:rsidR="008E6461">
              <w:rPr>
                <w:noProof/>
                <w:webHidden/>
              </w:rPr>
              <w:fldChar w:fldCharType="end"/>
            </w:r>
          </w:hyperlink>
        </w:p>
        <w:p w:rsidR="003A69A7" w:rsidRDefault="00CD14DF">
          <w:pPr>
            <w:pStyle w:val="TOC1"/>
            <w:tabs>
              <w:tab w:val="right" w:leader="dot" w:pos="9062"/>
            </w:tabs>
            <w:rPr>
              <w:rFonts w:eastAsiaTheme="minorEastAsia"/>
              <w:noProof/>
              <w:lang w:eastAsia="bg-BG"/>
            </w:rPr>
          </w:pPr>
          <w:hyperlink w:anchor="_Toc399494566" w:history="1">
            <w:r w:rsidR="003A69A7" w:rsidRPr="0028690A">
              <w:rPr>
                <w:rStyle w:val="Hyperlink"/>
                <w:rFonts w:cs="Times New Roman"/>
                <w:noProof/>
              </w:rPr>
              <w:t>5. Предложение за инвестиционна стратегия</w:t>
            </w:r>
            <w:r w:rsidR="003A69A7">
              <w:rPr>
                <w:noProof/>
                <w:webHidden/>
              </w:rPr>
              <w:tab/>
            </w:r>
            <w:r w:rsidR="008E6461">
              <w:rPr>
                <w:noProof/>
                <w:webHidden/>
              </w:rPr>
              <w:fldChar w:fldCharType="begin"/>
            </w:r>
            <w:r w:rsidR="003A69A7">
              <w:rPr>
                <w:noProof/>
                <w:webHidden/>
              </w:rPr>
              <w:instrText xml:space="preserve"> PAGEREF _Toc399494566 \h </w:instrText>
            </w:r>
            <w:r w:rsidR="008E6461">
              <w:rPr>
                <w:noProof/>
                <w:webHidden/>
              </w:rPr>
            </w:r>
            <w:r w:rsidR="008E6461">
              <w:rPr>
                <w:noProof/>
                <w:webHidden/>
              </w:rPr>
              <w:fldChar w:fldCharType="separate"/>
            </w:r>
            <w:r w:rsidR="0041519B">
              <w:rPr>
                <w:noProof/>
                <w:webHidden/>
              </w:rPr>
              <w:t>238</w:t>
            </w:r>
            <w:r w:rsidR="008E6461">
              <w:rPr>
                <w:noProof/>
                <w:webHidden/>
              </w:rPr>
              <w:fldChar w:fldCharType="end"/>
            </w:r>
          </w:hyperlink>
        </w:p>
        <w:p w:rsidR="003A69A7" w:rsidRDefault="00CD14DF">
          <w:pPr>
            <w:pStyle w:val="TOC2"/>
            <w:rPr>
              <w:rFonts w:eastAsiaTheme="minorEastAsia"/>
              <w:noProof/>
              <w:lang w:eastAsia="bg-BG"/>
            </w:rPr>
          </w:pPr>
          <w:hyperlink w:anchor="_Toc399494567" w:history="1">
            <w:r w:rsidR="003A69A7" w:rsidRPr="0028690A">
              <w:rPr>
                <w:rStyle w:val="Hyperlink"/>
                <w:rFonts w:cs="Times New Roman"/>
                <w:noProof/>
              </w:rPr>
              <w:t>5.1. Адекватни финансови инструменти, съгласно идентифицираните нужди в сектор околна среда за периода 2014-2020 г.</w:t>
            </w:r>
            <w:r w:rsidR="003A69A7">
              <w:rPr>
                <w:noProof/>
                <w:webHidden/>
              </w:rPr>
              <w:tab/>
            </w:r>
            <w:r w:rsidR="008E6461">
              <w:rPr>
                <w:noProof/>
                <w:webHidden/>
              </w:rPr>
              <w:fldChar w:fldCharType="begin"/>
            </w:r>
            <w:r w:rsidR="003A69A7">
              <w:rPr>
                <w:noProof/>
                <w:webHidden/>
              </w:rPr>
              <w:instrText xml:space="preserve"> PAGEREF _Toc399494567 \h </w:instrText>
            </w:r>
            <w:r w:rsidR="008E6461">
              <w:rPr>
                <w:noProof/>
                <w:webHidden/>
              </w:rPr>
            </w:r>
            <w:r w:rsidR="008E6461">
              <w:rPr>
                <w:noProof/>
                <w:webHidden/>
              </w:rPr>
              <w:fldChar w:fldCharType="separate"/>
            </w:r>
            <w:r w:rsidR="0041519B">
              <w:rPr>
                <w:noProof/>
                <w:webHidden/>
              </w:rPr>
              <w:t>239</w:t>
            </w:r>
            <w:r w:rsidR="008E6461">
              <w:rPr>
                <w:noProof/>
                <w:webHidden/>
              </w:rPr>
              <w:fldChar w:fldCharType="end"/>
            </w:r>
          </w:hyperlink>
        </w:p>
        <w:p w:rsidR="003A69A7" w:rsidRDefault="00CD14DF">
          <w:pPr>
            <w:pStyle w:val="TOC3"/>
            <w:rPr>
              <w:rFonts w:eastAsiaTheme="minorEastAsia"/>
              <w:lang w:eastAsia="bg-BG"/>
            </w:rPr>
          </w:pPr>
          <w:hyperlink w:anchor="_Toc399494568" w:history="1">
            <w:r w:rsidR="003A69A7" w:rsidRPr="0028690A">
              <w:rPr>
                <w:rStyle w:val="Hyperlink"/>
              </w:rPr>
              <w:t>5.1.1. Видове финансови инструменти по приоритетни оси</w:t>
            </w:r>
            <w:r w:rsidR="003A69A7">
              <w:rPr>
                <w:webHidden/>
              </w:rPr>
              <w:tab/>
            </w:r>
            <w:r w:rsidR="008E6461">
              <w:rPr>
                <w:webHidden/>
              </w:rPr>
              <w:fldChar w:fldCharType="begin"/>
            </w:r>
            <w:r w:rsidR="003A69A7">
              <w:rPr>
                <w:webHidden/>
              </w:rPr>
              <w:instrText xml:space="preserve"> PAGEREF _Toc399494568 \h </w:instrText>
            </w:r>
            <w:r w:rsidR="008E6461">
              <w:rPr>
                <w:webHidden/>
              </w:rPr>
            </w:r>
            <w:r w:rsidR="008E6461">
              <w:rPr>
                <w:webHidden/>
              </w:rPr>
              <w:fldChar w:fldCharType="separate"/>
            </w:r>
            <w:r w:rsidR="0041519B">
              <w:rPr>
                <w:webHidden/>
              </w:rPr>
              <w:t>243</w:t>
            </w:r>
            <w:r w:rsidR="008E6461">
              <w:rPr>
                <w:webHidden/>
              </w:rPr>
              <w:fldChar w:fldCharType="end"/>
            </w:r>
          </w:hyperlink>
        </w:p>
        <w:p w:rsidR="003A69A7" w:rsidRDefault="00CD14DF">
          <w:pPr>
            <w:pStyle w:val="TOC3"/>
            <w:rPr>
              <w:rFonts w:eastAsiaTheme="minorEastAsia"/>
              <w:lang w:eastAsia="bg-BG"/>
            </w:rPr>
          </w:pPr>
          <w:hyperlink w:anchor="_Toc399494569" w:history="1">
            <w:r w:rsidR="003A69A7" w:rsidRPr="0028690A">
              <w:rPr>
                <w:rStyle w:val="Hyperlink"/>
              </w:rPr>
              <w:t>5.1.2. Възможности за привличане на ресурс от международни финансови институции за финансиране на околна среда</w:t>
            </w:r>
            <w:r w:rsidR="003A69A7">
              <w:rPr>
                <w:webHidden/>
              </w:rPr>
              <w:tab/>
            </w:r>
            <w:r w:rsidR="008E6461">
              <w:rPr>
                <w:webHidden/>
              </w:rPr>
              <w:fldChar w:fldCharType="begin"/>
            </w:r>
            <w:r w:rsidR="003A69A7">
              <w:rPr>
                <w:webHidden/>
              </w:rPr>
              <w:instrText xml:space="preserve"> PAGEREF _Toc399494569 \h </w:instrText>
            </w:r>
            <w:r w:rsidR="008E6461">
              <w:rPr>
                <w:webHidden/>
              </w:rPr>
            </w:r>
            <w:r w:rsidR="008E6461">
              <w:rPr>
                <w:webHidden/>
              </w:rPr>
              <w:fldChar w:fldCharType="separate"/>
            </w:r>
            <w:r w:rsidR="0041519B">
              <w:rPr>
                <w:webHidden/>
              </w:rPr>
              <w:t>245</w:t>
            </w:r>
            <w:r w:rsidR="008E6461">
              <w:rPr>
                <w:webHidden/>
              </w:rPr>
              <w:fldChar w:fldCharType="end"/>
            </w:r>
          </w:hyperlink>
        </w:p>
        <w:p w:rsidR="003A69A7" w:rsidRDefault="00CD14DF">
          <w:pPr>
            <w:pStyle w:val="TOC2"/>
            <w:rPr>
              <w:rFonts w:eastAsiaTheme="minorEastAsia"/>
              <w:noProof/>
              <w:lang w:eastAsia="bg-BG"/>
            </w:rPr>
          </w:pPr>
          <w:hyperlink w:anchor="_Toc399494570" w:history="1">
            <w:r w:rsidR="003A69A7" w:rsidRPr="0028690A">
              <w:rPr>
                <w:rStyle w:val="Hyperlink"/>
                <w:rFonts w:cs="Times New Roman"/>
                <w:noProof/>
              </w:rPr>
              <w:t>5.2. Целева група на крайните получатели и възможности за комбиниране на финансови инструменти с други форми на подкрепа, в т.ч. техническа помощ и безвъзмездна финансова помощ.</w:t>
            </w:r>
            <w:r w:rsidR="003A69A7">
              <w:rPr>
                <w:noProof/>
                <w:webHidden/>
              </w:rPr>
              <w:tab/>
            </w:r>
            <w:r w:rsidR="008E6461">
              <w:rPr>
                <w:noProof/>
                <w:webHidden/>
              </w:rPr>
              <w:fldChar w:fldCharType="begin"/>
            </w:r>
            <w:r w:rsidR="003A69A7">
              <w:rPr>
                <w:noProof/>
                <w:webHidden/>
              </w:rPr>
              <w:instrText xml:space="preserve"> PAGEREF _Toc399494570 \h </w:instrText>
            </w:r>
            <w:r w:rsidR="008E6461">
              <w:rPr>
                <w:noProof/>
                <w:webHidden/>
              </w:rPr>
            </w:r>
            <w:r w:rsidR="008E6461">
              <w:rPr>
                <w:noProof/>
                <w:webHidden/>
              </w:rPr>
              <w:fldChar w:fldCharType="separate"/>
            </w:r>
            <w:r w:rsidR="0041519B">
              <w:rPr>
                <w:noProof/>
                <w:webHidden/>
              </w:rPr>
              <w:t>246</w:t>
            </w:r>
            <w:r w:rsidR="008E6461">
              <w:rPr>
                <w:noProof/>
                <w:webHidden/>
              </w:rPr>
              <w:fldChar w:fldCharType="end"/>
            </w:r>
          </w:hyperlink>
        </w:p>
        <w:p w:rsidR="003A69A7" w:rsidRDefault="00CD14DF">
          <w:pPr>
            <w:pStyle w:val="TOC2"/>
            <w:rPr>
              <w:rFonts w:eastAsiaTheme="minorEastAsia"/>
              <w:noProof/>
              <w:lang w:eastAsia="bg-BG"/>
            </w:rPr>
          </w:pPr>
          <w:hyperlink w:anchor="_Toc399494571" w:history="1">
            <w:r w:rsidR="003A69A7" w:rsidRPr="0028690A">
              <w:rPr>
                <w:rStyle w:val="Hyperlink"/>
                <w:rFonts w:cs="Times New Roman"/>
                <w:noProof/>
              </w:rPr>
              <w:t>5.3. Възможни пречки от институционален, административен, правен аспект и др., които могат да затруднят прилагането на финансови инструменти, както и набор от адекватни мерки за тяхното преодоляване.</w:t>
            </w:r>
            <w:r w:rsidR="003A69A7">
              <w:rPr>
                <w:noProof/>
                <w:webHidden/>
              </w:rPr>
              <w:tab/>
            </w:r>
            <w:r w:rsidR="008E6461">
              <w:rPr>
                <w:noProof/>
                <w:webHidden/>
              </w:rPr>
              <w:fldChar w:fldCharType="begin"/>
            </w:r>
            <w:r w:rsidR="003A69A7">
              <w:rPr>
                <w:noProof/>
                <w:webHidden/>
              </w:rPr>
              <w:instrText xml:space="preserve"> PAGEREF _Toc399494571 \h </w:instrText>
            </w:r>
            <w:r w:rsidR="008E6461">
              <w:rPr>
                <w:noProof/>
                <w:webHidden/>
              </w:rPr>
            </w:r>
            <w:r w:rsidR="008E6461">
              <w:rPr>
                <w:noProof/>
                <w:webHidden/>
              </w:rPr>
              <w:fldChar w:fldCharType="separate"/>
            </w:r>
            <w:r w:rsidR="0041519B">
              <w:rPr>
                <w:noProof/>
                <w:webHidden/>
              </w:rPr>
              <w:t>264</w:t>
            </w:r>
            <w:r w:rsidR="008E6461">
              <w:rPr>
                <w:noProof/>
                <w:webHidden/>
              </w:rPr>
              <w:fldChar w:fldCharType="end"/>
            </w:r>
          </w:hyperlink>
        </w:p>
        <w:p w:rsidR="003A69A7" w:rsidRDefault="00CD14DF">
          <w:pPr>
            <w:pStyle w:val="TOC2"/>
            <w:rPr>
              <w:rFonts w:eastAsiaTheme="minorEastAsia"/>
              <w:noProof/>
              <w:lang w:eastAsia="bg-BG"/>
            </w:rPr>
          </w:pPr>
          <w:hyperlink w:anchor="_Toc399494572" w:history="1">
            <w:r w:rsidR="003A69A7" w:rsidRPr="0028690A">
              <w:rPr>
                <w:rStyle w:val="Hyperlink"/>
                <w:rFonts w:cs="Times New Roman"/>
                <w:noProof/>
              </w:rPr>
              <w:t>5.4. Мерки, които трябва да се приложат, за да се гарантира, че прилаганите финансови инструменти се използват за покриване на специфични нужди на пазара ефикасно, в съответствие с целите на ОПОС и без да ограничават частното финансиране (Методология за оценка на всяка процедура/покана по програмата, за да не се допусне нарушаване на принципите за защита на конкуренцията).</w:t>
            </w:r>
            <w:r w:rsidR="003A69A7">
              <w:rPr>
                <w:noProof/>
                <w:webHidden/>
              </w:rPr>
              <w:tab/>
            </w:r>
            <w:r w:rsidR="008E6461">
              <w:rPr>
                <w:noProof/>
                <w:webHidden/>
              </w:rPr>
              <w:fldChar w:fldCharType="begin"/>
            </w:r>
            <w:r w:rsidR="003A69A7">
              <w:rPr>
                <w:noProof/>
                <w:webHidden/>
              </w:rPr>
              <w:instrText xml:space="preserve"> PAGEREF _Toc399494572 \h </w:instrText>
            </w:r>
            <w:r w:rsidR="008E6461">
              <w:rPr>
                <w:noProof/>
                <w:webHidden/>
              </w:rPr>
            </w:r>
            <w:r w:rsidR="008E6461">
              <w:rPr>
                <w:noProof/>
                <w:webHidden/>
              </w:rPr>
              <w:fldChar w:fldCharType="separate"/>
            </w:r>
            <w:r w:rsidR="0041519B">
              <w:rPr>
                <w:noProof/>
                <w:webHidden/>
              </w:rPr>
              <w:t>267</w:t>
            </w:r>
            <w:r w:rsidR="008E6461">
              <w:rPr>
                <w:noProof/>
                <w:webHidden/>
              </w:rPr>
              <w:fldChar w:fldCharType="end"/>
            </w:r>
          </w:hyperlink>
        </w:p>
        <w:p w:rsidR="003A69A7" w:rsidRDefault="00CD14DF">
          <w:pPr>
            <w:pStyle w:val="TOC2"/>
            <w:rPr>
              <w:rFonts w:eastAsiaTheme="minorEastAsia"/>
              <w:noProof/>
              <w:lang w:eastAsia="bg-BG"/>
            </w:rPr>
          </w:pPr>
          <w:hyperlink w:anchor="_Toc399494573" w:history="1">
            <w:r w:rsidR="003A69A7" w:rsidRPr="0028690A">
              <w:rPr>
                <w:rStyle w:val="Hyperlink"/>
                <w:rFonts w:cs="Times New Roman"/>
                <w:noProof/>
              </w:rPr>
              <w:t>5.5. Определяне на адекватна институционална рамка за управление на инструментите за финансов инженеринг в България в периода 2014-2020 г.</w:t>
            </w:r>
            <w:r w:rsidR="003A69A7">
              <w:rPr>
                <w:noProof/>
                <w:webHidden/>
              </w:rPr>
              <w:tab/>
            </w:r>
            <w:r w:rsidR="008E6461">
              <w:rPr>
                <w:noProof/>
                <w:webHidden/>
              </w:rPr>
              <w:fldChar w:fldCharType="begin"/>
            </w:r>
            <w:r w:rsidR="003A69A7">
              <w:rPr>
                <w:noProof/>
                <w:webHidden/>
              </w:rPr>
              <w:instrText xml:space="preserve"> PAGEREF _Toc399494573 \h </w:instrText>
            </w:r>
            <w:r w:rsidR="008E6461">
              <w:rPr>
                <w:noProof/>
                <w:webHidden/>
              </w:rPr>
            </w:r>
            <w:r w:rsidR="008E6461">
              <w:rPr>
                <w:noProof/>
                <w:webHidden/>
              </w:rPr>
              <w:fldChar w:fldCharType="separate"/>
            </w:r>
            <w:r w:rsidR="0041519B">
              <w:rPr>
                <w:noProof/>
                <w:webHidden/>
              </w:rPr>
              <w:t>270</w:t>
            </w:r>
            <w:r w:rsidR="008E6461">
              <w:rPr>
                <w:noProof/>
                <w:webHidden/>
              </w:rPr>
              <w:fldChar w:fldCharType="end"/>
            </w:r>
          </w:hyperlink>
        </w:p>
        <w:p w:rsidR="003A69A7" w:rsidRDefault="00CD14DF">
          <w:pPr>
            <w:pStyle w:val="TOC2"/>
            <w:rPr>
              <w:rFonts w:eastAsiaTheme="minorEastAsia"/>
              <w:noProof/>
              <w:lang w:eastAsia="bg-BG"/>
            </w:rPr>
          </w:pPr>
          <w:hyperlink w:anchor="_Toc399494574" w:history="1">
            <w:r w:rsidR="003A69A7" w:rsidRPr="0028690A">
              <w:rPr>
                <w:rStyle w:val="Hyperlink"/>
                <w:rFonts w:cs="Times New Roman"/>
                <w:noProof/>
              </w:rPr>
              <w:t>5.6. Структура и механизъм за управление на инструментите:</w:t>
            </w:r>
            <w:r w:rsidR="003A69A7">
              <w:rPr>
                <w:noProof/>
                <w:webHidden/>
              </w:rPr>
              <w:tab/>
            </w:r>
            <w:r w:rsidR="008E6461">
              <w:rPr>
                <w:noProof/>
                <w:webHidden/>
              </w:rPr>
              <w:fldChar w:fldCharType="begin"/>
            </w:r>
            <w:r w:rsidR="003A69A7">
              <w:rPr>
                <w:noProof/>
                <w:webHidden/>
              </w:rPr>
              <w:instrText xml:space="preserve"> PAGEREF _Toc399494574 \h </w:instrText>
            </w:r>
            <w:r w:rsidR="008E6461">
              <w:rPr>
                <w:noProof/>
                <w:webHidden/>
              </w:rPr>
            </w:r>
            <w:r w:rsidR="008E6461">
              <w:rPr>
                <w:noProof/>
                <w:webHidden/>
              </w:rPr>
              <w:fldChar w:fldCharType="separate"/>
            </w:r>
            <w:r w:rsidR="0041519B">
              <w:rPr>
                <w:noProof/>
                <w:webHidden/>
              </w:rPr>
              <w:t>274</w:t>
            </w:r>
            <w:r w:rsidR="008E6461">
              <w:rPr>
                <w:noProof/>
                <w:webHidden/>
              </w:rPr>
              <w:fldChar w:fldCharType="end"/>
            </w:r>
          </w:hyperlink>
        </w:p>
        <w:p w:rsidR="003A69A7" w:rsidRDefault="00CD14DF">
          <w:pPr>
            <w:pStyle w:val="TOC2"/>
            <w:rPr>
              <w:rFonts w:eastAsiaTheme="minorEastAsia"/>
              <w:noProof/>
              <w:lang w:eastAsia="bg-BG"/>
            </w:rPr>
          </w:pPr>
          <w:hyperlink w:anchor="_Toc399494575" w:history="1">
            <w:r w:rsidR="003A69A7" w:rsidRPr="0028690A">
              <w:rPr>
                <w:rStyle w:val="Hyperlink"/>
                <w:rFonts w:cs="Times New Roman"/>
                <w:noProof/>
              </w:rPr>
              <w:t>А. Надграждане на съществуващи или създаване на нови финансови инструменти.</w:t>
            </w:r>
            <w:r w:rsidR="003A69A7">
              <w:rPr>
                <w:noProof/>
                <w:webHidden/>
              </w:rPr>
              <w:tab/>
            </w:r>
            <w:r w:rsidR="008E6461">
              <w:rPr>
                <w:noProof/>
                <w:webHidden/>
              </w:rPr>
              <w:fldChar w:fldCharType="begin"/>
            </w:r>
            <w:r w:rsidR="003A69A7">
              <w:rPr>
                <w:noProof/>
                <w:webHidden/>
              </w:rPr>
              <w:instrText xml:space="preserve"> PAGEREF _Toc399494575 \h </w:instrText>
            </w:r>
            <w:r w:rsidR="008E6461">
              <w:rPr>
                <w:noProof/>
                <w:webHidden/>
              </w:rPr>
            </w:r>
            <w:r w:rsidR="008E6461">
              <w:rPr>
                <w:noProof/>
                <w:webHidden/>
              </w:rPr>
              <w:fldChar w:fldCharType="separate"/>
            </w:r>
            <w:r w:rsidR="0041519B">
              <w:rPr>
                <w:noProof/>
                <w:webHidden/>
              </w:rPr>
              <w:t>274</w:t>
            </w:r>
            <w:r w:rsidR="008E6461">
              <w:rPr>
                <w:noProof/>
                <w:webHidden/>
              </w:rPr>
              <w:fldChar w:fldCharType="end"/>
            </w:r>
          </w:hyperlink>
        </w:p>
        <w:p w:rsidR="003A69A7" w:rsidRDefault="00CD14DF">
          <w:pPr>
            <w:pStyle w:val="TOC2"/>
            <w:rPr>
              <w:rFonts w:eastAsiaTheme="minorEastAsia"/>
              <w:noProof/>
              <w:lang w:eastAsia="bg-BG"/>
            </w:rPr>
          </w:pPr>
          <w:hyperlink w:anchor="_Toc399494576" w:history="1">
            <w:r w:rsidR="003A69A7" w:rsidRPr="0028690A">
              <w:rPr>
                <w:rStyle w:val="Hyperlink"/>
                <w:rFonts w:cs="Times New Roman"/>
                <w:noProof/>
              </w:rPr>
              <w:t>Б. Съотношение между финансовите инструменти в случай на комбиниране/припокриване</w:t>
            </w:r>
            <w:r w:rsidR="003A69A7">
              <w:rPr>
                <w:noProof/>
                <w:webHidden/>
              </w:rPr>
              <w:tab/>
            </w:r>
            <w:r w:rsidR="008E6461">
              <w:rPr>
                <w:noProof/>
                <w:webHidden/>
              </w:rPr>
              <w:fldChar w:fldCharType="begin"/>
            </w:r>
            <w:r w:rsidR="003A69A7">
              <w:rPr>
                <w:noProof/>
                <w:webHidden/>
              </w:rPr>
              <w:instrText xml:space="preserve"> PAGEREF _Toc399494576 \h </w:instrText>
            </w:r>
            <w:r w:rsidR="008E6461">
              <w:rPr>
                <w:noProof/>
                <w:webHidden/>
              </w:rPr>
            </w:r>
            <w:r w:rsidR="008E6461">
              <w:rPr>
                <w:noProof/>
                <w:webHidden/>
              </w:rPr>
              <w:fldChar w:fldCharType="separate"/>
            </w:r>
            <w:r w:rsidR="0041519B">
              <w:rPr>
                <w:noProof/>
                <w:webHidden/>
              </w:rPr>
              <w:t>274</w:t>
            </w:r>
            <w:r w:rsidR="008E6461">
              <w:rPr>
                <w:noProof/>
                <w:webHidden/>
              </w:rPr>
              <w:fldChar w:fldCharType="end"/>
            </w:r>
          </w:hyperlink>
        </w:p>
        <w:p w:rsidR="003A69A7" w:rsidRDefault="00CD14DF">
          <w:pPr>
            <w:pStyle w:val="TOC2"/>
            <w:rPr>
              <w:rFonts w:eastAsiaTheme="minorEastAsia"/>
              <w:noProof/>
              <w:lang w:eastAsia="bg-BG"/>
            </w:rPr>
          </w:pPr>
          <w:hyperlink w:anchor="_Toc399494577" w:history="1">
            <w:r w:rsidR="003A69A7" w:rsidRPr="0028690A">
              <w:rPr>
                <w:rStyle w:val="Hyperlink"/>
                <w:rFonts w:cs="Times New Roman"/>
                <w:noProof/>
              </w:rPr>
              <w:t>В. Финансовите инструменти на ниво ЕС, национално или регионално ниво.</w:t>
            </w:r>
            <w:r w:rsidR="003A69A7">
              <w:rPr>
                <w:noProof/>
                <w:webHidden/>
              </w:rPr>
              <w:tab/>
            </w:r>
            <w:r w:rsidR="008E6461">
              <w:rPr>
                <w:noProof/>
                <w:webHidden/>
              </w:rPr>
              <w:fldChar w:fldCharType="begin"/>
            </w:r>
            <w:r w:rsidR="003A69A7">
              <w:rPr>
                <w:noProof/>
                <w:webHidden/>
              </w:rPr>
              <w:instrText xml:space="preserve"> PAGEREF _Toc399494577 \h </w:instrText>
            </w:r>
            <w:r w:rsidR="008E6461">
              <w:rPr>
                <w:noProof/>
                <w:webHidden/>
              </w:rPr>
            </w:r>
            <w:r w:rsidR="008E6461">
              <w:rPr>
                <w:noProof/>
                <w:webHidden/>
              </w:rPr>
              <w:fldChar w:fldCharType="separate"/>
            </w:r>
            <w:r w:rsidR="0041519B">
              <w:rPr>
                <w:noProof/>
                <w:webHidden/>
              </w:rPr>
              <w:t>275</w:t>
            </w:r>
            <w:r w:rsidR="008E6461">
              <w:rPr>
                <w:noProof/>
                <w:webHidden/>
              </w:rPr>
              <w:fldChar w:fldCharType="end"/>
            </w:r>
          </w:hyperlink>
        </w:p>
        <w:p w:rsidR="003A69A7" w:rsidRDefault="00CD14DF">
          <w:pPr>
            <w:pStyle w:val="TOC1"/>
            <w:tabs>
              <w:tab w:val="right" w:leader="dot" w:pos="9062"/>
            </w:tabs>
            <w:rPr>
              <w:rFonts w:eastAsiaTheme="minorEastAsia"/>
              <w:noProof/>
              <w:lang w:eastAsia="bg-BG"/>
            </w:rPr>
          </w:pPr>
          <w:hyperlink w:anchor="_Toc399494578" w:history="1">
            <w:r w:rsidR="003A69A7" w:rsidRPr="0028690A">
              <w:rPr>
                <w:rStyle w:val="Hyperlink"/>
                <w:rFonts w:cs="Times New Roman"/>
                <w:noProof/>
              </w:rPr>
              <w:t>6. Очаквани резултати</w:t>
            </w:r>
            <w:r w:rsidR="003A69A7">
              <w:rPr>
                <w:noProof/>
                <w:webHidden/>
              </w:rPr>
              <w:tab/>
            </w:r>
            <w:r w:rsidR="008E6461">
              <w:rPr>
                <w:noProof/>
                <w:webHidden/>
              </w:rPr>
              <w:fldChar w:fldCharType="begin"/>
            </w:r>
            <w:r w:rsidR="003A69A7">
              <w:rPr>
                <w:noProof/>
                <w:webHidden/>
              </w:rPr>
              <w:instrText xml:space="preserve"> PAGEREF _Toc399494578 \h </w:instrText>
            </w:r>
            <w:r w:rsidR="008E6461">
              <w:rPr>
                <w:noProof/>
                <w:webHidden/>
              </w:rPr>
            </w:r>
            <w:r w:rsidR="008E6461">
              <w:rPr>
                <w:noProof/>
                <w:webHidden/>
              </w:rPr>
              <w:fldChar w:fldCharType="separate"/>
            </w:r>
            <w:r w:rsidR="0041519B">
              <w:rPr>
                <w:noProof/>
                <w:webHidden/>
              </w:rPr>
              <w:t>276</w:t>
            </w:r>
            <w:r w:rsidR="008E6461">
              <w:rPr>
                <w:noProof/>
                <w:webHidden/>
              </w:rPr>
              <w:fldChar w:fldCharType="end"/>
            </w:r>
          </w:hyperlink>
        </w:p>
        <w:p w:rsidR="003A69A7" w:rsidRDefault="00CD14DF">
          <w:pPr>
            <w:pStyle w:val="TOC2"/>
            <w:rPr>
              <w:rFonts w:eastAsiaTheme="minorEastAsia"/>
              <w:noProof/>
              <w:lang w:eastAsia="bg-BG"/>
            </w:rPr>
          </w:pPr>
          <w:hyperlink w:anchor="_Toc399494579" w:history="1">
            <w:r w:rsidR="003A69A7" w:rsidRPr="0028690A">
              <w:rPr>
                <w:rStyle w:val="Hyperlink"/>
                <w:rFonts w:cs="Times New Roman"/>
                <w:noProof/>
              </w:rPr>
              <w:t>6.1. Анализ очакваните резултати и как предвидените инструменти ще доведат до постигане на специфичните цели и резултати на съответната приоритетна ос или на конкретната мярка</w:t>
            </w:r>
            <w:r w:rsidR="003A69A7">
              <w:rPr>
                <w:noProof/>
                <w:webHidden/>
              </w:rPr>
              <w:tab/>
            </w:r>
            <w:r w:rsidR="008E6461">
              <w:rPr>
                <w:noProof/>
                <w:webHidden/>
              </w:rPr>
              <w:fldChar w:fldCharType="begin"/>
            </w:r>
            <w:r w:rsidR="003A69A7">
              <w:rPr>
                <w:noProof/>
                <w:webHidden/>
              </w:rPr>
              <w:instrText xml:space="preserve"> PAGEREF _Toc399494579 \h </w:instrText>
            </w:r>
            <w:r w:rsidR="008E6461">
              <w:rPr>
                <w:noProof/>
                <w:webHidden/>
              </w:rPr>
            </w:r>
            <w:r w:rsidR="008E6461">
              <w:rPr>
                <w:noProof/>
                <w:webHidden/>
              </w:rPr>
              <w:fldChar w:fldCharType="separate"/>
            </w:r>
            <w:r w:rsidR="0041519B">
              <w:rPr>
                <w:noProof/>
                <w:webHidden/>
              </w:rPr>
              <w:t>278</w:t>
            </w:r>
            <w:r w:rsidR="008E6461">
              <w:rPr>
                <w:noProof/>
                <w:webHidden/>
              </w:rPr>
              <w:fldChar w:fldCharType="end"/>
            </w:r>
          </w:hyperlink>
        </w:p>
        <w:p w:rsidR="003A69A7" w:rsidRDefault="00CD14DF">
          <w:pPr>
            <w:pStyle w:val="TOC2"/>
            <w:rPr>
              <w:rFonts w:eastAsiaTheme="minorEastAsia"/>
              <w:noProof/>
              <w:lang w:eastAsia="bg-BG"/>
            </w:rPr>
          </w:pPr>
          <w:hyperlink w:anchor="_Toc399494580" w:history="1">
            <w:r w:rsidR="003A69A7" w:rsidRPr="0028690A">
              <w:rPr>
                <w:rStyle w:val="Hyperlink"/>
                <w:rFonts w:cs="Times New Roman"/>
                <w:noProof/>
              </w:rPr>
              <w:t>6.2. Анализ на инвестиционните приоритети и съответстващите им специфични цели (по смисъла на чл. 87 от проекта на регламент) от съответната приоритетна ос/приоритетни оси, които ще бъдат изпълнени чрез финансовите инструменти</w:t>
            </w:r>
            <w:r w:rsidR="003A69A7">
              <w:rPr>
                <w:noProof/>
                <w:webHidden/>
              </w:rPr>
              <w:tab/>
            </w:r>
            <w:r w:rsidR="008E6461">
              <w:rPr>
                <w:noProof/>
                <w:webHidden/>
              </w:rPr>
              <w:fldChar w:fldCharType="begin"/>
            </w:r>
            <w:r w:rsidR="003A69A7">
              <w:rPr>
                <w:noProof/>
                <w:webHidden/>
              </w:rPr>
              <w:instrText xml:space="preserve"> PAGEREF _Toc399494580 \h </w:instrText>
            </w:r>
            <w:r w:rsidR="008E6461">
              <w:rPr>
                <w:noProof/>
                <w:webHidden/>
              </w:rPr>
            </w:r>
            <w:r w:rsidR="008E6461">
              <w:rPr>
                <w:noProof/>
                <w:webHidden/>
              </w:rPr>
              <w:fldChar w:fldCharType="separate"/>
            </w:r>
            <w:r w:rsidR="0041519B">
              <w:rPr>
                <w:noProof/>
                <w:webHidden/>
              </w:rPr>
              <w:t>283</w:t>
            </w:r>
            <w:r w:rsidR="008E6461">
              <w:rPr>
                <w:noProof/>
                <w:webHidden/>
              </w:rPr>
              <w:fldChar w:fldCharType="end"/>
            </w:r>
          </w:hyperlink>
        </w:p>
        <w:p w:rsidR="003A69A7" w:rsidRDefault="00CD14DF">
          <w:pPr>
            <w:pStyle w:val="TOC2"/>
            <w:rPr>
              <w:rFonts w:eastAsiaTheme="minorEastAsia"/>
              <w:noProof/>
              <w:lang w:eastAsia="bg-BG"/>
            </w:rPr>
          </w:pPr>
          <w:hyperlink w:anchor="_Toc399494581" w:history="1">
            <w:r w:rsidR="003A69A7" w:rsidRPr="0028690A">
              <w:rPr>
                <w:rStyle w:val="Hyperlink"/>
                <w:rFonts w:cs="Times New Roman"/>
                <w:noProof/>
              </w:rPr>
              <w:t>6.3. Определяне на индикатори за измерване на постигнатите цели и резултати</w:t>
            </w:r>
            <w:r w:rsidR="003A69A7">
              <w:rPr>
                <w:noProof/>
                <w:webHidden/>
              </w:rPr>
              <w:tab/>
            </w:r>
            <w:r w:rsidR="008E6461">
              <w:rPr>
                <w:noProof/>
                <w:webHidden/>
              </w:rPr>
              <w:fldChar w:fldCharType="begin"/>
            </w:r>
            <w:r w:rsidR="003A69A7">
              <w:rPr>
                <w:noProof/>
                <w:webHidden/>
              </w:rPr>
              <w:instrText xml:space="preserve"> PAGEREF _Toc399494581 \h </w:instrText>
            </w:r>
            <w:r w:rsidR="008E6461">
              <w:rPr>
                <w:noProof/>
                <w:webHidden/>
              </w:rPr>
            </w:r>
            <w:r w:rsidR="008E6461">
              <w:rPr>
                <w:noProof/>
                <w:webHidden/>
              </w:rPr>
              <w:fldChar w:fldCharType="separate"/>
            </w:r>
            <w:r w:rsidR="0041519B">
              <w:rPr>
                <w:noProof/>
                <w:webHidden/>
              </w:rPr>
              <w:t>286</w:t>
            </w:r>
            <w:r w:rsidR="008E6461">
              <w:rPr>
                <w:noProof/>
                <w:webHidden/>
              </w:rPr>
              <w:fldChar w:fldCharType="end"/>
            </w:r>
          </w:hyperlink>
        </w:p>
        <w:p w:rsidR="003A69A7" w:rsidRDefault="00CD14DF">
          <w:pPr>
            <w:pStyle w:val="TOC1"/>
            <w:tabs>
              <w:tab w:val="right" w:leader="dot" w:pos="9062"/>
            </w:tabs>
            <w:rPr>
              <w:rFonts w:eastAsiaTheme="minorEastAsia"/>
              <w:noProof/>
              <w:lang w:eastAsia="bg-BG"/>
            </w:rPr>
          </w:pPr>
          <w:hyperlink w:anchor="_Toc399494582" w:history="1">
            <w:r w:rsidR="003A69A7" w:rsidRPr="0028690A">
              <w:rPr>
                <w:rStyle w:val="Hyperlink"/>
                <w:rFonts w:cs="Times New Roman"/>
                <w:noProof/>
              </w:rPr>
              <w:t>7. Допускания, позволяващи преразглеждане на предварителната оценка.</w:t>
            </w:r>
            <w:r w:rsidR="003A69A7">
              <w:rPr>
                <w:noProof/>
                <w:webHidden/>
              </w:rPr>
              <w:tab/>
            </w:r>
            <w:r w:rsidR="008E6461">
              <w:rPr>
                <w:noProof/>
                <w:webHidden/>
              </w:rPr>
              <w:fldChar w:fldCharType="begin"/>
            </w:r>
            <w:r w:rsidR="003A69A7">
              <w:rPr>
                <w:noProof/>
                <w:webHidden/>
              </w:rPr>
              <w:instrText xml:space="preserve"> PAGEREF _Toc399494582 \h </w:instrText>
            </w:r>
            <w:r w:rsidR="008E6461">
              <w:rPr>
                <w:noProof/>
                <w:webHidden/>
              </w:rPr>
            </w:r>
            <w:r w:rsidR="008E6461">
              <w:rPr>
                <w:noProof/>
                <w:webHidden/>
              </w:rPr>
              <w:fldChar w:fldCharType="separate"/>
            </w:r>
            <w:r w:rsidR="0041519B">
              <w:rPr>
                <w:noProof/>
                <w:webHidden/>
              </w:rPr>
              <w:t>289</w:t>
            </w:r>
            <w:r w:rsidR="008E6461">
              <w:rPr>
                <w:noProof/>
                <w:webHidden/>
              </w:rPr>
              <w:fldChar w:fldCharType="end"/>
            </w:r>
          </w:hyperlink>
        </w:p>
        <w:p w:rsidR="003A69A7" w:rsidRDefault="00CD14DF">
          <w:pPr>
            <w:pStyle w:val="TOC2"/>
            <w:rPr>
              <w:rFonts w:eastAsiaTheme="minorEastAsia"/>
              <w:noProof/>
              <w:lang w:eastAsia="bg-BG"/>
            </w:rPr>
          </w:pPr>
          <w:hyperlink w:anchor="_Toc399494583" w:history="1">
            <w:r w:rsidR="003A69A7" w:rsidRPr="0028690A">
              <w:rPr>
                <w:rStyle w:val="Hyperlink"/>
                <w:rFonts w:cs="Times New Roman"/>
                <w:noProof/>
              </w:rPr>
              <w:t>7.1. Оценка на риска</w:t>
            </w:r>
            <w:r w:rsidR="003A69A7">
              <w:rPr>
                <w:noProof/>
                <w:webHidden/>
              </w:rPr>
              <w:tab/>
            </w:r>
            <w:r w:rsidR="008E6461">
              <w:rPr>
                <w:noProof/>
                <w:webHidden/>
              </w:rPr>
              <w:fldChar w:fldCharType="begin"/>
            </w:r>
            <w:r w:rsidR="003A69A7">
              <w:rPr>
                <w:noProof/>
                <w:webHidden/>
              </w:rPr>
              <w:instrText xml:space="preserve"> PAGEREF _Toc399494583 \h </w:instrText>
            </w:r>
            <w:r w:rsidR="008E6461">
              <w:rPr>
                <w:noProof/>
                <w:webHidden/>
              </w:rPr>
            </w:r>
            <w:r w:rsidR="008E6461">
              <w:rPr>
                <w:noProof/>
                <w:webHidden/>
              </w:rPr>
              <w:fldChar w:fldCharType="separate"/>
            </w:r>
            <w:r w:rsidR="0041519B">
              <w:rPr>
                <w:noProof/>
                <w:webHidden/>
              </w:rPr>
              <w:t>289</w:t>
            </w:r>
            <w:r w:rsidR="008E6461">
              <w:rPr>
                <w:noProof/>
                <w:webHidden/>
              </w:rPr>
              <w:fldChar w:fldCharType="end"/>
            </w:r>
          </w:hyperlink>
        </w:p>
        <w:p w:rsidR="003A69A7" w:rsidRDefault="00CD14DF">
          <w:pPr>
            <w:pStyle w:val="TOC2"/>
            <w:rPr>
              <w:rFonts w:eastAsiaTheme="minorEastAsia"/>
              <w:noProof/>
              <w:lang w:eastAsia="bg-BG"/>
            </w:rPr>
          </w:pPr>
          <w:hyperlink w:anchor="_Toc399494584" w:history="1">
            <w:r w:rsidR="003A69A7" w:rsidRPr="0028690A">
              <w:rPr>
                <w:rStyle w:val="Hyperlink"/>
                <w:rFonts w:cs="Times New Roman"/>
                <w:noProof/>
              </w:rPr>
              <w:t>7.2. График (времеви период), на който ще се актуализира оценката относно постигане на специфичните цели и резултати за съответната приоритетна ос или за конкретната мярка.</w:t>
            </w:r>
            <w:r w:rsidR="003A69A7">
              <w:rPr>
                <w:noProof/>
                <w:webHidden/>
              </w:rPr>
              <w:tab/>
            </w:r>
            <w:r w:rsidR="008E6461">
              <w:rPr>
                <w:noProof/>
                <w:webHidden/>
              </w:rPr>
              <w:fldChar w:fldCharType="begin"/>
            </w:r>
            <w:r w:rsidR="003A69A7">
              <w:rPr>
                <w:noProof/>
                <w:webHidden/>
              </w:rPr>
              <w:instrText xml:space="preserve"> PAGEREF _Toc399494584 \h </w:instrText>
            </w:r>
            <w:r w:rsidR="008E6461">
              <w:rPr>
                <w:noProof/>
                <w:webHidden/>
              </w:rPr>
            </w:r>
            <w:r w:rsidR="008E6461">
              <w:rPr>
                <w:noProof/>
                <w:webHidden/>
              </w:rPr>
              <w:fldChar w:fldCharType="separate"/>
            </w:r>
            <w:r w:rsidR="0041519B">
              <w:rPr>
                <w:noProof/>
                <w:webHidden/>
              </w:rPr>
              <w:t>293</w:t>
            </w:r>
            <w:r w:rsidR="008E6461">
              <w:rPr>
                <w:noProof/>
                <w:webHidden/>
              </w:rPr>
              <w:fldChar w:fldCharType="end"/>
            </w:r>
          </w:hyperlink>
        </w:p>
        <w:p w:rsidR="003A69A7" w:rsidRDefault="00CD14DF">
          <w:pPr>
            <w:pStyle w:val="TOC1"/>
            <w:tabs>
              <w:tab w:val="right" w:leader="dot" w:pos="9062"/>
            </w:tabs>
            <w:rPr>
              <w:rFonts w:eastAsiaTheme="minorEastAsia"/>
              <w:noProof/>
              <w:lang w:eastAsia="bg-BG"/>
            </w:rPr>
          </w:pPr>
          <w:hyperlink w:anchor="_Toc399494585" w:history="1">
            <w:r w:rsidR="003A69A7" w:rsidRPr="0028690A">
              <w:rPr>
                <w:rStyle w:val="Hyperlink"/>
                <w:noProof/>
              </w:rPr>
              <w:t>Списък на приложенията</w:t>
            </w:r>
            <w:r w:rsidR="003A69A7">
              <w:rPr>
                <w:noProof/>
                <w:webHidden/>
              </w:rPr>
              <w:tab/>
            </w:r>
            <w:r w:rsidR="008E6461">
              <w:rPr>
                <w:noProof/>
                <w:webHidden/>
              </w:rPr>
              <w:fldChar w:fldCharType="begin"/>
            </w:r>
            <w:r w:rsidR="003A69A7">
              <w:rPr>
                <w:noProof/>
                <w:webHidden/>
              </w:rPr>
              <w:instrText xml:space="preserve"> PAGEREF _Toc399494585 \h </w:instrText>
            </w:r>
            <w:r w:rsidR="008E6461">
              <w:rPr>
                <w:noProof/>
                <w:webHidden/>
              </w:rPr>
            </w:r>
            <w:r w:rsidR="008E6461">
              <w:rPr>
                <w:noProof/>
                <w:webHidden/>
              </w:rPr>
              <w:fldChar w:fldCharType="separate"/>
            </w:r>
            <w:r w:rsidR="0041519B">
              <w:rPr>
                <w:noProof/>
                <w:webHidden/>
              </w:rPr>
              <w:t>295</w:t>
            </w:r>
            <w:r w:rsidR="008E6461">
              <w:rPr>
                <w:noProof/>
                <w:webHidden/>
              </w:rPr>
              <w:fldChar w:fldCharType="end"/>
            </w:r>
          </w:hyperlink>
        </w:p>
        <w:p w:rsidR="00307756" w:rsidRPr="00C370EC" w:rsidRDefault="008E6461">
          <w:pPr>
            <w:rPr>
              <w:rFonts w:cs="Times New Roman"/>
            </w:rPr>
          </w:pPr>
          <w:r w:rsidRPr="00C370EC">
            <w:rPr>
              <w:rFonts w:cs="Times New Roman"/>
              <w:b/>
              <w:bCs/>
              <w:noProof/>
            </w:rPr>
            <w:fldChar w:fldCharType="end"/>
          </w:r>
        </w:p>
      </w:sdtContent>
    </w:sdt>
    <w:p w:rsidR="00D50123" w:rsidRDefault="00D50123">
      <w:pPr>
        <w:pStyle w:val="TableofFigures"/>
        <w:tabs>
          <w:tab w:val="right" w:leader="dot" w:pos="9062"/>
        </w:tabs>
        <w:rPr>
          <w:rFonts w:cs="Times New Roman"/>
          <w:b/>
        </w:rPr>
        <w:sectPr w:rsidR="00D50123" w:rsidSect="00D50123">
          <w:headerReference w:type="default" r:id="rId8"/>
          <w:footerReference w:type="even" r:id="rId9"/>
          <w:footerReference w:type="default" r:id="rId10"/>
          <w:headerReference w:type="first" r:id="rId11"/>
          <w:footerReference w:type="first" r:id="rId12"/>
          <w:pgSz w:w="11906" w:h="16838"/>
          <w:pgMar w:top="709" w:right="1417" w:bottom="851" w:left="1417" w:header="284" w:footer="247" w:gutter="0"/>
          <w:cols w:space="708"/>
          <w:titlePg/>
          <w:docGrid w:linePitch="360"/>
        </w:sectPr>
      </w:pPr>
      <w:bookmarkStart w:id="0" w:name="_GoBack"/>
      <w:bookmarkEnd w:id="0"/>
    </w:p>
    <w:p w:rsidR="00EB6C68" w:rsidRDefault="00EB6C68">
      <w:pPr>
        <w:pStyle w:val="TableofFigures"/>
        <w:tabs>
          <w:tab w:val="right" w:leader="dot" w:pos="9062"/>
        </w:tabs>
        <w:rPr>
          <w:rFonts w:cs="Times New Roman"/>
          <w:b/>
        </w:rPr>
      </w:pPr>
    </w:p>
    <w:p w:rsidR="00292CC6" w:rsidRDefault="0088178F" w:rsidP="00292CC6">
      <w:pPr>
        <w:pStyle w:val="TableofFigures"/>
        <w:tabs>
          <w:tab w:val="right" w:leader="dot" w:pos="9062"/>
        </w:tabs>
        <w:rPr>
          <w:rFonts w:cs="Times New Roman"/>
          <w:b/>
          <w:color w:val="2E74B5" w:themeColor="accent1" w:themeShade="BF"/>
        </w:rPr>
      </w:pPr>
      <w:r w:rsidRPr="0088178F">
        <w:rPr>
          <w:rFonts w:cs="Times New Roman"/>
          <w:b/>
          <w:color w:val="2E74B5" w:themeColor="accent1" w:themeShade="BF"/>
        </w:rPr>
        <w:t>Списък на</w:t>
      </w:r>
      <w:r w:rsidR="00EB6C68" w:rsidRPr="0088178F">
        <w:rPr>
          <w:rFonts w:cs="Times New Roman"/>
          <w:b/>
          <w:color w:val="2E74B5" w:themeColor="accent1" w:themeShade="BF"/>
        </w:rPr>
        <w:t xml:space="preserve"> фигури</w:t>
      </w:r>
      <w:r w:rsidRPr="0088178F">
        <w:rPr>
          <w:rFonts w:cs="Times New Roman"/>
          <w:b/>
          <w:color w:val="2E74B5" w:themeColor="accent1" w:themeShade="BF"/>
        </w:rPr>
        <w:t>те</w:t>
      </w:r>
    </w:p>
    <w:p w:rsidR="003A69A7" w:rsidRPr="0088178F" w:rsidRDefault="008E6461" w:rsidP="00292CC6">
      <w:pPr>
        <w:pStyle w:val="TableofFigures"/>
        <w:tabs>
          <w:tab w:val="right" w:leader="dot" w:pos="9062"/>
        </w:tabs>
        <w:rPr>
          <w:rFonts w:eastAsiaTheme="minorEastAsia"/>
          <w:b/>
          <w:noProof/>
          <w:lang w:eastAsia="bg-BG"/>
        </w:rPr>
      </w:pPr>
      <w:r w:rsidRPr="0088178F">
        <w:rPr>
          <w:rFonts w:cs="Times New Roman"/>
          <w:b/>
        </w:rPr>
        <w:fldChar w:fldCharType="begin"/>
      </w:r>
      <w:r w:rsidR="00EB6C68" w:rsidRPr="0088178F">
        <w:rPr>
          <w:rFonts w:cs="Times New Roman"/>
          <w:b/>
        </w:rPr>
        <w:instrText xml:space="preserve"> TOC \h \z \c "Фигура" </w:instrText>
      </w:r>
      <w:r w:rsidRPr="0088178F">
        <w:rPr>
          <w:rFonts w:cs="Times New Roman"/>
          <w:b/>
        </w:rPr>
        <w:fldChar w:fldCharType="separate"/>
      </w:r>
      <w:hyperlink w:anchor="_Toc399494586" w:history="1">
        <w:r w:rsidR="003A69A7" w:rsidRPr="0088178F">
          <w:rPr>
            <w:rStyle w:val="Hyperlink"/>
            <w:rFonts w:cstheme="minorHAnsi"/>
            <w:b/>
            <w:noProof/>
          </w:rPr>
          <w:t>Фигура 1: Териториално разпределение на ВиК операторите</w:t>
        </w:r>
        <w:r w:rsidR="003A69A7" w:rsidRPr="0088178F">
          <w:rPr>
            <w:b/>
            <w:noProof/>
            <w:webHidden/>
          </w:rPr>
          <w:tab/>
        </w:r>
        <w:r w:rsidRPr="0088178F">
          <w:rPr>
            <w:b/>
            <w:noProof/>
            <w:webHidden/>
          </w:rPr>
          <w:fldChar w:fldCharType="begin"/>
        </w:r>
        <w:r w:rsidR="003A69A7" w:rsidRPr="0088178F">
          <w:rPr>
            <w:b/>
            <w:noProof/>
            <w:webHidden/>
          </w:rPr>
          <w:instrText xml:space="preserve"> PAGEREF _Toc399494586 \h </w:instrText>
        </w:r>
        <w:r w:rsidRPr="0088178F">
          <w:rPr>
            <w:b/>
            <w:noProof/>
            <w:webHidden/>
          </w:rPr>
        </w:r>
        <w:r w:rsidRPr="0088178F">
          <w:rPr>
            <w:b/>
            <w:noProof/>
            <w:webHidden/>
          </w:rPr>
          <w:fldChar w:fldCharType="separate"/>
        </w:r>
        <w:r w:rsidR="0041519B">
          <w:rPr>
            <w:b/>
            <w:noProof/>
            <w:webHidden/>
          </w:rPr>
          <w:t>19</w:t>
        </w:r>
        <w:r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87" w:history="1">
        <w:r w:rsidR="003A69A7" w:rsidRPr="0088178F">
          <w:rPr>
            <w:rStyle w:val="Hyperlink"/>
            <w:rFonts w:cstheme="minorHAnsi"/>
            <w:b/>
            <w:noProof/>
          </w:rPr>
          <w:t>Фигура 2: Причини за ограничаване на инвестициите във ВиК сектора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_Toc399494587 \h </w:instrText>
        </w:r>
        <w:r w:rsidR="008E6461" w:rsidRPr="0088178F">
          <w:rPr>
            <w:b/>
            <w:noProof/>
            <w:webHidden/>
          </w:rPr>
        </w:r>
        <w:r w:rsidR="008E6461" w:rsidRPr="0088178F">
          <w:rPr>
            <w:b/>
            <w:noProof/>
            <w:webHidden/>
          </w:rPr>
          <w:fldChar w:fldCharType="separate"/>
        </w:r>
        <w:r w:rsidR="0041519B">
          <w:rPr>
            <w:b/>
            <w:noProof/>
            <w:webHidden/>
          </w:rPr>
          <w:t>22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88" w:history="1">
        <w:r w:rsidR="003A69A7" w:rsidRPr="0088178F">
          <w:rPr>
            <w:rStyle w:val="Hyperlink"/>
            <w:rFonts w:cstheme="minorHAnsi"/>
            <w:b/>
            <w:noProof/>
          </w:rPr>
          <w:t>Фигура 3: Ще доведе ли либерализацията на цените във ВиК сектора до увеличаване на инвестициите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_Toc399494588 \h </w:instrText>
        </w:r>
        <w:r w:rsidR="008E6461" w:rsidRPr="0088178F">
          <w:rPr>
            <w:b/>
            <w:noProof/>
            <w:webHidden/>
          </w:rPr>
        </w:r>
        <w:r w:rsidR="008E6461" w:rsidRPr="0088178F">
          <w:rPr>
            <w:b/>
            <w:noProof/>
            <w:webHidden/>
          </w:rPr>
          <w:fldChar w:fldCharType="separate"/>
        </w:r>
        <w:r w:rsidR="0041519B">
          <w:rPr>
            <w:b/>
            <w:noProof/>
            <w:webHidden/>
          </w:rPr>
          <w:t>24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89" w:history="1">
        <w:r w:rsidR="003A69A7" w:rsidRPr="0088178F">
          <w:rPr>
            <w:rStyle w:val="Hyperlink"/>
            <w:rFonts w:cstheme="minorHAnsi"/>
            <w:b/>
            <w:noProof/>
          </w:rPr>
          <w:t>Фигура 4: Финансов ресурс по ОПОС 2007-2013 г.</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_Toc399494589 \h </w:instrText>
        </w:r>
        <w:r w:rsidR="008E6461" w:rsidRPr="0088178F">
          <w:rPr>
            <w:b/>
            <w:noProof/>
            <w:webHidden/>
          </w:rPr>
        </w:r>
        <w:r w:rsidR="008E6461" w:rsidRPr="0088178F">
          <w:rPr>
            <w:b/>
            <w:noProof/>
            <w:webHidden/>
          </w:rPr>
          <w:fldChar w:fldCharType="separate"/>
        </w:r>
        <w:r w:rsidR="0041519B">
          <w:rPr>
            <w:b/>
            <w:noProof/>
            <w:webHidden/>
          </w:rPr>
          <w:t>39</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0" w:history="1">
        <w:r w:rsidR="003A69A7" w:rsidRPr="0088178F">
          <w:rPr>
            <w:rStyle w:val="Hyperlink"/>
            <w:rFonts w:cstheme="minorHAnsi"/>
            <w:b/>
            <w:noProof/>
          </w:rPr>
          <w:t>Фигура 5: Инвестиционен недостиг във ВиК сектора 2014-2020 г.</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_Toc399494590 \h </w:instrText>
        </w:r>
        <w:r w:rsidR="008E6461" w:rsidRPr="0088178F">
          <w:rPr>
            <w:b/>
            <w:noProof/>
            <w:webHidden/>
          </w:rPr>
        </w:r>
        <w:r w:rsidR="008E6461" w:rsidRPr="0088178F">
          <w:rPr>
            <w:b/>
            <w:noProof/>
            <w:webHidden/>
          </w:rPr>
          <w:fldChar w:fldCharType="separate"/>
        </w:r>
        <w:r w:rsidR="0041519B">
          <w:rPr>
            <w:b/>
            <w:noProof/>
            <w:webHidden/>
          </w:rPr>
          <w:t>40</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1" w:history="1">
        <w:r w:rsidR="003A69A7" w:rsidRPr="0088178F">
          <w:rPr>
            <w:rStyle w:val="Hyperlink"/>
            <w:rFonts w:cstheme="minorHAnsi"/>
            <w:b/>
            <w:noProof/>
          </w:rPr>
          <w:t xml:space="preserve">Фигура 6: </w:t>
        </w:r>
        <w:r w:rsidR="003A69A7" w:rsidRPr="0088178F">
          <w:rPr>
            <w:rStyle w:val="Hyperlink"/>
            <w:rFonts w:eastAsia="Times New Roman" w:cs="Arial"/>
            <w:b/>
            <w:bCs/>
            <w:noProof/>
            <w:lang w:eastAsia="bg-BG"/>
          </w:rPr>
          <w:t>Бихте ли ползвали финансови инструменти за реализация</w:t>
        </w:r>
        <w:r w:rsidR="003A69A7" w:rsidRPr="0088178F">
          <w:rPr>
            <w:rStyle w:val="Hyperlink"/>
            <w:rFonts w:eastAsia="Times New Roman" w:cs="Arial"/>
            <w:b/>
            <w:bCs/>
            <w:noProof/>
            <w:lang w:val="en-US" w:eastAsia="bg-BG"/>
          </w:rPr>
          <w:t xml:space="preserve"> </w:t>
        </w:r>
        <w:r w:rsidR="003A69A7" w:rsidRPr="0088178F">
          <w:rPr>
            <w:rStyle w:val="Hyperlink"/>
            <w:rFonts w:eastAsia="Times New Roman" w:cs="Arial"/>
            <w:b/>
            <w:bCs/>
            <w:noProof/>
            <w:lang w:eastAsia="bg-BG"/>
          </w:rPr>
          <w:t>на инвестиции?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_Toc399494591 \h </w:instrText>
        </w:r>
        <w:r w:rsidR="008E6461" w:rsidRPr="0088178F">
          <w:rPr>
            <w:b/>
            <w:noProof/>
            <w:webHidden/>
          </w:rPr>
        </w:r>
        <w:r w:rsidR="008E6461" w:rsidRPr="0088178F">
          <w:rPr>
            <w:b/>
            <w:noProof/>
            <w:webHidden/>
          </w:rPr>
          <w:fldChar w:fldCharType="separate"/>
        </w:r>
        <w:r w:rsidR="0041519B">
          <w:rPr>
            <w:b/>
            <w:noProof/>
            <w:webHidden/>
          </w:rPr>
          <w:t>45</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2" w:history="1">
        <w:r w:rsidR="003A69A7" w:rsidRPr="0088178F">
          <w:rPr>
            <w:rStyle w:val="Hyperlink"/>
            <w:rFonts w:cstheme="minorHAnsi"/>
            <w:b/>
            <w:noProof/>
          </w:rPr>
          <w:t xml:space="preserve">Фигура 7: </w:t>
        </w:r>
        <w:r w:rsidR="003A69A7" w:rsidRPr="0088178F">
          <w:rPr>
            <w:rStyle w:val="Hyperlink"/>
            <w:rFonts w:eastAsia="Times New Roman" w:cs="Arial"/>
            <w:b/>
            <w:noProof/>
            <w:lang w:eastAsia="bg-BG"/>
          </w:rPr>
          <w:t xml:space="preserve"> </w:t>
        </w:r>
        <w:r w:rsidR="003A69A7" w:rsidRPr="0088178F">
          <w:rPr>
            <w:rStyle w:val="Hyperlink"/>
            <w:rFonts w:eastAsia="Times New Roman" w:cs="Arial"/>
            <w:b/>
            <w:bCs/>
            <w:noProof/>
            <w:lang w:eastAsia="bg-BG"/>
          </w:rPr>
          <w:t>Необходима ли ви е техническа помощ за управление на финансови инструменти?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_Toc399494592 \h </w:instrText>
        </w:r>
        <w:r w:rsidR="008E6461" w:rsidRPr="0088178F">
          <w:rPr>
            <w:b/>
            <w:noProof/>
            <w:webHidden/>
          </w:rPr>
        </w:r>
        <w:r w:rsidR="008E6461" w:rsidRPr="0088178F">
          <w:rPr>
            <w:b/>
            <w:noProof/>
            <w:webHidden/>
          </w:rPr>
          <w:fldChar w:fldCharType="separate"/>
        </w:r>
        <w:r w:rsidR="0041519B">
          <w:rPr>
            <w:b/>
            <w:noProof/>
            <w:webHidden/>
          </w:rPr>
          <w:t>46</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3" w:history="1">
        <w:r w:rsidR="003A69A7" w:rsidRPr="0088178F">
          <w:rPr>
            <w:rStyle w:val="Hyperlink"/>
            <w:rFonts w:cstheme="minorHAnsi"/>
            <w:b/>
            <w:noProof/>
          </w:rPr>
          <w:t>Фигура 8: Неоптимална инвестиционна ситуация във ВиК сектора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_Toc399494593 \h </w:instrText>
        </w:r>
        <w:r w:rsidR="008E6461" w:rsidRPr="0088178F">
          <w:rPr>
            <w:b/>
            <w:noProof/>
            <w:webHidden/>
          </w:rPr>
        </w:r>
        <w:r w:rsidR="008E6461" w:rsidRPr="0088178F">
          <w:rPr>
            <w:b/>
            <w:noProof/>
            <w:webHidden/>
          </w:rPr>
          <w:fldChar w:fldCharType="separate"/>
        </w:r>
        <w:r w:rsidR="0041519B">
          <w:rPr>
            <w:b/>
            <w:noProof/>
            <w:webHidden/>
          </w:rPr>
          <w:t>47</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4" w:history="1">
        <w:r w:rsidR="003A69A7" w:rsidRPr="0088178F">
          <w:rPr>
            <w:rStyle w:val="Hyperlink"/>
            <w:rFonts w:cstheme="minorHAnsi"/>
            <w:b/>
            <w:noProof/>
          </w:rPr>
          <w:t>Фигура 9: Финансиране от ОПОС 2007 – 2013 г.</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_Toc399494594 \h </w:instrText>
        </w:r>
        <w:r w:rsidR="008E6461" w:rsidRPr="0088178F">
          <w:rPr>
            <w:b/>
            <w:noProof/>
            <w:webHidden/>
          </w:rPr>
        </w:r>
        <w:r w:rsidR="008E6461" w:rsidRPr="0088178F">
          <w:rPr>
            <w:b/>
            <w:noProof/>
            <w:webHidden/>
          </w:rPr>
          <w:fldChar w:fldCharType="separate"/>
        </w:r>
        <w:r w:rsidR="0041519B">
          <w:rPr>
            <w:b/>
            <w:noProof/>
            <w:webHidden/>
          </w:rPr>
          <w:t>67</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5" w:history="1">
        <w:r w:rsidR="003A69A7" w:rsidRPr="0088178F">
          <w:rPr>
            <w:rStyle w:val="Hyperlink"/>
            <w:rFonts w:eastAsia="Times New Roman" w:cstheme="minorHAnsi"/>
            <w:b/>
            <w:bCs/>
            <w:noProof/>
            <w:lang w:eastAsia="bg-BG"/>
          </w:rPr>
          <w:t>Фигура 10: Финансов недостиг за подобряване управлението на битовите и биоразградимите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_Toc399494595 \h </w:instrText>
        </w:r>
        <w:r w:rsidR="008E6461" w:rsidRPr="0088178F">
          <w:rPr>
            <w:b/>
            <w:noProof/>
            <w:webHidden/>
          </w:rPr>
        </w:r>
        <w:r w:rsidR="008E6461" w:rsidRPr="0088178F">
          <w:rPr>
            <w:b/>
            <w:noProof/>
            <w:webHidden/>
          </w:rPr>
          <w:fldChar w:fldCharType="separate"/>
        </w:r>
        <w:r w:rsidR="0041519B">
          <w:rPr>
            <w:b/>
            <w:noProof/>
            <w:webHidden/>
          </w:rPr>
          <w:t>68</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6" w:history="1">
        <w:r w:rsidR="003A69A7" w:rsidRPr="0088178F">
          <w:rPr>
            <w:rStyle w:val="Hyperlink"/>
            <w:rFonts w:eastAsia="Times New Roman" w:cstheme="minorHAnsi"/>
            <w:b/>
            <w:bCs/>
            <w:noProof/>
            <w:lang w:eastAsia="bg-BG"/>
          </w:rPr>
          <w:t>Фигура 12:</w:t>
        </w:r>
        <w:r w:rsidR="003A69A7" w:rsidRPr="0088178F">
          <w:rPr>
            <w:rStyle w:val="Hyperlink"/>
            <w:rFonts w:eastAsia="Times New Roman" w:cs="Arial"/>
            <w:b/>
            <w:bCs/>
            <w:noProof/>
            <w:lang w:eastAsia="bg-BG"/>
          </w:rPr>
          <w:t xml:space="preserve"> </w:t>
        </w:r>
        <w:r w:rsidR="003A69A7" w:rsidRPr="0088178F">
          <w:rPr>
            <w:rStyle w:val="Hyperlink"/>
            <w:rFonts w:eastAsia="Times New Roman" w:cstheme="minorHAnsi"/>
            <w:b/>
            <w:bCs/>
            <w:noProof/>
            <w:lang w:eastAsia="bg-BG"/>
          </w:rPr>
          <w:t>Организацията, която представлявате, би ли използвала финансови инструменти с цел реализиране на дейности по оползотворяване на отпадъците?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_Toc399494596 \h </w:instrText>
        </w:r>
        <w:r w:rsidR="008E6461" w:rsidRPr="0088178F">
          <w:rPr>
            <w:b/>
            <w:noProof/>
            <w:webHidden/>
          </w:rPr>
        </w:r>
        <w:r w:rsidR="008E6461" w:rsidRPr="0088178F">
          <w:rPr>
            <w:b/>
            <w:noProof/>
            <w:webHidden/>
          </w:rPr>
          <w:fldChar w:fldCharType="separate"/>
        </w:r>
        <w:r w:rsidR="0041519B">
          <w:rPr>
            <w:b/>
            <w:noProof/>
            <w:webHidden/>
          </w:rPr>
          <w:t>73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7" w:history="1">
        <w:r w:rsidR="003A69A7" w:rsidRPr="0088178F">
          <w:rPr>
            <w:rStyle w:val="Hyperlink"/>
            <w:rFonts w:eastAsia="Times New Roman" w:cstheme="minorHAnsi"/>
            <w:b/>
            <w:bCs/>
            <w:noProof/>
            <w:lang w:eastAsia="bg-BG"/>
          </w:rPr>
          <w:t>Фигура 13:</w:t>
        </w:r>
        <w:r w:rsidR="003A69A7" w:rsidRPr="0088178F">
          <w:rPr>
            <w:rStyle w:val="Hyperlink"/>
            <w:rFonts w:eastAsia="Times New Roman" w:cs="Arial"/>
            <w:b/>
            <w:bCs/>
            <w:noProof/>
            <w:lang w:eastAsia="bg-BG"/>
          </w:rPr>
          <w:t xml:space="preserve"> </w:t>
        </w:r>
        <w:r w:rsidR="003A69A7" w:rsidRPr="0088178F">
          <w:rPr>
            <w:rStyle w:val="Hyperlink"/>
            <w:rFonts w:eastAsia="Times New Roman" w:cstheme="minorHAnsi"/>
            <w:b/>
            <w:bCs/>
            <w:noProof/>
            <w:lang w:eastAsia="bg-BG"/>
          </w:rPr>
          <w:t>Моля, посочете кои от изброените финансови инструменти бихте използвали за финансиране на инвестиции?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_Toc399494597 \h </w:instrText>
        </w:r>
        <w:r w:rsidR="008E6461" w:rsidRPr="0088178F">
          <w:rPr>
            <w:b/>
            <w:noProof/>
            <w:webHidden/>
          </w:rPr>
        </w:r>
        <w:r w:rsidR="008E6461" w:rsidRPr="0088178F">
          <w:rPr>
            <w:b/>
            <w:noProof/>
            <w:webHidden/>
          </w:rPr>
          <w:fldChar w:fldCharType="separate"/>
        </w:r>
        <w:r w:rsidR="0041519B">
          <w:rPr>
            <w:b/>
            <w:noProof/>
            <w:webHidden/>
          </w:rPr>
          <w:t>74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8" w:history="1">
        <w:r w:rsidR="003A69A7" w:rsidRPr="0088178F">
          <w:rPr>
            <w:rStyle w:val="Hyperlink"/>
            <w:rFonts w:eastAsia="Times New Roman" w:cstheme="minorHAnsi"/>
            <w:b/>
            <w:bCs/>
            <w:noProof/>
            <w:lang w:eastAsia="bg-BG"/>
          </w:rPr>
          <w:t>Фигура 14: Неоптимална инвестиционна ситуация в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_Toc399494598 \h </w:instrText>
        </w:r>
        <w:r w:rsidR="008E6461" w:rsidRPr="0088178F">
          <w:rPr>
            <w:b/>
            <w:noProof/>
            <w:webHidden/>
          </w:rPr>
        </w:r>
        <w:r w:rsidR="008E6461" w:rsidRPr="0088178F">
          <w:rPr>
            <w:b/>
            <w:noProof/>
            <w:webHidden/>
          </w:rPr>
          <w:fldChar w:fldCharType="separate"/>
        </w:r>
        <w:r w:rsidR="0041519B">
          <w:rPr>
            <w:b/>
            <w:noProof/>
            <w:webHidden/>
          </w:rPr>
          <w:t>75</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599" w:history="1">
        <w:r w:rsidR="003A69A7" w:rsidRPr="0088178F">
          <w:rPr>
            <w:rStyle w:val="Hyperlink"/>
            <w:rFonts w:cstheme="minorHAnsi"/>
            <w:b/>
            <w:noProof/>
          </w:rPr>
          <w:t>Фигура 15: Инвестиционен недостиг във ВиК сектора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_Toc399494599 \h </w:instrText>
        </w:r>
        <w:r w:rsidR="008E6461" w:rsidRPr="0088178F">
          <w:rPr>
            <w:b/>
            <w:noProof/>
            <w:webHidden/>
          </w:rPr>
        </w:r>
        <w:r w:rsidR="008E6461" w:rsidRPr="0088178F">
          <w:rPr>
            <w:b/>
            <w:noProof/>
            <w:webHidden/>
          </w:rPr>
          <w:fldChar w:fldCharType="separate"/>
        </w:r>
        <w:r w:rsidR="0041519B">
          <w:rPr>
            <w:b/>
            <w:noProof/>
            <w:webHidden/>
          </w:rPr>
          <w:t>90</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0" w:history="1">
        <w:r w:rsidR="003A69A7" w:rsidRPr="0088178F">
          <w:rPr>
            <w:rStyle w:val="Hyperlink"/>
            <w:rFonts w:cstheme="minorHAnsi"/>
            <w:b/>
            <w:noProof/>
          </w:rPr>
          <w:t>Фигура 16: Инвестиционен недостиг в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_Toc399494600 \h </w:instrText>
        </w:r>
        <w:r w:rsidR="008E6461" w:rsidRPr="0088178F">
          <w:rPr>
            <w:b/>
            <w:noProof/>
            <w:webHidden/>
          </w:rPr>
        </w:r>
        <w:r w:rsidR="008E6461" w:rsidRPr="0088178F">
          <w:rPr>
            <w:b/>
            <w:noProof/>
            <w:webHidden/>
          </w:rPr>
          <w:fldChar w:fldCharType="separate"/>
        </w:r>
        <w:r w:rsidR="0041519B">
          <w:rPr>
            <w:b/>
            <w:noProof/>
            <w:webHidden/>
          </w:rPr>
          <w:t>92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1" w:history="1">
        <w:r w:rsidR="003A69A7" w:rsidRPr="0088178F">
          <w:rPr>
            <w:rStyle w:val="Hyperlink"/>
            <w:b/>
            <w:noProof/>
          </w:rPr>
          <w:t>Фигура 17: Финансиране на инвестиционни екологични обекти. Безвъзмездни помощи на общини и фирми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_Toc399494601 \h </w:instrText>
        </w:r>
        <w:r w:rsidR="008E6461" w:rsidRPr="0088178F">
          <w:rPr>
            <w:b/>
            <w:noProof/>
            <w:webHidden/>
          </w:rPr>
        </w:r>
        <w:r w:rsidR="008E6461" w:rsidRPr="0088178F">
          <w:rPr>
            <w:b/>
            <w:noProof/>
            <w:webHidden/>
          </w:rPr>
          <w:fldChar w:fldCharType="separate"/>
        </w:r>
        <w:r w:rsidR="0041519B">
          <w:rPr>
            <w:b/>
            <w:noProof/>
            <w:webHidden/>
          </w:rPr>
          <w:t>96</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2" w:history="1">
        <w:r w:rsidR="003A69A7" w:rsidRPr="0088178F">
          <w:rPr>
            <w:rStyle w:val="Hyperlink"/>
            <w:b/>
            <w:noProof/>
          </w:rPr>
          <w:t>Фигура 18: Структура на отпуснатите кредити от Фонд ФЛАГ по общини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_Toc399494602 \h </w:instrText>
        </w:r>
        <w:r w:rsidR="008E6461" w:rsidRPr="0088178F">
          <w:rPr>
            <w:b/>
            <w:noProof/>
            <w:webHidden/>
          </w:rPr>
        </w:r>
        <w:r w:rsidR="008E6461" w:rsidRPr="0088178F">
          <w:rPr>
            <w:b/>
            <w:noProof/>
            <w:webHidden/>
          </w:rPr>
          <w:fldChar w:fldCharType="separate"/>
        </w:r>
        <w:r w:rsidR="0041519B">
          <w:rPr>
            <w:b/>
            <w:noProof/>
            <w:webHidden/>
          </w:rPr>
          <w:t>97</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3" w:history="1">
        <w:r w:rsidR="003A69A7" w:rsidRPr="0088178F">
          <w:rPr>
            <w:rStyle w:val="Hyperlink"/>
            <w:b/>
            <w:noProof/>
          </w:rPr>
          <w:t>Фигура 19: Кредити на Фонд ФЛАГ по ОПОС 2007-2013 г.</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_Toc399494603 \h </w:instrText>
        </w:r>
        <w:r w:rsidR="008E6461" w:rsidRPr="0088178F">
          <w:rPr>
            <w:b/>
            <w:noProof/>
            <w:webHidden/>
          </w:rPr>
        </w:r>
        <w:r w:rsidR="008E6461" w:rsidRPr="0088178F">
          <w:rPr>
            <w:b/>
            <w:noProof/>
            <w:webHidden/>
          </w:rPr>
          <w:fldChar w:fldCharType="separate"/>
        </w:r>
        <w:r w:rsidR="0041519B">
          <w:rPr>
            <w:b/>
            <w:noProof/>
            <w:webHidden/>
          </w:rPr>
          <w:t>97</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4" w:history="1">
        <w:r w:rsidR="003A69A7" w:rsidRPr="0088178F">
          <w:rPr>
            <w:rStyle w:val="Hyperlink"/>
            <w:b/>
            <w:noProof/>
          </w:rPr>
          <w:t>Фигура 20: Финансиране от ЕИБ по Сектори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_Toc399494604 \h </w:instrText>
        </w:r>
        <w:r w:rsidR="008E6461" w:rsidRPr="0088178F">
          <w:rPr>
            <w:b/>
            <w:noProof/>
            <w:webHidden/>
          </w:rPr>
        </w:r>
        <w:r w:rsidR="008E6461" w:rsidRPr="0088178F">
          <w:rPr>
            <w:b/>
            <w:noProof/>
            <w:webHidden/>
          </w:rPr>
          <w:fldChar w:fldCharType="separate"/>
        </w:r>
        <w:r w:rsidR="0041519B">
          <w:rPr>
            <w:b/>
            <w:noProof/>
            <w:webHidden/>
          </w:rPr>
          <w:t>101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5" w:history="1">
        <w:r w:rsidR="003A69A7" w:rsidRPr="0088178F">
          <w:rPr>
            <w:rStyle w:val="Hyperlink"/>
            <w:b/>
            <w:noProof/>
          </w:rPr>
          <w:t>Фигура 21: Опит в работата с финансови институции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_Toc399494605 \h </w:instrText>
        </w:r>
        <w:r w:rsidR="008E6461" w:rsidRPr="0088178F">
          <w:rPr>
            <w:b/>
            <w:noProof/>
            <w:webHidden/>
          </w:rPr>
        </w:r>
        <w:r w:rsidR="008E6461" w:rsidRPr="0088178F">
          <w:rPr>
            <w:b/>
            <w:noProof/>
            <w:webHidden/>
          </w:rPr>
          <w:fldChar w:fldCharType="separate"/>
        </w:r>
        <w:r w:rsidR="0041519B">
          <w:rPr>
            <w:b/>
            <w:noProof/>
            <w:webHidden/>
          </w:rPr>
          <w:t>108</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6" w:history="1">
        <w:r w:rsidR="003A69A7" w:rsidRPr="0088178F">
          <w:rPr>
            <w:rStyle w:val="Hyperlink"/>
            <w:b/>
            <w:noProof/>
          </w:rPr>
          <w:t xml:space="preserve">Фигура 22: </w:t>
        </w:r>
        <w:r w:rsidR="003A69A7" w:rsidRPr="0088178F">
          <w:rPr>
            <w:rStyle w:val="Hyperlink"/>
            <w:rFonts w:ascii="Calibri" w:eastAsia="Arial" w:hAnsi="Calibri" w:cs="Times New Roman"/>
            <w:b/>
            <w:bCs/>
            <w:smallCaps/>
            <w:noProof/>
            <w:spacing w:val="10"/>
          </w:rPr>
          <w:t xml:space="preserve"> </w:t>
        </w:r>
        <w:r w:rsidR="003A69A7" w:rsidRPr="0088178F">
          <w:rPr>
            <w:rStyle w:val="Hyperlink"/>
            <w:b/>
            <w:noProof/>
          </w:rPr>
          <w:t>Доколко е успешен опитът в използване на финансови инструменти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_Toc399494606 \h </w:instrText>
        </w:r>
        <w:r w:rsidR="008E6461" w:rsidRPr="0088178F">
          <w:rPr>
            <w:b/>
            <w:noProof/>
            <w:webHidden/>
          </w:rPr>
        </w:r>
        <w:r w:rsidR="008E6461" w:rsidRPr="0088178F">
          <w:rPr>
            <w:b/>
            <w:noProof/>
            <w:webHidden/>
          </w:rPr>
          <w:fldChar w:fldCharType="separate"/>
        </w:r>
        <w:r w:rsidR="0041519B">
          <w:rPr>
            <w:b/>
            <w:noProof/>
            <w:webHidden/>
          </w:rPr>
          <w:t>109</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7" w:history="1">
        <w:r w:rsidR="003A69A7" w:rsidRPr="0088178F">
          <w:rPr>
            <w:rStyle w:val="Hyperlink"/>
            <w:b/>
            <w:noProof/>
          </w:rPr>
          <w:t>Фигура 23: Опит в управление на инвестиции, финансирани чрез БФП</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_Toc399494607 \h </w:instrText>
        </w:r>
        <w:r w:rsidR="008E6461" w:rsidRPr="0088178F">
          <w:rPr>
            <w:b/>
            <w:noProof/>
            <w:webHidden/>
          </w:rPr>
        </w:r>
        <w:r w:rsidR="008E6461" w:rsidRPr="0088178F">
          <w:rPr>
            <w:b/>
            <w:noProof/>
            <w:webHidden/>
          </w:rPr>
          <w:fldChar w:fldCharType="separate"/>
        </w:r>
        <w:r w:rsidR="0041519B">
          <w:rPr>
            <w:b/>
            <w:noProof/>
            <w:webHidden/>
          </w:rPr>
          <w:t>109</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8" w:history="1">
        <w:r w:rsidR="003A69A7" w:rsidRPr="0088178F">
          <w:rPr>
            <w:rStyle w:val="Hyperlink"/>
            <w:b/>
            <w:noProof/>
          </w:rPr>
          <w:t>Фигура 24: Необходим финансов ресурс</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_Toc399494608 \h </w:instrText>
        </w:r>
        <w:r w:rsidR="008E6461" w:rsidRPr="0088178F">
          <w:rPr>
            <w:b/>
            <w:noProof/>
            <w:webHidden/>
          </w:rPr>
        </w:r>
        <w:r w:rsidR="008E6461" w:rsidRPr="0088178F">
          <w:rPr>
            <w:b/>
            <w:noProof/>
            <w:webHidden/>
          </w:rPr>
          <w:fldChar w:fldCharType="separate"/>
        </w:r>
        <w:r w:rsidR="0041519B">
          <w:rPr>
            <w:b/>
            <w:noProof/>
            <w:webHidden/>
          </w:rPr>
          <w:t>111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09" w:history="1">
        <w:r w:rsidR="003A69A7" w:rsidRPr="0088178F">
          <w:rPr>
            <w:rStyle w:val="Hyperlink"/>
            <w:b/>
            <w:noProof/>
          </w:rPr>
          <w:t>Фигура 25: Изразени нагласи за %-но увеличение на инвестиционната програма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_Toc399494609 \h </w:instrText>
        </w:r>
        <w:r w:rsidR="008E6461" w:rsidRPr="0088178F">
          <w:rPr>
            <w:b/>
            <w:noProof/>
            <w:webHidden/>
          </w:rPr>
        </w:r>
        <w:r w:rsidR="008E6461" w:rsidRPr="0088178F">
          <w:rPr>
            <w:b/>
            <w:noProof/>
            <w:webHidden/>
          </w:rPr>
          <w:fldChar w:fldCharType="separate"/>
        </w:r>
        <w:r w:rsidR="0041519B">
          <w:rPr>
            <w:b/>
            <w:noProof/>
            <w:webHidden/>
          </w:rPr>
          <w:t>111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0" w:history="1">
        <w:r w:rsidR="003A69A7" w:rsidRPr="0088178F">
          <w:rPr>
            <w:rStyle w:val="Hyperlink"/>
            <w:b/>
            <w:noProof/>
          </w:rPr>
          <w:t>Фигура 26: Цел на допълнителното финансиране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_Toc399494610 \h </w:instrText>
        </w:r>
        <w:r w:rsidR="008E6461" w:rsidRPr="0088178F">
          <w:rPr>
            <w:b/>
            <w:noProof/>
            <w:webHidden/>
          </w:rPr>
        </w:r>
        <w:r w:rsidR="008E6461" w:rsidRPr="0088178F">
          <w:rPr>
            <w:b/>
            <w:noProof/>
            <w:webHidden/>
          </w:rPr>
          <w:fldChar w:fldCharType="separate"/>
        </w:r>
        <w:r w:rsidR="0041519B">
          <w:rPr>
            <w:b/>
            <w:noProof/>
            <w:webHidden/>
          </w:rPr>
          <w:t>112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1" w:history="1">
        <w:r w:rsidR="003A69A7" w:rsidRPr="0088178F">
          <w:rPr>
            <w:rStyle w:val="Hyperlink"/>
            <w:b/>
            <w:noProof/>
          </w:rPr>
          <w:t>Фигура 27: Използване на ФИ за почистваща техника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_Toc399494611 \h </w:instrText>
        </w:r>
        <w:r w:rsidR="008E6461" w:rsidRPr="0088178F">
          <w:rPr>
            <w:b/>
            <w:noProof/>
            <w:webHidden/>
          </w:rPr>
        </w:r>
        <w:r w:rsidR="008E6461" w:rsidRPr="0088178F">
          <w:rPr>
            <w:b/>
            <w:noProof/>
            <w:webHidden/>
          </w:rPr>
          <w:fldChar w:fldCharType="separate"/>
        </w:r>
        <w:r w:rsidR="0041519B">
          <w:rPr>
            <w:b/>
            <w:noProof/>
            <w:webHidden/>
          </w:rPr>
          <w:t>113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2" w:history="1">
        <w:r w:rsidR="003A69A7" w:rsidRPr="0088178F">
          <w:rPr>
            <w:rStyle w:val="Hyperlink"/>
            <w:b/>
            <w:noProof/>
          </w:rPr>
          <w:t>Фигура 28: Инвестиции от транспортните оператори на общините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_Toc399494612 \h </w:instrText>
        </w:r>
        <w:r w:rsidR="008E6461" w:rsidRPr="0088178F">
          <w:rPr>
            <w:b/>
            <w:noProof/>
            <w:webHidden/>
          </w:rPr>
        </w:r>
        <w:r w:rsidR="008E6461" w:rsidRPr="0088178F">
          <w:rPr>
            <w:b/>
            <w:noProof/>
            <w:webHidden/>
          </w:rPr>
          <w:fldChar w:fldCharType="separate"/>
        </w:r>
        <w:r w:rsidR="0041519B">
          <w:rPr>
            <w:b/>
            <w:noProof/>
            <w:webHidden/>
          </w:rPr>
          <w:t>114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3" w:history="1">
        <w:r w:rsidR="003A69A7" w:rsidRPr="0088178F">
          <w:rPr>
            <w:rStyle w:val="Hyperlink"/>
            <w:b/>
            <w:noProof/>
          </w:rPr>
          <w:t>Фигура 29: Предпочитан финансов инструмент</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_Toc399494613 \h </w:instrText>
        </w:r>
        <w:r w:rsidR="008E6461" w:rsidRPr="0088178F">
          <w:rPr>
            <w:b/>
            <w:noProof/>
            <w:webHidden/>
          </w:rPr>
        </w:r>
        <w:r w:rsidR="008E6461" w:rsidRPr="0088178F">
          <w:rPr>
            <w:b/>
            <w:noProof/>
            <w:webHidden/>
          </w:rPr>
          <w:fldChar w:fldCharType="separate"/>
        </w:r>
        <w:r w:rsidR="0041519B">
          <w:rPr>
            <w:b/>
            <w:noProof/>
            <w:webHidden/>
          </w:rPr>
          <w:t>114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4" w:history="1">
        <w:r w:rsidR="003A69A7" w:rsidRPr="0088178F">
          <w:rPr>
            <w:rStyle w:val="Hyperlink"/>
            <w:b/>
            <w:noProof/>
          </w:rPr>
          <w:t>Фигура 30: Наличие на ясни административни процедури за ФИ в сектор Околна среда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_Toc399494614 \h </w:instrText>
        </w:r>
        <w:r w:rsidR="008E6461" w:rsidRPr="0088178F">
          <w:rPr>
            <w:b/>
            <w:noProof/>
            <w:webHidden/>
          </w:rPr>
        </w:r>
        <w:r w:rsidR="008E6461" w:rsidRPr="0088178F">
          <w:rPr>
            <w:b/>
            <w:noProof/>
            <w:webHidden/>
          </w:rPr>
          <w:fldChar w:fldCharType="separate"/>
        </w:r>
        <w:r w:rsidR="0041519B">
          <w:rPr>
            <w:b/>
            <w:noProof/>
            <w:webHidden/>
          </w:rPr>
          <w:t>115</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5" w:history="1">
        <w:r w:rsidR="003A69A7" w:rsidRPr="0088178F">
          <w:rPr>
            <w:rStyle w:val="Hyperlink"/>
            <w:b/>
            <w:noProof/>
          </w:rPr>
          <w:t>Фигура 31: Разпределение на респондентите по сектори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_Toc399494615 \h </w:instrText>
        </w:r>
        <w:r w:rsidR="008E6461" w:rsidRPr="0088178F">
          <w:rPr>
            <w:b/>
            <w:noProof/>
            <w:webHidden/>
          </w:rPr>
        </w:r>
        <w:r w:rsidR="008E6461" w:rsidRPr="0088178F">
          <w:rPr>
            <w:b/>
            <w:noProof/>
            <w:webHidden/>
          </w:rPr>
          <w:fldChar w:fldCharType="separate"/>
        </w:r>
        <w:r w:rsidR="0041519B">
          <w:rPr>
            <w:b/>
            <w:noProof/>
            <w:webHidden/>
          </w:rPr>
          <w:t>116</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6" w:history="1">
        <w:r w:rsidR="003A69A7" w:rsidRPr="0088178F">
          <w:rPr>
            <w:rStyle w:val="Hyperlink"/>
            <w:b/>
            <w:noProof/>
          </w:rPr>
          <w:t>Фигура 32: Опит с финансови институции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_Toc399494616 \h </w:instrText>
        </w:r>
        <w:r w:rsidR="008E6461" w:rsidRPr="0088178F">
          <w:rPr>
            <w:b/>
            <w:noProof/>
            <w:webHidden/>
          </w:rPr>
        </w:r>
        <w:r w:rsidR="008E6461" w:rsidRPr="0088178F">
          <w:rPr>
            <w:b/>
            <w:noProof/>
            <w:webHidden/>
          </w:rPr>
          <w:fldChar w:fldCharType="separate"/>
        </w:r>
        <w:r w:rsidR="0041519B">
          <w:rPr>
            <w:b/>
            <w:noProof/>
            <w:webHidden/>
          </w:rPr>
          <w:t>117</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7" w:history="1">
        <w:r w:rsidR="003A69A7" w:rsidRPr="0088178F">
          <w:rPr>
            <w:rStyle w:val="Hyperlink"/>
            <w:b/>
            <w:noProof/>
          </w:rPr>
          <w:t>Фигура 33:Финансирането чрез ФИ е при облекчени условия</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_Toc399494617 \h </w:instrText>
        </w:r>
        <w:r w:rsidR="008E6461" w:rsidRPr="0088178F">
          <w:rPr>
            <w:b/>
            <w:noProof/>
            <w:webHidden/>
          </w:rPr>
        </w:r>
        <w:r w:rsidR="008E6461" w:rsidRPr="0088178F">
          <w:rPr>
            <w:b/>
            <w:noProof/>
            <w:webHidden/>
          </w:rPr>
          <w:fldChar w:fldCharType="separate"/>
        </w:r>
        <w:r w:rsidR="0041519B">
          <w:rPr>
            <w:b/>
            <w:noProof/>
            <w:webHidden/>
          </w:rPr>
          <w:t>118</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8" w:history="1">
        <w:r w:rsidR="003A69A7" w:rsidRPr="0088178F">
          <w:rPr>
            <w:rStyle w:val="Hyperlink"/>
            <w:b/>
            <w:noProof/>
          </w:rPr>
          <w:t>Фигура 34: Достатъчна, налична и достъпна информация за ФИ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_Toc399494618 \h </w:instrText>
        </w:r>
        <w:r w:rsidR="008E6461" w:rsidRPr="0088178F">
          <w:rPr>
            <w:b/>
            <w:noProof/>
            <w:webHidden/>
          </w:rPr>
        </w:r>
        <w:r w:rsidR="008E6461" w:rsidRPr="0088178F">
          <w:rPr>
            <w:b/>
            <w:noProof/>
            <w:webHidden/>
          </w:rPr>
          <w:fldChar w:fldCharType="separate"/>
        </w:r>
        <w:r w:rsidR="0041519B">
          <w:rPr>
            <w:b/>
            <w:noProof/>
            <w:webHidden/>
          </w:rPr>
          <w:t>118</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19" w:history="1">
        <w:r w:rsidR="003A69A7" w:rsidRPr="0088178F">
          <w:rPr>
            <w:rStyle w:val="Hyperlink"/>
            <w:b/>
            <w:noProof/>
          </w:rPr>
          <w:t>Фигура 35: Трудности при финансиране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_Toc399494619 \h </w:instrText>
        </w:r>
        <w:r w:rsidR="008E6461" w:rsidRPr="0088178F">
          <w:rPr>
            <w:b/>
            <w:noProof/>
            <w:webHidden/>
          </w:rPr>
        </w:r>
        <w:r w:rsidR="008E6461" w:rsidRPr="0088178F">
          <w:rPr>
            <w:b/>
            <w:noProof/>
            <w:webHidden/>
          </w:rPr>
          <w:fldChar w:fldCharType="separate"/>
        </w:r>
        <w:r w:rsidR="0041519B">
          <w:rPr>
            <w:b/>
            <w:noProof/>
            <w:webHidden/>
          </w:rPr>
          <w:t>119</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0" w:history="1">
        <w:r w:rsidR="003A69A7" w:rsidRPr="0088178F">
          <w:rPr>
            <w:rStyle w:val="Hyperlink"/>
            <w:b/>
            <w:noProof/>
          </w:rPr>
          <w:t>Фигура 36: Цел на финансиране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_Toc399494620 \h </w:instrText>
        </w:r>
        <w:r w:rsidR="008E6461" w:rsidRPr="0088178F">
          <w:rPr>
            <w:b/>
            <w:noProof/>
            <w:webHidden/>
          </w:rPr>
        </w:r>
        <w:r w:rsidR="008E6461" w:rsidRPr="0088178F">
          <w:rPr>
            <w:b/>
            <w:noProof/>
            <w:webHidden/>
          </w:rPr>
          <w:fldChar w:fldCharType="separate"/>
        </w:r>
        <w:r w:rsidR="0041519B">
          <w:rPr>
            <w:b/>
            <w:noProof/>
            <w:webHidden/>
          </w:rPr>
          <w:t>120</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1" w:history="1">
        <w:r w:rsidR="003A69A7" w:rsidRPr="0088178F">
          <w:rPr>
            <w:rStyle w:val="Hyperlink"/>
            <w:b/>
            <w:noProof/>
          </w:rPr>
          <w:t>Фигура 37: Разполагате ли със стратегия/план за развитие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_Toc399494621 \h </w:instrText>
        </w:r>
        <w:r w:rsidR="008E6461" w:rsidRPr="0088178F">
          <w:rPr>
            <w:b/>
            <w:noProof/>
            <w:webHidden/>
          </w:rPr>
        </w:r>
        <w:r w:rsidR="008E6461" w:rsidRPr="0088178F">
          <w:rPr>
            <w:b/>
            <w:noProof/>
            <w:webHidden/>
          </w:rPr>
          <w:fldChar w:fldCharType="separate"/>
        </w:r>
        <w:r w:rsidR="0041519B">
          <w:rPr>
            <w:b/>
            <w:noProof/>
            <w:webHidden/>
          </w:rPr>
          <w:t>121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2" w:history="1">
        <w:r w:rsidR="003A69A7" w:rsidRPr="0088178F">
          <w:rPr>
            <w:rStyle w:val="Hyperlink"/>
            <w:b/>
            <w:noProof/>
          </w:rPr>
          <w:t>Фигура 38: Какъв период покрива инвестиционната Ви програма?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_Toc399494622 \h </w:instrText>
        </w:r>
        <w:r w:rsidR="008E6461" w:rsidRPr="0088178F">
          <w:rPr>
            <w:b/>
            <w:noProof/>
            <w:webHidden/>
          </w:rPr>
        </w:r>
        <w:r w:rsidR="008E6461" w:rsidRPr="0088178F">
          <w:rPr>
            <w:b/>
            <w:noProof/>
            <w:webHidden/>
          </w:rPr>
          <w:fldChar w:fldCharType="separate"/>
        </w:r>
        <w:r w:rsidR="0041519B">
          <w:rPr>
            <w:b/>
            <w:noProof/>
            <w:webHidden/>
          </w:rPr>
          <w:t>121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3" w:history="1">
        <w:r w:rsidR="003A69A7" w:rsidRPr="0088178F">
          <w:rPr>
            <w:rStyle w:val="Hyperlink"/>
            <w:b/>
            <w:noProof/>
          </w:rPr>
          <w:t>Фигура 39: Собственост на активите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_Toc399494623 \h </w:instrText>
        </w:r>
        <w:r w:rsidR="008E6461" w:rsidRPr="0088178F">
          <w:rPr>
            <w:b/>
            <w:noProof/>
            <w:webHidden/>
          </w:rPr>
        </w:r>
        <w:r w:rsidR="008E6461" w:rsidRPr="0088178F">
          <w:rPr>
            <w:b/>
            <w:noProof/>
            <w:webHidden/>
          </w:rPr>
          <w:fldChar w:fldCharType="separate"/>
        </w:r>
        <w:r w:rsidR="0041519B">
          <w:rPr>
            <w:b/>
            <w:noProof/>
            <w:webHidden/>
          </w:rPr>
          <w:t>122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4" w:history="1">
        <w:r w:rsidR="003A69A7" w:rsidRPr="0088178F">
          <w:rPr>
            <w:rStyle w:val="Hyperlink"/>
            <w:b/>
            <w:noProof/>
          </w:rPr>
          <w:t>Фигура 40: Съществуване на ВиК асоциация в региона на дейност</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_Toc399494624 \h </w:instrText>
        </w:r>
        <w:r w:rsidR="008E6461" w:rsidRPr="0088178F">
          <w:rPr>
            <w:b/>
            <w:noProof/>
            <w:webHidden/>
          </w:rPr>
        </w:r>
        <w:r w:rsidR="008E6461" w:rsidRPr="0088178F">
          <w:rPr>
            <w:b/>
            <w:noProof/>
            <w:webHidden/>
          </w:rPr>
          <w:fldChar w:fldCharType="separate"/>
        </w:r>
        <w:r w:rsidR="0041519B">
          <w:rPr>
            <w:b/>
            <w:noProof/>
            <w:webHidden/>
          </w:rPr>
          <w:t>122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5" w:history="1">
        <w:r w:rsidR="003A69A7" w:rsidRPr="0088178F">
          <w:rPr>
            <w:rStyle w:val="Hyperlink"/>
            <w:b/>
            <w:noProof/>
          </w:rPr>
          <w:t>Фигура 41: размер на инвестиционната програма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_Toc399494625 \h </w:instrText>
        </w:r>
        <w:r w:rsidR="008E6461" w:rsidRPr="0088178F">
          <w:rPr>
            <w:b/>
            <w:noProof/>
            <w:webHidden/>
          </w:rPr>
        </w:r>
        <w:r w:rsidR="008E6461" w:rsidRPr="0088178F">
          <w:rPr>
            <w:b/>
            <w:noProof/>
            <w:webHidden/>
          </w:rPr>
          <w:fldChar w:fldCharType="separate"/>
        </w:r>
        <w:r w:rsidR="0041519B">
          <w:rPr>
            <w:b/>
            <w:noProof/>
            <w:webHidden/>
          </w:rPr>
          <w:t>123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6" w:history="1">
        <w:r w:rsidR="003A69A7" w:rsidRPr="0088178F">
          <w:rPr>
            <w:rStyle w:val="Hyperlink"/>
            <w:b/>
            <w:noProof/>
          </w:rPr>
          <w:t>Фигура 42: С колко бихте увеличили инвестиционната си програма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_Toc399494626 \h </w:instrText>
        </w:r>
        <w:r w:rsidR="008E6461" w:rsidRPr="0088178F">
          <w:rPr>
            <w:b/>
            <w:noProof/>
            <w:webHidden/>
          </w:rPr>
        </w:r>
        <w:r w:rsidR="008E6461" w:rsidRPr="0088178F">
          <w:rPr>
            <w:b/>
            <w:noProof/>
            <w:webHidden/>
          </w:rPr>
          <w:fldChar w:fldCharType="separate"/>
        </w:r>
        <w:r w:rsidR="0041519B">
          <w:rPr>
            <w:b/>
            <w:noProof/>
            <w:webHidden/>
          </w:rPr>
          <w:t>124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7" w:history="1">
        <w:r w:rsidR="003A69A7" w:rsidRPr="0088178F">
          <w:rPr>
            <w:rStyle w:val="Hyperlink"/>
            <w:b/>
            <w:noProof/>
          </w:rPr>
          <w:t>Фигура 43:  Причини за ограничаване на инвестициите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_Toc399494627 \h </w:instrText>
        </w:r>
        <w:r w:rsidR="008E6461" w:rsidRPr="0088178F">
          <w:rPr>
            <w:b/>
            <w:noProof/>
            <w:webHidden/>
          </w:rPr>
        </w:r>
        <w:r w:rsidR="008E6461" w:rsidRPr="0088178F">
          <w:rPr>
            <w:b/>
            <w:noProof/>
            <w:webHidden/>
          </w:rPr>
          <w:fldChar w:fldCharType="separate"/>
        </w:r>
        <w:r w:rsidR="0041519B">
          <w:rPr>
            <w:b/>
            <w:noProof/>
            <w:webHidden/>
          </w:rPr>
          <w:t>124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8" w:history="1">
        <w:r w:rsidR="003A69A7" w:rsidRPr="0088178F">
          <w:rPr>
            <w:rStyle w:val="Hyperlink"/>
            <w:b/>
            <w:noProof/>
          </w:rPr>
          <w:t>Фигура 44:  В каква степен ДКЕВР ограничава възможността за инвестиции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_Toc399494628 \h </w:instrText>
        </w:r>
        <w:r w:rsidR="008E6461" w:rsidRPr="0088178F">
          <w:rPr>
            <w:b/>
            <w:noProof/>
            <w:webHidden/>
          </w:rPr>
        </w:r>
        <w:r w:rsidR="008E6461" w:rsidRPr="0088178F">
          <w:rPr>
            <w:b/>
            <w:noProof/>
            <w:webHidden/>
          </w:rPr>
          <w:fldChar w:fldCharType="separate"/>
        </w:r>
        <w:r w:rsidR="0041519B">
          <w:rPr>
            <w:b/>
            <w:noProof/>
            <w:webHidden/>
          </w:rPr>
          <w:t>125</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29" w:history="1">
        <w:r w:rsidR="003A69A7" w:rsidRPr="0088178F">
          <w:rPr>
            <w:rStyle w:val="Hyperlink"/>
            <w:b/>
            <w:noProof/>
          </w:rPr>
          <w:t>Фигура 45: Считате ли, че либерализацията на цените във ВиК сектора ще допринесе до увеличаване на инвестициите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_Toc399494629 \h </w:instrText>
        </w:r>
        <w:r w:rsidR="008E6461" w:rsidRPr="0088178F">
          <w:rPr>
            <w:b/>
            <w:noProof/>
            <w:webHidden/>
          </w:rPr>
        </w:r>
        <w:r w:rsidR="008E6461" w:rsidRPr="0088178F">
          <w:rPr>
            <w:b/>
            <w:noProof/>
            <w:webHidden/>
          </w:rPr>
          <w:fldChar w:fldCharType="separate"/>
        </w:r>
        <w:r w:rsidR="0041519B">
          <w:rPr>
            <w:b/>
            <w:noProof/>
            <w:webHidden/>
          </w:rPr>
          <w:t>125</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0" w:history="1">
        <w:r w:rsidR="003A69A7" w:rsidRPr="0088178F">
          <w:rPr>
            <w:rStyle w:val="Hyperlink"/>
            <w:b/>
            <w:noProof/>
          </w:rPr>
          <w:t>Фигура 46</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_Toc399494630 \h </w:instrText>
        </w:r>
        <w:r w:rsidR="008E6461" w:rsidRPr="0088178F">
          <w:rPr>
            <w:b/>
            <w:noProof/>
            <w:webHidden/>
          </w:rPr>
        </w:r>
        <w:r w:rsidR="008E6461" w:rsidRPr="0088178F">
          <w:rPr>
            <w:b/>
            <w:noProof/>
            <w:webHidden/>
          </w:rPr>
          <w:fldChar w:fldCharType="separate"/>
        </w:r>
        <w:r w:rsidR="0041519B">
          <w:rPr>
            <w:b/>
            <w:noProof/>
            <w:webHidden/>
          </w:rPr>
          <w:t>126</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1" w:history="1">
        <w:r w:rsidR="003A69A7" w:rsidRPr="0088178F">
          <w:rPr>
            <w:rStyle w:val="Hyperlink"/>
            <w:b/>
            <w:noProof/>
          </w:rPr>
          <w:t>Фигура 47: Нагласи за използване на различни видове ФИ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_Toc399494631 \h </w:instrText>
        </w:r>
        <w:r w:rsidR="008E6461" w:rsidRPr="0088178F">
          <w:rPr>
            <w:b/>
            <w:noProof/>
            <w:webHidden/>
          </w:rPr>
        </w:r>
        <w:r w:rsidR="008E6461" w:rsidRPr="0088178F">
          <w:rPr>
            <w:b/>
            <w:noProof/>
            <w:webHidden/>
          </w:rPr>
          <w:fldChar w:fldCharType="separate"/>
        </w:r>
        <w:r w:rsidR="0041519B">
          <w:rPr>
            <w:b/>
            <w:noProof/>
            <w:webHidden/>
          </w:rPr>
          <w:t>128</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2" w:history="1">
        <w:r w:rsidR="003A69A7" w:rsidRPr="0088178F">
          <w:rPr>
            <w:rStyle w:val="Hyperlink"/>
            <w:b/>
            <w:noProof/>
          </w:rPr>
          <w:t xml:space="preserve">Фигура 48: </w:t>
        </w:r>
        <w:r w:rsidR="003A69A7" w:rsidRPr="0088178F">
          <w:rPr>
            <w:rStyle w:val="Hyperlink"/>
            <w:rFonts w:eastAsia="Arial" w:cs="Times New Roman"/>
            <w:b/>
            <w:bCs/>
            <w:smallCaps/>
            <w:noProof/>
            <w:spacing w:val="10"/>
          </w:rPr>
          <w:t xml:space="preserve"> </w:t>
        </w:r>
        <w:r w:rsidR="003A69A7" w:rsidRPr="0088178F">
          <w:rPr>
            <w:rStyle w:val="Hyperlink"/>
            <w:b/>
            <w:noProof/>
          </w:rPr>
          <w:t>Ефект от използване на ФИ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_Toc399494632 \h </w:instrText>
        </w:r>
        <w:r w:rsidR="008E6461" w:rsidRPr="0088178F">
          <w:rPr>
            <w:b/>
            <w:noProof/>
            <w:webHidden/>
          </w:rPr>
        </w:r>
        <w:r w:rsidR="008E6461" w:rsidRPr="0088178F">
          <w:rPr>
            <w:b/>
            <w:noProof/>
            <w:webHidden/>
          </w:rPr>
          <w:fldChar w:fldCharType="separate"/>
        </w:r>
        <w:r w:rsidR="0041519B">
          <w:rPr>
            <w:b/>
            <w:noProof/>
            <w:webHidden/>
          </w:rPr>
          <w:t>129</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3" w:history="1">
        <w:r w:rsidR="003A69A7" w:rsidRPr="0088178F">
          <w:rPr>
            <w:rStyle w:val="Hyperlink"/>
            <w:b/>
            <w:noProof/>
          </w:rPr>
          <w:t xml:space="preserve">Фигура 49: </w:t>
        </w:r>
        <w:r w:rsidR="003A69A7" w:rsidRPr="0088178F">
          <w:rPr>
            <w:rStyle w:val="Hyperlink"/>
            <w:rFonts w:eastAsia="Arial" w:cs="Times New Roman"/>
            <w:b/>
            <w:bCs/>
            <w:smallCaps/>
            <w:noProof/>
            <w:spacing w:val="10"/>
          </w:rPr>
          <w:t xml:space="preserve"> </w:t>
        </w:r>
        <w:r w:rsidR="003A69A7" w:rsidRPr="0088178F">
          <w:rPr>
            <w:rStyle w:val="Hyperlink"/>
            <w:b/>
            <w:noProof/>
          </w:rPr>
          <w:t>Възвръщаемост на инвестицията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_Toc399494633 \h </w:instrText>
        </w:r>
        <w:r w:rsidR="008E6461" w:rsidRPr="0088178F">
          <w:rPr>
            <w:b/>
            <w:noProof/>
            <w:webHidden/>
          </w:rPr>
        </w:r>
        <w:r w:rsidR="008E6461" w:rsidRPr="0088178F">
          <w:rPr>
            <w:b/>
            <w:noProof/>
            <w:webHidden/>
          </w:rPr>
          <w:fldChar w:fldCharType="separate"/>
        </w:r>
        <w:r w:rsidR="0041519B">
          <w:rPr>
            <w:b/>
            <w:noProof/>
            <w:webHidden/>
          </w:rPr>
          <w:t>130</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4" w:history="1">
        <w:r w:rsidR="003A69A7" w:rsidRPr="0088178F">
          <w:rPr>
            <w:rStyle w:val="Hyperlink"/>
            <w:b/>
            <w:noProof/>
          </w:rPr>
          <w:t>Фигура 50:  Източници на приходи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_Toc399494634 \h </w:instrText>
        </w:r>
        <w:r w:rsidR="008E6461" w:rsidRPr="0088178F">
          <w:rPr>
            <w:b/>
            <w:noProof/>
            <w:webHidden/>
          </w:rPr>
        </w:r>
        <w:r w:rsidR="008E6461" w:rsidRPr="0088178F">
          <w:rPr>
            <w:b/>
            <w:noProof/>
            <w:webHidden/>
          </w:rPr>
          <w:fldChar w:fldCharType="separate"/>
        </w:r>
        <w:r w:rsidR="0041519B">
          <w:rPr>
            <w:b/>
            <w:noProof/>
            <w:webHidden/>
          </w:rPr>
          <w:t>131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5" w:history="1">
        <w:r w:rsidR="003A69A7" w:rsidRPr="0088178F">
          <w:rPr>
            <w:rStyle w:val="Hyperlink"/>
            <w:b/>
            <w:noProof/>
          </w:rPr>
          <w:t>Фигура 51</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_Toc399494635 \h </w:instrText>
        </w:r>
        <w:r w:rsidR="008E6461" w:rsidRPr="0088178F">
          <w:rPr>
            <w:b/>
            <w:noProof/>
            <w:webHidden/>
          </w:rPr>
        </w:r>
        <w:r w:rsidR="008E6461" w:rsidRPr="0088178F">
          <w:rPr>
            <w:b/>
            <w:noProof/>
            <w:webHidden/>
          </w:rPr>
          <w:fldChar w:fldCharType="separate"/>
        </w:r>
        <w:r w:rsidR="0041519B">
          <w:rPr>
            <w:b/>
            <w:noProof/>
            <w:webHidden/>
          </w:rPr>
          <w:t>131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6" w:history="1">
        <w:r w:rsidR="003A69A7" w:rsidRPr="0088178F">
          <w:rPr>
            <w:rStyle w:val="Hyperlink"/>
            <w:b/>
            <w:noProof/>
          </w:rPr>
          <w:t>Фигура 52:  Тип ФИ, които биха използвали търговските дружества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_Toc399494636 \h </w:instrText>
        </w:r>
        <w:r w:rsidR="008E6461" w:rsidRPr="0088178F">
          <w:rPr>
            <w:b/>
            <w:noProof/>
            <w:webHidden/>
          </w:rPr>
        </w:r>
        <w:r w:rsidR="008E6461" w:rsidRPr="0088178F">
          <w:rPr>
            <w:b/>
            <w:noProof/>
            <w:webHidden/>
          </w:rPr>
          <w:fldChar w:fldCharType="separate"/>
        </w:r>
        <w:r w:rsidR="0041519B">
          <w:rPr>
            <w:b/>
            <w:noProof/>
            <w:webHidden/>
          </w:rPr>
          <w:t>132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7" w:history="1">
        <w:r w:rsidR="003A69A7" w:rsidRPr="0088178F">
          <w:rPr>
            <w:rStyle w:val="Hyperlink"/>
            <w:b/>
            <w:noProof/>
          </w:rPr>
          <w:t>Фигура 53:  Ако имате възможност да ползвате финансови инструменти, бихте ли закупили почистваща техника за измиване на пътни платна, площади и тротоари?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_Toc399494637 \h </w:instrText>
        </w:r>
        <w:r w:rsidR="008E6461" w:rsidRPr="0088178F">
          <w:rPr>
            <w:b/>
            <w:noProof/>
            <w:webHidden/>
          </w:rPr>
        </w:r>
        <w:r w:rsidR="008E6461" w:rsidRPr="0088178F">
          <w:rPr>
            <w:b/>
            <w:noProof/>
            <w:webHidden/>
          </w:rPr>
          <w:fldChar w:fldCharType="separate"/>
        </w:r>
        <w:r w:rsidR="0041519B">
          <w:rPr>
            <w:b/>
            <w:noProof/>
            <w:webHidden/>
          </w:rPr>
          <w:t>132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8" w:history="1">
        <w:r w:rsidR="003A69A7" w:rsidRPr="0088178F">
          <w:rPr>
            <w:rStyle w:val="Hyperlink"/>
            <w:b/>
            <w:noProof/>
          </w:rPr>
          <w:t>Фигура 54:  Източници на приходи за финансиране на дейността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_Toc399494638 \h </w:instrText>
        </w:r>
        <w:r w:rsidR="008E6461" w:rsidRPr="0088178F">
          <w:rPr>
            <w:b/>
            <w:noProof/>
            <w:webHidden/>
          </w:rPr>
        </w:r>
        <w:r w:rsidR="008E6461" w:rsidRPr="0088178F">
          <w:rPr>
            <w:b/>
            <w:noProof/>
            <w:webHidden/>
          </w:rPr>
          <w:fldChar w:fldCharType="separate"/>
        </w:r>
        <w:r w:rsidR="0041519B">
          <w:rPr>
            <w:b/>
            <w:noProof/>
            <w:webHidden/>
          </w:rPr>
          <w:t>133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39" w:history="1">
        <w:r w:rsidR="003A69A7" w:rsidRPr="0088178F">
          <w:rPr>
            <w:rStyle w:val="Hyperlink"/>
            <w:rFonts w:cstheme="minorHAnsi"/>
            <w:b/>
            <w:noProof/>
          </w:rPr>
          <w:t>Фигура 55: Ефект на лоста на проектите във ВиК сектора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_Toc399494639 \h </w:instrText>
        </w:r>
        <w:r w:rsidR="008E6461" w:rsidRPr="0088178F">
          <w:rPr>
            <w:b/>
            <w:noProof/>
            <w:webHidden/>
          </w:rPr>
        </w:r>
        <w:r w:rsidR="008E6461" w:rsidRPr="0088178F">
          <w:rPr>
            <w:b/>
            <w:noProof/>
            <w:webHidden/>
          </w:rPr>
          <w:fldChar w:fldCharType="separate"/>
        </w:r>
        <w:r w:rsidR="0041519B">
          <w:rPr>
            <w:b/>
            <w:noProof/>
            <w:webHidden/>
          </w:rPr>
          <w:t>143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0" w:history="1">
        <w:r w:rsidR="003A69A7" w:rsidRPr="0088178F">
          <w:rPr>
            <w:rStyle w:val="Hyperlink"/>
            <w:rFonts w:cstheme="minorHAnsi"/>
            <w:b/>
            <w:noProof/>
          </w:rPr>
          <w:t>Фигура 56: Ефект на лоста на проектите в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_Toc399494640 \h </w:instrText>
        </w:r>
        <w:r w:rsidR="008E6461" w:rsidRPr="0088178F">
          <w:rPr>
            <w:b/>
            <w:noProof/>
            <w:webHidden/>
          </w:rPr>
        </w:r>
        <w:r w:rsidR="008E6461" w:rsidRPr="0088178F">
          <w:rPr>
            <w:b/>
            <w:noProof/>
            <w:webHidden/>
          </w:rPr>
          <w:fldChar w:fldCharType="separate"/>
        </w:r>
        <w:r w:rsidR="0041519B">
          <w:rPr>
            <w:b/>
            <w:noProof/>
            <w:webHidden/>
          </w:rPr>
          <w:t>144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1" w:history="1">
        <w:r w:rsidR="003A69A7" w:rsidRPr="0088178F">
          <w:rPr>
            <w:rStyle w:val="Hyperlink"/>
            <w:rFonts w:cstheme="minorHAnsi"/>
            <w:b/>
            <w:noProof/>
          </w:rPr>
          <w:t>Фигура 57: Средна стойност на привлечения външен ресурс за проекти от ВиК сектора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_Toc399494641 \h </w:instrText>
        </w:r>
        <w:r w:rsidR="008E6461" w:rsidRPr="0088178F">
          <w:rPr>
            <w:b/>
            <w:noProof/>
            <w:webHidden/>
          </w:rPr>
        </w:r>
        <w:r w:rsidR="008E6461" w:rsidRPr="0088178F">
          <w:rPr>
            <w:b/>
            <w:noProof/>
            <w:webHidden/>
          </w:rPr>
          <w:fldChar w:fldCharType="separate"/>
        </w:r>
        <w:r w:rsidR="0041519B">
          <w:rPr>
            <w:b/>
            <w:noProof/>
            <w:webHidden/>
          </w:rPr>
          <w:t>146</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2" w:history="1">
        <w:r w:rsidR="003A69A7" w:rsidRPr="0088178F">
          <w:rPr>
            <w:rStyle w:val="Hyperlink"/>
            <w:rFonts w:cstheme="minorHAnsi"/>
            <w:b/>
            <w:noProof/>
          </w:rPr>
          <w:t>Фигура 58: Интензитет на помощта от ЕС в гаранционен механизъм</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_Toc399494642 \h </w:instrText>
        </w:r>
        <w:r w:rsidR="008E6461" w:rsidRPr="0088178F">
          <w:rPr>
            <w:b/>
            <w:noProof/>
            <w:webHidden/>
          </w:rPr>
        </w:r>
        <w:r w:rsidR="008E6461" w:rsidRPr="0088178F">
          <w:rPr>
            <w:b/>
            <w:noProof/>
            <w:webHidden/>
          </w:rPr>
          <w:fldChar w:fldCharType="separate"/>
        </w:r>
        <w:r w:rsidR="0041519B">
          <w:rPr>
            <w:b/>
            <w:noProof/>
            <w:webHidden/>
          </w:rPr>
          <w:t>148</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3" w:history="1">
        <w:r w:rsidR="003A69A7" w:rsidRPr="0088178F">
          <w:rPr>
            <w:rStyle w:val="Hyperlink"/>
            <w:rFonts w:cstheme="minorHAnsi"/>
            <w:b/>
            <w:noProof/>
          </w:rPr>
          <w:t>Фигура 59: Примерен погасителен план на заемно финансиране за проект във ВиК сектора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_Toc399494643 \h </w:instrText>
        </w:r>
        <w:r w:rsidR="008E6461" w:rsidRPr="0088178F">
          <w:rPr>
            <w:b/>
            <w:noProof/>
            <w:webHidden/>
          </w:rPr>
        </w:r>
        <w:r w:rsidR="008E6461" w:rsidRPr="0088178F">
          <w:rPr>
            <w:b/>
            <w:noProof/>
            <w:webHidden/>
          </w:rPr>
          <w:fldChar w:fldCharType="separate"/>
        </w:r>
        <w:r w:rsidR="0041519B">
          <w:rPr>
            <w:b/>
            <w:noProof/>
            <w:webHidden/>
          </w:rPr>
          <w:t>148</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4" w:history="1">
        <w:r w:rsidR="003A69A7" w:rsidRPr="0088178F">
          <w:rPr>
            <w:rStyle w:val="Hyperlink"/>
            <w:rFonts w:cstheme="minorHAnsi"/>
            <w:b/>
            <w:noProof/>
          </w:rPr>
          <w:t>Фигура 60: Примерен погасителен план на заемно финансиране за проект в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_Toc399494644 \h </w:instrText>
        </w:r>
        <w:r w:rsidR="008E6461" w:rsidRPr="0088178F">
          <w:rPr>
            <w:b/>
            <w:noProof/>
            <w:webHidden/>
          </w:rPr>
        </w:r>
        <w:r w:rsidR="008E6461" w:rsidRPr="0088178F">
          <w:rPr>
            <w:b/>
            <w:noProof/>
            <w:webHidden/>
          </w:rPr>
          <w:fldChar w:fldCharType="separate"/>
        </w:r>
        <w:r w:rsidR="0041519B">
          <w:rPr>
            <w:b/>
            <w:noProof/>
            <w:webHidden/>
          </w:rPr>
          <w:t>149</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5" w:history="1">
        <w:r w:rsidR="003A69A7" w:rsidRPr="0088178F">
          <w:rPr>
            <w:rStyle w:val="Hyperlink"/>
            <w:rFonts w:cstheme="minorHAnsi"/>
            <w:b/>
            <w:noProof/>
          </w:rPr>
          <w:t>Фигура 61: Допълнителен финансов ресурс на ниво краен получател във ВиК сектора</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_Toc399494645 \h </w:instrText>
        </w:r>
        <w:r w:rsidR="008E6461" w:rsidRPr="0088178F">
          <w:rPr>
            <w:b/>
            <w:noProof/>
            <w:webHidden/>
          </w:rPr>
        </w:r>
        <w:r w:rsidR="008E6461" w:rsidRPr="0088178F">
          <w:rPr>
            <w:b/>
            <w:noProof/>
            <w:webHidden/>
          </w:rPr>
          <w:fldChar w:fldCharType="separate"/>
        </w:r>
        <w:r w:rsidR="0041519B">
          <w:rPr>
            <w:b/>
            <w:noProof/>
            <w:webHidden/>
          </w:rPr>
          <w:t>150</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6" w:history="1">
        <w:r w:rsidR="003A69A7" w:rsidRPr="0088178F">
          <w:rPr>
            <w:rStyle w:val="Hyperlink"/>
            <w:rFonts w:cstheme="minorHAnsi"/>
            <w:b/>
            <w:noProof/>
          </w:rPr>
          <w:t>Фигура 62: Допълнителен финансов ресурс на ниво краен получател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_Toc399494646 \h </w:instrText>
        </w:r>
        <w:r w:rsidR="008E6461" w:rsidRPr="0088178F">
          <w:rPr>
            <w:b/>
            <w:noProof/>
            <w:webHidden/>
          </w:rPr>
        </w:r>
        <w:r w:rsidR="008E6461" w:rsidRPr="0088178F">
          <w:rPr>
            <w:b/>
            <w:noProof/>
            <w:webHidden/>
          </w:rPr>
          <w:fldChar w:fldCharType="separate"/>
        </w:r>
        <w:r w:rsidR="0041519B">
          <w:rPr>
            <w:b/>
            <w:noProof/>
            <w:webHidden/>
          </w:rPr>
          <w:t>151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7" w:history="1">
        <w:r w:rsidR="003A69A7" w:rsidRPr="0088178F">
          <w:rPr>
            <w:rStyle w:val="Hyperlink"/>
            <w:rFonts w:cstheme="minorHAnsi"/>
            <w:b/>
            <w:noProof/>
          </w:rPr>
          <w:t>Фигура 63: Допълнителен финансов ресурс на ниво краен получател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_Toc399494647 \h </w:instrText>
        </w:r>
        <w:r w:rsidR="008E6461" w:rsidRPr="0088178F">
          <w:rPr>
            <w:b/>
            <w:noProof/>
            <w:webHidden/>
          </w:rPr>
        </w:r>
        <w:r w:rsidR="008E6461" w:rsidRPr="0088178F">
          <w:rPr>
            <w:b/>
            <w:noProof/>
            <w:webHidden/>
          </w:rPr>
          <w:fldChar w:fldCharType="separate"/>
        </w:r>
        <w:r w:rsidR="0041519B">
          <w:rPr>
            <w:b/>
            <w:noProof/>
            <w:webHidden/>
          </w:rPr>
          <w:t>151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8" w:history="1">
        <w:r w:rsidR="003A69A7" w:rsidRPr="0088178F">
          <w:rPr>
            <w:rStyle w:val="Hyperlink"/>
            <w:rFonts w:cstheme="minorHAnsi"/>
            <w:b/>
            <w:noProof/>
          </w:rPr>
          <w:t>Фигура 64: Синергичен ефект І вариант – сектор ВиК</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_Toc399494648 \h </w:instrText>
        </w:r>
        <w:r w:rsidR="008E6461" w:rsidRPr="0088178F">
          <w:rPr>
            <w:b/>
            <w:noProof/>
            <w:webHidden/>
          </w:rPr>
        </w:r>
        <w:r w:rsidR="008E6461" w:rsidRPr="0088178F">
          <w:rPr>
            <w:b/>
            <w:noProof/>
            <w:webHidden/>
          </w:rPr>
          <w:fldChar w:fldCharType="separate"/>
        </w:r>
        <w:r w:rsidR="0041519B">
          <w:rPr>
            <w:b/>
            <w:noProof/>
            <w:webHidden/>
          </w:rPr>
          <w:t>161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49" w:history="1">
        <w:r w:rsidR="003A69A7" w:rsidRPr="0088178F">
          <w:rPr>
            <w:rStyle w:val="Hyperlink"/>
            <w:rFonts w:cstheme="minorHAnsi"/>
            <w:b/>
            <w:noProof/>
          </w:rPr>
          <w:t>Фигура 65: Синергичен ефект ІІ вариант – сектор ВиК</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_Toc399494649 \h </w:instrText>
        </w:r>
        <w:r w:rsidR="008E6461" w:rsidRPr="0088178F">
          <w:rPr>
            <w:b/>
            <w:noProof/>
            <w:webHidden/>
          </w:rPr>
        </w:r>
        <w:r w:rsidR="008E6461" w:rsidRPr="0088178F">
          <w:rPr>
            <w:b/>
            <w:noProof/>
            <w:webHidden/>
          </w:rPr>
          <w:fldChar w:fldCharType="separate"/>
        </w:r>
        <w:r w:rsidR="0041519B">
          <w:rPr>
            <w:b/>
            <w:noProof/>
            <w:webHidden/>
          </w:rPr>
          <w:t>162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0" w:history="1">
        <w:r w:rsidR="003A69A7" w:rsidRPr="0088178F">
          <w:rPr>
            <w:rStyle w:val="Hyperlink"/>
            <w:rFonts w:cstheme="minorHAnsi"/>
            <w:b/>
            <w:noProof/>
          </w:rPr>
          <w:t>Фигура 66: Синергичен ефект ІІІ вариант – сектор ВиК</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_Toc399494650 \h </w:instrText>
        </w:r>
        <w:r w:rsidR="008E6461" w:rsidRPr="0088178F">
          <w:rPr>
            <w:b/>
            <w:noProof/>
            <w:webHidden/>
          </w:rPr>
        </w:r>
        <w:r w:rsidR="008E6461" w:rsidRPr="0088178F">
          <w:rPr>
            <w:b/>
            <w:noProof/>
            <w:webHidden/>
          </w:rPr>
          <w:fldChar w:fldCharType="separate"/>
        </w:r>
        <w:r w:rsidR="0041519B">
          <w:rPr>
            <w:b/>
            <w:noProof/>
            <w:webHidden/>
          </w:rPr>
          <w:t>163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1" w:history="1">
        <w:r w:rsidR="003A69A7" w:rsidRPr="0088178F">
          <w:rPr>
            <w:rStyle w:val="Hyperlink"/>
            <w:rFonts w:cstheme="minorHAnsi"/>
            <w:b/>
            <w:noProof/>
          </w:rPr>
          <w:t>Фигура 67: Синергичен ефект І вариант –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_Toc399494651 \h </w:instrText>
        </w:r>
        <w:r w:rsidR="008E6461" w:rsidRPr="0088178F">
          <w:rPr>
            <w:b/>
            <w:noProof/>
            <w:webHidden/>
          </w:rPr>
        </w:r>
        <w:r w:rsidR="008E6461" w:rsidRPr="0088178F">
          <w:rPr>
            <w:b/>
            <w:noProof/>
            <w:webHidden/>
          </w:rPr>
          <w:fldChar w:fldCharType="separate"/>
        </w:r>
        <w:r w:rsidR="0041519B">
          <w:rPr>
            <w:b/>
            <w:noProof/>
            <w:webHidden/>
          </w:rPr>
          <w:t>164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2" w:history="1">
        <w:r w:rsidR="003A69A7" w:rsidRPr="0088178F">
          <w:rPr>
            <w:rStyle w:val="Hyperlink"/>
            <w:rFonts w:cstheme="minorHAnsi"/>
            <w:b/>
            <w:noProof/>
          </w:rPr>
          <w:t>Фигура 68: Синергичен ефект ІІ вариант –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_Toc399494652 \h </w:instrText>
        </w:r>
        <w:r w:rsidR="008E6461" w:rsidRPr="0088178F">
          <w:rPr>
            <w:b/>
            <w:noProof/>
            <w:webHidden/>
          </w:rPr>
        </w:r>
        <w:r w:rsidR="008E6461" w:rsidRPr="0088178F">
          <w:rPr>
            <w:b/>
            <w:noProof/>
            <w:webHidden/>
          </w:rPr>
          <w:fldChar w:fldCharType="separate"/>
        </w:r>
        <w:r w:rsidR="0041519B">
          <w:rPr>
            <w:b/>
            <w:noProof/>
            <w:webHidden/>
          </w:rPr>
          <w:t>164</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3" w:history="1">
        <w:r w:rsidR="003A69A7" w:rsidRPr="0088178F">
          <w:rPr>
            <w:rStyle w:val="Hyperlink"/>
            <w:rFonts w:cstheme="minorHAnsi"/>
            <w:b/>
            <w:noProof/>
          </w:rPr>
          <w:t>Фигура 69: Синергичен ефект ІІ вариант –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_Toc399494653 \h </w:instrText>
        </w:r>
        <w:r w:rsidR="008E6461" w:rsidRPr="0088178F">
          <w:rPr>
            <w:b/>
            <w:noProof/>
            <w:webHidden/>
          </w:rPr>
        </w:r>
        <w:r w:rsidR="008E6461" w:rsidRPr="0088178F">
          <w:rPr>
            <w:b/>
            <w:noProof/>
            <w:webHidden/>
          </w:rPr>
          <w:fldChar w:fldCharType="separate"/>
        </w:r>
        <w:r w:rsidR="0041519B">
          <w:rPr>
            <w:b/>
            <w:noProof/>
            <w:webHidden/>
          </w:rPr>
          <w:t>165</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4" w:history="1">
        <w:r w:rsidR="003A69A7" w:rsidRPr="0088178F">
          <w:rPr>
            <w:rStyle w:val="Hyperlink"/>
            <w:rFonts w:cstheme="minorHAnsi"/>
            <w:b/>
            <w:noProof/>
          </w:rPr>
          <w:t>Фигура 70: Финансови инструменти и държавна помощ</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_Toc399494654 \h </w:instrText>
        </w:r>
        <w:r w:rsidR="008E6461" w:rsidRPr="0088178F">
          <w:rPr>
            <w:b/>
            <w:noProof/>
            <w:webHidden/>
          </w:rPr>
        </w:r>
        <w:r w:rsidR="008E6461" w:rsidRPr="0088178F">
          <w:rPr>
            <w:b/>
            <w:noProof/>
            <w:webHidden/>
          </w:rPr>
          <w:fldChar w:fldCharType="separate"/>
        </w:r>
        <w:r w:rsidR="0041519B">
          <w:rPr>
            <w:b/>
            <w:noProof/>
            <w:webHidden/>
          </w:rPr>
          <w:t>189</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5" w:history="1">
        <w:r w:rsidR="003A69A7" w:rsidRPr="0088178F">
          <w:rPr>
            <w:rStyle w:val="Hyperlink"/>
            <w:rFonts w:cstheme="minorHAnsi"/>
            <w:b/>
            <w:noProof/>
          </w:rPr>
          <w:t>Фигура 71: Допълнителни публични и частни ресурси във ВиК сектора при 20% БФП за ФИ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_Toc399494655 \h </w:instrText>
        </w:r>
        <w:r w:rsidR="008E6461" w:rsidRPr="0088178F">
          <w:rPr>
            <w:b/>
            <w:noProof/>
            <w:webHidden/>
          </w:rPr>
        </w:r>
        <w:r w:rsidR="008E6461" w:rsidRPr="0088178F">
          <w:rPr>
            <w:b/>
            <w:noProof/>
            <w:webHidden/>
          </w:rPr>
          <w:fldChar w:fldCharType="separate"/>
        </w:r>
        <w:r w:rsidR="0041519B">
          <w:rPr>
            <w:b/>
            <w:noProof/>
            <w:webHidden/>
          </w:rPr>
          <w:t>193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6" w:history="1">
        <w:r w:rsidR="003A69A7" w:rsidRPr="0088178F">
          <w:rPr>
            <w:rStyle w:val="Hyperlink"/>
            <w:rFonts w:cstheme="minorHAnsi"/>
            <w:b/>
            <w:noProof/>
          </w:rPr>
          <w:t>Фигура 71: Допълнителни публични и частни ресурси във ВиК сектора при 10% БФП за ФИ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_Toc399494656 \h </w:instrText>
        </w:r>
        <w:r w:rsidR="008E6461" w:rsidRPr="0088178F">
          <w:rPr>
            <w:b/>
            <w:noProof/>
            <w:webHidden/>
          </w:rPr>
        </w:r>
        <w:r w:rsidR="008E6461" w:rsidRPr="0088178F">
          <w:rPr>
            <w:b/>
            <w:noProof/>
            <w:webHidden/>
          </w:rPr>
          <w:fldChar w:fldCharType="separate"/>
        </w:r>
        <w:r w:rsidR="0041519B">
          <w:rPr>
            <w:b/>
            <w:noProof/>
            <w:webHidden/>
          </w:rPr>
          <w:t>193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7" w:history="1">
        <w:r w:rsidR="003A69A7" w:rsidRPr="0088178F">
          <w:rPr>
            <w:rStyle w:val="Hyperlink"/>
            <w:rFonts w:cstheme="minorHAnsi"/>
            <w:b/>
            <w:noProof/>
          </w:rPr>
          <w:t>Фигура 72: Допълнителни публични и частни ресурси в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_Toc399494657 \h </w:instrText>
        </w:r>
        <w:r w:rsidR="008E6461" w:rsidRPr="0088178F">
          <w:rPr>
            <w:b/>
            <w:noProof/>
            <w:webHidden/>
          </w:rPr>
        </w:r>
        <w:r w:rsidR="008E6461" w:rsidRPr="0088178F">
          <w:rPr>
            <w:b/>
            <w:noProof/>
            <w:webHidden/>
          </w:rPr>
          <w:fldChar w:fldCharType="separate"/>
        </w:r>
        <w:r w:rsidR="0041519B">
          <w:rPr>
            <w:b/>
            <w:noProof/>
            <w:webHidden/>
          </w:rPr>
          <w:t>195</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8" w:history="1">
        <w:r w:rsidR="003A69A7" w:rsidRPr="0088178F">
          <w:rPr>
            <w:rStyle w:val="Hyperlink"/>
            <w:rFonts w:cstheme="minorHAnsi"/>
            <w:b/>
            <w:noProof/>
          </w:rPr>
          <w:t>Фигура 73: Възможни нива на действие на националното съфинансиране към ЕСИФ</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_Toc399494658 \h </w:instrText>
        </w:r>
        <w:r w:rsidR="008E6461" w:rsidRPr="0088178F">
          <w:rPr>
            <w:b/>
            <w:noProof/>
            <w:webHidden/>
          </w:rPr>
        </w:r>
        <w:r w:rsidR="008E6461" w:rsidRPr="0088178F">
          <w:rPr>
            <w:b/>
            <w:noProof/>
            <w:webHidden/>
          </w:rPr>
          <w:fldChar w:fldCharType="separate"/>
        </w:r>
        <w:r w:rsidR="0041519B">
          <w:rPr>
            <w:b/>
            <w:noProof/>
            <w:webHidden/>
          </w:rPr>
          <w:t>196</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59" w:history="1">
        <w:r w:rsidR="003A69A7" w:rsidRPr="0088178F">
          <w:rPr>
            <w:rStyle w:val="Hyperlink"/>
            <w:rFonts w:cstheme="minorHAnsi"/>
            <w:b/>
            <w:noProof/>
          </w:rPr>
          <w:t>Фигура 74: Възможни нива на действие на националното съфинансиране към ЕСИФ</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_Toc399494659 \h </w:instrText>
        </w:r>
        <w:r w:rsidR="008E6461" w:rsidRPr="0088178F">
          <w:rPr>
            <w:b/>
            <w:noProof/>
            <w:webHidden/>
          </w:rPr>
        </w:r>
        <w:r w:rsidR="008E6461" w:rsidRPr="0088178F">
          <w:rPr>
            <w:b/>
            <w:noProof/>
            <w:webHidden/>
          </w:rPr>
          <w:fldChar w:fldCharType="separate"/>
        </w:r>
        <w:r w:rsidR="0041519B">
          <w:rPr>
            <w:b/>
            <w:noProof/>
            <w:webHidden/>
          </w:rPr>
          <w:t>197</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60" w:history="1">
        <w:r w:rsidR="003A69A7" w:rsidRPr="0088178F">
          <w:rPr>
            <w:rStyle w:val="Hyperlink"/>
            <w:rFonts w:cstheme="minorHAnsi"/>
            <w:b/>
            <w:noProof/>
          </w:rPr>
          <w:t>Фигура 75: Общ инвестиционен портфейл на проектите в сектор Води при 20% БФП за ФИ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_Toc399494660 \h </w:instrText>
        </w:r>
        <w:r w:rsidR="008E6461" w:rsidRPr="0088178F">
          <w:rPr>
            <w:b/>
            <w:noProof/>
            <w:webHidden/>
          </w:rPr>
        </w:r>
        <w:r w:rsidR="008E6461" w:rsidRPr="0088178F">
          <w:rPr>
            <w:b/>
            <w:noProof/>
            <w:webHidden/>
          </w:rPr>
          <w:fldChar w:fldCharType="separate"/>
        </w:r>
        <w:r w:rsidR="0041519B">
          <w:rPr>
            <w:b/>
            <w:noProof/>
            <w:webHidden/>
          </w:rPr>
          <w:t>199</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61" w:history="1">
        <w:r w:rsidR="003A69A7" w:rsidRPr="0088178F">
          <w:rPr>
            <w:rStyle w:val="Hyperlink"/>
            <w:rFonts w:cstheme="minorHAnsi"/>
            <w:b/>
            <w:noProof/>
          </w:rPr>
          <w:t>Фигура 76: Общ инвестиционен портфейл на проектите в сектор Води при 10% БФП за ФИ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_Toc399494661 \h </w:instrText>
        </w:r>
        <w:r w:rsidR="008E6461" w:rsidRPr="0088178F">
          <w:rPr>
            <w:b/>
            <w:noProof/>
            <w:webHidden/>
          </w:rPr>
        </w:r>
        <w:r w:rsidR="008E6461" w:rsidRPr="0088178F">
          <w:rPr>
            <w:b/>
            <w:noProof/>
            <w:webHidden/>
          </w:rPr>
          <w:fldChar w:fldCharType="separate"/>
        </w:r>
        <w:r w:rsidR="0041519B">
          <w:rPr>
            <w:b/>
            <w:noProof/>
            <w:webHidden/>
          </w:rPr>
          <w:t>200</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62" w:history="1">
        <w:r w:rsidR="003A69A7" w:rsidRPr="0088178F">
          <w:rPr>
            <w:rStyle w:val="Hyperlink"/>
            <w:rFonts w:cstheme="minorHAnsi"/>
            <w:b/>
            <w:noProof/>
          </w:rPr>
          <w:t>Фигура 76: Общ инвестиционен портфейл на проектите в сектор Отпадъци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_Toc399494662 \h </w:instrText>
        </w:r>
        <w:r w:rsidR="008E6461" w:rsidRPr="0088178F">
          <w:rPr>
            <w:b/>
            <w:noProof/>
            <w:webHidden/>
          </w:rPr>
        </w:r>
        <w:r w:rsidR="008E6461" w:rsidRPr="0088178F">
          <w:rPr>
            <w:b/>
            <w:noProof/>
            <w:webHidden/>
          </w:rPr>
          <w:fldChar w:fldCharType="separate"/>
        </w:r>
        <w:r w:rsidR="0041519B">
          <w:rPr>
            <w:b/>
            <w:noProof/>
            <w:webHidden/>
          </w:rPr>
          <w:t>201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63" w:history="1">
        <w:r w:rsidR="003A69A7" w:rsidRPr="0088178F">
          <w:rPr>
            <w:rStyle w:val="Hyperlink"/>
            <w:rFonts w:cstheme="minorHAnsi"/>
            <w:b/>
            <w:noProof/>
          </w:rPr>
          <w:t>Фигура 77: Холдингов фонд</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_Toc399494663 \h </w:instrText>
        </w:r>
        <w:r w:rsidR="008E6461" w:rsidRPr="0088178F">
          <w:rPr>
            <w:b/>
            <w:noProof/>
            <w:webHidden/>
          </w:rPr>
        </w:r>
        <w:r w:rsidR="008E6461" w:rsidRPr="0088178F">
          <w:rPr>
            <w:b/>
            <w:noProof/>
            <w:webHidden/>
          </w:rPr>
          <w:fldChar w:fldCharType="separate"/>
        </w:r>
        <w:r w:rsidR="0041519B">
          <w:rPr>
            <w:b/>
            <w:noProof/>
            <w:webHidden/>
          </w:rPr>
          <w:t>210</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64" w:history="1">
        <w:r w:rsidR="003A69A7" w:rsidRPr="0088178F">
          <w:rPr>
            <w:rStyle w:val="Hyperlink"/>
            <w:rFonts w:ascii="Calibri" w:eastAsia="Calibri" w:hAnsi="Calibri" w:cs="Times New Roman"/>
            <w:b/>
            <w:noProof/>
          </w:rPr>
          <w:t>Фигура 78:  ИНСТРУМЕНТИ ПРИЛАГАН С И БЕЗ ХОЛДИНГОВ ФОНД</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_Toc399494664 \h </w:instrText>
        </w:r>
        <w:r w:rsidR="008E6461" w:rsidRPr="0088178F">
          <w:rPr>
            <w:b/>
            <w:noProof/>
            <w:webHidden/>
          </w:rPr>
        </w:r>
        <w:r w:rsidR="008E6461" w:rsidRPr="0088178F">
          <w:rPr>
            <w:b/>
            <w:noProof/>
            <w:webHidden/>
          </w:rPr>
          <w:fldChar w:fldCharType="separate"/>
        </w:r>
        <w:r w:rsidR="0041519B">
          <w:rPr>
            <w:b/>
            <w:noProof/>
            <w:webHidden/>
          </w:rPr>
          <w:t>211</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65" w:history="1">
        <w:r w:rsidR="003A69A7" w:rsidRPr="0088178F">
          <w:rPr>
            <w:rStyle w:val="Hyperlink"/>
            <w:rFonts w:ascii="Calibri" w:eastAsia="Calibri" w:hAnsi="Calibri" w:cs="Times New Roman"/>
            <w:b/>
            <w:bCs/>
            <w:noProof/>
          </w:rPr>
          <w:t xml:space="preserve">Фигура 79:  </w:t>
        </w:r>
        <w:r w:rsidR="003A69A7" w:rsidRPr="0088178F">
          <w:rPr>
            <w:rStyle w:val="Hyperlink"/>
            <w:rFonts w:ascii="Calibri" w:eastAsia="Calibri" w:hAnsi="Calibri" w:cs="Times New Roman"/>
            <w:b/>
            <w:noProof/>
          </w:rPr>
          <w:t>БРОЙ ФИНАНСОВИ ИНСТРУМЕНТИ И ПРИНОС НА ОП за ФИ към края на 2011</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_Toc399494665 \h </w:instrText>
        </w:r>
        <w:r w:rsidR="008E6461" w:rsidRPr="0088178F">
          <w:rPr>
            <w:b/>
            <w:noProof/>
            <w:webHidden/>
          </w:rPr>
        </w:r>
        <w:r w:rsidR="008E6461" w:rsidRPr="0088178F">
          <w:rPr>
            <w:b/>
            <w:noProof/>
            <w:webHidden/>
          </w:rPr>
          <w:fldChar w:fldCharType="separate"/>
        </w:r>
        <w:r w:rsidR="0041519B">
          <w:rPr>
            <w:b/>
            <w:noProof/>
            <w:webHidden/>
          </w:rPr>
          <w:t>212</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66" w:history="1">
        <w:r w:rsidR="003A69A7" w:rsidRPr="0088178F">
          <w:rPr>
            <w:rStyle w:val="Hyperlink"/>
            <w:rFonts w:ascii="Calibri" w:eastAsia="Calibri" w:hAnsi="Calibri" w:cs="Times New Roman"/>
            <w:b/>
            <w:bCs/>
            <w:noProof/>
          </w:rPr>
          <w:t xml:space="preserve">Фигура 80:  </w:t>
        </w:r>
        <w:r w:rsidR="003A69A7" w:rsidRPr="0088178F">
          <w:rPr>
            <w:rStyle w:val="Hyperlink"/>
            <w:rFonts w:ascii="Calibri" w:eastAsia="Calibri" w:hAnsi="Calibri" w:cs="Times New Roman"/>
            <w:b/>
            <w:noProof/>
          </w:rPr>
          <w:t>БРОЙ ФИНАНСОВИ ИНСТРУМЕНТИ И ПРИНОС НА СТРУКТУРНИТЕ ФОНДОВЕ</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_Toc399494666 \h </w:instrText>
        </w:r>
        <w:r w:rsidR="008E6461" w:rsidRPr="0088178F">
          <w:rPr>
            <w:b/>
            <w:noProof/>
            <w:webHidden/>
          </w:rPr>
        </w:r>
        <w:r w:rsidR="008E6461" w:rsidRPr="0088178F">
          <w:rPr>
            <w:b/>
            <w:noProof/>
            <w:webHidden/>
          </w:rPr>
          <w:fldChar w:fldCharType="separate"/>
        </w:r>
        <w:r w:rsidR="0041519B">
          <w:rPr>
            <w:b/>
            <w:noProof/>
            <w:webHidden/>
          </w:rPr>
          <w:t>213</w:t>
        </w:r>
        <w:r w:rsidR="008E6461" w:rsidRPr="0088178F">
          <w:rPr>
            <w:b/>
            <w:noProof/>
            <w:webHidden/>
          </w:rPr>
          <w:fldChar w:fldCharType="end"/>
        </w:r>
      </w:hyperlink>
    </w:p>
    <w:p w:rsidR="003A69A7" w:rsidRPr="0088178F" w:rsidRDefault="00CD14DF">
      <w:pPr>
        <w:pStyle w:val="TableofFigures"/>
        <w:tabs>
          <w:tab w:val="right" w:leader="dot" w:pos="9062"/>
        </w:tabs>
        <w:rPr>
          <w:rFonts w:eastAsiaTheme="minorEastAsia"/>
          <w:b/>
          <w:noProof/>
          <w:lang w:eastAsia="bg-BG"/>
        </w:rPr>
      </w:pPr>
      <w:hyperlink w:anchor="_Toc399494667" w:history="1">
        <w:r w:rsidR="003A69A7" w:rsidRPr="0088178F">
          <w:rPr>
            <w:rStyle w:val="Hyperlink"/>
            <w:rFonts w:ascii="Calibri" w:eastAsia="Calibri" w:hAnsi="Calibri" w:cs="Times New Roman"/>
            <w:b/>
            <w:bCs/>
            <w:noProof/>
          </w:rPr>
          <w:t xml:space="preserve">Фигура 81:  </w:t>
        </w:r>
        <w:r w:rsidR="003A69A7" w:rsidRPr="0088178F">
          <w:rPr>
            <w:rStyle w:val="Hyperlink"/>
            <w:rFonts w:ascii="Calibri" w:eastAsia="Calibri" w:hAnsi="Calibri" w:cs="Times New Roman"/>
            <w:b/>
            <w:noProof/>
          </w:rPr>
          <w:t>СРЕДЕН РАЗМЕР НА ИНВЕСТИЦИИТЕ ПО ВИДОВЕ ФИ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_Toc399494667 \h </w:instrText>
        </w:r>
        <w:r w:rsidR="008E6461" w:rsidRPr="0088178F">
          <w:rPr>
            <w:b/>
            <w:noProof/>
            <w:webHidden/>
          </w:rPr>
        </w:r>
        <w:r w:rsidR="008E6461" w:rsidRPr="0088178F">
          <w:rPr>
            <w:b/>
            <w:noProof/>
            <w:webHidden/>
          </w:rPr>
          <w:fldChar w:fldCharType="separate"/>
        </w:r>
        <w:r w:rsidR="0041519B">
          <w:rPr>
            <w:b/>
            <w:noProof/>
            <w:webHidden/>
          </w:rPr>
          <w:t>214</w:t>
        </w:r>
        <w:r w:rsidR="008E6461" w:rsidRPr="0088178F">
          <w:rPr>
            <w:b/>
            <w:noProof/>
            <w:webHidden/>
          </w:rPr>
          <w:fldChar w:fldCharType="end"/>
        </w:r>
      </w:hyperlink>
    </w:p>
    <w:p w:rsidR="009376DD" w:rsidRPr="00D50123" w:rsidRDefault="00CD14DF" w:rsidP="00292CC6">
      <w:pPr>
        <w:pStyle w:val="TableofFigures"/>
        <w:tabs>
          <w:tab w:val="right" w:leader="dot" w:pos="9062"/>
        </w:tabs>
        <w:rPr>
          <w:rFonts w:cs="Times New Roman"/>
        </w:rPr>
        <w:sectPr w:rsidR="009376DD" w:rsidRPr="00D50123" w:rsidSect="00D50123">
          <w:pgSz w:w="11906" w:h="16838"/>
          <w:pgMar w:top="709" w:right="1417" w:bottom="851" w:left="1417" w:header="284" w:footer="247" w:gutter="0"/>
          <w:cols w:space="708"/>
          <w:titlePg/>
          <w:docGrid w:linePitch="360"/>
        </w:sectPr>
      </w:pPr>
      <w:hyperlink w:anchor="_Toc399494668" w:history="1">
        <w:r w:rsidR="003A69A7" w:rsidRPr="0088178F">
          <w:rPr>
            <w:rStyle w:val="Hyperlink"/>
            <w:rFonts w:cstheme="minorHAnsi"/>
            <w:b/>
            <w:noProof/>
          </w:rPr>
          <w:t>Фигура 82 Финансова устойчивост на общините в Р България по групи</w:t>
        </w:r>
        <w:r w:rsidR="003A69A7" w:rsidRPr="0088178F">
          <w:rPr>
            <w:b/>
            <w:noProof/>
            <w:webHidden/>
          </w:rPr>
          <w:tab/>
        </w:r>
        <w:r w:rsidR="008E6461" w:rsidRPr="0088178F">
          <w:rPr>
            <w:b/>
            <w:noProof/>
            <w:webHidden/>
          </w:rPr>
          <w:fldChar w:fldCharType="begin"/>
        </w:r>
        <w:r w:rsidR="003A69A7" w:rsidRPr="0088178F">
          <w:rPr>
            <w:b/>
            <w:noProof/>
            <w:webHidden/>
          </w:rPr>
          <w:instrText xml:space="preserve"> PAGEREF _Toc399494668 \h </w:instrText>
        </w:r>
        <w:r w:rsidR="008E6461" w:rsidRPr="0088178F">
          <w:rPr>
            <w:b/>
            <w:noProof/>
            <w:webHidden/>
          </w:rPr>
        </w:r>
        <w:r w:rsidR="008E6461" w:rsidRPr="0088178F">
          <w:rPr>
            <w:b/>
            <w:noProof/>
            <w:webHidden/>
          </w:rPr>
          <w:fldChar w:fldCharType="separate"/>
        </w:r>
        <w:r w:rsidR="0041519B">
          <w:rPr>
            <w:b/>
            <w:noProof/>
            <w:webHidden/>
          </w:rPr>
          <w:t>263</w:t>
        </w:r>
        <w:r w:rsidR="008E6461" w:rsidRPr="0088178F">
          <w:rPr>
            <w:b/>
            <w:noProof/>
            <w:webHidden/>
          </w:rPr>
          <w:fldChar w:fldCharType="end"/>
        </w:r>
      </w:hyperlink>
      <w:r w:rsidR="008E6461" w:rsidRPr="0088178F">
        <w:rPr>
          <w:rFonts w:cs="Times New Roman"/>
          <w:b/>
        </w:rPr>
        <w:fldChar w:fldCharType="end"/>
      </w:r>
    </w:p>
    <w:p w:rsidR="0088178F" w:rsidRDefault="0088178F">
      <w:pPr>
        <w:pStyle w:val="TableofFigures"/>
        <w:tabs>
          <w:tab w:val="right" w:leader="dot" w:pos="9062"/>
        </w:tabs>
        <w:rPr>
          <w:rFonts w:cs="Times New Roman"/>
          <w:b/>
          <w:lang w:val="en-US"/>
        </w:rPr>
      </w:pPr>
    </w:p>
    <w:p w:rsidR="0088178F" w:rsidRPr="0088178F" w:rsidRDefault="0088178F">
      <w:pPr>
        <w:pStyle w:val="TableofFigures"/>
        <w:tabs>
          <w:tab w:val="right" w:leader="dot" w:pos="9062"/>
        </w:tabs>
        <w:rPr>
          <w:rFonts w:cs="Times New Roman"/>
          <w:b/>
          <w:color w:val="2E74B5" w:themeColor="accent1" w:themeShade="BF"/>
        </w:rPr>
      </w:pPr>
      <w:r w:rsidRPr="0088178F">
        <w:rPr>
          <w:rFonts w:cs="Times New Roman"/>
          <w:b/>
          <w:color w:val="2E74B5" w:themeColor="accent1" w:themeShade="BF"/>
        </w:rPr>
        <w:t>Списък на таблиците</w:t>
      </w:r>
    </w:p>
    <w:p w:rsidR="0088178F" w:rsidRPr="0088178F" w:rsidRDefault="008E6461" w:rsidP="0088178F">
      <w:pPr>
        <w:pStyle w:val="TableofFigures"/>
        <w:tabs>
          <w:tab w:val="right" w:leader="dot" w:pos="9062"/>
        </w:tabs>
        <w:spacing w:before="240"/>
        <w:rPr>
          <w:rFonts w:eastAsiaTheme="minorEastAsia"/>
          <w:b/>
          <w:noProof/>
          <w:lang w:eastAsia="bg-BG"/>
        </w:rPr>
      </w:pPr>
      <w:r>
        <w:rPr>
          <w:rFonts w:cs="Times New Roman"/>
          <w:b/>
        </w:rPr>
        <w:fldChar w:fldCharType="begin"/>
      </w:r>
      <w:r w:rsidR="0088178F">
        <w:rPr>
          <w:rFonts w:cs="Times New Roman"/>
          <w:b/>
        </w:rPr>
        <w:instrText xml:space="preserve"> TOC \h \z \c "таблица" </w:instrText>
      </w:r>
      <w:r>
        <w:rPr>
          <w:rFonts w:cs="Times New Roman"/>
          <w:b/>
        </w:rPr>
        <w:fldChar w:fldCharType="separate"/>
      </w:r>
      <w:hyperlink w:anchor="_Toc399494881" w:history="1">
        <w:r w:rsidR="0088178F" w:rsidRPr="0088178F">
          <w:rPr>
            <w:rStyle w:val="Hyperlink"/>
            <w:rFonts w:eastAsia="Calibri" w:cstheme="minorHAnsi"/>
            <w:b/>
            <w:noProof/>
          </w:rPr>
          <w:t>Таблица 1: Ефективност на ВиК операторите</w:t>
        </w:r>
        <w:r w:rsidR="0088178F" w:rsidRPr="0088178F">
          <w:rPr>
            <w:b/>
            <w:noProof/>
            <w:webHidden/>
          </w:rPr>
          <w:tab/>
        </w:r>
        <w:r w:rsidRPr="0088178F">
          <w:rPr>
            <w:b/>
            <w:noProof/>
            <w:webHidden/>
          </w:rPr>
          <w:fldChar w:fldCharType="begin"/>
        </w:r>
        <w:r w:rsidR="0088178F" w:rsidRPr="0088178F">
          <w:rPr>
            <w:b/>
            <w:noProof/>
            <w:webHidden/>
          </w:rPr>
          <w:instrText xml:space="preserve"> PAGEREF _Toc399494881 \h </w:instrText>
        </w:r>
        <w:r w:rsidRPr="0088178F">
          <w:rPr>
            <w:b/>
            <w:noProof/>
            <w:webHidden/>
          </w:rPr>
        </w:r>
        <w:r w:rsidRPr="0088178F">
          <w:rPr>
            <w:b/>
            <w:noProof/>
            <w:webHidden/>
          </w:rPr>
          <w:fldChar w:fldCharType="separate"/>
        </w:r>
        <w:r w:rsidR="0041519B">
          <w:rPr>
            <w:b/>
            <w:noProof/>
            <w:webHidden/>
          </w:rPr>
          <w:t>23</w:t>
        </w:r>
        <w:r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82" w:history="1">
        <w:r w:rsidR="0088178F" w:rsidRPr="0088178F">
          <w:rPr>
            <w:rStyle w:val="Hyperlink"/>
            <w:rFonts w:cstheme="minorHAnsi"/>
            <w:b/>
            <w:noProof/>
          </w:rPr>
          <w:t>Таблица 2: Коефициент на ефективност на приходите на ВиК дружествата</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_Toc399494882 \h </w:instrText>
        </w:r>
        <w:r w:rsidR="008E6461" w:rsidRPr="0088178F">
          <w:rPr>
            <w:b/>
            <w:noProof/>
            <w:webHidden/>
          </w:rPr>
        </w:r>
        <w:r w:rsidR="008E6461" w:rsidRPr="0088178F">
          <w:rPr>
            <w:b/>
            <w:noProof/>
            <w:webHidden/>
          </w:rPr>
          <w:fldChar w:fldCharType="separate"/>
        </w:r>
        <w:r w:rsidR="0041519B">
          <w:rPr>
            <w:b/>
            <w:noProof/>
            <w:webHidden/>
          </w:rPr>
          <w:t>24</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83" w:history="1">
        <w:r w:rsidR="0088178F" w:rsidRPr="0088178F">
          <w:rPr>
            <w:rStyle w:val="Hyperlink"/>
            <w:rFonts w:cstheme="minorHAnsi"/>
            <w:b/>
            <w:noProof/>
          </w:rPr>
          <w:t>Таблица 3: Изпълнение на планираните инвестиции от ВиК дружествата</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_Toc399494883 \h </w:instrText>
        </w:r>
        <w:r w:rsidR="008E6461" w:rsidRPr="0088178F">
          <w:rPr>
            <w:b/>
            <w:noProof/>
            <w:webHidden/>
          </w:rPr>
        </w:r>
        <w:r w:rsidR="008E6461" w:rsidRPr="0088178F">
          <w:rPr>
            <w:b/>
            <w:noProof/>
            <w:webHidden/>
          </w:rPr>
          <w:fldChar w:fldCharType="separate"/>
        </w:r>
        <w:r w:rsidR="0041519B">
          <w:rPr>
            <w:b/>
            <w:noProof/>
            <w:webHidden/>
          </w:rPr>
          <w:t>25</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84" w:history="1">
        <w:r w:rsidR="0088178F" w:rsidRPr="0088178F">
          <w:rPr>
            <w:rStyle w:val="Hyperlink"/>
            <w:rFonts w:cstheme="minorHAnsi"/>
            <w:b/>
            <w:noProof/>
          </w:rPr>
          <w:t>Таблица 4: Необходими краткосрочни инвестиции във ВиК сектора</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_Toc399494884 \h </w:instrText>
        </w:r>
        <w:r w:rsidR="008E6461" w:rsidRPr="0088178F">
          <w:rPr>
            <w:b/>
            <w:noProof/>
            <w:webHidden/>
          </w:rPr>
        </w:r>
        <w:r w:rsidR="008E6461" w:rsidRPr="0088178F">
          <w:rPr>
            <w:b/>
            <w:noProof/>
            <w:webHidden/>
          </w:rPr>
          <w:fldChar w:fldCharType="separate"/>
        </w:r>
        <w:r w:rsidR="0041519B">
          <w:rPr>
            <w:b/>
            <w:noProof/>
            <w:webHidden/>
          </w:rPr>
          <w:t>32</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85" w:history="1">
        <w:r w:rsidR="0088178F" w:rsidRPr="0088178F">
          <w:rPr>
            <w:rStyle w:val="Hyperlink"/>
            <w:rFonts w:cstheme="minorHAnsi"/>
            <w:b/>
            <w:noProof/>
          </w:rPr>
          <w:t>Таблица 5: Процедура: BG161PO005-1.0.02 Подобряване и развитие на инфраструктурата за питейни и отпадъчни води</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_Toc399494885 \h </w:instrText>
        </w:r>
        <w:r w:rsidR="008E6461" w:rsidRPr="0088178F">
          <w:rPr>
            <w:b/>
            <w:noProof/>
            <w:webHidden/>
          </w:rPr>
        </w:r>
        <w:r w:rsidR="008E6461" w:rsidRPr="0088178F">
          <w:rPr>
            <w:b/>
            <w:noProof/>
            <w:webHidden/>
          </w:rPr>
          <w:fldChar w:fldCharType="separate"/>
        </w:r>
        <w:r w:rsidR="0041519B">
          <w:rPr>
            <w:b/>
            <w:noProof/>
            <w:webHidden/>
          </w:rPr>
          <w:t>34</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86" w:history="1">
        <w:r w:rsidR="0088178F" w:rsidRPr="0088178F">
          <w:rPr>
            <w:rStyle w:val="Hyperlink"/>
            <w:rFonts w:cstheme="minorHAnsi"/>
            <w:b/>
            <w:noProof/>
          </w:rPr>
          <w:t>Таблица 6: Процедура: BG161PO005-1.0.06 Подобряване и развитие на инфраструктурата за питейни и отпадъчни води в агломерации над 10 000 е.ж.</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_Toc399494886 \h </w:instrText>
        </w:r>
        <w:r w:rsidR="008E6461" w:rsidRPr="0088178F">
          <w:rPr>
            <w:b/>
            <w:noProof/>
            <w:webHidden/>
          </w:rPr>
        </w:r>
        <w:r w:rsidR="008E6461" w:rsidRPr="0088178F">
          <w:rPr>
            <w:b/>
            <w:noProof/>
            <w:webHidden/>
          </w:rPr>
          <w:fldChar w:fldCharType="separate"/>
        </w:r>
        <w:r w:rsidR="0041519B">
          <w:rPr>
            <w:b/>
            <w:noProof/>
            <w:webHidden/>
          </w:rPr>
          <w:t>35</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87" w:history="1">
        <w:r w:rsidR="0088178F" w:rsidRPr="0088178F">
          <w:rPr>
            <w:rStyle w:val="Hyperlink"/>
            <w:rFonts w:cstheme="minorHAnsi"/>
            <w:b/>
            <w:noProof/>
          </w:rPr>
          <w:t>Таблица 7:</w:t>
        </w:r>
        <w:r w:rsidR="0088178F" w:rsidRPr="0088178F">
          <w:rPr>
            <w:rStyle w:val="Hyperlink"/>
            <w:b/>
            <w:noProof/>
          </w:rPr>
          <w:t xml:space="preserve"> </w:t>
        </w:r>
        <w:r w:rsidR="0088178F" w:rsidRPr="0088178F">
          <w:rPr>
            <w:rStyle w:val="Hyperlink"/>
            <w:rFonts w:cstheme="minorHAnsi"/>
            <w:b/>
            <w:noProof/>
          </w:rPr>
          <w:t>Процедура BG161PO005-1.0.07 Подготовка и изпълнение на проекти за подобряване и развитие на инфраструктура за питейни и отпадъчни води в агломерации над 10 000 е.ж.</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_Toc399494887 \h </w:instrText>
        </w:r>
        <w:r w:rsidR="008E6461" w:rsidRPr="0088178F">
          <w:rPr>
            <w:b/>
            <w:noProof/>
            <w:webHidden/>
          </w:rPr>
        </w:r>
        <w:r w:rsidR="008E6461" w:rsidRPr="0088178F">
          <w:rPr>
            <w:b/>
            <w:noProof/>
            <w:webHidden/>
          </w:rPr>
          <w:fldChar w:fldCharType="separate"/>
        </w:r>
        <w:r w:rsidR="0041519B">
          <w:rPr>
            <w:b/>
            <w:noProof/>
            <w:webHidden/>
          </w:rPr>
          <w:t>38</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88" w:history="1">
        <w:r w:rsidR="0088178F" w:rsidRPr="0088178F">
          <w:rPr>
            <w:rStyle w:val="Hyperlink"/>
            <w:rFonts w:eastAsia="Times New Roman" w:cstheme="minorHAnsi"/>
            <w:b/>
            <w:bCs/>
            <w:noProof/>
            <w:lang w:eastAsia="bg-BG"/>
          </w:rPr>
          <w:t>Таблица 8: Големи проекти по ОПОС 2014-2020 г.</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_Toc399494888 \h </w:instrText>
        </w:r>
        <w:r w:rsidR="008E6461" w:rsidRPr="0088178F">
          <w:rPr>
            <w:b/>
            <w:noProof/>
            <w:webHidden/>
          </w:rPr>
        </w:r>
        <w:r w:rsidR="008E6461" w:rsidRPr="0088178F">
          <w:rPr>
            <w:b/>
            <w:noProof/>
            <w:webHidden/>
          </w:rPr>
          <w:fldChar w:fldCharType="separate"/>
        </w:r>
        <w:r w:rsidR="0041519B">
          <w:rPr>
            <w:b/>
            <w:noProof/>
            <w:webHidden/>
          </w:rPr>
          <w:t>39</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89" w:history="1">
        <w:r w:rsidR="0088178F" w:rsidRPr="0088178F">
          <w:rPr>
            <w:rStyle w:val="Hyperlink"/>
            <w:rFonts w:eastAsia="Times New Roman" w:cstheme="minorHAnsi"/>
            <w:b/>
            <w:bCs/>
            <w:noProof/>
            <w:lang w:eastAsia="bg-BG"/>
          </w:rPr>
          <w:t>Таблица 9:Одобрение проекти по програма ИСПА до 2007 г.</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_Toc399494889 \h </w:instrText>
        </w:r>
        <w:r w:rsidR="008E6461" w:rsidRPr="0088178F">
          <w:rPr>
            <w:b/>
            <w:noProof/>
            <w:webHidden/>
          </w:rPr>
        </w:r>
        <w:r w:rsidR="008E6461" w:rsidRPr="0088178F">
          <w:rPr>
            <w:b/>
            <w:noProof/>
            <w:webHidden/>
          </w:rPr>
          <w:fldChar w:fldCharType="separate"/>
        </w:r>
        <w:r w:rsidR="0041519B">
          <w:rPr>
            <w:b/>
            <w:noProof/>
            <w:webHidden/>
          </w:rPr>
          <w:t>41</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0" w:history="1">
        <w:r w:rsidR="0088178F" w:rsidRPr="0088178F">
          <w:rPr>
            <w:rStyle w:val="Hyperlink"/>
            <w:rFonts w:eastAsia="Times New Roman" w:cstheme="minorHAnsi"/>
            <w:b/>
            <w:bCs/>
            <w:noProof/>
            <w:lang w:eastAsia="bg-BG"/>
          </w:rPr>
          <w:t>Таблица 10: Структура на финансиране на проектите по програма ИСПА</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_Toc399494890 \h </w:instrText>
        </w:r>
        <w:r w:rsidR="008E6461" w:rsidRPr="0088178F">
          <w:rPr>
            <w:b/>
            <w:noProof/>
            <w:webHidden/>
          </w:rPr>
        </w:r>
        <w:r w:rsidR="008E6461" w:rsidRPr="0088178F">
          <w:rPr>
            <w:b/>
            <w:noProof/>
            <w:webHidden/>
          </w:rPr>
          <w:fldChar w:fldCharType="separate"/>
        </w:r>
        <w:r w:rsidR="0041519B">
          <w:rPr>
            <w:b/>
            <w:noProof/>
            <w:webHidden/>
          </w:rPr>
          <w:t>42</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1" w:history="1">
        <w:r w:rsidR="0088178F" w:rsidRPr="0088178F">
          <w:rPr>
            <w:rStyle w:val="Hyperlink"/>
            <w:rFonts w:eastAsia="Times New Roman" w:cstheme="minorHAnsi"/>
            <w:b/>
            <w:bCs/>
            <w:noProof/>
            <w:lang w:eastAsia="bg-BG"/>
          </w:rPr>
          <w:t>Таблица 11: Структура на финансиране на проектите във ВиК сектора (2007-2013 г.)</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_Toc399494891 \h </w:instrText>
        </w:r>
        <w:r w:rsidR="008E6461" w:rsidRPr="0088178F">
          <w:rPr>
            <w:b/>
            <w:noProof/>
            <w:webHidden/>
          </w:rPr>
        </w:r>
        <w:r w:rsidR="008E6461" w:rsidRPr="0088178F">
          <w:rPr>
            <w:b/>
            <w:noProof/>
            <w:webHidden/>
          </w:rPr>
          <w:fldChar w:fldCharType="separate"/>
        </w:r>
        <w:r w:rsidR="0041519B">
          <w:rPr>
            <w:b/>
            <w:noProof/>
            <w:webHidden/>
          </w:rPr>
          <w:t>43</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2" w:history="1">
        <w:r w:rsidR="0088178F" w:rsidRPr="0088178F">
          <w:rPr>
            <w:rStyle w:val="Hyperlink"/>
            <w:rFonts w:eastAsia="Times New Roman" w:cstheme="minorHAnsi"/>
            <w:b/>
            <w:bCs/>
            <w:noProof/>
            <w:lang w:eastAsia="bg-BG"/>
          </w:rPr>
          <w:t>Таблица 12: Възможни форми на финансиране на проекти в сектор ВиК (2014-2020 г.)</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_Toc399494892 \h </w:instrText>
        </w:r>
        <w:r w:rsidR="008E6461" w:rsidRPr="0088178F">
          <w:rPr>
            <w:b/>
            <w:noProof/>
            <w:webHidden/>
          </w:rPr>
        </w:r>
        <w:r w:rsidR="008E6461" w:rsidRPr="0088178F">
          <w:rPr>
            <w:b/>
            <w:noProof/>
            <w:webHidden/>
          </w:rPr>
          <w:fldChar w:fldCharType="separate"/>
        </w:r>
        <w:r w:rsidR="0041519B">
          <w:rPr>
            <w:b/>
            <w:noProof/>
            <w:webHidden/>
          </w:rPr>
          <w:t>44</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3" w:history="1">
        <w:r w:rsidR="0088178F" w:rsidRPr="0088178F">
          <w:rPr>
            <w:rStyle w:val="Hyperlink"/>
            <w:rFonts w:eastAsia="Times New Roman" w:cstheme="minorHAnsi"/>
            <w:b/>
            <w:bCs/>
            <w:noProof/>
            <w:lang w:eastAsia="bg-BG"/>
          </w:rPr>
          <w:t>Таблица 13: Проблеми в сектор Отпадъци</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_Toc399494893 \h </w:instrText>
        </w:r>
        <w:r w:rsidR="008E6461" w:rsidRPr="0088178F">
          <w:rPr>
            <w:b/>
            <w:noProof/>
            <w:webHidden/>
          </w:rPr>
        </w:r>
        <w:r w:rsidR="008E6461" w:rsidRPr="0088178F">
          <w:rPr>
            <w:b/>
            <w:noProof/>
            <w:webHidden/>
          </w:rPr>
          <w:fldChar w:fldCharType="separate"/>
        </w:r>
        <w:r w:rsidR="0041519B">
          <w:rPr>
            <w:b/>
            <w:noProof/>
            <w:webHidden/>
          </w:rPr>
          <w:t>53</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4" w:history="1">
        <w:r w:rsidR="0088178F" w:rsidRPr="0088178F">
          <w:rPr>
            <w:rStyle w:val="Hyperlink"/>
            <w:rFonts w:eastAsia="Times New Roman" w:cstheme="minorHAnsi"/>
            <w:b/>
            <w:bCs/>
            <w:noProof/>
            <w:lang w:eastAsia="bg-BG"/>
          </w:rPr>
          <w:t>Таблица 14: Причини за малкия брой на съоръженията за повторно третиране и оползотворяване на отпадъците в страната</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_Toc399494894 \h </w:instrText>
        </w:r>
        <w:r w:rsidR="008E6461" w:rsidRPr="0088178F">
          <w:rPr>
            <w:b/>
            <w:noProof/>
            <w:webHidden/>
          </w:rPr>
        </w:r>
        <w:r w:rsidR="008E6461" w:rsidRPr="0088178F">
          <w:rPr>
            <w:b/>
            <w:noProof/>
            <w:webHidden/>
          </w:rPr>
          <w:fldChar w:fldCharType="separate"/>
        </w:r>
        <w:r w:rsidR="0041519B">
          <w:rPr>
            <w:b/>
            <w:noProof/>
            <w:webHidden/>
          </w:rPr>
          <w:t>57</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5" w:history="1">
        <w:r w:rsidR="0088178F" w:rsidRPr="0088178F">
          <w:rPr>
            <w:rStyle w:val="Hyperlink"/>
            <w:rFonts w:eastAsia="Times New Roman" w:cstheme="minorHAnsi"/>
            <w:b/>
            <w:bCs/>
            <w:noProof/>
            <w:lang w:eastAsia="bg-BG"/>
          </w:rPr>
          <w:t>Таблица 15: Мерки в областта на управлението на отпадъците е Третият национален план за действие по изменение на климата (2013-2020)</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_Toc399494895 \h </w:instrText>
        </w:r>
        <w:r w:rsidR="008E6461" w:rsidRPr="0088178F">
          <w:rPr>
            <w:b/>
            <w:noProof/>
            <w:webHidden/>
          </w:rPr>
        </w:r>
        <w:r w:rsidR="008E6461" w:rsidRPr="0088178F">
          <w:rPr>
            <w:b/>
            <w:noProof/>
            <w:webHidden/>
          </w:rPr>
          <w:fldChar w:fldCharType="separate"/>
        </w:r>
        <w:r w:rsidR="0041519B">
          <w:rPr>
            <w:b/>
            <w:noProof/>
            <w:webHidden/>
          </w:rPr>
          <w:t>65</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6" w:history="1">
        <w:r w:rsidR="0088178F" w:rsidRPr="0088178F">
          <w:rPr>
            <w:rStyle w:val="Hyperlink"/>
            <w:rFonts w:eastAsia="Times New Roman" w:cstheme="minorHAnsi"/>
            <w:b/>
            <w:bCs/>
            <w:noProof/>
            <w:lang w:eastAsia="bg-BG"/>
          </w:rPr>
          <w:t>Таблица 16: Процедура BG161PO005-2.0.08 Изграждане на регионални системи за управление на отпадъците</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_Toc399494896 \h </w:instrText>
        </w:r>
        <w:r w:rsidR="008E6461" w:rsidRPr="0088178F">
          <w:rPr>
            <w:b/>
            <w:noProof/>
            <w:webHidden/>
          </w:rPr>
        </w:r>
        <w:r w:rsidR="008E6461" w:rsidRPr="0088178F">
          <w:rPr>
            <w:b/>
            <w:noProof/>
            <w:webHidden/>
          </w:rPr>
          <w:fldChar w:fldCharType="separate"/>
        </w:r>
        <w:r w:rsidR="0041519B">
          <w:rPr>
            <w:b/>
            <w:noProof/>
            <w:webHidden/>
          </w:rPr>
          <w:t>65</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7" w:history="1">
        <w:r w:rsidR="0088178F" w:rsidRPr="0088178F">
          <w:rPr>
            <w:rStyle w:val="Hyperlink"/>
            <w:rFonts w:eastAsia="Times New Roman" w:cstheme="minorHAnsi"/>
            <w:b/>
            <w:bCs/>
            <w:noProof/>
            <w:lang w:eastAsia="bg-BG"/>
          </w:rPr>
          <w:t>Таблица 17: Одобрени проекти по програма ИСПА до 2007 г.</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_Toc399494897 \h </w:instrText>
        </w:r>
        <w:r w:rsidR="008E6461" w:rsidRPr="0088178F">
          <w:rPr>
            <w:b/>
            <w:noProof/>
            <w:webHidden/>
          </w:rPr>
        </w:r>
        <w:r w:rsidR="008E6461" w:rsidRPr="0088178F">
          <w:rPr>
            <w:b/>
            <w:noProof/>
            <w:webHidden/>
          </w:rPr>
          <w:fldChar w:fldCharType="separate"/>
        </w:r>
        <w:r w:rsidR="0041519B">
          <w:rPr>
            <w:b/>
            <w:noProof/>
            <w:webHidden/>
          </w:rPr>
          <w:t>69</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8" w:history="1">
        <w:r w:rsidR="0088178F" w:rsidRPr="0088178F">
          <w:rPr>
            <w:rStyle w:val="Hyperlink"/>
            <w:rFonts w:eastAsia="Times New Roman" w:cstheme="minorHAnsi"/>
            <w:b/>
            <w:bCs/>
            <w:noProof/>
            <w:lang w:eastAsia="bg-BG"/>
          </w:rPr>
          <w:t>Таблица 18: Структура на финансиране на проектите в сектор Отпадъци (2007-2013)</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_Toc399494898 \h </w:instrText>
        </w:r>
        <w:r w:rsidR="008E6461" w:rsidRPr="0088178F">
          <w:rPr>
            <w:b/>
            <w:noProof/>
            <w:webHidden/>
          </w:rPr>
        </w:r>
        <w:r w:rsidR="008E6461" w:rsidRPr="0088178F">
          <w:rPr>
            <w:b/>
            <w:noProof/>
            <w:webHidden/>
          </w:rPr>
          <w:fldChar w:fldCharType="separate"/>
        </w:r>
        <w:r w:rsidR="0041519B">
          <w:rPr>
            <w:b/>
            <w:noProof/>
            <w:webHidden/>
          </w:rPr>
          <w:t>70</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899" w:history="1">
        <w:r w:rsidR="0088178F" w:rsidRPr="0088178F">
          <w:rPr>
            <w:rStyle w:val="Hyperlink"/>
            <w:rFonts w:eastAsia="Times New Roman" w:cstheme="minorHAnsi"/>
            <w:b/>
            <w:bCs/>
            <w:noProof/>
            <w:lang w:eastAsia="bg-BG"/>
          </w:rPr>
          <w:t>Таблица 19: Възможни форми на проектно финансиране в сектор Отпадъци</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_Toc399494899 \h </w:instrText>
        </w:r>
        <w:r w:rsidR="008E6461" w:rsidRPr="0088178F">
          <w:rPr>
            <w:b/>
            <w:noProof/>
            <w:webHidden/>
          </w:rPr>
        </w:r>
        <w:r w:rsidR="008E6461" w:rsidRPr="0088178F">
          <w:rPr>
            <w:b/>
            <w:noProof/>
            <w:webHidden/>
          </w:rPr>
          <w:fldChar w:fldCharType="separate"/>
        </w:r>
        <w:r w:rsidR="0041519B">
          <w:rPr>
            <w:b/>
            <w:noProof/>
            <w:webHidden/>
          </w:rPr>
          <w:t>72</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900" w:history="1">
        <w:r w:rsidR="0088178F" w:rsidRPr="0088178F">
          <w:rPr>
            <w:rStyle w:val="Hyperlink"/>
            <w:rFonts w:eastAsia="Times New Roman" w:cstheme="minorHAnsi"/>
            <w:b/>
            <w:bCs/>
            <w:noProof/>
            <w:lang w:eastAsia="bg-BG"/>
          </w:rPr>
          <w:t>Таблица 20: Промени след въвеждане на Регламент 1370</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_Toc399494900 \h </w:instrText>
        </w:r>
        <w:r w:rsidR="008E6461" w:rsidRPr="0088178F">
          <w:rPr>
            <w:b/>
            <w:noProof/>
            <w:webHidden/>
          </w:rPr>
        </w:r>
        <w:r w:rsidR="008E6461" w:rsidRPr="0088178F">
          <w:rPr>
            <w:b/>
            <w:noProof/>
            <w:webHidden/>
          </w:rPr>
          <w:fldChar w:fldCharType="separate"/>
        </w:r>
        <w:r w:rsidR="0041519B">
          <w:rPr>
            <w:b/>
            <w:noProof/>
            <w:webHidden/>
          </w:rPr>
          <w:t>78</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901" w:history="1">
        <w:r w:rsidR="0088178F" w:rsidRPr="0088178F">
          <w:rPr>
            <w:rStyle w:val="Hyperlink"/>
            <w:b/>
            <w:noProof/>
          </w:rPr>
          <w:t>Таблица 21: Потенциални проекти във ВиК сектора</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_Toc399494901 \h </w:instrText>
        </w:r>
        <w:r w:rsidR="008E6461" w:rsidRPr="0088178F">
          <w:rPr>
            <w:b/>
            <w:noProof/>
            <w:webHidden/>
          </w:rPr>
        </w:r>
        <w:r w:rsidR="008E6461" w:rsidRPr="0088178F">
          <w:rPr>
            <w:b/>
            <w:noProof/>
            <w:webHidden/>
          </w:rPr>
          <w:fldChar w:fldCharType="separate"/>
        </w:r>
        <w:r w:rsidR="0041519B">
          <w:rPr>
            <w:b/>
            <w:noProof/>
            <w:webHidden/>
          </w:rPr>
          <w:t>91</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902" w:history="1">
        <w:r w:rsidR="0088178F" w:rsidRPr="0088178F">
          <w:rPr>
            <w:rStyle w:val="Hyperlink"/>
            <w:b/>
            <w:noProof/>
          </w:rPr>
          <w:t>Таблица 22. Тип общини, отговорили на анкетата (според броя на населението)</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_Toc399494902 \h </w:instrText>
        </w:r>
        <w:r w:rsidR="008E6461" w:rsidRPr="0088178F">
          <w:rPr>
            <w:b/>
            <w:noProof/>
            <w:webHidden/>
          </w:rPr>
        </w:r>
        <w:r w:rsidR="008E6461" w:rsidRPr="0088178F">
          <w:rPr>
            <w:b/>
            <w:noProof/>
            <w:webHidden/>
          </w:rPr>
          <w:fldChar w:fldCharType="separate"/>
        </w:r>
        <w:r w:rsidR="0041519B">
          <w:rPr>
            <w:b/>
            <w:noProof/>
            <w:webHidden/>
          </w:rPr>
          <w:t>107</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903" w:history="1">
        <w:r w:rsidR="0088178F" w:rsidRPr="0088178F">
          <w:rPr>
            <w:rStyle w:val="Hyperlink"/>
            <w:b/>
            <w:noProof/>
          </w:rPr>
          <w:t>Таблица 23. Източник на финансиране по сфери</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_Toc399494903 \h </w:instrText>
        </w:r>
        <w:r w:rsidR="008E6461" w:rsidRPr="0088178F">
          <w:rPr>
            <w:b/>
            <w:noProof/>
            <w:webHidden/>
          </w:rPr>
        </w:r>
        <w:r w:rsidR="008E6461" w:rsidRPr="0088178F">
          <w:rPr>
            <w:b/>
            <w:noProof/>
            <w:webHidden/>
          </w:rPr>
          <w:fldChar w:fldCharType="separate"/>
        </w:r>
        <w:r w:rsidR="0041519B">
          <w:rPr>
            <w:b/>
            <w:noProof/>
            <w:webHidden/>
          </w:rPr>
          <w:t>107</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904" w:history="1">
        <w:r w:rsidR="0088178F" w:rsidRPr="0088178F">
          <w:rPr>
            <w:rStyle w:val="Hyperlink"/>
            <w:b/>
            <w:noProof/>
          </w:rPr>
          <w:t>Таблица 24. Трудности относно осигуряване на финансов ресурс</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_Toc399494904 \h </w:instrText>
        </w:r>
        <w:r w:rsidR="008E6461" w:rsidRPr="0088178F">
          <w:rPr>
            <w:b/>
            <w:noProof/>
            <w:webHidden/>
          </w:rPr>
        </w:r>
        <w:r w:rsidR="008E6461" w:rsidRPr="0088178F">
          <w:rPr>
            <w:b/>
            <w:noProof/>
            <w:webHidden/>
          </w:rPr>
          <w:fldChar w:fldCharType="separate"/>
        </w:r>
        <w:r w:rsidR="0041519B">
          <w:rPr>
            <w:b/>
            <w:noProof/>
            <w:webHidden/>
          </w:rPr>
          <w:t>110</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905" w:history="1">
        <w:r w:rsidR="0088178F" w:rsidRPr="0088178F">
          <w:rPr>
            <w:rStyle w:val="Hyperlink"/>
            <w:b/>
            <w:noProof/>
          </w:rPr>
          <w:t>Таблица 25. причини за недостатъчния брой съоръжения за третиране на отпадъци</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_Toc399494905 \h </w:instrText>
        </w:r>
        <w:r w:rsidR="008E6461" w:rsidRPr="0088178F">
          <w:rPr>
            <w:b/>
            <w:noProof/>
            <w:webHidden/>
          </w:rPr>
        </w:r>
        <w:r w:rsidR="008E6461" w:rsidRPr="0088178F">
          <w:rPr>
            <w:b/>
            <w:noProof/>
            <w:webHidden/>
          </w:rPr>
          <w:fldChar w:fldCharType="separate"/>
        </w:r>
        <w:r w:rsidR="0041519B">
          <w:rPr>
            <w:b/>
            <w:noProof/>
            <w:webHidden/>
          </w:rPr>
          <w:t>112</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906" w:history="1">
        <w:r w:rsidR="0088178F" w:rsidRPr="0088178F">
          <w:rPr>
            <w:rStyle w:val="Hyperlink"/>
            <w:b/>
            <w:noProof/>
          </w:rPr>
          <w:t>Таблица 26. цел на използване на ФИ</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_Toc399494906 \h </w:instrText>
        </w:r>
        <w:r w:rsidR="008E6461" w:rsidRPr="0088178F">
          <w:rPr>
            <w:b/>
            <w:noProof/>
            <w:webHidden/>
          </w:rPr>
        </w:r>
        <w:r w:rsidR="008E6461" w:rsidRPr="0088178F">
          <w:rPr>
            <w:b/>
            <w:noProof/>
            <w:webHidden/>
          </w:rPr>
          <w:fldChar w:fldCharType="separate"/>
        </w:r>
        <w:r w:rsidR="0041519B">
          <w:rPr>
            <w:b/>
            <w:noProof/>
            <w:webHidden/>
          </w:rPr>
          <w:t>113</w:t>
        </w:r>
        <w:r w:rsidR="008E6461" w:rsidRPr="0088178F">
          <w:rPr>
            <w:b/>
            <w:noProof/>
            <w:webHidden/>
          </w:rPr>
          <w:fldChar w:fldCharType="end"/>
        </w:r>
      </w:hyperlink>
    </w:p>
    <w:p w:rsidR="0088178F" w:rsidRPr="0088178F" w:rsidRDefault="00CD14DF">
      <w:pPr>
        <w:pStyle w:val="TableofFigures"/>
        <w:tabs>
          <w:tab w:val="right" w:leader="dot" w:pos="9062"/>
        </w:tabs>
        <w:rPr>
          <w:rFonts w:eastAsiaTheme="minorEastAsia"/>
          <w:b/>
          <w:noProof/>
          <w:lang w:eastAsia="bg-BG"/>
        </w:rPr>
      </w:pPr>
      <w:hyperlink w:anchor="_Toc399494907" w:history="1">
        <w:r w:rsidR="0088178F" w:rsidRPr="0088178F">
          <w:rPr>
            <w:rStyle w:val="Hyperlink"/>
            <w:b/>
            <w:noProof/>
          </w:rPr>
          <w:t>Таблица 27: Разпределение на инвестиционната програма, според най-големия дял отговорили</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_Toc399494907 \h </w:instrText>
        </w:r>
        <w:r w:rsidR="008E6461" w:rsidRPr="0088178F">
          <w:rPr>
            <w:b/>
            <w:noProof/>
            <w:webHidden/>
          </w:rPr>
        </w:r>
        <w:r w:rsidR="008E6461" w:rsidRPr="0088178F">
          <w:rPr>
            <w:b/>
            <w:noProof/>
            <w:webHidden/>
          </w:rPr>
          <w:fldChar w:fldCharType="separate"/>
        </w:r>
        <w:r w:rsidR="0041519B">
          <w:rPr>
            <w:b/>
            <w:noProof/>
            <w:webHidden/>
          </w:rPr>
          <w:t>121</w:t>
        </w:r>
        <w:r w:rsidR="008E6461" w:rsidRPr="0088178F">
          <w:rPr>
            <w:b/>
            <w:noProof/>
            <w:webHidden/>
          </w:rPr>
          <w:fldChar w:fldCharType="end"/>
        </w:r>
      </w:hyperlink>
    </w:p>
    <w:p w:rsidR="0088178F" w:rsidRDefault="00CD14DF">
      <w:pPr>
        <w:pStyle w:val="TableofFigures"/>
        <w:tabs>
          <w:tab w:val="right" w:leader="dot" w:pos="9062"/>
        </w:tabs>
        <w:rPr>
          <w:rFonts w:eastAsiaTheme="minorEastAsia"/>
          <w:noProof/>
          <w:lang w:eastAsia="bg-BG"/>
        </w:rPr>
      </w:pPr>
      <w:hyperlink w:anchor="_Toc399494908" w:history="1">
        <w:r w:rsidR="0088178F" w:rsidRPr="0088178F">
          <w:rPr>
            <w:rStyle w:val="Hyperlink"/>
            <w:rFonts w:cstheme="minorHAnsi"/>
            <w:b/>
            <w:noProof/>
          </w:rPr>
          <w:t>Таблица 28: Интензитет на субсидията в структурата на заема за проекти от ВиК сектора</w:t>
        </w:r>
        <w:r w:rsidR="0088178F" w:rsidRPr="0088178F">
          <w:rPr>
            <w:b/>
            <w:noProof/>
            <w:webHidden/>
          </w:rPr>
          <w:tab/>
        </w:r>
        <w:r w:rsidR="008E6461" w:rsidRPr="0088178F">
          <w:rPr>
            <w:b/>
            <w:noProof/>
            <w:webHidden/>
          </w:rPr>
          <w:fldChar w:fldCharType="begin"/>
        </w:r>
        <w:r w:rsidR="0088178F" w:rsidRPr="0088178F">
          <w:rPr>
            <w:b/>
            <w:noProof/>
            <w:webHidden/>
          </w:rPr>
          <w:instrText xml:space="preserve"> PAGEREF _Toc399494908 \h </w:instrText>
        </w:r>
        <w:r w:rsidR="008E6461" w:rsidRPr="0088178F">
          <w:rPr>
            <w:b/>
            <w:noProof/>
            <w:webHidden/>
          </w:rPr>
        </w:r>
        <w:r w:rsidR="008E6461" w:rsidRPr="0088178F">
          <w:rPr>
            <w:b/>
            <w:noProof/>
            <w:webHidden/>
          </w:rPr>
          <w:fldChar w:fldCharType="separate"/>
        </w:r>
        <w:r w:rsidR="0041519B">
          <w:rPr>
            <w:b/>
            <w:noProof/>
            <w:webHidden/>
          </w:rPr>
          <w:t>144</w:t>
        </w:r>
        <w:r w:rsidR="008E6461" w:rsidRPr="0088178F">
          <w:rPr>
            <w:b/>
            <w:noProof/>
            <w:webHidden/>
          </w:rPr>
          <w:fldChar w:fldCharType="end"/>
        </w:r>
      </w:hyperlink>
    </w:p>
    <w:p w:rsidR="009376DD" w:rsidRDefault="008E6461" w:rsidP="0064665B">
      <w:pPr>
        <w:pStyle w:val="Heading1"/>
        <w:ind w:left="360"/>
        <w:rPr>
          <w:rFonts w:asciiTheme="minorHAnsi" w:hAnsiTheme="minorHAnsi" w:cs="Times New Roman"/>
          <w:b/>
        </w:rPr>
      </w:pPr>
      <w:r>
        <w:rPr>
          <w:rFonts w:asciiTheme="minorHAnsi" w:hAnsiTheme="minorHAnsi" w:cs="Times New Roman"/>
          <w:b/>
        </w:rPr>
        <w:fldChar w:fldCharType="end"/>
      </w:r>
    </w:p>
    <w:p w:rsidR="002B2B35" w:rsidRDefault="002B2B35" w:rsidP="002B2B35"/>
    <w:p w:rsidR="002B2B35" w:rsidRDefault="002B2B35" w:rsidP="002B2B35"/>
    <w:p w:rsidR="002B2B35" w:rsidRDefault="002B2B35" w:rsidP="002B2B35"/>
    <w:p w:rsidR="00292CC6" w:rsidRDefault="00292CC6" w:rsidP="00292CC6">
      <w:pPr>
        <w:pStyle w:val="TableofFigures"/>
        <w:tabs>
          <w:tab w:val="right" w:leader="dot" w:pos="9062"/>
        </w:tabs>
        <w:rPr>
          <w:rFonts w:cs="Times New Roman"/>
          <w:b/>
          <w:color w:val="2E74B5" w:themeColor="accent1" w:themeShade="BF"/>
        </w:rPr>
      </w:pPr>
    </w:p>
    <w:p w:rsidR="00292CC6" w:rsidRDefault="00292CC6" w:rsidP="00292CC6">
      <w:pPr>
        <w:pStyle w:val="TableofFigures"/>
        <w:tabs>
          <w:tab w:val="right" w:leader="dot" w:pos="9062"/>
        </w:tabs>
        <w:rPr>
          <w:rFonts w:cs="Times New Roman"/>
          <w:b/>
          <w:color w:val="2E74B5" w:themeColor="accent1" w:themeShade="BF"/>
        </w:rPr>
      </w:pPr>
    </w:p>
    <w:p w:rsidR="00292CC6" w:rsidRDefault="00292CC6" w:rsidP="00292CC6">
      <w:pPr>
        <w:pStyle w:val="TableofFigures"/>
        <w:tabs>
          <w:tab w:val="right" w:leader="dot" w:pos="9062"/>
        </w:tabs>
        <w:rPr>
          <w:rFonts w:cs="Times New Roman"/>
          <w:b/>
          <w:color w:val="2E74B5" w:themeColor="accent1" w:themeShade="BF"/>
        </w:rPr>
      </w:pPr>
      <w:r>
        <w:rPr>
          <w:rFonts w:cs="Times New Roman"/>
          <w:b/>
          <w:color w:val="2E74B5" w:themeColor="accent1" w:themeShade="BF"/>
        </w:rPr>
        <w:lastRenderedPageBreak/>
        <w:t>СПИСЪК СЪС СЪКРАЩЕНИЯ</w:t>
      </w:r>
    </w:p>
    <w:tbl>
      <w:tblPr>
        <w:tblW w:w="0" w:type="auto"/>
        <w:tblLook w:val="04A0" w:firstRow="1" w:lastRow="0" w:firstColumn="1" w:lastColumn="0" w:noHBand="0" w:noVBand="1"/>
      </w:tblPr>
      <w:tblGrid>
        <w:gridCol w:w="1356"/>
        <w:gridCol w:w="7716"/>
      </w:tblGrid>
      <w:tr w:rsidR="002B2B35" w:rsidTr="00292CC6">
        <w:tc>
          <w:tcPr>
            <w:tcW w:w="1356" w:type="dxa"/>
            <w:shd w:val="clear" w:color="auto" w:fill="auto"/>
          </w:tcPr>
          <w:p w:rsidR="002B2B35" w:rsidRDefault="002B2B35" w:rsidP="00F26241">
            <w:r>
              <w:t>ББР</w:t>
            </w:r>
          </w:p>
        </w:tc>
        <w:tc>
          <w:tcPr>
            <w:tcW w:w="7716" w:type="dxa"/>
            <w:shd w:val="clear" w:color="auto" w:fill="auto"/>
          </w:tcPr>
          <w:p w:rsidR="002B2B35" w:rsidRPr="00682BBF" w:rsidRDefault="002B2B35" w:rsidP="00F26241">
            <w:pPr>
              <w:rPr>
                <w:i/>
              </w:rPr>
            </w:pPr>
            <w:r w:rsidRPr="00682BBF">
              <w:rPr>
                <w:rStyle w:val="Emphasis"/>
                <w:i w:val="0"/>
              </w:rPr>
              <w:t>Българска Банка за развитие</w:t>
            </w:r>
          </w:p>
        </w:tc>
      </w:tr>
      <w:tr w:rsidR="002B2B35" w:rsidTr="00292CC6">
        <w:tc>
          <w:tcPr>
            <w:tcW w:w="1356" w:type="dxa"/>
            <w:shd w:val="clear" w:color="auto" w:fill="auto"/>
          </w:tcPr>
          <w:p w:rsidR="002B2B35" w:rsidRDefault="002B2B35" w:rsidP="00F26241">
            <w:r>
              <w:t>БФП</w:t>
            </w:r>
          </w:p>
        </w:tc>
        <w:tc>
          <w:tcPr>
            <w:tcW w:w="7716" w:type="dxa"/>
            <w:shd w:val="clear" w:color="auto" w:fill="auto"/>
          </w:tcPr>
          <w:p w:rsidR="002B2B35" w:rsidRDefault="002B2B35" w:rsidP="00F26241">
            <w:r>
              <w:t>Безвъзмездна финансова помощ</w:t>
            </w:r>
          </w:p>
        </w:tc>
      </w:tr>
      <w:tr w:rsidR="002B2B35" w:rsidTr="00292CC6">
        <w:tc>
          <w:tcPr>
            <w:tcW w:w="1356" w:type="dxa"/>
            <w:shd w:val="clear" w:color="auto" w:fill="auto"/>
          </w:tcPr>
          <w:p w:rsidR="002B2B35" w:rsidRDefault="002B2B35" w:rsidP="00F26241">
            <w:r>
              <w:t>ВиК</w:t>
            </w:r>
          </w:p>
        </w:tc>
        <w:tc>
          <w:tcPr>
            <w:tcW w:w="7716" w:type="dxa"/>
            <w:shd w:val="clear" w:color="auto" w:fill="auto"/>
          </w:tcPr>
          <w:p w:rsidR="002B2B35" w:rsidRDefault="002B2B35" w:rsidP="00F26241">
            <w:r>
              <w:t>Водоснабдяване и канализация</w:t>
            </w:r>
          </w:p>
        </w:tc>
      </w:tr>
      <w:tr w:rsidR="002B2B35" w:rsidTr="00292CC6">
        <w:tc>
          <w:tcPr>
            <w:tcW w:w="1356" w:type="dxa"/>
            <w:shd w:val="clear" w:color="auto" w:fill="auto"/>
          </w:tcPr>
          <w:p w:rsidR="002B2B35" w:rsidRDefault="002B2B35" w:rsidP="00F26241">
            <w:r w:rsidRPr="00E92D2E">
              <w:t>ДКЕВР</w:t>
            </w:r>
          </w:p>
        </w:tc>
        <w:tc>
          <w:tcPr>
            <w:tcW w:w="7716" w:type="dxa"/>
            <w:shd w:val="clear" w:color="auto" w:fill="auto"/>
          </w:tcPr>
          <w:p w:rsidR="002B2B35" w:rsidRDefault="002B2B35" w:rsidP="00F26241">
            <w:r w:rsidRPr="00682BBF">
              <w:rPr>
                <w:rFonts w:cs="Calibri"/>
              </w:rPr>
              <w:t>Държ</w:t>
            </w:r>
            <w:r w:rsidRPr="00682BBF">
              <w:rPr>
                <w:rFonts w:cs="Calibri"/>
                <w:spacing w:val="-1"/>
              </w:rPr>
              <w:t>а</w:t>
            </w:r>
            <w:r w:rsidRPr="00682BBF">
              <w:rPr>
                <w:rFonts w:cs="Calibri"/>
              </w:rPr>
              <w:t>вн</w:t>
            </w:r>
            <w:r w:rsidRPr="00682BBF">
              <w:rPr>
                <w:rFonts w:cs="Calibri"/>
                <w:spacing w:val="-1"/>
              </w:rPr>
              <w:t>а</w:t>
            </w:r>
            <w:r w:rsidRPr="00682BBF">
              <w:rPr>
                <w:rFonts w:cs="Calibri"/>
              </w:rPr>
              <w:t>та</w:t>
            </w:r>
            <w:r w:rsidRPr="00682BBF">
              <w:rPr>
                <w:rFonts w:cs="Calibri"/>
                <w:spacing w:val="2"/>
              </w:rPr>
              <w:t xml:space="preserve"> </w:t>
            </w:r>
            <w:r w:rsidRPr="00682BBF">
              <w:rPr>
                <w:rFonts w:cs="Calibri"/>
                <w:spacing w:val="1"/>
              </w:rPr>
              <w:t>к</w:t>
            </w:r>
            <w:r w:rsidRPr="00682BBF">
              <w:rPr>
                <w:rFonts w:cs="Calibri"/>
              </w:rPr>
              <w:t>о</w:t>
            </w:r>
            <w:r w:rsidRPr="00682BBF">
              <w:rPr>
                <w:rFonts w:cs="Calibri"/>
                <w:spacing w:val="-1"/>
              </w:rPr>
              <w:t>м</w:t>
            </w:r>
            <w:r w:rsidRPr="00682BBF">
              <w:rPr>
                <w:rFonts w:cs="Calibri"/>
                <w:spacing w:val="1"/>
              </w:rPr>
              <w:t>и</w:t>
            </w:r>
            <w:r w:rsidRPr="00682BBF">
              <w:rPr>
                <w:rFonts w:cs="Calibri"/>
                <w:spacing w:val="-1"/>
              </w:rPr>
              <w:t>с</w:t>
            </w:r>
            <w:r w:rsidRPr="00682BBF">
              <w:rPr>
                <w:rFonts w:cs="Calibri"/>
                <w:spacing w:val="1"/>
              </w:rPr>
              <w:t>и</w:t>
            </w:r>
            <w:r w:rsidRPr="00682BBF">
              <w:rPr>
                <w:rFonts w:cs="Calibri"/>
              </w:rPr>
              <w:t>я</w:t>
            </w:r>
            <w:r w:rsidRPr="00682BBF">
              <w:rPr>
                <w:rFonts w:cs="Calibri"/>
                <w:spacing w:val="3"/>
              </w:rPr>
              <w:t xml:space="preserve"> </w:t>
            </w:r>
            <w:r w:rsidRPr="00682BBF">
              <w:rPr>
                <w:rFonts w:cs="Calibri"/>
                <w:spacing w:val="1"/>
              </w:rPr>
              <w:t>з</w:t>
            </w:r>
            <w:r w:rsidRPr="00682BBF">
              <w:rPr>
                <w:rFonts w:cs="Calibri"/>
              </w:rPr>
              <w:t>а</w:t>
            </w:r>
            <w:r w:rsidRPr="00682BBF">
              <w:rPr>
                <w:rFonts w:cs="Calibri"/>
                <w:spacing w:val="2"/>
              </w:rPr>
              <w:t xml:space="preserve"> </w:t>
            </w:r>
            <w:r w:rsidRPr="00682BBF">
              <w:rPr>
                <w:rFonts w:cs="Calibri"/>
                <w:spacing w:val="-1"/>
              </w:rPr>
              <w:t>е</w:t>
            </w:r>
            <w:r w:rsidRPr="00682BBF">
              <w:rPr>
                <w:rFonts w:cs="Calibri"/>
                <w:spacing w:val="1"/>
              </w:rPr>
              <w:t>н</w:t>
            </w:r>
            <w:r w:rsidRPr="00682BBF">
              <w:rPr>
                <w:rFonts w:cs="Calibri"/>
                <w:spacing w:val="-1"/>
              </w:rPr>
              <w:t>е</w:t>
            </w:r>
            <w:r w:rsidRPr="00682BBF">
              <w:rPr>
                <w:rFonts w:cs="Calibri"/>
              </w:rPr>
              <w:t>рг</w:t>
            </w:r>
            <w:r w:rsidRPr="00682BBF">
              <w:rPr>
                <w:rFonts w:cs="Calibri"/>
                <w:spacing w:val="1"/>
              </w:rPr>
              <w:t>ийн</w:t>
            </w:r>
            <w:r w:rsidRPr="00682BBF">
              <w:rPr>
                <w:rFonts w:cs="Calibri"/>
              </w:rPr>
              <w:t>о и</w:t>
            </w:r>
            <w:r w:rsidRPr="00682BBF">
              <w:rPr>
                <w:rFonts w:cs="Calibri"/>
                <w:spacing w:val="4"/>
              </w:rPr>
              <w:t xml:space="preserve"> </w:t>
            </w:r>
            <w:r w:rsidRPr="00682BBF">
              <w:rPr>
                <w:rFonts w:cs="Calibri"/>
                <w:spacing w:val="-3"/>
              </w:rPr>
              <w:t>в</w:t>
            </w:r>
            <w:r w:rsidRPr="00682BBF">
              <w:rPr>
                <w:rFonts w:cs="Calibri"/>
              </w:rPr>
              <w:t>од</w:t>
            </w:r>
            <w:r w:rsidRPr="00682BBF">
              <w:rPr>
                <w:rFonts w:cs="Calibri"/>
                <w:spacing w:val="1"/>
              </w:rPr>
              <w:t>н</w:t>
            </w:r>
            <w:r w:rsidRPr="00682BBF">
              <w:rPr>
                <w:rFonts w:cs="Calibri"/>
              </w:rPr>
              <w:t>о</w:t>
            </w:r>
            <w:r w:rsidRPr="00682BBF">
              <w:rPr>
                <w:rFonts w:cs="Calibri"/>
                <w:spacing w:val="3"/>
              </w:rPr>
              <w:t xml:space="preserve"> </w:t>
            </w:r>
            <w:r w:rsidRPr="00682BBF">
              <w:rPr>
                <w:rFonts w:cs="Calibri"/>
              </w:rPr>
              <w:t>р</w:t>
            </w:r>
            <w:r w:rsidRPr="00682BBF">
              <w:rPr>
                <w:rFonts w:cs="Calibri"/>
                <w:spacing w:val="-1"/>
              </w:rPr>
              <w:t>е</w:t>
            </w:r>
            <w:r w:rsidRPr="00682BBF">
              <w:rPr>
                <w:rFonts w:cs="Calibri"/>
                <w:spacing w:val="2"/>
              </w:rPr>
              <w:t>г</w:t>
            </w:r>
            <w:r w:rsidRPr="00682BBF">
              <w:rPr>
                <w:rFonts w:cs="Calibri"/>
                <w:spacing w:val="-5"/>
              </w:rPr>
              <w:t>у</w:t>
            </w:r>
            <w:r w:rsidRPr="00682BBF">
              <w:rPr>
                <w:rFonts w:cs="Calibri"/>
              </w:rPr>
              <w:t>л</w:t>
            </w:r>
            <w:r w:rsidRPr="00682BBF">
              <w:rPr>
                <w:rFonts w:cs="Calibri"/>
                <w:spacing w:val="1"/>
              </w:rPr>
              <w:t>и</w:t>
            </w:r>
            <w:r w:rsidRPr="00682BBF">
              <w:rPr>
                <w:rFonts w:cs="Calibri"/>
              </w:rPr>
              <w:t>р</w:t>
            </w:r>
            <w:r w:rsidRPr="00682BBF">
              <w:rPr>
                <w:rFonts w:cs="Calibri"/>
                <w:spacing w:val="-1"/>
              </w:rPr>
              <w:t>а</w:t>
            </w:r>
            <w:r w:rsidRPr="00682BBF">
              <w:rPr>
                <w:rFonts w:cs="Calibri"/>
                <w:spacing w:val="1"/>
              </w:rPr>
              <w:t>н</w:t>
            </w:r>
            <w:r w:rsidRPr="00682BBF">
              <w:rPr>
                <w:rFonts w:cs="Calibri"/>
              </w:rPr>
              <w:t>е</w:t>
            </w:r>
          </w:p>
        </w:tc>
      </w:tr>
      <w:tr w:rsidR="002B2B35" w:rsidTr="00292CC6">
        <w:tc>
          <w:tcPr>
            <w:tcW w:w="1356" w:type="dxa"/>
            <w:shd w:val="clear" w:color="auto" w:fill="auto"/>
          </w:tcPr>
          <w:p w:rsidR="002B2B35" w:rsidRDefault="002B2B35" w:rsidP="00F26241">
            <w:r>
              <w:t>ДП</w:t>
            </w:r>
          </w:p>
        </w:tc>
        <w:tc>
          <w:tcPr>
            <w:tcW w:w="7716" w:type="dxa"/>
            <w:shd w:val="clear" w:color="auto" w:fill="auto"/>
          </w:tcPr>
          <w:p w:rsidR="002B2B35" w:rsidRDefault="002B2B35" w:rsidP="00F26241">
            <w:r>
              <w:t>Държавна помощ</w:t>
            </w:r>
          </w:p>
        </w:tc>
      </w:tr>
      <w:tr w:rsidR="002B2B35" w:rsidTr="00292CC6">
        <w:tc>
          <w:tcPr>
            <w:tcW w:w="1356" w:type="dxa"/>
            <w:shd w:val="clear" w:color="auto" w:fill="auto"/>
          </w:tcPr>
          <w:p w:rsidR="002B2B35" w:rsidRDefault="002B2B35" w:rsidP="00F26241">
            <w:r w:rsidRPr="00682BBF">
              <w:rPr>
                <w:rFonts w:cs="Calibri"/>
                <w:color w:val="000000"/>
              </w:rPr>
              <w:t>ДТБО</w:t>
            </w:r>
          </w:p>
        </w:tc>
        <w:tc>
          <w:tcPr>
            <w:tcW w:w="7716" w:type="dxa"/>
            <w:shd w:val="clear" w:color="auto" w:fill="auto"/>
          </w:tcPr>
          <w:p w:rsidR="002B2B35" w:rsidRDefault="002B2B35" w:rsidP="00F26241">
            <w:r w:rsidRPr="00682BBF">
              <w:t>Депо за твърди битови отпадъци</w:t>
            </w:r>
          </w:p>
        </w:tc>
      </w:tr>
      <w:tr w:rsidR="002B2B35" w:rsidTr="00292CC6">
        <w:tc>
          <w:tcPr>
            <w:tcW w:w="1356" w:type="dxa"/>
            <w:shd w:val="clear" w:color="auto" w:fill="auto"/>
          </w:tcPr>
          <w:p w:rsidR="002B2B35" w:rsidRPr="00682BBF" w:rsidRDefault="002B2B35" w:rsidP="00F26241">
            <w:pPr>
              <w:rPr>
                <w:rFonts w:cs="Calibri"/>
                <w:color w:val="000000"/>
              </w:rPr>
            </w:pPr>
            <w:r w:rsidRPr="00C370EC">
              <w:t>ДФЕС</w:t>
            </w:r>
          </w:p>
        </w:tc>
        <w:tc>
          <w:tcPr>
            <w:tcW w:w="7716" w:type="dxa"/>
            <w:shd w:val="clear" w:color="auto" w:fill="auto"/>
          </w:tcPr>
          <w:p w:rsidR="002B2B35" w:rsidRDefault="002B2B35" w:rsidP="00F26241">
            <w:r w:rsidRPr="00682BBF">
              <w:t>Договор за функционирането на Европейския съюз</w:t>
            </w:r>
          </w:p>
        </w:tc>
      </w:tr>
      <w:tr w:rsidR="002B2B35" w:rsidTr="00292CC6">
        <w:tc>
          <w:tcPr>
            <w:tcW w:w="1356" w:type="dxa"/>
            <w:shd w:val="clear" w:color="auto" w:fill="auto"/>
          </w:tcPr>
          <w:p w:rsidR="002B2B35" w:rsidRDefault="002B2B35" w:rsidP="00F26241">
            <w:r>
              <w:t>ЗВ</w:t>
            </w:r>
          </w:p>
        </w:tc>
        <w:tc>
          <w:tcPr>
            <w:tcW w:w="7716" w:type="dxa"/>
            <w:shd w:val="clear" w:color="auto" w:fill="auto"/>
          </w:tcPr>
          <w:p w:rsidR="002B2B35" w:rsidRDefault="002B2B35" w:rsidP="00F26241">
            <w:r>
              <w:t>Закона за водите</w:t>
            </w:r>
          </w:p>
        </w:tc>
      </w:tr>
      <w:tr w:rsidR="002B2B35" w:rsidTr="00292CC6">
        <w:tc>
          <w:tcPr>
            <w:tcW w:w="1356" w:type="dxa"/>
            <w:shd w:val="clear" w:color="auto" w:fill="auto"/>
          </w:tcPr>
          <w:p w:rsidR="002B2B35" w:rsidRDefault="002B2B35" w:rsidP="00F26241">
            <w:r>
              <w:t>ЗДП</w:t>
            </w:r>
          </w:p>
        </w:tc>
        <w:tc>
          <w:tcPr>
            <w:tcW w:w="7716" w:type="dxa"/>
            <w:shd w:val="clear" w:color="auto" w:fill="auto"/>
          </w:tcPr>
          <w:p w:rsidR="002B2B35" w:rsidRDefault="002B2B35" w:rsidP="00F26241">
            <w:r>
              <w:t>Закон за държавни помощи</w:t>
            </w:r>
          </w:p>
        </w:tc>
      </w:tr>
      <w:tr w:rsidR="002B2B35" w:rsidTr="00292CC6">
        <w:tc>
          <w:tcPr>
            <w:tcW w:w="1356" w:type="dxa"/>
            <w:shd w:val="clear" w:color="auto" w:fill="auto"/>
          </w:tcPr>
          <w:p w:rsidR="002B2B35" w:rsidRDefault="002B2B35" w:rsidP="00F26241">
            <w:r>
              <w:t>ЗООС</w:t>
            </w:r>
          </w:p>
        </w:tc>
        <w:tc>
          <w:tcPr>
            <w:tcW w:w="7716" w:type="dxa"/>
            <w:shd w:val="clear" w:color="auto" w:fill="auto"/>
          </w:tcPr>
          <w:p w:rsidR="002B2B35" w:rsidRDefault="002B2B35" w:rsidP="00F26241">
            <w:r w:rsidRPr="00682BBF">
              <w:t>ЗАКОН за опазване на околната среда</w:t>
            </w:r>
          </w:p>
        </w:tc>
      </w:tr>
      <w:tr w:rsidR="002B2B35" w:rsidTr="00292CC6">
        <w:tc>
          <w:tcPr>
            <w:tcW w:w="1356" w:type="dxa"/>
            <w:shd w:val="clear" w:color="auto" w:fill="auto"/>
          </w:tcPr>
          <w:p w:rsidR="002B2B35" w:rsidRDefault="002B2B35" w:rsidP="00F26241">
            <w:r>
              <w:t>ЗУО</w:t>
            </w:r>
          </w:p>
        </w:tc>
        <w:tc>
          <w:tcPr>
            <w:tcW w:w="7716" w:type="dxa"/>
            <w:shd w:val="clear" w:color="auto" w:fill="auto"/>
          </w:tcPr>
          <w:p w:rsidR="002B2B35" w:rsidRDefault="002B2B35" w:rsidP="00F26241">
            <w:r>
              <w:t xml:space="preserve">Закон за управление на отпадъците </w:t>
            </w:r>
          </w:p>
        </w:tc>
      </w:tr>
      <w:tr w:rsidR="002B2B35" w:rsidTr="00292CC6">
        <w:tc>
          <w:tcPr>
            <w:tcW w:w="1356" w:type="dxa"/>
            <w:shd w:val="clear" w:color="auto" w:fill="auto"/>
          </w:tcPr>
          <w:p w:rsidR="002B2B35" w:rsidRDefault="002B2B35" w:rsidP="00F26241">
            <w:r>
              <w:t>ЗИД на ЗВ</w:t>
            </w:r>
          </w:p>
        </w:tc>
        <w:tc>
          <w:tcPr>
            <w:tcW w:w="7716" w:type="dxa"/>
            <w:shd w:val="clear" w:color="auto" w:fill="auto"/>
          </w:tcPr>
          <w:p w:rsidR="002B2B35" w:rsidRDefault="002B2B35" w:rsidP="00F26241">
            <w:r>
              <w:t>Закона за изменение и допълнение на Закона за водите</w:t>
            </w:r>
          </w:p>
        </w:tc>
      </w:tr>
      <w:tr w:rsidR="002B2B35" w:rsidTr="00292CC6">
        <w:tc>
          <w:tcPr>
            <w:tcW w:w="1356" w:type="dxa"/>
            <w:shd w:val="clear" w:color="auto" w:fill="auto"/>
          </w:tcPr>
          <w:p w:rsidR="002B2B35" w:rsidRDefault="002B2B35" w:rsidP="00F26241">
            <w:r w:rsidRPr="00682BBF">
              <w:rPr>
                <w:rFonts w:cs="Calibri"/>
                <w:bCs/>
                <w:lang w:eastAsia="bg-BG"/>
              </w:rPr>
              <w:t>ЗЧАВ</w:t>
            </w:r>
          </w:p>
        </w:tc>
        <w:tc>
          <w:tcPr>
            <w:tcW w:w="7716" w:type="dxa"/>
            <w:shd w:val="clear" w:color="auto" w:fill="auto"/>
          </w:tcPr>
          <w:p w:rsidR="002B2B35" w:rsidRDefault="002B2B35" w:rsidP="00F26241">
            <w:r>
              <w:rPr>
                <w:rStyle w:val="st"/>
              </w:rPr>
              <w:t>Закон за чистотата на атмосферния въздух</w:t>
            </w:r>
          </w:p>
        </w:tc>
      </w:tr>
      <w:tr w:rsidR="002B2B35" w:rsidTr="00292CC6">
        <w:tc>
          <w:tcPr>
            <w:tcW w:w="1356" w:type="dxa"/>
            <w:shd w:val="clear" w:color="auto" w:fill="auto"/>
          </w:tcPr>
          <w:p w:rsidR="002B2B35" w:rsidRDefault="002B2B35" w:rsidP="00F26241">
            <w:r>
              <w:t>ЕБВР</w:t>
            </w:r>
          </w:p>
        </w:tc>
        <w:tc>
          <w:tcPr>
            <w:tcW w:w="7716" w:type="dxa"/>
            <w:shd w:val="clear" w:color="auto" w:fill="auto"/>
          </w:tcPr>
          <w:p w:rsidR="002B2B35" w:rsidRDefault="002B2B35" w:rsidP="00F26241">
            <w:r w:rsidRPr="009811D3">
              <w:t>Европейската банка за</w:t>
            </w:r>
            <w:r>
              <w:t xml:space="preserve"> възстановяване и развитие </w:t>
            </w:r>
          </w:p>
        </w:tc>
      </w:tr>
      <w:tr w:rsidR="002B2B35" w:rsidTr="00292CC6">
        <w:tc>
          <w:tcPr>
            <w:tcW w:w="1356" w:type="dxa"/>
            <w:shd w:val="clear" w:color="auto" w:fill="auto"/>
          </w:tcPr>
          <w:p w:rsidR="002B2B35" w:rsidRDefault="002B2B35" w:rsidP="00F26241">
            <w:r>
              <w:t>ЕИБ</w:t>
            </w:r>
          </w:p>
        </w:tc>
        <w:tc>
          <w:tcPr>
            <w:tcW w:w="7716" w:type="dxa"/>
            <w:shd w:val="clear" w:color="auto" w:fill="auto"/>
          </w:tcPr>
          <w:p w:rsidR="002B2B35" w:rsidRPr="009811D3" w:rsidRDefault="002B2B35" w:rsidP="00F26241">
            <w:r w:rsidRPr="009811D3">
              <w:t>Европе</w:t>
            </w:r>
            <w:r>
              <w:t xml:space="preserve">йската инвестиционна банка </w:t>
            </w:r>
          </w:p>
        </w:tc>
      </w:tr>
      <w:tr w:rsidR="002B2B35" w:rsidTr="00292CC6">
        <w:tc>
          <w:tcPr>
            <w:tcW w:w="1356" w:type="dxa"/>
            <w:shd w:val="clear" w:color="auto" w:fill="auto"/>
          </w:tcPr>
          <w:p w:rsidR="002B2B35" w:rsidRDefault="002B2B35" w:rsidP="00F26241">
            <w:r>
              <w:t>ЕИП</w:t>
            </w:r>
          </w:p>
        </w:tc>
        <w:tc>
          <w:tcPr>
            <w:tcW w:w="7716" w:type="dxa"/>
            <w:shd w:val="clear" w:color="auto" w:fill="auto"/>
          </w:tcPr>
          <w:p w:rsidR="002B2B35" w:rsidRPr="009811D3" w:rsidRDefault="002B2B35" w:rsidP="00F26241">
            <w:r>
              <w:t>Европейско икономическо пространство</w:t>
            </w:r>
          </w:p>
        </w:tc>
      </w:tr>
      <w:tr w:rsidR="002B2B35" w:rsidTr="00292CC6">
        <w:tc>
          <w:tcPr>
            <w:tcW w:w="1356" w:type="dxa"/>
            <w:shd w:val="clear" w:color="auto" w:fill="auto"/>
          </w:tcPr>
          <w:p w:rsidR="002B2B35" w:rsidRDefault="002B2B35" w:rsidP="00F26241">
            <w:r>
              <w:t>ЕК</w:t>
            </w:r>
          </w:p>
        </w:tc>
        <w:tc>
          <w:tcPr>
            <w:tcW w:w="7716" w:type="dxa"/>
            <w:shd w:val="clear" w:color="auto" w:fill="auto"/>
          </w:tcPr>
          <w:p w:rsidR="002B2B35" w:rsidRDefault="002B2B35" w:rsidP="00F26241">
            <w:r>
              <w:t>Европейска комисия</w:t>
            </w:r>
          </w:p>
        </w:tc>
      </w:tr>
      <w:tr w:rsidR="002B2B35" w:rsidTr="00292CC6">
        <w:tc>
          <w:tcPr>
            <w:tcW w:w="1356" w:type="dxa"/>
            <w:shd w:val="clear" w:color="auto" w:fill="auto"/>
          </w:tcPr>
          <w:p w:rsidR="002B2B35" w:rsidRDefault="002B2B35" w:rsidP="00F26241">
            <w:r>
              <w:t>ЕС</w:t>
            </w:r>
          </w:p>
        </w:tc>
        <w:tc>
          <w:tcPr>
            <w:tcW w:w="7716" w:type="dxa"/>
            <w:shd w:val="clear" w:color="auto" w:fill="auto"/>
          </w:tcPr>
          <w:p w:rsidR="002B2B35" w:rsidRDefault="002B2B35" w:rsidP="00F26241">
            <w:r>
              <w:t>Европейски съюз</w:t>
            </w:r>
          </w:p>
        </w:tc>
      </w:tr>
      <w:tr w:rsidR="002B2B35" w:rsidTr="00292CC6">
        <w:tc>
          <w:tcPr>
            <w:tcW w:w="1356" w:type="dxa"/>
            <w:shd w:val="clear" w:color="auto" w:fill="auto"/>
          </w:tcPr>
          <w:p w:rsidR="002B2B35" w:rsidRDefault="002B2B35" w:rsidP="00F26241">
            <w:r>
              <w:t>ЕСИФ</w:t>
            </w:r>
          </w:p>
        </w:tc>
        <w:tc>
          <w:tcPr>
            <w:tcW w:w="7716" w:type="dxa"/>
            <w:shd w:val="clear" w:color="auto" w:fill="auto"/>
          </w:tcPr>
          <w:p w:rsidR="002B2B35" w:rsidRDefault="002B2B35" w:rsidP="00F26241">
            <w:r w:rsidRPr="00210C1F">
              <w:t xml:space="preserve">Европейските структурни и инвестиционни фондове </w:t>
            </w:r>
          </w:p>
        </w:tc>
      </w:tr>
      <w:tr w:rsidR="002B2B35" w:rsidTr="00292CC6">
        <w:tc>
          <w:tcPr>
            <w:tcW w:w="1356" w:type="dxa"/>
            <w:shd w:val="clear" w:color="auto" w:fill="auto"/>
          </w:tcPr>
          <w:p w:rsidR="002B2B35" w:rsidRDefault="002B2B35" w:rsidP="00F26241">
            <w:r>
              <w:t>ЕФРР</w:t>
            </w:r>
          </w:p>
        </w:tc>
        <w:tc>
          <w:tcPr>
            <w:tcW w:w="7716" w:type="dxa"/>
            <w:shd w:val="clear" w:color="auto" w:fill="auto"/>
          </w:tcPr>
          <w:p w:rsidR="002B2B35" w:rsidRPr="00210C1F" w:rsidRDefault="002B2B35" w:rsidP="00F26241">
            <w:r w:rsidRPr="00210C1F">
              <w:t>Европейския фонд за регионално развитие</w:t>
            </w:r>
          </w:p>
        </w:tc>
      </w:tr>
      <w:tr w:rsidR="002B2B35" w:rsidTr="00292CC6">
        <w:tc>
          <w:tcPr>
            <w:tcW w:w="1356" w:type="dxa"/>
            <w:shd w:val="clear" w:color="auto" w:fill="auto"/>
          </w:tcPr>
          <w:p w:rsidR="002B2B35" w:rsidRDefault="002B2B35" w:rsidP="00F26241">
            <w:r w:rsidRPr="00682BBF">
              <w:rPr>
                <w:rFonts w:cs="Calibri"/>
                <w:bCs/>
                <w:lang w:eastAsia="bg-BG"/>
              </w:rPr>
              <w:t>ИУМПС</w:t>
            </w:r>
          </w:p>
        </w:tc>
        <w:tc>
          <w:tcPr>
            <w:tcW w:w="7716" w:type="dxa"/>
            <w:shd w:val="clear" w:color="auto" w:fill="auto"/>
          </w:tcPr>
          <w:p w:rsidR="002B2B35" w:rsidRPr="00682BBF" w:rsidRDefault="00CD14DF" w:rsidP="00F26241">
            <w:hyperlink r:id="rId13" w:history="1">
              <w:r w:rsidR="002B2B35" w:rsidRPr="00682BBF">
                <w:t xml:space="preserve">Излезли от употреба </w:t>
              </w:r>
            </w:hyperlink>
            <w:r w:rsidR="002B2B35">
              <w:t>моторни превозни средства</w:t>
            </w:r>
          </w:p>
        </w:tc>
      </w:tr>
      <w:tr w:rsidR="002B2B35" w:rsidTr="00292CC6">
        <w:tc>
          <w:tcPr>
            <w:tcW w:w="1356" w:type="dxa"/>
            <w:shd w:val="clear" w:color="auto" w:fill="auto"/>
          </w:tcPr>
          <w:p w:rsidR="002B2B35" w:rsidRPr="00682BBF" w:rsidRDefault="002B2B35" w:rsidP="00F26241">
            <w:pPr>
              <w:rPr>
                <w:rFonts w:cs="Calibri"/>
                <w:bCs/>
                <w:lang w:eastAsia="bg-BG"/>
              </w:rPr>
            </w:pPr>
            <w:r w:rsidRPr="00682BBF">
              <w:rPr>
                <w:rFonts w:cs="Calibri"/>
                <w:bCs/>
                <w:lang w:eastAsia="bg-BG"/>
              </w:rPr>
              <w:t>ИУЕЕО</w:t>
            </w:r>
          </w:p>
        </w:tc>
        <w:tc>
          <w:tcPr>
            <w:tcW w:w="7716" w:type="dxa"/>
            <w:shd w:val="clear" w:color="auto" w:fill="auto"/>
          </w:tcPr>
          <w:p w:rsidR="002B2B35" w:rsidRPr="00210C1F" w:rsidRDefault="002B2B35" w:rsidP="00F26241">
            <w:r w:rsidRPr="00682BBF">
              <w:t>Излязло от употреба електрическо и електронно оборудване</w:t>
            </w:r>
          </w:p>
        </w:tc>
      </w:tr>
      <w:tr w:rsidR="002B2B35" w:rsidTr="00292CC6">
        <w:tc>
          <w:tcPr>
            <w:tcW w:w="1356" w:type="dxa"/>
            <w:shd w:val="clear" w:color="auto" w:fill="auto"/>
          </w:tcPr>
          <w:p w:rsidR="002B2B35" w:rsidRPr="00682BBF" w:rsidRDefault="002B2B35" w:rsidP="00F26241">
            <w:pPr>
              <w:rPr>
                <w:rFonts w:cs="Calibri"/>
                <w:bCs/>
                <w:lang w:eastAsia="bg-BG"/>
              </w:rPr>
            </w:pPr>
            <w:r w:rsidRPr="00682BBF">
              <w:rPr>
                <w:rFonts w:cs="Calibri"/>
                <w:bCs/>
                <w:lang w:eastAsia="bg-BG"/>
              </w:rPr>
              <w:t>МРО</w:t>
            </w:r>
          </w:p>
        </w:tc>
        <w:tc>
          <w:tcPr>
            <w:tcW w:w="7716" w:type="dxa"/>
            <w:shd w:val="clear" w:color="auto" w:fill="auto"/>
          </w:tcPr>
          <w:p w:rsidR="002B2B35" w:rsidRPr="00682BBF" w:rsidRDefault="002B2B35" w:rsidP="00F26241">
            <w:r>
              <w:t>М</w:t>
            </w:r>
            <w:r w:rsidRPr="00682BBF">
              <w:t xml:space="preserve">асово </w:t>
            </w:r>
            <w:r>
              <w:t>разпространени отпадъци</w:t>
            </w:r>
          </w:p>
        </w:tc>
      </w:tr>
      <w:tr w:rsidR="002B2B35" w:rsidTr="00292CC6">
        <w:tc>
          <w:tcPr>
            <w:tcW w:w="1356" w:type="dxa"/>
            <w:shd w:val="clear" w:color="auto" w:fill="auto"/>
          </w:tcPr>
          <w:p w:rsidR="002B2B35" w:rsidRPr="00682BBF" w:rsidRDefault="002B2B35" w:rsidP="00F26241">
            <w:pPr>
              <w:rPr>
                <w:rFonts w:cs="Calibri"/>
                <w:bCs/>
                <w:lang w:eastAsia="bg-BG"/>
              </w:rPr>
            </w:pPr>
            <w:r w:rsidRPr="00682BBF">
              <w:rPr>
                <w:rFonts w:cs="Calibri"/>
                <w:bCs/>
                <w:lang w:eastAsia="bg-BG"/>
              </w:rPr>
              <w:t>КАВ</w:t>
            </w:r>
          </w:p>
        </w:tc>
        <w:tc>
          <w:tcPr>
            <w:tcW w:w="7716" w:type="dxa"/>
            <w:shd w:val="clear" w:color="auto" w:fill="auto"/>
          </w:tcPr>
          <w:p w:rsidR="002B2B35" w:rsidRPr="00682BBF" w:rsidRDefault="002B2B35" w:rsidP="00F26241">
            <w:r w:rsidRPr="00682BBF">
              <w:t>Качество на атмосферния въздух</w:t>
            </w:r>
          </w:p>
        </w:tc>
      </w:tr>
      <w:tr w:rsidR="002B2B35" w:rsidTr="00292CC6">
        <w:tc>
          <w:tcPr>
            <w:tcW w:w="1356" w:type="dxa"/>
            <w:shd w:val="clear" w:color="auto" w:fill="auto"/>
          </w:tcPr>
          <w:p w:rsidR="002B2B35" w:rsidRDefault="002B2B35" w:rsidP="00F26241">
            <w:r>
              <w:t>МОСВ</w:t>
            </w:r>
          </w:p>
        </w:tc>
        <w:tc>
          <w:tcPr>
            <w:tcW w:w="7716" w:type="dxa"/>
            <w:shd w:val="clear" w:color="auto" w:fill="auto"/>
          </w:tcPr>
          <w:p w:rsidR="002B2B35" w:rsidRDefault="002B2B35" w:rsidP="00F26241">
            <w:r>
              <w:t>Министерство на околната среда и водите</w:t>
            </w:r>
          </w:p>
        </w:tc>
      </w:tr>
      <w:tr w:rsidR="002B2B35" w:rsidTr="00292CC6">
        <w:tc>
          <w:tcPr>
            <w:tcW w:w="1356" w:type="dxa"/>
            <w:shd w:val="clear" w:color="auto" w:fill="auto"/>
          </w:tcPr>
          <w:p w:rsidR="002B2B35" w:rsidRDefault="002B2B35" w:rsidP="00F26241">
            <w:r>
              <w:t>МСП</w:t>
            </w:r>
          </w:p>
        </w:tc>
        <w:tc>
          <w:tcPr>
            <w:tcW w:w="7716" w:type="dxa"/>
            <w:shd w:val="clear" w:color="auto" w:fill="auto"/>
          </w:tcPr>
          <w:p w:rsidR="002B2B35" w:rsidRDefault="002B2B35" w:rsidP="00F26241">
            <w:r>
              <w:t>Малки и средни предприятия</w:t>
            </w:r>
          </w:p>
        </w:tc>
      </w:tr>
      <w:tr w:rsidR="002B2B35" w:rsidTr="00292CC6">
        <w:tc>
          <w:tcPr>
            <w:tcW w:w="1356" w:type="dxa"/>
            <w:shd w:val="clear" w:color="auto" w:fill="auto"/>
          </w:tcPr>
          <w:p w:rsidR="002B2B35" w:rsidRDefault="002B2B35" w:rsidP="00F26241">
            <w:r>
              <w:t>МФ</w:t>
            </w:r>
          </w:p>
        </w:tc>
        <w:tc>
          <w:tcPr>
            <w:tcW w:w="7716" w:type="dxa"/>
            <w:shd w:val="clear" w:color="auto" w:fill="auto"/>
          </w:tcPr>
          <w:p w:rsidR="002B2B35" w:rsidRDefault="002B2B35" w:rsidP="00F26241">
            <w:r>
              <w:t>Министерство на финансите</w:t>
            </w:r>
          </w:p>
        </w:tc>
      </w:tr>
      <w:tr w:rsidR="002B2B35" w:rsidTr="00292CC6">
        <w:tc>
          <w:tcPr>
            <w:tcW w:w="1356" w:type="dxa"/>
            <w:shd w:val="clear" w:color="auto" w:fill="auto"/>
          </w:tcPr>
          <w:p w:rsidR="002B2B35" w:rsidRDefault="002B2B35" w:rsidP="00F26241">
            <w:r>
              <w:t>МФИ</w:t>
            </w:r>
          </w:p>
        </w:tc>
        <w:tc>
          <w:tcPr>
            <w:tcW w:w="7716" w:type="dxa"/>
            <w:shd w:val="clear" w:color="auto" w:fill="auto"/>
          </w:tcPr>
          <w:p w:rsidR="002B2B35" w:rsidRDefault="002B2B35" w:rsidP="00F26241">
            <w:r>
              <w:t>Международни финансови инвестиции</w:t>
            </w:r>
          </w:p>
        </w:tc>
      </w:tr>
      <w:tr w:rsidR="002B2B35" w:rsidTr="00292CC6">
        <w:tc>
          <w:tcPr>
            <w:tcW w:w="1356" w:type="dxa"/>
            <w:shd w:val="clear" w:color="auto" w:fill="auto"/>
          </w:tcPr>
          <w:p w:rsidR="002B2B35" w:rsidRDefault="002B2B35" w:rsidP="00F26241">
            <w:r>
              <w:lastRenderedPageBreak/>
              <w:t>МРР</w:t>
            </w:r>
          </w:p>
        </w:tc>
        <w:tc>
          <w:tcPr>
            <w:tcW w:w="7716" w:type="dxa"/>
            <w:shd w:val="clear" w:color="auto" w:fill="auto"/>
          </w:tcPr>
          <w:p w:rsidR="002B2B35" w:rsidRDefault="002B2B35" w:rsidP="00F26241">
            <w:r>
              <w:t>Министерство на регионалното развитие</w:t>
            </w:r>
          </w:p>
        </w:tc>
      </w:tr>
      <w:tr w:rsidR="002B2B35" w:rsidTr="00292CC6">
        <w:tc>
          <w:tcPr>
            <w:tcW w:w="1356" w:type="dxa"/>
            <w:shd w:val="clear" w:color="auto" w:fill="auto"/>
          </w:tcPr>
          <w:p w:rsidR="002B2B35" w:rsidRDefault="002B2B35" w:rsidP="00F26241">
            <w:r w:rsidRPr="00912AE9">
              <w:t>НДЕФ</w:t>
            </w:r>
          </w:p>
        </w:tc>
        <w:tc>
          <w:tcPr>
            <w:tcW w:w="7716" w:type="dxa"/>
            <w:shd w:val="clear" w:color="auto" w:fill="auto"/>
          </w:tcPr>
          <w:p w:rsidR="002B2B35" w:rsidRDefault="002B2B35" w:rsidP="00F26241">
            <w:r w:rsidRPr="00912AE9">
              <w:t>Н</w:t>
            </w:r>
            <w:r>
              <w:t>ационален доверителен екофонд</w:t>
            </w:r>
          </w:p>
        </w:tc>
      </w:tr>
      <w:tr w:rsidR="002B2B35" w:rsidTr="00292CC6">
        <w:tc>
          <w:tcPr>
            <w:tcW w:w="1356" w:type="dxa"/>
            <w:shd w:val="clear" w:color="auto" w:fill="auto"/>
          </w:tcPr>
          <w:p w:rsidR="002B2B35" w:rsidRDefault="002B2B35" w:rsidP="00F26241">
            <w:r>
              <w:t>НГФ</w:t>
            </w:r>
          </w:p>
        </w:tc>
        <w:tc>
          <w:tcPr>
            <w:tcW w:w="7716" w:type="dxa"/>
            <w:shd w:val="clear" w:color="auto" w:fill="auto"/>
          </w:tcPr>
          <w:p w:rsidR="002B2B35" w:rsidRDefault="002B2B35" w:rsidP="00F26241">
            <w:r>
              <w:t>Национален гаранционен фонд</w:t>
            </w:r>
          </w:p>
        </w:tc>
      </w:tr>
      <w:tr w:rsidR="002B2B35" w:rsidTr="00292CC6">
        <w:tc>
          <w:tcPr>
            <w:tcW w:w="1356" w:type="dxa"/>
            <w:shd w:val="clear" w:color="auto" w:fill="auto"/>
          </w:tcPr>
          <w:p w:rsidR="002B2B35" w:rsidRDefault="002B2B35" w:rsidP="00F26241">
            <w:r>
              <w:t>ОП</w:t>
            </w:r>
          </w:p>
        </w:tc>
        <w:tc>
          <w:tcPr>
            <w:tcW w:w="7716" w:type="dxa"/>
            <w:shd w:val="clear" w:color="auto" w:fill="auto"/>
          </w:tcPr>
          <w:p w:rsidR="002B2B35" w:rsidRDefault="002B2B35" w:rsidP="00F26241">
            <w:r>
              <w:t>Оперативна програма</w:t>
            </w:r>
          </w:p>
        </w:tc>
      </w:tr>
      <w:tr w:rsidR="002B2B35" w:rsidTr="00292CC6">
        <w:tc>
          <w:tcPr>
            <w:tcW w:w="1356" w:type="dxa"/>
            <w:shd w:val="clear" w:color="auto" w:fill="auto"/>
          </w:tcPr>
          <w:p w:rsidR="002B2B35" w:rsidRDefault="002B2B35" w:rsidP="00F26241">
            <w:r>
              <w:t>ОПОС</w:t>
            </w:r>
          </w:p>
        </w:tc>
        <w:tc>
          <w:tcPr>
            <w:tcW w:w="7716" w:type="dxa"/>
            <w:shd w:val="clear" w:color="auto" w:fill="auto"/>
          </w:tcPr>
          <w:p w:rsidR="002B2B35" w:rsidRDefault="002B2B35" w:rsidP="00F26241">
            <w:r>
              <w:t>Оперативна програма „Околна среда“</w:t>
            </w:r>
          </w:p>
        </w:tc>
      </w:tr>
      <w:tr w:rsidR="002B2B35" w:rsidTr="00292CC6">
        <w:tc>
          <w:tcPr>
            <w:tcW w:w="1356" w:type="dxa"/>
            <w:shd w:val="clear" w:color="auto" w:fill="auto"/>
          </w:tcPr>
          <w:p w:rsidR="002B2B35" w:rsidRDefault="002B2B35" w:rsidP="00F26241">
            <w:r>
              <w:t>ПО</w:t>
            </w:r>
          </w:p>
        </w:tc>
        <w:tc>
          <w:tcPr>
            <w:tcW w:w="7716" w:type="dxa"/>
            <w:shd w:val="clear" w:color="auto" w:fill="auto"/>
          </w:tcPr>
          <w:p w:rsidR="002B2B35" w:rsidRDefault="002B2B35" w:rsidP="00F26241">
            <w:r>
              <w:t>Приоритетна ос</w:t>
            </w:r>
          </w:p>
        </w:tc>
      </w:tr>
      <w:tr w:rsidR="002B2B35" w:rsidTr="00292CC6">
        <w:tc>
          <w:tcPr>
            <w:tcW w:w="1356" w:type="dxa"/>
            <w:shd w:val="clear" w:color="auto" w:fill="auto"/>
          </w:tcPr>
          <w:p w:rsidR="002B2B35" w:rsidRDefault="002B2B35" w:rsidP="00F26241">
            <w:r>
              <w:t>ПСОВ</w:t>
            </w:r>
          </w:p>
        </w:tc>
        <w:tc>
          <w:tcPr>
            <w:tcW w:w="7716" w:type="dxa"/>
            <w:shd w:val="clear" w:color="auto" w:fill="auto"/>
          </w:tcPr>
          <w:p w:rsidR="002B2B35" w:rsidRDefault="002B2B35" w:rsidP="00F26241">
            <w:r w:rsidRPr="00A90465">
              <w:t>Пречиствателна станция за отпадни води</w:t>
            </w:r>
          </w:p>
        </w:tc>
      </w:tr>
      <w:tr w:rsidR="002B2B35" w:rsidTr="00292CC6">
        <w:tc>
          <w:tcPr>
            <w:tcW w:w="1356" w:type="dxa"/>
            <w:shd w:val="clear" w:color="auto" w:fill="auto"/>
          </w:tcPr>
          <w:p w:rsidR="002B2B35" w:rsidRDefault="002B2B35" w:rsidP="00F26241">
            <w:r>
              <w:t>ПУДООС</w:t>
            </w:r>
          </w:p>
        </w:tc>
        <w:tc>
          <w:tcPr>
            <w:tcW w:w="7716" w:type="dxa"/>
            <w:shd w:val="clear" w:color="auto" w:fill="auto"/>
          </w:tcPr>
          <w:p w:rsidR="002B2B35" w:rsidRDefault="002B2B35" w:rsidP="00F26241">
            <w:r w:rsidRPr="0098744E">
              <w:t>Предприятие за управление на дейностите по опазване на околната среда</w:t>
            </w:r>
          </w:p>
        </w:tc>
      </w:tr>
      <w:tr w:rsidR="002B2B35" w:rsidTr="00292CC6">
        <w:tc>
          <w:tcPr>
            <w:tcW w:w="1356" w:type="dxa"/>
            <w:shd w:val="clear" w:color="auto" w:fill="auto"/>
          </w:tcPr>
          <w:p w:rsidR="002B2B35" w:rsidRDefault="002B2B35" w:rsidP="00F26241">
            <w:r>
              <w:t>РОП</w:t>
            </w:r>
          </w:p>
        </w:tc>
        <w:tc>
          <w:tcPr>
            <w:tcW w:w="7716" w:type="dxa"/>
            <w:shd w:val="clear" w:color="auto" w:fill="auto"/>
          </w:tcPr>
          <w:p w:rsidR="002B2B35" w:rsidRPr="0098744E" w:rsidRDefault="002B2B35" w:rsidP="00F26241">
            <w:r w:rsidRPr="00682BBF">
              <w:t>Разширена отговорност на производителя</w:t>
            </w:r>
          </w:p>
        </w:tc>
      </w:tr>
      <w:tr w:rsidR="002B2B35" w:rsidTr="00292CC6">
        <w:tc>
          <w:tcPr>
            <w:tcW w:w="1356" w:type="dxa"/>
            <w:shd w:val="clear" w:color="auto" w:fill="auto"/>
          </w:tcPr>
          <w:p w:rsidR="002B2B35" w:rsidRDefault="002B2B35" w:rsidP="00F26241">
            <w:r w:rsidRPr="00682BBF">
              <w:rPr>
                <w:rFonts w:cs="Calibri"/>
                <w:bCs/>
              </w:rPr>
              <w:t>РСУО</w:t>
            </w:r>
          </w:p>
        </w:tc>
        <w:tc>
          <w:tcPr>
            <w:tcW w:w="7716" w:type="dxa"/>
            <w:shd w:val="clear" w:color="auto" w:fill="auto"/>
          </w:tcPr>
          <w:p w:rsidR="002B2B35" w:rsidRPr="0098744E" w:rsidRDefault="002B2B35" w:rsidP="00F26241">
            <w:r w:rsidRPr="00A84436">
              <w:t>Регионално сдружение за управление на отпадъците</w:t>
            </w:r>
          </w:p>
        </w:tc>
      </w:tr>
      <w:tr w:rsidR="002B2B35" w:rsidTr="00292CC6">
        <w:tc>
          <w:tcPr>
            <w:tcW w:w="1356" w:type="dxa"/>
            <w:shd w:val="clear" w:color="auto" w:fill="auto"/>
          </w:tcPr>
          <w:p w:rsidR="002B2B35" w:rsidRDefault="002B2B35" w:rsidP="00F26241">
            <w:r>
              <w:t>УО</w:t>
            </w:r>
          </w:p>
        </w:tc>
        <w:tc>
          <w:tcPr>
            <w:tcW w:w="7716" w:type="dxa"/>
            <w:shd w:val="clear" w:color="auto" w:fill="auto"/>
          </w:tcPr>
          <w:p w:rsidR="002B2B35" w:rsidRDefault="002B2B35" w:rsidP="00F26241">
            <w:r>
              <w:t>Управляващ орган</w:t>
            </w:r>
          </w:p>
        </w:tc>
      </w:tr>
      <w:tr w:rsidR="002B2B35" w:rsidTr="00292CC6">
        <w:tc>
          <w:tcPr>
            <w:tcW w:w="1356" w:type="dxa"/>
            <w:shd w:val="clear" w:color="auto" w:fill="auto"/>
          </w:tcPr>
          <w:p w:rsidR="002B2B35" w:rsidRDefault="002B2B35" w:rsidP="00F26241">
            <w:r>
              <w:t>ФИ</w:t>
            </w:r>
          </w:p>
        </w:tc>
        <w:tc>
          <w:tcPr>
            <w:tcW w:w="7716" w:type="dxa"/>
            <w:shd w:val="clear" w:color="auto" w:fill="auto"/>
          </w:tcPr>
          <w:p w:rsidR="002B2B35" w:rsidRDefault="002B2B35" w:rsidP="00F26241">
            <w:r>
              <w:t>Финансови инструменти</w:t>
            </w:r>
          </w:p>
        </w:tc>
      </w:tr>
      <w:tr w:rsidR="002B2B35" w:rsidTr="00292CC6">
        <w:tc>
          <w:tcPr>
            <w:tcW w:w="1356" w:type="dxa"/>
            <w:shd w:val="clear" w:color="auto" w:fill="auto"/>
          </w:tcPr>
          <w:p w:rsidR="002B2B35" w:rsidRDefault="002B2B35" w:rsidP="00F26241">
            <w:r>
              <w:t>ФЛАГ</w:t>
            </w:r>
          </w:p>
        </w:tc>
        <w:tc>
          <w:tcPr>
            <w:tcW w:w="7716" w:type="dxa"/>
            <w:shd w:val="clear" w:color="auto" w:fill="auto"/>
          </w:tcPr>
          <w:p w:rsidR="002B2B35" w:rsidRDefault="002B2B35" w:rsidP="00F26241">
            <w:r>
              <w:t>Фонд за органите на местно самоуправление в България</w:t>
            </w:r>
          </w:p>
        </w:tc>
      </w:tr>
      <w:tr w:rsidR="002B2B35" w:rsidTr="00292CC6">
        <w:tc>
          <w:tcPr>
            <w:tcW w:w="1356" w:type="dxa"/>
            <w:shd w:val="clear" w:color="auto" w:fill="auto"/>
          </w:tcPr>
          <w:p w:rsidR="002B2B35" w:rsidRDefault="002B2B35" w:rsidP="00F26241">
            <w:r>
              <w:t>ЦКЗ</w:t>
            </w:r>
          </w:p>
        </w:tc>
        <w:tc>
          <w:tcPr>
            <w:tcW w:w="7716" w:type="dxa"/>
            <w:shd w:val="clear" w:color="auto" w:fill="auto"/>
          </w:tcPr>
          <w:p w:rsidR="002B2B35" w:rsidRDefault="002B2B35" w:rsidP="00F26241">
            <w:r>
              <w:t>Централно координационно звено</w:t>
            </w:r>
          </w:p>
        </w:tc>
      </w:tr>
    </w:tbl>
    <w:p w:rsidR="002B2B35" w:rsidRDefault="002B2B35" w:rsidP="002B2B35"/>
    <w:p w:rsidR="002B2B35" w:rsidRDefault="002B2B35">
      <w:r>
        <w:br w:type="page"/>
      </w:r>
    </w:p>
    <w:p w:rsidR="009C1252" w:rsidRDefault="009C1252" w:rsidP="009C1252">
      <w:pPr>
        <w:pStyle w:val="Heading1"/>
        <w:ind w:left="360"/>
        <w:rPr>
          <w:rFonts w:asciiTheme="minorHAnsi" w:hAnsiTheme="minorHAnsi" w:cs="Times New Roman"/>
          <w:b/>
        </w:rPr>
      </w:pPr>
      <w:bookmarkStart w:id="1" w:name="_Toc394425838"/>
      <w:bookmarkStart w:id="2" w:name="_Toc399494503"/>
      <w:r>
        <w:rPr>
          <w:rFonts w:asciiTheme="minorHAnsi" w:hAnsiTheme="minorHAnsi" w:cs="Times New Roman"/>
          <w:b/>
        </w:rPr>
        <w:lastRenderedPageBreak/>
        <w:t>Въведение</w:t>
      </w:r>
      <w:bookmarkEnd w:id="1"/>
      <w:bookmarkEnd w:id="2"/>
    </w:p>
    <w:p w:rsidR="009C1252" w:rsidRPr="00901B6E" w:rsidRDefault="009C1252" w:rsidP="00107B8E">
      <w:pPr>
        <w:spacing w:before="240" w:after="120"/>
        <w:jc w:val="both"/>
      </w:pPr>
      <w:r w:rsidRPr="00901B6E">
        <w:t>Настоящият доклад е изготвен от БИМ КОНСУЛТИНГ ООД съгласно договор № ДОГ - 63/ 08.04.2014г.: „Изготвяне на предварителна оценка (ex-ante assessment) и стратегия за ефективното прилагане на финансови инструменти по Оперативна програма „Околна среда 2014-2020г”, финансирана от Оперативна програма „Техническа помощ” с възложител Министерство на финансите.</w:t>
      </w:r>
    </w:p>
    <w:p w:rsidR="009C1252" w:rsidRPr="00901B6E" w:rsidRDefault="009C1252" w:rsidP="009C1252">
      <w:pPr>
        <w:spacing w:after="120"/>
        <w:jc w:val="both"/>
      </w:pPr>
      <w:r w:rsidRPr="00901B6E">
        <w:t>Предварителната оценка на финансовите инструменти има ключово значение за изпълнение на програмата през новия програмен период. Крайната цел на предварителната оценка е да обоснове адекватността на предвижданите финансови инструменти (ФИ) за идентифицираните пазарни неуспехи или субоптимални инвестиционни ситуации и да гарантира, че ФИ ще допринесат за постигане целите на Оперативната програма (ОП) и Европейските Структурни и Инвестиционни Фондове (ЕСИФ). В този смисъл, предварителната оценка може да се счита за инструмент за удостоверяване адекватността на решението за постигане на определени цели, заложени в ОП, чрез финансовите инструменти. Изводите от предварителната оценка ще бъдат максимално ясни и базирани на резултатите от анализи, адаптирани към специфичните нужди на оперативната програма.</w:t>
      </w:r>
    </w:p>
    <w:p w:rsidR="009C1252" w:rsidRPr="00901B6E" w:rsidRDefault="009C1252" w:rsidP="009C1252">
      <w:pPr>
        <w:spacing w:after="120"/>
        <w:jc w:val="both"/>
        <w:rPr>
          <w:lang w:val="en-US"/>
        </w:rPr>
      </w:pPr>
      <w:r w:rsidRPr="00901B6E">
        <w:t>При изготвянето на предварителната оценка на финансовите инструменти по Оперативната програма „Околна среда 2014-2020г.“ Консултантът следва методологията на Европейската Комисия за предварителната оценка на финансовите инструменти през програмен период 2014-2020</w:t>
      </w:r>
      <w:r w:rsidRPr="00901B6E">
        <w:rPr>
          <w:rStyle w:val="FootnoteReference"/>
        </w:rPr>
        <w:footnoteReference w:id="1"/>
      </w:r>
      <w:r w:rsidRPr="00901B6E">
        <w:t xml:space="preserve">. </w:t>
      </w:r>
    </w:p>
    <w:p w:rsidR="009C1252" w:rsidRDefault="009C1252" w:rsidP="009C1252">
      <w:pPr>
        <w:spacing w:after="120"/>
        <w:jc w:val="both"/>
      </w:pPr>
      <w:r>
        <w:t>О</w:t>
      </w:r>
      <w:r w:rsidRPr="00901B6E">
        <w:t xml:space="preserve">ценката е разделена на две фази: </w:t>
      </w:r>
    </w:p>
    <w:p w:rsidR="009C1252" w:rsidRPr="000D6A15" w:rsidRDefault="009C1252" w:rsidP="009C1252">
      <w:pPr>
        <w:spacing w:after="120"/>
        <w:jc w:val="both"/>
      </w:pPr>
      <w:r w:rsidRPr="000D6A15">
        <w:t xml:space="preserve">(1) оценка на пазара: ако в резултат от оценката на пазара се установи, че прилагането на ФИ не е обосновано, поне не в първоначално предвижданата им форма, е логично да не се продължи към изготвяне на стратегия за прилагането им. В този случай УО може да обмисли други начини за постигане на целите без прилагането на ФИ. Съществува възможност някои от целите на ОП да се променят в процеса на изготвяне на предварителната оценка. В този случай ОП трябва да бъде ревизирана преди окончателното решение за прилагане на ФИ. </w:t>
      </w:r>
    </w:p>
    <w:p w:rsidR="009C1252" w:rsidRPr="000D6A15" w:rsidRDefault="009C1252" w:rsidP="009C1252">
      <w:pPr>
        <w:spacing w:after="120"/>
        <w:jc w:val="both"/>
      </w:pPr>
      <w:r w:rsidRPr="000D6A15">
        <w:t xml:space="preserve">(2) стратегия за прилагане на финансовите инструменти. </w:t>
      </w:r>
    </w:p>
    <w:p w:rsidR="009C1252" w:rsidRPr="000D6A15" w:rsidRDefault="009C1252" w:rsidP="009C1252">
      <w:pPr>
        <w:spacing w:after="120"/>
        <w:jc w:val="both"/>
      </w:pPr>
      <w:r w:rsidRPr="000D6A15">
        <w:t>Предварителният доклад от оценката, изготвен към месец юли, 2014 г. се фокусира основно върху етап (1). Оценка на пазара, като прави предположения относно обосноваността на прилагане на ФИ при изпълнение на ОП „Околна среда 2014 – 2020“. Предварителният доклад констатира приложимост на ФИ.</w:t>
      </w:r>
    </w:p>
    <w:p w:rsidR="009C1252" w:rsidRPr="000D6A15" w:rsidRDefault="009C1252" w:rsidP="009C1252">
      <w:pPr>
        <w:spacing w:after="120"/>
        <w:jc w:val="both"/>
      </w:pPr>
      <w:r w:rsidRPr="000D6A15">
        <w:t>Настоящият втори проект на доклад включва и фаза (2) от оценката – Предложение за стратегия за прилагане на финансови инструменти.</w:t>
      </w:r>
    </w:p>
    <w:p w:rsidR="009C1252" w:rsidRDefault="009C1252" w:rsidP="009C1252">
      <w:pPr>
        <w:pStyle w:val="Heading1"/>
        <w:ind w:left="360"/>
        <w:rPr>
          <w:rFonts w:asciiTheme="minorHAnsi" w:hAnsiTheme="minorHAnsi" w:cs="Times New Roman"/>
          <w:b/>
        </w:rPr>
      </w:pPr>
      <w:bookmarkStart w:id="3" w:name="_Toc394425839"/>
      <w:bookmarkStart w:id="4" w:name="_Toc399494504"/>
      <w:r>
        <w:rPr>
          <w:rFonts w:asciiTheme="minorHAnsi" w:hAnsiTheme="minorHAnsi" w:cs="Times New Roman"/>
          <w:b/>
        </w:rPr>
        <w:lastRenderedPageBreak/>
        <w:t>Методологичен подход, използвани методи и инструменти</w:t>
      </w:r>
      <w:bookmarkEnd w:id="3"/>
      <w:bookmarkEnd w:id="4"/>
    </w:p>
    <w:p w:rsidR="009C1252" w:rsidRPr="00901B6E" w:rsidRDefault="009C1252" w:rsidP="00107B8E">
      <w:pPr>
        <w:spacing w:before="240" w:after="120"/>
        <w:jc w:val="both"/>
        <w:rPr>
          <w:lang w:val="en-US"/>
        </w:rPr>
      </w:pPr>
      <w:r w:rsidRPr="00901B6E">
        <w:t>Методологичния подход за извършване на предварителната оценка се основава на методологията на Европейската Комисия за предварителната оценка на финансовите инструменти през програмен период 2014-2020</w:t>
      </w:r>
      <w:r w:rsidRPr="00901B6E">
        <w:rPr>
          <w:rStyle w:val="FootnoteReference"/>
        </w:rPr>
        <w:footnoteReference w:id="2"/>
      </w:r>
      <w:r w:rsidRPr="00901B6E">
        <w:t xml:space="preserve">. </w:t>
      </w:r>
    </w:p>
    <w:p w:rsidR="009C1252" w:rsidRPr="00901B6E" w:rsidRDefault="009C1252" w:rsidP="009C1252">
      <w:pPr>
        <w:spacing w:after="120"/>
        <w:jc w:val="both"/>
      </w:pPr>
      <w:r w:rsidRPr="00901B6E">
        <w:t>Член 37 (2) от Регламент 1303/2013г. за определяне на общоприложими разпоредби предвижда седем ключови групи от елементи, които трябва да бъдат включени в предварителната оценка</w:t>
      </w:r>
      <w:r w:rsidRPr="00901B6E">
        <w:rPr>
          <w:b/>
        </w:rPr>
        <w:t xml:space="preserve"> </w:t>
      </w:r>
      <w:r w:rsidRPr="00901B6E">
        <w:t>на финансови инструменти, както следва:</w:t>
      </w:r>
    </w:p>
    <w:p w:rsidR="009C1252" w:rsidRPr="00901B6E" w:rsidRDefault="009C1252" w:rsidP="009C1252">
      <w:pPr>
        <w:spacing w:after="120"/>
        <w:ind w:left="360"/>
      </w:pPr>
    </w:p>
    <w:tbl>
      <w:tblPr>
        <w:tblStyle w:val="ListTable4-Accent31"/>
        <w:tblW w:w="9538" w:type="dxa"/>
        <w:tblLayout w:type="fixed"/>
        <w:tblLook w:val="0000" w:firstRow="0" w:lastRow="0" w:firstColumn="0" w:lastColumn="0" w:noHBand="0" w:noVBand="0"/>
      </w:tblPr>
      <w:tblGrid>
        <w:gridCol w:w="2592"/>
        <w:gridCol w:w="6946"/>
      </w:tblGrid>
      <w:tr w:rsidR="009C1252" w:rsidRPr="00894336" w:rsidTr="009238DD">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2592" w:type="dxa"/>
          </w:tcPr>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Елементи на предварителната оценка на ФИ съгласно  чл. 37 (2)</w:t>
            </w:r>
          </w:p>
        </w:tc>
        <w:tc>
          <w:tcPr>
            <w:tcW w:w="6946" w:type="dxa"/>
          </w:tcPr>
          <w:p w:rsidR="009C1252" w:rsidRPr="00894336" w:rsidRDefault="009C1252" w:rsidP="00A91295">
            <w:pPr>
              <w:pStyle w:val="Style35"/>
              <w:widowControl/>
              <w:spacing w:line="240" w:lineRule="auto"/>
              <w:jc w:val="center"/>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r w:rsidRPr="00894336">
              <w:rPr>
                <w:rStyle w:val="FontStyle251"/>
                <w:rFonts w:asciiTheme="minorHAnsi" w:hAnsiTheme="minorHAnsi" w:cs="Times New Roman"/>
                <w:sz w:val="22"/>
                <w:szCs w:val="22"/>
              </w:rPr>
              <w:t>Описание</w:t>
            </w:r>
          </w:p>
        </w:tc>
      </w:tr>
      <w:tr w:rsidR="009C1252" w:rsidRPr="00894336" w:rsidTr="009238DD">
        <w:trPr>
          <w:trHeight w:val="331"/>
        </w:trPr>
        <w:tc>
          <w:tcPr>
            <w:cnfStyle w:val="000010000000" w:firstRow="0" w:lastRow="0" w:firstColumn="0" w:lastColumn="0" w:oddVBand="1" w:evenVBand="0" w:oddHBand="0" w:evenHBand="0" w:firstRowFirstColumn="0" w:firstRowLastColumn="0" w:lastRowFirstColumn="0" w:lastRowLastColumn="0"/>
            <w:tcW w:w="9538" w:type="dxa"/>
            <w:gridSpan w:val="2"/>
          </w:tcPr>
          <w:p w:rsidR="009C1252" w:rsidRPr="00894336" w:rsidRDefault="009C1252" w:rsidP="00A91295">
            <w:pPr>
              <w:spacing w:after="120"/>
              <w:rPr>
                <w:rStyle w:val="FontStyle251"/>
                <w:rFonts w:asciiTheme="minorHAnsi" w:hAnsiTheme="minorHAnsi"/>
              </w:rPr>
            </w:pPr>
            <w:r w:rsidRPr="00894336">
              <w:rPr>
                <w:rFonts w:cs="Times New Roman"/>
              </w:rPr>
              <w:t>Елементи на предварителна оценка на финансовите инструменти през първата фаза на оценката:</w:t>
            </w:r>
          </w:p>
        </w:tc>
      </w:tr>
      <w:tr w:rsidR="009C1252" w:rsidRPr="00894336" w:rsidTr="009238DD">
        <w:trPr>
          <w:cnfStyle w:val="000000100000" w:firstRow="0" w:lastRow="0" w:firstColumn="0" w:lastColumn="0" w:oddVBand="0" w:evenVBand="0" w:oddHBand="1" w:evenHBand="0" w:firstRowFirstColumn="0" w:firstRowLastColumn="0" w:lastRowFirstColumn="0" w:lastRowLastColumn="0"/>
          <w:trHeight w:val="2010"/>
        </w:trPr>
        <w:tc>
          <w:tcPr>
            <w:cnfStyle w:val="000010000000" w:firstRow="0" w:lastRow="0" w:firstColumn="0" w:lastColumn="0" w:oddVBand="1" w:evenVBand="0" w:oddHBand="0" w:evenHBand="0" w:firstRowFirstColumn="0" w:firstRowLastColumn="0" w:lastRowFirstColumn="0" w:lastRowLastColumn="0"/>
            <w:tcW w:w="2592" w:type="dxa"/>
          </w:tcPr>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1) Анализ на</w:t>
            </w:r>
          </w:p>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пазарните неуспехи и</w:t>
            </w:r>
          </w:p>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субоптимални</w:t>
            </w:r>
          </w:p>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инвестиционни</w:t>
            </w:r>
          </w:p>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ситуации и</w:t>
            </w:r>
          </w:p>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инвестиционни</w:t>
            </w:r>
          </w:p>
          <w:p w:rsidR="009C1252" w:rsidRPr="00894336" w:rsidRDefault="009C1252" w:rsidP="00A91295">
            <w:pPr>
              <w:pStyle w:val="Style90"/>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нужди.</w:t>
            </w:r>
          </w:p>
        </w:tc>
        <w:tc>
          <w:tcPr>
            <w:tcW w:w="6946" w:type="dxa"/>
          </w:tcPr>
          <w:p w:rsidR="009C1252" w:rsidRPr="004C64C4"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r w:rsidRPr="004C64C4">
              <w:rPr>
                <w:rStyle w:val="FontStyle239"/>
                <w:rFonts w:asciiTheme="minorHAnsi" w:hAnsiTheme="minorHAnsi" w:cs="Times New Roman"/>
                <w:sz w:val="22"/>
                <w:szCs w:val="22"/>
                <w:lang w:eastAsia="en-US"/>
              </w:rPr>
              <w:t>Анализ на количеството ресурси на ЕСИФ, които да бъдат разпределени за ФИ с цел привличане на други инвеститори и покриване на инвестиционния недостиг или принос за постигане на целта;</w:t>
            </w:r>
          </w:p>
          <w:p w:rsidR="009C1252" w:rsidRPr="004C64C4"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4C64C4"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r w:rsidRPr="004C64C4">
              <w:rPr>
                <w:rStyle w:val="FontStyle239"/>
                <w:rFonts w:asciiTheme="minorHAnsi" w:hAnsiTheme="minorHAnsi" w:cs="Times New Roman"/>
                <w:sz w:val="22"/>
                <w:szCs w:val="22"/>
                <w:lang w:eastAsia="en-US"/>
              </w:rPr>
              <w:t>Нужда от ФИ с цел допринасяне за стратегията и очакваните резултати на Оперативната програма (ОП), чрез осигуряване на мостово финансиране за компенсиране на недостиг на възвръщаемостта или финансовия недостиг.</w:t>
            </w:r>
          </w:p>
          <w:p w:rsidR="009C1252" w:rsidRPr="004C64C4"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4C64C4" w:rsidRDefault="009C1252" w:rsidP="0018716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18"/>
                <w:szCs w:val="18"/>
                <w:lang w:eastAsia="en-US"/>
              </w:rPr>
            </w:pPr>
            <w:r w:rsidRPr="004C64C4">
              <w:rPr>
                <w:rStyle w:val="FontStyle239"/>
                <w:rFonts w:asciiTheme="minorHAnsi" w:hAnsiTheme="minorHAnsi" w:cs="Times New Roman"/>
                <w:sz w:val="22"/>
                <w:szCs w:val="22"/>
                <w:lang w:eastAsia="en-US"/>
              </w:rPr>
              <w:t xml:space="preserve">Идентифициране на основните причини, вид и размер на пазарния неуспех и/или </w:t>
            </w:r>
            <w:r w:rsidR="00187165">
              <w:rPr>
                <w:rStyle w:val="FontStyle239"/>
                <w:rFonts w:asciiTheme="minorHAnsi" w:hAnsiTheme="minorHAnsi" w:cs="Times New Roman"/>
                <w:sz w:val="22"/>
                <w:szCs w:val="22"/>
                <w:lang w:eastAsia="en-US"/>
              </w:rPr>
              <w:t>не</w:t>
            </w:r>
            <w:r w:rsidRPr="004C64C4">
              <w:rPr>
                <w:rStyle w:val="FontStyle239"/>
                <w:rFonts w:asciiTheme="minorHAnsi" w:hAnsiTheme="minorHAnsi" w:cs="Times New Roman"/>
                <w:sz w:val="22"/>
                <w:szCs w:val="22"/>
                <w:lang w:eastAsia="en-US"/>
              </w:rPr>
              <w:t>оптимална инвестиционна ситуация, чрез анализ на добри практики, за да се гарантира, че ФИ се използват само ако има смисъл от тях.</w:t>
            </w:r>
          </w:p>
        </w:tc>
      </w:tr>
      <w:tr w:rsidR="009C1252" w:rsidRPr="00894336" w:rsidTr="009238DD">
        <w:trPr>
          <w:trHeight w:val="1881"/>
        </w:trPr>
        <w:tc>
          <w:tcPr>
            <w:cnfStyle w:val="000010000000" w:firstRow="0" w:lastRow="0" w:firstColumn="0" w:lastColumn="0" w:oddVBand="1" w:evenVBand="0" w:oddHBand="0" w:evenHBand="0" w:firstRowFirstColumn="0" w:firstRowLastColumn="0" w:lastRowFirstColumn="0" w:lastRowLastColumn="0"/>
            <w:tcW w:w="2592" w:type="dxa"/>
          </w:tcPr>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2) Добавена стойност на финансовите инструменти.</w:t>
            </w:r>
          </w:p>
        </w:tc>
        <w:tc>
          <w:tcPr>
            <w:tcW w:w="6946" w:type="dxa"/>
          </w:tcPr>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Проверка на добавената стойност на ФИ.</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Проверка за съгласуваност с други форми на публична интервенция, адресирани към същия пазарен неуспех, за да се предотврати припокриване и да се избегнат противоречиви цели;</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 xml:space="preserve">Възможни форми на държавна помощ включително пропорционалност на предвидената интервенция с идентифицираните пазарни нужди; </w:t>
            </w:r>
          </w:p>
          <w:p w:rsidR="009C1252" w:rsidRPr="00AD705C" w:rsidRDefault="009C1252" w:rsidP="00A91295">
            <w:pPr>
              <w:pStyle w:val="Style35"/>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Мерки за свеждане до минимум изкривяване на пазара в резултат от прилагане на ФИ.</w:t>
            </w:r>
          </w:p>
        </w:tc>
      </w:tr>
      <w:tr w:rsidR="009C1252" w:rsidRPr="00894336" w:rsidTr="009238DD">
        <w:trPr>
          <w:cnfStyle w:val="000000100000" w:firstRow="0" w:lastRow="0" w:firstColumn="0" w:lastColumn="0" w:oddVBand="0" w:evenVBand="0" w:oddHBand="1" w:evenHBand="0" w:firstRowFirstColumn="0" w:firstRowLastColumn="0" w:lastRowFirstColumn="0" w:lastRowLastColumn="0"/>
          <w:trHeight w:val="489"/>
        </w:trPr>
        <w:tc>
          <w:tcPr>
            <w:cnfStyle w:val="000010000000" w:firstRow="0" w:lastRow="0" w:firstColumn="0" w:lastColumn="0" w:oddVBand="1" w:evenVBand="0" w:oddHBand="0" w:evenHBand="0" w:firstRowFirstColumn="0" w:firstRowLastColumn="0" w:lastRowFirstColumn="0" w:lastRowLastColumn="0"/>
            <w:tcW w:w="2592" w:type="dxa"/>
          </w:tcPr>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3) Допълнителни публични и частни ресурси.</w:t>
            </w:r>
          </w:p>
        </w:tc>
        <w:tc>
          <w:tcPr>
            <w:tcW w:w="6946" w:type="dxa"/>
          </w:tcPr>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Оценка на допълнителните публични и частни ресурси, които ще бъдат потенциално привлечени в резултат използване на ФИ.</w:t>
            </w:r>
          </w:p>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lastRenderedPageBreak/>
              <w:t>Съфинансиране до нивото на крайния получател;</w:t>
            </w:r>
          </w:p>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Очакван ливъридж ефект (Съгласно чл.140 от Регламента за финансови правила и чл. 223 от Правилата за прилагане, ливъридж ефектът от фондовете на ЕС трябва да бъде равен на стойността на финансирането за крайните допустими бенефициенти, разделено на стойността на приноса на ЕС);</w:t>
            </w:r>
          </w:p>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Ако е приложимо, изготвяне на оценка на нуждата от и нивото на преференциалното възнаграждение за привличане на насрещно финансиране от частни инвеститори.</w:t>
            </w:r>
          </w:p>
        </w:tc>
      </w:tr>
      <w:tr w:rsidR="009C1252" w:rsidRPr="00894336" w:rsidTr="009238DD">
        <w:trPr>
          <w:trHeight w:val="1293"/>
        </w:trPr>
        <w:tc>
          <w:tcPr>
            <w:cnfStyle w:val="000010000000" w:firstRow="0" w:lastRow="0" w:firstColumn="0" w:lastColumn="0" w:oddVBand="1" w:evenVBand="0" w:oddHBand="0" w:evenHBand="0" w:firstRowFirstColumn="0" w:firstRowLastColumn="0" w:lastRowFirstColumn="0" w:lastRowLastColumn="0"/>
            <w:tcW w:w="2592" w:type="dxa"/>
          </w:tcPr>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lastRenderedPageBreak/>
              <w:t>4) Извлечени поуки</w:t>
            </w:r>
          </w:p>
        </w:tc>
        <w:tc>
          <w:tcPr>
            <w:tcW w:w="6946" w:type="dxa"/>
          </w:tcPr>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Анализ на извлечените поуки от подобни или подходящи инструменти, използвани в миналото;</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Анализ на предварителни оценки от миналото;</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Приложение на извлечените поуки, за да се гарантира, че ФИ надграждат натрупаното знание.</w:t>
            </w:r>
          </w:p>
        </w:tc>
      </w:tr>
      <w:tr w:rsidR="009C1252" w:rsidRPr="00894336" w:rsidTr="009238DD">
        <w:trPr>
          <w:cnfStyle w:val="000000100000" w:firstRow="0" w:lastRow="0" w:firstColumn="0" w:lastColumn="0" w:oddVBand="0" w:evenVBand="0" w:oddHBand="1" w:evenHBand="0" w:firstRowFirstColumn="0" w:firstRowLastColumn="0" w:lastRowFirstColumn="0" w:lastRowLastColumn="0"/>
          <w:trHeight w:val="523"/>
        </w:trPr>
        <w:tc>
          <w:tcPr>
            <w:cnfStyle w:val="000010000000" w:firstRow="0" w:lastRow="0" w:firstColumn="0" w:lastColumn="0" w:oddVBand="1" w:evenVBand="0" w:oddHBand="0" w:evenHBand="0" w:firstRowFirstColumn="0" w:firstRowLastColumn="0" w:lastRowFirstColumn="0" w:lastRowLastColumn="0"/>
            <w:tcW w:w="9538" w:type="dxa"/>
            <w:gridSpan w:val="2"/>
          </w:tcPr>
          <w:p w:rsidR="009C1252" w:rsidRPr="00AD705C" w:rsidRDefault="009C1252" w:rsidP="00A91295">
            <w:pPr>
              <w:pStyle w:val="Style35"/>
              <w:widowControl/>
              <w:spacing w:line="240" w:lineRule="auto"/>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Елементи на предварителна оценка на финансовите инструменти през втората фаза на оценката:</w:t>
            </w:r>
          </w:p>
        </w:tc>
      </w:tr>
      <w:tr w:rsidR="009C1252" w:rsidRPr="00894336" w:rsidTr="009238DD">
        <w:trPr>
          <w:trHeight w:val="1559"/>
        </w:trPr>
        <w:tc>
          <w:tcPr>
            <w:cnfStyle w:val="000010000000" w:firstRow="0" w:lastRow="0" w:firstColumn="0" w:lastColumn="0" w:oddVBand="1" w:evenVBand="0" w:oddHBand="0" w:evenHBand="0" w:firstRowFirstColumn="0" w:firstRowLastColumn="0" w:lastRowFirstColumn="0" w:lastRowLastColumn="0"/>
            <w:tcW w:w="2592" w:type="dxa"/>
          </w:tcPr>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5) Инвестиционна стратегия</w:t>
            </w:r>
          </w:p>
        </w:tc>
        <w:tc>
          <w:tcPr>
            <w:tcW w:w="6946" w:type="dxa"/>
          </w:tcPr>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Тематично и географско покритие на ФИ;</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Удостоверяване, че съгласно значението на чл. 38, е избрана най-подходящата алтернатива за приложение в зависимост от ситуацията в страната/региона;</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Предложение за финансови продукти, които да отговорят адекватно на нуждите на пазара;</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Крайни получатели;</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Ако е приложимо, предвиждана комбинация с грантово финансиране с цел възможно най-голяма ефективност и осигуряване на минимално влияние на подкрепата/ субсидията.</w:t>
            </w:r>
          </w:p>
        </w:tc>
      </w:tr>
      <w:tr w:rsidR="009C1252" w:rsidRPr="00894336" w:rsidTr="009238DD">
        <w:trPr>
          <w:cnfStyle w:val="000000100000" w:firstRow="0" w:lastRow="0" w:firstColumn="0" w:lastColumn="0" w:oddVBand="0" w:evenVBand="0" w:oddHBand="1" w:evenHBand="0" w:firstRowFirstColumn="0" w:firstRowLastColumn="0" w:lastRowFirstColumn="0" w:lastRowLastColumn="0"/>
          <w:trHeight w:val="1020"/>
        </w:trPr>
        <w:tc>
          <w:tcPr>
            <w:cnfStyle w:val="000010000000" w:firstRow="0" w:lastRow="0" w:firstColumn="0" w:lastColumn="0" w:oddVBand="1" w:evenVBand="0" w:oddHBand="0" w:evenHBand="0" w:firstRowFirstColumn="0" w:firstRowLastColumn="0" w:lastRowFirstColumn="0" w:lastRowLastColumn="0"/>
            <w:tcW w:w="2592" w:type="dxa"/>
          </w:tcPr>
          <w:p w:rsidR="009C1252" w:rsidRPr="00894336" w:rsidRDefault="009C1252" w:rsidP="00A91295">
            <w:pPr>
              <w:pStyle w:val="Style90"/>
              <w:widowControl/>
              <w:rPr>
                <w:rStyle w:val="FontStyle251"/>
                <w:rFonts w:asciiTheme="minorHAnsi" w:hAnsiTheme="minorHAnsi" w:cs="Times New Roman"/>
                <w:sz w:val="22"/>
                <w:szCs w:val="22"/>
                <w:lang w:eastAsia="en-US"/>
              </w:rPr>
            </w:pPr>
            <w:r w:rsidRPr="00894336">
              <w:rPr>
                <w:rStyle w:val="FontStyle251"/>
                <w:rFonts w:asciiTheme="minorHAnsi" w:hAnsiTheme="minorHAnsi" w:cs="Times New Roman"/>
                <w:sz w:val="22"/>
                <w:szCs w:val="22"/>
                <w:lang w:eastAsia="en-US"/>
              </w:rPr>
              <w:t>6) Очаквани резултати</w:t>
            </w:r>
          </w:p>
        </w:tc>
        <w:tc>
          <w:tcPr>
            <w:tcW w:w="6946" w:type="dxa"/>
          </w:tcPr>
          <w:p w:rsidR="009C1252"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val="en-US" w:eastAsia="en-US"/>
              </w:rPr>
            </w:pPr>
            <w:r w:rsidRPr="00AD705C">
              <w:rPr>
                <w:rStyle w:val="FontStyle239"/>
                <w:rFonts w:asciiTheme="minorHAnsi" w:hAnsiTheme="minorHAnsi" w:cs="Times New Roman"/>
                <w:sz w:val="22"/>
                <w:szCs w:val="22"/>
                <w:lang w:eastAsia="en-US"/>
              </w:rPr>
              <w:t>Определяне на очакваните резултати и продукти от ФИ по приоритети на ОП;</w:t>
            </w:r>
          </w:p>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val="en-US" w:eastAsia="en-US"/>
              </w:rPr>
            </w:pPr>
          </w:p>
          <w:p w:rsidR="009C1252" w:rsidRPr="00AD705C" w:rsidRDefault="009C1252" w:rsidP="00A91295">
            <w:pPr>
              <w:pStyle w:val="Style35"/>
              <w:widowControl/>
              <w:spacing w:line="240" w:lineRule="auto"/>
              <w:cnfStyle w:val="000000100000" w:firstRow="0" w:lastRow="0" w:firstColumn="0" w:lastColumn="0" w:oddVBand="0" w:evenVBand="0" w:oddHBand="1"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Определяне на референтни и целеви стойности на индикаторите за резултат и продукт, базирани на специфичния принос на ФИ.</w:t>
            </w:r>
          </w:p>
        </w:tc>
      </w:tr>
      <w:tr w:rsidR="009C1252" w:rsidRPr="00894336" w:rsidTr="009238DD">
        <w:trPr>
          <w:trHeight w:val="978"/>
        </w:trPr>
        <w:tc>
          <w:tcPr>
            <w:cnfStyle w:val="000010000000" w:firstRow="0" w:lastRow="0" w:firstColumn="0" w:lastColumn="0" w:oddVBand="1" w:evenVBand="0" w:oddHBand="0" w:evenHBand="0" w:firstRowFirstColumn="0" w:firstRowLastColumn="0" w:lastRowFirstColumn="0" w:lastRowLastColumn="0"/>
            <w:tcW w:w="2592" w:type="dxa"/>
          </w:tcPr>
          <w:p w:rsidR="009C1252" w:rsidRPr="00894336" w:rsidRDefault="009C1252" w:rsidP="00A91295">
            <w:pPr>
              <w:pStyle w:val="Style90"/>
              <w:widowControl/>
              <w:rPr>
                <w:rFonts w:asciiTheme="minorHAnsi" w:hAnsiTheme="minorHAnsi"/>
                <w:lang w:eastAsia="en-US"/>
              </w:rPr>
            </w:pPr>
            <w:r w:rsidRPr="00894336">
              <w:rPr>
                <w:rStyle w:val="FontStyle251"/>
                <w:rFonts w:asciiTheme="minorHAnsi" w:hAnsiTheme="minorHAnsi" w:cs="Times New Roman"/>
                <w:sz w:val="22"/>
                <w:szCs w:val="22"/>
                <w:lang w:eastAsia="en-US"/>
              </w:rPr>
              <w:t>7) Допускания, позволяващи преразглеждане на предварителната оценка.</w:t>
            </w:r>
          </w:p>
        </w:tc>
        <w:tc>
          <w:tcPr>
            <w:tcW w:w="6946" w:type="dxa"/>
          </w:tcPr>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Обосновка за преразглеждане на предварителната оценка;</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Практически и методологически процедури за актуализация на предварителната оценка;</w:t>
            </w: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p>
          <w:p w:rsidR="009C1252" w:rsidRPr="00AD705C" w:rsidRDefault="009C1252" w:rsidP="00A91295">
            <w:pPr>
              <w:pStyle w:val="Style35"/>
              <w:widowControl/>
              <w:spacing w:line="240" w:lineRule="auto"/>
              <w:cnfStyle w:val="000000000000" w:firstRow="0" w:lastRow="0" w:firstColumn="0" w:lastColumn="0" w:oddVBand="0" w:evenVBand="0" w:oddHBand="0" w:evenHBand="0" w:firstRowFirstColumn="0" w:firstRowLastColumn="0" w:lastRowFirstColumn="0" w:lastRowLastColumn="0"/>
              <w:rPr>
                <w:rStyle w:val="FontStyle239"/>
                <w:rFonts w:asciiTheme="minorHAnsi" w:hAnsiTheme="minorHAnsi" w:cs="Times New Roman"/>
                <w:sz w:val="22"/>
                <w:szCs w:val="22"/>
                <w:lang w:eastAsia="en-US"/>
              </w:rPr>
            </w:pPr>
            <w:r w:rsidRPr="00AD705C">
              <w:rPr>
                <w:rStyle w:val="FontStyle239"/>
                <w:rFonts w:asciiTheme="minorHAnsi" w:hAnsiTheme="minorHAnsi" w:cs="Times New Roman"/>
                <w:sz w:val="22"/>
                <w:szCs w:val="22"/>
                <w:lang w:eastAsia="en-US"/>
              </w:rPr>
              <w:t>Стъпки за адаптиране приложението на ФИ.</w:t>
            </w:r>
          </w:p>
        </w:tc>
      </w:tr>
    </w:tbl>
    <w:p w:rsidR="009C1252" w:rsidRPr="00894336" w:rsidRDefault="009C1252" w:rsidP="009C1252">
      <w:pPr>
        <w:spacing w:after="120"/>
        <w:ind w:left="360"/>
        <w:rPr>
          <w:sz w:val="24"/>
          <w:szCs w:val="24"/>
        </w:rPr>
      </w:pPr>
    </w:p>
    <w:p w:rsidR="009C1252" w:rsidRDefault="009C1252" w:rsidP="009C1252">
      <w:pPr>
        <w:jc w:val="both"/>
      </w:pPr>
      <w:r w:rsidRPr="00901B6E">
        <w:lastRenderedPageBreak/>
        <w:t xml:space="preserve">Избраният методологичен подход, методите и инструментите, които </w:t>
      </w:r>
      <w:r>
        <w:t>са</w:t>
      </w:r>
      <w:r w:rsidRPr="00901B6E">
        <w:t xml:space="preserve"> използвани </w:t>
      </w:r>
      <w:r>
        <w:t>в процеса на оценка, са</w:t>
      </w:r>
      <w:r w:rsidRPr="00156B63">
        <w:rPr>
          <w:rFonts w:ascii="Calibri" w:hAnsi="Calibri" w:cs="Calibri"/>
        </w:rPr>
        <w:t xml:space="preserve"> съобразен</w:t>
      </w:r>
      <w:r>
        <w:rPr>
          <w:rFonts w:ascii="Calibri" w:hAnsi="Calibri" w:cs="Calibri"/>
        </w:rPr>
        <w:t>и</w:t>
      </w:r>
      <w:r w:rsidRPr="00156B63">
        <w:rPr>
          <w:rFonts w:ascii="Calibri" w:hAnsi="Calibri" w:cs="Calibri"/>
        </w:rPr>
        <w:t xml:space="preserve"> със спецификите на предмета и типа на оценката (п</w:t>
      </w:r>
      <w:r>
        <w:rPr>
          <w:rFonts w:ascii="Calibri" w:hAnsi="Calibri" w:cs="Calibri"/>
        </w:rPr>
        <w:t>редварителна о</w:t>
      </w:r>
      <w:r w:rsidRPr="00156B63">
        <w:rPr>
          <w:rFonts w:ascii="Calibri" w:hAnsi="Calibri" w:cs="Calibri"/>
        </w:rPr>
        <w:t>ценка), изискванията на Възложителя и стандартите на ЕС</w:t>
      </w:r>
      <w:r>
        <w:rPr>
          <w:rFonts w:ascii="Calibri" w:hAnsi="Calibri" w:cs="Calibri"/>
        </w:rPr>
        <w:t>.</w:t>
      </w:r>
    </w:p>
    <w:p w:rsidR="009C1252" w:rsidRDefault="009C1252" w:rsidP="009C1252">
      <w:pPr>
        <w:spacing w:before="120" w:after="120"/>
        <w:jc w:val="both"/>
        <w:rPr>
          <w:rFonts w:ascii="Calibri" w:hAnsi="Calibri" w:cs="Calibri"/>
        </w:rPr>
      </w:pPr>
      <w:r w:rsidRPr="00156B63">
        <w:rPr>
          <w:rFonts w:ascii="Calibri" w:hAnsi="Calibri" w:cs="Calibri"/>
        </w:rPr>
        <w:t>Всички информационни и аналитични дейности са извършени в съответствие с изискванията и стандартите на методологическата рамка</w:t>
      </w:r>
      <w:r>
        <w:rPr>
          <w:rFonts w:ascii="Calibri" w:hAnsi="Calibri" w:cs="Calibri"/>
        </w:rPr>
        <w:t>.</w:t>
      </w:r>
    </w:p>
    <w:p w:rsidR="009C1252" w:rsidRPr="00156B63" w:rsidRDefault="009C1252" w:rsidP="009C1252">
      <w:pPr>
        <w:spacing w:before="120" w:after="120"/>
        <w:jc w:val="both"/>
        <w:rPr>
          <w:rFonts w:ascii="Calibri" w:hAnsi="Calibri" w:cs="Calibri"/>
        </w:rPr>
      </w:pPr>
      <w:r w:rsidRPr="00156B63">
        <w:rPr>
          <w:rFonts w:ascii="Calibri" w:hAnsi="Calibri" w:cs="Calibri"/>
        </w:rPr>
        <w:t>Приетият методологичен подход е комплексен и включва изследвания (информационни дейности) и анализи, които комбинират разнообразни количествени и качествени методи. Тук се разглеждат основните елементи на методиката, групирани, както следва:  Преглед на документи, Качествени изследвания: интервюта и фокус група, казуси; Количествени изследвания; Аналитични методи.</w:t>
      </w:r>
    </w:p>
    <w:p w:rsidR="009C1252" w:rsidRPr="00156B63" w:rsidRDefault="009C1252" w:rsidP="009C1252">
      <w:pPr>
        <w:spacing w:before="120" w:after="120"/>
        <w:jc w:val="both"/>
        <w:rPr>
          <w:rFonts w:ascii="Calibri" w:eastAsia="Times" w:hAnsi="Calibri" w:cs="Calibri"/>
          <w:b/>
        </w:rPr>
      </w:pPr>
      <w:r w:rsidRPr="00156B63">
        <w:rPr>
          <w:rFonts w:ascii="Calibri" w:eastAsia="Times" w:hAnsi="Calibri" w:cs="Calibri"/>
          <w:b/>
        </w:rPr>
        <w:t>Преглед на документи:</w:t>
      </w:r>
    </w:p>
    <w:p w:rsidR="009C1252" w:rsidRDefault="009C1252" w:rsidP="009C1252">
      <w:pPr>
        <w:spacing w:before="120" w:after="120"/>
        <w:jc w:val="both"/>
        <w:rPr>
          <w:rFonts w:ascii="Calibri" w:hAnsi="Calibri" w:cs="Calibri"/>
        </w:rPr>
      </w:pPr>
      <w:r w:rsidRPr="00156B63">
        <w:rPr>
          <w:rFonts w:ascii="Calibri" w:hAnsi="Calibri" w:cs="Calibri"/>
        </w:rPr>
        <w:t>Предвид обхвата си</w:t>
      </w:r>
      <w:r w:rsidRPr="004F77AB">
        <w:rPr>
          <w:rFonts w:ascii="Calibri" w:hAnsi="Calibri" w:cs="Calibri"/>
          <w:lang w:val="ru-RU"/>
        </w:rPr>
        <w:t>,</w:t>
      </w:r>
      <w:r w:rsidRPr="00156B63">
        <w:rPr>
          <w:rFonts w:ascii="Calibri" w:hAnsi="Calibri" w:cs="Calibri"/>
        </w:rPr>
        <w:t xml:space="preserve"> оценката включи преглед на голямо количество документи, програмни и </w:t>
      </w:r>
      <w:r>
        <w:rPr>
          <w:rFonts w:ascii="Calibri" w:hAnsi="Calibri" w:cs="Calibri"/>
        </w:rPr>
        <w:t xml:space="preserve">анализи за състоянието на различните сектори, към които е насочена ОПОС – води, отпадъци и качество на атмосферния въздух. </w:t>
      </w:r>
    </w:p>
    <w:p w:rsidR="009C1252" w:rsidRPr="00156B63" w:rsidRDefault="009C1252" w:rsidP="009C1252">
      <w:pPr>
        <w:spacing w:before="120" w:after="120"/>
        <w:jc w:val="both"/>
        <w:rPr>
          <w:rFonts w:ascii="Calibri" w:hAnsi="Calibri" w:cs="Calibri"/>
        </w:rPr>
      </w:pPr>
      <w:r w:rsidRPr="00156B63">
        <w:rPr>
          <w:rFonts w:ascii="Calibri" w:hAnsi="Calibri" w:cs="Calibri"/>
        </w:rPr>
        <w:t xml:space="preserve">С помощта на Възложителя беше събрана и индексирана наличната документация, свързана с </w:t>
      </w:r>
      <w:r>
        <w:rPr>
          <w:rFonts w:ascii="Calibri" w:hAnsi="Calibri" w:cs="Calibri"/>
        </w:rPr>
        <w:t>предварителната оценка.</w:t>
      </w:r>
      <w:r w:rsidRPr="00156B63">
        <w:rPr>
          <w:rFonts w:ascii="Calibri" w:hAnsi="Calibri" w:cs="Calibri"/>
        </w:rPr>
        <w:t xml:space="preserve"> Административните данни, които бяха използвани за целите на оценката, включваха проектна информация, докладите за наблюдение на изпълнението и др. Източник за набиране на тази информация са наличните база данни (статистически, технически и финансови) за мониторинг и изпълнение, поддържани от </w:t>
      </w:r>
      <w:r>
        <w:rPr>
          <w:rFonts w:ascii="Calibri" w:hAnsi="Calibri" w:cs="Calibri"/>
        </w:rPr>
        <w:t xml:space="preserve">МОСВ, </w:t>
      </w:r>
      <w:r w:rsidRPr="00156B63">
        <w:rPr>
          <w:rFonts w:ascii="Calibri" w:hAnsi="Calibri" w:cs="Calibri"/>
        </w:rPr>
        <w:t>МФ и ЦКЗ.</w:t>
      </w:r>
    </w:p>
    <w:p w:rsidR="009C1252" w:rsidRPr="00156B63" w:rsidRDefault="009C1252" w:rsidP="009C1252">
      <w:pPr>
        <w:spacing w:before="120" w:after="120"/>
        <w:jc w:val="both"/>
        <w:rPr>
          <w:rFonts w:ascii="Calibri" w:hAnsi="Calibri" w:cs="Calibri"/>
        </w:rPr>
      </w:pPr>
      <w:r w:rsidRPr="00156B63">
        <w:rPr>
          <w:rFonts w:ascii="Calibri" w:hAnsi="Calibri" w:cs="Calibri"/>
        </w:rPr>
        <w:t xml:space="preserve">Резултатите от документалния анализ </w:t>
      </w:r>
      <w:r>
        <w:rPr>
          <w:rFonts w:ascii="Calibri" w:hAnsi="Calibri" w:cs="Calibri"/>
        </w:rPr>
        <w:t>бяха използвани</w:t>
      </w:r>
      <w:r w:rsidRPr="00156B63">
        <w:rPr>
          <w:rFonts w:ascii="Calibri" w:hAnsi="Calibri" w:cs="Calibri"/>
        </w:rPr>
        <w:t xml:space="preserve"> за определяне на фокуса на теренните методи за извършване на проучванията, тяхното конкретно съдържание (въпрос</w:t>
      </w:r>
      <w:r>
        <w:rPr>
          <w:rFonts w:ascii="Calibri" w:hAnsi="Calibri" w:cs="Calibri"/>
        </w:rPr>
        <w:t>ници и респонденти)</w:t>
      </w:r>
      <w:r w:rsidRPr="00156B63">
        <w:rPr>
          <w:rFonts w:ascii="Calibri" w:hAnsi="Calibri" w:cs="Calibri"/>
        </w:rPr>
        <w:t xml:space="preserve"> и относителната им  тежест при формиране на окончателната оценка.</w:t>
      </w:r>
    </w:p>
    <w:p w:rsidR="009C1252" w:rsidRPr="004F77AB" w:rsidRDefault="009C1252" w:rsidP="009C1252">
      <w:pPr>
        <w:spacing w:before="120" w:after="120"/>
        <w:jc w:val="both"/>
        <w:rPr>
          <w:rFonts w:ascii="Calibri" w:hAnsi="Calibri" w:cs="Calibri"/>
          <w:lang w:val="ru-RU"/>
        </w:rPr>
      </w:pPr>
      <w:r w:rsidRPr="00156B63">
        <w:rPr>
          <w:rFonts w:ascii="Calibri" w:hAnsi="Calibri" w:cs="Calibri"/>
        </w:rPr>
        <w:t xml:space="preserve">Беше проведено и кабинетно изследване и анализ на вторични данни от електронни информационни източници. </w:t>
      </w:r>
    </w:p>
    <w:p w:rsidR="009C1252" w:rsidRDefault="009C1252" w:rsidP="009C1252">
      <w:pPr>
        <w:pStyle w:val="BodyText2"/>
        <w:spacing w:before="120" w:line="240" w:lineRule="auto"/>
        <w:jc w:val="both"/>
        <w:rPr>
          <w:rFonts w:cs="Calibri"/>
        </w:rPr>
      </w:pPr>
      <w:r w:rsidRPr="00156B63">
        <w:rPr>
          <w:rFonts w:eastAsia="Times" w:cs="Calibri"/>
          <w:b/>
        </w:rPr>
        <w:t xml:space="preserve">Качествените изследвания </w:t>
      </w:r>
      <w:r w:rsidRPr="00156B63">
        <w:rPr>
          <w:rFonts w:eastAsia="Times" w:cs="Calibri"/>
        </w:rPr>
        <w:t>включиха д</w:t>
      </w:r>
      <w:r w:rsidRPr="00156B63">
        <w:rPr>
          <w:rFonts w:cs="Calibri"/>
        </w:rPr>
        <w:t>ълбочинни интервюта</w:t>
      </w:r>
      <w:r>
        <w:rPr>
          <w:rFonts w:cs="Calibri"/>
        </w:rPr>
        <w:t xml:space="preserve"> и </w:t>
      </w:r>
      <w:r w:rsidRPr="00156B63">
        <w:rPr>
          <w:rFonts w:cs="Calibri"/>
        </w:rPr>
        <w:t>фокус груп</w:t>
      </w:r>
      <w:r>
        <w:rPr>
          <w:rFonts w:cs="Calibri"/>
        </w:rPr>
        <w:t>а.</w:t>
      </w:r>
    </w:p>
    <w:p w:rsidR="009C1252" w:rsidRDefault="009C1252" w:rsidP="009C1252">
      <w:pPr>
        <w:spacing w:after="120"/>
        <w:jc w:val="both"/>
        <w:rPr>
          <w:rFonts w:ascii="Calibri" w:hAnsi="Calibri" w:cs="Calibri"/>
        </w:rPr>
      </w:pPr>
      <w:r w:rsidRPr="00156B63">
        <w:rPr>
          <w:rFonts w:ascii="Calibri" w:hAnsi="Calibri" w:cs="Calibri"/>
          <w:b/>
        </w:rPr>
        <w:t xml:space="preserve">Дълбочинни интервюта. </w:t>
      </w:r>
      <w:r w:rsidRPr="00156B63">
        <w:rPr>
          <w:rFonts w:ascii="Calibri" w:hAnsi="Calibri" w:cs="Calibri"/>
        </w:rPr>
        <w:t>Целта на интервютата беше да се добие допълнителна</w:t>
      </w:r>
      <w:r>
        <w:rPr>
          <w:rFonts w:ascii="Calibri" w:hAnsi="Calibri" w:cs="Calibri"/>
        </w:rPr>
        <w:t xml:space="preserve">, </w:t>
      </w:r>
      <w:r w:rsidRPr="00156B63">
        <w:rPr>
          <w:rFonts w:ascii="Calibri" w:hAnsi="Calibri" w:cs="Calibri"/>
        </w:rPr>
        <w:t>детайлна и задълбочена информация, до която беше невъзможно да се достигне чрез документалния анализ на официалните източници</w:t>
      </w:r>
      <w:r>
        <w:rPr>
          <w:rFonts w:ascii="Calibri" w:hAnsi="Calibri" w:cs="Calibri"/>
        </w:rPr>
        <w:t xml:space="preserve">, </w:t>
      </w:r>
      <w:r w:rsidRPr="00156B63">
        <w:rPr>
          <w:rFonts w:ascii="Calibri" w:hAnsi="Calibri" w:cs="Calibri"/>
        </w:rPr>
        <w:t xml:space="preserve">както и да се проверят първоначално разработените от оценителя хипотези.  </w:t>
      </w:r>
    </w:p>
    <w:p w:rsidR="009C1252" w:rsidRDefault="009C1252" w:rsidP="009C1252">
      <w:pPr>
        <w:spacing w:after="120"/>
        <w:jc w:val="both"/>
        <w:rPr>
          <w:bCs/>
        </w:rPr>
      </w:pPr>
      <w:r>
        <w:rPr>
          <w:bCs/>
        </w:rPr>
        <w:t xml:space="preserve">За нуждите на интервютата Консултантът изготви въпросници за провеждане на интервюта (инструмент) и изготви списък с респонденти, с които да бъдат проведени интервютата. Бяха разработени два инструмента: </w:t>
      </w:r>
    </w:p>
    <w:p w:rsidR="009C1252" w:rsidRDefault="009C1252" w:rsidP="009C1252">
      <w:pPr>
        <w:spacing w:after="120"/>
        <w:jc w:val="both"/>
        <w:rPr>
          <w:bCs/>
        </w:rPr>
      </w:pPr>
      <w:r>
        <w:rPr>
          <w:bCs/>
        </w:rPr>
        <w:t xml:space="preserve">(1) въпросник за интервю с финансови институции и </w:t>
      </w:r>
    </w:p>
    <w:p w:rsidR="009C1252" w:rsidRDefault="009C1252" w:rsidP="009C1252">
      <w:pPr>
        <w:spacing w:after="120"/>
        <w:jc w:val="both"/>
        <w:rPr>
          <w:bCs/>
        </w:rPr>
      </w:pPr>
      <w:r>
        <w:rPr>
          <w:bCs/>
        </w:rPr>
        <w:t xml:space="preserve">(2) въпросник за интервю с УО на ОПОС. </w:t>
      </w:r>
    </w:p>
    <w:p w:rsidR="009C1252" w:rsidRDefault="009C1252" w:rsidP="009C1252">
      <w:pPr>
        <w:spacing w:before="120" w:after="120"/>
        <w:jc w:val="both"/>
        <w:rPr>
          <w:bCs/>
        </w:rPr>
      </w:pPr>
      <w:r>
        <w:rPr>
          <w:rFonts w:ascii="Calibri" w:hAnsi="Calibri" w:cs="Calibri"/>
        </w:rPr>
        <w:t xml:space="preserve">Бяха проведени интервюта с представители на УО и </w:t>
      </w:r>
      <w:r w:rsidRPr="00532AD5">
        <w:rPr>
          <w:bCs/>
        </w:rPr>
        <w:t>с международни и национални финансиращи и финансови институции</w:t>
      </w:r>
      <w:r>
        <w:rPr>
          <w:bCs/>
        </w:rPr>
        <w:t xml:space="preserve">. </w:t>
      </w:r>
    </w:p>
    <w:p w:rsidR="009C1252" w:rsidRPr="00DE34DE" w:rsidRDefault="009C1252" w:rsidP="009C1252">
      <w:pPr>
        <w:spacing w:before="120" w:after="120"/>
        <w:jc w:val="both"/>
        <w:rPr>
          <w:rFonts w:ascii="Calibri" w:hAnsi="Calibri" w:cs="Calibri"/>
        </w:rPr>
      </w:pPr>
      <w:r>
        <w:rPr>
          <w:bCs/>
        </w:rPr>
        <w:t xml:space="preserve">Подробен списък на всички интервюирани и резюме от протоколите е налично в </w:t>
      </w:r>
      <w:r w:rsidRPr="00DE34DE">
        <w:rPr>
          <w:bCs/>
        </w:rPr>
        <w:t>Приложе</w:t>
      </w:r>
      <w:r w:rsidR="00DE34DE" w:rsidRPr="00DE34DE">
        <w:rPr>
          <w:bCs/>
        </w:rPr>
        <w:t>ние №001</w:t>
      </w:r>
      <w:r w:rsidRPr="00DE34DE">
        <w:rPr>
          <w:bCs/>
        </w:rPr>
        <w:t xml:space="preserve"> към доклада.</w:t>
      </w:r>
    </w:p>
    <w:p w:rsidR="009C1252" w:rsidRDefault="009C1252" w:rsidP="009C1252">
      <w:pPr>
        <w:widowControl w:val="0"/>
        <w:tabs>
          <w:tab w:val="left" w:pos="0"/>
        </w:tabs>
        <w:adjustRightInd w:val="0"/>
        <w:spacing w:before="120" w:after="120"/>
        <w:ind w:right="-102"/>
        <w:jc w:val="both"/>
        <w:textAlignment w:val="baseline"/>
        <w:rPr>
          <w:rFonts w:ascii="Calibri" w:hAnsi="Calibri" w:cs="Calibri"/>
        </w:rPr>
      </w:pPr>
      <w:r w:rsidRPr="00156B63">
        <w:rPr>
          <w:rFonts w:ascii="Calibri" w:hAnsi="Calibri" w:cs="Calibri"/>
          <w:b/>
        </w:rPr>
        <w:lastRenderedPageBreak/>
        <w:t xml:space="preserve">Фокус групи. </w:t>
      </w:r>
      <w:r w:rsidRPr="00156B63">
        <w:rPr>
          <w:rFonts w:ascii="Calibri" w:hAnsi="Calibri" w:cs="Calibri"/>
        </w:rPr>
        <w:t>Целта по време на дискусиите във фокус груп</w:t>
      </w:r>
      <w:r>
        <w:rPr>
          <w:rFonts w:ascii="Calibri" w:hAnsi="Calibri" w:cs="Calibri"/>
        </w:rPr>
        <w:t>а</w:t>
      </w:r>
      <w:r w:rsidRPr="00156B63">
        <w:rPr>
          <w:rFonts w:ascii="Calibri" w:hAnsi="Calibri" w:cs="Calibri"/>
        </w:rPr>
        <w:t xml:space="preserve"> беше да се формират мнения и очаквания и да се </w:t>
      </w:r>
      <w:r>
        <w:rPr>
          <w:rFonts w:ascii="Calibri" w:hAnsi="Calibri" w:cs="Calibri"/>
        </w:rPr>
        <w:t xml:space="preserve">тестват предложения относно стратегията за използване на ФИ. </w:t>
      </w:r>
    </w:p>
    <w:p w:rsidR="009C1252" w:rsidRDefault="009C1252" w:rsidP="009C1252">
      <w:pPr>
        <w:widowControl w:val="0"/>
        <w:tabs>
          <w:tab w:val="left" w:pos="0"/>
        </w:tabs>
        <w:adjustRightInd w:val="0"/>
        <w:spacing w:before="120" w:after="120"/>
        <w:ind w:right="-102"/>
        <w:jc w:val="both"/>
        <w:textAlignment w:val="baseline"/>
        <w:rPr>
          <w:rFonts w:ascii="Calibri" w:hAnsi="Calibri" w:cs="Calibri"/>
        </w:rPr>
      </w:pPr>
      <w:r>
        <w:rPr>
          <w:rFonts w:ascii="Calibri" w:hAnsi="Calibri" w:cs="Calibri"/>
        </w:rPr>
        <w:t xml:space="preserve">Беше проведена една фокус група, която включваше представители на различни финансови институции (търговски банки, гаранционни фондове, фонд ФЛАГ, ПУДООС, международни финансови институции) и УО на ОПОС. </w:t>
      </w:r>
      <w:r w:rsidRPr="00156B63">
        <w:rPr>
          <w:rFonts w:ascii="Calibri" w:hAnsi="Calibri" w:cs="Calibri"/>
        </w:rPr>
        <w:t>В резултат от дискуси</w:t>
      </w:r>
      <w:r>
        <w:rPr>
          <w:rFonts w:ascii="Calibri" w:hAnsi="Calibri" w:cs="Calibri"/>
        </w:rPr>
        <w:t xml:space="preserve">ята </w:t>
      </w:r>
      <w:r w:rsidRPr="00156B63">
        <w:rPr>
          <w:rFonts w:ascii="Calibri" w:hAnsi="Calibri" w:cs="Calibri"/>
        </w:rPr>
        <w:t xml:space="preserve">беше събрана информация, идеи и възможни решения, добри практики, както и оценката на участниците за една или друга опция или предложение. </w:t>
      </w:r>
      <w:r w:rsidR="00DE34DE">
        <w:rPr>
          <w:rFonts w:ascii="Calibri" w:hAnsi="Calibri" w:cs="Calibri"/>
        </w:rPr>
        <w:t>Протокол</w:t>
      </w:r>
      <w:r>
        <w:rPr>
          <w:rFonts w:ascii="Calibri" w:hAnsi="Calibri" w:cs="Calibri"/>
        </w:rPr>
        <w:t xml:space="preserve">ът </w:t>
      </w:r>
      <w:r w:rsidRPr="00156B63">
        <w:rPr>
          <w:rFonts w:ascii="Calibri" w:hAnsi="Calibri" w:cs="Calibri"/>
        </w:rPr>
        <w:t>от проведен</w:t>
      </w:r>
      <w:r>
        <w:rPr>
          <w:rFonts w:ascii="Calibri" w:hAnsi="Calibri" w:cs="Calibri"/>
        </w:rPr>
        <w:t xml:space="preserve">ата </w:t>
      </w:r>
      <w:r w:rsidRPr="00156B63">
        <w:rPr>
          <w:rFonts w:ascii="Calibri" w:hAnsi="Calibri" w:cs="Calibri"/>
        </w:rPr>
        <w:t>фокус груп</w:t>
      </w:r>
      <w:r>
        <w:rPr>
          <w:rFonts w:ascii="Calibri" w:hAnsi="Calibri" w:cs="Calibri"/>
        </w:rPr>
        <w:t xml:space="preserve">а е </w:t>
      </w:r>
      <w:r w:rsidRPr="00156B63">
        <w:rPr>
          <w:rFonts w:ascii="Calibri" w:hAnsi="Calibri" w:cs="Calibri"/>
        </w:rPr>
        <w:t>приложение към настоящия доклад</w:t>
      </w:r>
      <w:r>
        <w:rPr>
          <w:rFonts w:ascii="Calibri" w:hAnsi="Calibri" w:cs="Calibri"/>
        </w:rPr>
        <w:t xml:space="preserve"> </w:t>
      </w:r>
      <w:r w:rsidRPr="00156B63">
        <w:rPr>
          <w:rFonts w:ascii="Calibri" w:hAnsi="Calibri" w:cs="Calibri"/>
        </w:rPr>
        <w:t xml:space="preserve">- </w:t>
      </w:r>
      <w:r w:rsidRPr="00DE34DE">
        <w:rPr>
          <w:rFonts w:ascii="Calibri" w:hAnsi="Calibri" w:cs="Calibri"/>
        </w:rPr>
        <w:t xml:space="preserve">Приложение № </w:t>
      </w:r>
      <w:r w:rsidR="00DE34DE">
        <w:rPr>
          <w:rFonts w:ascii="Calibri" w:hAnsi="Calibri" w:cs="Calibri"/>
        </w:rPr>
        <w:t>00</w:t>
      </w:r>
      <w:r w:rsidR="00DE34DE" w:rsidRPr="00DE34DE">
        <w:rPr>
          <w:rFonts w:ascii="Calibri" w:hAnsi="Calibri" w:cs="Calibri"/>
        </w:rPr>
        <w:t>2</w:t>
      </w:r>
      <w:r w:rsidRPr="00532AD5">
        <w:rPr>
          <w:rFonts w:ascii="Calibri" w:hAnsi="Calibri" w:cs="Calibri"/>
        </w:rPr>
        <w:t>.</w:t>
      </w:r>
    </w:p>
    <w:p w:rsidR="00107B8E" w:rsidRPr="00156B63" w:rsidRDefault="00107B8E" w:rsidP="009C1252">
      <w:pPr>
        <w:widowControl w:val="0"/>
        <w:tabs>
          <w:tab w:val="left" w:pos="0"/>
        </w:tabs>
        <w:adjustRightInd w:val="0"/>
        <w:spacing w:before="120" w:after="120"/>
        <w:ind w:right="-102"/>
        <w:jc w:val="both"/>
        <w:textAlignment w:val="baseline"/>
        <w:rPr>
          <w:rFonts w:ascii="Calibri" w:hAnsi="Calibri" w:cs="Calibri"/>
        </w:rPr>
      </w:pPr>
    </w:p>
    <w:p w:rsidR="009C1252" w:rsidRPr="00156B63" w:rsidRDefault="009C1252" w:rsidP="009C1252">
      <w:pPr>
        <w:pStyle w:val="CommentText"/>
        <w:spacing w:before="120" w:after="120"/>
        <w:jc w:val="both"/>
        <w:rPr>
          <w:rFonts w:ascii="Calibri" w:hAnsi="Calibri" w:cs="Calibri"/>
          <w:b/>
          <w:sz w:val="22"/>
          <w:szCs w:val="22"/>
        </w:rPr>
      </w:pPr>
      <w:r w:rsidRPr="00156B63">
        <w:rPr>
          <w:rFonts w:ascii="Calibri" w:hAnsi="Calibri" w:cs="Calibri"/>
          <w:b/>
          <w:sz w:val="22"/>
          <w:szCs w:val="22"/>
        </w:rPr>
        <w:t>Количествени проучвания</w:t>
      </w:r>
    </w:p>
    <w:p w:rsidR="009C1252" w:rsidRDefault="009C1252" w:rsidP="009C1252">
      <w:pPr>
        <w:spacing w:before="120" w:after="120"/>
        <w:jc w:val="both"/>
        <w:rPr>
          <w:rFonts w:ascii="Calibri" w:hAnsi="Calibri" w:cs="Calibri"/>
          <w:lang w:eastAsia="ro-RO"/>
        </w:rPr>
      </w:pPr>
      <w:r w:rsidRPr="00156B63">
        <w:rPr>
          <w:rFonts w:ascii="Calibri" w:hAnsi="Calibri" w:cs="Calibri"/>
          <w:lang w:eastAsia="ro-RO"/>
        </w:rPr>
        <w:t>В рамките на договора бяха проведени две анкетни проучвания:</w:t>
      </w:r>
    </w:p>
    <w:p w:rsidR="009C1252" w:rsidRPr="00231114" w:rsidRDefault="009C1252" w:rsidP="001A036E">
      <w:pPr>
        <w:pStyle w:val="ListParagraph"/>
        <w:numPr>
          <w:ilvl w:val="0"/>
          <w:numId w:val="45"/>
        </w:numPr>
        <w:spacing w:before="120" w:after="120"/>
        <w:jc w:val="both"/>
        <w:rPr>
          <w:rFonts w:ascii="Calibri" w:hAnsi="Calibri" w:cs="Calibri"/>
          <w:lang w:eastAsia="ro-RO"/>
        </w:rPr>
      </w:pPr>
      <w:r w:rsidRPr="00231114">
        <w:rPr>
          <w:rFonts w:ascii="Calibri" w:hAnsi="Calibri" w:cs="Calibri"/>
          <w:lang w:eastAsia="ro-RO"/>
        </w:rPr>
        <w:t>Анкетно проучване с респонденти общини, потенциални бенефициенти по ОПОС 2014 – 2020</w:t>
      </w:r>
    </w:p>
    <w:p w:rsidR="009C1252" w:rsidRPr="00231114" w:rsidRDefault="009C1252" w:rsidP="001A036E">
      <w:pPr>
        <w:pStyle w:val="ListParagraph"/>
        <w:numPr>
          <w:ilvl w:val="0"/>
          <w:numId w:val="45"/>
        </w:numPr>
        <w:spacing w:before="120" w:after="120"/>
        <w:jc w:val="both"/>
        <w:rPr>
          <w:rFonts w:ascii="Calibri" w:hAnsi="Calibri" w:cs="Calibri"/>
          <w:lang w:eastAsia="ro-RO"/>
        </w:rPr>
      </w:pPr>
      <w:r w:rsidRPr="00231114">
        <w:rPr>
          <w:rFonts w:ascii="Calibri" w:hAnsi="Calibri" w:cs="Calibri"/>
          <w:lang w:eastAsia="ro-RO"/>
        </w:rPr>
        <w:t>Анкетно проучване с респонденти потенциални бенефициенти по ОПОС 2014 – 2020</w:t>
      </w:r>
    </w:p>
    <w:p w:rsidR="009C1252" w:rsidRDefault="009C1252" w:rsidP="009C1252">
      <w:pPr>
        <w:shd w:val="clear" w:color="auto" w:fill="FFFFFF"/>
        <w:spacing w:after="120" w:line="240" w:lineRule="atLeast"/>
        <w:jc w:val="both"/>
        <w:rPr>
          <w:lang w:eastAsia="bg-BG"/>
        </w:rPr>
      </w:pPr>
      <w:r w:rsidRPr="00C20B73">
        <w:rPr>
          <w:lang w:eastAsia="bg-BG"/>
        </w:rPr>
        <w:t>За нуждите на проучванията бяха изготвени два вида инструменти</w:t>
      </w:r>
      <w:r>
        <w:rPr>
          <w:lang w:eastAsia="bg-BG"/>
        </w:rPr>
        <w:t>:</w:t>
      </w:r>
    </w:p>
    <w:p w:rsidR="009C1252" w:rsidRDefault="009C1252" w:rsidP="009C1252">
      <w:pPr>
        <w:shd w:val="clear" w:color="auto" w:fill="FFFFFF"/>
        <w:spacing w:after="120" w:line="240" w:lineRule="atLeast"/>
        <w:jc w:val="both"/>
        <w:rPr>
          <w:lang w:eastAsia="bg-BG"/>
        </w:rPr>
      </w:pPr>
      <w:r>
        <w:rPr>
          <w:lang w:eastAsia="bg-BG"/>
        </w:rPr>
        <w:t>Въпросник за анкета с потенциални бенефициенти – общини.</w:t>
      </w:r>
    </w:p>
    <w:p w:rsidR="009C1252" w:rsidRDefault="009C1252" w:rsidP="009C1252">
      <w:pPr>
        <w:shd w:val="clear" w:color="auto" w:fill="FFFFFF"/>
        <w:spacing w:after="120" w:line="240" w:lineRule="atLeast"/>
        <w:jc w:val="both"/>
        <w:rPr>
          <w:lang w:eastAsia="bg-BG"/>
        </w:rPr>
      </w:pPr>
      <w:r>
        <w:rPr>
          <w:lang w:eastAsia="bg-BG"/>
        </w:rPr>
        <w:t>Въпросник за анкета с потенциални бенефициенти на приоритетните оси води, отпадъци и качество на атмосферния въздух – общини, ВиК оператори, търговски предприятия в сектор отпадъци, включително рециклиране и повторна употреба, големи търговски вериги за хранителни стоки, хотели, дружества, изпълняващи услуги по поддържане чистотата на обществени места, оператори на градски транспорт.</w:t>
      </w:r>
    </w:p>
    <w:p w:rsidR="009C1252" w:rsidRPr="00C20B73" w:rsidRDefault="009C1252" w:rsidP="009C1252">
      <w:pPr>
        <w:shd w:val="clear" w:color="auto" w:fill="FFFFFF"/>
        <w:spacing w:after="120" w:line="240" w:lineRule="atLeast"/>
        <w:jc w:val="both"/>
        <w:rPr>
          <w:lang w:eastAsia="bg-BG"/>
        </w:rPr>
      </w:pPr>
      <w:r>
        <w:rPr>
          <w:lang w:eastAsia="bg-BG"/>
        </w:rPr>
        <w:t>Анкетата е програмирана за онлайн попълване и е разпространена с покана за участие на адресите на респондентите, като се предвижда изпращане на напомнящи писма 5 дни след първоначалното изпращане до всички, които не са отговорили и обаждане по телефона на всички, които не са отговорили до 7 дни след първоначалното разпространяване.</w:t>
      </w:r>
    </w:p>
    <w:p w:rsidR="009C1252" w:rsidRPr="00231114" w:rsidRDefault="009C1252" w:rsidP="009C1252">
      <w:pPr>
        <w:spacing w:before="120" w:after="120"/>
        <w:ind w:left="360"/>
        <w:jc w:val="both"/>
        <w:rPr>
          <w:rFonts w:ascii="Calibri" w:hAnsi="Calibri" w:cs="Calibri"/>
          <w:lang w:eastAsia="ro-RO"/>
        </w:rPr>
      </w:pPr>
      <w:r>
        <w:rPr>
          <w:rFonts w:ascii="Calibri" w:hAnsi="Calibri" w:cs="Calibri"/>
          <w:lang w:eastAsia="ro-RO"/>
        </w:rPr>
        <w:t>(1)</w:t>
      </w:r>
      <w:r w:rsidRPr="00231114">
        <w:rPr>
          <w:rFonts w:ascii="Calibri" w:hAnsi="Calibri" w:cs="Calibri"/>
          <w:u w:val="single"/>
          <w:lang w:eastAsia="ro-RO"/>
        </w:rPr>
        <w:t>Анкетно проучване с респонденти общини, потенциални бенефициенти по ОПОС 2014 – 2020</w:t>
      </w:r>
    </w:p>
    <w:p w:rsidR="009C1252" w:rsidRPr="00AD1E8E" w:rsidRDefault="009C1252" w:rsidP="009C1252">
      <w:pPr>
        <w:spacing w:after="200"/>
        <w:jc w:val="both"/>
        <w:rPr>
          <w:rFonts w:ascii="Calibri" w:hAnsi="Calibri"/>
        </w:rPr>
      </w:pPr>
      <w:r w:rsidRPr="00AD1E8E">
        <w:rPr>
          <w:rFonts w:ascii="Calibri" w:hAnsi="Calibri"/>
        </w:rPr>
        <w:t xml:space="preserve">Анкетата е адресирана и изпратена до всички общини в България (264). Получени са отговори от 109 общини – 41% от всички потенциални респонденти.  Анкетата е адресирана до кметове, заместник-кметове, директори на дирекции, началник отдел (или експерти) в съответните общини. От получените отговори, разпределението на отговорилите е следното: 37% от отговорилите са заместник кметове, 40% са директори на дирекции, 8% са началник отдел, анкетите са попълнение от заместник-кметове, 2% кметове и 12% - експерти. Това говори за ангажираността на респондентите и важността на темата за тях. Отговорилите общини са от 26 области в страната – липсват отговори от София – град и Търговище. </w:t>
      </w:r>
    </w:p>
    <w:p w:rsidR="009C1252" w:rsidRDefault="009C1252" w:rsidP="009C1252">
      <w:pPr>
        <w:spacing w:after="200"/>
        <w:jc w:val="both"/>
        <w:rPr>
          <w:rFonts w:ascii="Calibri" w:hAnsi="Calibri"/>
        </w:rPr>
      </w:pPr>
      <w:r w:rsidRPr="00AD1E8E">
        <w:rPr>
          <w:rFonts w:ascii="Calibri" w:hAnsi="Calibri"/>
        </w:rPr>
        <w:t xml:space="preserve">От отговорилите общини 44% са малки (с население до 20 000 жители), 9% са средни – с население между 20 и 50 000 жители, а 7% са големи – с население над 100 000 души. Това разпределение показва добра покриваемост предвид и на общия брой общини по вид. </w:t>
      </w:r>
    </w:p>
    <w:p w:rsidR="00107B8E" w:rsidRPr="00AD1E8E" w:rsidRDefault="00107B8E" w:rsidP="009C1252">
      <w:pPr>
        <w:spacing w:after="200"/>
        <w:jc w:val="both"/>
        <w:rPr>
          <w:rFonts w:ascii="Calibri" w:hAnsi="Calibri"/>
        </w:rPr>
      </w:pPr>
    </w:p>
    <w:p w:rsidR="009C1252" w:rsidRPr="00231114" w:rsidRDefault="009C1252" w:rsidP="001A036E">
      <w:pPr>
        <w:pStyle w:val="ListParagraph"/>
        <w:numPr>
          <w:ilvl w:val="0"/>
          <w:numId w:val="46"/>
        </w:numPr>
        <w:spacing w:before="120" w:after="120"/>
        <w:jc w:val="both"/>
        <w:rPr>
          <w:rFonts w:ascii="Calibri" w:hAnsi="Calibri" w:cs="Calibri"/>
          <w:u w:val="single"/>
          <w:lang w:eastAsia="ro-RO"/>
        </w:rPr>
      </w:pPr>
      <w:r w:rsidRPr="00231114">
        <w:rPr>
          <w:rFonts w:ascii="Calibri" w:hAnsi="Calibri" w:cs="Calibri"/>
          <w:u w:val="single"/>
          <w:lang w:eastAsia="ro-RO"/>
        </w:rPr>
        <w:lastRenderedPageBreak/>
        <w:t>Анкетно проучване с респонденти потенциални бенефициенти по ОПОС 2014 – 2020</w:t>
      </w:r>
    </w:p>
    <w:p w:rsidR="009C1252" w:rsidRPr="00B932A1" w:rsidRDefault="009C1252" w:rsidP="009C1252">
      <w:pPr>
        <w:spacing w:after="200"/>
        <w:jc w:val="both"/>
        <w:rPr>
          <w:rFonts w:ascii="Calibri" w:eastAsia="Times New Roman" w:hAnsi="Calibri" w:cs="Arial"/>
          <w:bCs/>
          <w:color w:val="000000"/>
          <w:lang w:eastAsia="bg-BG"/>
        </w:rPr>
      </w:pPr>
      <w:r w:rsidRPr="00B932A1">
        <w:rPr>
          <w:rFonts w:ascii="Calibri" w:eastAsia="Times New Roman" w:hAnsi="Calibri" w:cs="Arial"/>
          <w:bCs/>
          <w:color w:val="000000"/>
          <w:lang w:eastAsia="bg-BG"/>
        </w:rPr>
        <w:t xml:space="preserve">Обхватът на респондентите е определен след предварителни разговори с УО на ОПОС относно обхвата на ОПОС 2014-2020, както и възможните бенефициенти по отношение на Приоритетните оси Води, Отпадъци и Качество на атмосферния въздух. </w:t>
      </w:r>
    </w:p>
    <w:p w:rsidR="009C1252" w:rsidRPr="00B932A1" w:rsidRDefault="009C1252" w:rsidP="009C1252">
      <w:pPr>
        <w:spacing w:after="200"/>
        <w:jc w:val="both"/>
        <w:rPr>
          <w:rFonts w:ascii="Calibri" w:eastAsia="Times New Roman" w:hAnsi="Calibri" w:cs="Arial"/>
          <w:bCs/>
          <w:color w:val="000000"/>
          <w:lang w:eastAsia="bg-BG"/>
        </w:rPr>
      </w:pPr>
      <w:r w:rsidRPr="00B932A1">
        <w:rPr>
          <w:rFonts w:ascii="Calibri" w:eastAsia="Times New Roman" w:hAnsi="Calibri" w:cs="Arial"/>
          <w:bCs/>
          <w:color w:val="000000"/>
          <w:lang w:eastAsia="bg-BG"/>
        </w:rPr>
        <w:t>Анкетата е изготвена в две части – обща информация и специфични въпроси. В указанията към анкетата са разяснени целта на въпросника, както и е представена дефиниция на „финансови инструменти“  (</w:t>
      </w:r>
      <w:r w:rsidRPr="00B932A1">
        <w:rPr>
          <w:rFonts w:ascii="Calibri" w:hAnsi="Calibri"/>
          <w:i/>
        </w:rPr>
        <w:t>Съгласно чл. 130 от Финансовия регламент).</w:t>
      </w:r>
    </w:p>
    <w:p w:rsidR="009C1252" w:rsidRPr="00B932A1" w:rsidRDefault="009C1252" w:rsidP="009C1252">
      <w:pPr>
        <w:spacing w:after="200"/>
        <w:jc w:val="both"/>
        <w:rPr>
          <w:rFonts w:ascii="Calibri" w:hAnsi="Calibri"/>
        </w:rPr>
      </w:pPr>
      <w:r w:rsidRPr="00B932A1">
        <w:rPr>
          <w:rFonts w:ascii="Calibri" w:hAnsi="Calibri"/>
        </w:rPr>
        <w:t xml:space="preserve">Анкетата е адресирана и изпратена до 211 респонденти, обхващащи различни дружества – с държавно и общинско участие, както и частни компании, опериращи в различни сфери: ВиК, обществен транспорт, сметопочистване и сметосъбиране, рециклиране на отпадъци, търговия с различни стоки, търговски вериги – супермаркети, бяла и черна техника, облекло. </w:t>
      </w:r>
    </w:p>
    <w:p w:rsidR="009C1252" w:rsidRDefault="009C1252" w:rsidP="009C1252">
      <w:pPr>
        <w:spacing w:after="200"/>
        <w:jc w:val="both"/>
        <w:rPr>
          <w:rFonts w:ascii="Calibri" w:hAnsi="Calibri"/>
        </w:rPr>
      </w:pPr>
      <w:r w:rsidRPr="00B932A1">
        <w:rPr>
          <w:rFonts w:ascii="Calibri" w:hAnsi="Calibri"/>
        </w:rPr>
        <w:t xml:space="preserve">С анкетата са адресирани 211 респонденти, като са получени 15% обратно след многократни (повече от 5) напомняния по телефон и електронна поща. </w:t>
      </w:r>
    </w:p>
    <w:p w:rsidR="009C1252" w:rsidRPr="00B932A1" w:rsidRDefault="009C1252" w:rsidP="009C1252">
      <w:pPr>
        <w:spacing w:after="200"/>
        <w:jc w:val="both"/>
        <w:rPr>
          <w:rFonts w:ascii="Calibri" w:hAnsi="Calibri"/>
        </w:rPr>
      </w:pPr>
      <w:r w:rsidRPr="00B932A1">
        <w:rPr>
          <w:rFonts w:ascii="Calibri" w:hAnsi="Calibri"/>
        </w:rPr>
        <w:t>Профил на отговорилите:</w:t>
      </w:r>
    </w:p>
    <w:p w:rsidR="009C1252" w:rsidRPr="00B932A1" w:rsidRDefault="009C1252" w:rsidP="009C1252">
      <w:pPr>
        <w:spacing w:after="200"/>
        <w:jc w:val="both"/>
        <w:rPr>
          <w:rFonts w:ascii="Calibri" w:hAnsi="Calibri"/>
        </w:rPr>
      </w:pPr>
      <w:r w:rsidRPr="00B932A1">
        <w:rPr>
          <w:rFonts w:ascii="Calibri" w:hAnsi="Calibri"/>
        </w:rPr>
        <w:t>От отговорилите респонденти, 36% са частни търговски дружества, 25% са търговски дружества с общинска собственост, 18% - търговски дружества държавна собственост и 14% - дружества със смесена собственост – държавна и общинска.</w:t>
      </w:r>
    </w:p>
    <w:p w:rsidR="009C1252" w:rsidRDefault="009C1252" w:rsidP="009C1252">
      <w:pPr>
        <w:shd w:val="clear" w:color="auto" w:fill="FFFFFF"/>
        <w:spacing w:after="120" w:line="240" w:lineRule="atLeast"/>
        <w:jc w:val="both"/>
        <w:rPr>
          <w:lang w:eastAsia="bg-BG"/>
        </w:rPr>
      </w:pPr>
      <w:r>
        <w:rPr>
          <w:lang w:eastAsia="bg-BG"/>
        </w:rPr>
        <w:t>Анализът на р</w:t>
      </w:r>
      <w:r w:rsidRPr="00384136">
        <w:rPr>
          <w:lang w:eastAsia="bg-BG"/>
        </w:rPr>
        <w:t xml:space="preserve">езултатите от анкетите </w:t>
      </w:r>
      <w:r>
        <w:rPr>
          <w:lang w:eastAsia="bg-BG"/>
        </w:rPr>
        <w:t xml:space="preserve">е включен като </w:t>
      </w:r>
      <w:r w:rsidRPr="00DE34DE">
        <w:rPr>
          <w:lang w:eastAsia="bg-BG"/>
        </w:rPr>
        <w:t>Приложение №</w:t>
      </w:r>
      <w:r w:rsidR="00DE34DE">
        <w:rPr>
          <w:lang w:eastAsia="bg-BG"/>
        </w:rPr>
        <w:t>003 и 004</w:t>
      </w:r>
      <w:r w:rsidRPr="00DE34DE">
        <w:rPr>
          <w:lang w:eastAsia="bg-BG"/>
        </w:rPr>
        <w:t xml:space="preserve"> към </w:t>
      </w:r>
      <w:r>
        <w:rPr>
          <w:lang w:eastAsia="bg-BG"/>
        </w:rPr>
        <w:t>настоящия доклад</w:t>
      </w:r>
      <w:r w:rsidR="00DE34DE">
        <w:rPr>
          <w:lang w:eastAsia="bg-BG"/>
        </w:rPr>
        <w:t xml:space="preserve">, а докладът за провеждане на проучването и въпросниците за анкетите и интервютата са в Приложение </w:t>
      </w:r>
      <w:r w:rsidR="00DE34DE" w:rsidRPr="00DE34DE">
        <w:rPr>
          <w:lang w:eastAsia="bg-BG"/>
        </w:rPr>
        <w:t>№</w:t>
      </w:r>
      <w:r w:rsidR="00DE34DE">
        <w:rPr>
          <w:lang w:eastAsia="bg-BG"/>
        </w:rPr>
        <w:t>005 и 006</w:t>
      </w:r>
      <w:r>
        <w:rPr>
          <w:lang w:eastAsia="bg-BG"/>
        </w:rPr>
        <w:t>. Изводите и констатациите са използвани в анализа.</w:t>
      </w:r>
    </w:p>
    <w:p w:rsidR="00107B8E" w:rsidRDefault="00107B8E" w:rsidP="009C1252">
      <w:pPr>
        <w:spacing w:before="120" w:after="120"/>
        <w:jc w:val="both"/>
        <w:rPr>
          <w:rFonts w:ascii="Calibri" w:hAnsi="Calibri" w:cs="Calibri"/>
          <w:b/>
          <w:lang w:eastAsia="ro-RO"/>
        </w:rPr>
      </w:pPr>
    </w:p>
    <w:p w:rsidR="009C1252" w:rsidRPr="00231114" w:rsidRDefault="009C1252" w:rsidP="009C1252">
      <w:pPr>
        <w:spacing w:before="120" w:after="120"/>
        <w:jc w:val="both"/>
        <w:rPr>
          <w:rFonts w:ascii="Calibri" w:hAnsi="Calibri" w:cs="Calibri"/>
          <w:b/>
          <w:lang w:eastAsia="ro-RO"/>
        </w:rPr>
      </w:pPr>
      <w:r w:rsidRPr="00231114">
        <w:rPr>
          <w:rFonts w:ascii="Calibri" w:hAnsi="Calibri" w:cs="Calibri"/>
          <w:b/>
          <w:lang w:eastAsia="ro-RO"/>
        </w:rPr>
        <w:t>Анализ</w:t>
      </w:r>
    </w:p>
    <w:p w:rsidR="009C1252" w:rsidRPr="00231114" w:rsidRDefault="009C1252" w:rsidP="009C1252">
      <w:pPr>
        <w:shd w:val="clear" w:color="auto" w:fill="FFFFFF"/>
        <w:spacing w:after="120" w:line="240" w:lineRule="atLeast"/>
        <w:jc w:val="both"/>
        <w:rPr>
          <w:lang w:eastAsia="bg-BG"/>
        </w:rPr>
      </w:pPr>
      <w:r w:rsidRPr="00231114">
        <w:rPr>
          <w:lang w:eastAsia="bg-BG"/>
        </w:rPr>
        <w:t xml:space="preserve">Събраната информация е подложена на анализ, за да се изведат отговорите на въпросите на оценка. </w:t>
      </w:r>
    </w:p>
    <w:p w:rsidR="009C1252" w:rsidRPr="00231114" w:rsidRDefault="009C1252" w:rsidP="009C1252">
      <w:pPr>
        <w:shd w:val="clear" w:color="auto" w:fill="FFFFFF"/>
        <w:spacing w:after="120" w:line="240" w:lineRule="atLeast"/>
        <w:jc w:val="both"/>
        <w:rPr>
          <w:lang w:eastAsia="bg-BG"/>
        </w:rPr>
      </w:pPr>
      <w:r w:rsidRPr="00231114">
        <w:rPr>
          <w:lang w:eastAsia="bg-BG"/>
        </w:rPr>
        <w:t>Използваните методи за анализ, предвид спецификата на оценката са:</w:t>
      </w:r>
    </w:p>
    <w:p w:rsidR="009C1252" w:rsidRPr="00231114" w:rsidRDefault="009C1252" w:rsidP="009C1CFD">
      <w:pPr>
        <w:pStyle w:val="ListParagraph"/>
        <w:numPr>
          <w:ilvl w:val="3"/>
          <w:numId w:val="13"/>
        </w:numPr>
        <w:shd w:val="clear" w:color="auto" w:fill="FFFFFF"/>
        <w:spacing w:after="120" w:line="240" w:lineRule="atLeast"/>
        <w:ind w:left="720"/>
        <w:jc w:val="both"/>
        <w:rPr>
          <w:color w:val="4B4237"/>
          <w:lang w:eastAsia="bg-BG"/>
        </w:rPr>
      </w:pPr>
      <w:r w:rsidRPr="00231114">
        <w:rPr>
          <w:b/>
        </w:rPr>
        <w:t>Бенчмаркинг</w:t>
      </w:r>
      <w:r w:rsidRPr="00901B6E">
        <w:t xml:space="preserve"> (сравнения с добри практики)</w:t>
      </w:r>
      <w:r>
        <w:t xml:space="preserve">. </w:t>
      </w:r>
    </w:p>
    <w:p w:rsidR="009C1252" w:rsidRPr="00231114" w:rsidRDefault="009C1252" w:rsidP="009C1252">
      <w:pPr>
        <w:shd w:val="clear" w:color="auto" w:fill="FFFFFF"/>
        <w:spacing w:after="120" w:line="240" w:lineRule="atLeast"/>
        <w:jc w:val="both"/>
        <w:rPr>
          <w:color w:val="4B4237"/>
          <w:lang w:eastAsia="bg-BG"/>
        </w:rPr>
      </w:pPr>
      <w:r>
        <w:t xml:space="preserve">Методът е използван за </w:t>
      </w:r>
      <w:r w:rsidRPr="00231114">
        <w:rPr>
          <w:bCs/>
        </w:rPr>
        <w:t>оценка на текущото състояние във връзка с "добрите практики" и идентифициране областите и средствата за подобряване на позицията.</w:t>
      </w:r>
    </w:p>
    <w:p w:rsidR="009C1252" w:rsidRPr="00102CB7" w:rsidRDefault="009C1252" w:rsidP="009C1CFD">
      <w:pPr>
        <w:pStyle w:val="ListParagraph"/>
        <w:numPr>
          <w:ilvl w:val="0"/>
          <w:numId w:val="13"/>
        </w:numPr>
        <w:spacing w:after="120"/>
        <w:ind w:left="709"/>
        <w:jc w:val="both"/>
      </w:pPr>
      <w:r w:rsidRPr="00102CB7">
        <w:t>SWOT анализ (Анализ на силните и слаби страни, благоприятните възможности и заплахите).</w:t>
      </w:r>
    </w:p>
    <w:p w:rsidR="009C1252" w:rsidRDefault="009C1252" w:rsidP="009C1252">
      <w:pPr>
        <w:spacing w:after="120"/>
        <w:jc w:val="both"/>
      </w:pPr>
      <w:r>
        <w:t xml:space="preserve">Чрез </w:t>
      </w:r>
      <w:r w:rsidRPr="00901B6E">
        <w:t>SWOT анализ</w:t>
      </w:r>
      <w:r>
        <w:t xml:space="preserve"> са </w:t>
      </w:r>
      <w:r w:rsidRPr="00901B6E">
        <w:t>извед</w:t>
      </w:r>
      <w:r>
        <w:t xml:space="preserve">ени </w:t>
      </w:r>
      <w:r w:rsidRPr="00901B6E">
        <w:t>констатации</w:t>
      </w:r>
      <w:r>
        <w:t>те</w:t>
      </w:r>
      <w:r w:rsidRPr="00901B6E">
        <w:t xml:space="preserve"> относно идентифицираните проблеми и предизвикателства при отделните етапи и процеси, свързани с изготвянето на отделните компоненти на оценяваният документ.</w:t>
      </w:r>
    </w:p>
    <w:p w:rsidR="00107B8E" w:rsidRDefault="00107B8E" w:rsidP="009C1252">
      <w:pPr>
        <w:spacing w:after="120"/>
        <w:jc w:val="both"/>
      </w:pPr>
    </w:p>
    <w:p w:rsidR="00107B8E" w:rsidRDefault="00107B8E" w:rsidP="009C1252">
      <w:pPr>
        <w:spacing w:after="120"/>
        <w:jc w:val="both"/>
      </w:pPr>
    </w:p>
    <w:p w:rsidR="00107B8E" w:rsidRDefault="00107B8E" w:rsidP="009C1252">
      <w:pPr>
        <w:spacing w:after="120"/>
        <w:jc w:val="both"/>
      </w:pPr>
    </w:p>
    <w:p w:rsidR="00107B8E" w:rsidRPr="00901B6E" w:rsidRDefault="00107B8E" w:rsidP="009C1252">
      <w:pPr>
        <w:spacing w:after="120"/>
        <w:jc w:val="both"/>
      </w:pPr>
    </w:p>
    <w:p w:rsidR="009C1252" w:rsidRPr="00B86157" w:rsidRDefault="009C1252" w:rsidP="009C1CFD">
      <w:pPr>
        <w:pStyle w:val="ListParagraph"/>
        <w:numPr>
          <w:ilvl w:val="0"/>
          <w:numId w:val="14"/>
        </w:numPr>
        <w:spacing w:after="120"/>
        <w:jc w:val="both"/>
        <w:rPr>
          <w:b/>
        </w:rPr>
      </w:pPr>
      <w:r w:rsidRPr="00B86157">
        <w:rPr>
          <w:b/>
        </w:rPr>
        <w:t>Статистически анализ</w:t>
      </w:r>
    </w:p>
    <w:p w:rsidR="009C1252" w:rsidRDefault="009C1252" w:rsidP="009C1252">
      <w:pPr>
        <w:spacing w:after="120"/>
        <w:jc w:val="both"/>
      </w:pPr>
      <w:r w:rsidRPr="00901B6E">
        <w:t>В процеса на изготвяне на предварителната оценка на прилагането на финансовите инструменти в ОПОС</w:t>
      </w:r>
      <w:r w:rsidRPr="00901B6E">
        <w:rPr>
          <w:bCs/>
        </w:rPr>
        <w:t xml:space="preserve"> </w:t>
      </w:r>
      <w:r w:rsidRPr="00901B6E">
        <w:t>събирани</w:t>
      </w:r>
      <w:r>
        <w:t>те</w:t>
      </w:r>
      <w:r w:rsidRPr="00901B6E">
        <w:t xml:space="preserve"> количеств</w:t>
      </w:r>
      <w:r>
        <w:t xml:space="preserve">ени </w:t>
      </w:r>
      <w:r w:rsidRPr="00901B6E">
        <w:t>данни</w:t>
      </w:r>
      <w:r>
        <w:t xml:space="preserve"> бяха </w:t>
      </w:r>
      <w:r w:rsidRPr="00901B6E">
        <w:t>обработ</w:t>
      </w:r>
      <w:r>
        <w:t xml:space="preserve">ени и </w:t>
      </w:r>
      <w:r w:rsidRPr="00901B6E">
        <w:t xml:space="preserve">интерпретирани чрез коректни статистически инструменти. </w:t>
      </w:r>
    </w:p>
    <w:p w:rsidR="009C1252" w:rsidRPr="00231114" w:rsidRDefault="009C1252" w:rsidP="009C1CFD">
      <w:pPr>
        <w:pStyle w:val="ListParagraph"/>
        <w:numPr>
          <w:ilvl w:val="0"/>
          <w:numId w:val="14"/>
        </w:numPr>
        <w:spacing w:after="120"/>
        <w:jc w:val="both"/>
        <w:rPr>
          <w:b/>
        </w:rPr>
      </w:pPr>
      <w:r w:rsidRPr="00231114">
        <w:rPr>
          <w:b/>
        </w:rPr>
        <w:t>Експертна оценка</w:t>
      </w:r>
    </w:p>
    <w:p w:rsidR="009C1252" w:rsidRDefault="009C1252" w:rsidP="009C1252">
      <w:pPr>
        <w:spacing w:line="276" w:lineRule="auto"/>
        <w:jc w:val="both"/>
        <w:rPr>
          <w:rFonts w:cs="Calibri"/>
          <w:color w:val="000000"/>
          <w:spacing w:val="-1"/>
          <w:lang w:eastAsia="en-GB"/>
        </w:rPr>
      </w:pPr>
      <w:r w:rsidRPr="00901B6E">
        <w:rPr>
          <w:rFonts w:cs="Calibri"/>
          <w:color w:val="000000"/>
          <w:spacing w:val="-1"/>
          <w:lang w:eastAsia="en-GB"/>
        </w:rPr>
        <w:t xml:space="preserve">Методът за оценка въз основа на експертно заключение </w:t>
      </w:r>
      <w:r>
        <w:rPr>
          <w:rFonts w:cs="Calibri"/>
          <w:color w:val="000000"/>
          <w:spacing w:val="-1"/>
          <w:lang w:eastAsia="en-GB"/>
        </w:rPr>
        <w:t>е</w:t>
      </w:r>
      <w:r w:rsidRPr="00901B6E">
        <w:rPr>
          <w:rFonts w:cs="Calibri"/>
          <w:color w:val="000000"/>
          <w:spacing w:val="-1"/>
          <w:lang w:eastAsia="en-GB"/>
        </w:rPr>
        <w:t xml:space="preserve"> използваме основно там, където не разполагаме с достатъчно данни или не сме сигурни в качеството или достоверността на наличните данни. </w:t>
      </w:r>
    </w:p>
    <w:p w:rsidR="00722616" w:rsidRDefault="00722616" w:rsidP="00B86157">
      <w:pPr>
        <w:spacing w:line="276" w:lineRule="auto"/>
        <w:jc w:val="both"/>
        <w:rPr>
          <w:rFonts w:cs="Calibri"/>
        </w:rPr>
        <w:sectPr w:rsidR="00722616" w:rsidSect="006E39EC">
          <w:pgSz w:w="11906" w:h="16838"/>
          <w:pgMar w:top="1560" w:right="1417" w:bottom="1134" w:left="1417" w:header="708" w:footer="247" w:gutter="0"/>
          <w:cols w:space="708"/>
          <w:titlePg/>
          <w:docGrid w:linePitch="360"/>
        </w:sectPr>
      </w:pPr>
    </w:p>
    <w:p w:rsidR="001151F2" w:rsidRPr="00D476D6" w:rsidRDefault="00FA0C25" w:rsidP="00B60702">
      <w:pPr>
        <w:pStyle w:val="Heading1"/>
        <w:numPr>
          <w:ilvl w:val="0"/>
          <w:numId w:val="1"/>
        </w:numPr>
        <w:jc w:val="both"/>
        <w:rPr>
          <w:rFonts w:asciiTheme="minorHAnsi" w:hAnsiTheme="minorHAnsi" w:cs="Times New Roman"/>
          <w:b/>
          <w:lang w:val="en-US"/>
        </w:rPr>
      </w:pPr>
      <w:bookmarkStart w:id="5" w:name="_Toc399494505"/>
      <w:r w:rsidRPr="00D476D6">
        <w:rPr>
          <w:rFonts w:asciiTheme="minorHAnsi" w:hAnsiTheme="minorHAnsi" w:cs="Times New Roman"/>
          <w:b/>
        </w:rPr>
        <w:lastRenderedPageBreak/>
        <w:t xml:space="preserve">Анализ на пазарните неуспехи и </w:t>
      </w:r>
      <w:r w:rsidR="00F15AC0">
        <w:rPr>
          <w:rFonts w:asciiTheme="minorHAnsi" w:hAnsiTheme="minorHAnsi" w:cs="Times New Roman"/>
          <w:b/>
        </w:rPr>
        <w:t>не</w:t>
      </w:r>
      <w:r w:rsidR="00F15AC0" w:rsidRPr="00D476D6">
        <w:rPr>
          <w:rFonts w:asciiTheme="minorHAnsi" w:hAnsiTheme="minorHAnsi" w:cs="Times New Roman"/>
          <w:b/>
        </w:rPr>
        <w:t xml:space="preserve">оптималните </w:t>
      </w:r>
      <w:r w:rsidRPr="00D476D6">
        <w:rPr>
          <w:rFonts w:asciiTheme="minorHAnsi" w:hAnsiTheme="minorHAnsi" w:cs="Times New Roman"/>
          <w:b/>
        </w:rPr>
        <w:t>инвестиционни ситуации</w:t>
      </w:r>
      <w:bookmarkEnd w:id="5"/>
    </w:p>
    <w:p w:rsidR="00336DD5" w:rsidRDefault="00336DD5" w:rsidP="00131C4E">
      <w:pPr>
        <w:spacing w:after="0" w:line="276" w:lineRule="auto"/>
        <w:ind w:left="720"/>
        <w:jc w:val="both"/>
        <w:rPr>
          <w:b/>
          <w:color w:val="5B9BD5" w:themeColor="accent1"/>
        </w:rPr>
      </w:pPr>
    </w:p>
    <w:p w:rsidR="00063572" w:rsidRPr="00015E27" w:rsidRDefault="00063572" w:rsidP="00BA2260">
      <w:pPr>
        <w:spacing w:before="60" w:afterLines="60" w:after="144" w:line="280" w:lineRule="exact"/>
        <w:jc w:val="both"/>
        <w:rPr>
          <w:rFonts w:cs="Times New Roman"/>
        </w:rPr>
      </w:pPr>
      <w:r w:rsidRPr="00015E27">
        <w:rPr>
          <w:rFonts w:cs="Times New Roman"/>
        </w:rPr>
        <w:t>В съответствие с Методологията за предварителна оценка на финансовите инструменти за програмен период 2014 – 2020 г., анализът на пазарните неуспехи и неоптималните инвестиционни ситуации включва следните стъпки:</w:t>
      </w:r>
    </w:p>
    <w:p w:rsidR="00063572" w:rsidRPr="009C0322" w:rsidRDefault="00063572" w:rsidP="00063572">
      <w:pPr>
        <w:jc w:val="both"/>
      </w:pPr>
      <w:r w:rsidRPr="009C0322">
        <w:rPr>
          <w:noProof/>
          <w:lang w:eastAsia="bg-BG"/>
        </w:rPr>
        <w:drawing>
          <wp:inline distT="0" distB="0" distL="0" distR="0">
            <wp:extent cx="5486400" cy="3200400"/>
            <wp:effectExtent l="0" t="0" r="0" b="0"/>
            <wp:docPr id="2"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722616" w:rsidRDefault="00722616" w:rsidP="0061170E">
      <w:pPr>
        <w:pStyle w:val="Heading3"/>
        <w:spacing w:before="120" w:after="120"/>
        <w:rPr>
          <w:rFonts w:asciiTheme="minorHAnsi" w:hAnsiTheme="minorHAnsi" w:cs="Times New Roman"/>
          <w:lang w:val="en-US"/>
        </w:rPr>
      </w:pPr>
    </w:p>
    <w:p w:rsidR="0061170E" w:rsidRPr="00B86157" w:rsidRDefault="0061170E" w:rsidP="0061170E">
      <w:pPr>
        <w:pStyle w:val="Heading3"/>
        <w:spacing w:before="120" w:after="120"/>
        <w:rPr>
          <w:rFonts w:asciiTheme="minorHAnsi" w:hAnsiTheme="minorHAnsi" w:cs="Times New Roman"/>
        </w:rPr>
      </w:pPr>
      <w:bookmarkStart w:id="6" w:name="_Toc399494506"/>
      <w:r w:rsidRPr="00B86157">
        <w:rPr>
          <w:rFonts w:asciiTheme="minorHAnsi" w:hAnsiTheme="minorHAnsi" w:cs="Times New Roman"/>
        </w:rPr>
        <w:t>А. Анализ на пазарните неуспехи (неефективности) и/или неоптимални инвестиционни ситуации.</w:t>
      </w:r>
      <w:bookmarkEnd w:id="6"/>
    </w:p>
    <w:p w:rsidR="000A2A91" w:rsidRPr="00187165" w:rsidRDefault="00181C9C" w:rsidP="00722616">
      <w:pPr>
        <w:pStyle w:val="Heading2"/>
        <w:ind w:right="-141"/>
        <w:jc w:val="both"/>
        <w:rPr>
          <w:rFonts w:asciiTheme="minorHAnsi" w:hAnsiTheme="minorHAnsi" w:cs="Times New Roman"/>
        </w:rPr>
      </w:pPr>
      <w:bookmarkStart w:id="7" w:name="_Toc399494507"/>
      <w:r w:rsidRPr="00817A5B">
        <w:rPr>
          <w:rFonts w:asciiTheme="minorHAnsi" w:hAnsiTheme="minorHAnsi" w:cs="Times New Roman"/>
        </w:rPr>
        <w:t>1.1.</w:t>
      </w:r>
      <w:r w:rsidR="00FA0C25" w:rsidRPr="00817A5B">
        <w:rPr>
          <w:rFonts w:asciiTheme="minorHAnsi" w:hAnsiTheme="minorHAnsi" w:cs="Times New Roman"/>
        </w:rPr>
        <w:t xml:space="preserve"> </w:t>
      </w:r>
      <w:r w:rsidR="00FA0C25" w:rsidRPr="00187165">
        <w:rPr>
          <w:rFonts w:asciiTheme="minorHAnsi" w:hAnsiTheme="minorHAnsi" w:cs="Times New Roman"/>
        </w:rPr>
        <w:t xml:space="preserve">Ефективно управление на </w:t>
      </w:r>
      <w:r w:rsidR="00F15AC0" w:rsidRPr="00187165">
        <w:rPr>
          <w:rFonts w:asciiTheme="minorHAnsi" w:hAnsiTheme="minorHAnsi" w:cs="Times New Roman"/>
        </w:rPr>
        <w:t>В</w:t>
      </w:r>
      <w:r w:rsidR="00FA0C25" w:rsidRPr="00187165">
        <w:rPr>
          <w:rFonts w:asciiTheme="minorHAnsi" w:hAnsiTheme="minorHAnsi" w:cs="Times New Roman"/>
        </w:rPr>
        <w:t>одния сектор в страната – изграждане</w:t>
      </w:r>
      <w:r w:rsidR="000A2A91" w:rsidRPr="00187165">
        <w:rPr>
          <w:rFonts w:asciiTheme="minorHAnsi" w:hAnsiTheme="minorHAnsi" w:cs="Times New Roman"/>
        </w:rPr>
        <w:t xml:space="preserve"> </w:t>
      </w:r>
      <w:r w:rsidR="00FA0C25" w:rsidRPr="00187165">
        <w:rPr>
          <w:rFonts w:asciiTheme="minorHAnsi" w:hAnsiTheme="minorHAnsi" w:cs="Times New Roman"/>
        </w:rPr>
        <w:t>/</w:t>
      </w:r>
      <w:r w:rsidR="00722616" w:rsidRPr="00187165">
        <w:rPr>
          <w:rFonts w:asciiTheme="minorHAnsi" w:hAnsiTheme="minorHAnsi" w:cs="Times New Roman"/>
        </w:rPr>
        <w:t xml:space="preserve"> </w:t>
      </w:r>
      <w:r w:rsidR="00FA0C25" w:rsidRPr="00187165">
        <w:rPr>
          <w:rFonts w:asciiTheme="minorHAnsi" w:hAnsiTheme="minorHAnsi" w:cs="Times New Roman"/>
        </w:rPr>
        <w:t>доизграждане</w:t>
      </w:r>
      <w:r w:rsidR="00722616" w:rsidRPr="00187165">
        <w:rPr>
          <w:rFonts w:asciiTheme="minorHAnsi" w:hAnsiTheme="minorHAnsi" w:cs="Times New Roman"/>
        </w:rPr>
        <w:t xml:space="preserve"> </w:t>
      </w:r>
      <w:r w:rsidR="00FA0C25" w:rsidRPr="00187165">
        <w:rPr>
          <w:rFonts w:asciiTheme="minorHAnsi" w:hAnsiTheme="minorHAnsi" w:cs="Times New Roman"/>
        </w:rPr>
        <w:t>/</w:t>
      </w:r>
      <w:r w:rsidR="00722616" w:rsidRPr="00187165">
        <w:rPr>
          <w:rFonts w:asciiTheme="minorHAnsi" w:hAnsiTheme="minorHAnsi" w:cs="Times New Roman"/>
        </w:rPr>
        <w:t xml:space="preserve"> </w:t>
      </w:r>
      <w:r w:rsidR="00FA0C25" w:rsidRPr="00187165">
        <w:rPr>
          <w:rFonts w:asciiTheme="minorHAnsi" w:hAnsiTheme="minorHAnsi" w:cs="Times New Roman"/>
        </w:rPr>
        <w:t>разширяване</w:t>
      </w:r>
      <w:r w:rsidR="00722616" w:rsidRPr="00187165">
        <w:rPr>
          <w:rFonts w:asciiTheme="minorHAnsi" w:hAnsiTheme="minorHAnsi" w:cs="Times New Roman"/>
        </w:rPr>
        <w:t xml:space="preserve"> </w:t>
      </w:r>
      <w:r w:rsidR="00FA0C25" w:rsidRPr="00187165">
        <w:rPr>
          <w:rFonts w:asciiTheme="minorHAnsi" w:hAnsiTheme="minorHAnsi" w:cs="Times New Roman"/>
        </w:rPr>
        <w:t>/</w:t>
      </w:r>
      <w:r w:rsidR="00722616" w:rsidRPr="00187165">
        <w:rPr>
          <w:rFonts w:asciiTheme="minorHAnsi" w:hAnsiTheme="minorHAnsi" w:cs="Times New Roman"/>
        </w:rPr>
        <w:t xml:space="preserve"> </w:t>
      </w:r>
      <w:r w:rsidR="00FA0C25" w:rsidRPr="00187165">
        <w:rPr>
          <w:rFonts w:asciiTheme="minorHAnsi" w:hAnsiTheme="minorHAnsi" w:cs="Times New Roman"/>
        </w:rPr>
        <w:t>модернизация</w:t>
      </w:r>
      <w:r w:rsidR="00722616" w:rsidRPr="00187165">
        <w:rPr>
          <w:rFonts w:asciiTheme="minorHAnsi" w:hAnsiTheme="minorHAnsi" w:cs="Times New Roman"/>
        </w:rPr>
        <w:t xml:space="preserve"> </w:t>
      </w:r>
      <w:r w:rsidR="00FA0C25" w:rsidRPr="00187165">
        <w:rPr>
          <w:rFonts w:asciiTheme="minorHAnsi" w:hAnsiTheme="minorHAnsi" w:cs="Times New Roman"/>
        </w:rPr>
        <w:t>/</w:t>
      </w:r>
      <w:r w:rsidR="00722616" w:rsidRPr="00187165">
        <w:rPr>
          <w:rFonts w:asciiTheme="minorHAnsi" w:hAnsiTheme="minorHAnsi" w:cs="Times New Roman"/>
        </w:rPr>
        <w:t xml:space="preserve"> </w:t>
      </w:r>
      <w:r w:rsidR="00FA0C25" w:rsidRPr="00187165">
        <w:rPr>
          <w:rFonts w:asciiTheme="minorHAnsi" w:hAnsiTheme="minorHAnsi" w:cs="Times New Roman"/>
        </w:rPr>
        <w:t xml:space="preserve">рехабилитация на ВиК </w:t>
      </w:r>
      <w:r w:rsidR="000A2A91" w:rsidRPr="00187165">
        <w:rPr>
          <w:rFonts w:asciiTheme="minorHAnsi" w:hAnsiTheme="minorHAnsi" w:cs="Times New Roman"/>
        </w:rPr>
        <w:t>и</w:t>
      </w:r>
      <w:r w:rsidR="00FA0C25" w:rsidRPr="00187165">
        <w:rPr>
          <w:rFonts w:asciiTheme="minorHAnsi" w:hAnsiTheme="minorHAnsi" w:cs="Times New Roman"/>
        </w:rPr>
        <w:t>нфраструктура</w:t>
      </w:r>
      <w:bookmarkEnd w:id="7"/>
    </w:p>
    <w:p w:rsidR="002741F9" w:rsidRPr="002741F9" w:rsidRDefault="002741F9" w:rsidP="002741F9"/>
    <w:p w:rsidR="00CB7DDC" w:rsidRPr="00491198" w:rsidRDefault="00BA2FD0" w:rsidP="00BA2FD0">
      <w:pPr>
        <w:pStyle w:val="Heading3"/>
        <w:rPr>
          <w:rFonts w:asciiTheme="minorHAnsi" w:eastAsia="Calibri" w:hAnsiTheme="minorHAnsi"/>
        </w:rPr>
      </w:pPr>
      <w:bookmarkStart w:id="8" w:name="_Toc399494508"/>
      <w:r w:rsidRPr="00491198">
        <w:rPr>
          <w:rFonts w:asciiTheme="minorHAnsi" w:eastAsia="Calibri" w:hAnsiTheme="minorHAnsi"/>
        </w:rPr>
        <w:t xml:space="preserve">1.1.1. </w:t>
      </w:r>
      <w:r w:rsidR="00CB7DDC" w:rsidRPr="00491198">
        <w:rPr>
          <w:rFonts w:asciiTheme="minorHAnsi" w:eastAsia="Calibri" w:hAnsiTheme="minorHAnsi"/>
        </w:rPr>
        <w:t>Основни характеристики на ВиК сектора в България</w:t>
      </w:r>
      <w:bookmarkEnd w:id="8"/>
    </w:p>
    <w:p w:rsidR="00CB7DDC" w:rsidRPr="00CB7DDC" w:rsidRDefault="00CB7DDC" w:rsidP="00CB7DDC">
      <w:pPr>
        <w:widowControl w:val="0"/>
        <w:autoSpaceDE w:val="0"/>
        <w:autoSpaceDN w:val="0"/>
        <w:adjustRightInd w:val="0"/>
        <w:spacing w:before="240" w:after="0" w:line="239" w:lineRule="auto"/>
        <w:ind w:right="66"/>
        <w:jc w:val="both"/>
        <w:rPr>
          <w:rFonts w:ascii="Calibri" w:eastAsia="Calibri" w:hAnsi="Calibri" w:cs="Calibri"/>
          <w:spacing w:val="-1"/>
        </w:rPr>
      </w:pPr>
      <w:r w:rsidRPr="00CB7DDC">
        <w:rPr>
          <w:rFonts w:ascii="Calibri" w:eastAsia="Calibri" w:hAnsi="Calibri" w:cs="Calibri"/>
          <w:bCs/>
        </w:rPr>
        <w:t xml:space="preserve">Съгласно </w:t>
      </w:r>
      <w:r w:rsidRPr="00CB7DDC">
        <w:rPr>
          <w:rFonts w:ascii="Calibri" w:eastAsia="Calibri" w:hAnsi="Calibri" w:cs="Calibri"/>
          <w:spacing w:val="-1"/>
        </w:rPr>
        <w:t>Стратегията за развитие и управление на водоснабдяването и канализацията в Република България 2014-2023 г.</w:t>
      </w:r>
      <w:r w:rsidRPr="00CB7DDC">
        <w:rPr>
          <w:rFonts w:ascii="Calibri" w:eastAsia="Calibri" w:hAnsi="Calibri" w:cs="Calibri"/>
          <w:spacing w:val="-1"/>
          <w:vertAlign w:val="superscript"/>
        </w:rPr>
        <w:footnoteReference w:id="3"/>
      </w:r>
      <w:r w:rsidRPr="00CB7DDC">
        <w:rPr>
          <w:rFonts w:ascii="Calibri" w:eastAsia="Calibri" w:hAnsi="Calibri" w:cs="Calibri"/>
          <w:spacing w:val="-1"/>
        </w:rPr>
        <w:t xml:space="preserve"> ВиК сектора в България започва да се реформира през 1989 г. като преминава последователно през следните етапи:</w:t>
      </w:r>
    </w:p>
    <w:p w:rsidR="00CB7DDC" w:rsidRPr="00CB7DDC" w:rsidRDefault="00CB7DDC"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rPr>
      </w:pPr>
      <w:r w:rsidRPr="00CB7DDC">
        <w:rPr>
          <w:rFonts w:ascii="Calibri" w:eastAsia="Calibri" w:hAnsi="Calibri" w:cs="Calibri"/>
          <w:spacing w:val="-1"/>
        </w:rPr>
        <w:t>До</w:t>
      </w:r>
      <w:r w:rsidRPr="00CB7DDC">
        <w:rPr>
          <w:rFonts w:ascii="Calibri" w:eastAsia="Calibri" w:hAnsi="Calibri" w:cs="Calibri"/>
          <w:bCs/>
          <w:spacing w:val="1"/>
        </w:rPr>
        <w:t xml:space="preserve"> </w:t>
      </w:r>
      <w:r w:rsidRPr="00CB7DDC">
        <w:rPr>
          <w:rFonts w:ascii="Calibri" w:eastAsia="Calibri" w:hAnsi="Calibri" w:cs="Calibri"/>
          <w:bCs/>
        </w:rPr>
        <w:t>1989</w:t>
      </w:r>
      <w:r w:rsidRPr="00CB7DDC">
        <w:rPr>
          <w:rFonts w:ascii="Calibri" w:eastAsia="Calibri" w:hAnsi="Calibri" w:cs="Calibri"/>
          <w:bCs/>
          <w:spacing w:val="1"/>
        </w:rPr>
        <w:t xml:space="preserve"> </w:t>
      </w:r>
      <w:r w:rsidRPr="00CB7DDC">
        <w:rPr>
          <w:rFonts w:ascii="Calibri" w:eastAsia="Calibri" w:hAnsi="Calibri" w:cs="Calibri"/>
          <w:bCs/>
          <w:spacing w:val="-1"/>
        </w:rPr>
        <w:t>г</w:t>
      </w:r>
      <w:r w:rsidRPr="00CB7DDC">
        <w:rPr>
          <w:rFonts w:ascii="Calibri" w:eastAsia="Calibri" w:hAnsi="Calibri" w:cs="Calibri"/>
          <w:bCs/>
        </w:rPr>
        <w:t>.</w:t>
      </w:r>
      <w:r w:rsidRPr="00CB7DDC">
        <w:rPr>
          <w:rFonts w:ascii="Calibri" w:eastAsia="Calibri" w:hAnsi="Calibri" w:cs="Calibri"/>
          <w:bCs/>
          <w:spacing w:val="1"/>
        </w:rPr>
        <w:t xml:space="preserve"> н</w:t>
      </w:r>
      <w:r w:rsidRPr="00CB7DDC">
        <w:rPr>
          <w:rFonts w:ascii="Calibri" w:eastAsia="Calibri" w:hAnsi="Calibri" w:cs="Calibri"/>
          <w:bCs/>
          <w:spacing w:val="2"/>
        </w:rPr>
        <w:t>у</w:t>
      </w:r>
      <w:r w:rsidRPr="00CB7DDC">
        <w:rPr>
          <w:rFonts w:ascii="Calibri" w:eastAsia="Calibri" w:hAnsi="Calibri" w:cs="Calibri"/>
          <w:bCs/>
          <w:spacing w:val="-4"/>
        </w:rPr>
        <w:t>ж</w:t>
      </w:r>
      <w:r w:rsidRPr="00CB7DDC">
        <w:rPr>
          <w:rFonts w:ascii="Calibri" w:eastAsia="Calibri" w:hAnsi="Calibri" w:cs="Calibri"/>
          <w:bCs/>
          <w:spacing w:val="1"/>
        </w:rPr>
        <w:t>ди</w:t>
      </w:r>
      <w:r w:rsidRPr="00CB7DDC">
        <w:rPr>
          <w:rFonts w:ascii="Calibri" w:eastAsia="Calibri" w:hAnsi="Calibri" w:cs="Calibri"/>
          <w:bCs/>
          <w:spacing w:val="2"/>
        </w:rPr>
        <w:t>т</w:t>
      </w:r>
      <w:r w:rsidRPr="00CB7DDC">
        <w:rPr>
          <w:rFonts w:ascii="Calibri" w:eastAsia="Calibri" w:hAnsi="Calibri" w:cs="Calibri"/>
          <w:bCs/>
        </w:rPr>
        <w:t xml:space="preserve">е </w:t>
      </w:r>
      <w:r w:rsidRPr="00CB7DDC">
        <w:rPr>
          <w:rFonts w:ascii="Calibri" w:eastAsia="Calibri" w:hAnsi="Calibri" w:cs="Calibri"/>
          <w:bCs/>
          <w:spacing w:val="-1"/>
        </w:rPr>
        <w:t>н</w:t>
      </w:r>
      <w:r w:rsidRPr="00CB7DDC">
        <w:rPr>
          <w:rFonts w:ascii="Calibri" w:eastAsia="Calibri" w:hAnsi="Calibri" w:cs="Calibri"/>
          <w:bCs/>
        </w:rPr>
        <w:t>а</w:t>
      </w:r>
      <w:r w:rsidRPr="00CB7DDC">
        <w:rPr>
          <w:rFonts w:ascii="Calibri" w:eastAsia="Calibri" w:hAnsi="Calibri" w:cs="Calibri"/>
          <w:bCs/>
          <w:spacing w:val="1"/>
        </w:rPr>
        <w:t xml:space="preserve"> </w:t>
      </w:r>
      <w:r w:rsidRPr="00CB7DDC">
        <w:rPr>
          <w:rFonts w:ascii="Calibri" w:eastAsia="Calibri" w:hAnsi="Calibri" w:cs="Calibri"/>
          <w:bCs/>
          <w:spacing w:val="2"/>
        </w:rPr>
        <w:t>Б</w:t>
      </w:r>
      <w:r w:rsidRPr="00CB7DDC">
        <w:rPr>
          <w:rFonts w:ascii="Calibri" w:eastAsia="Calibri" w:hAnsi="Calibri" w:cs="Calibri"/>
          <w:bCs/>
          <w:spacing w:val="-1"/>
        </w:rPr>
        <w:t>ъ</w:t>
      </w:r>
      <w:r w:rsidRPr="00CB7DDC">
        <w:rPr>
          <w:rFonts w:ascii="Calibri" w:eastAsia="Calibri" w:hAnsi="Calibri" w:cs="Calibri"/>
          <w:bCs/>
        </w:rPr>
        <w:t>л</w:t>
      </w:r>
      <w:r w:rsidRPr="00CB7DDC">
        <w:rPr>
          <w:rFonts w:ascii="Calibri" w:eastAsia="Calibri" w:hAnsi="Calibri" w:cs="Calibri"/>
          <w:bCs/>
          <w:spacing w:val="-1"/>
        </w:rPr>
        <w:t>г</w:t>
      </w:r>
      <w:r w:rsidRPr="00CB7DDC">
        <w:rPr>
          <w:rFonts w:ascii="Calibri" w:eastAsia="Calibri" w:hAnsi="Calibri" w:cs="Calibri"/>
          <w:bCs/>
        </w:rPr>
        <w:t>а</w:t>
      </w:r>
      <w:r w:rsidRPr="00CB7DDC">
        <w:rPr>
          <w:rFonts w:ascii="Calibri" w:eastAsia="Calibri" w:hAnsi="Calibri" w:cs="Calibri"/>
          <w:bCs/>
          <w:spacing w:val="1"/>
        </w:rPr>
        <w:t>ри</w:t>
      </w:r>
      <w:r w:rsidRPr="00CB7DDC">
        <w:rPr>
          <w:rFonts w:ascii="Calibri" w:eastAsia="Calibri" w:hAnsi="Calibri" w:cs="Calibri"/>
          <w:bCs/>
        </w:rPr>
        <w:t>я</w:t>
      </w:r>
      <w:r w:rsidRPr="00CB7DDC">
        <w:rPr>
          <w:rFonts w:ascii="Calibri" w:eastAsia="Calibri" w:hAnsi="Calibri" w:cs="Calibri"/>
          <w:bCs/>
          <w:spacing w:val="1"/>
        </w:rPr>
        <w:t xml:space="preserve"> </w:t>
      </w:r>
      <w:r w:rsidRPr="00CB7DDC">
        <w:rPr>
          <w:rFonts w:ascii="Calibri" w:eastAsia="Calibri" w:hAnsi="Calibri" w:cs="Calibri"/>
          <w:bCs/>
        </w:rPr>
        <w:t>от</w:t>
      </w:r>
      <w:r w:rsidRPr="00CB7DDC">
        <w:rPr>
          <w:rFonts w:ascii="Calibri" w:eastAsia="Calibri" w:hAnsi="Calibri" w:cs="Calibri"/>
          <w:bCs/>
          <w:spacing w:val="3"/>
        </w:rPr>
        <w:t xml:space="preserve"> </w:t>
      </w:r>
      <w:r w:rsidRPr="00CB7DDC">
        <w:rPr>
          <w:rFonts w:ascii="Calibri" w:eastAsia="Calibri" w:hAnsi="Calibri" w:cs="Calibri"/>
          <w:bCs/>
          <w:spacing w:val="-2"/>
        </w:rPr>
        <w:t>В</w:t>
      </w:r>
      <w:r w:rsidRPr="00CB7DDC">
        <w:rPr>
          <w:rFonts w:ascii="Calibri" w:eastAsia="Calibri" w:hAnsi="Calibri" w:cs="Calibri"/>
          <w:bCs/>
          <w:spacing w:val="1"/>
        </w:rPr>
        <w:t>и</w:t>
      </w:r>
      <w:r w:rsidRPr="00CB7DDC">
        <w:rPr>
          <w:rFonts w:ascii="Calibri" w:eastAsia="Calibri" w:hAnsi="Calibri" w:cs="Calibri"/>
          <w:bCs/>
        </w:rPr>
        <w:t>К</w:t>
      </w:r>
      <w:r w:rsidRPr="00CB7DDC">
        <w:rPr>
          <w:rFonts w:ascii="Calibri" w:eastAsia="Calibri" w:hAnsi="Calibri" w:cs="Calibri"/>
          <w:bCs/>
          <w:spacing w:val="2"/>
        </w:rPr>
        <w:t xml:space="preserve"> </w:t>
      </w:r>
      <w:r w:rsidRPr="00CB7DDC">
        <w:rPr>
          <w:rFonts w:ascii="Calibri" w:eastAsia="Calibri" w:hAnsi="Calibri" w:cs="Calibri"/>
          <w:bCs/>
          <w:spacing w:val="-2"/>
        </w:rPr>
        <w:t>у</w:t>
      </w:r>
      <w:r w:rsidRPr="00CB7DDC">
        <w:rPr>
          <w:rFonts w:ascii="Calibri" w:eastAsia="Calibri" w:hAnsi="Calibri" w:cs="Calibri"/>
          <w:bCs/>
          <w:spacing w:val="-1"/>
        </w:rPr>
        <w:t>с</w:t>
      </w:r>
      <w:r w:rsidRPr="00CB7DDC">
        <w:rPr>
          <w:rFonts w:ascii="Calibri" w:eastAsia="Calibri" w:hAnsi="Calibri" w:cs="Calibri"/>
          <w:bCs/>
        </w:rPr>
        <w:t>лу</w:t>
      </w:r>
      <w:r w:rsidRPr="00CB7DDC">
        <w:rPr>
          <w:rFonts w:ascii="Calibri" w:eastAsia="Calibri" w:hAnsi="Calibri" w:cs="Calibri"/>
          <w:bCs/>
          <w:spacing w:val="-1"/>
        </w:rPr>
        <w:t>г</w:t>
      </w:r>
      <w:r w:rsidRPr="00CB7DDC">
        <w:rPr>
          <w:rFonts w:ascii="Calibri" w:eastAsia="Calibri" w:hAnsi="Calibri" w:cs="Calibri"/>
          <w:bCs/>
        </w:rPr>
        <w:t>и</w:t>
      </w:r>
      <w:r w:rsidRPr="00CB7DDC">
        <w:rPr>
          <w:rFonts w:ascii="Calibri" w:eastAsia="Calibri" w:hAnsi="Calibri" w:cs="Calibri"/>
          <w:bCs/>
          <w:spacing w:val="1"/>
        </w:rPr>
        <w:t xml:space="preserve"> </w:t>
      </w:r>
      <w:r w:rsidRPr="00CB7DDC">
        <w:rPr>
          <w:rFonts w:ascii="Calibri" w:eastAsia="Calibri" w:hAnsi="Calibri" w:cs="Calibri"/>
          <w:bCs/>
          <w:spacing w:val="-1"/>
        </w:rPr>
        <w:t>с</w:t>
      </w:r>
      <w:r w:rsidRPr="00CB7DDC">
        <w:rPr>
          <w:rFonts w:ascii="Calibri" w:eastAsia="Calibri" w:hAnsi="Calibri" w:cs="Calibri"/>
          <w:bCs/>
        </w:rPr>
        <w:t>е</w:t>
      </w:r>
      <w:r w:rsidRPr="00CB7DDC">
        <w:rPr>
          <w:rFonts w:ascii="Calibri" w:eastAsia="Calibri" w:hAnsi="Calibri" w:cs="Calibri"/>
          <w:bCs/>
          <w:spacing w:val="2"/>
        </w:rPr>
        <w:t xml:space="preserve"> </w:t>
      </w:r>
      <w:r w:rsidRPr="00CB7DDC">
        <w:rPr>
          <w:rFonts w:ascii="Calibri" w:eastAsia="Calibri" w:hAnsi="Calibri" w:cs="Calibri"/>
          <w:bCs/>
        </w:rPr>
        <w:t>о</w:t>
      </w:r>
      <w:r w:rsidRPr="00CB7DDC">
        <w:rPr>
          <w:rFonts w:ascii="Calibri" w:eastAsia="Calibri" w:hAnsi="Calibri" w:cs="Calibri"/>
          <w:bCs/>
          <w:spacing w:val="-1"/>
        </w:rPr>
        <w:t>с</w:t>
      </w:r>
      <w:r w:rsidRPr="00CB7DDC">
        <w:rPr>
          <w:rFonts w:ascii="Calibri" w:eastAsia="Calibri" w:hAnsi="Calibri" w:cs="Calibri"/>
          <w:bCs/>
          <w:spacing w:val="1"/>
        </w:rPr>
        <w:t>и</w:t>
      </w:r>
      <w:r w:rsidRPr="00CB7DDC">
        <w:rPr>
          <w:rFonts w:ascii="Calibri" w:eastAsia="Calibri" w:hAnsi="Calibri" w:cs="Calibri"/>
          <w:bCs/>
          <w:spacing w:val="-1"/>
        </w:rPr>
        <w:t>г</w:t>
      </w:r>
      <w:r w:rsidRPr="00CB7DDC">
        <w:rPr>
          <w:rFonts w:ascii="Calibri" w:eastAsia="Calibri" w:hAnsi="Calibri" w:cs="Calibri"/>
          <w:bCs/>
        </w:rPr>
        <w:t>у</w:t>
      </w:r>
      <w:r w:rsidRPr="00CB7DDC">
        <w:rPr>
          <w:rFonts w:ascii="Calibri" w:eastAsia="Calibri" w:hAnsi="Calibri" w:cs="Calibri"/>
          <w:bCs/>
          <w:spacing w:val="1"/>
        </w:rPr>
        <w:t>р</w:t>
      </w:r>
      <w:r w:rsidRPr="00CB7DDC">
        <w:rPr>
          <w:rFonts w:ascii="Calibri" w:eastAsia="Calibri" w:hAnsi="Calibri" w:cs="Calibri"/>
          <w:bCs/>
        </w:rPr>
        <w:t>яват</w:t>
      </w:r>
      <w:r w:rsidRPr="00CB7DDC">
        <w:rPr>
          <w:rFonts w:ascii="Calibri" w:eastAsia="Calibri" w:hAnsi="Calibri" w:cs="Calibri"/>
          <w:bCs/>
          <w:spacing w:val="2"/>
        </w:rPr>
        <w:t xml:space="preserve"> </w:t>
      </w:r>
      <w:r w:rsidRPr="00CB7DDC">
        <w:rPr>
          <w:rFonts w:ascii="Calibri" w:eastAsia="Calibri" w:hAnsi="Calibri" w:cs="Calibri"/>
          <w:bCs/>
        </w:rPr>
        <w:t>от</w:t>
      </w:r>
      <w:r w:rsidRPr="00CB7DDC">
        <w:rPr>
          <w:rFonts w:ascii="Calibri" w:eastAsia="Calibri" w:hAnsi="Calibri" w:cs="Calibri"/>
          <w:bCs/>
          <w:spacing w:val="3"/>
        </w:rPr>
        <w:t xml:space="preserve"> </w:t>
      </w:r>
      <w:r w:rsidRPr="00CB7DDC">
        <w:rPr>
          <w:rFonts w:ascii="Calibri" w:eastAsia="Calibri" w:hAnsi="Calibri" w:cs="Calibri"/>
          <w:bCs/>
        </w:rPr>
        <w:t>28</w:t>
      </w:r>
      <w:r w:rsidRPr="00CB7DDC">
        <w:rPr>
          <w:rFonts w:ascii="Calibri" w:eastAsia="Calibri" w:hAnsi="Calibri" w:cs="Calibri"/>
          <w:bCs/>
          <w:spacing w:val="1"/>
        </w:rPr>
        <w:t xml:space="preserve"> р</w:t>
      </w:r>
      <w:r w:rsidRPr="00CB7DDC">
        <w:rPr>
          <w:rFonts w:ascii="Calibri" w:eastAsia="Calibri" w:hAnsi="Calibri" w:cs="Calibri"/>
          <w:bCs/>
          <w:spacing w:val="-1"/>
        </w:rPr>
        <w:t>ег</w:t>
      </w:r>
      <w:r w:rsidRPr="00CB7DDC">
        <w:rPr>
          <w:rFonts w:ascii="Calibri" w:eastAsia="Calibri" w:hAnsi="Calibri" w:cs="Calibri"/>
          <w:bCs/>
          <w:spacing w:val="1"/>
        </w:rPr>
        <w:t>и</w:t>
      </w:r>
      <w:r w:rsidRPr="00CB7DDC">
        <w:rPr>
          <w:rFonts w:ascii="Calibri" w:eastAsia="Calibri" w:hAnsi="Calibri" w:cs="Calibri"/>
          <w:bCs/>
        </w:rPr>
        <w:t>о</w:t>
      </w:r>
      <w:r w:rsidRPr="00CB7DDC">
        <w:rPr>
          <w:rFonts w:ascii="Calibri" w:eastAsia="Calibri" w:hAnsi="Calibri" w:cs="Calibri"/>
          <w:bCs/>
          <w:spacing w:val="1"/>
        </w:rPr>
        <w:t>н</w:t>
      </w:r>
      <w:r w:rsidRPr="00CB7DDC">
        <w:rPr>
          <w:rFonts w:ascii="Calibri" w:eastAsia="Calibri" w:hAnsi="Calibri" w:cs="Calibri"/>
          <w:bCs/>
        </w:rPr>
        <w:t xml:space="preserve">ални </w:t>
      </w:r>
      <w:r w:rsidRPr="00CB7DDC">
        <w:rPr>
          <w:rFonts w:ascii="Calibri" w:eastAsia="Calibri" w:hAnsi="Calibri" w:cs="Calibri"/>
          <w:bCs/>
          <w:spacing w:val="1"/>
        </w:rPr>
        <w:t>к</w:t>
      </w:r>
      <w:r w:rsidRPr="00CB7DDC">
        <w:rPr>
          <w:rFonts w:ascii="Calibri" w:eastAsia="Calibri" w:hAnsi="Calibri" w:cs="Calibri"/>
          <w:bCs/>
        </w:rPr>
        <w:t>омунални</w:t>
      </w:r>
      <w:r w:rsidRPr="00CB7DDC">
        <w:rPr>
          <w:rFonts w:ascii="Calibri" w:eastAsia="Calibri" w:hAnsi="Calibri" w:cs="Calibri"/>
          <w:bCs/>
          <w:spacing w:val="1"/>
        </w:rPr>
        <w:t xml:space="preserve"> </w:t>
      </w:r>
      <w:r w:rsidRPr="00CB7DDC">
        <w:rPr>
          <w:rFonts w:ascii="Calibri" w:eastAsia="Calibri" w:hAnsi="Calibri" w:cs="Calibri"/>
          <w:bCs/>
          <w:spacing w:val="-1"/>
        </w:rPr>
        <w:t>п</w:t>
      </w:r>
      <w:r w:rsidRPr="00CB7DDC">
        <w:rPr>
          <w:rFonts w:ascii="Calibri" w:eastAsia="Calibri" w:hAnsi="Calibri" w:cs="Calibri"/>
          <w:bCs/>
          <w:spacing w:val="1"/>
        </w:rPr>
        <w:t>р</w:t>
      </w:r>
      <w:r w:rsidRPr="00CB7DDC">
        <w:rPr>
          <w:rFonts w:ascii="Calibri" w:eastAsia="Calibri" w:hAnsi="Calibri" w:cs="Calibri"/>
          <w:bCs/>
          <w:spacing w:val="-1"/>
        </w:rPr>
        <w:t>е</w:t>
      </w:r>
      <w:r w:rsidRPr="00CB7DDC">
        <w:rPr>
          <w:rFonts w:ascii="Calibri" w:eastAsia="Calibri" w:hAnsi="Calibri" w:cs="Calibri"/>
          <w:bCs/>
          <w:spacing w:val="1"/>
        </w:rPr>
        <w:t>дп</w:t>
      </w:r>
      <w:r w:rsidRPr="00CB7DDC">
        <w:rPr>
          <w:rFonts w:ascii="Calibri" w:eastAsia="Calibri" w:hAnsi="Calibri" w:cs="Calibri"/>
          <w:bCs/>
          <w:spacing w:val="-1"/>
        </w:rPr>
        <w:t>р</w:t>
      </w:r>
      <w:r w:rsidRPr="00CB7DDC">
        <w:rPr>
          <w:rFonts w:ascii="Calibri" w:eastAsia="Calibri" w:hAnsi="Calibri" w:cs="Calibri"/>
          <w:bCs/>
          <w:spacing w:val="1"/>
        </w:rPr>
        <w:t>и</w:t>
      </w:r>
      <w:r w:rsidRPr="00CB7DDC">
        <w:rPr>
          <w:rFonts w:ascii="Calibri" w:eastAsia="Calibri" w:hAnsi="Calibri" w:cs="Calibri"/>
          <w:bCs/>
        </w:rPr>
        <w:t>ятия</w:t>
      </w:r>
      <w:r w:rsidRPr="00CB7DDC">
        <w:rPr>
          <w:rFonts w:ascii="Calibri" w:eastAsia="Calibri" w:hAnsi="Calibri" w:cs="Calibri"/>
          <w:spacing w:val="3"/>
        </w:rPr>
        <w:t xml:space="preserve"> </w:t>
      </w:r>
      <w:r w:rsidRPr="00CB7DDC">
        <w:rPr>
          <w:rFonts w:ascii="Calibri" w:eastAsia="Calibri" w:hAnsi="Calibri" w:cs="Calibri"/>
          <w:bCs/>
          <w:spacing w:val="1"/>
        </w:rPr>
        <w:t>и</w:t>
      </w:r>
      <w:r w:rsidRPr="00CB7DDC">
        <w:rPr>
          <w:rFonts w:ascii="Calibri" w:eastAsia="Calibri" w:hAnsi="Calibri" w:cs="Calibri"/>
          <w:bCs/>
        </w:rPr>
        <w:t>ли</w:t>
      </w:r>
      <w:r w:rsidRPr="00CB7DDC">
        <w:rPr>
          <w:rFonts w:ascii="Calibri" w:eastAsia="Calibri" w:hAnsi="Calibri" w:cs="Calibri"/>
          <w:bCs/>
          <w:spacing w:val="1"/>
        </w:rPr>
        <w:t xml:space="preserve"> </w:t>
      </w:r>
      <w:r w:rsidRPr="00CB7DDC">
        <w:rPr>
          <w:rFonts w:ascii="Calibri" w:eastAsia="Calibri" w:hAnsi="Calibri" w:cs="Calibri"/>
          <w:bCs/>
        </w:rPr>
        <w:t>В</w:t>
      </w:r>
      <w:r w:rsidRPr="00CB7DDC">
        <w:rPr>
          <w:rFonts w:ascii="Calibri" w:eastAsia="Calibri" w:hAnsi="Calibri" w:cs="Calibri"/>
          <w:bCs/>
          <w:spacing w:val="-1"/>
        </w:rPr>
        <w:t>и</w:t>
      </w:r>
      <w:r w:rsidRPr="00CB7DDC">
        <w:rPr>
          <w:rFonts w:ascii="Calibri" w:eastAsia="Calibri" w:hAnsi="Calibri" w:cs="Calibri"/>
          <w:bCs/>
        </w:rPr>
        <w:t>К</w:t>
      </w:r>
      <w:r w:rsidRPr="00CB7DDC">
        <w:rPr>
          <w:rFonts w:ascii="Calibri" w:eastAsia="Calibri" w:hAnsi="Calibri" w:cs="Calibri"/>
          <w:bCs/>
          <w:spacing w:val="4"/>
        </w:rPr>
        <w:t xml:space="preserve"> </w:t>
      </w:r>
      <w:r w:rsidRPr="00CB7DDC">
        <w:rPr>
          <w:rFonts w:ascii="Calibri" w:eastAsia="Calibri" w:hAnsi="Calibri" w:cs="Calibri"/>
          <w:bCs/>
          <w:spacing w:val="-1"/>
        </w:rPr>
        <w:t>д</w:t>
      </w:r>
      <w:r w:rsidRPr="00CB7DDC">
        <w:rPr>
          <w:rFonts w:ascii="Calibri" w:eastAsia="Calibri" w:hAnsi="Calibri" w:cs="Calibri"/>
          <w:bCs/>
          <w:spacing w:val="1"/>
        </w:rPr>
        <w:t>р</w:t>
      </w:r>
      <w:r w:rsidRPr="00CB7DDC">
        <w:rPr>
          <w:rFonts w:ascii="Calibri" w:eastAsia="Calibri" w:hAnsi="Calibri" w:cs="Calibri"/>
          <w:bCs/>
        </w:rPr>
        <w:t>у</w:t>
      </w:r>
      <w:r w:rsidRPr="00CB7DDC">
        <w:rPr>
          <w:rFonts w:ascii="Calibri" w:eastAsia="Calibri" w:hAnsi="Calibri" w:cs="Calibri"/>
          <w:bCs/>
          <w:spacing w:val="-4"/>
        </w:rPr>
        <w:t>ж</w:t>
      </w:r>
      <w:r w:rsidRPr="00CB7DDC">
        <w:rPr>
          <w:rFonts w:ascii="Calibri" w:eastAsia="Calibri" w:hAnsi="Calibri" w:cs="Calibri"/>
          <w:bCs/>
          <w:spacing w:val="-1"/>
        </w:rPr>
        <w:t>е</w:t>
      </w:r>
      <w:r w:rsidRPr="00CB7DDC">
        <w:rPr>
          <w:rFonts w:ascii="Calibri" w:eastAsia="Calibri" w:hAnsi="Calibri" w:cs="Calibri"/>
          <w:bCs/>
          <w:spacing w:val="1"/>
        </w:rPr>
        <w:t>с</w:t>
      </w:r>
      <w:r w:rsidRPr="00CB7DDC">
        <w:rPr>
          <w:rFonts w:ascii="Calibri" w:eastAsia="Calibri" w:hAnsi="Calibri" w:cs="Calibri"/>
          <w:bCs/>
          <w:spacing w:val="2"/>
        </w:rPr>
        <w:t>т</w:t>
      </w:r>
      <w:r w:rsidRPr="00CB7DDC">
        <w:rPr>
          <w:rFonts w:ascii="Calibri" w:eastAsia="Calibri" w:hAnsi="Calibri" w:cs="Calibri"/>
          <w:bCs/>
        </w:rPr>
        <w:t>ва и</w:t>
      </w:r>
      <w:r w:rsidRPr="00CB7DDC">
        <w:rPr>
          <w:rFonts w:ascii="Calibri" w:eastAsia="Calibri" w:hAnsi="Calibri" w:cs="Calibri"/>
          <w:bCs/>
          <w:spacing w:val="3"/>
        </w:rPr>
        <w:t xml:space="preserve"> </w:t>
      </w:r>
      <w:r w:rsidRPr="00CB7DDC">
        <w:rPr>
          <w:rFonts w:ascii="Calibri" w:eastAsia="Calibri" w:hAnsi="Calibri" w:cs="Calibri"/>
          <w:bCs/>
          <w:spacing w:val="-1"/>
        </w:rPr>
        <w:t>ед</w:t>
      </w:r>
      <w:r w:rsidRPr="00CB7DDC">
        <w:rPr>
          <w:rFonts w:ascii="Calibri" w:eastAsia="Calibri" w:hAnsi="Calibri" w:cs="Calibri"/>
          <w:bCs/>
          <w:spacing w:val="1"/>
        </w:rPr>
        <w:t>н</w:t>
      </w:r>
      <w:r w:rsidRPr="00CB7DDC">
        <w:rPr>
          <w:rFonts w:ascii="Calibri" w:eastAsia="Calibri" w:hAnsi="Calibri" w:cs="Calibri"/>
          <w:bCs/>
        </w:rPr>
        <w:t>о</w:t>
      </w:r>
      <w:r w:rsidRPr="00CB7DDC">
        <w:rPr>
          <w:rFonts w:ascii="Calibri" w:eastAsia="Calibri" w:hAnsi="Calibri" w:cs="Calibri"/>
          <w:bCs/>
          <w:spacing w:val="3"/>
        </w:rPr>
        <w:t xml:space="preserve"> </w:t>
      </w:r>
      <w:r w:rsidRPr="00CB7DDC">
        <w:rPr>
          <w:rFonts w:ascii="Calibri" w:eastAsia="Calibri" w:hAnsi="Calibri" w:cs="Calibri"/>
          <w:bCs/>
        </w:rPr>
        <w:t>об</w:t>
      </w:r>
      <w:r w:rsidRPr="00CB7DDC">
        <w:rPr>
          <w:rFonts w:ascii="Calibri" w:eastAsia="Calibri" w:hAnsi="Calibri" w:cs="Calibri"/>
          <w:bCs/>
          <w:spacing w:val="-6"/>
        </w:rPr>
        <w:t>щ</w:t>
      </w:r>
      <w:r w:rsidRPr="00CB7DDC">
        <w:rPr>
          <w:rFonts w:ascii="Calibri" w:eastAsia="Calibri" w:hAnsi="Calibri" w:cs="Calibri"/>
          <w:bCs/>
          <w:spacing w:val="1"/>
        </w:rPr>
        <w:t>ин</w:t>
      </w:r>
      <w:r w:rsidRPr="00CB7DDC">
        <w:rPr>
          <w:rFonts w:ascii="Calibri" w:eastAsia="Calibri" w:hAnsi="Calibri" w:cs="Calibri"/>
          <w:bCs/>
          <w:spacing w:val="-1"/>
        </w:rPr>
        <w:t>с</w:t>
      </w:r>
      <w:r w:rsidRPr="00CB7DDC">
        <w:rPr>
          <w:rFonts w:ascii="Calibri" w:eastAsia="Calibri" w:hAnsi="Calibri" w:cs="Calibri"/>
          <w:bCs/>
          <w:spacing w:val="1"/>
        </w:rPr>
        <w:t>к</w:t>
      </w:r>
      <w:r w:rsidRPr="00CB7DDC">
        <w:rPr>
          <w:rFonts w:ascii="Calibri" w:eastAsia="Calibri" w:hAnsi="Calibri" w:cs="Calibri"/>
          <w:bCs/>
        </w:rPr>
        <w:t>о</w:t>
      </w:r>
      <w:r w:rsidRPr="00CB7DDC">
        <w:rPr>
          <w:rFonts w:ascii="Calibri" w:eastAsia="Calibri" w:hAnsi="Calibri" w:cs="Calibri"/>
          <w:bCs/>
          <w:spacing w:val="3"/>
        </w:rPr>
        <w:t xml:space="preserve"> </w:t>
      </w:r>
      <w:r w:rsidRPr="00CB7DDC">
        <w:rPr>
          <w:rFonts w:ascii="Calibri" w:eastAsia="Calibri" w:hAnsi="Calibri" w:cs="Calibri"/>
          <w:bCs/>
        </w:rPr>
        <w:t>В</w:t>
      </w:r>
      <w:r w:rsidRPr="00CB7DDC">
        <w:rPr>
          <w:rFonts w:ascii="Calibri" w:eastAsia="Calibri" w:hAnsi="Calibri" w:cs="Calibri"/>
          <w:bCs/>
          <w:spacing w:val="1"/>
        </w:rPr>
        <w:t>и</w:t>
      </w:r>
      <w:r w:rsidRPr="00CB7DDC">
        <w:rPr>
          <w:rFonts w:ascii="Calibri" w:eastAsia="Calibri" w:hAnsi="Calibri" w:cs="Calibri"/>
          <w:bCs/>
        </w:rPr>
        <w:t>К</w:t>
      </w:r>
      <w:r w:rsidRPr="00CB7DDC">
        <w:rPr>
          <w:rFonts w:ascii="Calibri" w:eastAsia="Calibri" w:hAnsi="Calibri" w:cs="Calibri"/>
          <w:bCs/>
          <w:spacing w:val="2"/>
        </w:rPr>
        <w:t xml:space="preserve"> </w:t>
      </w:r>
      <w:r w:rsidRPr="00CB7DDC">
        <w:rPr>
          <w:rFonts w:ascii="Calibri" w:eastAsia="Calibri" w:hAnsi="Calibri" w:cs="Calibri"/>
          <w:bCs/>
          <w:spacing w:val="1"/>
        </w:rPr>
        <w:t>др</w:t>
      </w:r>
      <w:r w:rsidRPr="00CB7DDC">
        <w:rPr>
          <w:rFonts w:ascii="Calibri" w:eastAsia="Calibri" w:hAnsi="Calibri" w:cs="Calibri"/>
          <w:bCs/>
        </w:rPr>
        <w:t>у</w:t>
      </w:r>
      <w:r w:rsidRPr="00CB7DDC">
        <w:rPr>
          <w:rFonts w:ascii="Calibri" w:eastAsia="Calibri" w:hAnsi="Calibri" w:cs="Calibri"/>
          <w:bCs/>
          <w:spacing w:val="-4"/>
        </w:rPr>
        <w:t>ж</w:t>
      </w:r>
      <w:r w:rsidRPr="00CB7DDC">
        <w:rPr>
          <w:rFonts w:ascii="Calibri" w:eastAsia="Calibri" w:hAnsi="Calibri" w:cs="Calibri"/>
          <w:bCs/>
          <w:spacing w:val="-1"/>
        </w:rPr>
        <w:t>ес</w:t>
      </w:r>
      <w:r w:rsidRPr="00CB7DDC">
        <w:rPr>
          <w:rFonts w:ascii="Calibri" w:eastAsia="Calibri" w:hAnsi="Calibri" w:cs="Calibri"/>
          <w:bCs/>
          <w:spacing w:val="2"/>
        </w:rPr>
        <w:t>т</w:t>
      </w:r>
      <w:r w:rsidRPr="00CB7DDC">
        <w:rPr>
          <w:rFonts w:ascii="Calibri" w:eastAsia="Calibri" w:hAnsi="Calibri" w:cs="Calibri"/>
          <w:bCs/>
        </w:rPr>
        <w:t>во</w:t>
      </w:r>
      <w:r w:rsidRPr="00CB7DDC">
        <w:rPr>
          <w:rFonts w:ascii="Calibri" w:eastAsia="Calibri" w:hAnsi="Calibri" w:cs="Calibri"/>
          <w:bCs/>
          <w:spacing w:val="3"/>
        </w:rPr>
        <w:t xml:space="preserve"> </w:t>
      </w:r>
      <w:r w:rsidRPr="00CB7DDC">
        <w:rPr>
          <w:rFonts w:ascii="Calibri" w:eastAsia="Calibri" w:hAnsi="Calibri" w:cs="Calibri"/>
          <w:bCs/>
        </w:rPr>
        <w:t>(в Со</w:t>
      </w:r>
      <w:r w:rsidRPr="00CB7DDC">
        <w:rPr>
          <w:rFonts w:ascii="Calibri" w:eastAsia="Calibri" w:hAnsi="Calibri" w:cs="Calibri"/>
          <w:bCs/>
          <w:spacing w:val="-3"/>
        </w:rPr>
        <w:t>ф</w:t>
      </w:r>
      <w:r w:rsidRPr="00CB7DDC">
        <w:rPr>
          <w:rFonts w:ascii="Calibri" w:eastAsia="Calibri" w:hAnsi="Calibri" w:cs="Calibri"/>
          <w:bCs/>
          <w:spacing w:val="1"/>
        </w:rPr>
        <w:t>и</w:t>
      </w:r>
      <w:r w:rsidRPr="00CB7DDC">
        <w:rPr>
          <w:rFonts w:ascii="Calibri" w:eastAsia="Calibri" w:hAnsi="Calibri" w:cs="Calibri"/>
          <w:bCs/>
        </w:rPr>
        <w:t>я</w:t>
      </w:r>
      <w:r w:rsidRPr="00CB7DDC">
        <w:rPr>
          <w:rFonts w:ascii="Calibri" w:eastAsia="Calibri" w:hAnsi="Calibri" w:cs="Calibri"/>
          <w:bCs/>
          <w:spacing w:val="-1"/>
        </w:rPr>
        <w:t>)</w:t>
      </w:r>
      <w:r w:rsidRPr="00CB7DDC">
        <w:rPr>
          <w:rFonts w:ascii="Calibri" w:eastAsia="Calibri" w:hAnsi="Calibri" w:cs="Calibri"/>
          <w:bCs/>
        </w:rPr>
        <w:t>.</w:t>
      </w:r>
      <w:r w:rsidRPr="00CB7DDC">
        <w:rPr>
          <w:rFonts w:ascii="Calibri" w:eastAsia="Calibri" w:hAnsi="Calibri" w:cs="Calibri"/>
          <w:b/>
          <w:bCs/>
          <w:spacing w:val="4"/>
        </w:rPr>
        <w:t xml:space="preserve"> </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spacing w:val="2"/>
        </w:rPr>
        <w:t>х</w:t>
      </w:r>
      <w:r w:rsidRPr="00CB7DDC">
        <w:rPr>
          <w:rFonts w:ascii="Calibri" w:eastAsia="Calibri" w:hAnsi="Calibri" w:cs="Calibri"/>
          <w:spacing w:val="1"/>
        </w:rPr>
        <w:t>ни</w:t>
      </w:r>
      <w:r w:rsidRPr="00CB7DDC">
        <w:rPr>
          <w:rFonts w:ascii="Calibri" w:eastAsia="Calibri" w:hAnsi="Calibri" w:cs="Calibri"/>
        </w:rPr>
        <w:t>ят</w:t>
      </w:r>
      <w:r w:rsidRPr="00CB7DDC">
        <w:rPr>
          <w:rFonts w:ascii="Calibri" w:eastAsia="Calibri" w:hAnsi="Calibri" w:cs="Calibri"/>
          <w:spacing w:val="2"/>
        </w:rPr>
        <w:t xml:space="preserve"> </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р</w:t>
      </w:r>
      <w:r w:rsidRPr="00CB7DDC">
        <w:rPr>
          <w:rFonts w:ascii="Calibri" w:eastAsia="Calibri" w:hAnsi="Calibri" w:cs="Calibri"/>
          <w:spacing w:val="1"/>
        </w:rPr>
        <w:t>и</w:t>
      </w:r>
      <w:r w:rsidRPr="00CB7DDC">
        <w:rPr>
          <w:rFonts w:ascii="Calibri" w:eastAsia="Calibri" w:hAnsi="Calibri" w:cs="Calibri"/>
        </w:rPr>
        <w:t>тор</w:t>
      </w:r>
      <w:r w:rsidRPr="00CB7DDC">
        <w:rPr>
          <w:rFonts w:ascii="Calibri" w:eastAsia="Calibri" w:hAnsi="Calibri" w:cs="Calibri"/>
          <w:spacing w:val="1"/>
        </w:rPr>
        <w:t>и</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е</w:t>
      </w:r>
      <w:r w:rsidRPr="00CB7DDC">
        <w:rPr>
          <w:rFonts w:ascii="Calibri" w:eastAsia="Calibri" w:hAnsi="Calibri" w:cs="Calibri"/>
        </w:rPr>
        <w:t>н</w:t>
      </w:r>
      <w:r w:rsidRPr="00CB7DDC">
        <w:rPr>
          <w:rFonts w:ascii="Calibri" w:eastAsia="Calibri" w:hAnsi="Calibri" w:cs="Calibri"/>
          <w:spacing w:val="2"/>
        </w:rPr>
        <w:t xml:space="preserve"> </w:t>
      </w:r>
      <w:r w:rsidRPr="00CB7DDC">
        <w:rPr>
          <w:rFonts w:ascii="Calibri" w:eastAsia="Calibri" w:hAnsi="Calibri" w:cs="Calibri"/>
        </w:rPr>
        <w:t>о</w:t>
      </w:r>
      <w:r w:rsidRPr="00CB7DDC">
        <w:rPr>
          <w:rFonts w:ascii="Calibri" w:eastAsia="Calibri" w:hAnsi="Calibri" w:cs="Calibri"/>
          <w:spacing w:val="-2"/>
        </w:rPr>
        <w:t>б</w:t>
      </w:r>
      <w:r w:rsidRPr="00CB7DDC">
        <w:rPr>
          <w:rFonts w:ascii="Calibri" w:eastAsia="Calibri" w:hAnsi="Calibri" w:cs="Calibri"/>
          <w:spacing w:val="2"/>
        </w:rPr>
        <w:t>х</w:t>
      </w:r>
      <w:r w:rsidRPr="00CB7DDC">
        <w:rPr>
          <w:rFonts w:ascii="Calibri" w:eastAsia="Calibri" w:hAnsi="Calibri" w:cs="Calibri"/>
        </w:rPr>
        <w:t>в</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rPr>
        <w:t>ъв</w:t>
      </w:r>
      <w:r w:rsidRPr="00CB7DDC">
        <w:rPr>
          <w:rFonts w:ascii="Calibri" w:eastAsia="Calibri" w:hAnsi="Calibri" w:cs="Calibri"/>
          <w:spacing w:val="1"/>
        </w:rPr>
        <w:t>п</w:t>
      </w:r>
      <w:r w:rsidRPr="00CB7DDC">
        <w:rPr>
          <w:rFonts w:ascii="Calibri" w:eastAsia="Calibri" w:hAnsi="Calibri" w:cs="Calibri"/>
          <w:spacing w:val="-1"/>
        </w:rPr>
        <w:t>а</w:t>
      </w:r>
      <w:r w:rsidRPr="00CB7DDC">
        <w:rPr>
          <w:rFonts w:ascii="Calibri" w:eastAsia="Calibri" w:hAnsi="Calibri" w:cs="Calibri"/>
        </w:rPr>
        <w:t>да</w:t>
      </w:r>
      <w:r w:rsidRPr="00CB7DDC">
        <w:rPr>
          <w:rFonts w:ascii="Calibri" w:eastAsia="Calibri" w:hAnsi="Calibri" w:cs="Calibri"/>
          <w:spacing w:val="1"/>
        </w:rPr>
        <w:t xml:space="preserve"> </w:t>
      </w:r>
      <w:r w:rsidRPr="00CB7DDC">
        <w:rPr>
          <w:rFonts w:ascii="Calibri" w:eastAsia="Calibri" w:hAnsi="Calibri" w:cs="Calibri"/>
        </w:rPr>
        <w:t xml:space="preserve">с </w:t>
      </w:r>
      <w:r w:rsidRPr="00CB7DDC">
        <w:rPr>
          <w:rFonts w:ascii="Calibri" w:eastAsia="Calibri" w:hAnsi="Calibri" w:cs="Calibri"/>
          <w:spacing w:val="2"/>
        </w:rPr>
        <w:t>р</w:t>
      </w:r>
      <w:r w:rsidRPr="00CB7DDC">
        <w:rPr>
          <w:rFonts w:ascii="Calibri" w:eastAsia="Calibri" w:hAnsi="Calibri" w:cs="Calibri"/>
          <w:spacing w:val="-1"/>
        </w:rPr>
        <w:t>а</w:t>
      </w:r>
      <w:r w:rsidRPr="00CB7DDC">
        <w:rPr>
          <w:rFonts w:ascii="Calibri" w:eastAsia="Calibri" w:hAnsi="Calibri" w:cs="Calibri"/>
          <w:spacing w:val="1"/>
        </w:rPr>
        <w:t>з</w:t>
      </w:r>
      <w:r w:rsidRPr="00CB7DDC">
        <w:rPr>
          <w:rFonts w:ascii="Calibri" w:eastAsia="Calibri" w:hAnsi="Calibri" w:cs="Calibri"/>
        </w:rPr>
        <w:t>д</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е</w:t>
      </w:r>
      <w:r w:rsidRPr="00CB7DDC">
        <w:rPr>
          <w:rFonts w:ascii="Calibri" w:eastAsia="Calibri" w:hAnsi="Calibri" w:cs="Calibri"/>
          <w:spacing w:val="1"/>
        </w:rPr>
        <w:t>ни</w:t>
      </w:r>
      <w:r w:rsidRPr="00CB7DDC">
        <w:rPr>
          <w:rFonts w:ascii="Calibri" w:eastAsia="Calibri" w:hAnsi="Calibri" w:cs="Calibri"/>
          <w:spacing w:val="-1"/>
        </w:rPr>
        <w:t>е</w:t>
      </w:r>
      <w:r w:rsidRPr="00CB7DDC">
        <w:rPr>
          <w:rFonts w:ascii="Calibri" w:eastAsia="Calibri" w:hAnsi="Calibri" w:cs="Calibri"/>
        </w:rPr>
        <w:t>то</w:t>
      </w:r>
      <w:r w:rsidRPr="00CB7DDC">
        <w:rPr>
          <w:rFonts w:ascii="Calibri" w:eastAsia="Calibri" w:hAnsi="Calibri" w:cs="Calibri"/>
          <w:spacing w:val="1"/>
        </w:rPr>
        <w:t xml:space="preserve"> н</w:t>
      </w:r>
      <w:r w:rsidRPr="00CB7DDC">
        <w:rPr>
          <w:rFonts w:ascii="Calibri" w:eastAsia="Calibri" w:hAnsi="Calibri" w:cs="Calibri"/>
        </w:rPr>
        <w:t xml:space="preserve">а </w:t>
      </w:r>
      <w:r w:rsidRPr="00CB7DDC">
        <w:rPr>
          <w:rFonts w:ascii="Calibri" w:eastAsia="Calibri" w:hAnsi="Calibri" w:cs="Calibri"/>
          <w:spacing w:val="-1"/>
        </w:rPr>
        <w:t>с</w:t>
      </w:r>
      <w:r w:rsidRPr="00CB7DDC">
        <w:rPr>
          <w:rFonts w:ascii="Calibri" w:eastAsia="Calibri" w:hAnsi="Calibri" w:cs="Calibri"/>
        </w:rPr>
        <w:t>тр</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 xml:space="preserve">та </w:t>
      </w:r>
      <w:r w:rsidRPr="00CB7DDC">
        <w:rPr>
          <w:rFonts w:ascii="Calibri" w:eastAsia="Calibri" w:hAnsi="Calibri" w:cs="Calibri"/>
          <w:spacing w:val="10"/>
        </w:rPr>
        <w:t>н</w:t>
      </w:r>
      <w:r w:rsidRPr="00CB7DDC">
        <w:rPr>
          <w:rFonts w:ascii="Calibri" w:eastAsia="Calibri" w:hAnsi="Calibri" w:cs="Calibri"/>
        </w:rPr>
        <w:t>а</w:t>
      </w:r>
      <w:r w:rsidRPr="00CB7DDC">
        <w:rPr>
          <w:rFonts w:ascii="Calibri" w:eastAsia="Calibri" w:hAnsi="Calibri" w:cs="Calibri"/>
          <w:spacing w:val="3"/>
        </w:rPr>
        <w:t xml:space="preserve"> </w:t>
      </w:r>
      <w:r w:rsidRPr="00CB7DDC">
        <w:rPr>
          <w:rFonts w:ascii="Calibri" w:eastAsia="Calibri" w:hAnsi="Calibri" w:cs="Calibri"/>
        </w:rPr>
        <w:t xml:space="preserve">28 </w:t>
      </w:r>
      <w:r w:rsidRPr="00CB7DDC">
        <w:rPr>
          <w:rFonts w:ascii="Calibri" w:eastAsia="Calibri" w:hAnsi="Calibri" w:cs="Calibri"/>
          <w:spacing w:val="-1"/>
        </w:rPr>
        <w:t>а</w:t>
      </w:r>
      <w:r w:rsidRPr="00CB7DDC">
        <w:rPr>
          <w:rFonts w:ascii="Calibri" w:eastAsia="Calibri" w:hAnsi="Calibri" w:cs="Calibri"/>
        </w:rPr>
        <w:t>дми</w:t>
      </w:r>
      <w:r w:rsidRPr="00CB7DDC">
        <w:rPr>
          <w:rFonts w:ascii="Calibri" w:eastAsia="Calibri" w:hAnsi="Calibri" w:cs="Calibri"/>
          <w:spacing w:val="2"/>
        </w:rPr>
        <w:t>н</w:t>
      </w:r>
      <w:r w:rsidRPr="00CB7DDC">
        <w:rPr>
          <w:rFonts w:ascii="Calibri" w:eastAsia="Calibri" w:hAnsi="Calibri" w:cs="Calibri"/>
          <w:spacing w:val="1"/>
        </w:rPr>
        <w:t>и</w:t>
      </w:r>
      <w:r w:rsidRPr="00CB7DDC">
        <w:rPr>
          <w:rFonts w:ascii="Calibri" w:eastAsia="Calibri" w:hAnsi="Calibri" w:cs="Calibri"/>
          <w:spacing w:val="-1"/>
        </w:rPr>
        <w:t>с</w:t>
      </w:r>
      <w:r w:rsidRPr="00CB7DDC">
        <w:rPr>
          <w:rFonts w:ascii="Calibri" w:eastAsia="Calibri" w:hAnsi="Calibri" w:cs="Calibri"/>
        </w:rPr>
        <w:t>тр</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и</w:t>
      </w:r>
      <w:r w:rsidRPr="00CB7DDC">
        <w:rPr>
          <w:rFonts w:ascii="Calibri" w:eastAsia="Calibri" w:hAnsi="Calibri" w:cs="Calibri"/>
        </w:rPr>
        <w:t>в</w:t>
      </w:r>
      <w:r w:rsidRPr="00CB7DDC">
        <w:rPr>
          <w:rFonts w:ascii="Calibri" w:eastAsia="Calibri" w:hAnsi="Calibri" w:cs="Calibri"/>
          <w:spacing w:val="-2"/>
        </w:rPr>
        <w:t>н</w:t>
      </w:r>
      <w:r w:rsidRPr="00CB7DDC">
        <w:rPr>
          <w:rFonts w:ascii="Calibri" w:eastAsia="Calibri" w:hAnsi="Calibri" w:cs="Calibri"/>
        </w:rPr>
        <w:t>и</w:t>
      </w:r>
      <w:r w:rsidRPr="00CB7DDC">
        <w:rPr>
          <w:rFonts w:ascii="Calibri" w:eastAsia="Calibri" w:hAnsi="Calibri" w:cs="Calibri"/>
          <w:spacing w:val="30"/>
        </w:rPr>
        <w:t xml:space="preserve"> </w:t>
      </w:r>
      <w:r w:rsidRPr="00CB7DDC">
        <w:rPr>
          <w:rFonts w:ascii="Calibri" w:eastAsia="Calibri" w:hAnsi="Calibri" w:cs="Calibri"/>
        </w:rPr>
        <w:t>обл</w:t>
      </w:r>
      <w:r w:rsidRPr="00CB7DDC">
        <w:rPr>
          <w:rFonts w:ascii="Calibri" w:eastAsia="Calibri" w:hAnsi="Calibri" w:cs="Calibri"/>
          <w:spacing w:val="-3"/>
        </w:rPr>
        <w:t>а</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1"/>
        </w:rPr>
        <w:t>и</w:t>
      </w:r>
      <w:r w:rsidRPr="00CB7DDC">
        <w:rPr>
          <w:rFonts w:ascii="Calibri" w:eastAsia="Calibri" w:hAnsi="Calibri" w:cs="Calibri"/>
        </w:rPr>
        <w:t xml:space="preserve">. </w:t>
      </w:r>
      <w:r w:rsidRPr="00CB7DDC">
        <w:rPr>
          <w:rFonts w:ascii="Calibri" w:eastAsia="Calibri" w:hAnsi="Calibri" w:cs="Calibri"/>
          <w:spacing w:val="-2"/>
        </w:rPr>
        <w:t>В</w:t>
      </w:r>
      <w:r w:rsidRPr="00CB7DDC">
        <w:rPr>
          <w:rFonts w:ascii="Calibri" w:eastAsia="Calibri" w:hAnsi="Calibri" w:cs="Calibri"/>
          <w:spacing w:val="-1"/>
        </w:rPr>
        <w:t>с</w:t>
      </w:r>
      <w:r w:rsidRPr="00CB7DDC">
        <w:rPr>
          <w:rFonts w:ascii="Calibri" w:eastAsia="Calibri" w:hAnsi="Calibri" w:cs="Calibri"/>
          <w:spacing w:val="1"/>
        </w:rPr>
        <w:t>и</w:t>
      </w:r>
      <w:r w:rsidRPr="00CB7DDC">
        <w:rPr>
          <w:rFonts w:ascii="Calibri" w:eastAsia="Calibri" w:hAnsi="Calibri" w:cs="Calibri"/>
          <w:spacing w:val="-1"/>
        </w:rPr>
        <w:t>ч</w:t>
      </w:r>
      <w:r w:rsidRPr="00CB7DDC">
        <w:rPr>
          <w:rFonts w:ascii="Calibri" w:eastAsia="Calibri" w:hAnsi="Calibri" w:cs="Calibri"/>
          <w:spacing w:val="1"/>
        </w:rPr>
        <w:t>к</w:t>
      </w:r>
      <w:r w:rsidRPr="00CB7DDC">
        <w:rPr>
          <w:rFonts w:ascii="Calibri" w:eastAsia="Calibri" w:hAnsi="Calibri" w:cs="Calibri"/>
        </w:rPr>
        <w:t>и</w:t>
      </w:r>
      <w:r w:rsidRPr="00CB7DDC">
        <w:rPr>
          <w:rFonts w:ascii="Calibri" w:eastAsia="Calibri" w:hAnsi="Calibri" w:cs="Calibri"/>
          <w:spacing w:val="30"/>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29"/>
        </w:rPr>
        <w:t xml:space="preserve">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и</w:t>
      </w:r>
      <w:r w:rsidRPr="00CB7DDC">
        <w:rPr>
          <w:rFonts w:ascii="Calibri" w:eastAsia="Calibri" w:hAnsi="Calibri" w:cs="Calibri"/>
        </w:rPr>
        <w:t>я</w:t>
      </w:r>
      <w:r w:rsidRPr="00CB7DDC">
        <w:rPr>
          <w:rFonts w:ascii="Calibri" w:eastAsia="Calibri" w:hAnsi="Calibri" w:cs="Calibri"/>
          <w:spacing w:val="-2"/>
        </w:rPr>
        <w:t>т</w:t>
      </w:r>
      <w:r w:rsidRPr="00CB7DDC">
        <w:rPr>
          <w:rFonts w:ascii="Calibri" w:eastAsia="Calibri" w:hAnsi="Calibri" w:cs="Calibri"/>
          <w:spacing w:val="1"/>
        </w:rPr>
        <w:t>и</w:t>
      </w:r>
      <w:r w:rsidRPr="00CB7DDC">
        <w:rPr>
          <w:rFonts w:ascii="Calibri" w:eastAsia="Calibri" w:hAnsi="Calibri" w:cs="Calibri"/>
        </w:rPr>
        <w:t>я</w:t>
      </w:r>
      <w:r w:rsidRPr="00CB7DDC">
        <w:rPr>
          <w:rFonts w:ascii="Calibri" w:eastAsia="Calibri" w:hAnsi="Calibri" w:cs="Calibri"/>
          <w:spacing w:val="29"/>
        </w:rPr>
        <w:t xml:space="preserve"> </w:t>
      </w:r>
      <w:r w:rsidRPr="00CB7DDC">
        <w:rPr>
          <w:rFonts w:ascii="Calibri" w:eastAsia="Calibri" w:hAnsi="Calibri" w:cs="Calibri"/>
          <w:spacing w:val="-1"/>
        </w:rPr>
        <w:t>с</w:t>
      </w:r>
      <w:r w:rsidRPr="00CB7DDC">
        <w:rPr>
          <w:rFonts w:ascii="Calibri" w:eastAsia="Calibri" w:hAnsi="Calibri" w:cs="Calibri"/>
        </w:rPr>
        <w:t>а</w:t>
      </w:r>
      <w:r w:rsidRPr="00CB7DDC">
        <w:rPr>
          <w:rFonts w:ascii="Calibri" w:eastAsia="Calibri" w:hAnsi="Calibri" w:cs="Calibri"/>
          <w:spacing w:val="28"/>
        </w:rPr>
        <w:t xml:space="preserve"> </w:t>
      </w:r>
      <w:r w:rsidRPr="00CB7DDC">
        <w:rPr>
          <w:rFonts w:ascii="Calibri" w:eastAsia="Calibri" w:hAnsi="Calibri" w:cs="Calibri"/>
        </w:rPr>
        <w:t>100%</w:t>
      </w:r>
      <w:r w:rsidRPr="00CB7DDC">
        <w:rPr>
          <w:rFonts w:ascii="Calibri" w:eastAsia="Calibri" w:hAnsi="Calibri" w:cs="Calibri"/>
          <w:spacing w:val="28"/>
        </w:rPr>
        <w:t xml:space="preserve"> </w:t>
      </w:r>
      <w:r w:rsidRPr="00CB7DDC">
        <w:rPr>
          <w:rFonts w:ascii="Calibri" w:eastAsia="Calibri" w:hAnsi="Calibri" w:cs="Calibri"/>
        </w:rPr>
        <w:t>д</w:t>
      </w:r>
      <w:r w:rsidRPr="00CB7DDC">
        <w:rPr>
          <w:rFonts w:ascii="Calibri" w:eastAsia="Calibri" w:hAnsi="Calibri" w:cs="Calibri"/>
          <w:spacing w:val="1"/>
        </w:rPr>
        <w:t>ъ</w:t>
      </w:r>
      <w:r w:rsidRPr="00CB7DDC">
        <w:rPr>
          <w:rFonts w:ascii="Calibri" w:eastAsia="Calibri" w:hAnsi="Calibri" w:cs="Calibri"/>
        </w:rPr>
        <w:t>рж</w:t>
      </w:r>
      <w:r w:rsidRPr="00CB7DDC">
        <w:rPr>
          <w:rFonts w:ascii="Calibri" w:eastAsia="Calibri" w:hAnsi="Calibri" w:cs="Calibri"/>
          <w:spacing w:val="-1"/>
        </w:rPr>
        <w:t>а</w:t>
      </w:r>
      <w:r w:rsidRPr="00CB7DDC">
        <w:rPr>
          <w:rFonts w:ascii="Calibri" w:eastAsia="Calibri" w:hAnsi="Calibri" w:cs="Calibri"/>
        </w:rPr>
        <w:t>вна</w:t>
      </w:r>
      <w:r w:rsidRPr="00CB7DDC">
        <w:rPr>
          <w:rFonts w:ascii="Calibri" w:eastAsia="Calibri" w:hAnsi="Calibri" w:cs="Calibri"/>
          <w:spacing w:val="28"/>
        </w:rPr>
        <w:t xml:space="preserve"> </w:t>
      </w:r>
      <w:r w:rsidRPr="00CB7DDC">
        <w:rPr>
          <w:rFonts w:ascii="Calibri" w:eastAsia="Calibri" w:hAnsi="Calibri" w:cs="Calibri"/>
          <w:spacing w:val="-1"/>
        </w:rPr>
        <w:t>с</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2"/>
        </w:rPr>
        <w:t>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29"/>
        </w:rPr>
        <w:t xml:space="preserve"> </w:t>
      </w:r>
      <w:r w:rsidRPr="00CB7DDC">
        <w:rPr>
          <w:rFonts w:ascii="Calibri" w:eastAsia="Calibri" w:hAnsi="Calibri" w:cs="Calibri"/>
        </w:rPr>
        <w:t xml:space="preserve">с </w:t>
      </w:r>
      <w:r w:rsidRPr="00CB7DDC">
        <w:rPr>
          <w:rFonts w:ascii="Calibri" w:eastAsia="Calibri" w:hAnsi="Calibri" w:cs="Calibri"/>
          <w:spacing w:val="1"/>
        </w:rPr>
        <w:t>изк</w:t>
      </w:r>
      <w:r w:rsidRPr="00CB7DDC">
        <w:rPr>
          <w:rFonts w:ascii="Calibri" w:eastAsia="Calibri" w:hAnsi="Calibri" w:cs="Calibri"/>
          <w:spacing w:val="-2"/>
        </w:rPr>
        <w:t>л</w:t>
      </w:r>
      <w:r w:rsidRPr="00CB7DDC">
        <w:rPr>
          <w:rFonts w:ascii="Calibri" w:eastAsia="Calibri" w:hAnsi="Calibri" w:cs="Calibri"/>
        </w:rPr>
        <w:t>ю</w:t>
      </w:r>
      <w:r w:rsidRPr="00CB7DDC">
        <w:rPr>
          <w:rFonts w:ascii="Calibri" w:eastAsia="Calibri" w:hAnsi="Calibri" w:cs="Calibri"/>
          <w:spacing w:val="-1"/>
        </w:rPr>
        <w:t>че</w:t>
      </w:r>
      <w:r w:rsidRPr="00CB7DDC">
        <w:rPr>
          <w:rFonts w:ascii="Calibri" w:eastAsia="Calibri" w:hAnsi="Calibri" w:cs="Calibri"/>
          <w:spacing w:val="1"/>
        </w:rPr>
        <w:t>ни</w:t>
      </w:r>
      <w:r w:rsidRPr="00CB7DDC">
        <w:rPr>
          <w:rFonts w:ascii="Calibri" w:eastAsia="Calibri" w:hAnsi="Calibri" w:cs="Calibri"/>
        </w:rPr>
        <w:t>е</w:t>
      </w:r>
      <w:r w:rsidRPr="00CB7DDC">
        <w:rPr>
          <w:rFonts w:ascii="Calibri" w:eastAsia="Calibri" w:hAnsi="Calibri" w:cs="Calibri"/>
          <w:spacing w:val="-1"/>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rPr>
        <w:t>Со</w:t>
      </w:r>
      <w:r w:rsidRPr="00CB7DDC">
        <w:rPr>
          <w:rFonts w:ascii="Calibri" w:eastAsia="Calibri" w:hAnsi="Calibri" w:cs="Calibri"/>
          <w:spacing w:val="-2"/>
        </w:rPr>
        <w:t>ф</w:t>
      </w:r>
      <w:r w:rsidRPr="00CB7DDC">
        <w:rPr>
          <w:rFonts w:ascii="Calibri" w:eastAsia="Calibri" w:hAnsi="Calibri" w:cs="Calibri"/>
          <w:spacing w:val="1"/>
        </w:rPr>
        <w:t>ий</w:t>
      </w:r>
      <w:r w:rsidRPr="00CB7DDC">
        <w:rPr>
          <w:rFonts w:ascii="Calibri" w:eastAsia="Calibri" w:hAnsi="Calibri" w:cs="Calibri"/>
          <w:spacing w:val="-3"/>
        </w:rPr>
        <w:t>с</w:t>
      </w:r>
      <w:r w:rsidRPr="00CB7DDC">
        <w:rPr>
          <w:rFonts w:ascii="Calibri" w:eastAsia="Calibri" w:hAnsi="Calibri" w:cs="Calibri"/>
          <w:spacing w:val="1"/>
        </w:rPr>
        <w:t>к</w:t>
      </w:r>
      <w:r w:rsidRPr="00CB7DDC">
        <w:rPr>
          <w:rFonts w:ascii="Calibri" w:eastAsia="Calibri" w:hAnsi="Calibri" w:cs="Calibri"/>
        </w:rPr>
        <w:t xml:space="preserve">ото, </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е</w:t>
      </w:r>
      <w:r w:rsidRPr="00CB7DDC">
        <w:rPr>
          <w:rFonts w:ascii="Calibri" w:eastAsia="Calibri" w:hAnsi="Calibri" w:cs="Calibri"/>
        </w:rPr>
        <w:t>то е</w:t>
      </w:r>
      <w:r w:rsidRPr="00CB7DDC">
        <w:rPr>
          <w:rFonts w:ascii="Calibri" w:eastAsia="Calibri" w:hAnsi="Calibri" w:cs="Calibri"/>
          <w:spacing w:val="-1"/>
        </w:rPr>
        <w:t xml:space="preserve"> с</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 xml:space="preserve">т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rPr>
        <w:t>общ</w:t>
      </w:r>
      <w:r w:rsidRPr="00CB7DDC">
        <w:rPr>
          <w:rFonts w:ascii="Calibri" w:eastAsia="Calibri" w:hAnsi="Calibri" w:cs="Calibri"/>
          <w:spacing w:val="1"/>
        </w:rPr>
        <w:t>ин</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rPr>
        <w:t>.</w:t>
      </w:r>
    </w:p>
    <w:p w:rsidR="00CB7DDC" w:rsidRPr="00CB7DDC" w:rsidRDefault="00CB7DDC"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rPr>
      </w:pPr>
      <w:r w:rsidRPr="00CB7DDC">
        <w:rPr>
          <w:rFonts w:ascii="Calibri" w:eastAsia="Calibri" w:hAnsi="Calibri" w:cs="Calibri"/>
          <w:bCs/>
        </w:rPr>
        <w:lastRenderedPageBreak/>
        <w:t>В</w:t>
      </w:r>
      <w:r w:rsidRPr="00CB7DDC">
        <w:rPr>
          <w:rFonts w:ascii="Calibri" w:eastAsia="Calibri" w:hAnsi="Calibri" w:cs="Calibri"/>
          <w:bCs/>
          <w:spacing w:val="1"/>
        </w:rPr>
        <w:t xml:space="preserve"> </w:t>
      </w:r>
      <w:r w:rsidRPr="00CB7DDC">
        <w:rPr>
          <w:rFonts w:ascii="Calibri" w:eastAsia="Calibri" w:hAnsi="Calibri" w:cs="Calibri"/>
          <w:bCs/>
        </w:rPr>
        <w:t>хо</w:t>
      </w:r>
      <w:r w:rsidRPr="00CB7DDC">
        <w:rPr>
          <w:rFonts w:ascii="Calibri" w:eastAsia="Calibri" w:hAnsi="Calibri" w:cs="Calibri"/>
          <w:bCs/>
          <w:spacing w:val="1"/>
        </w:rPr>
        <w:t>д</w:t>
      </w:r>
      <w:r w:rsidRPr="00CB7DDC">
        <w:rPr>
          <w:rFonts w:ascii="Calibri" w:eastAsia="Calibri" w:hAnsi="Calibri" w:cs="Calibri"/>
          <w:bCs/>
        </w:rPr>
        <w:t>а</w:t>
      </w:r>
      <w:r w:rsidRPr="00CB7DDC">
        <w:rPr>
          <w:rFonts w:ascii="Calibri" w:eastAsia="Calibri" w:hAnsi="Calibri" w:cs="Calibri"/>
          <w:bCs/>
          <w:spacing w:val="1"/>
        </w:rPr>
        <w:t xml:space="preserve"> н</w:t>
      </w:r>
      <w:r w:rsidRPr="00CB7DDC">
        <w:rPr>
          <w:rFonts w:ascii="Calibri" w:eastAsia="Calibri" w:hAnsi="Calibri" w:cs="Calibri"/>
          <w:bCs/>
        </w:rPr>
        <w:t>а</w:t>
      </w:r>
      <w:r w:rsidRPr="00CB7DDC">
        <w:rPr>
          <w:rFonts w:ascii="Calibri" w:eastAsia="Calibri" w:hAnsi="Calibri" w:cs="Calibri"/>
          <w:bCs/>
          <w:spacing w:val="1"/>
        </w:rPr>
        <w:t xml:space="preserve"> </w:t>
      </w:r>
      <w:r w:rsidRPr="00CB7DDC">
        <w:rPr>
          <w:rFonts w:ascii="Calibri" w:eastAsia="Calibri" w:hAnsi="Calibri" w:cs="Calibri"/>
          <w:bCs/>
        </w:rPr>
        <w:t>о</w:t>
      </w:r>
      <w:r w:rsidRPr="00CB7DDC">
        <w:rPr>
          <w:rFonts w:ascii="Calibri" w:eastAsia="Calibri" w:hAnsi="Calibri" w:cs="Calibri"/>
          <w:bCs/>
          <w:spacing w:val="2"/>
        </w:rPr>
        <w:t>б</w:t>
      </w:r>
      <w:r w:rsidRPr="00CB7DDC">
        <w:rPr>
          <w:rFonts w:ascii="Calibri" w:eastAsia="Calibri" w:hAnsi="Calibri" w:cs="Calibri"/>
          <w:bCs/>
          <w:spacing w:val="-6"/>
        </w:rPr>
        <w:t>щ</w:t>
      </w:r>
      <w:r w:rsidRPr="00CB7DDC">
        <w:rPr>
          <w:rFonts w:ascii="Calibri" w:eastAsia="Calibri" w:hAnsi="Calibri" w:cs="Calibri"/>
          <w:bCs/>
        </w:rPr>
        <w:t>о</w:t>
      </w:r>
      <w:r w:rsidRPr="00CB7DDC">
        <w:rPr>
          <w:rFonts w:ascii="Calibri" w:eastAsia="Calibri" w:hAnsi="Calibri" w:cs="Calibri"/>
          <w:bCs/>
          <w:spacing w:val="2"/>
        </w:rPr>
        <w:t>т</w:t>
      </w:r>
      <w:r w:rsidRPr="00CB7DDC">
        <w:rPr>
          <w:rFonts w:ascii="Calibri" w:eastAsia="Calibri" w:hAnsi="Calibri" w:cs="Calibri"/>
          <w:bCs/>
        </w:rPr>
        <w:t>о</w:t>
      </w:r>
      <w:r w:rsidRPr="00CB7DDC">
        <w:rPr>
          <w:rFonts w:ascii="Calibri" w:eastAsia="Calibri" w:hAnsi="Calibri" w:cs="Calibri"/>
          <w:bCs/>
          <w:spacing w:val="1"/>
        </w:rPr>
        <w:t xml:space="preserve"> ик</w:t>
      </w:r>
      <w:r w:rsidRPr="00CB7DDC">
        <w:rPr>
          <w:rFonts w:ascii="Calibri" w:eastAsia="Calibri" w:hAnsi="Calibri" w:cs="Calibri"/>
          <w:bCs/>
        </w:rPr>
        <w:t>о</w:t>
      </w:r>
      <w:r w:rsidRPr="00CB7DDC">
        <w:rPr>
          <w:rFonts w:ascii="Calibri" w:eastAsia="Calibri" w:hAnsi="Calibri" w:cs="Calibri"/>
          <w:bCs/>
          <w:spacing w:val="1"/>
        </w:rPr>
        <w:t>н</w:t>
      </w:r>
      <w:r w:rsidRPr="00CB7DDC">
        <w:rPr>
          <w:rFonts w:ascii="Calibri" w:eastAsia="Calibri" w:hAnsi="Calibri" w:cs="Calibri"/>
          <w:bCs/>
        </w:rPr>
        <w:t>оми</w:t>
      </w:r>
      <w:r w:rsidRPr="00CB7DDC">
        <w:rPr>
          <w:rFonts w:ascii="Calibri" w:eastAsia="Calibri" w:hAnsi="Calibri" w:cs="Calibri"/>
          <w:bCs/>
          <w:spacing w:val="-1"/>
        </w:rPr>
        <w:t>чес</w:t>
      </w:r>
      <w:r w:rsidRPr="00CB7DDC">
        <w:rPr>
          <w:rFonts w:ascii="Calibri" w:eastAsia="Calibri" w:hAnsi="Calibri" w:cs="Calibri"/>
          <w:bCs/>
          <w:spacing w:val="1"/>
        </w:rPr>
        <w:t>к</w:t>
      </w:r>
      <w:r w:rsidRPr="00CB7DDC">
        <w:rPr>
          <w:rFonts w:ascii="Calibri" w:eastAsia="Calibri" w:hAnsi="Calibri" w:cs="Calibri"/>
          <w:bCs/>
        </w:rPr>
        <w:t>о</w:t>
      </w:r>
      <w:r w:rsidRPr="00CB7DDC">
        <w:rPr>
          <w:rFonts w:ascii="Calibri" w:eastAsia="Calibri" w:hAnsi="Calibri" w:cs="Calibri"/>
          <w:bCs/>
          <w:spacing w:val="1"/>
        </w:rPr>
        <w:t xml:space="preserve"> пр</w:t>
      </w:r>
      <w:r w:rsidRPr="00CB7DDC">
        <w:rPr>
          <w:rFonts w:ascii="Calibri" w:eastAsia="Calibri" w:hAnsi="Calibri" w:cs="Calibri"/>
          <w:bCs/>
          <w:spacing w:val="-1"/>
        </w:rPr>
        <w:t>ес</w:t>
      </w:r>
      <w:r w:rsidRPr="00CB7DDC">
        <w:rPr>
          <w:rFonts w:ascii="Calibri" w:eastAsia="Calibri" w:hAnsi="Calibri" w:cs="Calibri"/>
          <w:bCs/>
          <w:spacing w:val="2"/>
        </w:rPr>
        <w:t>т</w:t>
      </w:r>
      <w:r w:rsidRPr="00CB7DDC">
        <w:rPr>
          <w:rFonts w:ascii="Calibri" w:eastAsia="Calibri" w:hAnsi="Calibri" w:cs="Calibri"/>
          <w:bCs/>
          <w:spacing w:val="1"/>
        </w:rPr>
        <w:t>р</w:t>
      </w:r>
      <w:r w:rsidRPr="00CB7DDC">
        <w:rPr>
          <w:rFonts w:ascii="Calibri" w:eastAsia="Calibri" w:hAnsi="Calibri" w:cs="Calibri"/>
          <w:bCs/>
        </w:rPr>
        <w:t>у</w:t>
      </w:r>
      <w:r w:rsidRPr="00CB7DDC">
        <w:rPr>
          <w:rFonts w:ascii="Calibri" w:eastAsia="Calibri" w:hAnsi="Calibri" w:cs="Calibri"/>
          <w:bCs/>
          <w:spacing w:val="-1"/>
        </w:rPr>
        <w:t>к</w:t>
      </w:r>
      <w:r w:rsidRPr="00CB7DDC">
        <w:rPr>
          <w:rFonts w:ascii="Calibri" w:eastAsia="Calibri" w:hAnsi="Calibri" w:cs="Calibri"/>
          <w:bCs/>
          <w:spacing w:val="2"/>
        </w:rPr>
        <w:t>т</w:t>
      </w:r>
      <w:r w:rsidRPr="00CB7DDC">
        <w:rPr>
          <w:rFonts w:ascii="Calibri" w:eastAsia="Calibri" w:hAnsi="Calibri" w:cs="Calibri"/>
          <w:bCs/>
        </w:rPr>
        <w:t>у</w:t>
      </w:r>
      <w:r w:rsidRPr="00CB7DDC">
        <w:rPr>
          <w:rFonts w:ascii="Calibri" w:eastAsia="Calibri" w:hAnsi="Calibri" w:cs="Calibri"/>
          <w:bCs/>
          <w:spacing w:val="-1"/>
        </w:rPr>
        <w:t>р</w:t>
      </w:r>
      <w:r w:rsidRPr="00CB7DDC">
        <w:rPr>
          <w:rFonts w:ascii="Calibri" w:eastAsia="Calibri" w:hAnsi="Calibri" w:cs="Calibri"/>
          <w:bCs/>
          <w:spacing w:val="1"/>
        </w:rPr>
        <w:t>ир</w:t>
      </w:r>
      <w:r w:rsidRPr="00CB7DDC">
        <w:rPr>
          <w:rFonts w:ascii="Calibri" w:eastAsia="Calibri" w:hAnsi="Calibri" w:cs="Calibri"/>
          <w:bCs/>
        </w:rPr>
        <w:t>а</w:t>
      </w:r>
      <w:r w:rsidRPr="00CB7DDC">
        <w:rPr>
          <w:rFonts w:ascii="Calibri" w:eastAsia="Calibri" w:hAnsi="Calibri" w:cs="Calibri"/>
          <w:bCs/>
          <w:spacing w:val="1"/>
        </w:rPr>
        <w:t>н</w:t>
      </w:r>
      <w:r w:rsidRPr="00CB7DDC">
        <w:rPr>
          <w:rFonts w:ascii="Calibri" w:eastAsia="Calibri" w:hAnsi="Calibri" w:cs="Calibri"/>
          <w:bCs/>
        </w:rPr>
        <w:t>е и</w:t>
      </w:r>
      <w:r w:rsidRPr="00CB7DDC">
        <w:rPr>
          <w:rFonts w:ascii="Calibri" w:eastAsia="Calibri" w:hAnsi="Calibri" w:cs="Calibri"/>
          <w:bCs/>
          <w:spacing w:val="1"/>
        </w:rPr>
        <w:t xml:space="preserve"> д</w:t>
      </w:r>
      <w:r w:rsidRPr="00CB7DDC">
        <w:rPr>
          <w:rFonts w:ascii="Calibri" w:eastAsia="Calibri" w:hAnsi="Calibri" w:cs="Calibri"/>
          <w:bCs/>
          <w:spacing w:val="-1"/>
        </w:rPr>
        <w:t>е</w:t>
      </w:r>
      <w:r w:rsidRPr="00CB7DDC">
        <w:rPr>
          <w:rFonts w:ascii="Calibri" w:eastAsia="Calibri" w:hAnsi="Calibri" w:cs="Calibri"/>
          <w:bCs/>
          <w:spacing w:val="1"/>
        </w:rPr>
        <w:t>ц</w:t>
      </w:r>
      <w:r w:rsidRPr="00CB7DDC">
        <w:rPr>
          <w:rFonts w:ascii="Calibri" w:eastAsia="Calibri" w:hAnsi="Calibri" w:cs="Calibri"/>
          <w:bCs/>
          <w:spacing w:val="-1"/>
        </w:rPr>
        <w:t>ен</w:t>
      </w:r>
      <w:r w:rsidRPr="00CB7DDC">
        <w:rPr>
          <w:rFonts w:ascii="Calibri" w:eastAsia="Calibri" w:hAnsi="Calibri" w:cs="Calibri"/>
          <w:bCs/>
        </w:rPr>
        <w:t>тр</w:t>
      </w:r>
      <w:r w:rsidRPr="00CB7DDC">
        <w:rPr>
          <w:rFonts w:ascii="Calibri" w:eastAsia="Calibri" w:hAnsi="Calibri" w:cs="Calibri"/>
          <w:bCs/>
          <w:spacing w:val="-2"/>
        </w:rPr>
        <w:t>а</w:t>
      </w:r>
      <w:r w:rsidRPr="00CB7DDC">
        <w:rPr>
          <w:rFonts w:ascii="Calibri" w:eastAsia="Calibri" w:hAnsi="Calibri" w:cs="Calibri"/>
          <w:bCs/>
        </w:rPr>
        <w:t>лизац</w:t>
      </w:r>
      <w:r w:rsidRPr="00CB7DDC">
        <w:rPr>
          <w:rFonts w:ascii="Calibri" w:eastAsia="Calibri" w:hAnsi="Calibri" w:cs="Calibri"/>
          <w:bCs/>
          <w:spacing w:val="1"/>
        </w:rPr>
        <w:t>и</w:t>
      </w:r>
      <w:r w:rsidRPr="00CB7DDC">
        <w:rPr>
          <w:rFonts w:ascii="Calibri" w:eastAsia="Calibri" w:hAnsi="Calibri" w:cs="Calibri"/>
          <w:bCs/>
        </w:rPr>
        <w:t xml:space="preserve">я </w:t>
      </w:r>
      <w:r w:rsidRPr="00CB7DDC">
        <w:rPr>
          <w:rFonts w:ascii="Calibri" w:eastAsia="Calibri" w:hAnsi="Calibri" w:cs="Calibri"/>
          <w:bCs/>
          <w:spacing w:val="1"/>
        </w:rPr>
        <w:t>пр</w:t>
      </w:r>
      <w:r w:rsidRPr="00CB7DDC">
        <w:rPr>
          <w:rFonts w:ascii="Calibri" w:eastAsia="Calibri" w:hAnsi="Calibri" w:cs="Calibri"/>
          <w:bCs/>
          <w:spacing w:val="-1"/>
        </w:rPr>
        <w:t>е</w:t>
      </w:r>
      <w:r w:rsidRPr="00CB7DDC">
        <w:rPr>
          <w:rFonts w:ascii="Calibri" w:eastAsia="Calibri" w:hAnsi="Calibri" w:cs="Calibri"/>
          <w:bCs/>
        </w:rPr>
        <w:t>з 9</w:t>
      </w:r>
      <w:r w:rsidRPr="00CB7DDC">
        <w:rPr>
          <w:rFonts w:ascii="Calibri" w:eastAsia="Calibri" w:hAnsi="Calibri" w:cs="Calibri"/>
          <w:bCs/>
          <w:spacing w:val="10"/>
        </w:rPr>
        <w:t>0</w:t>
      </w:r>
      <w:r w:rsidRPr="00CB7DDC">
        <w:rPr>
          <w:rFonts w:ascii="Calibri" w:eastAsia="Calibri" w:hAnsi="Calibri" w:cs="Calibri"/>
          <w:bCs/>
          <w:spacing w:val="-1"/>
        </w:rPr>
        <w:t>-</w:t>
      </w:r>
      <w:r w:rsidRPr="00CB7DDC">
        <w:rPr>
          <w:rFonts w:ascii="Calibri" w:eastAsia="Calibri" w:hAnsi="Calibri" w:cs="Calibri"/>
          <w:bCs/>
          <w:spacing w:val="2"/>
        </w:rPr>
        <w:t>т</w:t>
      </w:r>
      <w:r w:rsidRPr="00CB7DDC">
        <w:rPr>
          <w:rFonts w:ascii="Calibri" w:eastAsia="Calibri" w:hAnsi="Calibri" w:cs="Calibri"/>
          <w:bCs/>
        </w:rPr>
        <w:t xml:space="preserve">е </w:t>
      </w:r>
      <w:r w:rsidRPr="00CB7DDC">
        <w:rPr>
          <w:rFonts w:ascii="Calibri" w:eastAsia="Calibri" w:hAnsi="Calibri" w:cs="Calibri"/>
          <w:bCs/>
          <w:spacing w:val="-1"/>
        </w:rPr>
        <w:t>г</w:t>
      </w:r>
      <w:r w:rsidRPr="00CB7DDC">
        <w:rPr>
          <w:rFonts w:ascii="Calibri" w:eastAsia="Calibri" w:hAnsi="Calibri" w:cs="Calibri"/>
          <w:bCs/>
        </w:rPr>
        <w:t>о</w:t>
      </w:r>
      <w:r w:rsidRPr="00CB7DDC">
        <w:rPr>
          <w:rFonts w:ascii="Calibri" w:eastAsia="Calibri" w:hAnsi="Calibri" w:cs="Calibri"/>
          <w:bCs/>
          <w:spacing w:val="1"/>
        </w:rPr>
        <w:t>дин</w:t>
      </w:r>
      <w:r w:rsidRPr="00CB7DDC">
        <w:rPr>
          <w:rFonts w:ascii="Calibri" w:eastAsia="Calibri" w:hAnsi="Calibri" w:cs="Calibri"/>
          <w:bCs/>
        </w:rPr>
        <w:t xml:space="preserve">и </w:t>
      </w:r>
      <w:r w:rsidRPr="00CB7DDC">
        <w:rPr>
          <w:rFonts w:ascii="Calibri" w:eastAsia="Calibri" w:hAnsi="Calibri" w:cs="Calibri"/>
          <w:bCs/>
          <w:spacing w:val="1"/>
        </w:rPr>
        <w:t>н</w:t>
      </w:r>
      <w:r w:rsidRPr="00CB7DDC">
        <w:rPr>
          <w:rFonts w:ascii="Calibri" w:eastAsia="Calibri" w:hAnsi="Calibri" w:cs="Calibri"/>
          <w:bCs/>
        </w:rPr>
        <w:t>а</w:t>
      </w:r>
      <w:r w:rsidRPr="00CB7DDC">
        <w:rPr>
          <w:rFonts w:ascii="Calibri" w:eastAsia="Calibri" w:hAnsi="Calibri" w:cs="Calibri"/>
          <w:bCs/>
          <w:spacing w:val="2"/>
        </w:rPr>
        <w:t xml:space="preserve"> </w:t>
      </w:r>
      <w:r w:rsidRPr="00CB7DDC">
        <w:rPr>
          <w:rFonts w:ascii="Calibri" w:eastAsia="Calibri" w:hAnsi="Calibri" w:cs="Calibri"/>
          <w:bCs/>
        </w:rPr>
        <w:t>м</w:t>
      </w:r>
      <w:r w:rsidRPr="00CB7DDC">
        <w:rPr>
          <w:rFonts w:ascii="Calibri" w:eastAsia="Calibri" w:hAnsi="Calibri" w:cs="Calibri"/>
          <w:bCs/>
          <w:spacing w:val="-2"/>
        </w:rPr>
        <w:t>и</w:t>
      </w:r>
      <w:r w:rsidRPr="00CB7DDC">
        <w:rPr>
          <w:rFonts w:ascii="Calibri" w:eastAsia="Calibri" w:hAnsi="Calibri" w:cs="Calibri"/>
          <w:bCs/>
          <w:spacing w:val="1"/>
        </w:rPr>
        <w:t>н</w:t>
      </w:r>
      <w:r w:rsidRPr="00CB7DDC">
        <w:rPr>
          <w:rFonts w:ascii="Calibri" w:eastAsia="Calibri" w:hAnsi="Calibri" w:cs="Calibri"/>
          <w:bCs/>
        </w:rPr>
        <w:t>алия</w:t>
      </w:r>
      <w:r w:rsidRPr="00CB7DDC">
        <w:rPr>
          <w:rFonts w:ascii="Calibri" w:eastAsia="Calibri" w:hAnsi="Calibri" w:cs="Calibri"/>
          <w:bCs/>
          <w:spacing w:val="2"/>
        </w:rPr>
        <w:t xml:space="preserve"> </w:t>
      </w:r>
      <w:r w:rsidRPr="00CB7DDC">
        <w:rPr>
          <w:rFonts w:ascii="Calibri" w:eastAsia="Calibri" w:hAnsi="Calibri" w:cs="Calibri"/>
          <w:bCs/>
          <w:spacing w:val="-2"/>
        </w:rPr>
        <w:t>в</w:t>
      </w:r>
      <w:r w:rsidRPr="00CB7DDC">
        <w:rPr>
          <w:rFonts w:ascii="Calibri" w:eastAsia="Calibri" w:hAnsi="Calibri" w:cs="Calibri"/>
          <w:bCs/>
          <w:spacing w:val="-1"/>
        </w:rPr>
        <w:t>е</w:t>
      </w:r>
      <w:r w:rsidRPr="00CB7DDC">
        <w:rPr>
          <w:rFonts w:ascii="Calibri" w:eastAsia="Calibri" w:hAnsi="Calibri" w:cs="Calibri"/>
          <w:bCs/>
        </w:rPr>
        <w:t>к</w:t>
      </w:r>
      <w:r w:rsidRPr="00CB7DDC">
        <w:rPr>
          <w:rFonts w:ascii="Calibri" w:eastAsia="Calibri" w:hAnsi="Calibri" w:cs="Calibri"/>
          <w:bCs/>
          <w:spacing w:val="3"/>
        </w:rPr>
        <w:t xml:space="preserve"> </w:t>
      </w:r>
      <w:r w:rsidRPr="00CB7DDC">
        <w:rPr>
          <w:rFonts w:ascii="Calibri" w:eastAsia="Calibri" w:hAnsi="Calibri" w:cs="Calibri"/>
          <w:bCs/>
          <w:spacing w:val="1"/>
        </w:rPr>
        <w:t>н</w:t>
      </w:r>
      <w:r w:rsidRPr="00CB7DDC">
        <w:rPr>
          <w:rFonts w:ascii="Calibri" w:eastAsia="Calibri" w:hAnsi="Calibri" w:cs="Calibri"/>
          <w:bCs/>
        </w:rPr>
        <w:t>якои</w:t>
      </w:r>
      <w:r w:rsidRPr="00CB7DDC">
        <w:rPr>
          <w:rFonts w:ascii="Calibri" w:eastAsia="Calibri" w:hAnsi="Calibri" w:cs="Calibri"/>
          <w:bCs/>
          <w:spacing w:val="1"/>
        </w:rPr>
        <w:t xml:space="preserve"> </w:t>
      </w:r>
      <w:r w:rsidRPr="00CB7DDC">
        <w:rPr>
          <w:rFonts w:ascii="Calibri" w:eastAsia="Calibri" w:hAnsi="Calibri" w:cs="Calibri"/>
          <w:bCs/>
          <w:spacing w:val="-2"/>
        </w:rPr>
        <w:t>о</w:t>
      </w:r>
      <w:r w:rsidRPr="00CB7DDC">
        <w:rPr>
          <w:rFonts w:ascii="Calibri" w:eastAsia="Calibri" w:hAnsi="Calibri" w:cs="Calibri"/>
          <w:bCs/>
        </w:rPr>
        <w:t>т</w:t>
      </w:r>
      <w:r w:rsidRPr="00CB7DDC">
        <w:rPr>
          <w:rFonts w:ascii="Calibri" w:eastAsia="Calibri" w:hAnsi="Calibri" w:cs="Calibri"/>
          <w:bCs/>
          <w:spacing w:val="4"/>
        </w:rPr>
        <w:t xml:space="preserve"> </w:t>
      </w:r>
      <w:r w:rsidRPr="00CB7DDC">
        <w:rPr>
          <w:rFonts w:ascii="Calibri" w:eastAsia="Calibri" w:hAnsi="Calibri" w:cs="Calibri"/>
          <w:bCs/>
        </w:rPr>
        <w:t>В</w:t>
      </w:r>
      <w:r w:rsidRPr="00CB7DDC">
        <w:rPr>
          <w:rFonts w:ascii="Calibri" w:eastAsia="Calibri" w:hAnsi="Calibri" w:cs="Calibri"/>
          <w:bCs/>
          <w:spacing w:val="-1"/>
        </w:rPr>
        <w:t>и</w:t>
      </w:r>
      <w:r w:rsidRPr="00CB7DDC">
        <w:rPr>
          <w:rFonts w:ascii="Calibri" w:eastAsia="Calibri" w:hAnsi="Calibri" w:cs="Calibri"/>
          <w:bCs/>
        </w:rPr>
        <w:t>К</w:t>
      </w:r>
      <w:r w:rsidRPr="00CB7DDC">
        <w:rPr>
          <w:rFonts w:ascii="Calibri" w:eastAsia="Calibri" w:hAnsi="Calibri" w:cs="Calibri"/>
          <w:bCs/>
          <w:spacing w:val="6"/>
        </w:rPr>
        <w:t xml:space="preserve"> </w:t>
      </w:r>
      <w:r w:rsidRPr="00CB7DDC">
        <w:rPr>
          <w:rFonts w:ascii="Calibri" w:eastAsia="Calibri" w:hAnsi="Calibri" w:cs="Calibri"/>
          <w:bCs/>
          <w:spacing w:val="1"/>
        </w:rPr>
        <w:t>пр</w:t>
      </w:r>
      <w:r w:rsidRPr="00CB7DDC">
        <w:rPr>
          <w:rFonts w:ascii="Calibri" w:eastAsia="Calibri" w:hAnsi="Calibri" w:cs="Calibri"/>
          <w:bCs/>
          <w:spacing w:val="-3"/>
        </w:rPr>
        <w:t>е</w:t>
      </w:r>
      <w:r w:rsidRPr="00CB7DDC">
        <w:rPr>
          <w:rFonts w:ascii="Calibri" w:eastAsia="Calibri" w:hAnsi="Calibri" w:cs="Calibri"/>
          <w:bCs/>
          <w:spacing w:val="1"/>
        </w:rPr>
        <w:t>дп</w:t>
      </w:r>
      <w:r w:rsidRPr="00CB7DDC">
        <w:rPr>
          <w:rFonts w:ascii="Calibri" w:eastAsia="Calibri" w:hAnsi="Calibri" w:cs="Calibri"/>
          <w:bCs/>
          <w:spacing w:val="-1"/>
        </w:rPr>
        <w:t>р</w:t>
      </w:r>
      <w:r w:rsidRPr="00CB7DDC">
        <w:rPr>
          <w:rFonts w:ascii="Calibri" w:eastAsia="Calibri" w:hAnsi="Calibri" w:cs="Calibri"/>
          <w:bCs/>
          <w:spacing w:val="1"/>
        </w:rPr>
        <w:t>и</w:t>
      </w:r>
      <w:r w:rsidRPr="00CB7DDC">
        <w:rPr>
          <w:rFonts w:ascii="Calibri" w:eastAsia="Calibri" w:hAnsi="Calibri" w:cs="Calibri"/>
          <w:bCs/>
        </w:rPr>
        <w:t>ятия</w:t>
      </w:r>
      <w:r w:rsidRPr="00CB7DDC">
        <w:rPr>
          <w:rFonts w:ascii="Calibri" w:eastAsia="Calibri" w:hAnsi="Calibri" w:cs="Calibri"/>
          <w:bCs/>
          <w:spacing w:val="2"/>
        </w:rPr>
        <w:t>т</w:t>
      </w:r>
      <w:r w:rsidRPr="00CB7DDC">
        <w:rPr>
          <w:rFonts w:ascii="Calibri" w:eastAsia="Calibri" w:hAnsi="Calibri" w:cs="Calibri"/>
          <w:bCs/>
        </w:rPr>
        <w:t xml:space="preserve">а </w:t>
      </w:r>
      <w:r w:rsidRPr="00CB7DDC">
        <w:rPr>
          <w:rFonts w:ascii="Calibri" w:eastAsia="Calibri" w:hAnsi="Calibri" w:cs="Calibri"/>
          <w:bCs/>
          <w:spacing w:val="-1"/>
        </w:rPr>
        <w:t>с</w:t>
      </w:r>
      <w:r w:rsidRPr="00CB7DDC">
        <w:rPr>
          <w:rFonts w:ascii="Calibri" w:eastAsia="Calibri" w:hAnsi="Calibri" w:cs="Calibri"/>
          <w:bCs/>
        </w:rPr>
        <w:t>е</w:t>
      </w:r>
      <w:r w:rsidRPr="00CB7DDC">
        <w:rPr>
          <w:rFonts w:ascii="Calibri" w:eastAsia="Calibri" w:hAnsi="Calibri" w:cs="Calibri"/>
          <w:bCs/>
          <w:spacing w:val="1"/>
        </w:rPr>
        <w:t xml:space="preserve"> </w:t>
      </w:r>
      <w:r w:rsidRPr="00CB7DDC">
        <w:rPr>
          <w:rFonts w:ascii="Calibri" w:eastAsia="Calibri" w:hAnsi="Calibri" w:cs="Calibri"/>
          <w:bCs/>
        </w:rPr>
        <w:t>отд</w:t>
      </w:r>
      <w:r w:rsidRPr="00CB7DDC">
        <w:rPr>
          <w:rFonts w:ascii="Calibri" w:eastAsia="Calibri" w:hAnsi="Calibri" w:cs="Calibri"/>
          <w:bCs/>
          <w:spacing w:val="-1"/>
        </w:rPr>
        <w:t>е</w:t>
      </w:r>
      <w:r w:rsidRPr="00CB7DDC">
        <w:rPr>
          <w:rFonts w:ascii="Calibri" w:eastAsia="Calibri" w:hAnsi="Calibri" w:cs="Calibri"/>
          <w:bCs/>
        </w:rPr>
        <w:t>лят</w:t>
      </w:r>
      <w:r w:rsidRPr="00CB7DDC">
        <w:rPr>
          <w:rFonts w:ascii="Calibri" w:eastAsia="Calibri" w:hAnsi="Calibri" w:cs="Calibri"/>
          <w:b/>
          <w:bCs/>
          <w:spacing w:val="5"/>
        </w:rPr>
        <w:t xml:space="preserve"> </w:t>
      </w:r>
      <w:r w:rsidRPr="00CB7DDC">
        <w:rPr>
          <w:rFonts w:ascii="Calibri" w:eastAsia="Calibri" w:hAnsi="Calibri" w:cs="Calibri"/>
        </w:rPr>
        <w:t>и</w:t>
      </w:r>
      <w:r w:rsidRPr="00CB7DDC">
        <w:rPr>
          <w:rFonts w:ascii="Calibri" w:eastAsia="Calibri" w:hAnsi="Calibri" w:cs="Calibri"/>
          <w:spacing w:val="4"/>
        </w:rPr>
        <w:t xml:space="preserve"> </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орг</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spacing w:val="-1"/>
        </w:rPr>
        <w:t>и</w:t>
      </w:r>
      <w:r w:rsidRPr="00CB7DDC">
        <w:rPr>
          <w:rFonts w:ascii="Calibri" w:eastAsia="Calibri" w:hAnsi="Calibri" w:cs="Calibri"/>
          <w:spacing w:val="1"/>
        </w:rPr>
        <w:t>зи</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3"/>
        </w:rPr>
        <w:t xml:space="preserve"> </w:t>
      </w:r>
      <w:r w:rsidRPr="00CB7DDC">
        <w:rPr>
          <w:rFonts w:ascii="Calibri" w:eastAsia="Calibri" w:hAnsi="Calibri" w:cs="Calibri"/>
        </w:rPr>
        <w:t>в д</w:t>
      </w:r>
      <w:r w:rsidRPr="00CB7DDC">
        <w:rPr>
          <w:rFonts w:ascii="Calibri" w:eastAsia="Calibri" w:hAnsi="Calibri" w:cs="Calibri"/>
          <w:spacing w:val="2"/>
        </w:rPr>
        <w:t>р</w:t>
      </w:r>
      <w:r w:rsidRPr="00CB7DDC">
        <w:rPr>
          <w:rFonts w:ascii="Calibri" w:eastAsia="Calibri" w:hAnsi="Calibri" w:cs="Calibri"/>
          <w:spacing w:val="-5"/>
        </w:rPr>
        <w:t>у</w:t>
      </w:r>
      <w:r w:rsidRPr="00CB7DDC">
        <w:rPr>
          <w:rFonts w:ascii="Calibri" w:eastAsia="Calibri" w:hAnsi="Calibri" w:cs="Calibri"/>
        </w:rPr>
        <w:t>ж</w:t>
      </w:r>
      <w:r w:rsidRPr="00CB7DDC">
        <w:rPr>
          <w:rFonts w:ascii="Calibri" w:eastAsia="Calibri" w:hAnsi="Calibri" w:cs="Calibri"/>
          <w:spacing w:val="1"/>
        </w:rPr>
        <w:t>е</w:t>
      </w:r>
      <w:r w:rsidRPr="00CB7DDC">
        <w:rPr>
          <w:rFonts w:ascii="Calibri" w:eastAsia="Calibri" w:hAnsi="Calibri" w:cs="Calibri"/>
          <w:spacing w:val="-1"/>
        </w:rPr>
        <w:t>с</w:t>
      </w:r>
      <w:r w:rsidRPr="00CB7DDC">
        <w:rPr>
          <w:rFonts w:ascii="Calibri" w:eastAsia="Calibri" w:hAnsi="Calibri" w:cs="Calibri"/>
        </w:rPr>
        <w:t xml:space="preserve">тва </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rPr>
        <w:t xml:space="preserve">ъс </w:t>
      </w:r>
      <w:r w:rsidRPr="00CB7DDC">
        <w:rPr>
          <w:rFonts w:ascii="Calibri" w:eastAsia="Calibri" w:hAnsi="Calibri" w:cs="Calibri"/>
          <w:spacing w:val="1"/>
        </w:rPr>
        <w:t xml:space="preserve"> </w:t>
      </w:r>
      <w:r w:rsidRPr="00CB7DDC">
        <w:rPr>
          <w:rFonts w:ascii="Calibri" w:eastAsia="Calibri" w:hAnsi="Calibri" w:cs="Calibri"/>
          <w:spacing w:val="-1"/>
        </w:rPr>
        <w:t>с</w:t>
      </w:r>
      <w:r w:rsidRPr="00CB7DDC">
        <w:rPr>
          <w:rFonts w:ascii="Calibri" w:eastAsia="Calibri" w:hAnsi="Calibri" w:cs="Calibri"/>
          <w:spacing w:val="1"/>
        </w:rPr>
        <w:t>м</w:t>
      </w:r>
      <w:r w:rsidRPr="00CB7DDC">
        <w:rPr>
          <w:rFonts w:ascii="Calibri" w:eastAsia="Calibri" w:hAnsi="Calibri" w:cs="Calibri"/>
          <w:spacing w:val="-1"/>
        </w:rPr>
        <w:t>е</w:t>
      </w:r>
      <w:r w:rsidRPr="00CB7DDC">
        <w:rPr>
          <w:rFonts w:ascii="Calibri" w:eastAsia="Calibri" w:hAnsi="Calibri" w:cs="Calibri"/>
          <w:spacing w:val="1"/>
        </w:rPr>
        <w:t>с</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 xml:space="preserve">о </w:t>
      </w:r>
      <w:r w:rsidRPr="00CB7DDC">
        <w:rPr>
          <w:rFonts w:ascii="Calibri" w:eastAsia="Calibri" w:hAnsi="Calibri" w:cs="Calibri"/>
          <w:spacing w:val="4"/>
        </w:rPr>
        <w:t xml:space="preserve"> </w:t>
      </w:r>
      <w:r w:rsidRPr="00CB7DDC">
        <w:rPr>
          <w:rFonts w:ascii="Calibri" w:eastAsia="Calibri" w:hAnsi="Calibri" w:cs="Calibri"/>
          <w:spacing w:val="-5"/>
        </w:rPr>
        <w:t>у</w:t>
      </w:r>
      <w:r w:rsidRPr="00CB7DDC">
        <w:rPr>
          <w:rFonts w:ascii="Calibri" w:eastAsia="Calibri" w:hAnsi="Calibri" w:cs="Calibri"/>
          <w:spacing w:val="1"/>
        </w:rPr>
        <w:t>ч</w:t>
      </w:r>
      <w:r w:rsidRPr="00CB7DDC">
        <w:rPr>
          <w:rFonts w:ascii="Calibri" w:eastAsia="Calibri" w:hAnsi="Calibri" w:cs="Calibri"/>
          <w:spacing w:val="-1"/>
        </w:rPr>
        <w:t>ас</w:t>
      </w:r>
      <w:r w:rsidRPr="00CB7DDC">
        <w:rPr>
          <w:rFonts w:ascii="Calibri" w:eastAsia="Calibri" w:hAnsi="Calibri" w:cs="Calibri"/>
        </w:rPr>
        <w:t>т</w:t>
      </w:r>
      <w:r w:rsidRPr="00CB7DDC">
        <w:rPr>
          <w:rFonts w:ascii="Calibri" w:eastAsia="Calibri" w:hAnsi="Calibri" w:cs="Calibri"/>
          <w:spacing w:val="1"/>
        </w:rPr>
        <w:t>и</w:t>
      </w:r>
      <w:r w:rsidRPr="00CB7DDC">
        <w:rPr>
          <w:rFonts w:ascii="Calibri" w:eastAsia="Calibri" w:hAnsi="Calibri" w:cs="Calibri"/>
        </w:rPr>
        <w:t xml:space="preserve">е  </w:t>
      </w:r>
      <w:r w:rsidRPr="00CB7DDC">
        <w:rPr>
          <w:rFonts w:ascii="Calibri" w:eastAsia="Calibri" w:hAnsi="Calibri" w:cs="Calibri"/>
          <w:spacing w:val="1"/>
        </w:rPr>
        <w:t>н</w:t>
      </w:r>
      <w:r w:rsidRPr="00CB7DDC">
        <w:rPr>
          <w:rFonts w:ascii="Calibri" w:eastAsia="Calibri" w:hAnsi="Calibri" w:cs="Calibri"/>
        </w:rPr>
        <w:t>а  д</w:t>
      </w:r>
      <w:r w:rsidRPr="00CB7DDC">
        <w:rPr>
          <w:rFonts w:ascii="Calibri" w:eastAsia="Calibri" w:hAnsi="Calibri" w:cs="Calibri"/>
          <w:spacing w:val="1"/>
        </w:rPr>
        <w:t>ъ</w:t>
      </w:r>
      <w:r w:rsidRPr="00CB7DDC">
        <w:rPr>
          <w:rFonts w:ascii="Calibri" w:eastAsia="Calibri" w:hAnsi="Calibri" w:cs="Calibri"/>
        </w:rPr>
        <w:t>рж</w:t>
      </w:r>
      <w:r w:rsidRPr="00CB7DDC">
        <w:rPr>
          <w:rFonts w:ascii="Calibri" w:eastAsia="Calibri" w:hAnsi="Calibri" w:cs="Calibri"/>
          <w:spacing w:val="-1"/>
        </w:rPr>
        <w:t>а</w:t>
      </w:r>
      <w:r w:rsidRPr="00CB7DDC">
        <w:rPr>
          <w:rFonts w:ascii="Calibri" w:eastAsia="Calibri" w:hAnsi="Calibri" w:cs="Calibri"/>
          <w:spacing w:val="2"/>
        </w:rPr>
        <w:t>в</w:t>
      </w:r>
      <w:r w:rsidRPr="00CB7DDC">
        <w:rPr>
          <w:rFonts w:ascii="Calibri" w:eastAsia="Calibri" w:hAnsi="Calibri" w:cs="Calibri"/>
          <w:spacing w:val="-1"/>
        </w:rPr>
        <w:t>а</w:t>
      </w:r>
      <w:r w:rsidRPr="00CB7DDC">
        <w:rPr>
          <w:rFonts w:ascii="Calibri" w:eastAsia="Calibri" w:hAnsi="Calibri" w:cs="Calibri"/>
        </w:rPr>
        <w:t xml:space="preserve">та  и </w:t>
      </w:r>
      <w:r w:rsidRPr="00CB7DDC">
        <w:rPr>
          <w:rFonts w:ascii="Calibri" w:eastAsia="Calibri" w:hAnsi="Calibri" w:cs="Calibri"/>
          <w:spacing w:val="2"/>
        </w:rPr>
        <w:t xml:space="preserve"> </w:t>
      </w:r>
      <w:r w:rsidRPr="00CB7DDC">
        <w:rPr>
          <w:rFonts w:ascii="Calibri" w:eastAsia="Calibri" w:hAnsi="Calibri" w:cs="Calibri"/>
        </w:rPr>
        <w:t>общ</w:t>
      </w:r>
      <w:r w:rsidRPr="00CB7DDC">
        <w:rPr>
          <w:rFonts w:ascii="Calibri" w:eastAsia="Calibri" w:hAnsi="Calibri" w:cs="Calibri"/>
          <w:spacing w:val="1"/>
        </w:rPr>
        <w:t>ин</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 xml:space="preserve">, </w:t>
      </w:r>
      <w:r w:rsidRPr="00CB7DDC">
        <w:rPr>
          <w:rFonts w:ascii="Calibri" w:eastAsia="Calibri" w:hAnsi="Calibri" w:cs="Calibri"/>
          <w:spacing w:val="1"/>
        </w:rPr>
        <w:t xml:space="preserve"> п</w:t>
      </w:r>
      <w:r w:rsidRPr="00CB7DDC">
        <w:rPr>
          <w:rFonts w:ascii="Calibri" w:eastAsia="Calibri" w:hAnsi="Calibri" w:cs="Calibri"/>
        </w:rPr>
        <w:t xml:space="preserve">ри  </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е</w:t>
      </w:r>
      <w:r w:rsidRPr="00CB7DDC">
        <w:rPr>
          <w:rFonts w:ascii="Calibri" w:eastAsia="Calibri" w:hAnsi="Calibri" w:cs="Calibri"/>
        </w:rPr>
        <w:t xml:space="preserve">то </w:t>
      </w:r>
      <w:r w:rsidRPr="00CB7DDC">
        <w:rPr>
          <w:rFonts w:ascii="Calibri" w:eastAsia="Calibri" w:hAnsi="Calibri" w:cs="Calibri"/>
          <w:spacing w:val="1"/>
        </w:rPr>
        <w:t xml:space="preserve"> </w:t>
      </w:r>
      <w:r w:rsidRPr="00CB7DDC">
        <w:rPr>
          <w:rFonts w:ascii="Calibri" w:eastAsia="Calibri" w:hAnsi="Calibri" w:cs="Calibri"/>
        </w:rPr>
        <w:t>д</w:t>
      </w:r>
      <w:r w:rsidRPr="00CB7DDC">
        <w:rPr>
          <w:rFonts w:ascii="Calibri" w:eastAsia="Calibri" w:hAnsi="Calibri" w:cs="Calibri"/>
          <w:spacing w:val="1"/>
        </w:rPr>
        <w:t>ъ</w:t>
      </w:r>
      <w:r w:rsidRPr="00CB7DDC">
        <w:rPr>
          <w:rFonts w:ascii="Calibri" w:eastAsia="Calibri" w:hAnsi="Calibri" w:cs="Calibri"/>
        </w:rPr>
        <w:t>рж</w:t>
      </w:r>
      <w:r w:rsidRPr="00CB7DDC">
        <w:rPr>
          <w:rFonts w:ascii="Calibri" w:eastAsia="Calibri" w:hAnsi="Calibri" w:cs="Calibri"/>
          <w:spacing w:val="-1"/>
        </w:rPr>
        <w:t>а</w:t>
      </w:r>
      <w:r w:rsidRPr="00CB7DDC">
        <w:rPr>
          <w:rFonts w:ascii="Calibri" w:eastAsia="Calibri" w:hAnsi="Calibri" w:cs="Calibri"/>
        </w:rPr>
        <w:t>в</w:t>
      </w:r>
      <w:r w:rsidRPr="00CB7DDC">
        <w:rPr>
          <w:rFonts w:ascii="Calibri" w:eastAsia="Calibri" w:hAnsi="Calibri" w:cs="Calibri"/>
          <w:spacing w:val="-1"/>
        </w:rPr>
        <w:t>а</w:t>
      </w:r>
      <w:r w:rsidRPr="00CB7DDC">
        <w:rPr>
          <w:rFonts w:ascii="Calibri" w:eastAsia="Calibri" w:hAnsi="Calibri" w:cs="Calibri"/>
        </w:rPr>
        <w:t xml:space="preserve">та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2"/>
        </w:rPr>
        <w:t>х</w:t>
      </w:r>
      <w:r w:rsidRPr="00CB7DDC">
        <w:rPr>
          <w:rFonts w:ascii="Calibri" w:eastAsia="Calibri" w:hAnsi="Calibri" w:cs="Calibri"/>
        </w:rPr>
        <w:t>върля 49%</w:t>
      </w:r>
      <w:r w:rsidRPr="00CB7DDC">
        <w:rPr>
          <w:rFonts w:ascii="Calibri" w:eastAsia="Calibri" w:hAnsi="Calibri" w:cs="Calibri"/>
          <w:spacing w:val="2"/>
        </w:rPr>
        <w:t xml:space="preserve"> </w:t>
      </w:r>
      <w:r w:rsidRPr="00CB7DDC">
        <w:rPr>
          <w:rFonts w:ascii="Calibri" w:eastAsia="Calibri" w:hAnsi="Calibri" w:cs="Calibri"/>
        </w:rPr>
        <w:t>от</w:t>
      </w:r>
      <w:r w:rsidRPr="00CB7DDC">
        <w:rPr>
          <w:rFonts w:ascii="Calibri" w:eastAsia="Calibri" w:hAnsi="Calibri" w:cs="Calibri"/>
          <w:spacing w:val="3"/>
        </w:rPr>
        <w:t xml:space="preserve"> </w:t>
      </w:r>
      <w:r w:rsidRPr="00CB7DDC">
        <w:rPr>
          <w:rFonts w:ascii="Calibri" w:eastAsia="Calibri" w:hAnsi="Calibri" w:cs="Calibri"/>
        </w:rPr>
        <w:t>дя</w:t>
      </w:r>
      <w:r w:rsidRPr="00CB7DDC">
        <w:rPr>
          <w:rFonts w:ascii="Calibri" w:eastAsia="Calibri" w:hAnsi="Calibri" w:cs="Calibri"/>
          <w:spacing w:val="-2"/>
        </w:rPr>
        <w:t>л</w:t>
      </w:r>
      <w:r w:rsidRPr="00CB7DDC">
        <w:rPr>
          <w:rFonts w:ascii="Calibri" w:eastAsia="Calibri" w:hAnsi="Calibri" w:cs="Calibri"/>
        </w:rPr>
        <w:t>овия</w:t>
      </w:r>
      <w:r w:rsidRPr="00CB7DDC">
        <w:rPr>
          <w:rFonts w:ascii="Calibri" w:eastAsia="Calibri" w:hAnsi="Calibri" w:cs="Calibri"/>
          <w:spacing w:val="2"/>
        </w:rPr>
        <w:t xml:space="preserve"> </w:t>
      </w:r>
      <w:r w:rsidRPr="00CB7DDC">
        <w:rPr>
          <w:rFonts w:ascii="Calibri" w:eastAsia="Calibri" w:hAnsi="Calibri" w:cs="Calibri"/>
          <w:spacing w:val="1"/>
        </w:rPr>
        <w:t>к</w:t>
      </w:r>
      <w:r w:rsidRPr="00CB7DDC">
        <w:rPr>
          <w:rFonts w:ascii="Calibri" w:eastAsia="Calibri" w:hAnsi="Calibri" w:cs="Calibri"/>
          <w:spacing w:val="-1"/>
        </w:rPr>
        <w:t>ап</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3"/>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rPr>
        <w:t>об</w:t>
      </w:r>
      <w:r w:rsidRPr="00CB7DDC">
        <w:rPr>
          <w:rFonts w:ascii="Calibri" w:eastAsia="Calibri" w:hAnsi="Calibri" w:cs="Calibri"/>
          <w:spacing w:val="-2"/>
        </w:rPr>
        <w:t>щ</w:t>
      </w:r>
      <w:r w:rsidRPr="00CB7DDC">
        <w:rPr>
          <w:rFonts w:ascii="Calibri" w:eastAsia="Calibri" w:hAnsi="Calibri" w:cs="Calibri"/>
          <w:spacing w:val="-1"/>
        </w:rPr>
        <w:t>и</w:t>
      </w:r>
      <w:r w:rsidRPr="00CB7DDC">
        <w:rPr>
          <w:rFonts w:ascii="Calibri" w:eastAsia="Calibri" w:hAnsi="Calibri" w:cs="Calibri"/>
          <w:spacing w:val="1"/>
        </w:rPr>
        <w:t>ни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w:t>
      </w:r>
      <w:r w:rsidRPr="00CB7DDC">
        <w:rPr>
          <w:rFonts w:ascii="Calibri" w:eastAsia="Calibri" w:hAnsi="Calibri" w:cs="Calibri"/>
          <w:spacing w:val="2"/>
        </w:rPr>
        <w:t xml:space="preserve"> </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spacing w:val="2"/>
        </w:rPr>
        <w:t>л</w:t>
      </w:r>
      <w:r w:rsidRPr="00CB7DDC">
        <w:rPr>
          <w:rFonts w:ascii="Calibri" w:eastAsia="Calibri" w:hAnsi="Calibri" w:cs="Calibri"/>
          <w:spacing w:val="-7"/>
        </w:rPr>
        <w:t>у</w:t>
      </w:r>
      <w:r w:rsidRPr="00CB7DDC">
        <w:rPr>
          <w:rFonts w:ascii="Calibri" w:eastAsia="Calibri" w:hAnsi="Calibri" w:cs="Calibri"/>
        </w:rPr>
        <w:t>ж</w:t>
      </w:r>
      <w:r w:rsidRPr="00CB7DDC">
        <w:rPr>
          <w:rFonts w:ascii="Calibri" w:eastAsia="Calibri" w:hAnsi="Calibri" w:cs="Calibri"/>
          <w:spacing w:val="1"/>
        </w:rPr>
        <w:t>в</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от</w:t>
      </w:r>
      <w:r w:rsidRPr="00CB7DDC">
        <w:rPr>
          <w:rFonts w:ascii="Calibri" w:eastAsia="Calibri" w:hAnsi="Calibri" w:cs="Calibri"/>
          <w:spacing w:val="1"/>
        </w:rPr>
        <w:t xml:space="preserve"> </w:t>
      </w:r>
      <w:r w:rsidRPr="00CB7DDC">
        <w:rPr>
          <w:rFonts w:ascii="Calibri" w:eastAsia="Calibri" w:hAnsi="Calibri" w:cs="Calibri"/>
          <w:spacing w:val="-2"/>
        </w:rPr>
        <w:t>т</w:t>
      </w:r>
      <w:r w:rsidRPr="00CB7DDC">
        <w:rPr>
          <w:rFonts w:ascii="Calibri" w:eastAsia="Calibri" w:hAnsi="Calibri" w:cs="Calibri"/>
          <w:spacing w:val="-1"/>
        </w:rPr>
        <w:t>е</w:t>
      </w:r>
      <w:r w:rsidRPr="00CB7DDC">
        <w:rPr>
          <w:rFonts w:ascii="Calibri" w:eastAsia="Calibri" w:hAnsi="Calibri" w:cs="Calibri"/>
          <w:spacing w:val="1"/>
        </w:rPr>
        <w:t>з</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д</w:t>
      </w:r>
      <w:r w:rsidRPr="00CB7DDC">
        <w:rPr>
          <w:rFonts w:ascii="Calibri" w:eastAsia="Calibri" w:hAnsi="Calibri" w:cs="Calibri"/>
          <w:spacing w:val="2"/>
        </w:rPr>
        <w:t>р</w:t>
      </w:r>
      <w:r w:rsidRPr="00CB7DDC">
        <w:rPr>
          <w:rFonts w:ascii="Calibri" w:eastAsia="Calibri" w:hAnsi="Calibri" w:cs="Calibri"/>
          <w:spacing w:val="-7"/>
        </w:rPr>
        <w:t>у</w:t>
      </w:r>
      <w:r w:rsidRPr="00CB7DDC">
        <w:rPr>
          <w:rFonts w:ascii="Calibri" w:eastAsia="Calibri" w:hAnsi="Calibri" w:cs="Calibri"/>
        </w:rPr>
        <w:t>ж</w:t>
      </w:r>
      <w:r w:rsidRPr="00CB7DDC">
        <w:rPr>
          <w:rFonts w:ascii="Calibri" w:eastAsia="Calibri" w:hAnsi="Calibri" w:cs="Calibri"/>
          <w:spacing w:val="1"/>
        </w:rPr>
        <w:t>е</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а</w:t>
      </w:r>
      <w:r w:rsidRPr="00CB7DDC">
        <w:rPr>
          <w:rFonts w:ascii="Calibri" w:eastAsia="Calibri" w:hAnsi="Calibri" w:cs="Calibri"/>
        </w:rPr>
        <w:t>.</w:t>
      </w:r>
      <w:r w:rsidRPr="00CB7DDC">
        <w:rPr>
          <w:rFonts w:ascii="Calibri" w:eastAsia="Calibri" w:hAnsi="Calibri" w:cs="Calibri"/>
          <w:spacing w:val="2"/>
        </w:rPr>
        <w:t xml:space="preserve"> </w:t>
      </w:r>
      <w:r w:rsidRPr="00CB7DDC">
        <w:rPr>
          <w:rFonts w:ascii="Calibri" w:eastAsia="Calibri" w:hAnsi="Calibri" w:cs="Calibri"/>
        </w:rPr>
        <w:t>Пр</w:t>
      </w:r>
      <w:r w:rsidRPr="00CB7DDC">
        <w:rPr>
          <w:rFonts w:ascii="Calibri" w:eastAsia="Calibri" w:hAnsi="Calibri" w:cs="Calibri"/>
          <w:spacing w:val="-1"/>
        </w:rPr>
        <w:t>е</w:t>
      </w:r>
      <w:r w:rsidRPr="00CB7DDC">
        <w:rPr>
          <w:rFonts w:ascii="Calibri" w:eastAsia="Calibri" w:hAnsi="Calibri" w:cs="Calibri"/>
        </w:rPr>
        <w:t>з то</w:t>
      </w:r>
      <w:r w:rsidRPr="00CB7DDC">
        <w:rPr>
          <w:rFonts w:ascii="Calibri" w:eastAsia="Calibri" w:hAnsi="Calibri" w:cs="Calibri"/>
          <w:spacing w:val="1"/>
        </w:rPr>
        <w:t>з</w:t>
      </w:r>
      <w:r w:rsidRPr="00CB7DDC">
        <w:rPr>
          <w:rFonts w:ascii="Calibri" w:eastAsia="Calibri" w:hAnsi="Calibri" w:cs="Calibri"/>
        </w:rPr>
        <w:t>и</w:t>
      </w:r>
      <w:r w:rsidRPr="00CB7DDC">
        <w:rPr>
          <w:rFonts w:ascii="Calibri" w:eastAsia="Calibri" w:hAnsi="Calibri" w:cs="Calibri"/>
          <w:spacing w:val="1"/>
        </w:rPr>
        <w:t xml:space="preserve"> п</w:t>
      </w:r>
      <w:r w:rsidRPr="00CB7DDC">
        <w:rPr>
          <w:rFonts w:ascii="Calibri" w:eastAsia="Calibri" w:hAnsi="Calibri" w:cs="Calibri"/>
          <w:spacing w:val="-1"/>
        </w:rPr>
        <w:t>е</w:t>
      </w:r>
      <w:r w:rsidRPr="00CB7DDC">
        <w:rPr>
          <w:rFonts w:ascii="Calibri" w:eastAsia="Calibri" w:hAnsi="Calibri" w:cs="Calibri"/>
        </w:rPr>
        <w:t>р</w:t>
      </w:r>
      <w:r w:rsidRPr="00CB7DDC">
        <w:rPr>
          <w:rFonts w:ascii="Calibri" w:eastAsia="Calibri" w:hAnsi="Calibri" w:cs="Calibri"/>
          <w:spacing w:val="1"/>
        </w:rPr>
        <w:t>и</w:t>
      </w:r>
      <w:r w:rsidRPr="00CB7DDC">
        <w:rPr>
          <w:rFonts w:ascii="Calibri" w:eastAsia="Calibri" w:hAnsi="Calibri" w:cs="Calibri"/>
        </w:rPr>
        <w:t>од</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rPr>
        <w:t>е</w:t>
      </w:r>
      <w:r w:rsidRPr="00CB7DDC">
        <w:rPr>
          <w:rFonts w:ascii="Calibri" w:eastAsia="Calibri" w:hAnsi="Calibri" w:cs="Calibri"/>
          <w:spacing w:val="3"/>
        </w:rPr>
        <w:t xml:space="preserve"> </w:t>
      </w:r>
      <w:r w:rsidRPr="00CB7DDC">
        <w:rPr>
          <w:rFonts w:ascii="Calibri" w:eastAsia="Calibri" w:hAnsi="Calibri" w:cs="Calibri"/>
          <w:spacing w:val="-5"/>
        </w:rPr>
        <w:t>у</w:t>
      </w:r>
      <w:r w:rsidRPr="00CB7DDC">
        <w:rPr>
          <w:rFonts w:ascii="Calibri" w:eastAsia="Calibri" w:hAnsi="Calibri" w:cs="Calibri"/>
          <w:spacing w:val="2"/>
        </w:rPr>
        <w:t>в</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и</w:t>
      </w:r>
      <w:r w:rsidRPr="00CB7DDC">
        <w:rPr>
          <w:rFonts w:ascii="Calibri" w:eastAsia="Calibri" w:hAnsi="Calibri" w:cs="Calibri"/>
          <w:spacing w:val="-1"/>
        </w:rPr>
        <w:t>ч</w:t>
      </w:r>
      <w:r w:rsidRPr="00CB7DDC">
        <w:rPr>
          <w:rFonts w:ascii="Calibri" w:eastAsia="Calibri" w:hAnsi="Calibri" w:cs="Calibri"/>
          <w:spacing w:val="1"/>
        </w:rPr>
        <w:t>а</w:t>
      </w:r>
      <w:r w:rsidRPr="00CB7DDC">
        <w:rPr>
          <w:rFonts w:ascii="Calibri" w:eastAsia="Calibri" w:hAnsi="Calibri" w:cs="Calibri"/>
        </w:rPr>
        <w:t>ва</w:t>
      </w:r>
      <w:r w:rsidRPr="00CB7DDC">
        <w:rPr>
          <w:rFonts w:ascii="Calibri" w:eastAsia="Calibri" w:hAnsi="Calibri" w:cs="Calibri"/>
          <w:spacing w:val="1"/>
        </w:rPr>
        <w:t xml:space="preserve"> зн</w:t>
      </w:r>
      <w:r w:rsidRPr="00CB7DDC">
        <w:rPr>
          <w:rFonts w:ascii="Calibri" w:eastAsia="Calibri" w:hAnsi="Calibri" w:cs="Calibri"/>
          <w:spacing w:val="-1"/>
        </w:rPr>
        <w:t>ач</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2"/>
        </w:rPr>
        <w:t xml:space="preserve"> </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 xml:space="preserve">броят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2"/>
        </w:rPr>
        <w:t xml:space="preserve"> </w:t>
      </w:r>
      <w:r w:rsidRPr="00CB7DDC">
        <w:rPr>
          <w:rFonts w:ascii="Calibri" w:eastAsia="Calibri" w:hAnsi="Calibri" w:cs="Calibri"/>
        </w:rPr>
        <w:t>д</w:t>
      </w:r>
      <w:r w:rsidRPr="00CB7DDC">
        <w:rPr>
          <w:rFonts w:ascii="Calibri" w:eastAsia="Calibri" w:hAnsi="Calibri" w:cs="Calibri"/>
          <w:spacing w:val="2"/>
        </w:rPr>
        <w:t>р</w:t>
      </w:r>
      <w:r w:rsidRPr="00CB7DDC">
        <w:rPr>
          <w:rFonts w:ascii="Calibri" w:eastAsia="Calibri" w:hAnsi="Calibri" w:cs="Calibri"/>
          <w:spacing w:val="-5"/>
        </w:rPr>
        <w:t>у</w:t>
      </w:r>
      <w:r w:rsidRPr="00CB7DDC">
        <w:rPr>
          <w:rFonts w:ascii="Calibri" w:eastAsia="Calibri" w:hAnsi="Calibri" w:cs="Calibri"/>
          <w:spacing w:val="2"/>
        </w:rPr>
        <w:t>ж</w:t>
      </w:r>
      <w:r w:rsidRPr="00CB7DDC">
        <w:rPr>
          <w:rFonts w:ascii="Calibri" w:eastAsia="Calibri" w:hAnsi="Calibri" w:cs="Calibri"/>
          <w:spacing w:val="-1"/>
        </w:rPr>
        <w:t>е</w:t>
      </w:r>
      <w:r w:rsidRPr="00CB7DDC">
        <w:rPr>
          <w:rFonts w:ascii="Calibri" w:eastAsia="Calibri" w:hAnsi="Calibri" w:cs="Calibri"/>
          <w:spacing w:val="7"/>
        </w:rPr>
        <w:t>с</w:t>
      </w:r>
      <w:r w:rsidRPr="00CB7DDC">
        <w:rPr>
          <w:rFonts w:ascii="Calibri" w:eastAsia="Calibri" w:hAnsi="Calibri" w:cs="Calibri"/>
        </w:rPr>
        <w:t>тв</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rPr>
        <w:t>.</w:t>
      </w:r>
      <w:r w:rsidRPr="00CB7DDC">
        <w:rPr>
          <w:rFonts w:ascii="Calibri" w:eastAsia="Calibri" w:hAnsi="Calibri" w:cs="Calibri"/>
          <w:spacing w:val="4"/>
        </w:rPr>
        <w:t xml:space="preserve"> </w:t>
      </w:r>
      <w:r w:rsidRPr="00CB7DDC">
        <w:rPr>
          <w:rFonts w:ascii="Calibri" w:eastAsia="Calibri" w:hAnsi="Calibri" w:cs="Calibri"/>
          <w:spacing w:val="2"/>
        </w:rPr>
        <w:t>Н</w:t>
      </w:r>
      <w:r w:rsidRPr="00CB7DDC">
        <w:rPr>
          <w:rFonts w:ascii="Calibri" w:eastAsia="Calibri" w:hAnsi="Calibri" w:cs="Calibri"/>
        </w:rPr>
        <w:t>я</w:t>
      </w:r>
      <w:r w:rsidRPr="00CB7DDC">
        <w:rPr>
          <w:rFonts w:ascii="Calibri" w:eastAsia="Calibri" w:hAnsi="Calibri" w:cs="Calibri"/>
          <w:spacing w:val="1"/>
        </w:rPr>
        <w:t>к</w:t>
      </w:r>
      <w:r w:rsidRPr="00CB7DDC">
        <w:rPr>
          <w:rFonts w:ascii="Calibri" w:eastAsia="Calibri" w:hAnsi="Calibri" w:cs="Calibri"/>
        </w:rPr>
        <w:t>ои</w:t>
      </w:r>
      <w:r w:rsidRPr="00CB7DDC">
        <w:rPr>
          <w:rFonts w:ascii="Calibri" w:eastAsia="Calibri" w:hAnsi="Calibri" w:cs="Calibri"/>
          <w:spacing w:val="3"/>
        </w:rPr>
        <w:t xml:space="preserve"> </w:t>
      </w:r>
      <w:r w:rsidRPr="00CB7DDC">
        <w:rPr>
          <w:rFonts w:ascii="Calibri" w:eastAsia="Calibri" w:hAnsi="Calibri" w:cs="Calibri"/>
        </w:rPr>
        <w:t>от</w:t>
      </w:r>
      <w:r w:rsidRPr="00CB7DDC">
        <w:rPr>
          <w:rFonts w:ascii="Calibri" w:eastAsia="Calibri" w:hAnsi="Calibri" w:cs="Calibri"/>
          <w:spacing w:val="3"/>
        </w:rPr>
        <w:t xml:space="preserve"> </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м</w:t>
      </w:r>
      <w:r w:rsidRPr="00CB7DDC">
        <w:rPr>
          <w:rFonts w:ascii="Calibri" w:eastAsia="Calibri" w:hAnsi="Calibri" w:cs="Calibri"/>
          <w:spacing w:val="1"/>
        </w:rPr>
        <w:t>п</w:t>
      </w:r>
      <w:r w:rsidRPr="00CB7DDC">
        <w:rPr>
          <w:rFonts w:ascii="Calibri" w:eastAsia="Calibri" w:hAnsi="Calibri" w:cs="Calibri"/>
          <w:spacing w:val="-1"/>
        </w:rPr>
        <w:t>ан</w:t>
      </w:r>
      <w:r w:rsidRPr="00CB7DDC">
        <w:rPr>
          <w:rFonts w:ascii="Calibri" w:eastAsia="Calibri" w:hAnsi="Calibri" w:cs="Calibri"/>
          <w:spacing w:val="1"/>
        </w:rPr>
        <w:t>и</w:t>
      </w:r>
      <w:r w:rsidRPr="00CB7DDC">
        <w:rPr>
          <w:rFonts w:ascii="Calibri" w:eastAsia="Calibri" w:hAnsi="Calibri" w:cs="Calibri"/>
          <w:spacing w:val="-1"/>
        </w:rPr>
        <w:t>и</w:t>
      </w:r>
      <w:r w:rsidRPr="00CB7DDC">
        <w:rPr>
          <w:rFonts w:ascii="Calibri" w:eastAsia="Calibri" w:hAnsi="Calibri" w:cs="Calibri"/>
        </w:rPr>
        <w:t>те о</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rPr>
        <w:t>в</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2"/>
        </w:rPr>
        <w:t xml:space="preserve"> </w:t>
      </w:r>
      <w:r w:rsidRPr="00CB7DDC">
        <w:rPr>
          <w:rFonts w:ascii="Calibri" w:eastAsia="Calibri" w:hAnsi="Calibri" w:cs="Calibri"/>
        </w:rPr>
        <w:t>100%</w:t>
      </w:r>
      <w:r w:rsidRPr="00CB7DDC">
        <w:rPr>
          <w:rFonts w:ascii="Calibri" w:eastAsia="Calibri" w:hAnsi="Calibri" w:cs="Calibri"/>
          <w:spacing w:val="1"/>
        </w:rPr>
        <w:t xml:space="preserve"> </w:t>
      </w:r>
      <w:r w:rsidRPr="00CB7DDC">
        <w:rPr>
          <w:rFonts w:ascii="Calibri" w:eastAsia="Calibri" w:hAnsi="Calibri" w:cs="Calibri"/>
        </w:rPr>
        <w:t>д</w:t>
      </w:r>
      <w:r w:rsidRPr="00CB7DDC">
        <w:rPr>
          <w:rFonts w:ascii="Calibri" w:eastAsia="Calibri" w:hAnsi="Calibri" w:cs="Calibri"/>
          <w:spacing w:val="1"/>
        </w:rPr>
        <w:t>ъ</w:t>
      </w:r>
      <w:r w:rsidRPr="00CB7DDC">
        <w:rPr>
          <w:rFonts w:ascii="Calibri" w:eastAsia="Calibri" w:hAnsi="Calibri" w:cs="Calibri"/>
        </w:rPr>
        <w:t>рж</w:t>
      </w:r>
      <w:r w:rsidRPr="00CB7DDC">
        <w:rPr>
          <w:rFonts w:ascii="Calibri" w:eastAsia="Calibri" w:hAnsi="Calibri" w:cs="Calibri"/>
          <w:spacing w:val="-1"/>
        </w:rPr>
        <w:t>а</w:t>
      </w:r>
      <w:r w:rsidRPr="00CB7DDC">
        <w:rPr>
          <w:rFonts w:ascii="Calibri" w:eastAsia="Calibri" w:hAnsi="Calibri" w:cs="Calibri"/>
        </w:rPr>
        <w:t>вна</w:t>
      </w:r>
      <w:r w:rsidRPr="00CB7DDC">
        <w:rPr>
          <w:rFonts w:ascii="Calibri" w:eastAsia="Calibri" w:hAnsi="Calibri" w:cs="Calibri"/>
          <w:spacing w:val="1"/>
        </w:rPr>
        <w:t xml:space="preserve"> </w:t>
      </w:r>
      <w:r w:rsidRPr="00CB7DDC">
        <w:rPr>
          <w:rFonts w:ascii="Calibri" w:eastAsia="Calibri" w:hAnsi="Calibri" w:cs="Calibri"/>
          <w:spacing w:val="-1"/>
        </w:rPr>
        <w:t>с</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2"/>
        </w:rPr>
        <w:t xml:space="preserve"> </w:t>
      </w:r>
      <w:r w:rsidRPr="00CB7DDC">
        <w:rPr>
          <w:rFonts w:ascii="Calibri" w:eastAsia="Calibri" w:hAnsi="Calibri" w:cs="Calibri"/>
        </w:rPr>
        <w:t>до</w:t>
      </w:r>
      <w:r w:rsidRPr="00CB7DDC">
        <w:rPr>
          <w:rFonts w:ascii="Calibri" w:eastAsia="Calibri" w:hAnsi="Calibri" w:cs="Calibri"/>
          <w:spacing w:val="1"/>
        </w:rPr>
        <w:t>к</w:t>
      </w:r>
      <w:r w:rsidRPr="00CB7DDC">
        <w:rPr>
          <w:rFonts w:ascii="Calibri" w:eastAsia="Calibri" w:hAnsi="Calibri" w:cs="Calibri"/>
          <w:spacing w:val="-1"/>
        </w:rPr>
        <w:t>а</w:t>
      </w:r>
      <w:r w:rsidRPr="00CB7DDC">
        <w:rPr>
          <w:rFonts w:ascii="Calibri" w:eastAsia="Calibri" w:hAnsi="Calibri" w:cs="Calibri"/>
        </w:rPr>
        <w:t xml:space="preserve">то </w:t>
      </w:r>
      <w:r w:rsidRPr="00CB7DDC">
        <w:rPr>
          <w:rFonts w:ascii="Calibri" w:eastAsia="Calibri" w:hAnsi="Calibri" w:cs="Calibri"/>
          <w:spacing w:val="-1"/>
        </w:rPr>
        <w:t>с</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тта</w:t>
      </w:r>
      <w:r w:rsidRPr="00CB7DDC">
        <w:rPr>
          <w:rFonts w:ascii="Calibri" w:eastAsia="Calibri" w:hAnsi="Calibri" w:cs="Calibri"/>
          <w:spacing w:val="1"/>
        </w:rPr>
        <w:t xml:space="preserve"> 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rPr>
        <w:t>д</w:t>
      </w:r>
      <w:r w:rsidRPr="00CB7DDC">
        <w:rPr>
          <w:rFonts w:ascii="Calibri" w:eastAsia="Calibri" w:hAnsi="Calibri" w:cs="Calibri"/>
          <w:spacing w:val="2"/>
        </w:rPr>
        <w:t>р</w:t>
      </w:r>
      <w:r w:rsidRPr="00CB7DDC">
        <w:rPr>
          <w:rFonts w:ascii="Calibri" w:eastAsia="Calibri" w:hAnsi="Calibri" w:cs="Calibri"/>
          <w:spacing w:val="-5"/>
        </w:rPr>
        <w:t>у</w:t>
      </w:r>
      <w:r w:rsidRPr="00CB7DDC">
        <w:rPr>
          <w:rFonts w:ascii="Calibri" w:eastAsia="Calibri" w:hAnsi="Calibri" w:cs="Calibri"/>
          <w:spacing w:val="2"/>
        </w:rPr>
        <w:t>г</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(об</w:t>
      </w:r>
      <w:r w:rsidRPr="00CB7DDC">
        <w:rPr>
          <w:rFonts w:ascii="Calibri" w:eastAsia="Calibri" w:hAnsi="Calibri" w:cs="Calibri"/>
          <w:spacing w:val="-2"/>
        </w:rPr>
        <w:t>и</w:t>
      </w:r>
      <w:r w:rsidRPr="00CB7DDC">
        <w:rPr>
          <w:rFonts w:ascii="Calibri" w:eastAsia="Calibri" w:hAnsi="Calibri" w:cs="Calibri"/>
          <w:spacing w:val="1"/>
        </w:rPr>
        <w:t>кн</w:t>
      </w:r>
      <w:r w:rsidRPr="00CB7DDC">
        <w:rPr>
          <w:rFonts w:ascii="Calibri" w:eastAsia="Calibri" w:hAnsi="Calibri" w:cs="Calibri"/>
        </w:rPr>
        <w:t>ов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 xml:space="preserve">о </w:t>
      </w:r>
      <w:r w:rsidRPr="00CB7DDC">
        <w:rPr>
          <w:rFonts w:ascii="Calibri" w:eastAsia="Calibri" w:hAnsi="Calibri" w:cs="Calibri"/>
          <w:spacing w:val="1"/>
        </w:rPr>
        <w:t>п</w:t>
      </w:r>
      <w:r w:rsidRPr="00CB7DDC">
        <w:rPr>
          <w:rFonts w:ascii="Calibri" w:eastAsia="Calibri" w:hAnsi="Calibri" w:cs="Calibri"/>
          <w:spacing w:val="9"/>
        </w:rPr>
        <w:t>о</w:t>
      </w:r>
      <w:r w:rsidRPr="00CB7DDC">
        <w:rPr>
          <w:rFonts w:ascii="Calibri" w:eastAsia="Calibri" w:hAnsi="Calibri" w:cs="Calibri"/>
        </w:rPr>
        <w:t>-</w:t>
      </w:r>
      <w:r w:rsidRPr="00CB7DDC">
        <w:rPr>
          <w:rFonts w:ascii="Calibri" w:eastAsia="Calibri" w:hAnsi="Calibri" w:cs="Calibri"/>
          <w:spacing w:val="-1"/>
        </w:rPr>
        <w:t>ма</w:t>
      </w:r>
      <w:r w:rsidRPr="00CB7DDC">
        <w:rPr>
          <w:rFonts w:ascii="Calibri" w:eastAsia="Calibri" w:hAnsi="Calibri" w:cs="Calibri"/>
        </w:rPr>
        <w:t>л</w:t>
      </w:r>
      <w:r w:rsidRPr="00CB7DDC">
        <w:rPr>
          <w:rFonts w:ascii="Calibri" w:eastAsia="Calibri" w:hAnsi="Calibri" w:cs="Calibri"/>
          <w:spacing w:val="1"/>
        </w:rPr>
        <w:t>ки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 xml:space="preserve">,  </w:t>
      </w:r>
      <w:r w:rsidRPr="00CB7DDC">
        <w:rPr>
          <w:rFonts w:ascii="Calibri" w:eastAsia="Calibri" w:hAnsi="Calibri" w:cs="Calibri"/>
          <w:spacing w:val="2"/>
        </w:rPr>
        <w:t xml:space="preserve"> </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spacing w:val="2"/>
        </w:rPr>
        <w:t>л</w:t>
      </w:r>
      <w:r w:rsidRPr="00CB7DDC">
        <w:rPr>
          <w:rFonts w:ascii="Calibri" w:eastAsia="Calibri" w:hAnsi="Calibri" w:cs="Calibri"/>
          <w:spacing w:val="-5"/>
        </w:rPr>
        <w:t>у</w:t>
      </w:r>
      <w:r w:rsidRPr="00CB7DDC">
        <w:rPr>
          <w:rFonts w:ascii="Calibri" w:eastAsia="Calibri" w:hAnsi="Calibri" w:cs="Calibri"/>
        </w:rPr>
        <w:t>ж</w:t>
      </w:r>
      <w:r w:rsidRPr="00CB7DDC">
        <w:rPr>
          <w:rFonts w:ascii="Calibri" w:eastAsia="Calibri" w:hAnsi="Calibri" w:cs="Calibri"/>
          <w:spacing w:val="1"/>
        </w:rPr>
        <w:t>в</w:t>
      </w:r>
      <w:r w:rsidRPr="00CB7DDC">
        <w:rPr>
          <w:rFonts w:ascii="Calibri" w:eastAsia="Calibri" w:hAnsi="Calibri" w:cs="Calibri"/>
          <w:spacing w:val="-1"/>
        </w:rPr>
        <w:t>а</w:t>
      </w:r>
      <w:r w:rsidRPr="00CB7DDC">
        <w:rPr>
          <w:rFonts w:ascii="Calibri" w:eastAsia="Calibri" w:hAnsi="Calibri" w:cs="Calibri"/>
        </w:rPr>
        <w:t xml:space="preserve">щи  </w:t>
      </w:r>
      <w:r w:rsidRPr="00CB7DDC">
        <w:rPr>
          <w:rFonts w:ascii="Calibri" w:eastAsia="Calibri" w:hAnsi="Calibri" w:cs="Calibri"/>
          <w:spacing w:val="3"/>
        </w:rPr>
        <w:t xml:space="preserve"> </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 xml:space="preserve"> </w:t>
      </w:r>
      <w:r w:rsidRPr="00CB7DDC">
        <w:rPr>
          <w:rFonts w:ascii="Calibri" w:eastAsia="Calibri" w:hAnsi="Calibri" w:cs="Calibri"/>
        </w:rPr>
        <w:t>общ</w:t>
      </w:r>
      <w:r w:rsidRPr="00CB7DDC">
        <w:rPr>
          <w:rFonts w:ascii="Calibri" w:eastAsia="Calibri" w:hAnsi="Calibri" w:cs="Calibri"/>
          <w:spacing w:val="1"/>
        </w:rPr>
        <w:t>ин</w:t>
      </w:r>
      <w:r w:rsidRPr="00CB7DDC">
        <w:rPr>
          <w:rFonts w:ascii="Calibri" w:eastAsia="Calibri" w:hAnsi="Calibri" w:cs="Calibri"/>
          <w:spacing w:val="-1"/>
        </w:rPr>
        <w:t>а</w:t>
      </w:r>
      <w:r w:rsidRPr="00CB7DDC">
        <w:rPr>
          <w:rFonts w:ascii="Calibri" w:eastAsia="Calibri" w:hAnsi="Calibri" w:cs="Calibri"/>
        </w:rPr>
        <w:t xml:space="preserve">)  </w:t>
      </w:r>
      <w:r w:rsidRPr="00CB7DDC">
        <w:rPr>
          <w:rFonts w:ascii="Calibri" w:eastAsia="Calibri" w:hAnsi="Calibri" w:cs="Calibri"/>
          <w:spacing w:val="1"/>
        </w:rPr>
        <w:t xml:space="preserve"> </w:t>
      </w:r>
      <w:r w:rsidRPr="00CB7DDC">
        <w:rPr>
          <w:rFonts w:ascii="Calibri" w:eastAsia="Calibri" w:hAnsi="Calibri" w:cs="Calibri"/>
        </w:rPr>
        <w:t xml:space="preserve">е  </w:t>
      </w:r>
      <w:r w:rsidRPr="00CB7DDC">
        <w:rPr>
          <w:rFonts w:ascii="Calibri" w:eastAsia="Calibri" w:hAnsi="Calibri" w:cs="Calibri"/>
          <w:spacing w:val="1"/>
        </w:rPr>
        <w:t xml:space="preserve">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2"/>
        </w:rPr>
        <w:t>х</w:t>
      </w:r>
      <w:r w:rsidRPr="00CB7DDC">
        <w:rPr>
          <w:rFonts w:ascii="Calibri" w:eastAsia="Calibri" w:hAnsi="Calibri" w:cs="Calibri"/>
        </w:rPr>
        <w:t xml:space="preserve">върлена  </w:t>
      </w:r>
      <w:r w:rsidRPr="00CB7DDC">
        <w:rPr>
          <w:rFonts w:ascii="Calibri" w:eastAsia="Calibri" w:hAnsi="Calibri" w:cs="Calibri"/>
          <w:spacing w:val="2"/>
        </w:rPr>
        <w:t xml:space="preserve"> </w:t>
      </w:r>
      <w:r w:rsidRPr="00CB7DDC">
        <w:rPr>
          <w:rFonts w:ascii="Calibri" w:eastAsia="Calibri" w:hAnsi="Calibri" w:cs="Calibri"/>
          <w:spacing w:val="1"/>
        </w:rPr>
        <w:t>и</w:t>
      </w:r>
      <w:r w:rsidRPr="00CB7DDC">
        <w:rPr>
          <w:rFonts w:ascii="Calibri" w:eastAsia="Calibri" w:hAnsi="Calibri" w:cs="Calibri"/>
          <w:spacing w:val="-1"/>
        </w:rPr>
        <w:t>з</w:t>
      </w:r>
      <w:r w:rsidRPr="00CB7DDC">
        <w:rPr>
          <w:rFonts w:ascii="Calibri" w:eastAsia="Calibri" w:hAnsi="Calibri" w:cs="Calibri"/>
          <w:spacing w:val="1"/>
        </w:rPr>
        <w:t>ц</w:t>
      </w:r>
      <w:r w:rsidRPr="00CB7DDC">
        <w:rPr>
          <w:rFonts w:ascii="Calibri" w:eastAsia="Calibri" w:hAnsi="Calibri" w:cs="Calibri"/>
        </w:rPr>
        <w:t xml:space="preserve">яло   </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 xml:space="preserve"> </w:t>
      </w:r>
      <w:r w:rsidRPr="00CB7DDC">
        <w:rPr>
          <w:rFonts w:ascii="Calibri" w:eastAsia="Calibri" w:hAnsi="Calibri" w:cs="Calibri"/>
        </w:rPr>
        <w:t>общ</w:t>
      </w:r>
      <w:r w:rsidRPr="00CB7DDC">
        <w:rPr>
          <w:rFonts w:ascii="Calibri" w:eastAsia="Calibri" w:hAnsi="Calibri" w:cs="Calibri"/>
          <w:spacing w:val="1"/>
        </w:rPr>
        <w:t>ин</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rPr>
        <w:t xml:space="preserve">,  </w:t>
      </w:r>
      <w:r w:rsidRPr="00CB7DDC">
        <w:rPr>
          <w:rFonts w:ascii="Calibri" w:eastAsia="Calibri" w:hAnsi="Calibri" w:cs="Calibri"/>
          <w:spacing w:val="2"/>
        </w:rPr>
        <w:t xml:space="preserve"> </w:t>
      </w:r>
      <w:r w:rsidRPr="00CB7DDC">
        <w:rPr>
          <w:rFonts w:ascii="Calibri" w:eastAsia="Calibri" w:hAnsi="Calibri" w:cs="Calibri"/>
          <w:spacing w:val="1"/>
        </w:rPr>
        <w:t>к</w:t>
      </w:r>
      <w:r w:rsidRPr="00CB7DDC">
        <w:rPr>
          <w:rFonts w:ascii="Calibri" w:eastAsia="Calibri" w:hAnsi="Calibri" w:cs="Calibri"/>
        </w:rPr>
        <w:t>оято об</w:t>
      </w:r>
      <w:r w:rsidRPr="00CB7DDC">
        <w:rPr>
          <w:rFonts w:ascii="Calibri" w:eastAsia="Calibri" w:hAnsi="Calibri" w:cs="Calibri"/>
          <w:spacing w:val="-1"/>
        </w:rPr>
        <w:t>с</w:t>
      </w:r>
      <w:r w:rsidRPr="00CB7DDC">
        <w:rPr>
          <w:rFonts w:ascii="Calibri" w:eastAsia="Calibri" w:hAnsi="Calibri" w:cs="Calibri"/>
          <w:spacing w:val="2"/>
        </w:rPr>
        <w:t>л</w:t>
      </w:r>
      <w:r w:rsidRPr="00CB7DDC">
        <w:rPr>
          <w:rFonts w:ascii="Calibri" w:eastAsia="Calibri" w:hAnsi="Calibri" w:cs="Calibri"/>
          <w:spacing w:val="-5"/>
        </w:rPr>
        <w:t>у</w:t>
      </w:r>
      <w:r w:rsidRPr="00CB7DDC">
        <w:rPr>
          <w:rFonts w:ascii="Calibri" w:eastAsia="Calibri" w:hAnsi="Calibri" w:cs="Calibri"/>
          <w:spacing w:val="2"/>
        </w:rPr>
        <w:t>ж</w:t>
      </w:r>
      <w:r w:rsidRPr="00CB7DDC">
        <w:rPr>
          <w:rFonts w:ascii="Calibri" w:eastAsia="Calibri" w:hAnsi="Calibri" w:cs="Calibri"/>
        </w:rPr>
        <w:t>в</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5"/>
        </w:rPr>
        <w:t xml:space="preserve"> </w:t>
      </w:r>
      <w:r w:rsidRPr="00CB7DDC">
        <w:rPr>
          <w:rFonts w:ascii="Calibri" w:eastAsia="Calibri" w:hAnsi="Calibri" w:cs="Calibri"/>
          <w:spacing w:val="-2"/>
        </w:rPr>
        <w:t>В</w:t>
      </w:r>
      <w:r w:rsidRPr="00CB7DDC">
        <w:rPr>
          <w:rFonts w:ascii="Calibri" w:eastAsia="Calibri" w:hAnsi="Calibri" w:cs="Calibri"/>
        </w:rPr>
        <w:t>ъ</w:t>
      </w:r>
      <w:r w:rsidRPr="00CB7DDC">
        <w:rPr>
          <w:rFonts w:ascii="Calibri" w:eastAsia="Calibri" w:hAnsi="Calibri" w:cs="Calibri"/>
          <w:spacing w:val="2"/>
        </w:rPr>
        <w:t>з</w:t>
      </w:r>
      <w:r w:rsidRPr="00CB7DDC">
        <w:rPr>
          <w:rFonts w:ascii="Calibri" w:eastAsia="Calibri" w:hAnsi="Calibri" w:cs="Calibri"/>
          <w:spacing w:val="1"/>
        </w:rPr>
        <w:t>ни</w:t>
      </w:r>
      <w:r w:rsidRPr="00CB7DDC">
        <w:rPr>
          <w:rFonts w:ascii="Calibri" w:eastAsia="Calibri" w:hAnsi="Calibri" w:cs="Calibri"/>
          <w:spacing w:val="-1"/>
        </w:rPr>
        <w:t>к</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и</w:t>
      </w:r>
      <w:r w:rsidRPr="00CB7DDC">
        <w:rPr>
          <w:rFonts w:ascii="Calibri" w:eastAsia="Calibri" w:hAnsi="Calibri" w:cs="Calibri"/>
        </w:rPr>
        <w:t>те</w:t>
      </w:r>
      <w:r w:rsidRPr="00CB7DDC">
        <w:rPr>
          <w:rFonts w:ascii="Calibri" w:eastAsia="Calibri" w:hAnsi="Calibri" w:cs="Calibri"/>
          <w:spacing w:val="4"/>
        </w:rPr>
        <w:t xml:space="preserve"> </w:t>
      </w:r>
      <w:r w:rsidRPr="00CB7DDC">
        <w:rPr>
          <w:rFonts w:ascii="Calibri" w:eastAsia="Calibri" w:hAnsi="Calibri" w:cs="Calibri"/>
        </w:rPr>
        <w:t>в</w:t>
      </w:r>
      <w:r w:rsidRPr="00CB7DDC">
        <w:rPr>
          <w:rFonts w:ascii="Calibri" w:eastAsia="Calibri" w:hAnsi="Calibri" w:cs="Calibri"/>
          <w:spacing w:val="5"/>
        </w:rPr>
        <w:t xml:space="preserve"> </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3"/>
        </w:rPr>
        <w:t>з</w:t>
      </w:r>
      <w:r w:rsidRPr="00CB7DDC">
        <w:rPr>
          <w:rFonts w:ascii="Calibri" w:eastAsia="Calibri" w:hAnsi="Calibri" w:cs="Calibri"/>
          <w:spacing w:val="-5"/>
        </w:rPr>
        <w:t>у</w:t>
      </w:r>
      <w:r w:rsidRPr="00CB7DDC">
        <w:rPr>
          <w:rFonts w:ascii="Calibri" w:eastAsia="Calibri" w:hAnsi="Calibri" w:cs="Calibri"/>
        </w:rPr>
        <w:t>л</w:t>
      </w:r>
      <w:r w:rsidRPr="00CB7DDC">
        <w:rPr>
          <w:rFonts w:ascii="Calibri" w:eastAsia="Calibri" w:hAnsi="Calibri" w:cs="Calibri"/>
          <w:spacing w:val="1"/>
        </w:rPr>
        <w:t>т</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6"/>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4"/>
        </w:rPr>
        <w:t xml:space="preserve"> </w:t>
      </w:r>
      <w:r w:rsidRPr="00CB7DDC">
        <w:rPr>
          <w:rFonts w:ascii="Calibri" w:eastAsia="Calibri" w:hAnsi="Calibri" w:cs="Calibri"/>
        </w:rPr>
        <w:t>това</w:t>
      </w:r>
      <w:r w:rsidRPr="00CB7DDC">
        <w:rPr>
          <w:rFonts w:ascii="Calibri" w:eastAsia="Calibri" w:hAnsi="Calibri" w:cs="Calibri"/>
          <w:spacing w:val="4"/>
        </w:rPr>
        <w:t xml:space="preserve"> </w:t>
      </w:r>
      <w:r w:rsidRPr="00CB7DDC">
        <w:rPr>
          <w:rFonts w:ascii="Calibri" w:eastAsia="Calibri" w:hAnsi="Calibri" w:cs="Calibri"/>
          <w:spacing w:val="-1"/>
        </w:rPr>
        <w:t>нес</w:t>
      </w:r>
      <w:r w:rsidRPr="00CB7DDC">
        <w:rPr>
          <w:rFonts w:ascii="Calibri" w:eastAsia="Calibri" w:hAnsi="Calibri" w:cs="Calibri"/>
        </w:rPr>
        <w:t>ъотв</w:t>
      </w:r>
      <w:r w:rsidRPr="00CB7DDC">
        <w:rPr>
          <w:rFonts w:ascii="Calibri" w:eastAsia="Calibri" w:hAnsi="Calibri" w:cs="Calibri"/>
          <w:spacing w:val="-1"/>
        </w:rPr>
        <w:t>е</w:t>
      </w:r>
      <w:r w:rsidRPr="00CB7DDC">
        <w:rPr>
          <w:rFonts w:ascii="Calibri" w:eastAsia="Calibri" w:hAnsi="Calibri" w:cs="Calibri"/>
        </w:rPr>
        <w:t>т</w:t>
      </w:r>
      <w:r w:rsidRPr="00CB7DDC">
        <w:rPr>
          <w:rFonts w:ascii="Calibri" w:eastAsia="Calibri" w:hAnsi="Calibri" w:cs="Calibri"/>
          <w:spacing w:val="-1"/>
        </w:rPr>
        <w:t>с</w:t>
      </w:r>
      <w:r w:rsidRPr="00CB7DDC">
        <w:rPr>
          <w:rFonts w:ascii="Calibri" w:eastAsia="Calibri" w:hAnsi="Calibri" w:cs="Calibri"/>
        </w:rPr>
        <w:t>твия</w:t>
      </w:r>
      <w:r w:rsidRPr="00CB7DDC">
        <w:rPr>
          <w:rFonts w:ascii="Calibri" w:eastAsia="Calibri" w:hAnsi="Calibri" w:cs="Calibri"/>
          <w:spacing w:val="5"/>
        </w:rPr>
        <w:t xml:space="preserve"> </w:t>
      </w:r>
      <w:r w:rsidRPr="00CB7DDC">
        <w:rPr>
          <w:rFonts w:ascii="Calibri" w:eastAsia="Calibri" w:hAnsi="Calibri" w:cs="Calibri"/>
          <w:spacing w:val="-1"/>
        </w:rPr>
        <w:t>ме</w:t>
      </w:r>
      <w:r w:rsidRPr="00CB7DDC">
        <w:rPr>
          <w:rFonts w:ascii="Calibri" w:eastAsia="Calibri" w:hAnsi="Calibri" w:cs="Calibri"/>
        </w:rPr>
        <w:t>ж</w:t>
      </w:r>
      <w:r w:rsidRPr="00CB7DDC">
        <w:rPr>
          <w:rFonts w:ascii="Calibri" w:eastAsia="Calibri" w:hAnsi="Calibri" w:cs="Calibri"/>
          <w:spacing w:val="5"/>
        </w:rPr>
        <w:t>д</w:t>
      </w:r>
      <w:r w:rsidRPr="00CB7DDC">
        <w:rPr>
          <w:rFonts w:ascii="Calibri" w:eastAsia="Calibri" w:hAnsi="Calibri" w:cs="Calibri"/>
        </w:rPr>
        <w:t xml:space="preserve">у </w:t>
      </w:r>
      <w:r w:rsidRPr="00CB7DDC">
        <w:rPr>
          <w:rFonts w:ascii="Calibri" w:eastAsia="Calibri" w:hAnsi="Calibri" w:cs="Calibri"/>
          <w:spacing w:val="1"/>
        </w:rPr>
        <w:t>с</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10"/>
        </w:rPr>
        <w:t>т</w:t>
      </w:r>
      <w:r w:rsidRPr="00CB7DDC">
        <w:rPr>
          <w:rFonts w:ascii="Calibri" w:eastAsia="Calibri" w:hAnsi="Calibri" w:cs="Calibri"/>
        </w:rPr>
        <w:t>а</w:t>
      </w:r>
      <w:r w:rsidRPr="00CB7DDC">
        <w:rPr>
          <w:rFonts w:ascii="Calibri" w:eastAsia="Calibri" w:hAnsi="Calibri" w:cs="Calibri"/>
          <w:spacing w:val="4"/>
        </w:rPr>
        <w:t xml:space="preserve"> </w:t>
      </w:r>
      <w:r w:rsidRPr="00CB7DDC">
        <w:rPr>
          <w:rFonts w:ascii="Calibri" w:eastAsia="Calibri" w:hAnsi="Calibri" w:cs="Calibri"/>
        </w:rPr>
        <w:t>вър</w:t>
      </w:r>
      <w:r w:rsidRPr="00CB7DDC">
        <w:rPr>
          <w:rFonts w:ascii="Calibri" w:eastAsia="Calibri" w:hAnsi="Calibri" w:cs="Calibri"/>
          <w:spacing w:val="5"/>
        </w:rPr>
        <w:t>х</w:t>
      </w:r>
      <w:r w:rsidRPr="00CB7DDC">
        <w:rPr>
          <w:rFonts w:ascii="Calibri" w:eastAsia="Calibri" w:hAnsi="Calibri" w:cs="Calibri"/>
        </w:rPr>
        <w:t>у р</w:t>
      </w:r>
      <w:r w:rsidRPr="00CB7DDC">
        <w:rPr>
          <w:rFonts w:ascii="Calibri" w:eastAsia="Calibri" w:hAnsi="Calibri" w:cs="Calibri"/>
          <w:spacing w:val="-1"/>
        </w:rPr>
        <w:t>е</w:t>
      </w:r>
      <w:r w:rsidRPr="00CB7DDC">
        <w:rPr>
          <w:rFonts w:ascii="Calibri" w:eastAsia="Calibri" w:hAnsi="Calibri" w:cs="Calibri"/>
        </w:rPr>
        <w:t>г</w:t>
      </w:r>
      <w:r w:rsidRPr="00CB7DDC">
        <w:rPr>
          <w:rFonts w:ascii="Calibri" w:eastAsia="Calibri" w:hAnsi="Calibri" w:cs="Calibri"/>
          <w:spacing w:val="1"/>
        </w:rPr>
        <w:t>и</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н</w:t>
      </w:r>
      <w:r w:rsidRPr="00CB7DDC">
        <w:rPr>
          <w:rFonts w:ascii="Calibri" w:eastAsia="Calibri" w:hAnsi="Calibri" w:cs="Calibri"/>
          <w:spacing w:val="-1"/>
        </w:rPr>
        <w:t>и</w:t>
      </w:r>
      <w:r w:rsidRPr="00CB7DDC">
        <w:rPr>
          <w:rFonts w:ascii="Calibri" w:eastAsia="Calibri" w:hAnsi="Calibri" w:cs="Calibri"/>
        </w:rPr>
        <w:t>те водо</w:t>
      </w:r>
      <w:r w:rsidRPr="00CB7DDC">
        <w:rPr>
          <w:rFonts w:ascii="Calibri" w:eastAsia="Calibri" w:hAnsi="Calibri" w:cs="Calibri"/>
          <w:spacing w:val="2"/>
        </w:rPr>
        <w:t>х</w:t>
      </w:r>
      <w:r w:rsidRPr="00CB7DDC">
        <w:rPr>
          <w:rFonts w:ascii="Calibri" w:eastAsia="Calibri" w:hAnsi="Calibri" w:cs="Calibri"/>
        </w:rPr>
        <w:t>р</w:t>
      </w:r>
      <w:r w:rsidRPr="00CB7DDC">
        <w:rPr>
          <w:rFonts w:ascii="Calibri" w:eastAsia="Calibri" w:hAnsi="Calibri" w:cs="Calibri"/>
          <w:spacing w:val="-3"/>
        </w:rPr>
        <w:t>а</w:t>
      </w:r>
      <w:r w:rsidRPr="00CB7DDC">
        <w:rPr>
          <w:rFonts w:ascii="Calibri" w:eastAsia="Calibri" w:hAnsi="Calibri" w:cs="Calibri"/>
          <w:spacing w:val="1"/>
        </w:rPr>
        <w:t>ни</w:t>
      </w:r>
      <w:r w:rsidRPr="00CB7DDC">
        <w:rPr>
          <w:rFonts w:ascii="Calibri" w:eastAsia="Calibri" w:hAnsi="Calibri" w:cs="Calibri"/>
          <w:spacing w:val="-2"/>
        </w:rPr>
        <w:t>л</w:t>
      </w:r>
      <w:r w:rsidRPr="00CB7DDC">
        <w:rPr>
          <w:rFonts w:ascii="Calibri" w:eastAsia="Calibri" w:hAnsi="Calibri" w:cs="Calibri"/>
          <w:spacing w:val="1"/>
        </w:rPr>
        <w:t>и</w:t>
      </w:r>
      <w:r w:rsidRPr="00CB7DDC">
        <w:rPr>
          <w:rFonts w:ascii="Calibri" w:eastAsia="Calibri" w:hAnsi="Calibri" w:cs="Calibri"/>
        </w:rPr>
        <w:t>ща и</w:t>
      </w:r>
      <w:r w:rsidRPr="00CB7DDC">
        <w:rPr>
          <w:rFonts w:ascii="Calibri" w:eastAsia="Calibri" w:hAnsi="Calibri" w:cs="Calibri"/>
          <w:spacing w:val="2"/>
        </w:rPr>
        <w:t xml:space="preserve"> </w:t>
      </w:r>
      <w:r w:rsidRPr="00CB7DDC">
        <w:rPr>
          <w:rFonts w:ascii="Calibri" w:eastAsia="Calibri" w:hAnsi="Calibri" w:cs="Calibri"/>
        </w:rPr>
        <w:t>вод</w:t>
      </w:r>
      <w:r w:rsidRPr="00CB7DDC">
        <w:rPr>
          <w:rFonts w:ascii="Calibri" w:eastAsia="Calibri" w:hAnsi="Calibri" w:cs="Calibri"/>
          <w:spacing w:val="-3"/>
        </w:rPr>
        <w:t>о</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 xml:space="preserve">та </w:t>
      </w:r>
      <w:r w:rsidRPr="00CB7DDC">
        <w:rPr>
          <w:rFonts w:ascii="Calibri" w:eastAsia="Calibri" w:hAnsi="Calibri" w:cs="Calibri"/>
          <w:spacing w:val="1"/>
        </w:rPr>
        <w:t>и</w:t>
      </w:r>
      <w:r w:rsidRPr="00CB7DDC">
        <w:rPr>
          <w:rFonts w:ascii="Calibri" w:eastAsia="Calibri" w:hAnsi="Calibri" w:cs="Calibri"/>
          <w:spacing w:val="-1"/>
        </w:rPr>
        <w:t>н</w:t>
      </w:r>
      <w:r w:rsidRPr="00CB7DDC">
        <w:rPr>
          <w:rFonts w:ascii="Calibri" w:eastAsia="Calibri" w:hAnsi="Calibri" w:cs="Calibri"/>
        </w:rPr>
        <w:t>фра</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2"/>
        </w:rPr>
        <w:t>р</w:t>
      </w:r>
      <w:r w:rsidRPr="00CB7DDC">
        <w:rPr>
          <w:rFonts w:ascii="Calibri" w:eastAsia="Calibri" w:hAnsi="Calibri" w:cs="Calibri"/>
          <w:spacing w:val="-5"/>
        </w:rPr>
        <w:t>у</w:t>
      </w:r>
      <w:r w:rsidRPr="00CB7DDC">
        <w:rPr>
          <w:rFonts w:ascii="Calibri" w:eastAsia="Calibri" w:hAnsi="Calibri" w:cs="Calibri"/>
          <w:spacing w:val="1"/>
        </w:rPr>
        <w:t>к</w:t>
      </w:r>
      <w:r w:rsidRPr="00CB7DDC">
        <w:rPr>
          <w:rFonts w:ascii="Calibri" w:eastAsia="Calibri" w:hAnsi="Calibri" w:cs="Calibri"/>
          <w:spacing w:val="3"/>
        </w:rPr>
        <w:t>т</w:t>
      </w:r>
      <w:r w:rsidRPr="00CB7DDC">
        <w:rPr>
          <w:rFonts w:ascii="Calibri" w:eastAsia="Calibri" w:hAnsi="Calibri" w:cs="Calibri"/>
          <w:spacing w:val="-5"/>
        </w:rPr>
        <w:t>у</w:t>
      </w:r>
      <w:r w:rsidRPr="00CB7DDC">
        <w:rPr>
          <w:rFonts w:ascii="Calibri" w:eastAsia="Calibri" w:hAnsi="Calibri" w:cs="Calibri"/>
          <w:spacing w:val="2"/>
        </w:rPr>
        <w:t>р</w:t>
      </w:r>
      <w:r w:rsidRPr="00CB7DDC">
        <w:rPr>
          <w:rFonts w:ascii="Calibri" w:eastAsia="Calibri" w:hAnsi="Calibri" w:cs="Calibri"/>
        </w:rPr>
        <w:t xml:space="preserve">а </w:t>
      </w:r>
      <w:r w:rsidRPr="00CB7DDC">
        <w:rPr>
          <w:rFonts w:ascii="Calibri" w:eastAsia="Calibri" w:hAnsi="Calibri" w:cs="Calibri"/>
          <w:spacing w:val="2"/>
        </w:rPr>
        <w:t>в</w:t>
      </w:r>
      <w:r w:rsidRPr="00CB7DDC">
        <w:rPr>
          <w:rFonts w:ascii="Calibri" w:eastAsia="Calibri" w:hAnsi="Calibri" w:cs="Calibri"/>
          <w:spacing w:val="-1"/>
        </w:rPr>
        <w:t>с</w:t>
      </w:r>
      <w:r w:rsidRPr="00CB7DDC">
        <w:rPr>
          <w:rFonts w:ascii="Calibri" w:eastAsia="Calibri" w:hAnsi="Calibri" w:cs="Calibri"/>
        </w:rPr>
        <w:t xml:space="preserve">е още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с</w:t>
      </w:r>
      <w:r w:rsidRPr="00CB7DDC">
        <w:rPr>
          <w:rFonts w:ascii="Calibri" w:eastAsia="Calibri" w:hAnsi="Calibri" w:cs="Calibri"/>
        </w:rPr>
        <w:t>тои</w:t>
      </w:r>
      <w:r w:rsidRPr="00CB7DDC">
        <w:rPr>
          <w:rFonts w:ascii="Calibri" w:eastAsia="Calibri" w:hAnsi="Calibri" w:cs="Calibri"/>
          <w:spacing w:val="2"/>
        </w:rPr>
        <w:t xml:space="preserve"> </w:t>
      </w:r>
      <w:r w:rsidRPr="00CB7DDC">
        <w:rPr>
          <w:rFonts w:ascii="Calibri" w:eastAsia="Calibri" w:hAnsi="Calibri" w:cs="Calibri"/>
        </w:rPr>
        <w:t>да б</w:t>
      </w:r>
      <w:r w:rsidRPr="00CB7DDC">
        <w:rPr>
          <w:rFonts w:ascii="Calibri" w:eastAsia="Calibri" w:hAnsi="Calibri" w:cs="Calibri"/>
          <w:spacing w:val="1"/>
        </w:rPr>
        <w:t>ъ</w:t>
      </w:r>
      <w:r w:rsidRPr="00CB7DDC">
        <w:rPr>
          <w:rFonts w:ascii="Calibri" w:eastAsia="Calibri" w:hAnsi="Calibri" w:cs="Calibri"/>
        </w:rPr>
        <w:t>д</w:t>
      </w:r>
      <w:r w:rsidRPr="00CB7DDC">
        <w:rPr>
          <w:rFonts w:ascii="Calibri" w:eastAsia="Calibri" w:hAnsi="Calibri" w:cs="Calibri"/>
          <w:spacing w:val="-1"/>
        </w:rPr>
        <w:t>а</w:t>
      </w:r>
      <w:r w:rsidRPr="00CB7DDC">
        <w:rPr>
          <w:rFonts w:ascii="Calibri" w:eastAsia="Calibri" w:hAnsi="Calibri" w:cs="Calibri"/>
        </w:rPr>
        <w:t>т р</w:t>
      </w:r>
      <w:r w:rsidRPr="00CB7DDC">
        <w:rPr>
          <w:rFonts w:ascii="Calibri" w:eastAsia="Calibri" w:hAnsi="Calibri" w:cs="Calibri"/>
          <w:spacing w:val="-1"/>
        </w:rPr>
        <w:t>а</w:t>
      </w:r>
      <w:r w:rsidRPr="00CB7DDC">
        <w:rPr>
          <w:rFonts w:ascii="Calibri" w:eastAsia="Calibri" w:hAnsi="Calibri" w:cs="Calibri"/>
          <w:spacing w:val="1"/>
        </w:rPr>
        <w:t>з</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ш</w:t>
      </w:r>
      <w:r w:rsidRPr="00CB7DDC">
        <w:rPr>
          <w:rFonts w:ascii="Calibri" w:eastAsia="Calibri" w:hAnsi="Calibri" w:cs="Calibri"/>
          <w:spacing w:val="-1"/>
        </w:rPr>
        <w:t>е</w:t>
      </w:r>
      <w:r w:rsidRPr="00CB7DDC">
        <w:rPr>
          <w:rFonts w:ascii="Calibri" w:eastAsia="Calibri" w:hAnsi="Calibri" w:cs="Calibri"/>
          <w:spacing w:val="1"/>
        </w:rPr>
        <w:t>ни</w:t>
      </w:r>
      <w:r w:rsidRPr="00CB7DDC">
        <w:rPr>
          <w:rFonts w:ascii="Calibri" w:eastAsia="Calibri" w:hAnsi="Calibri" w:cs="Calibri"/>
        </w:rPr>
        <w:t>.</w:t>
      </w:r>
    </w:p>
    <w:p w:rsidR="00CB7DDC" w:rsidRPr="00CB7DDC" w:rsidRDefault="00CB7DDC"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rPr>
      </w:pPr>
      <w:r w:rsidRPr="00CB7DDC">
        <w:rPr>
          <w:rFonts w:ascii="Calibri" w:eastAsia="Calibri" w:hAnsi="Calibri" w:cs="Calibri"/>
          <w:bCs/>
        </w:rPr>
        <w:t>П</w:t>
      </w:r>
      <w:r w:rsidRPr="00CB7DDC">
        <w:rPr>
          <w:rFonts w:ascii="Calibri" w:eastAsia="Calibri" w:hAnsi="Calibri" w:cs="Calibri"/>
          <w:bCs/>
          <w:spacing w:val="1"/>
        </w:rPr>
        <w:t>р</w:t>
      </w:r>
      <w:r w:rsidRPr="00CB7DDC">
        <w:rPr>
          <w:rFonts w:ascii="Calibri" w:eastAsia="Calibri" w:hAnsi="Calibri" w:cs="Calibri"/>
          <w:bCs/>
          <w:spacing w:val="-1"/>
        </w:rPr>
        <w:t>е</w:t>
      </w:r>
      <w:r w:rsidRPr="00CB7DDC">
        <w:rPr>
          <w:rFonts w:ascii="Calibri" w:eastAsia="Calibri" w:hAnsi="Calibri" w:cs="Calibri"/>
          <w:bCs/>
        </w:rPr>
        <w:t>з</w:t>
      </w:r>
      <w:r w:rsidRPr="00CB7DDC">
        <w:rPr>
          <w:rFonts w:ascii="Calibri" w:eastAsia="Calibri" w:hAnsi="Calibri" w:cs="Calibri"/>
          <w:bCs/>
          <w:spacing w:val="2"/>
        </w:rPr>
        <w:t xml:space="preserve"> </w:t>
      </w:r>
      <w:r w:rsidRPr="00CB7DDC">
        <w:rPr>
          <w:rFonts w:ascii="Calibri" w:eastAsia="Calibri" w:hAnsi="Calibri" w:cs="Calibri"/>
          <w:bCs/>
        </w:rPr>
        <w:t>1999</w:t>
      </w:r>
      <w:r w:rsidRPr="00CB7DDC">
        <w:rPr>
          <w:rFonts w:ascii="Calibri" w:eastAsia="Calibri" w:hAnsi="Calibri" w:cs="Calibri"/>
          <w:bCs/>
          <w:spacing w:val="3"/>
        </w:rPr>
        <w:t xml:space="preserve"> </w:t>
      </w:r>
      <w:r w:rsidRPr="00CB7DDC">
        <w:rPr>
          <w:rFonts w:ascii="Calibri" w:eastAsia="Calibri" w:hAnsi="Calibri" w:cs="Calibri"/>
          <w:bCs/>
          <w:spacing w:val="-1"/>
        </w:rPr>
        <w:t>г</w:t>
      </w:r>
      <w:r w:rsidRPr="00CB7DDC">
        <w:rPr>
          <w:rFonts w:ascii="Calibri" w:eastAsia="Calibri" w:hAnsi="Calibri" w:cs="Calibri"/>
          <w:bCs/>
        </w:rPr>
        <w:t>.</w:t>
      </w:r>
      <w:r w:rsidRPr="00CB7DDC">
        <w:rPr>
          <w:rFonts w:ascii="Calibri" w:eastAsia="Calibri" w:hAnsi="Calibri" w:cs="Calibri"/>
          <w:bCs/>
          <w:spacing w:val="3"/>
        </w:rPr>
        <w:t xml:space="preserve"> </w:t>
      </w:r>
      <w:r w:rsidRPr="00CB7DDC">
        <w:rPr>
          <w:rFonts w:ascii="Calibri" w:eastAsia="Calibri" w:hAnsi="Calibri" w:cs="Calibri"/>
          <w:bCs/>
        </w:rPr>
        <w:t>„С</w:t>
      </w:r>
      <w:r w:rsidRPr="00CB7DDC">
        <w:rPr>
          <w:rFonts w:ascii="Calibri" w:eastAsia="Calibri" w:hAnsi="Calibri" w:cs="Calibri"/>
          <w:bCs/>
          <w:spacing w:val="2"/>
        </w:rPr>
        <w:t>о</w:t>
      </w:r>
      <w:r w:rsidRPr="00CB7DDC">
        <w:rPr>
          <w:rFonts w:ascii="Calibri" w:eastAsia="Calibri" w:hAnsi="Calibri" w:cs="Calibri"/>
          <w:bCs/>
          <w:spacing w:val="-3"/>
        </w:rPr>
        <w:t>ф</w:t>
      </w:r>
      <w:r w:rsidRPr="00CB7DDC">
        <w:rPr>
          <w:rFonts w:ascii="Calibri" w:eastAsia="Calibri" w:hAnsi="Calibri" w:cs="Calibri"/>
          <w:bCs/>
          <w:spacing w:val="1"/>
        </w:rPr>
        <w:t>ий</w:t>
      </w:r>
      <w:r w:rsidRPr="00CB7DDC">
        <w:rPr>
          <w:rFonts w:ascii="Calibri" w:eastAsia="Calibri" w:hAnsi="Calibri" w:cs="Calibri"/>
          <w:bCs/>
          <w:spacing w:val="-1"/>
        </w:rPr>
        <w:t>с</w:t>
      </w:r>
      <w:r w:rsidRPr="00CB7DDC">
        <w:rPr>
          <w:rFonts w:ascii="Calibri" w:eastAsia="Calibri" w:hAnsi="Calibri" w:cs="Calibri"/>
          <w:bCs/>
          <w:spacing w:val="1"/>
        </w:rPr>
        <w:t>к</w:t>
      </w:r>
      <w:r w:rsidRPr="00CB7DDC">
        <w:rPr>
          <w:rFonts w:ascii="Calibri" w:eastAsia="Calibri" w:hAnsi="Calibri" w:cs="Calibri"/>
          <w:bCs/>
        </w:rPr>
        <w:t>а</w:t>
      </w:r>
      <w:r w:rsidRPr="00CB7DDC">
        <w:rPr>
          <w:rFonts w:ascii="Calibri" w:eastAsia="Calibri" w:hAnsi="Calibri" w:cs="Calibri"/>
          <w:bCs/>
          <w:spacing w:val="3"/>
        </w:rPr>
        <w:t xml:space="preserve"> </w:t>
      </w:r>
      <w:r w:rsidRPr="00CB7DDC">
        <w:rPr>
          <w:rFonts w:ascii="Calibri" w:eastAsia="Calibri" w:hAnsi="Calibri" w:cs="Calibri"/>
          <w:bCs/>
        </w:rPr>
        <w:t>во</w:t>
      </w:r>
      <w:r w:rsidRPr="00CB7DDC">
        <w:rPr>
          <w:rFonts w:ascii="Calibri" w:eastAsia="Calibri" w:hAnsi="Calibri" w:cs="Calibri"/>
          <w:bCs/>
          <w:spacing w:val="1"/>
        </w:rPr>
        <w:t>д</w:t>
      </w:r>
      <w:r w:rsidRPr="00CB7DDC">
        <w:rPr>
          <w:rFonts w:ascii="Calibri" w:eastAsia="Calibri" w:hAnsi="Calibri" w:cs="Calibri"/>
          <w:bCs/>
        </w:rPr>
        <w:t>а“</w:t>
      </w:r>
      <w:r w:rsidRPr="00CB7DDC">
        <w:rPr>
          <w:rFonts w:ascii="Calibri" w:eastAsia="Calibri" w:hAnsi="Calibri" w:cs="Calibri"/>
          <w:bCs/>
          <w:spacing w:val="3"/>
        </w:rPr>
        <w:t xml:space="preserve"> </w:t>
      </w:r>
      <w:r w:rsidRPr="00CB7DDC">
        <w:rPr>
          <w:rFonts w:ascii="Calibri" w:eastAsia="Calibri" w:hAnsi="Calibri" w:cs="Calibri"/>
          <w:bCs/>
        </w:rPr>
        <w:t>е</w:t>
      </w:r>
      <w:r w:rsidRPr="00CB7DDC">
        <w:rPr>
          <w:rFonts w:ascii="Calibri" w:eastAsia="Calibri" w:hAnsi="Calibri" w:cs="Calibri"/>
          <w:bCs/>
          <w:spacing w:val="2"/>
        </w:rPr>
        <w:t xml:space="preserve"> </w:t>
      </w:r>
      <w:r w:rsidRPr="00CB7DDC">
        <w:rPr>
          <w:rFonts w:ascii="Calibri" w:eastAsia="Calibri" w:hAnsi="Calibri" w:cs="Calibri"/>
          <w:bCs/>
          <w:spacing w:val="1"/>
        </w:rPr>
        <w:t>д</w:t>
      </w:r>
      <w:r w:rsidRPr="00CB7DDC">
        <w:rPr>
          <w:rFonts w:ascii="Calibri" w:eastAsia="Calibri" w:hAnsi="Calibri" w:cs="Calibri"/>
          <w:bCs/>
        </w:rPr>
        <w:t>а</w:t>
      </w:r>
      <w:r w:rsidRPr="00CB7DDC">
        <w:rPr>
          <w:rFonts w:ascii="Calibri" w:eastAsia="Calibri" w:hAnsi="Calibri" w:cs="Calibri"/>
          <w:bCs/>
          <w:spacing w:val="1"/>
        </w:rPr>
        <w:t>д</w:t>
      </w:r>
      <w:r w:rsidRPr="00CB7DDC">
        <w:rPr>
          <w:rFonts w:ascii="Calibri" w:eastAsia="Calibri" w:hAnsi="Calibri" w:cs="Calibri"/>
          <w:bCs/>
          <w:spacing w:val="-1"/>
        </w:rPr>
        <w:t>е</w:t>
      </w:r>
      <w:r w:rsidRPr="00CB7DDC">
        <w:rPr>
          <w:rFonts w:ascii="Calibri" w:eastAsia="Calibri" w:hAnsi="Calibri" w:cs="Calibri"/>
          <w:bCs/>
          <w:spacing w:val="1"/>
        </w:rPr>
        <w:t>н</w:t>
      </w:r>
      <w:r w:rsidRPr="00CB7DDC">
        <w:rPr>
          <w:rFonts w:ascii="Calibri" w:eastAsia="Calibri" w:hAnsi="Calibri" w:cs="Calibri"/>
          <w:bCs/>
        </w:rPr>
        <w:t xml:space="preserve">а </w:t>
      </w:r>
      <w:r w:rsidRPr="00CB7DDC">
        <w:rPr>
          <w:rFonts w:ascii="Calibri" w:eastAsia="Calibri" w:hAnsi="Calibri" w:cs="Calibri"/>
          <w:bCs/>
          <w:spacing w:val="1"/>
        </w:rPr>
        <w:t>н</w:t>
      </w:r>
      <w:r w:rsidRPr="00CB7DDC">
        <w:rPr>
          <w:rFonts w:ascii="Calibri" w:eastAsia="Calibri" w:hAnsi="Calibri" w:cs="Calibri"/>
          <w:bCs/>
        </w:rPr>
        <w:t xml:space="preserve">а </w:t>
      </w:r>
      <w:r w:rsidRPr="00CB7DDC">
        <w:rPr>
          <w:rFonts w:ascii="Calibri" w:eastAsia="Calibri" w:hAnsi="Calibri" w:cs="Calibri"/>
          <w:bCs/>
          <w:spacing w:val="1"/>
        </w:rPr>
        <w:t>к</w:t>
      </w:r>
      <w:r w:rsidRPr="00CB7DDC">
        <w:rPr>
          <w:rFonts w:ascii="Calibri" w:eastAsia="Calibri" w:hAnsi="Calibri" w:cs="Calibri"/>
          <w:bCs/>
        </w:rPr>
        <w:t>о</w:t>
      </w:r>
      <w:r w:rsidRPr="00CB7DDC">
        <w:rPr>
          <w:rFonts w:ascii="Calibri" w:eastAsia="Calibri" w:hAnsi="Calibri" w:cs="Calibri"/>
          <w:bCs/>
          <w:spacing w:val="1"/>
        </w:rPr>
        <w:t>нц</w:t>
      </w:r>
      <w:r w:rsidRPr="00CB7DDC">
        <w:rPr>
          <w:rFonts w:ascii="Calibri" w:eastAsia="Calibri" w:hAnsi="Calibri" w:cs="Calibri"/>
          <w:bCs/>
          <w:spacing w:val="-1"/>
        </w:rPr>
        <w:t>ес</w:t>
      </w:r>
      <w:r w:rsidRPr="00CB7DDC">
        <w:rPr>
          <w:rFonts w:ascii="Calibri" w:eastAsia="Calibri" w:hAnsi="Calibri" w:cs="Calibri"/>
          <w:bCs/>
          <w:spacing w:val="1"/>
        </w:rPr>
        <w:t>и</w:t>
      </w:r>
      <w:r w:rsidRPr="00CB7DDC">
        <w:rPr>
          <w:rFonts w:ascii="Calibri" w:eastAsia="Calibri" w:hAnsi="Calibri" w:cs="Calibri"/>
          <w:bCs/>
        </w:rPr>
        <w:t>я</w:t>
      </w:r>
      <w:r w:rsidRPr="00CB7DDC">
        <w:rPr>
          <w:rFonts w:ascii="Calibri" w:eastAsia="Calibri" w:hAnsi="Calibri" w:cs="Calibri"/>
          <w:bCs/>
          <w:spacing w:val="3"/>
        </w:rPr>
        <w:t xml:space="preserve"> </w:t>
      </w:r>
      <w:r w:rsidRPr="00CB7DDC">
        <w:rPr>
          <w:rFonts w:ascii="Calibri" w:eastAsia="Calibri" w:hAnsi="Calibri" w:cs="Calibri"/>
          <w:bCs/>
          <w:spacing w:val="1"/>
        </w:rPr>
        <w:t>н</w:t>
      </w:r>
      <w:r w:rsidRPr="00CB7DDC">
        <w:rPr>
          <w:rFonts w:ascii="Calibri" w:eastAsia="Calibri" w:hAnsi="Calibri" w:cs="Calibri"/>
          <w:bCs/>
        </w:rPr>
        <w:t>а</w:t>
      </w:r>
      <w:r w:rsidRPr="00CB7DDC">
        <w:rPr>
          <w:rFonts w:ascii="Calibri" w:eastAsia="Calibri" w:hAnsi="Calibri" w:cs="Calibri"/>
          <w:bCs/>
          <w:spacing w:val="3"/>
        </w:rPr>
        <w:t xml:space="preserve"> </w:t>
      </w:r>
      <w:r w:rsidRPr="00CB7DDC">
        <w:rPr>
          <w:rFonts w:ascii="Calibri" w:eastAsia="Calibri" w:hAnsi="Calibri" w:cs="Calibri"/>
          <w:bCs/>
        </w:rPr>
        <w:t>„</w:t>
      </w:r>
      <w:r w:rsidRPr="00CB7DDC">
        <w:rPr>
          <w:rFonts w:ascii="Calibri" w:eastAsia="Calibri" w:hAnsi="Calibri" w:cs="Calibri"/>
          <w:bCs/>
          <w:spacing w:val="-1"/>
        </w:rPr>
        <w:t>Ю</w:t>
      </w:r>
      <w:r w:rsidRPr="00CB7DDC">
        <w:rPr>
          <w:rFonts w:ascii="Calibri" w:eastAsia="Calibri" w:hAnsi="Calibri" w:cs="Calibri"/>
          <w:bCs/>
          <w:spacing w:val="1"/>
        </w:rPr>
        <w:t>н</w:t>
      </w:r>
      <w:r w:rsidRPr="00CB7DDC">
        <w:rPr>
          <w:rFonts w:ascii="Calibri" w:eastAsia="Calibri" w:hAnsi="Calibri" w:cs="Calibri"/>
          <w:bCs/>
        </w:rPr>
        <w:t>а</w:t>
      </w:r>
      <w:r w:rsidRPr="00CB7DDC">
        <w:rPr>
          <w:rFonts w:ascii="Calibri" w:eastAsia="Calibri" w:hAnsi="Calibri" w:cs="Calibri"/>
          <w:bCs/>
          <w:spacing w:val="-1"/>
        </w:rPr>
        <w:t>й</w:t>
      </w:r>
      <w:r w:rsidRPr="00CB7DDC">
        <w:rPr>
          <w:rFonts w:ascii="Calibri" w:eastAsia="Calibri" w:hAnsi="Calibri" w:cs="Calibri"/>
          <w:bCs/>
        </w:rPr>
        <w:t>тид</w:t>
      </w:r>
      <w:r w:rsidRPr="00CB7DDC">
        <w:rPr>
          <w:rFonts w:ascii="Calibri" w:eastAsia="Calibri" w:hAnsi="Calibri" w:cs="Calibri"/>
          <w:bCs/>
          <w:spacing w:val="3"/>
        </w:rPr>
        <w:t xml:space="preserve"> </w:t>
      </w:r>
      <w:r w:rsidRPr="00CB7DDC">
        <w:rPr>
          <w:rFonts w:ascii="Calibri" w:eastAsia="Calibri" w:hAnsi="Calibri" w:cs="Calibri"/>
          <w:bCs/>
          <w:spacing w:val="-1"/>
        </w:rPr>
        <w:t>Ю</w:t>
      </w:r>
      <w:r w:rsidRPr="00CB7DDC">
        <w:rPr>
          <w:rFonts w:ascii="Calibri" w:eastAsia="Calibri" w:hAnsi="Calibri" w:cs="Calibri"/>
          <w:bCs/>
          <w:spacing w:val="2"/>
        </w:rPr>
        <w:t>т</w:t>
      </w:r>
      <w:r w:rsidRPr="00CB7DDC">
        <w:rPr>
          <w:rFonts w:ascii="Calibri" w:eastAsia="Calibri" w:hAnsi="Calibri" w:cs="Calibri"/>
          <w:bCs/>
          <w:spacing w:val="1"/>
        </w:rPr>
        <w:t>и</w:t>
      </w:r>
      <w:r w:rsidRPr="00CB7DDC">
        <w:rPr>
          <w:rFonts w:ascii="Calibri" w:eastAsia="Calibri" w:hAnsi="Calibri" w:cs="Calibri"/>
          <w:bCs/>
          <w:spacing w:val="-3"/>
        </w:rPr>
        <w:t>л</w:t>
      </w:r>
      <w:r w:rsidRPr="00CB7DDC">
        <w:rPr>
          <w:rFonts w:ascii="Calibri" w:eastAsia="Calibri" w:hAnsi="Calibri" w:cs="Calibri"/>
          <w:bCs/>
          <w:spacing w:val="-1"/>
        </w:rPr>
        <w:t>и</w:t>
      </w:r>
      <w:r w:rsidRPr="00CB7DDC">
        <w:rPr>
          <w:rFonts w:ascii="Calibri" w:eastAsia="Calibri" w:hAnsi="Calibri" w:cs="Calibri"/>
          <w:bCs/>
          <w:spacing w:val="2"/>
        </w:rPr>
        <w:t>т</w:t>
      </w:r>
      <w:r w:rsidRPr="00CB7DDC">
        <w:rPr>
          <w:rFonts w:ascii="Calibri" w:eastAsia="Calibri" w:hAnsi="Calibri" w:cs="Calibri"/>
          <w:bCs/>
          <w:spacing w:val="1"/>
        </w:rPr>
        <w:t>и</w:t>
      </w:r>
      <w:r w:rsidRPr="00CB7DDC">
        <w:rPr>
          <w:rFonts w:ascii="Calibri" w:eastAsia="Calibri" w:hAnsi="Calibri" w:cs="Calibri"/>
          <w:bCs/>
          <w:spacing w:val="-1"/>
        </w:rPr>
        <w:t>с</w:t>
      </w:r>
      <w:r w:rsidRPr="00CB7DDC">
        <w:rPr>
          <w:rFonts w:ascii="Calibri" w:eastAsia="Calibri" w:hAnsi="Calibri" w:cs="Calibri"/>
          <w:bCs/>
        </w:rPr>
        <w:t>“</w:t>
      </w:r>
      <w:r w:rsidRPr="00CB7DDC">
        <w:rPr>
          <w:rFonts w:ascii="Calibri" w:eastAsia="Calibri" w:hAnsi="Calibri" w:cs="Calibri"/>
          <w:b/>
          <w:bCs/>
          <w:spacing w:val="12"/>
        </w:rPr>
        <w:t xml:space="preserve"> </w:t>
      </w:r>
      <w:r w:rsidRPr="00CB7DDC">
        <w:rPr>
          <w:rFonts w:ascii="Calibri" w:eastAsia="Calibri" w:hAnsi="Calibri" w:cs="Calibri"/>
        </w:rPr>
        <w:t>с</w:t>
      </w:r>
      <w:r w:rsidRPr="00CB7DDC">
        <w:rPr>
          <w:rFonts w:ascii="Calibri" w:eastAsia="Calibri" w:hAnsi="Calibri" w:cs="Calibri"/>
          <w:spacing w:val="2"/>
        </w:rPr>
        <w:t xml:space="preserve"> </w:t>
      </w:r>
      <w:r w:rsidRPr="00CB7DDC">
        <w:rPr>
          <w:rFonts w:ascii="Calibri" w:eastAsia="Calibri" w:hAnsi="Calibri" w:cs="Calibri"/>
          <w:spacing w:val="1"/>
        </w:rPr>
        <w:t>ц</w:t>
      </w:r>
      <w:r w:rsidRPr="00CB7DDC">
        <w:rPr>
          <w:rFonts w:ascii="Calibri" w:eastAsia="Calibri" w:hAnsi="Calibri" w:cs="Calibri"/>
          <w:spacing w:val="-1"/>
        </w:rPr>
        <w:t>е</w:t>
      </w:r>
      <w:r w:rsidRPr="00CB7DDC">
        <w:rPr>
          <w:rFonts w:ascii="Calibri" w:eastAsia="Calibri" w:hAnsi="Calibri" w:cs="Calibri"/>
        </w:rPr>
        <w:t xml:space="preserve">л </w:t>
      </w:r>
      <w:r w:rsidRPr="00CB7DDC">
        <w:rPr>
          <w:rFonts w:ascii="Calibri" w:eastAsia="Calibri" w:hAnsi="Calibri" w:cs="Calibri"/>
          <w:spacing w:val="1"/>
        </w:rPr>
        <w:t>п</w:t>
      </w:r>
      <w:r w:rsidRPr="00CB7DDC">
        <w:rPr>
          <w:rFonts w:ascii="Calibri" w:eastAsia="Calibri" w:hAnsi="Calibri" w:cs="Calibri"/>
        </w:rPr>
        <w:t>одобряв</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 xml:space="preserve">е </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1"/>
        </w:rPr>
        <w:t xml:space="preserve"> </w:t>
      </w:r>
      <w:r w:rsidRPr="00CB7DDC">
        <w:rPr>
          <w:rFonts w:ascii="Calibri" w:eastAsia="Calibri" w:hAnsi="Calibri" w:cs="Calibri"/>
          <w:spacing w:val="-5"/>
        </w:rPr>
        <w:t>у</w:t>
      </w:r>
      <w:r w:rsidRPr="00CB7DDC">
        <w:rPr>
          <w:rFonts w:ascii="Calibri" w:eastAsia="Calibri" w:hAnsi="Calibri" w:cs="Calibri"/>
          <w:spacing w:val="1"/>
        </w:rPr>
        <w:t>с</w:t>
      </w:r>
      <w:r w:rsidRPr="00CB7DDC">
        <w:rPr>
          <w:rFonts w:ascii="Calibri" w:eastAsia="Calibri" w:hAnsi="Calibri" w:cs="Calibri"/>
          <w:spacing w:val="5"/>
        </w:rPr>
        <w:t>л</w:t>
      </w:r>
      <w:r w:rsidRPr="00CB7DDC">
        <w:rPr>
          <w:rFonts w:ascii="Calibri" w:eastAsia="Calibri" w:hAnsi="Calibri" w:cs="Calibri"/>
          <w:spacing w:val="-5"/>
        </w:rPr>
        <w:t>у</w:t>
      </w:r>
      <w:r w:rsidRPr="00CB7DDC">
        <w:rPr>
          <w:rFonts w:ascii="Calibri" w:eastAsia="Calibri" w:hAnsi="Calibri" w:cs="Calibri"/>
        </w:rPr>
        <w:t>г</w:t>
      </w:r>
      <w:r w:rsidRPr="00CB7DDC">
        <w:rPr>
          <w:rFonts w:ascii="Calibri" w:eastAsia="Calibri" w:hAnsi="Calibri" w:cs="Calibri"/>
          <w:spacing w:val="1"/>
        </w:rPr>
        <w:t>и</w:t>
      </w:r>
      <w:r w:rsidRPr="00CB7DDC">
        <w:rPr>
          <w:rFonts w:ascii="Calibri" w:eastAsia="Calibri" w:hAnsi="Calibri" w:cs="Calibri"/>
        </w:rPr>
        <w:t>те в</w:t>
      </w:r>
      <w:r w:rsidRPr="00CB7DDC">
        <w:rPr>
          <w:rFonts w:ascii="Calibri" w:eastAsia="Calibri" w:hAnsi="Calibri" w:cs="Calibri"/>
          <w:spacing w:val="3"/>
        </w:rPr>
        <w:t xml:space="preserve"> </w:t>
      </w:r>
      <w:r w:rsidRPr="00CB7DDC">
        <w:rPr>
          <w:rFonts w:ascii="Calibri" w:eastAsia="Calibri" w:hAnsi="Calibri" w:cs="Calibri"/>
          <w:spacing w:val="-1"/>
        </w:rPr>
        <w:t>с</w:t>
      </w:r>
      <w:r w:rsidRPr="00CB7DDC">
        <w:rPr>
          <w:rFonts w:ascii="Calibri" w:eastAsia="Calibri" w:hAnsi="Calibri" w:cs="Calibri"/>
        </w:rPr>
        <w:t>тол</w:t>
      </w:r>
      <w:r w:rsidRPr="00CB7DDC">
        <w:rPr>
          <w:rFonts w:ascii="Calibri" w:eastAsia="Calibri" w:hAnsi="Calibri" w:cs="Calibri"/>
          <w:spacing w:val="1"/>
        </w:rPr>
        <w:t>иц</w:t>
      </w:r>
      <w:r w:rsidRPr="00CB7DDC">
        <w:rPr>
          <w:rFonts w:ascii="Calibri" w:eastAsia="Calibri" w:hAnsi="Calibri" w:cs="Calibri"/>
          <w:spacing w:val="-1"/>
        </w:rPr>
        <w:t>а</w:t>
      </w:r>
      <w:r w:rsidRPr="00CB7DDC">
        <w:rPr>
          <w:rFonts w:ascii="Calibri" w:eastAsia="Calibri" w:hAnsi="Calibri" w:cs="Calibri"/>
        </w:rPr>
        <w:t>та Соф</w:t>
      </w:r>
      <w:r w:rsidRPr="00CB7DDC">
        <w:rPr>
          <w:rFonts w:ascii="Calibri" w:eastAsia="Calibri" w:hAnsi="Calibri" w:cs="Calibri"/>
          <w:spacing w:val="1"/>
        </w:rPr>
        <w:t>и</w:t>
      </w:r>
      <w:r w:rsidRPr="00CB7DDC">
        <w:rPr>
          <w:rFonts w:ascii="Calibri" w:eastAsia="Calibri" w:hAnsi="Calibri" w:cs="Calibri"/>
        </w:rPr>
        <w:t>я.</w:t>
      </w:r>
      <w:r w:rsidRPr="00CB7DDC">
        <w:rPr>
          <w:rFonts w:ascii="Calibri" w:eastAsia="Calibri" w:hAnsi="Calibri" w:cs="Calibri"/>
          <w:spacing w:val="1"/>
        </w:rPr>
        <w:t xml:space="preserve"> </w:t>
      </w:r>
      <w:r w:rsidRPr="00CB7DDC">
        <w:rPr>
          <w:rFonts w:ascii="Calibri" w:eastAsia="Calibri" w:hAnsi="Calibri" w:cs="Calibri"/>
        </w:rPr>
        <w:t>От</w:t>
      </w:r>
      <w:r w:rsidRPr="00CB7DDC">
        <w:rPr>
          <w:rFonts w:ascii="Calibri" w:eastAsia="Calibri" w:hAnsi="Calibri" w:cs="Calibri"/>
          <w:spacing w:val="1"/>
        </w:rPr>
        <w:t xml:space="preserve"> </w:t>
      </w:r>
      <w:r w:rsidRPr="00CB7DDC">
        <w:rPr>
          <w:rFonts w:ascii="Calibri" w:eastAsia="Calibri" w:hAnsi="Calibri" w:cs="Calibri"/>
        </w:rPr>
        <w:t>2010</w:t>
      </w:r>
      <w:r w:rsidRPr="00CB7DDC">
        <w:rPr>
          <w:rFonts w:ascii="Calibri" w:eastAsia="Calibri" w:hAnsi="Calibri" w:cs="Calibri"/>
          <w:spacing w:val="1"/>
        </w:rPr>
        <w:t xml:space="preserve"> </w:t>
      </w:r>
      <w:r w:rsidRPr="00CB7DDC">
        <w:rPr>
          <w:rFonts w:ascii="Calibri" w:eastAsia="Calibri" w:hAnsi="Calibri" w:cs="Calibri"/>
        </w:rPr>
        <w:t>г.</w:t>
      </w:r>
      <w:r w:rsidRPr="00CB7DDC">
        <w:rPr>
          <w:rFonts w:ascii="Calibri" w:eastAsia="Calibri" w:hAnsi="Calibri" w:cs="Calibri"/>
          <w:spacing w:val="1"/>
        </w:rPr>
        <w:t xml:space="preserve"> н</w:t>
      </w:r>
      <w:r w:rsidRPr="00CB7DDC">
        <w:rPr>
          <w:rFonts w:ascii="Calibri" w:eastAsia="Calibri" w:hAnsi="Calibri" w:cs="Calibri"/>
          <w:spacing w:val="-1"/>
        </w:rPr>
        <w:t>аса</w:t>
      </w:r>
      <w:r w:rsidRPr="00CB7DDC">
        <w:rPr>
          <w:rFonts w:ascii="Calibri" w:eastAsia="Calibri" w:hAnsi="Calibri" w:cs="Calibri"/>
        </w:rPr>
        <w:t>м</w:t>
      </w:r>
      <w:r w:rsidRPr="00CB7DDC">
        <w:rPr>
          <w:rFonts w:ascii="Calibri" w:eastAsia="Calibri" w:hAnsi="Calibri" w:cs="Calibri"/>
          <w:spacing w:val="8"/>
        </w:rPr>
        <w:t xml:space="preserve"> </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нц</w:t>
      </w:r>
      <w:r w:rsidRPr="00CB7DDC">
        <w:rPr>
          <w:rFonts w:ascii="Calibri" w:eastAsia="Calibri" w:hAnsi="Calibri" w:cs="Calibri"/>
          <w:spacing w:val="-1"/>
        </w:rPr>
        <w:t>ес</w:t>
      </w:r>
      <w:r w:rsidRPr="00CB7DDC">
        <w:rPr>
          <w:rFonts w:ascii="Calibri" w:eastAsia="Calibri" w:hAnsi="Calibri" w:cs="Calibri"/>
          <w:spacing w:val="1"/>
        </w:rPr>
        <w:t>и</w:t>
      </w:r>
      <w:r w:rsidRPr="00CB7DDC">
        <w:rPr>
          <w:rFonts w:ascii="Calibri" w:eastAsia="Calibri" w:hAnsi="Calibri" w:cs="Calibri"/>
        </w:rPr>
        <w:t xml:space="preserve">ята е </w:t>
      </w:r>
      <w:r w:rsidRPr="00CB7DDC">
        <w:rPr>
          <w:rFonts w:ascii="Calibri" w:eastAsia="Calibri" w:hAnsi="Calibri" w:cs="Calibri"/>
          <w:spacing w:val="-1"/>
        </w:rPr>
        <w:t>с</w:t>
      </w:r>
      <w:r w:rsidRPr="00CB7DDC">
        <w:rPr>
          <w:rFonts w:ascii="Calibri" w:eastAsia="Calibri" w:hAnsi="Calibri" w:cs="Calibri"/>
        </w:rPr>
        <w:t>ъвм</w:t>
      </w:r>
      <w:r w:rsidRPr="00CB7DDC">
        <w:rPr>
          <w:rFonts w:ascii="Calibri" w:eastAsia="Calibri" w:hAnsi="Calibri" w:cs="Calibri"/>
          <w:spacing w:val="-1"/>
        </w:rPr>
        <w:t>ес</w:t>
      </w:r>
      <w:r w:rsidRPr="00CB7DDC">
        <w:rPr>
          <w:rFonts w:ascii="Calibri" w:eastAsia="Calibri" w:hAnsi="Calibri" w:cs="Calibri"/>
        </w:rPr>
        <w:t>т</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3"/>
        </w:rPr>
        <w:t xml:space="preserve"> </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w:t>
      </w:r>
      <w:r w:rsidRPr="00CB7DDC">
        <w:rPr>
          <w:rFonts w:ascii="Calibri" w:eastAsia="Calibri" w:hAnsi="Calibri" w:cs="Calibri"/>
          <w:spacing w:val="-2"/>
        </w:rPr>
        <w:t>В</w:t>
      </w:r>
      <w:r w:rsidRPr="00CB7DDC">
        <w:rPr>
          <w:rFonts w:ascii="Calibri" w:eastAsia="Calibri" w:hAnsi="Calibri" w:cs="Calibri"/>
          <w:spacing w:val="-1"/>
        </w:rPr>
        <w:t>е</w:t>
      </w:r>
      <w:r w:rsidRPr="00CB7DDC">
        <w:rPr>
          <w:rFonts w:ascii="Calibri" w:eastAsia="Calibri" w:hAnsi="Calibri" w:cs="Calibri"/>
        </w:rPr>
        <w:t>ол</w:t>
      </w:r>
      <w:r w:rsidRPr="00CB7DDC">
        <w:rPr>
          <w:rFonts w:ascii="Calibri" w:eastAsia="Calibri" w:hAnsi="Calibri" w:cs="Calibri"/>
          <w:spacing w:val="1"/>
        </w:rPr>
        <w:t>и</w:t>
      </w:r>
      <w:r w:rsidRPr="00CB7DDC">
        <w:rPr>
          <w:rFonts w:ascii="Calibri" w:eastAsia="Calibri" w:hAnsi="Calibri" w:cs="Calibri"/>
        </w:rPr>
        <w:t>я</w:t>
      </w:r>
      <w:r w:rsidRPr="00CB7DDC">
        <w:rPr>
          <w:rFonts w:ascii="Calibri" w:eastAsia="Calibri" w:hAnsi="Calibri" w:cs="Calibri"/>
          <w:spacing w:val="4"/>
        </w:rPr>
        <w:t xml:space="preserve"> </w:t>
      </w:r>
      <w:r w:rsidRPr="00CB7DDC">
        <w:rPr>
          <w:rFonts w:ascii="Calibri" w:eastAsia="Calibri" w:hAnsi="Calibri" w:cs="Calibri"/>
          <w:spacing w:val="-2"/>
        </w:rPr>
        <w:t>В</w:t>
      </w:r>
      <w:r w:rsidRPr="00CB7DDC">
        <w:rPr>
          <w:rFonts w:ascii="Calibri" w:eastAsia="Calibri" w:hAnsi="Calibri" w:cs="Calibri"/>
        </w:rPr>
        <w:t>о</w:t>
      </w:r>
      <w:r w:rsidRPr="00CB7DDC">
        <w:rPr>
          <w:rFonts w:ascii="Calibri" w:eastAsia="Calibri" w:hAnsi="Calibri" w:cs="Calibri"/>
          <w:spacing w:val="2"/>
        </w:rPr>
        <w:t>д</w:t>
      </w:r>
      <w:r w:rsidRPr="00CB7DDC">
        <w:rPr>
          <w:rFonts w:ascii="Calibri" w:eastAsia="Calibri" w:hAnsi="Calibri" w:cs="Calibri"/>
        </w:rPr>
        <w:t>а“</w:t>
      </w:r>
      <w:r w:rsidRPr="00CB7DDC">
        <w:rPr>
          <w:rFonts w:ascii="Calibri" w:eastAsia="Calibri" w:hAnsi="Calibri" w:cs="Calibri"/>
          <w:spacing w:val="2"/>
        </w:rPr>
        <w:t xml:space="preserve"> </w:t>
      </w:r>
      <w:r w:rsidRPr="00CB7DDC">
        <w:rPr>
          <w:rFonts w:ascii="Calibri" w:eastAsia="Calibri" w:hAnsi="Calibri" w:cs="Calibri"/>
        </w:rPr>
        <w:t>–</w:t>
      </w:r>
      <w:r w:rsidRPr="00CB7DDC">
        <w:rPr>
          <w:rFonts w:ascii="Calibri" w:eastAsia="Calibri" w:hAnsi="Calibri" w:cs="Calibri"/>
          <w:spacing w:val="1"/>
        </w:rPr>
        <w:t xml:space="preserve"> </w:t>
      </w:r>
      <w:r w:rsidRPr="00CB7DDC">
        <w:rPr>
          <w:rFonts w:ascii="Calibri" w:eastAsia="Calibri" w:hAnsi="Calibri" w:cs="Calibri"/>
        </w:rPr>
        <w:t>77.1% и</w:t>
      </w:r>
      <w:r w:rsidRPr="00CB7DDC">
        <w:rPr>
          <w:rFonts w:ascii="Calibri" w:eastAsia="Calibri" w:hAnsi="Calibri" w:cs="Calibri"/>
          <w:spacing w:val="2"/>
        </w:rPr>
        <w:t xml:space="preserve"> </w:t>
      </w:r>
      <w:r w:rsidRPr="00CB7DDC">
        <w:rPr>
          <w:rFonts w:ascii="Calibri" w:eastAsia="Calibri" w:hAnsi="Calibri" w:cs="Calibri"/>
        </w:rPr>
        <w:t>Стол</w:t>
      </w:r>
      <w:r w:rsidRPr="00CB7DDC">
        <w:rPr>
          <w:rFonts w:ascii="Calibri" w:eastAsia="Calibri" w:hAnsi="Calibri" w:cs="Calibri"/>
          <w:spacing w:val="1"/>
        </w:rPr>
        <w:t>и</w:t>
      </w:r>
      <w:r w:rsidRPr="00CB7DDC">
        <w:rPr>
          <w:rFonts w:ascii="Calibri" w:eastAsia="Calibri" w:hAnsi="Calibri" w:cs="Calibri"/>
          <w:spacing w:val="-1"/>
        </w:rPr>
        <w:t>ч</w:t>
      </w:r>
      <w:r w:rsidRPr="00CB7DDC">
        <w:rPr>
          <w:rFonts w:ascii="Calibri" w:eastAsia="Calibri" w:hAnsi="Calibri" w:cs="Calibri"/>
          <w:spacing w:val="1"/>
        </w:rPr>
        <w:t>н</w:t>
      </w:r>
      <w:r w:rsidRPr="00CB7DDC">
        <w:rPr>
          <w:rFonts w:ascii="Calibri" w:eastAsia="Calibri" w:hAnsi="Calibri" w:cs="Calibri"/>
        </w:rPr>
        <w:t>а общ</w:t>
      </w:r>
      <w:r w:rsidRPr="00CB7DDC">
        <w:rPr>
          <w:rFonts w:ascii="Calibri" w:eastAsia="Calibri" w:hAnsi="Calibri" w:cs="Calibri"/>
          <w:spacing w:val="1"/>
        </w:rPr>
        <w:t>ин</w:t>
      </w:r>
      <w:r w:rsidRPr="00CB7DDC">
        <w:rPr>
          <w:rFonts w:ascii="Calibri" w:eastAsia="Calibri" w:hAnsi="Calibri" w:cs="Calibri"/>
        </w:rPr>
        <w:t>а</w:t>
      </w:r>
      <w:r w:rsidRPr="00CB7DDC">
        <w:rPr>
          <w:rFonts w:ascii="Calibri" w:eastAsia="Calibri" w:hAnsi="Calibri" w:cs="Calibri"/>
          <w:spacing w:val="3"/>
        </w:rPr>
        <w:t xml:space="preserve"> </w:t>
      </w:r>
      <w:r w:rsidRPr="00CB7DDC">
        <w:rPr>
          <w:rFonts w:ascii="Calibri" w:eastAsia="Calibri" w:hAnsi="Calibri" w:cs="Calibri"/>
        </w:rPr>
        <w:t>–</w:t>
      </w:r>
      <w:r w:rsidRPr="00CB7DDC">
        <w:rPr>
          <w:rFonts w:ascii="Calibri" w:eastAsia="Calibri" w:hAnsi="Calibri" w:cs="Calibri"/>
          <w:spacing w:val="1"/>
        </w:rPr>
        <w:t xml:space="preserve"> </w:t>
      </w:r>
      <w:r w:rsidRPr="00CB7DDC">
        <w:rPr>
          <w:rFonts w:ascii="Calibri" w:eastAsia="Calibri" w:hAnsi="Calibri" w:cs="Calibri"/>
        </w:rPr>
        <w:t>22.9</w:t>
      </w:r>
      <w:r w:rsidRPr="00CB7DDC">
        <w:rPr>
          <w:rFonts w:ascii="Calibri" w:eastAsia="Calibri" w:hAnsi="Calibri" w:cs="Calibri"/>
          <w:spacing w:val="-1"/>
        </w:rPr>
        <w:t>%</w:t>
      </w:r>
      <w:r w:rsidRPr="00CB7DDC">
        <w:rPr>
          <w:rFonts w:ascii="Calibri" w:eastAsia="Calibri" w:hAnsi="Calibri" w:cs="Calibri"/>
        </w:rPr>
        <w:t>. Дълго</w:t>
      </w:r>
      <w:r w:rsidRPr="00CB7DDC">
        <w:rPr>
          <w:rFonts w:ascii="Calibri" w:eastAsia="Calibri" w:hAnsi="Calibri" w:cs="Calibri"/>
          <w:spacing w:val="1"/>
        </w:rPr>
        <w:t>т</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spacing w:val="1"/>
        </w:rPr>
        <w:t>йн</w:t>
      </w:r>
      <w:r w:rsidRPr="00CB7DDC">
        <w:rPr>
          <w:rFonts w:ascii="Calibri" w:eastAsia="Calibri" w:hAnsi="Calibri" w:cs="Calibri"/>
          <w:spacing w:val="-1"/>
        </w:rPr>
        <w:t>и</w:t>
      </w:r>
      <w:r w:rsidRPr="00CB7DDC">
        <w:rPr>
          <w:rFonts w:ascii="Calibri" w:eastAsia="Calibri" w:hAnsi="Calibri" w:cs="Calibri"/>
        </w:rPr>
        <w:t xml:space="preserve">те </w:t>
      </w:r>
      <w:r w:rsidRPr="00CB7DDC">
        <w:rPr>
          <w:rFonts w:ascii="Calibri" w:eastAsia="Calibri" w:hAnsi="Calibri" w:cs="Calibri"/>
          <w:spacing w:val="-1"/>
        </w:rPr>
        <w:t>а</w:t>
      </w:r>
      <w:r w:rsidRPr="00CB7DDC">
        <w:rPr>
          <w:rFonts w:ascii="Calibri" w:eastAsia="Calibri" w:hAnsi="Calibri" w:cs="Calibri"/>
          <w:spacing w:val="1"/>
        </w:rPr>
        <w:t>к</w:t>
      </w:r>
      <w:r w:rsidRPr="00CB7DDC">
        <w:rPr>
          <w:rFonts w:ascii="Calibri" w:eastAsia="Calibri" w:hAnsi="Calibri" w:cs="Calibri"/>
          <w:spacing w:val="-2"/>
        </w:rPr>
        <w:t>т</w:t>
      </w:r>
      <w:r w:rsidRPr="00CB7DDC">
        <w:rPr>
          <w:rFonts w:ascii="Calibri" w:eastAsia="Calibri" w:hAnsi="Calibri" w:cs="Calibri"/>
          <w:spacing w:val="1"/>
        </w:rPr>
        <w:t>и</w:t>
      </w:r>
      <w:r w:rsidRPr="00CB7DDC">
        <w:rPr>
          <w:rFonts w:ascii="Calibri" w:eastAsia="Calibri" w:hAnsi="Calibri" w:cs="Calibri"/>
        </w:rPr>
        <w:t xml:space="preserve">ви </w:t>
      </w:r>
      <w:r w:rsidRPr="00CB7DDC">
        <w:rPr>
          <w:rFonts w:ascii="Calibri" w:eastAsia="Calibri" w:hAnsi="Calibri" w:cs="Calibri"/>
          <w:spacing w:val="1"/>
        </w:rPr>
        <w:t>н</w:t>
      </w:r>
      <w:r w:rsidRPr="00CB7DDC">
        <w:rPr>
          <w:rFonts w:ascii="Calibri" w:eastAsia="Calibri" w:hAnsi="Calibri" w:cs="Calibri"/>
        </w:rPr>
        <w:t>а водо</w:t>
      </w:r>
      <w:r w:rsidRPr="00CB7DDC">
        <w:rPr>
          <w:rFonts w:ascii="Calibri" w:eastAsia="Calibri" w:hAnsi="Calibri" w:cs="Calibri"/>
          <w:spacing w:val="-1"/>
        </w:rPr>
        <w:t>с</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бд</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spacing w:val="-2"/>
        </w:rPr>
        <w:t>т</w:t>
      </w:r>
      <w:r w:rsidRPr="00CB7DDC">
        <w:rPr>
          <w:rFonts w:ascii="Calibri" w:eastAsia="Calibri" w:hAnsi="Calibri" w:cs="Calibri"/>
        </w:rPr>
        <w:t>а и</w:t>
      </w:r>
      <w:r w:rsidRPr="00CB7DDC">
        <w:rPr>
          <w:rFonts w:ascii="Calibri" w:eastAsia="Calibri" w:hAnsi="Calibri" w:cs="Calibri"/>
          <w:spacing w:val="2"/>
        </w:rPr>
        <w:t xml:space="preserve"> </w:t>
      </w:r>
      <w:r w:rsidRPr="00CB7DDC">
        <w:rPr>
          <w:rFonts w:ascii="Calibri" w:eastAsia="Calibri" w:hAnsi="Calibri" w:cs="Calibri"/>
          <w:spacing w:val="1"/>
        </w:rPr>
        <w:t>к</w:t>
      </w:r>
      <w:r w:rsidRPr="00CB7DDC">
        <w:rPr>
          <w:rFonts w:ascii="Calibri" w:eastAsia="Calibri" w:hAnsi="Calibri" w:cs="Calibri"/>
          <w:spacing w:val="-3"/>
        </w:rPr>
        <w:t>а</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из</w:t>
      </w:r>
      <w:r w:rsidRPr="00CB7DDC">
        <w:rPr>
          <w:rFonts w:ascii="Calibri" w:eastAsia="Calibri" w:hAnsi="Calibri" w:cs="Calibri"/>
          <w:spacing w:val="-1"/>
        </w:rPr>
        <w:t>ац</w:t>
      </w:r>
      <w:r w:rsidRPr="00CB7DDC">
        <w:rPr>
          <w:rFonts w:ascii="Calibri" w:eastAsia="Calibri" w:hAnsi="Calibri" w:cs="Calibri"/>
          <w:spacing w:val="1"/>
        </w:rPr>
        <w:t>и</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 xml:space="preserve">та </w:t>
      </w:r>
      <w:r w:rsidRPr="00CB7DDC">
        <w:rPr>
          <w:rFonts w:ascii="Calibri" w:eastAsia="Calibri" w:hAnsi="Calibri" w:cs="Calibri"/>
          <w:spacing w:val="1"/>
        </w:rPr>
        <w:t>и</w:t>
      </w:r>
      <w:r w:rsidRPr="00CB7DDC">
        <w:rPr>
          <w:rFonts w:ascii="Calibri" w:eastAsia="Calibri" w:hAnsi="Calibri" w:cs="Calibri"/>
          <w:spacing w:val="-1"/>
        </w:rPr>
        <w:t>н</w:t>
      </w:r>
      <w:r w:rsidRPr="00CB7DDC">
        <w:rPr>
          <w:rFonts w:ascii="Calibri" w:eastAsia="Calibri" w:hAnsi="Calibri" w:cs="Calibri"/>
        </w:rPr>
        <w:t>фра</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2"/>
        </w:rPr>
        <w:t>р</w:t>
      </w:r>
      <w:r w:rsidRPr="00CB7DDC">
        <w:rPr>
          <w:rFonts w:ascii="Calibri" w:eastAsia="Calibri" w:hAnsi="Calibri" w:cs="Calibri"/>
          <w:spacing w:val="-7"/>
        </w:rPr>
        <w:t>у</w:t>
      </w:r>
      <w:r w:rsidRPr="00CB7DDC">
        <w:rPr>
          <w:rFonts w:ascii="Calibri" w:eastAsia="Calibri" w:hAnsi="Calibri" w:cs="Calibri"/>
          <w:spacing w:val="1"/>
        </w:rPr>
        <w:t>к</w:t>
      </w:r>
      <w:r w:rsidRPr="00CB7DDC">
        <w:rPr>
          <w:rFonts w:ascii="Calibri" w:eastAsia="Calibri" w:hAnsi="Calibri" w:cs="Calibri"/>
          <w:spacing w:val="5"/>
        </w:rPr>
        <w:t>т</w:t>
      </w:r>
      <w:r w:rsidRPr="00CB7DDC">
        <w:rPr>
          <w:rFonts w:ascii="Calibri" w:eastAsia="Calibri" w:hAnsi="Calibri" w:cs="Calibri"/>
          <w:spacing w:val="-5"/>
        </w:rPr>
        <w:t>у</w:t>
      </w:r>
      <w:r w:rsidRPr="00CB7DDC">
        <w:rPr>
          <w:rFonts w:ascii="Calibri" w:eastAsia="Calibri" w:hAnsi="Calibri" w:cs="Calibri"/>
          <w:spacing w:val="2"/>
        </w:rPr>
        <w:t>р</w:t>
      </w:r>
      <w:r w:rsidRPr="00CB7DDC">
        <w:rPr>
          <w:rFonts w:ascii="Calibri" w:eastAsia="Calibri" w:hAnsi="Calibri" w:cs="Calibri"/>
        </w:rPr>
        <w:t xml:space="preserve">а </w:t>
      </w:r>
      <w:r w:rsidRPr="00CB7DDC">
        <w:rPr>
          <w:rFonts w:ascii="Calibri" w:eastAsia="Calibri" w:hAnsi="Calibri" w:cs="Calibri"/>
          <w:spacing w:val="-1"/>
        </w:rPr>
        <w:t>с</w:t>
      </w:r>
      <w:r w:rsidRPr="00CB7DDC">
        <w:rPr>
          <w:rFonts w:ascii="Calibri" w:eastAsia="Calibri" w:hAnsi="Calibri" w:cs="Calibri"/>
        </w:rPr>
        <w:t xml:space="preserve">а </w:t>
      </w:r>
      <w:r w:rsidRPr="00CB7DDC">
        <w:rPr>
          <w:rFonts w:ascii="Calibri" w:eastAsia="Calibri" w:hAnsi="Calibri" w:cs="Calibri"/>
          <w:spacing w:val="3"/>
        </w:rPr>
        <w:t>п</w:t>
      </w:r>
      <w:r w:rsidRPr="00CB7DDC">
        <w:rPr>
          <w:rFonts w:ascii="Calibri" w:eastAsia="Calibri" w:hAnsi="Calibri" w:cs="Calibri"/>
          <w:spacing w:val="-7"/>
        </w:rPr>
        <w:t>у</w:t>
      </w:r>
      <w:r w:rsidRPr="00CB7DDC">
        <w:rPr>
          <w:rFonts w:ascii="Calibri" w:eastAsia="Calibri" w:hAnsi="Calibri" w:cs="Calibri"/>
        </w:rPr>
        <w:t>бл</w:t>
      </w:r>
      <w:r w:rsidRPr="00CB7DDC">
        <w:rPr>
          <w:rFonts w:ascii="Calibri" w:eastAsia="Calibri" w:hAnsi="Calibri" w:cs="Calibri"/>
          <w:spacing w:val="1"/>
        </w:rPr>
        <w:t>и</w:t>
      </w:r>
      <w:r w:rsidRPr="00CB7DDC">
        <w:rPr>
          <w:rFonts w:ascii="Calibri" w:eastAsia="Calibri" w:hAnsi="Calibri" w:cs="Calibri"/>
          <w:spacing w:val="-1"/>
        </w:rPr>
        <w:t>ч</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rPr>
        <w:t>общ</w:t>
      </w:r>
      <w:r w:rsidRPr="00CB7DDC">
        <w:rPr>
          <w:rFonts w:ascii="Calibri" w:eastAsia="Calibri" w:hAnsi="Calibri" w:cs="Calibri"/>
          <w:spacing w:val="1"/>
        </w:rPr>
        <w:t>ин</w:t>
      </w:r>
      <w:r w:rsidRPr="00CB7DDC">
        <w:rPr>
          <w:rFonts w:ascii="Calibri" w:eastAsia="Calibri" w:hAnsi="Calibri" w:cs="Calibri"/>
          <w:spacing w:val="-1"/>
        </w:rPr>
        <w:t>с</w:t>
      </w:r>
      <w:r w:rsidRPr="00CB7DDC">
        <w:rPr>
          <w:rFonts w:ascii="Calibri" w:eastAsia="Calibri" w:hAnsi="Calibri" w:cs="Calibri"/>
          <w:spacing w:val="1"/>
        </w:rPr>
        <w:t>к</w:t>
      </w:r>
      <w:r w:rsidRPr="00CB7DDC">
        <w:rPr>
          <w:rFonts w:ascii="Calibri" w:eastAsia="Calibri" w:hAnsi="Calibri" w:cs="Calibri"/>
        </w:rPr>
        <w:t>а</w:t>
      </w:r>
      <w:r w:rsidRPr="00CB7DDC">
        <w:rPr>
          <w:rFonts w:ascii="Calibri" w:eastAsia="Calibri" w:hAnsi="Calibri" w:cs="Calibri"/>
          <w:spacing w:val="-1"/>
        </w:rPr>
        <w:t xml:space="preserve"> с</w:t>
      </w:r>
      <w:r w:rsidRPr="00CB7DDC">
        <w:rPr>
          <w:rFonts w:ascii="Calibri" w:eastAsia="Calibri" w:hAnsi="Calibri" w:cs="Calibri"/>
          <w:spacing w:val="2"/>
        </w:rPr>
        <w:t>о</w:t>
      </w:r>
      <w:r w:rsidRPr="00CB7DDC">
        <w:rPr>
          <w:rFonts w:ascii="Calibri" w:eastAsia="Calibri" w:hAnsi="Calibri" w:cs="Calibri"/>
        </w:rPr>
        <w:t>б</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т.</w:t>
      </w:r>
    </w:p>
    <w:p w:rsidR="009D2DBF" w:rsidRPr="009D2DBF" w:rsidRDefault="00CB7DDC"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rPr>
      </w:pPr>
      <w:r w:rsidRPr="00CB7DDC">
        <w:rPr>
          <w:rFonts w:ascii="Calibri" w:eastAsia="Calibri" w:hAnsi="Calibri" w:cs="Calibri"/>
          <w:bCs/>
        </w:rPr>
        <w:t>В</w:t>
      </w:r>
      <w:r w:rsidRPr="00CB7DDC">
        <w:rPr>
          <w:rFonts w:ascii="Calibri" w:eastAsia="Calibri" w:hAnsi="Calibri" w:cs="Calibri"/>
          <w:bCs/>
          <w:spacing w:val="1"/>
        </w:rPr>
        <w:t xml:space="preserve"> </w:t>
      </w:r>
      <w:r w:rsidRPr="00CB7DDC">
        <w:rPr>
          <w:rFonts w:ascii="Calibri" w:eastAsia="Calibri" w:hAnsi="Calibri" w:cs="Calibri"/>
          <w:bCs/>
        </w:rPr>
        <w:t>мом</w:t>
      </w:r>
      <w:r w:rsidRPr="00CB7DDC">
        <w:rPr>
          <w:rFonts w:ascii="Calibri" w:eastAsia="Calibri" w:hAnsi="Calibri" w:cs="Calibri"/>
          <w:bCs/>
          <w:spacing w:val="-1"/>
        </w:rPr>
        <w:t>е</w:t>
      </w:r>
      <w:r w:rsidRPr="00CB7DDC">
        <w:rPr>
          <w:rFonts w:ascii="Calibri" w:eastAsia="Calibri" w:hAnsi="Calibri" w:cs="Calibri"/>
          <w:bCs/>
          <w:spacing w:val="1"/>
        </w:rPr>
        <w:t>н</w:t>
      </w:r>
      <w:r w:rsidRPr="00CB7DDC">
        <w:rPr>
          <w:rFonts w:ascii="Calibri" w:eastAsia="Calibri" w:hAnsi="Calibri" w:cs="Calibri"/>
          <w:bCs/>
          <w:spacing w:val="2"/>
        </w:rPr>
        <w:t>т</w:t>
      </w:r>
      <w:r w:rsidRPr="00CB7DDC">
        <w:rPr>
          <w:rFonts w:ascii="Calibri" w:eastAsia="Calibri" w:hAnsi="Calibri" w:cs="Calibri"/>
          <w:bCs/>
        </w:rPr>
        <w:t>а</w:t>
      </w:r>
      <w:r w:rsidRPr="00CB7DDC">
        <w:rPr>
          <w:rFonts w:ascii="Calibri" w:eastAsia="Calibri" w:hAnsi="Calibri" w:cs="Calibri"/>
          <w:bCs/>
          <w:spacing w:val="1"/>
        </w:rPr>
        <w:t xml:space="preserve"> </w:t>
      </w:r>
      <w:r w:rsidRPr="00CB7DDC">
        <w:rPr>
          <w:rFonts w:ascii="Calibri" w:eastAsia="Calibri" w:hAnsi="Calibri" w:cs="Calibri"/>
          <w:bCs/>
        </w:rPr>
        <w:t>66</w:t>
      </w:r>
      <w:r w:rsidRPr="00CB7DDC">
        <w:rPr>
          <w:rFonts w:ascii="Calibri" w:eastAsia="Calibri" w:hAnsi="Calibri" w:cs="Calibri"/>
          <w:bCs/>
          <w:spacing w:val="1"/>
        </w:rPr>
        <w:t xml:space="preserve"> </w:t>
      </w:r>
      <w:r w:rsidRPr="00CB7DDC">
        <w:rPr>
          <w:rFonts w:ascii="Calibri" w:eastAsia="Calibri" w:hAnsi="Calibri" w:cs="Calibri"/>
          <w:bCs/>
        </w:rPr>
        <w:t>В</w:t>
      </w:r>
      <w:r w:rsidRPr="00CB7DDC">
        <w:rPr>
          <w:rFonts w:ascii="Calibri" w:eastAsia="Calibri" w:hAnsi="Calibri" w:cs="Calibri"/>
          <w:bCs/>
          <w:spacing w:val="1"/>
        </w:rPr>
        <w:t>и</w:t>
      </w:r>
      <w:r w:rsidRPr="00CB7DDC">
        <w:rPr>
          <w:rFonts w:ascii="Calibri" w:eastAsia="Calibri" w:hAnsi="Calibri" w:cs="Calibri"/>
          <w:bCs/>
        </w:rPr>
        <w:t>К</w:t>
      </w:r>
      <w:r w:rsidRPr="00CB7DDC">
        <w:rPr>
          <w:rFonts w:ascii="Calibri" w:eastAsia="Calibri" w:hAnsi="Calibri" w:cs="Calibri"/>
          <w:bCs/>
          <w:spacing w:val="2"/>
        </w:rPr>
        <w:t xml:space="preserve"> </w:t>
      </w:r>
      <w:r w:rsidRPr="00CB7DDC">
        <w:rPr>
          <w:rFonts w:ascii="Calibri" w:eastAsia="Calibri" w:hAnsi="Calibri" w:cs="Calibri"/>
          <w:bCs/>
          <w:spacing w:val="-1"/>
        </w:rPr>
        <w:t>др</w:t>
      </w:r>
      <w:r w:rsidRPr="00CB7DDC">
        <w:rPr>
          <w:rFonts w:ascii="Calibri" w:eastAsia="Calibri" w:hAnsi="Calibri" w:cs="Calibri"/>
          <w:bCs/>
          <w:spacing w:val="2"/>
        </w:rPr>
        <w:t>у</w:t>
      </w:r>
      <w:r w:rsidRPr="00CB7DDC">
        <w:rPr>
          <w:rFonts w:ascii="Calibri" w:eastAsia="Calibri" w:hAnsi="Calibri" w:cs="Calibri"/>
          <w:bCs/>
          <w:spacing w:val="-4"/>
        </w:rPr>
        <w:t>ж</w:t>
      </w:r>
      <w:r w:rsidRPr="00CB7DDC">
        <w:rPr>
          <w:rFonts w:ascii="Calibri" w:eastAsia="Calibri" w:hAnsi="Calibri" w:cs="Calibri"/>
          <w:bCs/>
          <w:spacing w:val="-1"/>
        </w:rPr>
        <w:t>ес</w:t>
      </w:r>
      <w:r w:rsidRPr="00CB7DDC">
        <w:rPr>
          <w:rFonts w:ascii="Calibri" w:eastAsia="Calibri" w:hAnsi="Calibri" w:cs="Calibri"/>
          <w:bCs/>
          <w:spacing w:val="2"/>
        </w:rPr>
        <w:t>т</w:t>
      </w:r>
      <w:r w:rsidRPr="00CB7DDC">
        <w:rPr>
          <w:rFonts w:ascii="Calibri" w:eastAsia="Calibri" w:hAnsi="Calibri" w:cs="Calibri"/>
          <w:bCs/>
        </w:rPr>
        <w:t>ва</w:t>
      </w:r>
      <w:r w:rsidRPr="00CB7DDC">
        <w:rPr>
          <w:rFonts w:ascii="Calibri" w:eastAsia="Calibri" w:hAnsi="Calibri" w:cs="Calibri"/>
          <w:bCs/>
          <w:spacing w:val="1"/>
        </w:rPr>
        <w:t xml:space="preserve"> пр</w:t>
      </w:r>
      <w:r w:rsidRPr="00CB7DDC">
        <w:rPr>
          <w:rFonts w:ascii="Calibri" w:eastAsia="Calibri" w:hAnsi="Calibri" w:cs="Calibri"/>
          <w:bCs/>
          <w:spacing w:val="-1"/>
        </w:rPr>
        <w:t>е</w:t>
      </w:r>
      <w:r w:rsidRPr="00CB7DDC">
        <w:rPr>
          <w:rFonts w:ascii="Calibri" w:eastAsia="Calibri" w:hAnsi="Calibri" w:cs="Calibri"/>
          <w:bCs/>
          <w:spacing w:val="1"/>
        </w:rPr>
        <w:t>д</w:t>
      </w:r>
      <w:r w:rsidRPr="00CB7DDC">
        <w:rPr>
          <w:rFonts w:ascii="Calibri" w:eastAsia="Calibri" w:hAnsi="Calibri" w:cs="Calibri"/>
          <w:bCs/>
        </w:rPr>
        <w:t>о</w:t>
      </w:r>
      <w:r w:rsidRPr="00CB7DDC">
        <w:rPr>
          <w:rFonts w:ascii="Calibri" w:eastAsia="Calibri" w:hAnsi="Calibri" w:cs="Calibri"/>
          <w:bCs/>
          <w:spacing w:val="-1"/>
        </w:rPr>
        <w:t>с</w:t>
      </w:r>
      <w:r w:rsidRPr="00CB7DDC">
        <w:rPr>
          <w:rFonts w:ascii="Calibri" w:eastAsia="Calibri" w:hAnsi="Calibri" w:cs="Calibri"/>
          <w:bCs/>
          <w:spacing w:val="2"/>
        </w:rPr>
        <w:t>т</w:t>
      </w:r>
      <w:r w:rsidRPr="00CB7DDC">
        <w:rPr>
          <w:rFonts w:ascii="Calibri" w:eastAsia="Calibri" w:hAnsi="Calibri" w:cs="Calibri"/>
          <w:bCs/>
        </w:rPr>
        <w:t>авят В</w:t>
      </w:r>
      <w:r w:rsidRPr="00CB7DDC">
        <w:rPr>
          <w:rFonts w:ascii="Calibri" w:eastAsia="Calibri" w:hAnsi="Calibri" w:cs="Calibri"/>
          <w:bCs/>
          <w:spacing w:val="1"/>
        </w:rPr>
        <w:t>и</w:t>
      </w:r>
      <w:r w:rsidRPr="00CB7DDC">
        <w:rPr>
          <w:rFonts w:ascii="Calibri" w:eastAsia="Calibri" w:hAnsi="Calibri" w:cs="Calibri"/>
          <w:bCs/>
        </w:rPr>
        <w:t>К</w:t>
      </w:r>
      <w:r w:rsidRPr="00CB7DDC">
        <w:rPr>
          <w:rFonts w:ascii="Calibri" w:eastAsia="Calibri" w:hAnsi="Calibri" w:cs="Calibri"/>
          <w:bCs/>
          <w:spacing w:val="2"/>
        </w:rPr>
        <w:t xml:space="preserve"> </w:t>
      </w:r>
      <w:r w:rsidRPr="00CB7DDC">
        <w:rPr>
          <w:rFonts w:ascii="Calibri" w:eastAsia="Calibri" w:hAnsi="Calibri" w:cs="Calibri"/>
          <w:bCs/>
        </w:rPr>
        <w:t>у</w:t>
      </w:r>
      <w:r w:rsidRPr="00CB7DDC">
        <w:rPr>
          <w:rFonts w:ascii="Calibri" w:eastAsia="Calibri" w:hAnsi="Calibri" w:cs="Calibri"/>
          <w:bCs/>
          <w:spacing w:val="-1"/>
        </w:rPr>
        <w:t>с</w:t>
      </w:r>
      <w:r w:rsidRPr="00CB7DDC">
        <w:rPr>
          <w:rFonts w:ascii="Calibri" w:eastAsia="Calibri" w:hAnsi="Calibri" w:cs="Calibri"/>
          <w:bCs/>
        </w:rPr>
        <w:t>лу</w:t>
      </w:r>
      <w:r w:rsidRPr="00CB7DDC">
        <w:rPr>
          <w:rFonts w:ascii="Calibri" w:eastAsia="Calibri" w:hAnsi="Calibri" w:cs="Calibri"/>
          <w:bCs/>
          <w:spacing w:val="-1"/>
        </w:rPr>
        <w:t>г</w:t>
      </w:r>
      <w:r w:rsidRPr="00CB7DDC">
        <w:rPr>
          <w:rFonts w:ascii="Calibri" w:eastAsia="Calibri" w:hAnsi="Calibri" w:cs="Calibri"/>
          <w:bCs/>
        </w:rPr>
        <w:t>и</w:t>
      </w:r>
      <w:r w:rsidRPr="00CB7DDC">
        <w:rPr>
          <w:rFonts w:ascii="Calibri" w:eastAsia="Calibri" w:hAnsi="Calibri" w:cs="Calibri"/>
          <w:bCs/>
          <w:spacing w:val="1"/>
        </w:rPr>
        <w:t xml:space="preserve"> н</w:t>
      </w:r>
      <w:r w:rsidRPr="00CB7DDC">
        <w:rPr>
          <w:rFonts w:ascii="Calibri" w:eastAsia="Calibri" w:hAnsi="Calibri" w:cs="Calibri"/>
          <w:bCs/>
        </w:rPr>
        <w:t>а</w:t>
      </w:r>
      <w:r w:rsidRPr="00CB7DDC">
        <w:rPr>
          <w:rFonts w:ascii="Calibri" w:eastAsia="Calibri" w:hAnsi="Calibri" w:cs="Calibri"/>
          <w:bCs/>
          <w:spacing w:val="1"/>
        </w:rPr>
        <w:t xml:space="preserve"> п</w:t>
      </w:r>
      <w:r w:rsidRPr="00CB7DDC">
        <w:rPr>
          <w:rFonts w:ascii="Calibri" w:eastAsia="Calibri" w:hAnsi="Calibri" w:cs="Calibri"/>
          <w:bCs/>
        </w:rPr>
        <w:t>отр</w:t>
      </w:r>
      <w:r w:rsidRPr="00CB7DDC">
        <w:rPr>
          <w:rFonts w:ascii="Calibri" w:eastAsia="Calibri" w:hAnsi="Calibri" w:cs="Calibri"/>
          <w:bCs/>
          <w:spacing w:val="-1"/>
        </w:rPr>
        <w:t>е</w:t>
      </w:r>
      <w:r w:rsidRPr="00CB7DDC">
        <w:rPr>
          <w:rFonts w:ascii="Calibri" w:eastAsia="Calibri" w:hAnsi="Calibri" w:cs="Calibri"/>
          <w:bCs/>
        </w:rPr>
        <w:t>б</w:t>
      </w:r>
      <w:r w:rsidRPr="00CB7DDC">
        <w:rPr>
          <w:rFonts w:ascii="Calibri" w:eastAsia="Calibri" w:hAnsi="Calibri" w:cs="Calibri"/>
          <w:bCs/>
          <w:spacing w:val="1"/>
        </w:rPr>
        <w:t>и</w:t>
      </w:r>
      <w:r w:rsidRPr="00CB7DDC">
        <w:rPr>
          <w:rFonts w:ascii="Calibri" w:eastAsia="Calibri" w:hAnsi="Calibri" w:cs="Calibri"/>
          <w:bCs/>
          <w:spacing w:val="2"/>
        </w:rPr>
        <w:t>т</w:t>
      </w:r>
      <w:r w:rsidRPr="00CB7DDC">
        <w:rPr>
          <w:rFonts w:ascii="Calibri" w:eastAsia="Calibri" w:hAnsi="Calibri" w:cs="Calibri"/>
          <w:bCs/>
          <w:spacing w:val="-1"/>
        </w:rPr>
        <w:t>е</w:t>
      </w:r>
      <w:r w:rsidRPr="00CB7DDC">
        <w:rPr>
          <w:rFonts w:ascii="Calibri" w:eastAsia="Calibri" w:hAnsi="Calibri" w:cs="Calibri"/>
          <w:bCs/>
        </w:rPr>
        <w:t>л</w:t>
      </w:r>
      <w:r w:rsidRPr="00CB7DDC">
        <w:rPr>
          <w:rFonts w:ascii="Calibri" w:eastAsia="Calibri" w:hAnsi="Calibri" w:cs="Calibri"/>
          <w:bCs/>
          <w:spacing w:val="-2"/>
        </w:rPr>
        <w:t>и</w:t>
      </w:r>
      <w:r w:rsidRPr="00CB7DDC">
        <w:rPr>
          <w:rFonts w:ascii="Calibri" w:eastAsia="Calibri" w:hAnsi="Calibri" w:cs="Calibri"/>
          <w:bCs/>
          <w:spacing w:val="2"/>
        </w:rPr>
        <w:t>т</w:t>
      </w:r>
      <w:r w:rsidRPr="00CB7DDC">
        <w:rPr>
          <w:rFonts w:ascii="Calibri" w:eastAsia="Calibri" w:hAnsi="Calibri" w:cs="Calibri"/>
          <w:bCs/>
          <w:spacing w:val="-1"/>
        </w:rPr>
        <w:t>е</w:t>
      </w:r>
      <w:r w:rsidR="009D2DBF">
        <w:rPr>
          <w:rFonts w:ascii="Calibri" w:eastAsia="Calibri" w:hAnsi="Calibri" w:cs="Calibri"/>
          <w:bCs/>
        </w:rPr>
        <w:t xml:space="preserve"> на териториален принцип, което обяснява монополното положение на операторите на ВиК услуги</w:t>
      </w:r>
      <w:r w:rsidR="009C60B0">
        <w:rPr>
          <w:rFonts w:ascii="Calibri" w:eastAsia="Calibri" w:hAnsi="Calibri" w:cs="Calibri"/>
          <w:bCs/>
        </w:rPr>
        <w:t>.</w:t>
      </w:r>
    </w:p>
    <w:p w:rsidR="00CB7DDC" w:rsidRDefault="00CB7DDC"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rPr>
      </w:pPr>
      <w:r w:rsidRPr="00CB7DDC">
        <w:rPr>
          <w:rFonts w:ascii="Calibri" w:eastAsia="Calibri" w:hAnsi="Calibri" w:cs="Calibri"/>
        </w:rPr>
        <w:t>Общо 65 д</w:t>
      </w:r>
      <w:r w:rsidRPr="00CB7DDC">
        <w:rPr>
          <w:rFonts w:ascii="Calibri" w:eastAsia="Calibri" w:hAnsi="Calibri" w:cs="Calibri"/>
          <w:spacing w:val="2"/>
        </w:rPr>
        <w:t>р</w:t>
      </w:r>
      <w:r w:rsidRPr="00CB7DDC">
        <w:rPr>
          <w:rFonts w:ascii="Calibri" w:eastAsia="Calibri" w:hAnsi="Calibri" w:cs="Calibri"/>
          <w:spacing w:val="-5"/>
        </w:rPr>
        <w:t>у</w:t>
      </w:r>
      <w:r w:rsidRPr="00CB7DDC">
        <w:rPr>
          <w:rFonts w:ascii="Calibri" w:eastAsia="Calibri" w:hAnsi="Calibri" w:cs="Calibri"/>
        </w:rPr>
        <w:t>ж</w:t>
      </w:r>
      <w:r w:rsidRPr="00CB7DDC">
        <w:rPr>
          <w:rFonts w:ascii="Calibri" w:eastAsia="Calibri" w:hAnsi="Calibri" w:cs="Calibri"/>
          <w:spacing w:val="1"/>
        </w:rPr>
        <w:t>е</w:t>
      </w:r>
      <w:r w:rsidRPr="00CB7DDC">
        <w:rPr>
          <w:rFonts w:ascii="Calibri" w:eastAsia="Calibri" w:hAnsi="Calibri" w:cs="Calibri"/>
          <w:spacing w:val="-1"/>
        </w:rPr>
        <w:t>с</w:t>
      </w:r>
      <w:r w:rsidRPr="00CB7DDC">
        <w:rPr>
          <w:rFonts w:ascii="Calibri" w:eastAsia="Calibri" w:hAnsi="Calibri" w:cs="Calibri"/>
        </w:rPr>
        <w:t>тва</w:t>
      </w:r>
      <w:r w:rsidRPr="00CB7DDC">
        <w:rPr>
          <w:rFonts w:ascii="Calibri" w:eastAsia="Calibri" w:hAnsi="Calibri" w:cs="Calibri"/>
          <w:spacing w:val="-1"/>
        </w:rPr>
        <w:t xml:space="preserve"> </w:t>
      </w:r>
      <w:r w:rsidRPr="00CB7DDC">
        <w:rPr>
          <w:rFonts w:ascii="Calibri" w:eastAsia="Calibri" w:hAnsi="Calibri" w:cs="Calibri"/>
          <w:spacing w:val="1"/>
        </w:rPr>
        <w:t>с</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rPr>
        <w:t>в</w:t>
      </w:r>
      <w:r w:rsidRPr="00CB7DDC">
        <w:rPr>
          <w:rFonts w:ascii="Calibri" w:eastAsia="Calibri" w:hAnsi="Calibri" w:cs="Calibri"/>
          <w:spacing w:val="3"/>
        </w:rPr>
        <w:t>и</w:t>
      </w:r>
      <w:r w:rsidRPr="00CB7DDC">
        <w:rPr>
          <w:rFonts w:ascii="Calibri" w:eastAsia="Calibri" w:hAnsi="Calibri" w:cs="Calibri"/>
        </w:rPr>
        <w:t>ли</w:t>
      </w:r>
      <w:r w:rsidRPr="00CB7DDC">
        <w:rPr>
          <w:rFonts w:ascii="Calibri" w:eastAsia="Calibri" w:hAnsi="Calibri" w:cs="Calibri"/>
          <w:spacing w:val="1"/>
        </w:rPr>
        <w:t xml:space="preserve"> </w:t>
      </w:r>
      <w:r w:rsidRPr="00CB7DDC">
        <w:rPr>
          <w:rFonts w:ascii="Calibri" w:eastAsia="Calibri" w:hAnsi="Calibri" w:cs="Calibri"/>
        </w:rPr>
        <w:t>б</w:t>
      </w:r>
      <w:r w:rsidRPr="00CB7DDC">
        <w:rPr>
          <w:rFonts w:ascii="Calibri" w:eastAsia="Calibri" w:hAnsi="Calibri" w:cs="Calibri"/>
          <w:spacing w:val="-1"/>
        </w:rPr>
        <w:t>и</w:t>
      </w:r>
      <w:r w:rsidRPr="00CB7DDC">
        <w:rPr>
          <w:rFonts w:ascii="Calibri" w:eastAsia="Calibri" w:hAnsi="Calibri" w:cs="Calibri"/>
          <w:spacing w:val="1"/>
        </w:rPr>
        <w:t>зн</w:t>
      </w:r>
      <w:r w:rsidRPr="00CB7DDC">
        <w:rPr>
          <w:rFonts w:ascii="Calibri" w:eastAsia="Calibri" w:hAnsi="Calibri" w:cs="Calibri"/>
          <w:spacing w:val="-1"/>
        </w:rPr>
        <w:t>е</w:t>
      </w:r>
      <w:r w:rsidRPr="00CB7DDC">
        <w:rPr>
          <w:rFonts w:ascii="Calibri" w:eastAsia="Calibri" w:hAnsi="Calibri" w:cs="Calibri"/>
        </w:rPr>
        <w:t>с</w:t>
      </w:r>
      <w:r w:rsidRPr="00CB7DDC">
        <w:rPr>
          <w:rFonts w:ascii="Calibri" w:eastAsia="Calibri" w:hAnsi="Calibri" w:cs="Calibri"/>
          <w:spacing w:val="-1"/>
        </w:rPr>
        <w:t xml:space="preserve"> </w:t>
      </w:r>
      <w:r w:rsidRPr="00CB7DDC">
        <w:rPr>
          <w:rFonts w:ascii="Calibri" w:eastAsia="Calibri" w:hAnsi="Calibri" w:cs="Calibri"/>
          <w:spacing w:val="1"/>
        </w:rPr>
        <w:t>п</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ове</w:t>
      </w:r>
      <w:r w:rsidRPr="00CB7DDC">
        <w:rPr>
          <w:rFonts w:ascii="Calibri" w:eastAsia="Calibri" w:hAnsi="Calibri" w:cs="Calibri"/>
          <w:spacing w:val="-1"/>
        </w:rPr>
        <w:t xml:space="preserve"> </w:t>
      </w:r>
      <w:r w:rsidRPr="00CB7DDC">
        <w:rPr>
          <w:rFonts w:ascii="Calibri" w:eastAsia="Calibri" w:hAnsi="Calibri" w:cs="Calibri"/>
          <w:spacing w:val="1"/>
        </w:rPr>
        <w:t>з</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spacing w:val="1"/>
        </w:rPr>
        <w:t>п</w:t>
      </w:r>
      <w:r w:rsidRPr="00CB7DDC">
        <w:rPr>
          <w:rFonts w:ascii="Calibri" w:eastAsia="Calibri" w:hAnsi="Calibri" w:cs="Calibri"/>
          <w:spacing w:val="-1"/>
        </w:rPr>
        <w:t>е</w:t>
      </w:r>
      <w:r w:rsidRPr="00CB7DDC">
        <w:rPr>
          <w:rFonts w:ascii="Calibri" w:eastAsia="Calibri" w:hAnsi="Calibri" w:cs="Calibri"/>
        </w:rPr>
        <w:t>р</w:t>
      </w:r>
      <w:r w:rsidRPr="00CB7DDC">
        <w:rPr>
          <w:rFonts w:ascii="Calibri" w:eastAsia="Calibri" w:hAnsi="Calibri" w:cs="Calibri"/>
          <w:spacing w:val="1"/>
        </w:rPr>
        <w:t>и</w:t>
      </w:r>
      <w:r w:rsidRPr="00CB7DDC">
        <w:rPr>
          <w:rFonts w:ascii="Calibri" w:eastAsia="Calibri" w:hAnsi="Calibri" w:cs="Calibri"/>
        </w:rPr>
        <w:t>ода 2009</w:t>
      </w:r>
      <w:r w:rsidRPr="00CB7DDC">
        <w:rPr>
          <w:rFonts w:ascii="Calibri" w:eastAsia="Calibri" w:hAnsi="Calibri" w:cs="Calibri"/>
          <w:spacing w:val="5"/>
        </w:rPr>
        <w:t xml:space="preserve"> </w:t>
      </w:r>
      <w:r w:rsidRPr="00CB7DDC">
        <w:rPr>
          <w:rFonts w:ascii="Calibri" w:eastAsia="Calibri" w:hAnsi="Calibri" w:cs="Calibri"/>
        </w:rPr>
        <w:t>-</w:t>
      </w:r>
      <w:r w:rsidRPr="00CB7DDC">
        <w:rPr>
          <w:rFonts w:ascii="Calibri" w:eastAsia="Calibri" w:hAnsi="Calibri" w:cs="Calibri"/>
          <w:spacing w:val="1"/>
        </w:rPr>
        <w:t xml:space="preserve"> </w:t>
      </w:r>
      <w:r w:rsidRPr="00CB7DDC">
        <w:rPr>
          <w:rFonts w:ascii="Calibri" w:eastAsia="Calibri" w:hAnsi="Calibri" w:cs="Calibri"/>
        </w:rPr>
        <w:t>2013 г.</w:t>
      </w:r>
    </w:p>
    <w:p w:rsidR="00F35CD3" w:rsidRDefault="00F35CD3" w:rsidP="009D2DBF">
      <w:pPr>
        <w:pStyle w:val="Caption"/>
        <w:ind w:left="176" w:firstLine="708"/>
        <w:rPr>
          <w:rFonts w:asciiTheme="minorHAnsi" w:hAnsiTheme="minorHAnsi" w:cstheme="minorHAnsi"/>
        </w:rPr>
      </w:pPr>
    </w:p>
    <w:p w:rsidR="009D2DBF" w:rsidRPr="009D2DBF" w:rsidRDefault="009D2DBF" w:rsidP="009D2DBF">
      <w:pPr>
        <w:pStyle w:val="Caption"/>
        <w:ind w:left="176" w:firstLine="708"/>
        <w:rPr>
          <w:rFonts w:asciiTheme="minorHAnsi" w:eastAsia="Calibri" w:hAnsiTheme="minorHAnsi" w:cstheme="minorHAnsi"/>
        </w:rPr>
      </w:pPr>
      <w:bookmarkStart w:id="9" w:name="_Toc399494586"/>
      <w:r>
        <w:rPr>
          <w:rFonts w:asciiTheme="minorHAnsi" w:hAnsiTheme="minorHAnsi" w:cstheme="minorHAnsi"/>
        </w:rPr>
        <w:t>Ф</w:t>
      </w:r>
      <w:r w:rsidRPr="009D2DBF">
        <w:rPr>
          <w:rFonts w:asciiTheme="minorHAnsi" w:hAnsiTheme="minorHAnsi" w:cstheme="minorHAnsi"/>
        </w:rPr>
        <w:t xml:space="preserve">игура </w:t>
      </w:r>
      <w:r w:rsidR="008E6461" w:rsidRPr="009D2DBF">
        <w:rPr>
          <w:rFonts w:asciiTheme="minorHAnsi" w:hAnsiTheme="minorHAnsi" w:cstheme="minorHAnsi"/>
        </w:rPr>
        <w:fldChar w:fldCharType="begin"/>
      </w:r>
      <w:r w:rsidRPr="009D2DBF">
        <w:rPr>
          <w:rFonts w:asciiTheme="minorHAnsi" w:hAnsiTheme="minorHAnsi" w:cstheme="minorHAnsi"/>
        </w:rPr>
        <w:instrText xml:space="preserve"> SEQ фигура \* ARABIC </w:instrText>
      </w:r>
      <w:r w:rsidR="008E6461" w:rsidRPr="009D2DBF">
        <w:rPr>
          <w:rFonts w:asciiTheme="minorHAnsi" w:hAnsiTheme="minorHAnsi" w:cstheme="minorHAnsi"/>
        </w:rPr>
        <w:fldChar w:fldCharType="separate"/>
      </w:r>
      <w:r w:rsidR="003A69A7">
        <w:rPr>
          <w:rFonts w:asciiTheme="minorHAnsi" w:hAnsiTheme="minorHAnsi" w:cstheme="minorHAnsi"/>
          <w:noProof/>
        </w:rPr>
        <w:t>1</w:t>
      </w:r>
      <w:r w:rsidR="008E6461" w:rsidRPr="009D2DBF">
        <w:rPr>
          <w:rFonts w:asciiTheme="minorHAnsi" w:hAnsiTheme="minorHAnsi" w:cstheme="minorHAnsi"/>
        </w:rPr>
        <w:fldChar w:fldCharType="end"/>
      </w:r>
      <w:r>
        <w:rPr>
          <w:rFonts w:asciiTheme="minorHAnsi" w:hAnsiTheme="minorHAnsi" w:cstheme="minorHAnsi"/>
        </w:rPr>
        <w:t>: Териториално разпределение на ВиК операторите</w:t>
      </w:r>
      <w:bookmarkEnd w:id="9"/>
    </w:p>
    <w:p w:rsidR="009D2DBF" w:rsidRPr="00CB7DDC" w:rsidRDefault="00FC75F0" w:rsidP="00722616">
      <w:pPr>
        <w:widowControl w:val="0"/>
        <w:autoSpaceDE w:val="0"/>
        <w:autoSpaceDN w:val="0"/>
        <w:adjustRightInd w:val="0"/>
        <w:spacing w:before="240" w:after="0" w:line="239" w:lineRule="auto"/>
        <w:ind w:left="567" w:right="66"/>
        <w:jc w:val="both"/>
        <w:rPr>
          <w:rFonts w:ascii="Calibri" w:eastAsia="Calibri" w:hAnsi="Calibri" w:cs="Calibri"/>
        </w:rPr>
      </w:pPr>
      <w:r>
        <w:rPr>
          <w:rFonts w:ascii="Calibri" w:eastAsia="Calibri" w:hAnsi="Calibri" w:cs="Calibri"/>
          <w:noProof/>
          <w:lang w:eastAsia="bg-BG"/>
        </w:rPr>
        <w:drawing>
          <wp:inline distT="0" distB="0" distL="0" distR="0">
            <wp:extent cx="5055415" cy="3533775"/>
            <wp:effectExtent l="19050" t="0" r="0" b="0"/>
            <wp:docPr id="9" name="Picture 8" descr="zx500_19397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x500_1939707.jpg"/>
                    <pic:cNvPicPr/>
                  </pic:nvPicPr>
                  <pic:blipFill>
                    <a:blip r:embed="rId19" cstate="print"/>
                    <a:stretch>
                      <a:fillRect/>
                    </a:stretch>
                  </pic:blipFill>
                  <pic:spPr>
                    <a:xfrm>
                      <a:off x="0" y="0"/>
                      <a:ext cx="5058090" cy="3535644"/>
                    </a:xfrm>
                    <a:prstGeom prst="rect">
                      <a:avLst/>
                    </a:prstGeom>
                  </pic:spPr>
                </pic:pic>
              </a:graphicData>
            </a:graphic>
          </wp:inline>
        </w:drawing>
      </w:r>
    </w:p>
    <w:p w:rsidR="00F35CD3" w:rsidRDefault="00CB7DDC" w:rsidP="00F35CD3">
      <w:pPr>
        <w:widowControl w:val="0"/>
        <w:autoSpaceDE w:val="0"/>
        <w:autoSpaceDN w:val="0"/>
        <w:adjustRightInd w:val="0"/>
        <w:spacing w:before="240" w:after="0" w:line="239" w:lineRule="auto"/>
        <w:ind w:right="64"/>
        <w:jc w:val="both"/>
        <w:rPr>
          <w:rFonts w:eastAsia="Calibri"/>
          <w:b/>
        </w:rPr>
      </w:pPr>
      <w:r w:rsidRPr="00CB7DDC">
        <w:rPr>
          <w:rFonts w:ascii="Calibri" w:eastAsia="Calibri" w:hAnsi="Calibri" w:cs="Calibri"/>
          <w:bCs/>
        </w:rPr>
        <w:t>В</w:t>
      </w:r>
      <w:r w:rsidRPr="00CB7DDC">
        <w:rPr>
          <w:rFonts w:ascii="Calibri" w:eastAsia="Calibri" w:hAnsi="Calibri" w:cs="Calibri"/>
          <w:bCs/>
          <w:spacing w:val="1"/>
        </w:rPr>
        <w:t>и</w:t>
      </w:r>
      <w:r w:rsidRPr="00CB7DDC">
        <w:rPr>
          <w:rFonts w:ascii="Calibri" w:eastAsia="Calibri" w:hAnsi="Calibri" w:cs="Calibri"/>
          <w:bCs/>
        </w:rPr>
        <w:t>К</w:t>
      </w:r>
      <w:r w:rsidRPr="00CB7DDC">
        <w:rPr>
          <w:rFonts w:ascii="Calibri" w:eastAsia="Calibri" w:hAnsi="Calibri" w:cs="Calibri"/>
          <w:bCs/>
          <w:spacing w:val="4"/>
        </w:rPr>
        <w:t xml:space="preserve"> </w:t>
      </w:r>
      <w:r w:rsidRPr="00CB7DDC">
        <w:rPr>
          <w:rFonts w:ascii="Calibri" w:eastAsia="Calibri" w:hAnsi="Calibri" w:cs="Calibri"/>
          <w:bCs/>
          <w:spacing w:val="-2"/>
        </w:rPr>
        <w:t>о</w:t>
      </w:r>
      <w:r w:rsidRPr="00CB7DDC">
        <w:rPr>
          <w:rFonts w:ascii="Calibri" w:eastAsia="Calibri" w:hAnsi="Calibri" w:cs="Calibri"/>
          <w:bCs/>
          <w:spacing w:val="2"/>
        </w:rPr>
        <w:t>т</w:t>
      </w:r>
      <w:r w:rsidRPr="00CB7DDC">
        <w:rPr>
          <w:rFonts w:ascii="Calibri" w:eastAsia="Calibri" w:hAnsi="Calibri" w:cs="Calibri"/>
          <w:bCs/>
          <w:spacing w:val="1"/>
        </w:rPr>
        <w:t>р</w:t>
      </w:r>
      <w:r w:rsidRPr="00CB7DDC">
        <w:rPr>
          <w:rFonts w:ascii="Calibri" w:eastAsia="Calibri" w:hAnsi="Calibri" w:cs="Calibri"/>
          <w:bCs/>
        </w:rPr>
        <w:t>а</w:t>
      </w:r>
      <w:r w:rsidRPr="00CB7DDC">
        <w:rPr>
          <w:rFonts w:ascii="Calibri" w:eastAsia="Calibri" w:hAnsi="Calibri" w:cs="Calibri"/>
          <w:bCs/>
          <w:spacing w:val="-1"/>
        </w:rPr>
        <w:t>съ</w:t>
      </w:r>
      <w:r w:rsidRPr="00CB7DDC">
        <w:rPr>
          <w:rFonts w:ascii="Calibri" w:eastAsia="Calibri" w:hAnsi="Calibri" w:cs="Calibri"/>
          <w:bCs/>
        </w:rPr>
        <w:t>л</w:t>
      </w:r>
      <w:r w:rsidRPr="00CB7DDC">
        <w:rPr>
          <w:rFonts w:ascii="Calibri" w:eastAsia="Calibri" w:hAnsi="Calibri" w:cs="Calibri"/>
          <w:bCs/>
          <w:spacing w:val="-1"/>
        </w:rPr>
        <w:t>ъ</w:t>
      </w:r>
      <w:r w:rsidRPr="00CB7DDC">
        <w:rPr>
          <w:rFonts w:ascii="Calibri" w:eastAsia="Calibri" w:hAnsi="Calibri" w:cs="Calibri"/>
          <w:bCs/>
        </w:rPr>
        <w:t>т</w:t>
      </w:r>
      <w:r w:rsidRPr="00CB7DDC">
        <w:rPr>
          <w:rFonts w:ascii="Calibri" w:eastAsia="Calibri" w:hAnsi="Calibri" w:cs="Calibri"/>
          <w:bCs/>
          <w:spacing w:val="4"/>
        </w:rPr>
        <w:t xml:space="preserve"> </w:t>
      </w:r>
      <w:r w:rsidRPr="00CB7DDC">
        <w:rPr>
          <w:rFonts w:ascii="Calibri" w:eastAsia="Calibri" w:hAnsi="Calibri" w:cs="Calibri"/>
          <w:bCs/>
        </w:rPr>
        <w:t xml:space="preserve">в </w:t>
      </w:r>
      <w:r w:rsidRPr="00CB7DDC">
        <w:rPr>
          <w:rFonts w:ascii="Calibri" w:eastAsia="Calibri" w:hAnsi="Calibri" w:cs="Calibri"/>
          <w:bCs/>
          <w:spacing w:val="2"/>
        </w:rPr>
        <w:t>Б</w:t>
      </w:r>
      <w:r w:rsidRPr="00CB7DDC">
        <w:rPr>
          <w:rFonts w:ascii="Calibri" w:eastAsia="Calibri" w:hAnsi="Calibri" w:cs="Calibri"/>
          <w:bCs/>
          <w:spacing w:val="-3"/>
        </w:rPr>
        <w:t>ъ</w:t>
      </w:r>
      <w:r w:rsidRPr="00CB7DDC">
        <w:rPr>
          <w:rFonts w:ascii="Calibri" w:eastAsia="Calibri" w:hAnsi="Calibri" w:cs="Calibri"/>
          <w:bCs/>
        </w:rPr>
        <w:t>л</w:t>
      </w:r>
      <w:r w:rsidRPr="00CB7DDC">
        <w:rPr>
          <w:rFonts w:ascii="Calibri" w:eastAsia="Calibri" w:hAnsi="Calibri" w:cs="Calibri"/>
          <w:bCs/>
          <w:spacing w:val="-1"/>
        </w:rPr>
        <w:t>г</w:t>
      </w:r>
      <w:r w:rsidRPr="00CB7DDC">
        <w:rPr>
          <w:rFonts w:ascii="Calibri" w:eastAsia="Calibri" w:hAnsi="Calibri" w:cs="Calibri"/>
          <w:bCs/>
        </w:rPr>
        <w:t>а</w:t>
      </w:r>
      <w:r w:rsidRPr="00CB7DDC">
        <w:rPr>
          <w:rFonts w:ascii="Calibri" w:eastAsia="Calibri" w:hAnsi="Calibri" w:cs="Calibri"/>
          <w:bCs/>
          <w:spacing w:val="1"/>
        </w:rPr>
        <w:t>ри</w:t>
      </w:r>
      <w:r w:rsidRPr="00CB7DDC">
        <w:rPr>
          <w:rFonts w:ascii="Calibri" w:eastAsia="Calibri" w:hAnsi="Calibri" w:cs="Calibri"/>
          <w:bCs/>
        </w:rPr>
        <w:t>я</w:t>
      </w:r>
      <w:r w:rsidRPr="00CB7DDC">
        <w:rPr>
          <w:rFonts w:ascii="Calibri" w:eastAsia="Calibri" w:hAnsi="Calibri" w:cs="Calibri"/>
          <w:bCs/>
          <w:spacing w:val="2"/>
        </w:rPr>
        <w:t xml:space="preserve"> </w:t>
      </w:r>
      <w:r w:rsidRPr="00CB7DDC">
        <w:rPr>
          <w:rFonts w:ascii="Calibri" w:eastAsia="Calibri" w:hAnsi="Calibri" w:cs="Calibri"/>
          <w:bCs/>
          <w:spacing w:val="-1"/>
        </w:rPr>
        <w:t>с</w:t>
      </w:r>
      <w:r w:rsidRPr="00CB7DDC">
        <w:rPr>
          <w:rFonts w:ascii="Calibri" w:eastAsia="Calibri" w:hAnsi="Calibri" w:cs="Calibri"/>
          <w:bCs/>
        </w:rPr>
        <w:t>е</w:t>
      </w:r>
      <w:r w:rsidRPr="00CB7DDC">
        <w:rPr>
          <w:rFonts w:ascii="Calibri" w:eastAsia="Calibri" w:hAnsi="Calibri" w:cs="Calibri"/>
          <w:bCs/>
          <w:spacing w:val="2"/>
        </w:rPr>
        <w:t xml:space="preserve"> </w:t>
      </w:r>
      <w:r w:rsidRPr="00CB7DDC">
        <w:rPr>
          <w:rFonts w:ascii="Calibri" w:eastAsia="Calibri" w:hAnsi="Calibri" w:cs="Calibri"/>
          <w:bCs/>
        </w:rPr>
        <w:t>ха</w:t>
      </w:r>
      <w:r w:rsidRPr="00CB7DDC">
        <w:rPr>
          <w:rFonts w:ascii="Calibri" w:eastAsia="Calibri" w:hAnsi="Calibri" w:cs="Calibri"/>
          <w:bCs/>
          <w:spacing w:val="1"/>
        </w:rPr>
        <w:t>р</w:t>
      </w:r>
      <w:r w:rsidRPr="00CB7DDC">
        <w:rPr>
          <w:rFonts w:ascii="Calibri" w:eastAsia="Calibri" w:hAnsi="Calibri" w:cs="Calibri"/>
          <w:bCs/>
        </w:rPr>
        <w:t>а</w:t>
      </w:r>
      <w:r w:rsidRPr="00CB7DDC">
        <w:rPr>
          <w:rFonts w:ascii="Calibri" w:eastAsia="Calibri" w:hAnsi="Calibri" w:cs="Calibri"/>
          <w:bCs/>
          <w:spacing w:val="1"/>
        </w:rPr>
        <w:t>к</w:t>
      </w:r>
      <w:r w:rsidRPr="00CB7DDC">
        <w:rPr>
          <w:rFonts w:ascii="Calibri" w:eastAsia="Calibri" w:hAnsi="Calibri" w:cs="Calibri"/>
          <w:bCs/>
          <w:spacing w:val="2"/>
        </w:rPr>
        <w:t>т</w:t>
      </w:r>
      <w:r w:rsidRPr="00CB7DDC">
        <w:rPr>
          <w:rFonts w:ascii="Calibri" w:eastAsia="Calibri" w:hAnsi="Calibri" w:cs="Calibri"/>
          <w:bCs/>
          <w:spacing w:val="-1"/>
        </w:rPr>
        <w:t>е</w:t>
      </w:r>
      <w:r w:rsidRPr="00CB7DDC">
        <w:rPr>
          <w:rFonts w:ascii="Calibri" w:eastAsia="Calibri" w:hAnsi="Calibri" w:cs="Calibri"/>
          <w:bCs/>
          <w:spacing w:val="1"/>
        </w:rPr>
        <w:t>р</w:t>
      </w:r>
      <w:r w:rsidRPr="00CB7DDC">
        <w:rPr>
          <w:rFonts w:ascii="Calibri" w:eastAsia="Calibri" w:hAnsi="Calibri" w:cs="Calibri"/>
          <w:bCs/>
          <w:spacing w:val="-1"/>
        </w:rPr>
        <w:t>и</w:t>
      </w:r>
      <w:r w:rsidRPr="00CB7DDC">
        <w:rPr>
          <w:rFonts w:ascii="Calibri" w:eastAsia="Calibri" w:hAnsi="Calibri" w:cs="Calibri"/>
          <w:bCs/>
        </w:rPr>
        <w:t>зи</w:t>
      </w:r>
      <w:r w:rsidRPr="00CB7DDC">
        <w:rPr>
          <w:rFonts w:ascii="Calibri" w:eastAsia="Calibri" w:hAnsi="Calibri" w:cs="Calibri"/>
          <w:bCs/>
          <w:spacing w:val="1"/>
        </w:rPr>
        <w:t>р</w:t>
      </w:r>
      <w:r w:rsidRPr="00CB7DDC">
        <w:rPr>
          <w:rFonts w:ascii="Calibri" w:eastAsia="Calibri" w:hAnsi="Calibri" w:cs="Calibri"/>
          <w:bCs/>
        </w:rPr>
        <w:t>а</w:t>
      </w:r>
      <w:r w:rsidRPr="00CB7DDC">
        <w:rPr>
          <w:rFonts w:ascii="Calibri" w:eastAsia="Calibri" w:hAnsi="Calibri" w:cs="Calibri"/>
          <w:bCs/>
          <w:spacing w:val="3"/>
        </w:rPr>
        <w:t xml:space="preserve"> </w:t>
      </w:r>
      <w:r w:rsidRPr="00CB7DDC">
        <w:rPr>
          <w:rFonts w:ascii="Calibri" w:eastAsia="Calibri" w:hAnsi="Calibri" w:cs="Calibri"/>
          <w:bCs/>
        </w:rPr>
        <w:t>с</w:t>
      </w:r>
      <w:r w:rsidRPr="00CB7DDC">
        <w:rPr>
          <w:rFonts w:ascii="Calibri" w:eastAsia="Calibri" w:hAnsi="Calibri" w:cs="Calibri"/>
          <w:bCs/>
          <w:spacing w:val="2"/>
        </w:rPr>
        <w:t xml:space="preserve"> </w:t>
      </w:r>
      <w:r w:rsidRPr="00CB7DDC">
        <w:rPr>
          <w:rFonts w:ascii="Calibri" w:eastAsia="Calibri" w:hAnsi="Calibri" w:cs="Calibri"/>
          <w:bCs/>
          <w:i/>
        </w:rPr>
        <w:t>у</w:t>
      </w:r>
      <w:r w:rsidRPr="00CB7DDC">
        <w:rPr>
          <w:rFonts w:ascii="Calibri" w:eastAsia="Calibri" w:hAnsi="Calibri" w:cs="Calibri"/>
          <w:bCs/>
          <w:i/>
          <w:spacing w:val="5"/>
        </w:rPr>
        <w:t>с</w:t>
      </w:r>
      <w:r w:rsidRPr="00CB7DDC">
        <w:rPr>
          <w:rFonts w:ascii="Calibri" w:eastAsia="Calibri" w:hAnsi="Calibri" w:cs="Calibri"/>
          <w:bCs/>
          <w:i/>
        </w:rPr>
        <w:t>л</w:t>
      </w:r>
      <w:r w:rsidRPr="00CB7DDC">
        <w:rPr>
          <w:rFonts w:ascii="Calibri" w:eastAsia="Calibri" w:hAnsi="Calibri" w:cs="Calibri"/>
          <w:bCs/>
          <w:i/>
          <w:spacing w:val="2"/>
        </w:rPr>
        <w:t>о</w:t>
      </w:r>
      <w:r w:rsidRPr="00CB7DDC">
        <w:rPr>
          <w:rFonts w:ascii="Calibri" w:eastAsia="Calibri" w:hAnsi="Calibri" w:cs="Calibri"/>
          <w:bCs/>
          <w:i/>
          <w:spacing w:val="-4"/>
        </w:rPr>
        <w:t>ж</w:t>
      </w:r>
      <w:r w:rsidRPr="00CB7DDC">
        <w:rPr>
          <w:rFonts w:ascii="Calibri" w:eastAsia="Calibri" w:hAnsi="Calibri" w:cs="Calibri"/>
          <w:bCs/>
          <w:i/>
          <w:spacing w:val="1"/>
        </w:rPr>
        <w:t>н</w:t>
      </w:r>
      <w:r w:rsidRPr="00CB7DDC">
        <w:rPr>
          <w:rFonts w:ascii="Calibri" w:eastAsia="Calibri" w:hAnsi="Calibri" w:cs="Calibri"/>
          <w:bCs/>
          <w:i/>
          <w:spacing w:val="-1"/>
        </w:rPr>
        <w:t>е</w:t>
      </w:r>
      <w:r w:rsidRPr="00CB7DDC">
        <w:rPr>
          <w:rFonts w:ascii="Calibri" w:eastAsia="Calibri" w:hAnsi="Calibri" w:cs="Calibri"/>
          <w:bCs/>
          <w:i/>
          <w:spacing w:val="1"/>
        </w:rPr>
        <w:t>н</w:t>
      </w:r>
      <w:r w:rsidRPr="00CB7DDC">
        <w:rPr>
          <w:rFonts w:ascii="Calibri" w:eastAsia="Calibri" w:hAnsi="Calibri" w:cs="Calibri"/>
          <w:bCs/>
          <w:i/>
        </w:rPr>
        <w:t>о</w:t>
      </w:r>
      <w:r w:rsidRPr="00CB7DDC">
        <w:rPr>
          <w:rFonts w:ascii="Calibri" w:eastAsia="Calibri" w:hAnsi="Calibri" w:cs="Calibri"/>
          <w:bCs/>
          <w:i/>
          <w:spacing w:val="-1"/>
        </w:rPr>
        <w:t>с</w:t>
      </w:r>
      <w:r w:rsidRPr="00CB7DDC">
        <w:rPr>
          <w:rFonts w:ascii="Calibri" w:eastAsia="Calibri" w:hAnsi="Calibri" w:cs="Calibri"/>
          <w:bCs/>
          <w:i/>
        </w:rPr>
        <w:t>т</w:t>
      </w:r>
      <w:r w:rsidRPr="00CB7DDC">
        <w:rPr>
          <w:rFonts w:ascii="Calibri" w:eastAsia="Calibri" w:hAnsi="Calibri" w:cs="Calibri"/>
          <w:bCs/>
          <w:i/>
          <w:spacing w:val="4"/>
        </w:rPr>
        <w:t xml:space="preserve"> </w:t>
      </w:r>
      <w:r w:rsidRPr="00CB7DDC">
        <w:rPr>
          <w:rFonts w:ascii="Calibri" w:eastAsia="Calibri" w:hAnsi="Calibri" w:cs="Calibri"/>
          <w:bCs/>
          <w:i/>
        </w:rPr>
        <w:t>и</w:t>
      </w:r>
      <w:r w:rsidRPr="00CB7DDC">
        <w:rPr>
          <w:rFonts w:ascii="Calibri" w:eastAsia="Calibri" w:hAnsi="Calibri" w:cs="Calibri"/>
          <w:bCs/>
          <w:i/>
          <w:spacing w:val="3"/>
        </w:rPr>
        <w:t xml:space="preserve"> </w:t>
      </w:r>
      <w:r w:rsidRPr="00CB7DDC">
        <w:rPr>
          <w:rFonts w:ascii="Calibri" w:eastAsia="Calibri" w:hAnsi="Calibri" w:cs="Calibri"/>
          <w:bCs/>
          <w:i/>
          <w:spacing w:val="1"/>
        </w:rPr>
        <w:t>н</w:t>
      </w:r>
      <w:r w:rsidRPr="00CB7DDC">
        <w:rPr>
          <w:rFonts w:ascii="Calibri" w:eastAsia="Calibri" w:hAnsi="Calibri" w:cs="Calibri"/>
          <w:bCs/>
          <w:i/>
          <w:spacing w:val="-1"/>
        </w:rPr>
        <w:t>ес</w:t>
      </w:r>
      <w:r w:rsidRPr="00CB7DDC">
        <w:rPr>
          <w:rFonts w:ascii="Calibri" w:eastAsia="Calibri" w:hAnsi="Calibri" w:cs="Calibri"/>
          <w:bCs/>
          <w:i/>
          <w:spacing w:val="1"/>
        </w:rPr>
        <w:t>и</w:t>
      </w:r>
      <w:r w:rsidRPr="00CB7DDC">
        <w:rPr>
          <w:rFonts w:ascii="Calibri" w:eastAsia="Calibri" w:hAnsi="Calibri" w:cs="Calibri"/>
          <w:bCs/>
          <w:i/>
          <w:spacing w:val="-1"/>
        </w:rPr>
        <w:t>г</w:t>
      </w:r>
      <w:r w:rsidRPr="00CB7DDC">
        <w:rPr>
          <w:rFonts w:ascii="Calibri" w:eastAsia="Calibri" w:hAnsi="Calibri" w:cs="Calibri"/>
          <w:bCs/>
          <w:i/>
        </w:rPr>
        <w:t>у</w:t>
      </w:r>
      <w:r w:rsidRPr="00CB7DDC">
        <w:rPr>
          <w:rFonts w:ascii="Calibri" w:eastAsia="Calibri" w:hAnsi="Calibri" w:cs="Calibri"/>
          <w:bCs/>
          <w:i/>
          <w:spacing w:val="1"/>
        </w:rPr>
        <w:t>рн</w:t>
      </w:r>
      <w:r w:rsidRPr="00CB7DDC">
        <w:rPr>
          <w:rFonts w:ascii="Calibri" w:eastAsia="Calibri" w:hAnsi="Calibri" w:cs="Calibri"/>
          <w:bCs/>
          <w:i/>
        </w:rPr>
        <w:t>о</w:t>
      </w:r>
      <w:r w:rsidRPr="00CB7DDC">
        <w:rPr>
          <w:rFonts w:ascii="Calibri" w:eastAsia="Calibri" w:hAnsi="Calibri" w:cs="Calibri"/>
          <w:bCs/>
          <w:i/>
          <w:spacing w:val="-1"/>
        </w:rPr>
        <w:t>с</w:t>
      </w:r>
      <w:r w:rsidRPr="00CB7DDC">
        <w:rPr>
          <w:rFonts w:ascii="Calibri" w:eastAsia="Calibri" w:hAnsi="Calibri" w:cs="Calibri"/>
          <w:bCs/>
          <w:i/>
        </w:rPr>
        <w:t>т</w:t>
      </w:r>
      <w:r w:rsidRPr="00CB7DDC">
        <w:rPr>
          <w:rFonts w:ascii="Calibri" w:eastAsia="Calibri" w:hAnsi="Calibri" w:cs="Calibri"/>
          <w:bCs/>
          <w:i/>
          <w:spacing w:val="2"/>
        </w:rPr>
        <w:t xml:space="preserve"> </w:t>
      </w:r>
      <w:r w:rsidRPr="00CB7DDC">
        <w:rPr>
          <w:rFonts w:ascii="Calibri" w:eastAsia="Calibri" w:hAnsi="Calibri" w:cs="Calibri"/>
          <w:bCs/>
          <w:i/>
          <w:spacing w:val="1"/>
        </w:rPr>
        <w:t>п</w:t>
      </w:r>
      <w:r w:rsidRPr="00CB7DDC">
        <w:rPr>
          <w:rFonts w:ascii="Calibri" w:eastAsia="Calibri" w:hAnsi="Calibri" w:cs="Calibri"/>
          <w:bCs/>
          <w:i/>
        </w:rPr>
        <w:t>о о</w:t>
      </w:r>
      <w:r w:rsidRPr="00CB7DDC">
        <w:rPr>
          <w:rFonts w:ascii="Calibri" w:eastAsia="Calibri" w:hAnsi="Calibri" w:cs="Calibri"/>
          <w:bCs/>
          <w:i/>
          <w:spacing w:val="2"/>
        </w:rPr>
        <w:t>т</w:t>
      </w:r>
      <w:r w:rsidRPr="00CB7DDC">
        <w:rPr>
          <w:rFonts w:ascii="Calibri" w:eastAsia="Calibri" w:hAnsi="Calibri" w:cs="Calibri"/>
          <w:bCs/>
          <w:i/>
          <w:spacing w:val="1"/>
        </w:rPr>
        <w:t>н</w:t>
      </w:r>
      <w:r w:rsidRPr="00CB7DDC">
        <w:rPr>
          <w:rFonts w:ascii="Calibri" w:eastAsia="Calibri" w:hAnsi="Calibri" w:cs="Calibri"/>
          <w:bCs/>
          <w:i/>
        </w:rPr>
        <w:t>о</w:t>
      </w:r>
      <w:r w:rsidRPr="00CB7DDC">
        <w:rPr>
          <w:rFonts w:ascii="Calibri" w:eastAsia="Calibri" w:hAnsi="Calibri" w:cs="Calibri"/>
          <w:bCs/>
          <w:i/>
          <w:spacing w:val="-3"/>
        </w:rPr>
        <w:t>ш</w:t>
      </w:r>
      <w:r w:rsidRPr="00CB7DDC">
        <w:rPr>
          <w:rFonts w:ascii="Calibri" w:eastAsia="Calibri" w:hAnsi="Calibri" w:cs="Calibri"/>
          <w:bCs/>
          <w:i/>
          <w:spacing w:val="-1"/>
        </w:rPr>
        <w:t>е</w:t>
      </w:r>
      <w:r w:rsidRPr="00CB7DDC">
        <w:rPr>
          <w:rFonts w:ascii="Calibri" w:eastAsia="Calibri" w:hAnsi="Calibri" w:cs="Calibri"/>
          <w:bCs/>
          <w:i/>
          <w:spacing w:val="1"/>
        </w:rPr>
        <w:t>ни</w:t>
      </w:r>
      <w:r w:rsidRPr="00CB7DDC">
        <w:rPr>
          <w:rFonts w:ascii="Calibri" w:eastAsia="Calibri" w:hAnsi="Calibri" w:cs="Calibri"/>
          <w:bCs/>
          <w:i/>
        </w:rPr>
        <w:t xml:space="preserve">е </w:t>
      </w:r>
      <w:r w:rsidRPr="00CB7DDC">
        <w:rPr>
          <w:rFonts w:ascii="Calibri" w:eastAsia="Calibri" w:hAnsi="Calibri" w:cs="Calibri"/>
          <w:bCs/>
          <w:i/>
          <w:spacing w:val="1"/>
        </w:rPr>
        <w:t>н</w:t>
      </w:r>
      <w:r w:rsidRPr="00CB7DDC">
        <w:rPr>
          <w:rFonts w:ascii="Calibri" w:eastAsia="Calibri" w:hAnsi="Calibri" w:cs="Calibri"/>
          <w:bCs/>
          <w:i/>
        </w:rPr>
        <w:t>а</w:t>
      </w:r>
      <w:r w:rsidRPr="00CB7DDC">
        <w:rPr>
          <w:rFonts w:ascii="Calibri" w:eastAsia="Calibri" w:hAnsi="Calibri" w:cs="Calibri"/>
          <w:bCs/>
          <w:i/>
          <w:spacing w:val="1"/>
        </w:rPr>
        <w:t xml:space="preserve"> </w:t>
      </w:r>
      <w:r w:rsidRPr="00CB7DDC">
        <w:rPr>
          <w:rFonts w:ascii="Calibri" w:eastAsia="Calibri" w:hAnsi="Calibri" w:cs="Calibri"/>
          <w:bCs/>
          <w:i/>
          <w:spacing w:val="-1"/>
        </w:rPr>
        <w:t>с</w:t>
      </w:r>
      <w:r w:rsidRPr="00CB7DDC">
        <w:rPr>
          <w:rFonts w:ascii="Calibri" w:eastAsia="Calibri" w:hAnsi="Calibri" w:cs="Calibri"/>
          <w:bCs/>
          <w:i/>
        </w:rPr>
        <w:t>об</w:t>
      </w:r>
      <w:r w:rsidRPr="00CB7DDC">
        <w:rPr>
          <w:rFonts w:ascii="Calibri" w:eastAsia="Calibri" w:hAnsi="Calibri" w:cs="Calibri"/>
          <w:bCs/>
          <w:i/>
          <w:spacing w:val="-1"/>
        </w:rPr>
        <w:t>с</w:t>
      </w:r>
      <w:r w:rsidRPr="00CB7DDC">
        <w:rPr>
          <w:rFonts w:ascii="Calibri" w:eastAsia="Calibri" w:hAnsi="Calibri" w:cs="Calibri"/>
          <w:bCs/>
          <w:i/>
          <w:spacing w:val="2"/>
        </w:rPr>
        <w:t>т</w:t>
      </w:r>
      <w:r w:rsidRPr="00CB7DDC">
        <w:rPr>
          <w:rFonts w:ascii="Calibri" w:eastAsia="Calibri" w:hAnsi="Calibri" w:cs="Calibri"/>
          <w:bCs/>
          <w:i/>
        </w:rPr>
        <w:t>в</w:t>
      </w:r>
      <w:r w:rsidRPr="00CB7DDC">
        <w:rPr>
          <w:rFonts w:ascii="Calibri" w:eastAsia="Calibri" w:hAnsi="Calibri" w:cs="Calibri"/>
          <w:bCs/>
          <w:i/>
          <w:spacing w:val="1"/>
        </w:rPr>
        <w:t>ен</w:t>
      </w:r>
      <w:r w:rsidRPr="00CB7DDC">
        <w:rPr>
          <w:rFonts w:ascii="Calibri" w:eastAsia="Calibri" w:hAnsi="Calibri" w:cs="Calibri"/>
          <w:bCs/>
          <w:i/>
        </w:rPr>
        <w:t>о</w:t>
      </w:r>
      <w:r w:rsidRPr="00CB7DDC">
        <w:rPr>
          <w:rFonts w:ascii="Calibri" w:eastAsia="Calibri" w:hAnsi="Calibri" w:cs="Calibri"/>
          <w:bCs/>
          <w:i/>
          <w:spacing w:val="-1"/>
        </w:rPr>
        <w:t>с</w:t>
      </w:r>
      <w:r w:rsidRPr="00CB7DDC">
        <w:rPr>
          <w:rFonts w:ascii="Calibri" w:eastAsia="Calibri" w:hAnsi="Calibri" w:cs="Calibri"/>
          <w:bCs/>
          <w:i/>
        </w:rPr>
        <w:t>т</w:t>
      </w:r>
      <w:r w:rsidRPr="00CB7DDC">
        <w:rPr>
          <w:rFonts w:ascii="Calibri" w:eastAsia="Calibri" w:hAnsi="Calibri" w:cs="Calibri"/>
          <w:bCs/>
          <w:i/>
          <w:spacing w:val="2"/>
        </w:rPr>
        <w:t>т</w:t>
      </w:r>
      <w:r w:rsidRPr="00CB7DDC">
        <w:rPr>
          <w:rFonts w:ascii="Calibri" w:eastAsia="Calibri" w:hAnsi="Calibri" w:cs="Calibri"/>
          <w:bCs/>
          <w:i/>
        </w:rPr>
        <w:t>а</w:t>
      </w:r>
      <w:r w:rsidRPr="00CB7DDC">
        <w:rPr>
          <w:rFonts w:ascii="Calibri" w:eastAsia="Calibri" w:hAnsi="Calibri" w:cs="Calibri"/>
          <w:bCs/>
          <w:i/>
          <w:spacing w:val="1"/>
        </w:rPr>
        <w:t xml:space="preserve"> </w:t>
      </w:r>
      <w:r w:rsidRPr="00CB7DDC">
        <w:rPr>
          <w:rFonts w:ascii="Calibri" w:eastAsia="Calibri" w:hAnsi="Calibri" w:cs="Calibri"/>
          <w:bCs/>
          <w:i/>
        </w:rPr>
        <w:t>в</w:t>
      </w:r>
      <w:r w:rsidRPr="00CB7DDC">
        <w:rPr>
          <w:rFonts w:ascii="Calibri" w:eastAsia="Calibri" w:hAnsi="Calibri" w:cs="Calibri"/>
          <w:bCs/>
          <w:i/>
          <w:spacing w:val="-1"/>
        </w:rPr>
        <w:t>ъ</w:t>
      </w:r>
      <w:r w:rsidRPr="00CB7DDC">
        <w:rPr>
          <w:rFonts w:ascii="Calibri" w:eastAsia="Calibri" w:hAnsi="Calibri" w:cs="Calibri"/>
          <w:bCs/>
          <w:i/>
          <w:spacing w:val="1"/>
        </w:rPr>
        <w:t>р</w:t>
      </w:r>
      <w:r w:rsidRPr="00CB7DDC">
        <w:rPr>
          <w:rFonts w:ascii="Calibri" w:eastAsia="Calibri" w:hAnsi="Calibri" w:cs="Calibri"/>
          <w:bCs/>
          <w:i/>
        </w:rPr>
        <w:t>ху</w:t>
      </w:r>
      <w:r w:rsidRPr="00CB7DDC">
        <w:rPr>
          <w:rFonts w:ascii="Calibri" w:eastAsia="Calibri" w:hAnsi="Calibri" w:cs="Calibri"/>
          <w:bCs/>
          <w:i/>
          <w:spacing w:val="1"/>
        </w:rPr>
        <w:t xml:space="preserve"> </w:t>
      </w:r>
      <w:r w:rsidRPr="00CB7DDC">
        <w:rPr>
          <w:rFonts w:ascii="Calibri" w:eastAsia="Calibri" w:hAnsi="Calibri" w:cs="Calibri"/>
          <w:bCs/>
          <w:i/>
        </w:rPr>
        <w:t>а</w:t>
      </w:r>
      <w:r w:rsidRPr="00CB7DDC">
        <w:rPr>
          <w:rFonts w:ascii="Calibri" w:eastAsia="Calibri" w:hAnsi="Calibri" w:cs="Calibri"/>
          <w:bCs/>
          <w:i/>
          <w:spacing w:val="-1"/>
        </w:rPr>
        <w:t>к</w:t>
      </w:r>
      <w:r w:rsidRPr="00CB7DDC">
        <w:rPr>
          <w:rFonts w:ascii="Calibri" w:eastAsia="Calibri" w:hAnsi="Calibri" w:cs="Calibri"/>
          <w:bCs/>
          <w:i/>
          <w:spacing w:val="2"/>
        </w:rPr>
        <w:t>т</w:t>
      </w:r>
      <w:r w:rsidRPr="00CB7DDC">
        <w:rPr>
          <w:rFonts w:ascii="Calibri" w:eastAsia="Calibri" w:hAnsi="Calibri" w:cs="Calibri"/>
          <w:bCs/>
          <w:i/>
          <w:spacing w:val="1"/>
        </w:rPr>
        <w:t>и</w:t>
      </w:r>
      <w:r w:rsidRPr="00CB7DDC">
        <w:rPr>
          <w:rFonts w:ascii="Calibri" w:eastAsia="Calibri" w:hAnsi="Calibri" w:cs="Calibri"/>
          <w:bCs/>
          <w:i/>
        </w:rPr>
        <w:t>в</w:t>
      </w:r>
      <w:r w:rsidRPr="00CB7DDC">
        <w:rPr>
          <w:rFonts w:ascii="Calibri" w:eastAsia="Calibri" w:hAnsi="Calibri" w:cs="Calibri"/>
          <w:bCs/>
          <w:i/>
          <w:spacing w:val="-1"/>
        </w:rPr>
        <w:t>и</w:t>
      </w:r>
      <w:r w:rsidRPr="00CB7DDC">
        <w:rPr>
          <w:rFonts w:ascii="Calibri" w:eastAsia="Calibri" w:hAnsi="Calibri" w:cs="Calibri"/>
          <w:bCs/>
          <w:i/>
        </w:rPr>
        <w:t>те и</w:t>
      </w:r>
      <w:r w:rsidRPr="00CB7DDC">
        <w:rPr>
          <w:rFonts w:ascii="Calibri" w:eastAsia="Calibri" w:hAnsi="Calibri" w:cs="Calibri"/>
          <w:bCs/>
          <w:i/>
          <w:spacing w:val="2"/>
        </w:rPr>
        <w:t xml:space="preserve"> </w:t>
      </w:r>
      <w:r w:rsidRPr="00CB7DDC">
        <w:rPr>
          <w:rFonts w:ascii="Calibri" w:eastAsia="Calibri" w:hAnsi="Calibri" w:cs="Calibri"/>
          <w:bCs/>
          <w:i/>
        </w:rPr>
        <w:t>у</w:t>
      </w:r>
      <w:r w:rsidRPr="00CB7DDC">
        <w:rPr>
          <w:rFonts w:ascii="Calibri" w:eastAsia="Calibri" w:hAnsi="Calibri" w:cs="Calibri"/>
          <w:bCs/>
          <w:i/>
          <w:spacing w:val="1"/>
        </w:rPr>
        <w:t>пр</w:t>
      </w:r>
      <w:r w:rsidRPr="00CB7DDC">
        <w:rPr>
          <w:rFonts w:ascii="Calibri" w:eastAsia="Calibri" w:hAnsi="Calibri" w:cs="Calibri"/>
          <w:bCs/>
          <w:i/>
        </w:rPr>
        <w:t>авл</w:t>
      </w:r>
      <w:r w:rsidRPr="00CB7DDC">
        <w:rPr>
          <w:rFonts w:ascii="Calibri" w:eastAsia="Calibri" w:hAnsi="Calibri" w:cs="Calibri"/>
          <w:bCs/>
          <w:i/>
          <w:spacing w:val="-1"/>
        </w:rPr>
        <w:t>е</w:t>
      </w:r>
      <w:r w:rsidRPr="00CB7DDC">
        <w:rPr>
          <w:rFonts w:ascii="Calibri" w:eastAsia="Calibri" w:hAnsi="Calibri" w:cs="Calibri"/>
          <w:bCs/>
          <w:i/>
          <w:spacing w:val="1"/>
        </w:rPr>
        <w:t>ни</w:t>
      </w:r>
      <w:r w:rsidRPr="00CB7DDC">
        <w:rPr>
          <w:rFonts w:ascii="Calibri" w:eastAsia="Calibri" w:hAnsi="Calibri" w:cs="Calibri"/>
          <w:bCs/>
          <w:i/>
          <w:spacing w:val="-1"/>
        </w:rPr>
        <w:t>е</w:t>
      </w:r>
      <w:r w:rsidRPr="00CB7DDC">
        <w:rPr>
          <w:rFonts w:ascii="Calibri" w:eastAsia="Calibri" w:hAnsi="Calibri" w:cs="Calibri"/>
          <w:bCs/>
          <w:i/>
          <w:spacing w:val="2"/>
        </w:rPr>
        <w:t>т</w:t>
      </w:r>
      <w:r w:rsidRPr="00CB7DDC">
        <w:rPr>
          <w:rFonts w:ascii="Calibri" w:eastAsia="Calibri" w:hAnsi="Calibri" w:cs="Calibri"/>
          <w:bCs/>
          <w:i/>
        </w:rPr>
        <w:t>о</w:t>
      </w:r>
      <w:r w:rsidRPr="00CB7DDC">
        <w:rPr>
          <w:rFonts w:ascii="Calibri" w:eastAsia="Calibri" w:hAnsi="Calibri" w:cs="Calibri"/>
          <w:bCs/>
        </w:rPr>
        <w:t>.</w:t>
      </w:r>
      <w:r w:rsidRPr="00CB7DDC">
        <w:rPr>
          <w:rFonts w:ascii="Calibri" w:eastAsia="Calibri" w:hAnsi="Calibri" w:cs="Calibri"/>
          <w:b/>
          <w:bCs/>
          <w:spacing w:val="8"/>
        </w:rPr>
        <w:t xml:space="preserve"> </w:t>
      </w:r>
      <w:r w:rsidRPr="00CB7DDC">
        <w:rPr>
          <w:rFonts w:ascii="Calibri" w:eastAsia="Calibri" w:hAnsi="Calibri" w:cs="Calibri"/>
        </w:rPr>
        <w:t>Про</w:t>
      </w:r>
      <w:r w:rsidRPr="00CB7DDC">
        <w:rPr>
          <w:rFonts w:ascii="Calibri" w:eastAsia="Calibri" w:hAnsi="Calibri" w:cs="Calibri"/>
          <w:spacing w:val="-1"/>
        </w:rPr>
        <w:t>ме</w:t>
      </w:r>
      <w:r w:rsidRPr="00CB7DDC">
        <w:rPr>
          <w:rFonts w:ascii="Calibri" w:eastAsia="Calibri" w:hAnsi="Calibri" w:cs="Calibri"/>
          <w:spacing w:val="1"/>
        </w:rPr>
        <w:t>н</w:t>
      </w:r>
      <w:r w:rsidRPr="00CB7DDC">
        <w:rPr>
          <w:rFonts w:ascii="Calibri" w:eastAsia="Calibri" w:hAnsi="Calibri" w:cs="Calibri"/>
        </w:rPr>
        <w:t>ите в З</w:t>
      </w:r>
      <w:r w:rsidRPr="00CB7DDC">
        <w:rPr>
          <w:rFonts w:ascii="Calibri" w:eastAsia="Calibri" w:hAnsi="Calibri" w:cs="Calibri"/>
          <w:spacing w:val="-1"/>
        </w:rPr>
        <w:t>а</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з</w:t>
      </w:r>
      <w:r w:rsidRPr="00CB7DDC">
        <w:rPr>
          <w:rFonts w:ascii="Calibri" w:eastAsia="Calibri" w:hAnsi="Calibri" w:cs="Calibri"/>
        </w:rPr>
        <w:t>а вод</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w:t>
      </w:r>
      <w:r w:rsidRPr="00CB7DDC">
        <w:rPr>
          <w:rFonts w:ascii="Calibri" w:eastAsia="Calibri" w:hAnsi="Calibri" w:cs="Calibri"/>
          <w:spacing w:val="1"/>
        </w:rPr>
        <w:t xml:space="preserve"> </w:t>
      </w:r>
      <w:r w:rsidRPr="00CB7DDC">
        <w:rPr>
          <w:rFonts w:ascii="Calibri" w:eastAsia="Calibri" w:hAnsi="Calibri" w:cs="Calibri"/>
        </w:rPr>
        <w:t>от</w:t>
      </w:r>
      <w:r w:rsidRPr="00CB7DDC">
        <w:rPr>
          <w:rFonts w:ascii="Calibri" w:eastAsia="Calibri" w:hAnsi="Calibri" w:cs="Calibri"/>
          <w:spacing w:val="2"/>
        </w:rPr>
        <w:t>н</w:t>
      </w:r>
      <w:r w:rsidRPr="00CB7DDC">
        <w:rPr>
          <w:rFonts w:ascii="Calibri" w:eastAsia="Calibri" w:hAnsi="Calibri" w:cs="Calibri"/>
          <w:spacing w:val="-1"/>
        </w:rPr>
        <w:t>а</w:t>
      </w:r>
      <w:r w:rsidRPr="00CB7DDC">
        <w:rPr>
          <w:rFonts w:ascii="Calibri" w:eastAsia="Calibri" w:hAnsi="Calibri" w:cs="Calibri"/>
          <w:spacing w:val="-3"/>
        </w:rPr>
        <w:t>с</w:t>
      </w:r>
      <w:r w:rsidRPr="00CB7DDC">
        <w:rPr>
          <w:rFonts w:ascii="Calibri" w:eastAsia="Calibri" w:hAnsi="Calibri" w:cs="Calibri"/>
        </w:rPr>
        <w:t>ящи</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rPr>
        <w:t xml:space="preserve">е </w:t>
      </w:r>
      <w:r w:rsidRPr="00CB7DDC">
        <w:rPr>
          <w:rFonts w:ascii="Calibri" w:eastAsia="Calibri" w:hAnsi="Calibri" w:cs="Calibri"/>
        </w:rPr>
        <w:lastRenderedPageBreak/>
        <w:t>до</w:t>
      </w:r>
      <w:r w:rsidRPr="00CB7DDC">
        <w:rPr>
          <w:rFonts w:ascii="Calibri" w:eastAsia="Calibri" w:hAnsi="Calibri" w:cs="Calibri"/>
          <w:spacing w:val="5"/>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2"/>
        </w:rPr>
        <w:t xml:space="preserve"> </w:t>
      </w:r>
      <w:r w:rsidRPr="00CB7DDC">
        <w:rPr>
          <w:rFonts w:ascii="Calibri" w:eastAsia="Calibri" w:hAnsi="Calibri" w:cs="Calibri"/>
          <w:spacing w:val="-2"/>
        </w:rPr>
        <w:t>о</w:t>
      </w:r>
      <w:r w:rsidRPr="00CB7DDC">
        <w:rPr>
          <w:rFonts w:ascii="Calibri" w:eastAsia="Calibri" w:hAnsi="Calibri" w:cs="Calibri"/>
        </w:rPr>
        <w:t>тр</w:t>
      </w:r>
      <w:r w:rsidRPr="00CB7DDC">
        <w:rPr>
          <w:rFonts w:ascii="Calibri" w:eastAsia="Calibri" w:hAnsi="Calibri" w:cs="Calibri"/>
          <w:spacing w:val="-1"/>
        </w:rPr>
        <w:t>ас</w:t>
      </w:r>
      <w:r w:rsidRPr="00CB7DDC">
        <w:rPr>
          <w:rFonts w:ascii="Calibri" w:eastAsia="Calibri" w:hAnsi="Calibri" w:cs="Calibri"/>
        </w:rPr>
        <w:t>ъ</w:t>
      </w:r>
      <w:r w:rsidRPr="00CB7DDC">
        <w:rPr>
          <w:rFonts w:ascii="Calibri" w:eastAsia="Calibri" w:hAnsi="Calibri" w:cs="Calibri"/>
          <w:spacing w:val="1"/>
        </w:rPr>
        <w:t>л</w:t>
      </w:r>
      <w:r w:rsidRPr="00CB7DDC">
        <w:rPr>
          <w:rFonts w:ascii="Calibri" w:eastAsia="Calibri" w:hAnsi="Calibri" w:cs="Calibri"/>
        </w:rPr>
        <w:t xml:space="preserve">а (в </w:t>
      </w:r>
      <w:r w:rsidRPr="00CB7DDC">
        <w:rPr>
          <w:rFonts w:ascii="Calibri" w:eastAsia="Calibri" w:hAnsi="Calibri" w:cs="Calibri"/>
          <w:spacing w:val="-1"/>
        </w:rPr>
        <w:t>с</w:t>
      </w:r>
      <w:r w:rsidRPr="00CB7DDC">
        <w:rPr>
          <w:rFonts w:ascii="Calibri" w:eastAsia="Calibri" w:hAnsi="Calibri" w:cs="Calibri"/>
          <w:spacing w:val="1"/>
        </w:rPr>
        <w:t>и</w:t>
      </w:r>
      <w:r w:rsidRPr="00CB7DDC">
        <w:rPr>
          <w:rFonts w:ascii="Calibri" w:eastAsia="Calibri" w:hAnsi="Calibri" w:cs="Calibri"/>
        </w:rPr>
        <w:t>ла</w:t>
      </w:r>
      <w:r w:rsidRPr="00CB7DDC">
        <w:rPr>
          <w:rFonts w:ascii="Calibri" w:eastAsia="Calibri" w:hAnsi="Calibri" w:cs="Calibri"/>
          <w:spacing w:val="1"/>
        </w:rPr>
        <w:t xml:space="preserve"> </w:t>
      </w:r>
      <w:r w:rsidRPr="00CB7DDC">
        <w:rPr>
          <w:rFonts w:ascii="Calibri" w:eastAsia="Calibri" w:hAnsi="Calibri" w:cs="Calibri"/>
        </w:rPr>
        <w:t>от</w:t>
      </w:r>
      <w:r w:rsidRPr="00CB7DDC">
        <w:rPr>
          <w:rFonts w:ascii="Calibri" w:eastAsia="Calibri" w:hAnsi="Calibri" w:cs="Calibri"/>
          <w:spacing w:val="2"/>
        </w:rPr>
        <w:t xml:space="preserve"> </w:t>
      </w:r>
      <w:r w:rsidRPr="00CB7DDC">
        <w:rPr>
          <w:rFonts w:ascii="Calibri" w:eastAsia="Calibri" w:hAnsi="Calibri" w:cs="Calibri"/>
        </w:rPr>
        <w:t>24</w:t>
      </w:r>
      <w:r w:rsidRPr="00CB7DDC">
        <w:rPr>
          <w:rFonts w:ascii="Calibri" w:eastAsia="Calibri" w:hAnsi="Calibri" w:cs="Calibri"/>
          <w:spacing w:val="1"/>
        </w:rPr>
        <w:t xml:space="preserve"> </w:t>
      </w:r>
      <w:r w:rsidRPr="00CB7DDC">
        <w:rPr>
          <w:rFonts w:ascii="Calibri" w:eastAsia="Calibri" w:hAnsi="Calibri" w:cs="Calibri"/>
          <w:spacing w:val="-1"/>
        </w:rPr>
        <w:t>се</w:t>
      </w:r>
      <w:r w:rsidRPr="00CB7DDC">
        <w:rPr>
          <w:rFonts w:ascii="Calibri" w:eastAsia="Calibri" w:hAnsi="Calibri" w:cs="Calibri"/>
          <w:spacing w:val="1"/>
        </w:rPr>
        <w:t>п</w:t>
      </w:r>
      <w:r w:rsidRPr="00CB7DDC">
        <w:rPr>
          <w:rFonts w:ascii="Calibri" w:eastAsia="Calibri" w:hAnsi="Calibri" w:cs="Calibri"/>
        </w:rPr>
        <w:t>т</w:t>
      </w:r>
      <w:r w:rsidRPr="00CB7DDC">
        <w:rPr>
          <w:rFonts w:ascii="Calibri" w:eastAsia="Calibri" w:hAnsi="Calibri" w:cs="Calibri"/>
          <w:spacing w:val="-1"/>
        </w:rPr>
        <w:t>ем</w:t>
      </w:r>
      <w:r w:rsidRPr="00CB7DDC">
        <w:rPr>
          <w:rFonts w:ascii="Calibri" w:eastAsia="Calibri" w:hAnsi="Calibri" w:cs="Calibri"/>
        </w:rPr>
        <w:t>ври</w:t>
      </w:r>
      <w:r w:rsidRPr="00CB7DDC">
        <w:rPr>
          <w:rFonts w:ascii="Calibri" w:eastAsia="Calibri" w:hAnsi="Calibri" w:cs="Calibri"/>
          <w:spacing w:val="2"/>
        </w:rPr>
        <w:t xml:space="preserve"> </w:t>
      </w:r>
      <w:r w:rsidRPr="00CB7DDC">
        <w:rPr>
          <w:rFonts w:ascii="Calibri" w:eastAsia="Calibri" w:hAnsi="Calibri" w:cs="Calibri"/>
        </w:rPr>
        <w:t>2009</w:t>
      </w:r>
      <w:r w:rsidRPr="00CB7DDC">
        <w:rPr>
          <w:rFonts w:ascii="Calibri" w:eastAsia="Calibri" w:hAnsi="Calibri" w:cs="Calibri"/>
          <w:spacing w:val="1"/>
        </w:rPr>
        <w:t xml:space="preserve"> </w:t>
      </w:r>
      <w:r w:rsidRPr="00CB7DDC">
        <w:rPr>
          <w:rFonts w:ascii="Calibri" w:eastAsia="Calibri" w:hAnsi="Calibri" w:cs="Calibri"/>
        </w:rPr>
        <w:t>г.</w:t>
      </w:r>
      <w:r w:rsidRPr="00CB7DDC">
        <w:rPr>
          <w:rFonts w:ascii="Calibri" w:eastAsia="Calibri" w:hAnsi="Calibri" w:cs="Calibri"/>
          <w:spacing w:val="-1"/>
        </w:rPr>
        <w:t>)</w:t>
      </w:r>
      <w:r w:rsidRPr="00CB7DDC">
        <w:rPr>
          <w:rFonts w:ascii="Calibri" w:eastAsia="Calibri" w:hAnsi="Calibri" w:cs="Calibri"/>
        </w:rPr>
        <w:t>,</w:t>
      </w:r>
      <w:r w:rsidRPr="00CB7DDC">
        <w:rPr>
          <w:rFonts w:ascii="Calibri" w:eastAsia="Calibri" w:hAnsi="Calibri" w:cs="Calibri"/>
          <w:spacing w:val="4"/>
        </w:rPr>
        <w:t xml:space="preserve"> </w:t>
      </w:r>
      <w:r w:rsidRPr="00CB7DDC">
        <w:rPr>
          <w:rFonts w:ascii="Calibri" w:eastAsia="Calibri" w:hAnsi="Calibri" w:cs="Calibri"/>
          <w:spacing w:val="1"/>
        </w:rPr>
        <w:t>и</w:t>
      </w:r>
      <w:r w:rsidRPr="00CB7DDC">
        <w:rPr>
          <w:rFonts w:ascii="Calibri" w:eastAsia="Calibri" w:hAnsi="Calibri" w:cs="Calibri"/>
          <w:spacing w:val="-1"/>
        </w:rPr>
        <w:t>ма</w:t>
      </w:r>
      <w:r w:rsidRPr="00CB7DDC">
        <w:rPr>
          <w:rFonts w:ascii="Calibri" w:eastAsia="Calibri" w:hAnsi="Calibri" w:cs="Calibri"/>
        </w:rPr>
        <w:t>т</w:t>
      </w:r>
      <w:r w:rsidRPr="00CB7DDC">
        <w:rPr>
          <w:rFonts w:ascii="Calibri" w:eastAsia="Calibri" w:hAnsi="Calibri" w:cs="Calibri"/>
          <w:spacing w:val="2"/>
        </w:rPr>
        <w:t xml:space="preserve"> </w:t>
      </w:r>
      <w:r w:rsidRPr="00CB7DDC">
        <w:rPr>
          <w:rFonts w:ascii="Calibri" w:eastAsia="Calibri" w:hAnsi="Calibri" w:cs="Calibri"/>
          <w:spacing w:val="1"/>
        </w:rPr>
        <w:t>з</w:t>
      </w:r>
      <w:r w:rsidRPr="00CB7DDC">
        <w:rPr>
          <w:rFonts w:ascii="Calibri" w:eastAsia="Calibri" w:hAnsi="Calibri" w:cs="Calibri"/>
        </w:rPr>
        <w:t xml:space="preserve">а </w:t>
      </w:r>
      <w:r w:rsidRPr="00CB7DDC">
        <w:rPr>
          <w:rFonts w:ascii="Calibri" w:eastAsia="Calibri" w:hAnsi="Calibri" w:cs="Calibri"/>
          <w:spacing w:val="1"/>
        </w:rPr>
        <w:t>ц</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 xml:space="preserve"> </w:t>
      </w:r>
      <w:r w:rsidRPr="00CB7DDC">
        <w:rPr>
          <w:rFonts w:ascii="Calibri" w:eastAsia="Calibri" w:hAnsi="Calibri" w:cs="Calibri"/>
        </w:rPr>
        <w:t>да р</w:t>
      </w:r>
      <w:r w:rsidRPr="00CB7DDC">
        <w:rPr>
          <w:rFonts w:ascii="Calibri" w:eastAsia="Calibri" w:hAnsi="Calibri" w:cs="Calibri"/>
          <w:spacing w:val="-1"/>
        </w:rPr>
        <w:t>а</w:t>
      </w:r>
      <w:r w:rsidRPr="00CB7DDC">
        <w:rPr>
          <w:rFonts w:ascii="Calibri" w:eastAsia="Calibri" w:hAnsi="Calibri" w:cs="Calibri"/>
          <w:spacing w:val="1"/>
        </w:rPr>
        <w:t>з</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ш</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 xml:space="preserve"> </w:t>
      </w:r>
      <w:r w:rsidRPr="00CB7DDC">
        <w:rPr>
          <w:rFonts w:ascii="Calibri" w:eastAsia="Calibri" w:hAnsi="Calibri" w:cs="Calibri"/>
        </w:rPr>
        <w:t>то</w:t>
      </w:r>
      <w:r w:rsidRPr="00CB7DDC">
        <w:rPr>
          <w:rFonts w:ascii="Calibri" w:eastAsia="Calibri" w:hAnsi="Calibri" w:cs="Calibri"/>
          <w:spacing w:val="-1"/>
        </w:rPr>
        <w:t>ч</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 xml:space="preserve"> </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spacing w:val="1"/>
        </w:rPr>
        <w:t>з</w:t>
      </w:r>
      <w:r w:rsidRPr="00CB7DDC">
        <w:rPr>
          <w:rFonts w:ascii="Calibri" w:eastAsia="Calibri" w:hAnsi="Calibri" w:cs="Calibri"/>
        </w:rPr>
        <w:t>и</w:t>
      </w:r>
      <w:r w:rsidRPr="00CB7DDC">
        <w:rPr>
          <w:rFonts w:ascii="Calibri" w:eastAsia="Calibri" w:hAnsi="Calibri" w:cs="Calibri"/>
          <w:spacing w:val="2"/>
        </w:rPr>
        <w:t xml:space="preserve"> </w:t>
      </w:r>
      <w:r w:rsidRPr="00CB7DDC">
        <w:rPr>
          <w:rFonts w:ascii="Calibri" w:eastAsia="Calibri" w:hAnsi="Calibri" w:cs="Calibri"/>
          <w:spacing w:val="1"/>
        </w:rPr>
        <w:t>п</w:t>
      </w:r>
      <w:r w:rsidRPr="00CB7DDC">
        <w:rPr>
          <w:rFonts w:ascii="Calibri" w:eastAsia="Calibri" w:hAnsi="Calibri" w:cs="Calibri"/>
        </w:rPr>
        <w:t>ро</w:t>
      </w:r>
      <w:r w:rsidRPr="00CB7DDC">
        <w:rPr>
          <w:rFonts w:ascii="Calibri" w:eastAsia="Calibri" w:hAnsi="Calibri" w:cs="Calibri"/>
          <w:spacing w:val="-2"/>
        </w:rPr>
        <w:t>б</w:t>
      </w:r>
      <w:r w:rsidRPr="00CB7DDC">
        <w:rPr>
          <w:rFonts w:ascii="Calibri" w:eastAsia="Calibri" w:hAnsi="Calibri" w:cs="Calibri"/>
        </w:rPr>
        <w:t>л</w:t>
      </w:r>
      <w:r w:rsidRPr="00CB7DDC">
        <w:rPr>
          <w:rFonts w:ascii="Calibri" w:eastAsia="Calibri" w:hAnsi="Calibri" w:cs="Calibri"/>
          <w:spacing w:val="-1"/>
        </w:rPr>
        <w:t>ем</w:t>
      </w:r>
      <w:r w:rsidRPr="00CB7DDC">
        <w:rPr>
          <w:rFonts w:ascii="Calibri" w:eastAsia="Calibri" w:hAnsi="Calibri" w:cs="Calibri"/>
          <w:spacing w:val="1"/>
        </w:rPr>
        <w:t>и</w:t>
      </w:r>
      <w:r w:rsidRPr="00CB7DDC">
        <w:rPr>
          <w:rFonts w:ascii="Calibri" w:eastAsia="Calibri" w:hAnsi="Calibri" w:cs="Calibri"/>
        </w:rPr>
        <w:t>.</w:t>
      </w:r>
      <w:r w:rsidRPr="00CB7DDC">
        <w:rPr>
          <w:rFonts w:ascii="Calibri" w:eastAsia="Calibri" w:hAnsi="Calibri" w:cs="Calibri"/>
          <w:spacing w:val="1"/>
        </w:rPr>
        <w:t xml:space="preserve"> </w:t>
      </w:r>
      <w:r w:rsidRPr="00CB7DDC">
        <w:rPr>
          <w:rFonts w:ascii="Calibri" w:eastAsia="Calibri" w:hAnsi="Calibri" w:cs="Calibri"/>
        </w:rPr>
        <w:t xml:space="preserve">Те </w:t>
      </w:r>
      <w:r w:rsidRPr="00CB7DDC">
        <w:rPr>
          <w:rFonts w:ascii="Calibri" w:eastAsia="Calibri" w:hAnsi="Calibri" w:cs="Calibri"/>
          <w:spacing w:val="1"/>
        </w:rPr>
        <w:t>п</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овя</w:t>
      </w:r>
      <w:r w:rsidRPr="00CB7DDC">
        <w:rPr>
          <w:rFonts w:ascii="Calibri" w:eastAsia="Calibri" w:hAnsi="Calibri" w:cs="Calibri"/>
          <w:spacing w:val="-1"/>
        </w:rPr>
        <w:t>ва</w:t>
      </w:r>
      <w:r w:rsidRPr="00CB7DDC">
        <w:rPr>
          <w:rFonts w:ascii="Calibri" w:eastAsia="Calibri" w:hAnsi="Calibri" w:cs="Calibri"/>
        </w:rPr>
        <w:t>т</w:t>
      </w:r>
      <w:r w:rsidRPr="00CB7DDC">
        <w:rPr>
          <w:rFonts w:ascii="Calibri" w:eastAsia="Calibri" w:hAnsi="Calibri" w:cs="Calibri"/>
          <w:spacing w:val="1"/>
        </w:rPr>
        <w:t xml:space="preserve"> 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2"/>
        </w:rPr>
        <w:t>х</w:t>
      </w:r>
      <w:r w:rsidRPr="00CB7DDC">
        <w:rPr>
          <w:rFonts w:ascii="Calibri" w:eastAsia="Calibri" w:hAnsi="Calibri" w:cs="Calibri"/>
        </w:rPr>
        <w:t>върл</w:t>
      </w:r>
      <w:r w:rsidRPr="00CB7DDC">
        <w:rPr>
          <w:rFonts w:ascii="Calibri" w:eastAsia="Calibri" w:hAnsi="Calibri" w:cs="Calibri"/>
          <w:spacing w:val="7"/>
        </w:rPr>
        <w:t>я</w:t>
      </w:r>
      <w:r w:rsidRPr="00CB7DDC">
        <w:rPr>
          <w:rFonts w:ascii="Calibri" w:eastAsia="Calibri" w:hAnsi="Calibri" w:cs="Calibri"/>
          <w:spacing w:val="1"/>
        </w:rPr>
        <w:t>н</w:t>
      </w:r>
      <w:r w:rsidRPr="00CB7DDC">
        <w:rPr>
          <w:rFonts w:ascii="Calibri" w:eastAsia="Calibri" w:hAnsi="Calibri" w:cs="Calibri"/>
          <w:spacing w:val="-1"/>
        </w:rPr>
        <w:t>е</w:t>
      </w:r>
      <w:r w:rsidRPr="00CB7DDC">
        <w:rPr>
          <w:rFonts w:ascii="Calibri" w:eastAsia="Calibri" w:hAnsi="Calibri" w:cs="Calibri"/>
          <w:spacing w:val="-2"/>
        </w:rPr>
        <w:t>т</w:t>
      </w:r>
      <w:r w:rsidRPr="00CB7DDC">
        <w:rPr>
          <w:rFonts w:ascii="Calibri" w:eastAsia="Calibri" w:hAnsi="Calibri" w:cs="Calibri"/>
        </w:rPr>
        <w:t>о</w:t>
      </w:r>
      <w:r w:rsidRPr="00CB7DDC">
        <w:rPr>
          <w:rFonts w:ascii="Calibri" w:eastAsia="Calibri" w:hAnsi="Calibri" w:cs="Calibri"/>
          <w:spacing w:val="1"/>
        </w:rPr>
        <w:t xml:space="preserve"> н</w:t>
      </w:r>
      <w:r w:rsidRPr="00CB7DDC">
        <w:rPr>
          <w:rFonts w:ascii="Calibri" w:eastAsia="Calibri" w:hAnsi="Calibri" w:cs="Calibri"/>
        </w:rPr>
        <w:t>а</w:t>
      </w:r>
      <w:r w:rsidRPr="00CB7DDC">
        <w:rPr>
          <w:rFonts w:ascii="Calibri" w:eastAsia="Calibri" w:hAnsi="Calibri" w:cs="Calibri"/>
          <w:spacing w:val="2"/>
        </w:rPr>
        <w:t xml:space="preserve"> </w:t>
      </w:r>
      <w:r w:rsidRPr="00CB7DDC">
        <w:rPr>
          <w:rFonts w:ascii="Calibri" w:eastAsia="Calibri" w:hAnsi="Calibri" w:cs="Calibri"/>
          <w:spacing w:val="-7"/>
        </w:rPr>
        <w:t>у</w:t>
      </w:r>
      <w:r w:rsidRPr="00CB7DDC">
        <w:rPr>
          <w:rFonts w:ascii="Calibri" w:eastAsia="Calibri" w:hAnsi="Calibri" w:cs="Calibri"/>
          <w:spacing w:val="1"/>
        </w:rPr>
        <w:t>п</w:t>
      </w:r>
      <w:r w:rsidRPr="00CB7DDC">
        <w:rPr>
          <w:rFonts w:ascii="Calibri" w:eastAsia="Calibri" w:hAnsi="Calibri" w:cs="Calibri"/>
          <w:spacing w:val="2"/>
        </w:rPr>
        <w:t>р</w:t>
      </w:r>
      <w:r w:rsidRPr="00CB7DDC">
        <w:rPr>
          <w:rFonts w:ascii="Calibri" w:eastAsia="Calibri" w:hAnsi="Calibri" w:cs="Calibri"/>
          <w:spacing w:val="-1"/>
        </w:rPr>
        <w:t>а</w:t>
      </w:r>
      <w:r w:rsidRPr="00CB7DDC">
        <w:rPr>
          <w:rFonts w:ascii="Calibri" w:eastAsia="Calibri" w:hAnsi="Calibri" w:cs="Calibri"/>
        </w:rPr>
        <w:t>вл</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spacing w:val="-1"/>
        </w:rPr>
        <w:t>с</w:t>
      </w:r>
      <w:r w:rsidRPr="00CB7DDC">
        <w:rPr>
          <w:rFonts w:ascii="Calibri" w:eastAsia="Calibri" w:hAnsi="Calibri" w:cs="Calibri"/>
          <w:spacing w:val="1"/>
        </w:rPr>
        <w:t>ки</w:t>
      </w:r>
      <w:r w:rsidRPr="00CB7DDC">
        <w:rPr>
          <w:rFonts w:ascii="Calibri" w:eastAsia="Calibri" w:hAnsi="Calibri" w:cs="Calibri"/>
        </w:rPr>
        <w:t xml:space="preserve">те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rPr>
        <w:t>ва от</w:t>
      </w:r>
      <w:r w:rsidRPr="00CB7DDC">
        <w:rPr>
          <w:rFonts w:ascii="Calibri" w:eastAsia="Calibri" w:hAnsi="Calibri" w:cs="Calibri"/>
          <w:spacing w:val="2"/>
        </w:rPr>
        <w:t xml:space="preserve"> </w:t>
      </w:r>
      <w:r w:rsidRPr="00CB7DDC">
        <w:rPr>
          <w:rFonts w:ascii="Calibri" w:eastAsia="Calibri" w:hAnsi="Calibri" w:cs="Calibri"/>
          <w:spacing w:val="1"/>
        </w:rPr>
        <w:t>ц</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тр</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 xml:space="preserve">та и </w:t>
      </w:r>
      <w:r w:rsidRPr="00CB7DDC">
        <w:rPr>
          <w:rFonts w:ascii="Calibri" w:eastAsia="Calibri" w:hAnsi="Calibri" w:cs="Calibri"/>
          <w:spacing w:val="-1"/>
        </w:rPr>
        <w:t>мес</w:t>
      </w:r>
      <w:r w:rsidRPr="00CB7DDC">
        <w:rPr>
          <w:rFonts w:ascii="Calibri" w:eastAsia="Calibri" w:hAnsi="Calibri" w:cs="Calibri"/>
        </w:rPr>
        <w:t>т</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та вл</w:t>
      </w:r>
      <w:r w:rsidRPr="00CB7DDC">
        <w:rPr>
          <w:rFonts w:ascii="Calibri" w:eastAsia="Calibri" w:hAnsi="Calibri" w:cs="Calibri"/>
          <w:spacing w:val="1"/>
        </w:rPr>
        <w:t>а</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2"/>
        </w:rPr>
        <w:t xml:space="preserve"> </w:t>
      </w:r>
      <w:r w:rsidRPr="00CB7DDC">
        <w:rPr>
          <w:rFonts w:ascii="Calibri" w:eastAsia="Calibri" w:hAnsi="Calibri" w:cs="Calibri"/>
          <w:spacing w:val="1"/>
        </w:rPr>
        <w:t>н</w:t>
      </w:r>
      <w:r w:rsidRPr="00CB7DDC">
        <w:rPr>
          <w:rFonts w:ascii="Calibri" w:eastAsia="Calibri" w:hAnsi="Calibri" w:cs="Calibri"/>
        </w:rPr>
        <w:t>а А</w:t>
      </w:r>
      <w:r w:rsidRPr="00CB7DDC">
        <w:rPr>
          <w:rFonts w:ascii="Calibri" w:eastAsia="Calibri" w:hAnsi="Calibri" w:cs="Calibri"/>
          <w:spacing w:val="-1"/>
        </w:rPr>
        <w:t>с</w:t>
      </w:r>
      <w:r w:rsidRPr="00CB7DDC">
        <w:rPr>
          <w:rFonts w:ascii="Calibri" w:eastAsia="Calibri" w:hAnsi="Calibri" w:cs="Calibri"/>
        </w:rPr>
        <w:t>о</w:t>
      </w:r>
      <w:r w:rsidRPr="00CB7DDC">
        <w:rPr>
          <w:rFonts w:ascii="Calibri" w:eastAsia="Calibri" w:hAnsi="Calibri" w:cs="Calibri"/>
          <w:spacing w:val="1"/>
        </w:rPr>
        <w:t>ци</w:t>
      </w:r>
      <w:r w:rsidRPr="00CB7DDC">
        <w:rPr>
          <w:rFonts w:ascii="Calibri" w:eastAsia="Calibri" w:hAnsi="Calibri" w:cs="Calibri"/>
          <w:spacing w:val="-1"/>
        </w:rPr>
        <w:t>а</w:t>
      </w:r>
      <w:r w:rsidRPr="00CB7DDC">
        <w:rPr>
          <w:rFonts w:ascii="Calibri" w:eastAsia="Calibri" w:hAnsi="Calibri" w:cs="Calibri"/>
          <w:spacing w:val="1"/>
        </w:rPr>
        <w:t>ц</w:t>
      </w:r>
      <w:r w:rsidRPr="00CB7DDC">
        <w:rPr>
          <w:rFonts w:ascii="Calibri" w:eastAsia="Calibri" w:hAnsi="Calibri" w:cs="Calibri"/>
          <w:spacing w:val="-1"/>
        </w:rPr>
        <w:t>и</w:t>
      </w:r>
      <w:r w:rsidRPr="00CB7DDC">
        <w:rPr>
          <w:rFonts w:ascii="Calibri" w:eastAsia="Calibri" w:hAnsi="Calibri" w:cs="Calibri"/>
          <w:spacing w:val="1"/>
        </w:rPr>
        <w:t>и</w:t>
      </w:r>
      <w:r w:rsidRPr="00CB7DDC">
        <w:rPr>
          <w:rFonts w:ascii="Calibri" w:eastAsia="Calibri" w:hAnsi="Calibri" w:cs="Calibri"/>
        </w:rPr>
        <w:t xml:space="preserve">те </w:t>
      </w:r>
      <w:r w:rsidRPr="00CB7DDC">
        <w:rPr>
          <w:rFonts w:ascii="Calibri" w:eastAsia="Calibri" w:hAnsi="Calibri" w:cs="Calibri"/>
          <w:spacing w:val="1"/>
        </w:rPr>
        <w:t>п</w:t>
      </w:r>
      <w:r w:rsidRPr="00CB7DDC">
        <w:rPr>
          <w:rFonts w:ascii="Calibri" w:eastAsia="Calibri" w:hAnsi="Calibri" w:cs="Calibri"/>
        </w:rPr>
        <w:t>о</w:t>
      </w:r>
      <w:r w:rsidRPr="00CB7DDC">
        <w:rPr>
          <w:rFonts w:ascii="Calibri" w:eastAsia="Calibri" w:hAnsi="Calibri" w:cs="Calibri"/>
          <w:spacing w:val="1"/>
        </w:rPr>
        <w:t xml:space="preserve"> </w:t>
      </w:r>
      <w:r w:rsidRPr="00CB7DDC">
        <w:rPr>
          <w:rFonts w:ascii="Calibri" w:eastAsia="Calibri" w:hAnsi="Calibri" w:cs="Calibri"/>
        </w:rPr>
        <w:t>водо</w:t>
      </w:r>
      <w:r w:rsidRPr="00CB7DDC">
        <w:rPr>
          <w:rFonts w:ascii="Calibri" w:eastAsia="Calibri" w:hAnsi="Calibri" w:cs="Calibri"/>
          <w:spacing w:val="-1"/>
        </w:rPr>
        <w:t>с</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бд</w:t>
      </w:r>
      <w:r w:rsidRPr="00CB7DDC">
        <w:rPr>
          <w:rFonts w:ascii="Calibri" w:eastAsia="Calibri" w:hAnsi="Calibri" w:cs="Calibri"/>
          <w:spacing w:val="-2"/>
        </w:rPr>
        <w:t>я</w:t>
      </w:r>
      <w:r w:rsidRPr="00CB7DDC">
        <w:rPr>
          <w:rFonts w:ascii="Calibri" w:eastAsia="Calibri" w:hAnsi="Calibri" w:cs="Calibri"/>
        </w:rPr>
        <w:t>в</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е и</w:t>
      </w:r>
      <w:r w:rsidRPr="00CB7DDC">
        <w:rPr>
          <w:rFonts w:ascii="Calibri" w:eastAsia="Calibri" w:hAnsi="Calibri" w:cs="Calibri"/>
          <w:spacing w:val="2"/>
        </w:rPr>
        <w:t xml:space="preserve"> </w:t>
      </w:r>
      <w:r w:rsidRPr="00CB7DDC">
        <w:rPr>
          <w:rFonts w:ascii="Calibri" w:eastAsia="Calibri" w:hAnsi="Calibri" w:cs="Calibri"/>
          <w:spacing w:val="1"/>
        </w:rPr>
        <w:t>к</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из</w:t>
      </w:r>
      <w:r w:rsidRPr="00CB7DDC">
        <w:rPr>
          <w:rFonts w:ascii="Calibri" w:eastAsia="Calibri" w:hAnsi="Calibri" w:cs="Calibri"/>
          <w:spacing w:val="-1"/>
        </w:rPr>
        <w:t>ац</w:t>
      </w:r>
      <w:r w:rsidRPr="00CB7DDC">
        <w:rPr>
          <w:rFonts w:ascii="Calibri" w:eastAsia="Calibri" w:hAnsi="Calibri" w:cs="Calibri"/>
          <w:spacing w:val="1"/>
        </w:rPr>
        <w:t>и</w:t>
      </w:r>
      <w:r w:rsidRPr="00CB7DDC">
        <w:rPr>
          <w:rFonts w:ascii="Calibri" w:eastAsia="Calibri" w:hAnsi="Calibri" w:cs="Calibri"/>
        </w:rPr>
        <w:t>я (</w:t>
      </w:r>
      <w:r w:rsidRPr="00CB7DDC">
        <w:rPr>
          <w:rFonts w:ascii="Calibri" w:eastAsia="Calibri" w:hAnsi="Calibri" w:cs="Calibri"/>
          <w:spacing w:val="-1"/>
        </w:rPr>
        <w:t>А</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 Т</w:t>
      </w:r>
      <w:r w:rsidRPr="00CB7DDC">
        <w:rPr>
          <w:rFonts w:ascii="Calibri" w:eastAsia="Calibri" w:hAnsi="Calibri" w:cs="Calibri"/>
          <w:spacing w:val="-1"/>
        </w:rPr>
        <w:t>е</w:t>
      </w:r>
      <w:r w:rsidRPr="00CB7DDC">
        <w:rPr>
          <w:rFonts w:ascii="Calibri" w:eastAsia="Calibri" w:hAnsi="Calibri" w:cs="Calibri"/>
          <w:spacing w:val="1"/>
        </w:rPr>
        <w:t>з</w:t>
      </w:r>
      <w:r w:rsidRPr="00CB7DDC">
        <w:rPr>
          <w:rFonts w:ascii="Calibri" w:eastAsia="Calibri" w:hAnsi="Calibri" w:cs="Calibri"/>
        </w:rPr>
        <w:t xml:space="preserve">и </w:t>
      </w:r>
      <w:r w:rsidRPr="00CB7DDC">
        <w:rPr>
          <w:rFonts w:ascii="Calibri" w:eastAsia="Calibri" w:hAnsi="Calibri" w:cs="Calibri"/>
          <w:spacing w:val="2"/>
        </w:rPr>
        <w:t xml:space="preserve"> </w:t>
      </w:r>
      <w:r w:rsidRPr="00CB7DDC">
        <w:rPr>
          <w:rFonts w:ascii="Calibri" w:eastAsia="Calibri" w:hAnsi="Calibri" w:cs="Calibri"/>
          <w:spacing w:val="-1"/>
        </w:rPr>
        <w:t>ас</w:t>
      </w:r>
      <w:r w:rsidRPr="00CB7DDC">
        <w:rPr>
          <w:rFonts w:ascii="Calibri" w:eastAsia="Calibri" w:hAnsi="Calibri" w:cs="Calibri"/>
        </w:rPr>
        <w:t>о</w:t>
      </w:r>
      <w:r w:rsidRPr="00CB7DDC">
        <w:rPr>
          <w:rFonts w:ascii="Calibri" w:eastAsia="Calibri" w:hAnsi="Calibri" w:cs="Calibri"/>
          <w:spacing w:val="1"/>
        </w:rPr>
        <w:t>ци</w:t>
      </w:r>
      <w:r w:rsidRPr="00CB7DDC">
        <w:rPr>
          <w:rFonts w:ascii="Calibri" w:eastAsia="Calibri" w:hAnsi="Calibri" w:cs="Calibri"/>
          <w:spacing w:val="-1"/>
        </w:rPr>
        <w:t>а</w:t>
      </w:r>
      <w:r w:rsidRPr="00CB7DDC">
        <w:rPr>
          <w:rFonts w:ascii="Calibri" w:eastAsia="Calibri" w:hAnsi="Calibri" w:cs="Calibri"/>
          <w:spacing w:val="1"/>
        </w:rPr>
        <w:t>ци</w:t>
      </w:r>
      <w:r w:rsidRPr="00CB7DDC">
        <w:rPr>
          <w:rFonts w:ascii="Calibri" w:eastAsia="Calibri" w:hAnsi="Calibri" w:cs="Calibri"/>
        </w:rPr>
        <w:t>и отгов</w:t>
      </w:r>
      <w:r w:rsidRPr="00CB7DDC">
        <w:rPr>
          <w:rFonts w:ascii="Calibri" w:eastAsia="Calibri" w:hAnsi="Calibri" w:cs="Calibri"/>
          <w:spacing w:val="-1"/>
        </w:rPr>
        <w:t>а</w:t>
      </w:r>
      <w:r w:rsidRPr="00CB7DDC">
        <w:rPr>
          <w:rFonts w:ascii="Calibri" w:eastAsia="Calibri" w:hAnsi="Calibri" w:cs="Calibri"/>
        </w:rPr>
        <w:t xml:space="preserve">рят </w:t>
      </w:r>
      <w:r w:rsidRPr="00CB7DDC">
        <w:rPr>
          <w:rFonts w:ascii="Calibri" w:eastAsia="Calibri" w:hAnsi="Calibri" w:cs="Calibri"/>
          <w:spacing w:val="2"/>
        </w:rPr>
        <w:t xml:space="preserve"> </w:t>
      </w:r>
      <w:r w:rsidRPr="00CB7DDC">
        <w:rPr>
          <w:rFonts w:ascii="Calibri" w:eastAsia="Calibri" w:hAnsi="Calibri" w:cs="Calibri"/>
          <w:spacing w:val="1"/>
        </w:rPr>
        <w:t>з</w:t>
      </w:r>
      <w:r w:rsidRPr="00CB7DDC">
        <w:rPr>
          <w:rFonts w:ascii="Calibri" w:eastAsia="Calibri" w:hAnsi="Calibri" w:cs="Calibri"/>
        </w:rPr>
        <w:t>а  въ</w:t>
      </w:r>
      <w:r w:rsidRPr="00CB7DDC">
        <w:rPr>
          <w:rFonts w:ascii="Calibri" w:eastAsia="Calibri" w:hAnsi="Calibri" w:cs="Calibri"/>
          <w:spacing w:val="1"/>
        </w:rPr>
        <w:t>з</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rPr>
        <w:t>г</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spacing w:val="-1"/>
        </w:rPr>
        <w:t>е</w:t>
      </w:r>
      <w:r w:rsidRPr="00CB7DDC">
        <w:rPr>
          <w:rFonts w:ascii="Calibri" w:eastAsia="Calibri" w:hAnsi="Calibri" w:cs="Calibri"/>
        </w:rPr>
        <w:t xml:space="preserve">то </w:t>
      </w:r>
      <w:r w:rsidRPr="00CB7DDC">
        <w:rPr>
          <w:rFonts w:ascii="Calibri" w:eastAsia="Calibri" w:hAnsi="Calibri" w:cs="Calibri"/>
          <w:spacing w:val="1"/>
        </w:rPr>
        <w:t xml:space="preserve"> н</w:t>
      </w:r>
      <w:r w:rsidRPr="00CB7DDC">
        <w:rPr>
          <w:rFonts w:ascii="Calibri" w:eastAsia="Calibri" w:hAnsi="Calibri" w:cs="Calibri"/>
        </w:rPr>
        <w:t>а  дог</w:t>
      </w:r>
      <w:r w:rsidRPr="00CB7DDC">
        <w:rPr>
          <w:rFonts w:ascii="Calibri" w:eastAsia="Calibri" w:hAnsi="Calibri" w:cs="Calibri"/>
          <w:spacing w:val="-2"/>
        </w:rPr>
        <w:t>о</w:t>
      </w:r>
      <w:r w:rsidRPr="00CB7DDC">
        <w:rPr>
          <w:rFonts w:ascii="Calibri" w:eastAsia="Calibri" w:hAnsi="Calibri" w:cs="Calibri"/>
        </w:rPr>
        <w:t xml:space="preserve">вори </w:t>
      </w:r>
      <w:r w:rsidRPr="00CB7DDC">
        <w:rPr>
          <w:rFonts w:ascii="Calibri" w:eastAsia="Calibri" w:hAnsi="Calibri" w:cs="Calibri"/>
          <w:spacing w:val="1"/>
        </w:rPr>
        <w:t xml:space="preserve"> н</w:t>
      </w:r>
      <w:r w:rsidRPr="00CB7DDC">
        <w:rPr>
          <w:rFonts w:ascii="Calibri" w:eastAsia="Calibri" w:hAnsi="Calibri" w:cs="Calibri"/>
        </w:rPr>
        <w:t xml:space="preserve">а  </w:t>
      </w:r>
      <w:r w:rsidRPr="00CB7DDC">
        <w:rPr>
          <w:rFonts w:ascii="Calibri" w:eastAsia="Calibri" w:hAnsi="Calibri" w:cs="Calibri"/>
          <w:spacing w:val="3"/>
        </w:rPr>
        <w:t>п</w:t>
      </w:r>
      <w:r w:rsidRPr="00CB7DDC">
        <w:rPr>
          <w:rFonts w:ascii="Calibri" w:eastAsia="Calibri" w:hAnsi="Calibri" w:cs="Calibri"/>
          <w:spacing w:val="-7"/>
        </w:rPr>
        <w:t>у</w:t>
      </w:r>
      <w:r w:rsidRPr="00CB7DDC">
        <w:rPr>
          <w:rFonts w:ascii="Calibri" w:eastAsia="Calibri" w:hAnsi="Calibri" w:cs="Calibri"/>
        </w:rPr>
        <w:t>бл</w:t>
      </w:r>
      <w:r w:rsidRPr="00CB7DDC">
        <w:rPr>
          <w:rFonts w:ascii="Calibri" w:eastAsia="Calibri" w:hAnsi="Calibri" w:cs="Calibri"/>
          <w:spacing w:val="1"/>
        </w:rPr>
        <w:t>и</w:t>
      </w:r>
      <w:r w:rsidRPr="00CB7DDC">
        <w:rPr>
          <w:rFonts w:ascii="Calibri" w:eastAsia="Calibri" w:hAnsi="Calibri" w:cs="Calibri"/>
          <w:spacing w:val="-1"/>
        </w:rPr>
        <w:t>ч</w:t>
      </w:r>
      <w:r w:rsidRPr="00CB7DDC">
        <w:rPr>
          <w:rFonts w:ascii="Calibri" w:eastAsia="Calibri" w:hAnsi="Calibri" w:cs="Calibri"/>
          <w:spacing w:val="1"/>
        </w:rPr>
        <w:t>ни</w:t>
      </w:r>
      <w:r w:rsidRPr="00CB7DDC">
        <w:rPr>
          <w:rFonts w:ascii="Calibri" w:eastAsia="Calibri" w:hAnsi="Calibri" w:cs="Calibri"/>
        </w:rPr>
        <w:t xml:space="preserve">, </w:t>
      </w:r>
      <w:r w:rsidRPr="00CB7DDC">
        <w:rPr>
          <w:rFonts w:ascii="Calibri" w:eastAsia="Calibri" w:hAnsi="Calibri" w:cs="Calibri"/>
          <w:spacing w:val="3"/>
        </w:rPr>
        <w:t>п</w:t>
      </w:r>
      <w:r w:rsidRPr="00CB7DDC">
        <w:rPr>
          <w:rFonts w:ascii="Calibri" w:eastAsia="Calibri" w:hAnsi="Calibri" w:cs="Calibri"/>
          <w:spacing w:val="-7"/>
        </w:rPr>
        <w:t>у</w:t>
      </w:r>
      <w:r w:rsidRPr="00CB7DDC">
        <w:rPr>
          <w:rFonts w:ascii="Calibri" w:eastAsia="Calibri" w:hAnsi="Calibri" w:cs="Calibri"/>
        </w:rPr>
        <w:t>бл</w:t>
      </w:r>
      <w:r w:rsidRPr="00CB7DDC">
        <w:rPr>
          <w:rFonts w:ascii="Calibri" w:eastAsia="Calibri" w:hAnsi="Calibri" w:cs="Calibri"/>
          <w:spacing w:val="1"/>
        </w:rPr>
        <w:t>и</w:t>
      </w:r>
      <w:r w:rsidRPr="00CB7DDC">
        <w:rPr>
          <w:rFonts w:ascii="Calibri" w:eastAsia="Calibri" w:hAnsi="Calibri" w:cs="Calibri"/>
          <w:spacing w:val="-1"/>
        </w:rPr>
        <w:t>ч</w:t>
      </w:r>
      <w:r w:rsidRPr="00CB7DDC">
        <w:rPr>
          <w:rFonts w:ascii="Calibri" w:eastAsia="Calibri" w:hAnsi="Calibri" w:cs="Calibri"/>
          <w:spacing w:val="1"/>
        </w:rPr>
        <w:t>но</w:t>
      </w:r>
      <w:r w:rsidRPr="00CB7DDC">
        <w:rPr>
          <w:rFonts w:ascii="Calibri" w:eastAsia="Calibri" w:hAnsi="Calibri" w:cs="Calibri"/>
          <w:spacing w:val="-1"/>
        </w:rPr>
        <w:t>-</w:t>
      </w:r>
      <w:r w:rsidRPr="00CB7DDC">
        <w:rPr>
          <w:rFonts w:ascii="Calibri" w:eastAsia="Calibri" w:hAnsi="Calibri" w:cs="Calibri"/>
          <w:spacing w:val="1"/>
        </w:rPr>
        <w:t>ч</w:t>
      </w:r>
      <w:r w:rsidRPr="00CB7DDC">
        <w:rPr>
          <w:rFonts w:ascii="Calibri" w:eastAsia="Calibri" w:hAnsi="Calibri" w:cs="Calibri"/>
          <w:spacing w:val="-1"/>
        </w:rPr>
        <w:t>ас</w:t>
      </w:r>
      <w:r w:rsidRPr="00CB7DDC">
        <w:rPr>
          <w:rFonts w:ascii="Calibri" w:eastAsia="Calibri" w:hAnsi="Calibri" w:cs="Calibri"/>
        </w:rPr>
        <w:t>т</w:t>
      </w:r>
      <w:r w:rsidRPr="00CB7DDC">
        <w:rPr>
          <w:rFonts w:ascii="Calibri" w:eastAsia="Calibri" w:hAnsi="Calibri" w:cs="Calibri"/>
          <w:spacing w:val="1"/>
        </w:rPr>
        <w:t>н</w:t>
      </w:r>
      <w:r w:rsidRPr="00CB7DDC">
        <w:rPr>
          <w:rFonts w:ascii="Calibri" w:eastAsia="Calibri" w:hAnsi="Calibri" w:cs="Calibri"/>
        </w:rPr>
        <w:t>и</w:t>
      </w:r>
      <w:r w:rsidRPr="00CB7DDC">
        <w:rPr>
          <w:rFonts w:ascii="Calibri" w:eastAsia="Calibri" w:hAnsi="Calibri" w:cs="Calibri"/>
          <w:spacing w:val="5"/>
        </w:rPr>
        <w:t xml:space="preserve"> </w:t>
      </w:r>
      <w:r w:rsidRPr="00CB7DDC">
        <w:rPr>
          <w:rFonts w:ascii="Calibri" w:eastAsia="Calibri" w:hAnsi="Calibri" w:cs="Calibri"/>
          <w:spacing w:val="1"/>
        </w:rPr>
        <w:t>и</w:t>
      </w:r>
      <w:r w:rsidRPr="00CB7DDC">
        <w:rPr>
          <w:rFonts w:ascii="Calibri" w:eastAsia="Calibri" w:hAnsi="Calibri" w:cs="Calibri"/>
          <w:spacing w:val="-2"/>
        </w:rPr>
        <w:t>л</w:t>
      </w:r>
      <w:r w:rsidRPr="00CB7DDC">
        <w:rPr>
          <w:rFonts w:ascii="Calibri" w:eastAsia="Calibri" w:hAnsi="Calibri" w:cs="Calibri"/>
        </w:rPr>
        <w:t>и</w:t>
      </w:r>
      <w:r w:rsidRPr="00CB7DDC">
        <w:rPr>
          <w:rFonts w:ascii="Calibri" w:eastAsia="Calibri" w:hAnsi="Calibri" w:cs="Calibri"/>
          <w:spacing w:val="2"/>
        </w:rPr>
        <w:t xml:space="preserve"> </w:t>
      </w:r>
      <w:r w:rsidRPr="00CB7DDC">
        <w:rPr>
          <w:rFonts w:ascii="Calibri" w:eastAsia="Calibri" w:hAnsi="Calibri" w:cs="Calibri"/>
          <w:spacing w:val="-1"/>
        </w:rPr>
        <w:t>час</w:t>
      </w:r>
      <w:r w:rsidRPr="00CB7DDC">
        <w:rPr>
          <w:rFonts w:ascii="Calibri" w:eastAsia="Calibri" w:hAnsi="Calibri" w:cs="Calibri"/>
        </w:rPr>
        <w:t>т</w:t>
      </w:r>
      <w:r w:rsidRPr="00CB7DDC">
        <w:rPr>
          <w:rFonts w:ascii="Calibri" w:eastAsia="Calibri" w:hAnsi="Calibri" w:cs="Calibri"/>
          <w:spacing w:val="1"/>
        </w:rPr>
        <w:t>н</w:t>
      </w:r>
      <w:r w:rsidRPr="00CB7DDC">
        <w:rPr>
          <w:rFonts w:ascii="Calibri" w:eastAsia="Calibri" w:hAnsi="Calibri" w:cs="Calibri"/>
        </w:rPr>
        <w:t>и</w:t>
      </w:r>
      <w:r w:rsidRPr="00CB7DDC">
        <w:rPr>
          <w:rFonts w:ascii="Calibri" w:eastAsia="Calibri" w:hAnsi="Calibri" w:cs="Calibri"/>
          <w:spacing w:val="5"/>
        </w:rPr>
        <w:t xml:space="preserve"> </w:t>
      </w:r>
      <w:r w:rsidRPr="00CB7DDC">
        <w:rPr>
          <w:rFonts w:ascii="Calibri" w:eastAsia="Calibri" w:hAnsi="Calibri" w:cs="Calibri"/>
        </w:rPr>
        <w:t>вод</w:t>
      </w:r>
      <w:r w:rsidRPr="00CB7DDC">
        <w:rPr>
          <w:rFonts w:ascii="Calibri" w:eastAsia="Calibri" w:hAnsi="Calibri" w:cs="Calibri"/>
          <w:spacing w:val="1"/>
        </w:rPr>
        <w:t>н</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о</w:t>
      </w:r>
      <w:r w:rsidRPr="00CB7DDC">
        <w:rPr>
          <w:rFonts w:ascii="Calibri" w:eastAsia="Calibri" w:hAnsi="Calibri" w:cs="Calibri"/>
          <w:spacing w:val="1"/>
        </w:rPr>
        <w:t>п</w:t>
      </w:r>
      <w:r w:rsidRPr="00CB7DDC">
        <w:rPr>
          <w:rFonts w:ascii="Calibri" w:eastAsia="Calibri" w:hAnsi="Calibri" w:cs="Calibri"/>
          <w:spacing w:val="-1"/>
        </w:rPr>
        <w:t>е</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rPr>
        <w:t>то</w:t>
      </w:r>
      <w:r w:rsidRPr="00CB7DDC">
        <w:rPr>
          <w:rFonts w:ascii="Calibri" w:eastAsia="Calibri" w:hAnsi="Calibri" w:cs="Calibri"/>
          <w:spacing w:val="-2"/>
        </w:rPr>
        <w:t>р</w:t>
      </w:r>
      <w:r w:rsidRPr="00CB7DDC">
        <w:rPr>
          <w:rFonts w:ascii="Calibri" w:eastAsia="Calibri" w:hAnsi="Calibri" w:cs="Calibri"/>
        </w:rPr>
        <w:t>и</w:t>
      </w:r>
      <w:r w:rsidRPr="00CB7DDC">
        <w:rPr>
          <w:rFonts w:ascii="Calibri" w:eastAsia="Calibri" w:hAnsi="Calibri" w:cs="Calibri"/>
          <w:spacing w:val="5"/>
        </w:rPr>
        <w:t xml:space="preserve"> </w:t>
      </w:r>
      <w:r w:rsidRPr="00CB7DDC">
        <w:rPr>
          <w:rFonts w:ascii="Calibri" w:eastAsia="Calibri" w:hAnsi="Calibri" w:cs="Calibri"/>
          <w:spacing w:val="-1"/>
        </w:rPr>
        <w:t>с</w:t>
      </w:r>
      <w:r w:rsidRPr="00CB7DDC">
        <w:rPr>
          <w:rFonts w:ascii="Calibri" w:eastAsia="Calibri" w:hAnsi="Calibri" w:cs="Calibri"/>
        </w:rPr>
        <w:t>ъг</w:t>
      </w:r>
      <w:r w:rsidRPr="00CB7DDC">
        <w:rPr>
          <w:rFonts w:ascii="Calibri" w:eastAsia="Calibri" w:hAnsi="Calibri" w:cs="Calibri"/>
          <w:spacing w:val="1"/>
        </w:rPr>
        <w:t>л</w:t>
      </w:r>
      <w:r w:rsidRPr="00CB7DDC">
        <w:rPr>
          <w:rFonts w:ascii="Calibri" w:eastAsia="Calibri" w:hAnsi="Calibri" w:cs="Calibri"/>
          <w:spacing w:val="-1"/>
        </w:rPr>
        <w:t>ас</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4"/>
        </w:rPr>
        <w:t xml:space="preserve"> </w:t>
      </w:r>
      <w:r w:rsidRPr="00CB7DDC">
        <w:rPr>
          <w:rFonts w:ascii="Calibri" w:eastAsia="Calibri" w:hAnsi="Calibri" w:cs="Calibri"/>
        </w:rPr>
        <w:t>З</w:t>
      </w:r>
      <w:r w:rsidRPr="00CB7DDC">
        <w:rPr>
          <w:rFonts w:ascii="Calibri" w:eastAsia="Calibri" w:hAnsi="Calibri" w:cs="Calibri"/>
          <w:spacing w:val="-1"/>
        </w:rPr>
        <w:t>а</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з</w:t>
      </w:r>
      <w:r w:rsidRPr="00CB7DDC">
        <w:rPr>
          <w:rFonts w:ascii="Calibri" w:eastAsia="Calibri" w:hAnsi="Calibri" w:cs="Calibri"/>
        </w:rPr>
        <w:t>а вод</w:t>
      </w:r>
      <w:r w:rsidRPr="00CB7DDC">
        <w:rPr>
          <w:rFonts w:ascii="Calibri" w:eastAsia="Calibri" w:hAnsi="Calibri" w:cs="Calibri"/>
          <w:spacing w:val="1"/>
        </w:rPr>
        <w:t>и</w:t>
      </w:r>
      <w:r w:rsidRPr="00CB7DDC">
        <w:rPr>
          <w:rFonts w:ascii="Calibri" w:eastAsia="Calibri" w:hAnsi="Calibri" w:cs="Calibri"/>
        </w:rPr>
        <w:t>те</w:t>
      </w:r>
      <w:r w:rsidRPr="00CB7DDC">
        <w:rPr>
          <w:rFonts w:ascii="Calibri" w:eastAsia="Calibri" w:hAnsi="Calibri" w:cs="Calibri"/>
          <w:spacing w:val="3"/>
        </w:rPr>
        <w:t xml:space="preserve"> </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З</w:t>
      </w:r>
      <w:r w:rsidRPr="00CB7DDC">
        <w:rPr>
          <w:rFonts w:ascii="Calibri" w:eastAsia="Calibri" w:hAnsi="Calibri" w:cs="Calibri"/>
          <w:spacing w:val="8"/>
        </w:rPr>
        <w:t>а</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3"/>
        </w:rPr>
        <w:t xml:space="preserve"> </w:t>
      </w:r>
      <w:r w:rsidRPr="00CB7DDC">
        <w:rPr>
          <w:rFonts w:ascii="Calibri" w:eastAsia="Calibri" w:hAnsi="Calibri" w:cs="Calibri"/>
          <w:spacing w:val="1"/>
        </w:rPr>
        <w:t>з</w:t>
      </w:r>
      <w:r w:rsidRPr="00CB7DDC">
        <w:rPr>
          <w:rFonts w:ascii="Calibri" w:eastAsia="Calibri" w:hAnsi="Calibri" w:cs="Calibri"/>
        </w:rPr>
        <w:t xml:space="preserve">а </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нц</w:t>
      </w:r>
      <w:r w:rsidRPr="00CB7DDC">
        <w:rPr>
          <w:rFonts w:ascii="Calibri" w:eastAsia="Calibri" w:hAnsi="Calibri" w:cs="Calibri"/>
          <w:spacing w:val="-1"/>
        </w:rPr>
        <w:t>еси</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w:t>
      </w:r>
      <w:r w:rsidRPr="00CB7DDC">
        <w:rPr>
          <w:rFonts w:ascii="Calibri" w:eastAsia="Calibri" w:hAnsi="Calibri" w:cs="Calibri"/>
          <w:spacing w:val="17"/>
        </w:rPr>
        <w:t xml:space="preserve"> </w:t>
      </w:r>
      <w:r w:rsidRPr="00CB7DDC">
        <w:rPr>
          <w:rFonts w:ascii="Calibri" w:eastAsia="Calibri" w:hAnsi="Calibri" w:cs="Calibri"/>
        </w:rPr>
        <w:t>Първ</w:t>
      </w:r>
      <w:r w:rsidRPr="00CB7DDC">
        <w:rPr>
          <w:rFonts w:ascii="Calibri" w:eastAsia="Calibri" w:hAnsi="Calibri" w:cs="Calibri"/>
          <w:spacing w:val="-1"/>
        </w:rPr>
        <w:t>а</w:t>
      </w:r>
      <w:r w:rsidRPr="00CB7DDC">
        <w:rPr>
          <w:rFonts w:ascii="Calibri" w:eastAsia="Calibri" w:hAnsi="Calibri" w:cs="Calibri"/>
        </w:rPr>
        <w:t>та</w:t>
      </w:r>
      <w:r w:rsidRPr="00CB7DDC">
        <w:rPr>
          <w:rFonts w:ascii="Calibri" w:eastAsia="Calibri" w:hAnsi="Calibri" w:cs="Calibri"/>
          <w:spacing w:val="16"/>
        </w:rPr>
        <w:t xml:space="preserve"> </w:t>
      </w:r>
      <w:r w:rsidRPr="00CB7DDC">
        <w:rPr>
          <w:rFonts w:ascii="Calibri" w:eastAsia="Calibri" w:hAnsi="Calibri" w:cs="Calibri"/>
          <w:spacing w:val="-1"/>
        </w:rPr>
        <w:t>с</w:t>
      </w:r>
      <w:r w:rsidRPr="00CB7DDC">
        <w:rPr>
          <w:rFonts w:ascii="Calibri" w:eastAsia="Calibri" w:hAnsi="Calibri" w:cs="Calibri"/>
        </w:rPr>
        <w:t>тъ</w:t>
      </w:r>
      <w:r w:rsidRPr="00CB7DDC">
        <w:rPr>
          <w:rFonts w:ascii="Calibri" w:eastAsia="Calibri" w:hAnsi="Calibri" w:cs="Calibri"/>
          <w:spacing w:val="2"/>
        </w:rPr>
        <w:t>п</w:t>
      </w:r>
      <w:r w:rsidRPr="00CB7DDC">
        <w:rPr>
          <w:rFonts w:ascii="Calibri" w:eastAsia="Calibri" w:hAnsi="Calibri" w:cs="Calibri"/>
          <w:spacing w:val="1"/>
        </w:rPr>
        <w:t>к</w:t>
      </w:r>
      <w:r w:rsidRPr="00CB7DDC">
        <w:rPr>
          <w:rFonts w:ascii="Calibri" w:eastAsia="Calibri" w:hAnsi="Calibri" w:cs="Calibri"/>
        </w:rPr>
        <w:t>а</w:t>
      </w:r>
      <w:r w:rsidRPr="00CB7DDC">
        <w:rPr>
          <w:rFonts w:ascii="Calibri" w:eastAsia="Calibri" w:hAnsi="Calibri" w:cs="Calibri"/>
          <w:spacing w:val="13"/>
        </w:rPr>
        <w:t xml:space="preserve"> </w:t>
      </w:r>
      <w:r w:rsidRPr="00CB7DDC">
        <w:rPr>
          <w:rFonts w:ascii="Calibri" w:eastAsia="Calibri" w:hAnsi="Calibri" w:cs="Calibri"/>
          <w:spacing w:val="1"/>
        </w:rPr>
        <w:t>к</w:t>
      </w:r>
      <w:r w:rsidRPr="00CB7DDC">
        <w:rPr>
          <w:rFonts w:ascii="Calibri" w:eastAsia="Calibri" w:hAnsi="Calibri" w:cs="Calibri"/>
        </w:rPr>
        <w:t>ъм</w:t>
      </w:r>
      <w:r w:rsidRPr="00CB7DDC">
        <w:rPr>
          <w:rFonts w:ascii="Calibri" w:eastAsia="Calibri" w:hAnsi="Calibri" w:cs="Calibri"/>
          <w:spacing w:val="17"/>
        </w:rPr>
        <w:t xml:space="preserve"> </w:t>
      </w:r>
      <w:r w:rsidRPr="00CB7DDC">
        <w:rPr>
          <w:rFonts w:ascii="Calibri" w:eastAsia="Calibri" w:hAnsi="Calibri" w:cs="Calibri"/>
          <w:spacing w:val="-1"/>
        </w:rPr>
        <w:t>и</w:t>
      </w:r>
      <w:r w:rsidRPr="00CB7DDC">
        <w:rPr>
          <w:rFonts w:ascii="Calibri" w:eastAsia="Calibri" w:hAnsi="Calibri" w:cs="Calibri"/>
          <w:spacing w:val="1"/>
        </w:rPr>
        <w:t>з</w:t>
      </w:r>
      <w:r w:rsidRPr="00CB7DDC">
        <w:rPr>
          <w:rFonts w:ascii="Calibri" w:eastAsia="Calibri" w:hAnsi="Calibri" w:cs="Calibri"/>
          <w:spacing w:val="-1"/>
        </w:rPr>
        <w:t>п</w:t>
      </w:r>
      <w:r w:rsidRPr="00CB7DDC">
        <w:rPr>
          <w:rFonts w:ascii="Calibri" w:eastAsia="Calibri" w:hAnsi="Calibri" w:cs="Calibri"/>
        </w:rPr>
        <w:t>ъ</w:t>
      </w:r>
      <w:r w:rsidRPr="00CB7DDC">
        <w:rPr>
          <w:rFonts w:ascii="Calibri" w:eastAsia="Calibri" w:hAnsi="Calibri" w:cs="Calibri"/>
          <w:spacing w:val="1"/>
        </w:rPr>
        <w:t>лн</w:t>
      </w:r>
      <w:r w:rsidRPr="00CB7DDC">
        <w:rPr>
          <w:rFonts w:ascii="Calibri" w:eastAsia="Calibri" w:hAnsi="Calibri" w:cs="Calibri"/>
          <w:spacing w:val="-1"/>
        </w:rPr>
        <w:t>ен</w:t>
      </w:r>
      <w:r w:rsidRPr="00CB7DDC">
        <w:rPr>
          <w:rFonts w:ascii="Calibri" w:eastAsia="Calibri" w:hAnsi="Calibri" w:cs="Calibri"/>
          <w:spacing w:val="1"/>
        </w:rPr>
        <w:t>и</w:t>
      </w:r>
      <w:r w:rsidRPr="00CB7DDC">
        <w:rPr>
          <w:rFonts w:ascii="Calibri" w:eastAsia="Calibri" w:hAnsi="Calibri" w:cs="Calibri"/>
        </w:rPr>
        <w:t>е</w:t>
      </w:r>
      <w:r w:rsidRPr="00CB7DDC">
        <w:rPr>
          <w:rFonts w:ascii="Calibri" w:eastAsia="Calibri" w:hAnsi="Calibri" w:cs="Calibri"/>
          <w:spacing w:val="16"/>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6"/>
        </w:rPr>
        <w:t xml:space="preserve"> </w:t>
      </w:r>
      <w:r w:rsidRPr="00CB7DDC">
        <w:rPr>
          <w:rFonts w:ascii="Calibri" w:eastAsia="Calibri" w:hAnsi="Calibri" w:cs="Calibri"/>
        </w:rPr>
        <w:t>то</w:t>
      </w:r>
      <w:r w:rsidRPr="00CB7DDC">
        <w:rPr>
          <w:rFonts w:ascii="Calibri" w:eastAsia="Calibri" w:hAnsi="Calibri" w:cs="Calibri"/>
          <w:spacing w:val="1"/>
        </w:rPr>
        <w:t>з</w:t>
      </w:r>
      <w:r w:rsidRPr="00CB7DDC">
        <w:rPr>
          <w:rFonts w:ascii="Calibri" w:eastAsia="Calibri" w:hAnsi="Calibri" w:cs="Calibri"/>
        </w:rPr>
        <w:t>и</w:t>
      </w:r>
      <w:r w:rsidRPr="00CB7DDC">
        <w:rPr>
          <w:rFonts w:ascii="Calibri" w:eastAsia="Calibri" w:hAnsi="Calibri" w:cs="Calibri"/>
          <w:spacing w:val="18"/>
        </w:rPr>
        <w:t xml:space="preserve"> </w:t>
      </w:r>
      <w:r w:rsidRPr="00CB7DDC">
        <w:rPr>
          <w:rFonts w:ascii="Calibri" w:eastAsia="Calibri" w:hAnsi="Calibri" w:cs="Calibri"/>
          <w:spacing w:val="-3"/>
        </w:rPr>
        <w:t>а</w:t>
      </w:r>
      <w:r w:rsidRPr="00CB7DDC">
        <w:rPr>
          <w:rFonts w:ascii="Calibri" w:eastAsia="Calibri" w:hAnsi="Calibri" w:cs="Calibri"/>
          <w:spacing w:val="1"/>
        </w:rPr>
        <w:t>н</w:t>
      </w:r>
      <w:r w:rsidRPr="00CB7DDC">
        <w:rPr>
          <w:rFonts w:ascii="Calibri" w:eastAsia="Calibri" w:hAnsi="Calibri" w:cs="Calibri"/>
        </w:rPr>
        <w:t>г</w:t>
      </w:r>
      <w:r w:rsidRPr="00CB7DDC">
        <w:rPr>
          <w:rFonts w:ascii="Calibri" w:eastAsia="Calibri" w:hAnsi="Calibri" w:cs="Calibri"/>
          <w:spacing w:val="-1"/>
        </w:rPr>
        <w:t>а</w:t>
      </w:r>
      <w:r w:rsidRPr="00CB7DDC">
        <w:rPr>
          <w:rFonts w:ascii="Calibri" w:eastAsia="Calibri" w:hAnsi="Calibri" w:cs="Calibri"/>
        </w:rPr>
        <w:t>ж</w:t>
      </w:r>
      <w:r w:rsidRPr="00CB7DDC">
        <w:rPr>
          <w:rFonts w:ascii="Calibri" w:eastAsia="Calibri" w:hAnsi="Calibri" w:cs="Calibri"/>
          <w:spacing w:val="1"/>
        </w:rPr>
        <w:t>и</w:t>
      </w:r>
      <w:r w:rsidRPr="00CB7DDC">
        <w:rPr>
          <w:rFonts w:ascii="Calibri" w:eastAsia="Calibri" w:hAnsi="Calibri" w:cs="Calibri"/>
          <w:spacing w:val="-1"/>
        </w:rPr>
        <w:t>ме</w:t>
      </w:r>
      <w:r w:rsidRPr="00CB7DDC">
        <w:rPr>
          <w:rFonts w:ascii="Calibri" w:eastAsia="Calibri" w:hAnsi="Calibri" w:cs="Calibri"/>
          <w:spacing w:val="1"/>
        </w:rPr>
        <w:t>н</w:t>
      </w:r>
      <w:r w:rsidRPr="00CB7DDC">
        <w:rPr>
          <w:rFonts w:ascii="Calibri" w:eastAsia="Calibri" w:hAnsi="Calibri" w:cs="Calibri"/>
        </w:rPr>
        <w:t>т</w:t>
      </w:r>
      <w:r w:rsidRPr="00CB7DDC">
        <w:rPr>
          <w:rFonts w:ascii="Calibri" w:eastAsia="Calibri" w:hAnsi="Calibri" w:cs="Calibri"/>
          <w:spacing w:val="17"/>
        </w:rPr>
        <w:t xml:space="preserve"> </w:t>
      </w:r>
      <w:r w:rsidRPr="00CB7DDC">
        <w:rPr>
          <w:rFonts w:ascii="Calibri" w:eastAsia="Calibri" w:hAnsi="Calibri" w:cs="Calibri"/>
        </w:rPr>
        <w:t>е</w:t>
      </w:r>
      <w:r w:rsidRPr="00CB7DDC">
        <w:rPr>
          <w:rFonts w:ascii="Calibri" w:eastAsia="Calibri" w:hAnsi="Calibri" w:cs="Calibri"/>
          <w:spacing w:val="16"/>
        </w:rPr>
        <w:t xml:space="preserve"> </w:t>
      </w:r>
      <w:r w:rsidRPr="00CB7DDC">
        <w:rPr>
          <w:rFonts w:ascii="Calibri" w:eastAsia="Calibri" w:hAnsi="Calibri" w:cs="Calibri"/>
          <w:spacing w:val="-1"/>
        </w:rPr>
        <w:t>ин</w:t>
      </w:r>
      <w:r w:rsidRPr="00CB7DDC">
        <w:rPr>
          <w:rFonts w:ascii="Calibri" w:eastAsia="Calibri" w:hAnsi="Calibri" w:cs="Calibri"/>
        </w:rPr>
        <w:t>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rPr>
        <w:t>р</w:t>
      </w:r>
      <w:r w:rsidRPr="00CB7DDC">
        <w:rPr>
          <w:rFonts w:ascii="Calibri" w:eastAsia="Calibri" w:hAnsi="Calibri" w:cs="Calibri"/>
          <w:spacing w:val="1"/>
        </w:rPr>
        <w:t>из</w:t>
      </w:r>
      <w:r w:rsidRPr="00CB7DDC">
        <w:rPr>
          <w:rFonts w:ascii="Calibri" w:eastAsia="Calibri" w:hAnsi="Calibri" w:cs="Calibri"/>
          <w:spacing w:val="-1"/>
        </w:rPr>
        <w:t>а</w:t>
      </w:r>
      <w:r w:rsidRPr="00CB7DDC">
        <w:rPr>
          <w:rFonts w:ascii="Calibri" w:eastAsia="Calibri" w:hAnsi="Calibri" w:cs="Calibri"/>
          <w:spacing w:val="1"/>
        </w:rPr>
        <w:t>ци</w:t>
      </w:r>
      <w:r w:rsidRPr="00CB7DDC">
        <w:rPr>
          <w:rFonts w:ascii="Calibri" w:eastAsia="Calibri" w:hAnsi="Calibri" w:cs="Calibri"/>
          <w:spacing w:val="-2"/>
        </w:rPr>
        <w:t>я</w:t>
      </w:r>
      <w:r w:rsidRPr="00CB7DDC">
        <w:rPr>
          <w:rFonts w:ascii="Calibri" w:eastAsia="Calibri" w:hAnsi="Calibri" w:cs="Calibri"/>
        </w:rPr>
        <w:t>та</w:t>
      </w:r>
      <w:r w:rsidRPr="00CB7DDC">
        <w:rPr>
          <w:rFonts w:ascii="Calibri" w:eastAsia="Calibri" w:hAnsi="Calibri" w:cs="Calibri"/>
          <w:spacing w:val="16"/>
        </w:rPr>
        <w:t xml:space="preserve"> </w:t>
      </w:r>
      <w:r w:rsidRPr="00CB7DDC">
        <w:rPr>
          <w:rFonts w:ascii="Calibri" w:eastAsia="Calibri" w:hAnsi="Calibri" w:cs="Calibri"/>
          <w:spacing w:val="1"/>
        </w:rPr>
        <w:t>н</w:t>
      </w:r>
      <w:r w:rsidRPr="00CB7DDC">
        <w:rPr>
          <w:rFonts w:ascii="Calibri" w:eastAsia="Calibri" w:hAnsi="Calibri" w:cs="Calibri"/>
        </w:rPr>
        <w:t>а д</w:t>
      </w:r>
      <w:r w:rsidRPr="00CB7DDC">
        <w:rPr>
          <w:rFonts w:ascii="Calibri" w:eastAsia="Calibri" w:hAnsi="Calibri" w:cs="Calibri"/>
          <w:spacing w:val="1"/>
        </w:rPr>
        <w:t>ъ</w:t>
      </w:r>
      <w:r w:rsidRPr="00CB7DDC">
        <w:rPr>
          <w:rFonts w:ascii="Calibri" w:eastAsia="Calibri" w:hAnsi="Calibri" w:cs="Calibri"/>
        </w:rPr>
        <w:t>лгос</w:t>
      </w:r>
      <w:r w:rsidRPr="00CB7DDC">
        <w:rPr>
          <w:rFonts w:ascii="Calibri" w:eastAsia="Calibri" w:hAnsi="Calibri" w:cs="Calibri"/>
          <w:spacing w:val="-1"/>
        </w:rPr>
        <w:t>р</w:t>
      </w:r>
      <w:r w:rsidRPr="00CB7DDC">
        <w:rPr>
          <w:rFonts w:ascii="Calibri" w:eastAsia="Calibri" w:hAnsi="Calibri" w:cs="Calibri"/>
        </w:rPr>
        <w:t>о</w:t>
      </w:r>
      <w:r w:rsidRPr="00CB7DDC">
        <w:rPr>
          <w:rFonts w:ascii="Calibri" w:eastAsia="Calibri" w:hAnsi="Calibri" w:cs="Calibri"/>
          <w:spacing w:val="-1"/>
        </w:rPr>
        <w:t>ч</w:t>
      </w:r>
      <w:r w:rsidRPr="00CB7DDC">
        <w:rPr>
          <w:rFonts w:ascii="Calibri" w:eastAsia="Calibri" w:hAnsi="Calibri" w:cs="Calibri"/>
          <w:spacing w:val="1"/>
        </w:rPr>
        <w:t>ни</w:t>
      </w:r>
      <w:r w:rsidRPr="00CB7DDC">
        <w:rPr>
          <w:rFonts w:ascii="Calibri" w:eastAsia="Calibri" w:hAnsi="Calibri" w:cs="Calibri"/>
        </w:rPr>
        <w:t>те</w:t>
      </w:r>
      <w:r w:rsidRPr="00CB7DDC">
        <w:rPr>
          <w:rFonts w:ascii="Calibri" w:eastAsia="Calibri" w:hAnsi="Calibri" w:cs="Calibri"/>
          <w:spacing w:val="2"/>
        </w:rPr>
        <w:t xml:space="preserve"> </w:t>
      </w:r>
      <w:r w:rsidRPr="00CB7DDC">
        <w:rPr>
          <w:rFonts w:ascii="Calibri" w:eastAsia="Calibri" w:hAnsi="Calibri" w:cs="Calibri"/>
          <w:spacing w:val="-1"/>
        </w:rPr>
        <w:t>а</w:t>
      </w:r>
      <w:r w:rsidRPr="00CB7DDC">
        <w:rPr>
          <w:rFonts w:ascii="Calibri" w:eastAsia="Calibri" w:hAnsi="Calibri" w:cs="Calibri"/>
          <w:spacing w:val="1"/>
        </w:rPr>
        <w:t>к</w:t>
      </w:r>
      <w:r w:rsidRPr="00CB7DDC">
        <w:rPr>
          <w:rFonts w:ascii="Calibri" w:eastAsia="Calibri" w:hAnsi="Calibri" w:cs="Calibri"/>
          <w:spacing w:val="-2"/>
        </w:rPr>
        <w:t>т</w:t>
      </w:r>
      <w:r w:rsidRPr="00CB7DDC">
        <w:rPr>
          <w:rFonts w:ascii="Calibri" w:eastAsia="Calibri" w:hAnsi="Calibri" w:cs="Calibri"/>
          <w:spacing w:val="1"/>
        </w:rPr>
        <w:t>и</w:t>
      </w:r>
      <w:r w:rsidRPr="00CB7DDC">
        <w:rPr>
          <w:rFonts w:ascii="Calibri" w:eastAsia="Calibri" w:hAnsi="Calibri" w:cs="Calibri"/>
        </w:rPr>
        <w:t xml:space="preserve">ви, </w:t>
      </w:r>
      <w:r w:rsidRPr="00CB7DDC">
        <w:rPr>
          <w:rFonts w:ascii="Calibri" w:eastAsia="Calibri" w:hAnsi="Calibri" w:cs="Calibri"/>
          <w:spacing w:val="-1"/>
        </w:rPr>
        <w:t>е</w:t>
      </w:r>
      <w:r w:rsidRPr="00CB7DDC">
        <w:rPr>
          <w:rFonts w:ascii="Calibri" w:eastAsia="Calibri" w:hAnsi="Calibri" w:cs="Calibri"/>
          <w:spacing w:val="1"/>
        </w:rPr>
        <w:t>к</w:t>
      </w:r>
      <w:r w:rsidRPr="00CB7DDC">
        <w:rPr>
          <w:rFonts w:ascii="Calibri" w:eastAsia="Calibri" w:hAnsi="Calibri" w:cs="Calibri"/>
          <w:spacing w:val="-1"/>
        </w:rPr>
        <w:t>с</w:t>
      </w:r>
      <w:r w:rsidRPr="00CB7DDC">
        <w:rPr>
          <w:rFonts w:ascii="Calibri" w:eastAsia="Calibri" w:hAnsi="Calibri" w:cs="Calibri"/>
          <w:spacing w:val="1"/>
        </w:rPr>
        <w:t>п</w:t>
      </w:r>
      <w:r w:rsidRPr="00CB7DDC">
        <w:rPr>
          <w:rFonts w:ascii="Calibri" w:eastAsia="Calibri" w:hAnsi="Calibri" w:cs="Calibri"/>
        </w:rPr>
        <w:t>ло</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и</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и</w:t>
      </w:r>
      <w:r w:rsidRPr="00CB7DDC">
        <w:rPr>
          <w:rFonts w:ascii="Calibri" w:eastAsia="Calibri" w:hAnsi="Calibri" w:cs="Calibri"/>
          <w:spacing w:val="1"/>
        </w:rPr>
        <w:t xml:space="preserve"> п</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spacing w:val="-1"/>
        </w:rPr>
        <w:t>ас</w:t>
      </w:r>
      <w:r w:rsidRPr="00CB7DDC">
        <w:rPr>
          <w:rFonts w:ascii="Calibri" w:eastAsia="Calibri" w:hAnsi="Calibri" w:cs="Calibri"/>
        </w:rPr>
        <w:t>т</w:t>
      </w:r>
      <w:r w:rsidRPr="00CB7DDC">
        <w:rPr>
          <w:rFonts w:ascii="Calibri" w:eastAsia="Calibri" w:hAnsi="Calibri" w:cs="Calibri"/>
          <w:spacing w:val="-2"/>
        </w:rPr>
        <w:t>о</w:t>
      </w:r>
      <w:r w:rsidRPr="00CB7DDC">
        <w:rPr>
          <w:rFonts w:ascii="Calibri" w:eastAsia="Calibri" w:hAnsi="Calibri" w:cs="Calibri"/>
        </w:rPr>
        <w:t>ящ</w:t>
      </w:r>
      <w:r w:rsidRPr="00CB7DDC">
        <w:rPr>
          <w:rFonts w:ascii="Calibri" w:eastAsia="Calibri" w:hAnsi="Calibri" w:cs="Calibri"/>
          <w:spacing w:val="-1"/>
        </w:rPr>
        <w:t>е</w:t>
      </w:r>
      <w:r w:rsidRPr="00CB7DDC">
        <w:rPr>
          <w:rFonts w:ascii="Calibri" w:eastAsia="Calibri" w:hAnsi="Calibri" w:cs="Calibri"/>
        </w:rPr>
        <w:t>м</w:t>
      </w:r>
      <w:r w:rsidRPr="00CB7DDC">
        <w:rPr>
          <w:rFonts w:ascii="Calibri" w:eastAsia="Calibri" w:hAnsi="Calibri" w:cs="Calibri"/>
          <w:spacing w:val="2"/>
        </w:rPr>
        <w:t xml:space="preserve"> </w:t>
      </w:r>
      <w:r w:rsidRPr="00CB7DDC">
        <w:rPr>
          <w:rFonts w:ascii="Calibri" w:eastAsia="Calibri" w:hAnsi="Calibri" w:cs="Calibri"/>
        </w:rPr>
        <w:t>от</w:t>
      </w:r>
      <w:r w:rsidRPr="00CB7DDC">
        <w:rPr>
          <w:rFonts w:ascii="Calibri" w:eastAsia="Calibri" w:hAnsi="Calibri" w:cs="Calibri"/>
          <w:spacing w:val="3"/>
        </w:rPr>
        <w:t xml:space="preserve"> </w:t>
      </w:r>
      <w:r w:rsidRPr="00CB7DDC">
        <w:rPr>
          <w:rFonts w:ascii="Calibri" w:eastAsia="Calibri" w:hAnsi="Calibri" w:cs="Calibri"/>
          <w:spacing w:val="-1"/>
        </w:rPr>
        <w:t>с</w:t>
      </w:r>
      <w:r w:rsidRPr="00CB7DDC">
        <w:rPr>
          <w:rFonts w:ascii="Calibri" w:eastAsia="Calibri" w:hAnsi="Calibri" w:cs="Calibri"/>
        </w:rPr>
        <w:t>ъщ</w:t>
      </w:r>
      <w:r w:rsidRPr="00CB7DDC">
        <w:rPr>
          <w:rFonts w:ascii="Calibri" w:eastAsia="Calibri" w:hAnsi="Calibri" w:cs="Calibri"/>
          <w:spacing w:val="-1"/>
        </w:rPr>
        <w:t>ес</w:t>
      </w:r>
      <w:r w:rsidRPr="00CB7DDC">
        <w:rPr>
          <w:rFonts w:ascii="Calibri" w:eastAsia="Calibri" w:hAnsi="Calibri" w:cs="Calibri"/>
        </w:rPr>
        <w:t>т</w:t>
      </w:r>
      <w:r w:rsidRPr="00CB7DDC">
        <w:rPr>
          <w:rFonts w:ascii="Calibri" w:eastAsia="Calibri" w:hAnsi="Calibri" w:cs="Calibri"/>
          <w:spacing w:val="4"/>
        </w:rPr>
        <w:t>в</w:t>
      </w:r>
      <w:r w:rsidRPr="00CB7DDC">
        <w:rPr>
          <w:rFonts w:ascii="Calibri" w:eastAsia="Calibri" w:hAnsi="Calibri" w:cs="Calibri"/>
          <w:spacing w:val="-5"/>
        </w:rPr>
        <w:t>у</w:t>
      </w:r>
      <w:r w:rsidRPr="00CB7DDC">
        <w:rPr>
          <w:rFonts w:ascii="Calibri" w:eastAsia="Calibri" w:hAnsi="Calibri" w:cs="Calibri"/>
          <w:spacing w:val="2"/>
        </w:rPr>
        <w:t>в</w:t>
      </w:r>
      <w:r w:rsidRPr="00CB7DDC">
        <w:rPr>
          <w:rFonts w:ascii="Calibri" w:eastAsia="Calibri" w:hAnsi="Calibri" w:cs="Calibri"/>
          <w:spacing w:val="-1"/>
        </w:rPr>
        <w:t>а</w:t>
      </w:r>
      <w:r w:rsidRPr="00CB7DDC">
        <w:rPr>
          <w:rFonts w:ascii="Calibri" w:eastAsia="Calibri" w:hAnsi="Calibri" w:cs="Calibri"/>
        </w:rPr>
        <w:t>щ</w:t>
      </w:r>
      <w:r w:rsidRPr="00CB7DDC">
        <w:rPr>
          <w:rFonts w:ascii="Calibri" w:eastAsia="Calibri" w:hAnsi="Calibri" w:cs="Calibri"/>
          <w:spacing w:val="1"/>
        </w:rPr>
        <w:t>и</w:t>
      </w:r>
      <w:r w:rsidRPr="00CB7DDC">
        <w:rPr>
          <w:rFonts w:ascii="Calibri" w:eastAsia="Calibri" w:hAnsi="Calibri" w:cs="Calibri"/>
        </w:rPr>
        <w:t>те</w:t>
      </w:r>
      <w:r w:rsidRPr="00CB7DDC">
        <w:rPr>
          <w:rFonts w:ascii="Calibri" w:eastAsia="Calibri" w:hAnsi="Calibri" w:cs="Calibri"/>
          <w:spacing w:val="2"/>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3"/>
        </w:rPr>
        <w:t xml:space="preserve"> </w:t>
      </w:r>
      <w:r w:rsidRPr="00CB7DDC">
        <w:rPr>
          <w:rFonts w:ascii="Calibri" w:eastAsia="Calibri" w:hAnsi="Calibri" w:cs="Calibri"/>
        </w:rPr>
        <w:t>д</w:t>
      </w:r>
      <w:r w:rsidRPr="00CB7DDC">
        <w:rPr>
          <w:rFonts w:ascii="Calibri" w:eastAsia="Calibri" w:hAnsi="Calibri" w:cs="Calibri"/>
          <w:spacing w:val="2"/>
        </w:rPr>
        <w:t>р</w:t>
      </w:r>
      <w:r w:rsidRPr="00CB7DDC">
        <w:rPr>
          <w:rFonts w:ascii="Calibri" w:eastAsia="Calibri" w:hAnsi="Calibri" w:cs="Calibri"/>
          <w:spacing w:val="-5"/>
        </w:rPr>
        <w:t>у</w:t>
      </w:r>
      <w:r w:rsidRPr="00CB7DDC">
        <w:rPr>
          <w:rFonts w:ascii="Calibri" w:eastAsia="Calibri" w:hAnsi="Calibri" w:cs="Calibri"/>
        </w:rPr>
        <w:t>ж</w:t>
      </w:r>
      <w:r w:rsidRPr="00CB7DDC">
        <w:rPr>
          <w:rFonts w:ascii="Calibri" w:eastAsia="Calibri" w:hAnsi="Calibri" w:cs="Calibri"/>
          <w:spacing w:val="-1"/>
        </w:rPr>
        <w:t>ес</w:t>
      </w:r>
      <w:r w:rsidRPr="00CB7DDC">
        <w:rPr>
          <w:rFonts w:ascii="Calibri" w:eastAsia="Calibri" w:hAnsi="Calibri" w:cs="Calibri"/>
        </w:rPr>
        <w:t>т</w:t>
      </w:r>
      <w:r w:rsidRPr="00CB7DDC">
        <w:rPr>
          <w:rFonts w:ascii="Calibri" w:eastAsia="Calibri" w:hAnsi="Calibri" w:cs="Calibri"/>
          <w:spacing w:val="2"/>
        </w:rPr>
        <w:t>в</w:t>
      </w:r>
      <w:r w:rsidRPr="00CB7DDC">
        <w:rPr>
          <w:rFonts w:ascii="Calibri" w:eastAsia="Calibri" w:hAnsi="Calibri" w:cs="Calibri"/>
          <w:spacing w:val="-1"/>
        </w:rPr>
        <w:t>а</w:t>
      </w:r>
      <w:r w:rsidRPr="00CB7DDC">
        <w:rPr>
          <w:rFonts w:ascii="Calibri" w:eastAsia="Calibri" w:hAnsi="Calibri" w:cs="Calibri"/>
        </w:rPr>
        <w:t>. Пробл</w:t>
      </w:r>
      <w:r w:rsidRPr="00CB7DDC">
        <w:rPr>
          <w:rFonts w:ascii="Calibri" w:eastAsia="Calibri" w:hAnsi="Calibri" w:cs="Calibri"/>
          <w:spacing w:val="-1"/>
        </w:rPr>
        <w:t>ем</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в</w:t>
      </w:r>
      <w:r w:rsidRPr="00CB7DDC">
        <w:rPr>
          <w:rFonts w:ascii="Calibri" w:eastAsia="Calibri" w:hAnsi="Calibri" w:cs="Calibri"/>
          <w:spacing w:val="1"/>
        </w:rPr>
        <w:t xml:space="preserve"> </w:t>
      </w:r>
      <w:r w:rsidRPr="00CB7DDC">
        <w:rPr>
          <w:rFonts w:ascii="Calibri" w:eastAsia="Calibri" w:hAnsi="Calibri" w:cs="Calibri"/>
        </w:rPr>
        <w:t>З</w:t>
      </w:r>
      <w:r w:rsidRPr="00CB7DDC">
        <w:rPr>
          <w:rFonts w:ascii="Calibri" w:eastAsia="Calibri" w:hAnsi="Calibri" w:cs="Calibri"/>
          <w:spacing w:val="-2"/>
        </w:rPr>
        <w:t>В</w:t>
      </w:r>
      <w:r w:rsidRPr="00CB7DDC">
        <w:rPr>
          <w:rFonts w:ascii="Calibri" w:eastAsia="Calibri" w:hAnsi="Calibri" w:cs="Calibri"/>
        </w:rPr>
        <w:t>,</w:t>
      </w:r>
      <w:r w:rsidRPr="00CB7DDC">
        <w:rPr>
          <w:rFonts w:ascii="Calibri" w:eastAsia="Calibri" w:hAnsi="Calibri" w:cs="Calibri"/>
          <w:spacing w:val="4"/>
        </w:rPr>
        <w:t xml:space="preserve"> </w:t>
      </w:r>
      <w:r w:rsidRPr="00CB7DDC">
        <w:rPr>
          <w:rFonts w:ascii="Calibri" w:eastAsia="Calibri" w:hAnsi="Calibri" w:cs="Calibri"/>
          <w:spacing w:val="-1"/>
        </w:rPr>
        <w:t>с</w:t>
      </w:r>
      <w:r w:rsidRPr="00CB7DDC">
        <w:rPr>
          <w:rFonts w:ascii="Calibri" w:eastAsia="Calibri" w:hAnsi="Calibri" w:cs="Calibri"/>
        </w:rPr>
        <w:t>вър</w:t>
      </w:r>
      <w:r w:rsidRPr="00CB7DDC">
        <w:rPr>
          <w:rFonts w:ascii="Calibri" w:eastAsia="Calibri" w:hAnsi="Calibri" w:cs="Calibri"/>
          <w:spacing w:val="1"/>
        </w:rPr>
        <w:t>зан</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spacing w:val="-1"/>
        </w:rPr>
        <w:t>с</w:t>
      </w:r>
      <w:r w:rsidRPr="00CB7DDC">
        <w:rPr>
          <w:rFonts w:ascii="Calibri" w:eastAsia="Calibri" w:hAnsi="Calibri" w:cs="Calibri"/>
        </w:rPr>
        <w:t>ъс</w:t>
      </w:r>
      <w:r w:rsidRPr="00CB7DDC">
        <w:rPr>
          <w:rFonts w:ascii="Calibri" w:eastAsia="Calibri" w:hAnsi="Calibri" w:cs="Calibri"/>
          <w:spacing w:val="2"/>
        </w:rPr>
        <w:t xml:space="preserve"> </w:t>
      </w:r>
      <w:r w:rsidRPr="00CB7DDC">
        <w:rPr>
          <w:rFonts w:ascii="Calibri" w:eastAsia="Calibri" w:hAnsi="Calibri" w:cs="Calibri"/>
          <w:spacing w:val="-1"/>
        </w:rPr>
        <w:t>сче</w:t>
      </w:r>
      <w:r w:rsidRPr="00CB7DDC">
        <w:rPr>
          <w:rFonts w:ascii="Calibri" w:eastAsia="Calibri" w:hAnsi="Calibri" w:cs="Calibri"/>
        </w:rPr>
        <w:t>товод</w:t>
      </w:r>
      <w:r w:rsidRPr="00CB7DDC">
        <w:rPr>
          <w:rFonts w:ascii="Calibri" w:eastAsia="Calibri" w:hAnsi="Calibri" w:cs="Calibri"/>
          <w:spacing w:val="1"/>
        </w:rPr>
        <w:t>ни</w:t>
      </w:r>
      <w:r w:rsidRPr="00CB7DDC">
        <w:rPr>
          <w:rFonts w:ascii="Calibri" w:eastAsia="Calibri" w:hAnsi="Calibri" w:cs="Calibri"/>
        </w:rPr>
        <w:t>те</w:t>
      </w:r>
      <w:r w:rsidRPr="00CB7DDC">
        <w:rPr>
          <w:rFonts w:ascii="Calibri" w:eastAsia="Calibri" w:hAnsi="Calibri" w:cs="Calibri"/>
          <w:spacing w:val="1"/>
        </w:rPr>
        <w:t xml:space="preserve"> </w:t>
      </w:r>
      <w:r w:rsidRPr="00CB7DDC">
        <w:rPr>
          <w:rFonts w:ascii="Calibri" w:eastAsia="Calibri" w:hAnsi="Calibri" w:cs="Calibri"/>
        </w:rPr>
        <w:t>о</w:t>
      </w:r>
      <w:r w:rsidRPr="00CB7DDC">
        <w:rPr>
          <w:rFonts w:ascii="Calibri" w:eastAsia="Calibri" w:hAnsi="Calibri" w:cs="Calibri"/>
          <w:spacing w:val="1"/>
        </w:rPr>
        <w:t>п</w:t>
      </w:r>
      <w:r w:rsidRPr="00CB7DDC">
        <w:rPr>
          <w:rFonts w:ascii="Calibri" w:eastAsia="Calibri" w:hAnsi="Calibri" w:cs="Calibri"/>
          <w:spacing w:val="-1"/>
        </w:rPr>
        <w:t>е</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spacing w:val="1"/>
        </w:rPr>
        <w:t>ци</w:t>
      </w:r>
      <w:r w:rsidRPr="00CB7DDC">
        <w:rPr>
          <w:rFonts w:ascii="Calibri" w:eastAsia="Calibri" w:hAnsi="Calibri" w:cs="Calibri"/>
        </w:rPr>
        <w:t xml:space="preserve">и </w:t>
      </w:r>
      <w:r w:rsidRPr="00CB7DDC">
        <w:rPr>
          <w:rFonts w:ascii="Calibri" w:eastAsia="Calibri" w:hAnsi="Calibri" w:cs="Calibri"/>
          <w:spacing w:val="1"/>
        </w:rPr>
        <w:t>п</w:t>
      </w:r>
      <w:r w:rsidRPr="00CB7DDC">
        <w:rPr>
          <w:rFonts w:ascii="Calibri" w:eastAsia="Calibri" w:hAnsi="Calibri" w:cs="Calibri"/>
        </w:rPr>
        <w:t>о</w:t>
      </w:r>
      <w:r w:rsidRPr="00CB7DDC">
        <w:rPr>
          <w:rFonts w:ascii="Calibri" w:eastAsia="Calibri" w:hAnsi="Calibri" w:cs="Calibri"/>
          <w:spacing w:val="2"/>
        </w:rPr>
        <w:t xml:space="preserve"> </w:t>
      </w:r>
      <w:r w:rsidRPr="00CB7DDC">
        <w:rPr>
          <w:rFonts w:ascii="Calibri" w:eastAsia="Calibri" w:hAnsi="Calibri" w:cs="Calibri"/>
        </w:rPr>
        <w:t>отпис</w:t>
      </w:r>
      <w:r w:rsidRPr="00CB7DDC">
        <w:rPr>
          <w:rFonts w:ascii="Calibri" w:eastAsia="Calibri" w:hAnsi="Calibri" w:cs="Calibri"/>
          <w:spacing w:val="-1"/>
        </w:rPr>
        <w:t>ва</w:t>
      </w:r>
      <w:r w:rsidRPr="00CB7DDC">
        <w:rPr>
          <w:rFonts w:ascii="Calibri" w:eastAsia="Calibri" w:hAnsi="Calibri" w:cs="Calibri"/>
          <w:spacing w:val="1"/>
        </w:rPr>
        <w:t>н</w:t>
      </w:r>
      <w:r w:rsidRPr="00CB7DDC">
        <w:rPr>
          <w:rFonts w:ascii="Calibri" w:eastAsia="Calibri" w:hAnsi="Calibri" w:cs="Calibri"/>
        </w:rPr>
        <w:t>е</w:t>
      </w:r>
      <w:r w:rsidRPr="00CB7DDC">
        <w:rPr>
          <w:rFonts w:ascii="Calibri" w:eastAsia="Calibri" w:hAnsi="Calibri" w:cs="Calibri"/>
          <w:spacing w:val="1"/>
        </w:rPr>
        <w:t xml:space="preserve"> 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spacing w:val="3"/>
        </w:rPr>
        <w:t>п</w:t>
      </w:r>
      <w:r w:rsidRPr="00CB7DDC">
        <w:rPr>
          <w:rFonts w:ascii="Calibri" w:eastAsia="Calibri" w:hAnsi="Calibri" w:cs="Calibri"/>
          <w:spacing w:val="-7"/>
        </w:rPr>
        <w:t>у</w:t>
      </w:r>
      <w:r w:rsidRPr="00CB7DDC">
        <w:rPr>
          <w:rFonts w:ascii="Calibri" w:eastAsia="Calibri" w:hAnsi="Calibri" w:cs="Calibri"/>
        </w:rPr>
        <w:t>бл</w:t>
      </w:r>
      <w:r w:rsidRPr="00CB7DDC">
        <w:rPr>
          <w:rFonts w:ascii="Calibri" w:eastAsia="Calibri" w:hAnsi="Calibri" w:cs="Calibri"/>
          <w:spacing w:val="1"/>
        </w:rPr>
        <w:t>и</w:t>
      </w:r>
      <w:r w:rsidRPr="00CB7DDC">
        <w:rPr>
          <w:rFonts w:ascii="Calibri" w:eastAsia="Calibri" w:hAnsi="Calibri" w:cs="Calibri"/>
          <w:spacing w:val="-1"/>
        </w:rPr>
        <w:t>ч</w:t>
      </w:r>
      <w:r w:rsidRPr="00CB7DDC">
        <w:rPr>
          <w:rFonts w:ascii="Calibri" w:eastAsia="Calibri" w:hAnsi="Calibri" w:cs="Calibri"/>
          <w:spacing w:val="1"/>
        </w:rPr>
        <w:t>ни</w:t>
      </w:r>
      <w:r w:rsidRPr="00CB7DDC">
        <w:rPr>
          <w:rFonts w:ascii="Calibri" w:eastAsia="Calibri" w:hAnsi="Calibri" w:cs="Calibri"/>
        </w:rPr>
        <w:t>те</w:t>
      </w:r>
      <w:r w:rsidRPr="00CB7DDC">
        <w:rPr>
          <w:rFonts w:ascii="Calibri" w:eastAsia="Calibri" w:hAnsi="Calibri" w:cs="Calibri"/>
          <w:spacing w:val="1"/>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 xml:space="preserve">К </w:t>
      </w:r>
      <w:r w:rsidRPr="00CB7DDC">
        <w:rPr>
          <w:rFonts w:ascii="Calibri" w:eastAsia="Calibri" w:hAnsi="Calibri" w:cs="Calibri"/>
          <w:spacing w:val="-1"/>
        </w:rPr>
        <w:t>а</w:t>
      </w:r>
      <w:r w:rsidRPr="00CB7DDC">
        <w:rPr>
          <w:rFonts w:ascii="Calibri" w:eastAsia="Calibri" w:hAnsi="Calibri" w:cs="Calibri"/>
          <w:spacing w:val="1"/>
        </w:rPr>
        <w:t>кти</w:t>
      </w:r>
      <w:r w:rsidRPr="00CB7DDC">
        <w:rPr>
          <w:rFonts w:ascii="Calibri" w:eastAsia="Calibri" w:hAnsi="Calibri" w:cs="Calibri"/>
        </w:rPr>
        <w:t>ви</w:t>
      </w:r>
      <w:r w:rsidRPr="00CB7DDC">
        <w:rPr>
          <w:rFonts w:ascii="Calibri" w:eastAsia="Calibri" w:hAnsi="Calibri" w:cs="Calibri"/>
          <w:spacing w:val="3"/>
        </w:rPr>
        <w:t xml:space="preserve"> </w:t>
      </w:r>
      <w:r w:rsidRPr="00CB7DDC">
        <w:rPr>
          <w:rFonts w:ascii="Calibri" w:eastAsia="Calibri" w:hAnsi="Calibri" w:cs="Calibri"/>
        </w:rPr>
        <w:t>от</w:t>
      </w:r>
      <w:r w:rsidRPr="00CB7DDC">
        <w:rPr>
          <w:rFonts w:ascii="Calibri" w:eastAsia="Calibri" w:hAnsi="Calibri" w:cs="Calibri"/>
          <w:spacing w:val="3"/>
        </w:rPr>
        <w:t xml:space="preserve"> </w:t>
      </w:r>
      <w:r w:rsidRPr="00CB7DDC">
        <w:rPr>
          <w:rFonts w:ascii="Calibri" w:eastAsia="Calibri" w:hAnsi="Calibri" w:cs="Calibri"/>
          <w:spacing w:val="-1"/>
        </w:rPr>
        <w:t>сче</w:t>
      </w:r>
      <w:r w:rsidRPr="00CB7DDC">
        <w:rPr>
          <w:rFonts w:ascii="Calibri" w:eastAsia="Calibri" w:hAnsi="Calibri" w:cs="Calibri"/>
        </w:rPr>
        <w:t>товод</w:t>
      </w:r>
      <w:r w:rsidRPr="00CB7DDC">
        <w:rPr>
          <w:rFonts w:ascii="Calibri" w:eastAsia="Calibri" w:hAnsi="Calibri" w:cs="Calibri"/>
          <w:spacing w:val="1"/>
        </w:rPr>
        <w:t>ни</w:t>
      </w:r>
      <w:r w:rsidRPr="00CB7DDC">
        <w:rPr>
          <w:rFonts w:ascii="Calibri" w:eastAsia="Calibri" w:hAnsi="Calibri" w:cs="Calibri"/>
        </w:rPr>
        <w:t>я б</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с</w:t>
      </w:r>
      <w:r w:rsidRPr="00CB7DDC">
        <w:rPr>
          <w:rFonts w:ascii="Calibri" w:eastAsia="Calibri" w:hAnsi="Calibri" w:cs="Calibri"/>
          <w:spacing w:val="1"/>
        </w:rPr>
        <w:t xml:space="preserve"> н</w:t>
      </w:r>
      <w:r w:rsidRPr="00CB7DDC">
        <w:rPr>
          <w:rFonts w:ascii="Calibri" w:eastAsia="Calibri" w:hAnsi="Calibri" w:cs="Calibri"/>
        </w:rPr>
        <w:t>а</w:t>
      </w:r>
      <w:r w:rsidRPr="00CB7DDC">
        <w:rPr>
          <w:rFonts w:ascii="Calibri" w:eastAsia="Calibri" w:hAnsi="Calibri" w:cs="Calibri"/>
          <w:spacing w:val="4"/>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3"/>
        </w:rPr>
        <w:t xml:space="preserve"> </w:t>
      </w:r>
      <w:r w:rsidRPr="00CB7DDC">
        <w:rPr>
          <w:rFonts w:ascii="Calibri" w:eastAsia="Calibri" w:hAnsi="Calibri" w:cs="Calibri"/>
        </w:rPr>
        <w:t>д</w:t>
      </w:r>
      <w:r w:rsidRPr="00CB7DDC">
        <w:rPr>
          <w:rFonts w:ascii="Calibri" w:eastAsia="Calibri" w:hAnsi="Calibri" w:cs="Calibri"/>
          <w:spacing w:val="2"/>
        </w:rPr>
        <w:t>р</w:t>
      </w:r>
      <w:r w:rsidRPr="00CB7DDC">
        <w:rPr>
          <w:rFonts w:ascii="Calibri" w:eastAsia="Calibri" w:hAnsi="Calibri" w:cs="Calibri"/>
          <w:spacing w:val="-5"/>
        </w:rPr>
        <w:t>у</w:t>
      </w:r>
      <w:r w:rsidRPr="00CB7DDC">
        <w:rPr>
          <w:rFonts w:ascii="Calibri" w:eastAsia="Calibri" w:hAnsi="Calibri" w:cs="Calibri"/>
          <w:spacing w:val="2"/>
        </w:rPr>
        <w:t>ж</w:t>
      </w:r>
      <w:r w:rsidRPr="00CB7DDC">
        <w:rPr>
          <w:rFonts w:ascii="Calibri" w:eastAsia="Calibri" w:hAnsi="Calibri" w:cs="Calibri"/>
          <w:spacing w:val="1"/>
        </w:rPr>
        <w:t>е</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а</w:t>
      </w:r>
      <w:r w:rsidRPr="00CB7DDC">
        <w:rPr>
          <w:rFonts w:ascii="Calibri" w:eastAsia="Calibri" w:hAnsi="Calibri" w:cs="Calibri"/>
        </w:rPr>
        <w:t>,</w:t>
      </w:r>
      <w:r w:rsidRPr="00CB7DDC">
        <w:rPr>
          <w:rFonts w:ascii="Calibri" w:eastAsia="Calibri" w:hAnsi="Calibri" w:cs="Calibri"/>
          <w:spacing w:val="2"/>
        </w:rPr>
        <w:t xml:space="preserve"> </w:t>
      </w:r>
      <w:r w:rsidRPr="00CB7DDC">
        <w:rPr>
          <w:rFonts w:ascii="Calibri" w:eastAsia="Calibri" w:hAnsi="Calibri" w:cs="Calibri"/>
        </w:rPr>
        <w:t>въ</w:t>
      </w:r>
      <w:r w:rsidRPr="00CB7DDC">
        <w:rPr>
          <w:rFonts w:ascii="Calibri" w:eastAsia="Calibri" w:hAnsi="Calibri" w:cs="Calibri"/>
          <w:spacing w:val="1"/>
        </w:rPr>
        <w:t>зп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1"/>
        </w:rPr>
        <w:t>п</w:t>
      </w:r>
      <w:r w:rsidRPr="00CB7DDC">
        <w:rPr>
          <w:rFonts w:ascii="Calibri" w:eastAsia="Calibri" w:hAnsi="Calibri" w:cs="Calibri"/>
        </w:rPr>
        <w:t>ят</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3"/>
        </w:rPr>
        <w:t xml:space="preserve"> </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spacing w:val="1"/>
        </w:rPr>
        <w:t>к</w:t>
      </w:r>
      <w:r w:rsidRPr="00CB7DDC">
        <w:rPr>
          <w:rFonts w:ascii="Calibri" w:eastAsia="Calibri" w:hAnsi="Calibri" w:cs="Calibri"/>
        </w:rPr>
        <w:t>ъм</w:t>
      </w:r>
      <w:r w:rsidRPr="00CB7DDC">
        <w:rPr>
          <w:rFonts w:ascii="Calibri" w:eastAsia="Calibri" w:hAnsi="Calibri" w:cs="Calibri"/>
          <w:spacing w:val="2"/>
        </w:rPr>
        <w:t xml:space="preserve"> </w:t>
      </w:r>
      <w:r w:rsidRPr="00CB7DDC">
        <w:rPr>
          <w:rFonts w:ascii="Calibri" w:eastAsia="Calibri" w:hAnsi="Calibri" w:cs="Calibri"/>
          <w:spacing w:val="1"/>
        </w:rPr>
        <w:t>н</w:t>
      </w:r>
      <w:r w:rsidRPr="00CB7DDC">
        <w:rPr>
          <w:rFonts w:ascii="Calibri" w:eastAsia="Calibri" w:hAnsi="Calibri" w:cs="Calibri"/>
          <w:spacing w:val="-1"/>
        </w:rPr>
        <w:t>ас</w:t>
      </w:r>
      <w:r w:rsidRPr="00CB7DDC">
        <w:rPr>
          <w:rFonts w:ascii="Calibri" w:eastAsia="Calibri" w:hAnsi="Calibri" w:cs="Calibri"/>
        </w:rPr>
        <w:t>тоящ</w:t>
      </w:r>
      <w:r w:rsidRPr="00CB7DDC">
        <w:rPr>
          <w:rFonts w:ascii="Calibri" w:eastAsia="Calibri" w:hAnsi="Calibri" w:cs="Calibri"/>
          <w:spacing w:val="1"/>
        </w:rPr>
        <w:t>и</w:t>
      </w:r>
      <w:r w:rsidRPr="00CB7DDC">
        <w:rPr>
          <w:rFonts w:ascii="Calibri" w:eastAsia="Calibri" w:hAnsi="Calibri" w:cs="Calibri"/>
        </w:rPr>
        <w:t xml:space="preserve">я </w:t>
      </w:r>
      <w:r w:rsidRPr="00CB7DDC">
        <w:rPr>
          <w:rFonts w:ascii="Calibri" w:eastAsia="Calibri" w:hAnsi="Calibri" w:cs="Calibri"/>
          <w:spacing w:val="-1"/>
        </w:rPr>
        <w:t>м</w:t>
      </w:r>
      <w:r w:rsidRPr="00CB7DDC">
        <w:rPr>
          <w:rFonts w:ascii="Calibri" w:eastAsia="Calibri" w:hAnsi="Calibri" w:cs="Calibri"/>
        </w:rPr>
        <w:t>о</w:t>
      </w:r>
      <w:r w:rsidRPr="00CB7DDC">
        <w:rPr>
          <w:rFonts w:ascii="Calibri" w:eastAsia="Calibri" w:hAnsi="Calibri" w:cs="Calibri"/>
          <w:spacing w:val="-1"/>
        </w:rPr>
        <w:t>ме</w:t>
      </w:r>
      <w:r w:rsidRPr="00CB7DDC">
        <w:rPr>
          <w:rFonts w:ascii="Calibri" w:eastAsia="Calibri" w:hAnsi="Calibri" w:cs="Calibri"/>
          <w:spacing w:val="1"/>
        </w:rPr>
        <w:t>н</w:t>
      </w:r>
      <w:r w:rsidRPr="00CB7DDC">
        <w:rPr>
          <w:rFonts w:ascii="Calibri" w:eastAsia="Calibri" w:hAnsi="Calibri" w:cs="Calibri"/>
        </w:rPr>
        <w:t>т</w:t>
      </w:r>
      <w:r w:rsidRPr="00CB7DDC">
        <w:rPr>
          <w:rFonts w:ascii="Calibri" w:eastAsia="Calibri" w:hAnsi="Calibri" w:cs="Calibri"/>
          <w:spacing w:val="51"/>
        </w:rPr>
        <w:t xml:space="preserve">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2"/>
        </w:rPr>
        <w:t>х</w:t>
      </w:r>
      <w:r w:rsidRPr="00CB7DDC">
        <w:rPr>
          <w:rFonts w:ascii="Calibri" w:eastAsia="Calibri" w:hAnsi="Calibri" w:cs="Calibri"/>
        </w:rPr>
        <w:t>върля</w:t>
      </w:r>
      <w:r w:rsidRPr="00CB7DDC">
        <w:rPr>
          <w:rFonts w:ascii="Calibri" w:eastAsia="Calibri" w:hAnsi="Calibri" w:cs="Calibri"/>
          <w:spacing w:val="1"/>
        </w:rPr>
        <w:t>н</w:t>
      </w:r>
      <w:r w:rsidRPr="00CB7DDC">
        <w:rPr>
          <w:rFonts w:ascii="Calibri" w:eastAsia="Calibri" w:hAnsi="Calibri" w:cs="Calibri"/>
          <w:spacing w:val="-1"/>
        </w:rPr>
        <w:t>е</w:t>
      </w:r>
      <w:r w:rsidRPr="00CB7DDC">
        <w:rPr>
          <w:rFonts w:ascii="Calibri" w:eastAsia="Calibri" w:hAnsi="Calibri" w:cs="Calibri"/>
        </w:rPr>
        <w:t>то</w:t>
      </w:r>
      <w:r w:rsidRPr="00CB7DDC">
        <w:rPr>
          <w:rFonts w:ascii="Calibri" w:eastAsia="Calibri" w:hAnsi="Calibri" w:cs="Calibri"/>
          <w:spacing w:val="48"/>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50"/>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51"/>
        </w:rPr>
        <w:t xml:space="preserve"> </w:t>
      </w:r>
      <w:r w:rsidRPr="00CB7DDC">
        <w:rPr>
          <w:rFonts w:ascii="Calibri" w:eastAsia="Calibri" w:hAnsi="Calibri" w:cs="Calibri"/>
          <w:spacing w:val="-1"/>
        </w:rPr>
        <w:t>с</w:t>
      </w:r>
      <w:r w:rsidRPr="00CB7DDC">
        <w:rPr>
          <w:rFonts w:ascii="Calibri" w:eastAsia="Calibri" w:hAnsi="Calibri" w:cs="Calibri"/>
          <w:spacing w:val="1"/>
        </w:rPr>
        <w:t>и</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spacing w:val="-1"/>
        </w:rPr>
        <w:t>м</w:t>
      </w:r>
      <w:r w:rsidRPr="00CB7DDC">
        <w:rPr>
          <w:rFonts w:ascii="Calibri" w:eastAsia="Calibri" w:hAnsi="Calibri" w:cs="Calibri"/>
          <w:spacing w:val="1"/>
        </w:rPr>
        <w:t>и</w:t>
      </w:r>
      <w:r w:rsidRPr="00CB7DDC">
        <w:rPr>
          <w:rFonts w:ascii="Calibri" w:eastAsia="Calibri" w:hAnsi="Calibri" w:cs="Calibri"/>
        </w:rPr>
        <w:t>те</w:t>
      </w:r>
      <w:r w:rsidRPr="00CB7DDC">
        <w:rPr>
          <w:rFonts w:ascii="Calibri" w:eastAsia="Calibri" w:hAnsi="Calibri" w:cs="Calibri"/>
          <w:spacing w:val="50"/>
        </w:rPr>
        <w:t xml:space="preserve"> </w:t>
      </w:r>
      <w:r w:rsidRPr="00CB7DDC">
        <w:rPr>
          <w:rFonts w:ascii="Calibri" w:eastAsia="Calibri" w:hAnsi="Calibri" w:cs="Calibri"/>
        </w:rPr>
        <w:t>и</w:t>
      </w:r>
      <w:r w:rsidRPr="00CB7DDC">
        <w:rPr>
          <w:rFonts w:ascii="Calibri" w:eastAsia="Calibri" w:hAnsi="Calibri" w:cs="Calibri"/>
          <w:spacing w:val="54"/>
        </w:rPr>
        <w:t xml:space="preserve"> </w:t>
      </w:r>
      <w:r w:rsidRPr="00CB7DDC">
        <w:rPr>
          <w:rFonts w:ascii="Calibri" w:eastAsia="Calibri" w:hAnsi="Calibri" w:cs="Calibri"/>
          <w:spacing w:val="-1"/>
        </w:rPr>
        <w:t>с</w:t>
      </w:r>
      <w:r w:rsidRPr="00CB7DDC">
        <w:rPr>
          <w:rFonts w:ascii="Calibri" w:eastAsia="Calibri" w:hAnsi="Calibri" w:cs="Calibri"/>
        </w:rPr>
        <w:t>ъоръж</w:t>
      </w:r>
      <w:r w:rsidRPr="00CB7DDC">
        <w:rPr>
          <w:rFonts w:ascii="Calibri" w:eastAsia="Calibri" w:hAnsi="Calibri" w:cs="Calibri"/>
          <w:spacing w:val="-1"/>
        </w:rPr>
        <w:t>е</w:t>
      </w:r>
      <w:r w:rsidRPr="00CB7DDC">
        <w:rPr>
          <w:rFonts w:ascii="Calibri" w:eastAsia="Calibri" w:hAnsi="Calibri" w:cs="Calibri"/>
          <w:spacing w:val="1"/>
        </w:rPr>
        <w:t>ни</w:t>
      </w:r>
      <w:r w:rsidRPr="00CB7DDC">
        <w:rPr>
          <w:rFonts w:ascii="Calibri" w:eastAsia="Calibri" w:hAnsi="Calibri" w:cs="Calibri"/>
        </w:rPr>
        <w:t>ят</w:t>
      </w:r>
      <w:r w:rsidRPr="00CB7DDC">
        <w:rPr>
          <w:rFonts w:ascii="Calibri" w:eastAsia="Calibri" w:hAnsi="Calibri" w:cs="Calibri"/>
          <w:spacing w:val="-1"/>
        </w:rPr>
        <w:t>а</w:t>
      </w:r>
      <w:r w:rsidRPr="00CB7DDC">
        <w:rPr>
          <w:rFonts w:ascii="Calibri" w:eastAsia="Calibri" w:hAnsi="Calibri" w:cs="Calibri"/>
        </w:rPr>
        <w:t>.</w:t>
      </w:r>
      <w:r w:rsidRPr="00CB7DDC">
        <w:rPr>
          <w:rFonts w:ascii="Calibri" w:eastAsia="Calibri" w:hAnsi="Calibri" w:cs="Calibri"/>
          <w:spacing w:val="51"/>
        </w:rPr>
        <w:t xml:space="preserve"> </w:t>
      </w:r>
      <w:r w:rsidRPr="00CB7DDC">
        <w:rPr>
          <w:rFonts w:ascii="Calibri" w:eastAsia="Calibri" w:hAnsi="Calibri" w:cs="Calibri"/>
        </w:rPr>
        <w:t>Пр</w:t>
      </w:r>
      <w:r w:rsidRPr="00CB7DDC">
        <w:rPr>
          <w:rFonts w:ascii="Calibri" w:eastAsia="Calibri" w:hAnsi="Calibri" w:cs="Calibri"/>
          <w:spacing w:val="-1"/>
        </w:rPr>
        <w:t>е</w:t>
      </w:r>
      <w:r w:rsidRPr="00CB7DDC">
        <w:rPr>
          <w:rFonts w:ascii="Calibri" w:eastAsia="Calibri" w:hAnsi="Calibri" w:cs="Calibri"/>
        </w:rPr>
        <w:t xml:space="preserve">з  </w:t>
      </w:r>
      <w:r w:rsidRPr="00CB7DDC">
        <w:rPr>
          <w:rFonts w:ascii="Calibri" w:eastAsia="Calibri" w:hAnsi="Calibri" w:cs="Calibri"/>
          <w:spacing w:val="-1"/>
        </w:rPr>
        <w:t>с</w:t>
      </w:r>
      <w:r w:rsidRPr="00CB7DDC">
        <w:rPr>
          <w:rFonts w:ascii="Calibri" w:eastAsia="Calibri" w:hAnsi="Calibri" w:cs="Calibri"/>
          <w:spacing w:val="1"/>
        </w:rPr>
        <w:t>еп</w:t>
      </w:r>
      <w:r w:rsidRPr="00CB7DDC">
        <w:rPr>
          <w:rFonts w:ascii="Calibri" w:eastAsia="Calibri" w:hAnsi="Calibri" w:cs="Calibri"/>
        </w:rPr>
        <w:t>т</w:t>
      </w:r>
      <w:r w:rsidRPr="00CB7DDC">
        <w:rPr>
          <w:rFonts w:ascii="Calibri" w:eastAsia="Calibri" w:hAnsi="Calibri" w:cs="Calibri"/>
          <w:spacing w:val="-1"/>
        </w:rPr>
        <w:t>ем</w:t>
      </w:r>
      <w:r w:rsidRPr="00CB7DDC">
        <w:rPr>
          <w:rFonts w:ascii="Calibri" w:eastAsia="Calibri" w:hAnsi="Calibri" w:cs="Calibri"/>
        </w:rPr>
        <w:t>ври</w:t>
      </w:r>
      <w:r w:rsidRPr="00CB7DDC">
        <w:rPr>
          <w:rFonts w:ascii="Calibri" w:eastAsia="Calibri" w:hAnsi="Calibri" w:cs="Calibri"/>
          <w:spacing w:val="52"/>
        </w:rPr>
        <w:t xml:space="preserve"> </w:t>
      </w:r>
      <w:r w:rsidRPr="00CB7DDC">
        <w:rPr>
          <w:rFonts w:ascii="Calibri" w:eastAsia="Calibri" w:hAnsi="Calibri" w:cs="Calibri"/>
        </w:rPr>
        <w:t>2013</w:t>
      </w:r>
      <w:r w:rsidRPr="00CB7DDC">
        <w:rPr>
          <w:rFonts w:ascii="Calibri" w:eastAsia="Calibri" w:hAnsi="Calibri" w:cs="Calibri"/>
          <w:spacing w:val="51"/>
        </w:rPr>
        <w:t xml:space="preserve"> </w:t>
      </w:r>
      <w:r w:rsidRPr="00CB7DDC">
        <w:rPr>
          <w:rFonts w:ascii="Calibri" w:eastAsia="Calibri" w:hAnsi="Calibri" w:cs="Calibri"/>
        </w:rPr>
        <w:t>г.</w:t>
      </w:r>
      <w:r w:rsidRPr="00CB7DDC">
        <w:rPr>
          <w:rFonts w:ascii="Calibri" w:eastAsia="Calibri" w:hAnsi="Calibri" w:cs="Calibri"/>
          <w:spacing w:val="51"/>
        </w:rPr>
        <w:t xml:space="preserve"> </w:t>
      </w:r>
      <w:r w:rsidRPr="00CB7DDC">
        <w:rPr>
          <w:rFonts w:ascii="Calibri" w:eastAsia="Calibri" w:hAnsi="Calibri" w:cs="Calibri"/>
        </w:rPr>
        <w:t>в Н</w:t>
      </w:r>
      <w:r w:rsidRPr="00CB7DDC">
        <w:rPr>
          <w:rFonts w:ascii="Calibri" w:eastAsia="Calibri" w:hAnsi="Calibri" w:cs="Calibri"/>
          <w:spacing w:val="-1"/>
        </w:rPr>
        <w:t>а</w:t>
      </w:r>
      <w:r w:rsidRPr="00CB7DDC">
        <w:rPr>
          <w:rFonts w:ascii="Calibri" w:eastAsia="Calibri" w:hAnsi="Calibri" w:cs="Calibri"/>
        </w:rPr>
        <w:t>род</w:t>
      </w:r>
      <w:r w:rsidRPr="00CB7DDC">
        <w:rPr>
          <w:rFonts w:ascii="Calibri" w:eastAsia="Calibri" w:hAnsi="Calibri" w:cs="Calibri"/>
          <w:spacing w:val="1"/>
        </w:rPr>
        <w:t>н</w:t>
      </w:r>
      <w:r w:rsidRPr="00CB7DDC">
        <w:rPr>
          <w:rFonts w:ascii="Calibri" w:eastAsia="Calibri" w:hAnsi="Calibri" w:cs="Calibri"/>
        </w:rPr>
        <w:t>ото</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rPr>
        <w:t>ъ</w:t>
      </w:r>
      <w:r w:rsidRPr="00CB7DDC">
        <w:rPr>
          <w:rFonts w:ascii="Calibri" w:eastAsia="Calibri" w:hAnsi="Calibri" w:cs="Calibri"/>
          <w:spacing w:val="1"/>
        </w:rPr>
        <w:t>б</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spacing w:val="1"/>
        </w:rPr>
        <w:t>ни</w:t>
      </w:r>
      <w:r w:rsidRPr="00CB7DDC">
        <w:rPr>
          <w:rFonts w:ascii="Calibri" w:eastAsia="Calibri" w:hAnsi="Calibri" w:cs="Calibri"/>
        </w:rPr>
        <w:t>е</w:t>
      </w:r>
      <w:r w:rsidRPr="00CB7DDC">
        <w:rPr>
          <w:rFonts w:ascii="Calibri" w:eastAsia="Calibri" w:hAnsi="Calibri" w:cs="Calibri"/>
          <w:spacing w:val="1"/>
        </w:rPr>
        <w:t xml:space="preserve"> </w:t>
      </w:r>
      <w:r w:rsidRPr="00CB7DDC">
        <w:rPr>
          <w:rFonts w:ascii="Calibri" w:eastAsia="Calibri" w:hAnsi="Calibri" w:cs="Calibri"/>
        </w:rPr>
        <w:t>б</w:t>
      </w:r>
      <w:r w:rsidRPr="00CB7DDC">
        <w:rPr>
          <w:rFonts w:ascii="Calibri" w:eastAsia="Calibri" w:hAnsi="Calibri" w:cs="Calibri"/>
          <w:spacing w:val="-2"/>
        </w:rPr>
        <w:t>я</w:t>
      </w:r>
      <w:r w:rsidRPr="00CB7DDC">
        <w:rPr>
          <w:rFonts w:ascii="Calibri" w:eastAsia="Calibri" w:hAnsi="Calibri" w:cs="Calibri"/>
          <w:spacing w:val="2"/>
        </w:rPr>
        <w:t>х</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rPr>
        <w:t>вн</w:t>
      </w:r>
      <w:r w:rsidRPr="00CB7DDC">
        <w:rPr>
          <w:rFonts w:ascii="Calibri" w:eastAsia="Calibri" w:hAnsi="Calibri" w:cs="Calibri"/>
          <w:spacing w:val="-1"/>
        </w:rPr>
        <w:t>есе</w:t>
      </w:r>
      <w:r w:rsidRPr="00CB7DDC">
        <w:rPr>
          <w:rFonts w:ascii="Calibri" w:eastAsia="Calibri" w:hAnsi="Calibri" w:cs="Calibri"/>
          <w:spacing w:val="1"/>
        </w:rPr>
        <w:t>н</w:t>
      </w:r>
      <w:r w:rsidRPr="00CB7DDC">
        <w:rPr>
          <w:rFonts w:ascii="Calibri" w:eastAsia="Calibri" w:hAnsi="Calibri" w:cs="Calibri"/>
        </w:rPr>
        <w:t xml:space="preserve">и </w:t>
      </w:r>
      <w:r w:rsidRPr="00CB7DDC">
        <w:rPr>
          <w:rFonts w:ascii="Calibri" w:eastAsia="Calibri" w:hAnsi="Calibri" w:cs="Calibri"/>
          <w:spacing w:val="1"/>
        </w:rPr>
        <w:t>з</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rPr>
        <w:t>одобре</w:t>
      </w:r>
      <w:r w:rsidRPr="00CB7DDC">
        <w:rPr>
          <w:rFonts w:ascii="Calibri" w:eastAsia="Calibri" w:hAnsi="Calibri" w:cs="Calibri"/>
          <w:spacing w:val="-2"/>
        </w:rPr>
        <w:t>н</w:t>
      </w:r>
      <w:r w:rsidRPr="00CB7DDC">
        <w:rPr>
          <w:rFonts w:ascii="Calibri" w:eastAsia="Calibri" w:hAnsi="Calibri" w:cs="Calibri"/>
          <w:spacing w:val="-1"/>
        </w:rPr>
        <w:t>и</w:t>
      </w:r>
      <w:r w:rsidRPr="00CB7DDC">
        <w:rPr>
          <w:rFonts w:ascii="Calibri" w:eastAsia="Calibri" w:hAnsi="Calibri" w:cs="Calibri"/>
        </w:rPr>
        <w:t>е</w:t>
      </w:r>
      <w:r w:rsidRPr="00CB7DDC">
        <w:rPr>
          <w:rFonts w:ascii="Calibri" w:eastAsia="Calibri" w:hAnsi="Calibri" w:cs="Calibri"/>
          <w:spacing w:val="1"/>
        </w:rPr>
        <w:t xml:space="preserve"> п</w:t>
      </w:r>
      <w:r w:rsidRPr="00CB7DDC">
        <w:rPr>
          <w:rFonts w:ascii="Calibri" w:eastAsia="Calibri" w:hAnsi="Calibri" w:cs="Calibri"/>
        </w:rPr>
        <w:t>ро</w:t>
      </w:r>
      <w:r w:rsidRPr="00CB7DDC">
        <w:rPr>
          <w:rFonts w:ascii="Calibri" w:eastAsia="Calibri" w:hAnsi="Calibri" w:cs="Calibri"/>
          <w:spacing w:val="-1"/>
        </w:rPr>
        <w:t>ме</w:t>
      </w:r>
      <w:r w:rsidRPr="00CB7DDC">
        <w:rPr>
          <w:rFonts w:ascii="Calibri" w:eastAsia="Calibri" w:hAnsi="Calibri" w:cs="Calibri"/>
          <w:spacing w:val="1"/>
        </w:rPr>
        <w:t>н</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в</w:t>
      </w:r>
      <w:r w:rsidRPr="00CB7DDC">
        <w:rPr>
          <w:rFonts w:ascii="Calibri" w:eastAsia="Calibri" w:hAnsi="Calibri" w:cs="Calibri"/>
          <w:spacing w:val="1"/>
        </w:rPr>
        <w:t xml:space="preserve"> </w:t>
      </w:r>
      <w:r w:rsidRPr="00CB7DDC">
        <w:rPr>
          <w:rFonts w:ascii="Calibri" w:eastAsia="Calibri" w:hAnsi="Calibri" w:cs="Calibri"/>
        </w:rPr>
        <w:t>З</w:t>
      </w:r>
      <w:r w:rsidRPr="00CB7DDC">
        <w:rPr>
          <w:rFonts w:ascii="Calibri" w:eastAsia="Calibri" w:hAnsi="Calibri" w:cs="Calibri"/>
          <w:spacing w:val="-1"/>
        </w:rPr>
        <w:t>а</w:t>
      </w:r>
      <w:r w:rsidRPr="00CB7DDC">
        <w:rPr>
          <w:rFonts w:ascii="Calibri" w:eastAsia="Calibri" w:hAnsi="Calibri" w:cs="Calibri"/>
          <w:spacing w:val="1"/>
        </w:rPr>
        <w:t>к</w:t>
      </w:r>
      <w:r w:rsidRPr="00CB7DDC">
        <w:rPr>
          <w:rFonts w:ascii="Calibri" w:eastAsia="Calibri" w:hAnsi="Calibri" w:cs="Calibri"/>
          <w:spacing w:val="-2"/>
        </w:rPr>
        <w:t>о</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
        </w:rPr>
        <w:t xml:space="preserve"> з</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spacing w:val="-3"/>
        </w:rPr>
        <w:t>в</w:t>
      </w:r>
      <w:r w:rsidRPr="00CB7DDC">
        <w:rPr>
          <w:rFonts w:ascii="Calibri" w:eastAsia="Calibri" w:hAnsi="Calibri" w:cs="Calibri"/>
        </w:rPr>
        <w:t>од</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w:t>
      </w:r>
      <w:r w:rsidRPr="00CB7DDC">
        <w:rPr>
          <w:rFonts w:ascii="Calibri" w:eastAsia="Calibri" w:hAnsi="Calibri" w:cs="Calibri"/>
          <w:spacing w:val="2"/>
        </w:rPr>
        <w:t xml:space="preserve"> </w:t>
      </w:r>
      <w:r w:rsidR="009C60B0">
        <w:rPr>
          <w:rFonts w:ascii="Calibri" w:eastAsia="Calibri" w:hAnsi="Calibri" w:cs="Times New Roman"/>
        </w:rPr>
        <w:t xml:space="preserve">Във връзка с приетия от 42-то Народно събрание на Република България Закон за изменение и допълнение на Закона за водите </w:t>
      </w:r>
      <w:r w:rsidR="009C60B0">
        <w:rPr>
          <w:rFonts w:ascii="Calibri" w:eastAsia="Calibri" w:hAnsi="Calibri" w:cs="Times New Roman"/>
          <w:lang w:val="en-US"/>
        </w:rPr>
        <w:t>(</w:t>
      </w:r>
      <w:r w:rsidR="009C60B0">
        <w:rPr>
          <w:rFonts w:ascii="Calibri" w:eastAsia="Calibri" w:hAnsi="Calibri" w:cs="Times New Roman"/>
        </w:rPr>
        <w:t>ЗИД на ЗВ</w:t>
      </w:r>
      <w:r w:rsidR="009C60B0">
        <w:rPr>
          <w:rFonts w:ascii="Calibri" w:eastAsia="Calibri" w:hAnsi="Calibri" w:cs="Times New Roman"/>
          <w:lang w:val="en-US"/>
        </w:rPr>
        <w:t>)</w:t>
      </w:r>
      <w:r w:rsidR="009C60B0">
        <w:rPr>
          <w:rFonts w:ascii="Calibri" w:eastAsia="Calibri" w:hAnsi="Calibri" w:cs="Times New Roman"/>
        </w:rPr>
        <w:t xml:space="preserve"> </w:t>
      </w:r>
      <w:r w:rsidR="009C60B0">
        <w:rPr>
          <w:rFonts w:eastAsia="Calibri"/>
          <w:lang w:val="en-US"/>
        </w:rPr>
        <w:t>(</w:t>
      </w:r>
      <w:r w:rsidR="009C60B0">
        <w:rPr>
          <w:rFonts w:ascii="Calibri" w:eastAsia="Calibri" w:hAnsi="Calibri" w:cs="Times New Roman"/>
        </w:rPr>
        <w:t>обн. ДВ. бр. 103 от 29.11.2013 г.</w:t>
      </w:r>
      <w:r w:rsidR="009C60B0">
        <w:rPr>
          <w:rFonts w:ascii="Calibri" w:eastAsia="Calibri" w:hAnsi="Calibri" w:cs="Times New Roman"/>
          <w:lang w:val="en-US"/>
        </w:rPr>
        <w:t>)</w:t>
      </w:r>
      <w:r w:rsidR="009C60B0">
        <w:rPr>
          <w:rFonts w:ascii="Calibri" w:eastAsia="Calibri" w:hAnsi="Calibri" w:cs="Times New Roman"/>
        </w:rPr>
        <w:t xml:space="preserve">, съгласно разписаната в МРР „пътна карта“ </w:t>
      </w:r>
      <w:r w:rsidR="009C60B0">
        <w:rPr>
          <w:rFonts w:eastAsia="Calibri"/>
        </w:rPr>
        <w:t xml:space="preserve">понастоящем все още </w:t>
      </w:r>
      <w:r w:rsidR="009C60B0">
        <w:rPr>
          <w:rFonts w:ascii="Calibri" w:eastAsia="Calibri" w:hAnsi="Calibri" w:cs="Times New Roman"/>
        </w:rPr>
        <w:t xml:space="preserve">се изпълняват дейностите и произтичащите от тях процедури в § 9 от преходните и заключителни разпоредби на Закона за изменение и допълнение на Закона за водите </w:t>
      </w:r>
      <w:r w:rsidR="009C60B0">
        <w:rPr>
          <w:rFonts w:ascii="Calibri" w:eastAsia="Calibri" w:hAnsi="Calibri" w:cs="Times New Roman"/>
          <w:lang w:val="en-US"/>
        </w:rPr>
        <w:t>(</w:t>
      </w:r>
      <w:r w:rsidR="009C60B0">
        <w:rPr>
          <w:rFonts w:ascii="Calibri" w:eastAsia="Calibri" w:hAnsi="Calibri" w:cs="Times New Roman"/>
        </w:rPr>
        <w:t>ПЗР към ЗИД на ЗВ</w:t>
      </w:r>
      <w:r w:rsidR="009C60B0">
        <w:rPr>
          <w:rFonts w:ascii="Calibri" w:eastAsia="Calibri" w:hAnsi="Calibri" w:cs="Times New Roman"/>
          <w:lang w:val="en-US"/>
        </w:rPr>
        <w:t>)</w:t>
      </w:r>
      <w:r w:rsidR="009C60B0">
        <w:rPr>
          <w:rFonts w:ascii="Calibri" w:eastAsia="Calibri" w:hAnsi="Calibri" w:cs="Times New Roman"/>
        </w:rPr>
        <w:t>,</w:t>
      </w:r>
      <w:r w:rsidR="009C60B0">
        <w:rPr>
          <w:rFonts w:ascii="Calibri" w:eastAsia="Calibri" w:hAnsi="Calibri" w:cs="Times New Roman"/>
          <w:lang w:val="en-US"/>
        </w:rPr>
        <w:t xml:space="preserve"> </w:t>
      </w:r>
      <w:r w:rsidR="009C60B0">
        <w:rPr>
          <w:rFonts w:ascii="Calibri" w:eastAsia="Calibri" w:hAnsi="Calibri" w:cs="Times New Roman"/>
        </w:rPr>
        <w:t>свързани с реформата в отрасъл ВиК</w:t>
      </w:r>
      <w:r w:rsidR="00F35CD3">
        <w:rPr>
          <w:rFonts w:ascii="Calibri" w:eastAsia="Calibri" w:hAnsi="Calibri" w:cs="Times New Roman"/>
        </w:rPr>
        <w:t xml:space="preserve">, в т.ч. удължаване на сегашния регулаторен период </w:t>
      </w:r>
      <w:r w:rsidR="00F35CD3" w:rsidRPr="00F35CD3">
        <w:rPr>
          <w:rFonts w:ascii="Calibri" w:eastAsia="Calibri" w:hAnsi="Calibri" w:cs="Times New Roman"/>
        </w:rPr>
        <w:t>по смисъла на чл. 10, ал. 1 от Закона за регулиране на водоснабдителните и канализационните до 31 декември 2015 г. и стартиране на следващия регулаторен период от 1 януари 2016 г.</w:t>
      </w:r>
      <w:r w:rsidR="00F35CD3">
        <w:rPr>
          <w:rStyle w:val="FootnoteReference"/>
          <w:rFonts w:ascii="Calibri" w:eastAsia="Calibri" w:hAnsi="Calibri" w:cs="Times New Roman"/>
        </w:rPr>
        <w:footnoteReference w:id="4"/>
      </w:r>
    </w:p>
    <w:p w:rsidR="009C60B0" w:rsidRDefault="009C60B0" w:rsidP="009C60B0">
      <w:pPr>
        <w:widowControl w:val="0"/>
        <w:autoSpaceDE w:val="0"/>
        <w:autoSpaceDN w:val="0"/>
        <w:adjustRightInd w:val="0"/>
        <w:spacing w:before="240" w:after="0" w:line="239" w:lineRule="auto"/>
        <w:ind w:right="64"/>
        <w:jc w:val="both"/>
      </w:pPr>
      <w:r>
        <w:t>В приетата</w:t>
      </w:r>
      <w:r w:rsidRPr="00E92D2E">
        <w:rPr>
          <w:rFonts w:ascii="Calibri" w:eastAsia="Calibri" w:hAnsi="Calibri" w:cs="Times New Roman"/>
        </w:rPr>
        <w:t xml:space="preserve"> Стратегия за развитие и управление на водоснабдяването и канализацията в Република България за периода 2014-2023 г. се дефинират стратегическите цели и приоритети на отрасъл ВиК в Република България, а именно: </w:t>
      </w:r>
    </w:p>
    <w:p w:rsidR="009C60B0" w:rsidRPr="009C60B0" w:rsidRDefault="009C60B0" w:rsidP="001A036E">
      <w:pPr>
        <w:widowControl w:val="0"/>
        <w:numPr>
          <w:ilvl w:val="0"/>
          <w:numId w:val="35"/>
        </w:numPr>
        <w:autoSpaceDE w:val="0"/>
        <w:autoSpaceDN w:val="0"/>
        <w:adjustRightInd w:val="0"/>
        <w:spacing w:before="240" w:after="0" w:line="239" w:lineRule="auto"/>
        <w:ind w:right="64"/>
        <w:jc w:val="both"/>
        <w:rPr>
          <w:rFonts w:eastAsia="Calibri"/>
          <w:b/>
        </w:rPr>
      </w:pPr>
      <w:r w:rsidRPr="00E92D2E">
        <w:rPr>
          <w:rFonts w:ascii="Calibri" w:eastAsia="Calibri" w:hAnsi="Calibri" w:cs="Times New Roman"/>
        </w:rPr>
        <w:t xml:space="preserve">ВиК отрасълът да отговаря на националните/европейските изисквания; </w:t>
      </w:r>
    </w:p>
    <w:p w:rsidR="009C60B0" w:rsidRPr="009C60B0" w:rsidRDefault="009C60B0" w:rsidP="001A036E">
      <w:pPr>
        <w:widowControl w:val="0"/>
        <w:numPr>
          <w:ilvl w:val="0"/>
          <w:numId w:val="35"/>
        </w:numPr>
        <w:autoSpaceDE w:val="0"/>
        <w:autoSpaceDN w:val="0"/>
        <w:adjustRightInd w:val="0"/>
        <w:spacing w:after="0" w:line="239" w:lineRule="auto"/>
        <w:ind w:right="64"/>
        <w:jc w:val="both"/>
        <w:rPr>
          <w:rFonts w:eastAsia="Calibri"/>
          <w:b/>
        </w:rPr>
      </w:pPr>
      <w:r w:rsidRPr="00E92D2E">
        <w:rPr>
          <w:rFonts w:ascii="Calibri" w:eastAsia="Calibri" w:hAnsi="Calibri" w:cs="Times New Roman"/>
        </w:rPr>
        <w:t xml:space="preserve">ВиК отрасълът да е екологосъобразен, финансово и технически устойчив; </w:t>
      </w:r>
    </w:p>
    <w:p w:rsidR="009C60B0" w:rsidRPr="009C60B0" w:rsidRDefault="009C60B0" w:rsidP="001A036E">
      <w:pPr>
        <w:widowControl w:val="0"/>
        <w:numPr>
          <w:ilvl w:val="0"/>
          <w:numId w:val="35"/>
        </w:numPr>
        <w:autoSpaceDE w:val="0"/>
        <w:autoSpaceDN w:val="0"/>
        <w:adjustRightInd w:val="0"/>
        <w:spacing w:after="0" w:line="239" w:lineRule="auto"/>
        <w:ind w:right="64"/>
        <w:jc w:val="both"/>
        <w:rPr>
          <w:rFonts w:eastAsia="Calibri"/>
          <w:b/>
        </w:rPr>
      </w:pPr>
      <w:r>
        <w:t>Ц</w:t>
      </w:r>
      <w:r w:rsidRPr="00E92D2E">
        <w:rPr>
          <w:rFonts w:ascii="Calibri" w:eastAsia="Calibri" w:hAnsi="Calibri" w:cs="Times New Roman"/>
        </w:rPr>
        <w:t xml:space="preserve">ените на ВиК услугите да са социално поносими за потребителите; </w:t>
      </w:r>
    </w:p>
    <w:p w:rsidR="009C60B0" w:rsidRDefault="009C60B0" w:rsidP="001A036E">
      <w:pPr>
        <w:widowControl w:val="0"/>
        <w:numPr>
          <w:ilvl w:val="0"/>
          <w:numId w:val="35"/>
        </w:numPr>
        <w:autoSpaceDE w:val="0"/>
        <w:autoSpaceDN w:val="0"/>
        <w:adjustRightInd w:val="0"/>
        <w:spacing w:after="0" w:line="239" w:lineRule="auto"/>
        <w:ind w:right="64"/>
        <w:jc w:val="both"/>
        <w:rPr>
          <w:rFonts w:eastAsia="Calibri"/>
          <w:b/>
        </w:rPr>
      </w:pPr>
      <w:r>
        <w:t>К</w:t>
      </w:r>
      <w:r w:rsidRPr="00E92D2E">
        <w:rPr>
          <w:rFonts w:ascii="Calibri" w:eastAsia="Calibri" w:hAnsi="Calibri" w:cs="Times New Roman"/>
        </w:rPr>
        <w:t>ачеството на услугите и ефикасността на ВиК операторите да съответстват на добрите европейски практики.</w:t>
      </w:r>
    </w:p>
    <w:p w:rsidR="009C60B0" w:rsidRDefault="00CB7DDC" w:rsidP="009C60B0">
      <w:pPr>
        <w:widowControl w:val="0"/>
        <w:autoSpaceDE w:val="0"/>
        <w:autoSpaceDN w:val="0"/>
        <w:adjustRightInd w:val="0"/>
        <w:spacing w:before="240" w:after="0" w:line="239" w:lineRule="auto"/>
        <w:ind w:right="64"/>
        <w:jc w:val="both"/>
        <w:rPr>
          <w:rFonts w:ascii="Calibri" w:eastAsia="Calibri" w:hAnsi="Calibri" w:cs="Calibri"/>
          <w:spacing w:val="3"/>
        </w:rPr>
      </w:pPr>
      <w:r w:rsidRPr="00CB7DDC">
        <w:rPr>
          <w:rFonts w:ascii="Calibri" w:eastAsia="Calibri" w:hAnsi="Calibri" w:cs="Calibri"/>
          <w:bCs/>
        </w:rPr>
        <w:t>Во</w:t>
      </w:r>
      <w:r w:rsidRPr="00CB7DDC">
        <w:rPr>
          <w:rFonts w:ascii="Calibri" w:eastAsia="Calibri" w:hAnsi="Calibri" w:cs="Calibri"/>
          <w:bCs/>
          <w:spacing w:val="1"/>
        </w:rPr>
        <w:t>дни</w:t>
      </w:r>
      <w:r w:rsidRPr="00CB7DDC">
        <w:rPr>
          <w:rFonts w:ascii="Calibri" w:eastAsia="Calibri" w:hAnsi="Calibri" w:cs="Calibri"/>
          <w:bCs/>
          <w:spacing w:val="-3"/>
        </w:rPr>
        <w:t>я</w:t>
      </w:r>
      <w:r w:rsidRPr="00CB7DDC">
        <w:rPr>
          <w:rFonts w:ascii="Calibri" w:eastAsia="Calibri" w:hAnsi="Calibri" w:cs="Calibri"/>
          <w:bCs/>
        </w:rPr>
        <w:t>т</w:t>
      </w:r>
      <w:r w:rsidRPr="00CB7DDC">
        <w:rPr>
          <w:rFonts w:ascii="Calibri" w:eastAsia="Calibri" w:hAnsi="Calibri" w:cs="Calibri"/>
          <w:bCs/>
          <w:spacing w:val="6"/>
        </w:rPr>
        <w:t xml:space="preserve"> </w:t>
      </w:r>
      <w:r w:rsidRPr="00CB7DDC">
        <w:rPr>
          <w:rFonts w:ascii="Calibri" w:eastAsia="Calibri" w:hAnsi="Calibri" w:cs="Calibri"/>
          <w:bCs/>
          <w:spacing w:val="-1"/>
        </w:rPr>
        <w:t>сек</w:t>
      </w:r>
      <w:r w:rsidRPr="00CB7DDC">
        <w:rPr>
          <w:rFonts w:ascii="Calibri" w:eastAsia="Calibri" w:hAnsi="Calibri" w:cs="Calibri"/>
          <w:bCs/>
          <w:spacing w:val="2"/>
        </w:rPr>
        <w:t>т</w:t>
      </w:r>
      <w:r w:rsidRPr="00CB7DDC">
        <w:rPr>
          <w:rFonts w:ascii="Calibri" w:eastAsia="Calibri" w:hAnsi="Calibri" w:cs="Calibri"/>
          <w:bCs/>
        </w:rPr>
        <w:t>ор</w:t>
      </w:r>
      <w:r w:rsidRPr="00CB7DDC">
        <w:rPr>
          <w:rFonts w:ascii="Calibri" w:eastAsia="Calibri" w:hAnsi="Calibri" w:cs="Calibri"/>
          <w:bCs/>
          <w:spacing w:val="1"/>
        </w:rPr>
        <w:t xml:space="preserve"> </w:t>
      </w:r>
      <w:r w:rsidRPr="00CB7DDC">
        <w:rPr>
          <w:rFonts w:ascii="Calibri" w:eastAsia="Calibri" w:hAnsi="Calibri" w:cs="Calibri"/>
          <w:bCs/>
        </w:rPr>
        <w:t xml:space="preserve">в </w:t>
      </w:r>
      <w:r w:rsidRPr="00CB7DDC">
        <w:rPr>
          <w:rFonts w:ascii="Calibri" w:eastAsia="Calibri" w:hAnsi="Calibri" w:cs="Calibri"/>
          <w:bCs/>
          <w:spacing w:val="2"/>
        </w:rPr>
        <w:t>Б</w:t>
      </w:r>
      <w:r w:rsidRPr="00CB7DDC">
        <w:rPr>
          <w:rFonts w:ascii="Calibri" w:eastAsia="Calibri" w:hAnsi="Calibri" w:cs="Calibri"/>
          <w:bCs/>
          <w:spacing w:val="-1"/>
        </w:rPr>
        <w:t>ъ</w:t>
      </w:r>
      <w:r w:rsidRPr="00CB7DDC">
        <w:rPr>
          <w:rFonts w:ascii="Calibri" w:eastAsia="Calibri" w:hAnsi="Calibri" w:cs="Calibri"/>
          <w:bCs/>
        </w:rPr>
        <w:t>л</w:t>
      </w:r>
      <w:r w:rsidRPr="00CB7DDC">
        <w:rPr>
          <w:rFonts w:ascii="Calibri" w:eastAsia="Calibri" w:hAnsi="Calibri" w:cs="Calibri"/>
          <w:bCs/>
          <w:spacing w:val="-1"/>
        </w:rPr>
        <w:t>г</w:t>
      </w:r>
      <w:r w:rsidRPr="00CB7DDC">
        <w:rPr>
          <w:rFonts w:ascii="Calibri" w:eastAsia="Calibri" w:hAnsi="Calibri" w:cs="Calibri"/>
          <w:bCs/>
        </w:rPr>
        <w:t>а</w:t>
      </w:r>
      <w:r w:rsidRPr="00CB7DDC">
        <w:rPr>
          <w:rFonts w:ascii="Calibri" w:eastAsia="Calibri" w:hAnsi="Calibri" w:cs="Calibri"/>
          <w:bCs/>
          <w:spacing w:val="1"/>
        </w:rPr>
        <w:t>ри</w:t>
      </w:r>
      <w:r w:rsidRPr="00CB7DDC">
        <w:rPr>
          <w:rFonts w:ascii="Calibri" w:eastAsia="Calibri" w:hAnsi="Calibri" w:cs="Calibri"/>
          <w:bCs/>
        </w:rPr>
        <w:t>я</w:t>
      </w:r>
      <w:r w:rsidRPr="00CB7DDC">
        <w:rPr>
          <w:rFonts w:ascii="Calibri" w:eastAsia="Calibri" w:hAnsi="Calibri" w:cs="Calibri"/>
          <w:bCs/>
          <w:spacing w:val="2"/>
        </w:rPr>
        <w:t xml:space="preserve"> </w:t>
      </w:r>
      <w:r w:rsidRPr="00CB7DDC">
        <w:rPr>
          <w:rFonts w:ascii="Calibri" w:eastAsia="Calibri" w:hAnsi="Calibri" w:cs="Calibri"/>
          <w:bCs/>
          <w:spacing w:val="-1"/>
        </w:rPr>
        <w:t>с</w:t>
      </w:r>
      <w:r w:rsidRPr="00CB7DDC">
        <w:rPr>
          <w:rFonts w:ascii="Calibri" w:eastAsia="Calibri" w:hAnsi="Calibri" w:cs="Calibri"/>
          <w:bCs/>
        </w:rPr>
        <w:t>е</w:t>
      </w:r>
      <w:r w:rsidRPr="00CB7DDC">
        <w:rPr>
          <w:rFonts w:ascii="Calibri" w:eastAsia="Calibri" w:hAnsi="Calibri" w:cs="Calibri"/>
          <w:bCs/>
          <w:spacing w:val="1"/>
        </w:rPr>
        <w:t xml:space="preserve"> р</w:t>
      </w:r>
      <w:r w:rsidRPr="00CB7DDC">
        <w:rPr>
          <w:rFonts w:ascii="Calibri" w:eastAsia="Calibri" w:hAnsi="Calibri" w:cs="Calibri"/>
          <w:bCs/>
          <w:spacing w:val="-1"/>
        </w:rPr>
        <w:t>ег</w:t>
      </w:r>
      <w:r w:rsidRPr="00CB7DDC">
        <w:rPr>
          <w:rFonts w:ascii="Calibri" w:eastAsia="Calibri" w:hAnsi="Calibri" w:cs="Calibri"/>
          <w:bCs/>
        </w:rPr>
        <w:t>ули</w:t>
      </w:r>
      <w:r w:rsidRPr="00CB7DDC">
        <w:rPr>
          <w:rFonts w:ascii="Calibri" w:eastAsia="Calibri" w:hAnsi="Calibri" w:cs="Calibri"/>
          <w:bCs/>
          <w:spacing w:val="1"/>
        </w:rPr>
        <w:t>р</w:t>
      </w:r>
      <w:r w:rsidRPr="00CB7DDC">
        <w:rPr>
          <w:rFonts w:ascii="Calibri" w:eastAsia="Calibri" w:hAnsi="Calibri" w:cs="Calibri"/>
          <w:bCs/>
        </w:rPr>
        <w:t>а</w:t>
      </w:r>
      <w:r w:rsidRPr="00CB7DDC">
        <w:rPr>
          <w:rFonts w:ascii="Calibri" w:eastAsia="Calibri" w:hAnsi="Calibri" w:cs="Calibri"/>
          <w:bCs/>
          <w:spacing w:val="2"/>
        </w:rPr>
        <w:t xml:space="preserve"> </w:t>
      </w:r>
      <w:r w:rsidRPr="00CB7DDC">
        <w:rPr>
          <w:rFonts w:ascii="Calibri" w:eastAsia="Calibri" w:hAnsi="Calibri" w:cs="Calibri"/>
          <w:bCs/>
        </w:rPr>
        <w:t>от</w:t>
      </w:r>
      <w:r w:rsidRPr="00CB7DDC">
        <w:rPr>
          <w:rFonts w:ascii="Calibri" w:eastAsia="Calibri" w:hAnsi="Calibri" w:cs="Calibri"/>
          <w:bCs/>
          <w:spacing w:val="2"/>
        </w:rPr>
        <w:t xml:space="preserve"> </w:t>
      </w:r>
      <w:r w:rsidRPr="00CB7DDC">
        <w:rPr>
          <w:rFonts w:ascii="Calibri" w:eastAsia="Calibri" w:hAnsi="Calibri" w:cs="Calibri"/>
          <w:bCs/>
          <w:spacing w:val="1"/>
        </w:rPr>
        <w:t>р</w:t>
      </w:r>
      <w:r w:rsidRPr="00CB7DDC">
        <w:rPr>
          <w:rFonts w:ascii="Calibri" w:eastAsia="Calibri" w:hAnsi="Calibri" w:cs="Calibri"/>
          <w:bCs/>
          <w:spacing w:val="-1"/>
        </w:rPr>
        <w:t>ег</w:t>
      </w:r>
      <w:r w:rsidRPr="00CB7DDC">
        <w:rPr>
          <w:rFonts w:ascii="Calibri" w:eastAsia="Calibri" w:hAnsi="Calibri" w:cs="Calibri"/>
          <w:bCs/>
        </w:rPr>
        <w:t>ула</w:t>
      </w:r>
      <w:r w:rsidRPr="00CB7DDC">
        <w:rPr>
          <w:rFonts w:ascii="Calibri" w:eastAsia="Calibri" w:hAnsi="Calibri" w:cs="Calibri"/>
          <w:bCs/>
          <w:spacing w:val="2"/>
        </w:rPr>
        <w:t>т</w:t>
      </w:r>
      <w:r w:rsidRPr="00CB7DDC">
        <w:rPr>
          <w:rFonts w:ascii="Calibri" w:eastAsia="Calibri" w:hAnsi="Calibri" w:cs="Calibri"/>
          <w:bCs/>
        </w:rPr>
        <w:t>о</w:t>
      </w:r>
      <w:r w:rsidRPr="00CB7DDC">
        <w:rPr>
          <w:rFonts w:ascii="Calibri" w:eastAsia="Calibri" w:hAnsi="Calibri" w:cs="Calibri"/>
          <w:bCs/>
          <w:spacing w:val="1"/>
        </w:rPr>
        <w:t>р</w:t>
      </w:r>
      <w:r w:rsidRPr="00CB7DDC">
        <w:rPr>
          <w:rFonts w:ascii="Calibri" w:eastAsia="Calibri" w:hAnsi="Calibri" w:cs="Calibri"/>
          <w:bCs/>
        </w:rPr>
        <w:t>,</w:t>
      </w:r>
      <w:r w:rsidRPr="00CB7DDC">
        <w:rPr>
          <w:rFonts w:ascii="Calibri" w:eastAsia="Calibri" w:hAnsi="Calibri" w:cs="Calibri"/>
          <w:b/>
          <w:bCs/>
          <w:spacing w:val="10"/>
        </w:rPr>
        <w:t xml:space="preserve"> </w:t>
      </w:r>
      <w:r w:rsidRPr="00CB7DDC">
        <w:rPr>
          <w:rFonts w:ascii="Calibri" w:eastAsia="Calibri" w:hAnsi="Calibri" w:cs="Calibri"/>
          <w:spacing w:val="-7"/>
        </w:rPr>
        <w:t>у</w:t>
      </w:r>
      <w:r w:rsidRPr="00CB7DDC">
        <w:rPr>
          <w:rFonts w:ascii="Calibri" w:eastAsia="Calibri" w:hAnsi="Calibri" w:cs="Calibri"/>
          <w:spacing w:val="-1"/>
        </w:rPr>
        <w:t>ч</w:t>
      </w:r>
      <w:r w:rsidRPr="00CB7DDC">
        <w:rPr>
          <w:rFonts w:ascii="Calibri" w:eastAsia="Calibri" w:hAnsi="Calibri" w:cs="Calibri"/>
          <w:spacing w:val="2"/>
        </w:rPr>
        <w:t>р</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е</w:t>
      </w:r>
      <w:r w:rsidRPr="00CB7DDC">
        <w:rPr>
          <w:rFonts w:ascii="Calibri" w:eastAsia="Calibri" w:hAnsi="Calibri" w:cs="Calibri"/>
        </w:rPr>
        <w:t>н</w:t>
      </w:r>
      <w:r w:rsidRPr="00CB7DDC">
        <w:rPr>
          <w:rFonts w:ascii="Calibri" w:eastAsia="Calibri" w:hAnsi="Calibri" w:cs="Calibri"/>
          <w:spacing w:val="3"/>
        </w:rPr>
        <w:t xml:space="preserve"> </w:t>
      </w:r>
      <w:r w:rsidRPr="00CB7DDC">
        <w:rPr>
          <w:rFonts w:ascii="Calibri" w:eastAsia="Calibri" w:hAnsi="Calibri" w:cs="Calibri"/>
        </w:rPr>
        <w:t>в</w:t>
      </w:r>
      <w:r w:rsidRPr="00CB7DDC">
        <w:rPr>
          <w:rFonts w:ascii="Calibri" w:eastAsia="Calibri" w:hAnsi="Calibri" w:cs="Calibri"/>
          <w:spacing w:val="3"/>
        </w:rPr>
        <w:t xml:space="preserve"> </w:t>
      </w:r>
      <w:r w:rsidRPr="00CB7DDC">
        <w:rPr>
          <w:rFonts w:ascii="Calibri" w:eastAsia="Calibri" w:hAnsi="Calibri" w:cs="Calibri"/>
          <w:spacing w:val="-1"/>
        </w:rPr>
        <w:t>с</w:t>
      </w:r>
      <w:r w:rsidRPr="00CB7DDC">
        <w:rPr>
          <w:rFonts w:ascii="Calibri" w:eastAsia="Calibri" w:hAnsi="Calibri" w:cs="Calibri"/>
        </w:rPr>
        <w:t>ъотв</w:t>
      </w:r>
      <w:r w:rsidRPr="00CB7DDC">
        <w:rPr>
          <w:rFonts w:ascii="Calibri" w:eastAsia="Calibri" w:hAnsi="Calibri" w:cs="Calibri"/>
          <w:spacing w:val="-1"/>
        </w:rPr>
        <w:t>е</w:t>
      </w:r>
      <w:r w:rsidRPr="00CB7DDC">
        <w:rPr>
          <w:rFonts w:ascii="Calibri" w:eastAsia="Calibri" w:hAnsi="Calibri" w:cs="Calibri"/>
        </w:rPr>
        <w:t>т</w:t>
      </w:r>
      <w:r w:rsidRPr="00CB7DDC">
        <w:rPr>
          <w:rFonts w:ascii="Calibri" w:eastAsia="Calibri" w:hAnsi="Calibri" w:cs="Calibri"/>
          <w:spacing w:val="-1"/>
        </w:rPr>
        <w:t>с</w:t>
      </w:r>
      <w:r w:rsidRPr="00CB7DDC">
        <w:rPr>
          <w:rFonts w:ascii="Calibri" w:eastAsia="Calibri" w:hAnsi="Calibri" w:cs="Calibri"/>
        </w:rPr>
        <w:t>твие</w:t>
      </w:r>
      <w:r w:rsidRPr="00CB7DDC">
        <w:rPr>
          <w:rFonts w:ascii="Calibri" w:eastAsia="Calibri" w:hAnsi="Calibri" w:cs="Calibri"/>
          <w:spacing w:val="1"/>
        </w:rPr>
        <w:t xml:space="preserve"> </w:t>
      </w:r>
      <w:r w:rsidRPr="00CB7DDC">
        <w:rPr>
          <w:rFonts w:ascii="Calibri" w:eastAsia="Calibri" w:hAnsi="Calibri" w:cs="Calibri"/>
          <w:spacing w:val="-1"/>
        </w:rPr>
        <w:t>с</w:t>
      </w:r>
      <w:r w:rsidRPr="00CB7DDC">
        <w:rPr>
          <w:rFonts w:ascii="Calibri" w:eastAsia="Calibri" w:hAnsi="Calibri" w:cs="Calibri"/>
        </w:rPr>
        <w:t>ъс З</w:t>
      </w:r>
      <w:r w:rsidRPr="00CB7DDC">
        <w:rPr>
          <w:rFonts w:ascii="Calibri" w:eastAsia="Calibri" w:hAnsi="Calibri" w:cs="Calibri"/>
          <w:spacing w:val="-1"/>
        </w:rPr>
        <w:t>а</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з</w:t>
      </w:r>
      <w:r w:rsidRPr="00CB7DDC">
        <w:rPr>
          <w:rFonts w:ascii="Calibri" w:eastAsia="Calibri" w:hAnsi="Calibri" w:cs="Calibri"/>
        </w:rPr>
        <w:t>а р</w:t>
      </w:r>
      <w:r w:rsidRPr="00CB7DDC">
        <w:rPr>
          <w:rFonts w:ascii="Calibri" w:eastAsia="Calibri" w:hAnsi="Calibri" w:cs="Calibri"/>
          <w:spacing w:val="-1"/>
        </w:rPr>
        <w:t>е</w:t>
      </w:r>
      <w:r w:rsidRPr="00CB7DDC">
        <w:rPr>
          <w:rFonts w:ascii="Calibri" w:eastAsia="Calibri" w:hAnsi="Calibri" w:cs="Calibri"/>
          <w:spacing w:val="5"/>
        </w:rPr>
        <w:t>г</w:t>
      </w:r>
      <w:r w:rsidRPr="00CB7DDC">
        <w:rPr>
          <w:rFonts w:ascii="Calibri" w:eastAsia="Calibri" w:hAnsi="Calibri" w:cs="Calibri"/>
          <w:spacing w:val="-5"/>
        </w:rPr>
        <w:t>у</w:t>
      </w:r>
      <w:r w:rsidRPr="00CB7DDC">
        <w:rPr>
          <w:rFonts w:ascii="Calibri" w:eastAsia="Calibri" w:hAnsi="Calibri" w:cs="Calibri"/>
        </w:rPr>
        <w:t>л</w:t>
      </w:r>
      <w:r w:rsidRPr="00CB7DDC">
        <w:rPr>
          <w:rFonts w:ascii="Calibri" w:eastAsia="Calibri" w:hAnsi="Calibri" w:cs="Calibri"/>
          <w:spacing w:val="1"/>
        </w:rPr>
        <w:t>и</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е</w:t>
      </w:r>
      <w:r w:rsidRPr="00CB7DDC">
        <w:rPr>
          <w:rFonts w:ascii="Calibri" w:eastAsia="Calibri" w:hAnsi="Calibri" w:cs="Calibri"/>
          <w:spacing w:val="2"/>
        </w:rPr>
        <w:t xml:space="preserve"> </w:t>
      </w:r>
      <w:r w:rsidRPr="00CB7DDC">
        <w:rPr>
          <w:rFonts w:ascii="Calibri" w:eastAsia="Calibri" w:hAnsi="Calibri" w:cs="Calibri"/>
          <w:spacing w:val="1"/>
        </w:rPr>
        <w:t>н</w:t>
      </w:r>
      <w:r w:rsidRPr="00CB7DDC">
        <w:rPr>
          <w:rFonts w:ascii="Calibri" w:eastAsia="Calibri" w:hAnsi="Calibri" w:cs="Calibri"/>
        </w:rPr>
        <w:t>а водо</w:t>
      </w:r>
      <w:r w:rsidRPr="00CB7DDC">
        <w:rPr>
          <w:rFonts w:ascii="Calibri" w:eastAsia="Calibri" w:hAnsi="Calibri" w:cs="Calibri"/>
          <w:spacing w:val="-1"/>
        </w:rPr>
        <w:t>с</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бд</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ни</w:t>
      </w:r>
      <w:r w:rsidRPr="00CB7DDC">
        <w:rPr>
          <w:rFonts w:ascii="Calibri" w:eastAsia="Calibri" w:hAnsi="Calibri" w:cs="Calibri"/>
          <w:spacing w:val="-2"/>
        </w:rPr>
        <w:t>т</w:t>
      </w:r>
      <w:r w:rsidRPr="00CB7DDC">
        <w:rPr>
          <w:rFonts w:ascii="Calibri" w:eastAsia="Calibri" w:hAnsi="Calibri" w:cs="Calibri"/>
        </w:rPr>
        <w:t>е и</w:t>
      </w:r>
      <w:r w:rsidRPr="00CB7DDC">
        <w:rPr>
          <w:rFonts w:ascii="Calibri" w:eastAsia="Calibri" w:hAnsi="Calibri" w:cs="Calibri"/>
          <w:spacing w:val="2"/>
        </w:rPr>
        <w:t xml:space="preserve"> </w:t>
      </w:r>
      <w:r w:rsidRPr="00CB7DDC">
        <w:rPr>
          <w:rFonts w:ascii="Calibri" w:eastAsia="Calibri" w:hAnsi="Calibri" w:cs="Calibri"/>
          <w:spacing w:val="1"/>
        </w:rPr>
        <w:t>к</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из</w:t>
      </w:r>
      <w:r w:rsidRPr="00CB7DDC">
        <w:rPr>
          <w:rFonts w:ascii="Calibri" w:eastAsia="Calibri" w:hAnsi="Calibri" w:cs="Calibri"/>
          <w:spacing w:val="-1"/>
        </w:rPr>
        <w:t>а</w:t>
      </w:r>
      <w:r w:rsidRPr="00CB7DDC">
        <w:rPr>
          <w:rFonts w:ascii="Calibri" w:eastAsia="Calibri" w:hAnsi="Calibri" w:cs="Calibri"/>
          <w:spacing w:val="1"/>
        </w:rPr>
        <w:t>ци</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spacing w:val="1"/>
        </w:rPr>
        <w:t>н</w:t>
      </w:r>
      <w:r w:rsidRPr="00CB7DDC">
        <w:rPr>
          <w:rFonts w:ascii="Calibri" w:eastAsia="Calibri" w:hAnsi="Calibri" w:cs="Calibri"/>
        </w:rPr>
        <w:t>и</w:t>
      </w:r>
      <w:r w:rsidRPr="00CB7DDC">
        <w:rPr>
          <w:rFonts w:ascii="Calibri" w:eastAsia="Calibri" w:hAnsi="Calibri" w:cs="Calibri"/>
          <w:spacing w:val="5"/>
        </w:rPr>
        <w:t xml:space="preserve"> </w:t>
      </w:r>
      <w:r w:rsidRPr="00CB7DDC">
        <w:rPr>
          <w:rFonts w:ascii="Calibri" w:eastAsia="Calibri" w:hAnsi="Calibri" w:cs="Calibri"/>
          <w:spacing w:val="-5"/>
        </w:rPr>
        <w:t>у</w:t>
      </w:r>
      <w:r w:rsidRPr="00CB7DDC">
        <w:rPr>
          <w:rFonts w:ascii="Calibri" w:eastAsia="Calibri" w:hAnsi="Calibri" w:cs="Calibri"/>
          <w:spacing w:val="-1"/>
        </w:rPr>
        <w:t>с</w:t>
      </w:r>
      <w:r w:rsidRPr="00CB7DDC">
        <w:rPr>
          <w:rFonts w:ascii="Calibri" w:eastAsia="Calibri" w:hAnsi="Calibri" w:cs="Calibri"/>
          <w:spacing w:val="2"/>
        </w:rPr>
        <w:t>л</w:t>
      </w:r>
      <w:r w:rsidRPr="00CB7DDC">
        <w:rPr>
          <w:rFonts w:ascii="Calibri" w:eastAsia="Calibri" w:hAnsi="Calibri" w:cs="Calibri"/>
          <w:spacing w:val="-5"/>
        </w:rPr>
        <w:t>у</w:t>
      </w:r>
      <w:r w:rsidRPr="00CB7DDC">
        <w:rPr>
          <w:rFonts w:ascii="Calibri" w:eastAsia="Calibri" w:hAnsi="Calibri" w:cs="Calibri"/>
        </w:rPr>
        <w:t>ги</w:t>
      </w:r>
      <w:r w:rsidRPr="00CB7DDC">
        <w:rPr>
          <w:rFonts w:ascii="Calibri" w:eastAsia="Calibri" w:hAnsi="Calibri" w:cs="Calibri"/>
          <w:spacing w:val="2"/>
        </w:rPr>
        <w:t xml:space="preserve">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з</w:t>
      </w:r>
      <w:r w:rsidRPr="00CB7DDC">
        <w:rPr>
          <w:rFonts w:ascii="Calibri" w:eastAsia="Calibri" w:hAnsi="Calibri" w:cs="Calibri"/>
          <w:spacing w:val="12"/>
        </w:rPr>
        <w:t xml:space="preserve"> </w:t>
      </w:r>
      <w:r w:rsidRPr="00CB7DDC">
        <w:rPr>
          <w:rFonts w:ascii="Calibri" w:eastAsia="Calibri" w:hAnsi="Calibri" w:cs="Calibri"/>
        </w:rPr>
        <w:t>2005</w:t>
      </w:r>
      <w:r w:rsidRPr="00CB7DDC">
        <w:rPr>
          <w:rFonts w:ascii="Calibri" w:eastAsia="Calibri" w:hAnsi="Calibri" w:cs="Calibri"/>
          <w:spacing w:val="4"/>
        </w:rPr>
        <w:t xml:space="preserve"> </w:t>
      </w:r>
      <w:r w:rsidRPr="00CB7DDC">
        <w:rPr>
          <w:rFonts w:ascii="Calibri" w:eastAsia="Calibri" w:hAnsi="Calibri" w:cs="Calibri"/>
        </w:rPr>
        <w:t xml:space="preserve">г. </w:t>
      </w:r>
      <w:r w:rsidRPr="00CB7DDC">
        <w:rPr>
          <w:rFonts w:ascii="Calibri" w:eastAsia="Calibri" w:hAnsi="Calibri" w:cs="Calibri"/>
          <w:spacing w:val="1"/>
        </w:rPr>
        <w:t>Р</w:t>
      </w:r>
      <w:r w:rsidRPr="00CB7DDC">
        <w:rPr>
          <w:rFonts w:ascii="Calibri" w:eastAsia="Calibri" w:hAnsi="Calibri" w:cs="Calibri"/>
          <w:spacing w:val="-1"/>
        </w:rPr>
        <w:t>е</w:t>
      </w:r>
      <w:r w:rsidRPr="00CB7DDC">
        <w:rPr>
          <w:rFonts w:ascii="Calibri" w:eastAsia="Calibri" w:hAnsi="Calibri" w:cs="Calibri"/>
          <w:spacing w:val="2"/>
        </w:rPr>
        <w:t>г</w:t>
      </w:r>
      <w:r w:rsidRPr="00CB7DDC">
        <w:rPr>
          <w:rFonts w:ascii="Calibri" w:eastAsia="Calibri" w:hAnsi="Calibri" w:cs="Calibri"/>
          <w:spacing w:val="-5"/>
        </w:rPr>
        <w:t>у</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rPr>
        <w:t>торът</w:t>
      </w:r>
      <w:r w:rsidRPr="00CB7DDC">
        <w:rPr>
          <w:rFonts w:ascii="Calibri" w:eastAsia="Calibri" w:hAnsi="Calibri" w:cs="Calibri"/>
          <w:spacing w:val="7"/>
        </w:rPr>
        <w:t xml:space="preserve"> </w:t>
      </w:r>
      <w:r w:rsidRPr="00CB7DDC">
        <w:rPr>
          <w:rFonts w:ascii="Calibri" w:eastAsia="Calibri" w:hAnsi="Calibri" w:cs="Calibri"/>
        </w:rPr>
        <w:t>вл</w:t>
      </w:r>
      <w:r w:rsidRPr="00CB7DDC">
        <w:rPr>
          <w:rFonts w:ascii="Calibri" w:eastAsia="Calibri" w:hAnsi="Calibri" w:cs="Calibri"/>
          <w:spacing w:val="1"/>
        </w:rPr>
        <w:t>из</w:t>
      </w:r>
      <w:r w:rsidRPr="00CB7DDC">
        <w:rPr>
          <w:rFonts w:ascii="Calibri" w:eastAsia="Calibri" w:hAnsi="Calibri" w:cs="Calibri"/>
        </w:rPr>
        <w:t>а</w:t>
      </w:r>
      <w:r w:rsidRPr="00CB7DDC">
        <w:rPr>
          <w:rFonts w:ascii="Calibri" w:eastAsia="Calibri" w:hAnsi="Calibri" w:cs="Calibri"/>
          <w:spacing w:val="6"/>
        </w:rPr>
        <w:t xml:space="preserve"> </w:t>
      </w:r>
      <w:r w:rsidRPr="00CB7DDC">
        <w:rPr>
          <w:rFonts w:ascii="Calibri" w:eastAsia="Calibri" w:hAnsi="Calibri" w:cs="Calibri"/>
        </w:rPr>
        <w:t>в</w:t>
      </w:r>
      <w:r w:rsidRPr="00CB7DDC">
        <w:rPr>
          <w:rFonts w:ascii="Calibri" w:eastAsia="Calibri" w:hAnsi="Calibri" w:cs="Calibri"/>
          <w:spacing w:val="6"/>
        </w:rPr>
        <w:t xml:space="preserve"> </w:t>
      </w:r>
      <w:r w:rsidRPr="00CB7DDC">
        <w:rPr>
          <w:rFonts w:ascii="Calibri" w:eastAsia="Calibri" w:hAnsi="Calibri" w:cs="Calibri"/>
          <w:spacing w:val="-1"/>
        </w:rPr>
        <w:t>си</w:t>
      </w:r>
      <w:r w:rsidRPr="00CB7DDC">
        <w:rPr>
          <w:rFonts w:ascii="Calibri" w:eastAsia="Calibri" w:hAnsi="Calibri" w:cs="Calibri"/>
        </w:rPr>
        <w:t>ла</w:t>
      </w:r>
      <w:r w:rsidRPr="00CB7DDC">
        <w:rPr>
          <w:rFonts w:ascii="Calibri" w:eastAsia="Calibri" w:hAnsi="Calibri" w:cs="Calibri"/>
          <w:spacing w:val="6"/>
        </w:rPr>
        <w:t xml:space="preserve"> </w:t>
      </w:r>
      <w:r w:rsidRPr="00CB7DDC">
        <w:rPr>
          <w:rFonts w:ascii="Calibri" w:eastAsia="Calibri" w:hAnsi="Calibri" w:cs="Calibri"/>
          <w:spacing w:val="-1"/>
        </w:rPr>
        <w:t>ма</w:t>
      </w:r>
      <w:r w:rsidRPr="00CB7DDC">
        <w:rPr>
          <w:rFonts w:ascii="Calibri" w:eastAsia="Calibri" w:hAnsi="Calibri" w:cs="Calibri"/>
        </w:rPr>
        <w:t>л</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7"/>
        </w:rPr>
        <w:t xml:space="preserve"> </w:t>
      </w:r>
      <w:r w:rsidRPr="00CB7DDC">
        <w:rPr>
          <w:rFonts w:ascii="Calibri" w:eastAsia="Calibri" w:hAnsi="Calibri" w:cs="Calibri"/>
          <w:spacing w:val="-1"/>
        </w:rPr>
        <w:t>с</w:t>
      </w:r>
      <w:r w:rsidRPr="00CB7DDC">
        <w:rPr>
          <w:rFonts w:ascii="Calibri" w:eastAsia="Calibri" w:hAnsi="Calibri" w:cs="Calibri"/>
        </w:rPr>
        <w:t>л</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7"/>
        </w:rPr>
        <w:t xml:space="preserve"> </w:t>
      </w:r>
      <w:r w:rsidRPr="00CB7DDC">
        <w:rPr>
          <w:rFonts w:ascii="Calibri" w:eastAsia="Calibri" w:hAnsi="Calibri" w:cs="Calibri"/>
          <w:spacing w:val="1"/>
        </w:rPr>
        <w:t>к</w:t>
      </w:r>
      <w:r w:rsidRPr="00CB7DDC">
        <w:rPr>
          <w:rFonts w:ascii="Calibri" w:eastAsia="Calibri" w:hAnsi="Calibri" w:cs="Calibri"/>
          <w:spacing w:val="-1"/>
        </w:rPr>
        <w:t>а</w:t>
      </w:r>
      <w:r w:rsidRPr="00CB7DDC">
        <w:rPr>
          <w:rFonts w:ascii="Calibri" w:eastAsia="Calibri" w:hAnsi="Calibri" w:cs="Calibri"/>
        </w:rPr>
        <w:t>то</w:t>
      </w:r>
      <w:r w:rsidRPr="00CB7DDC">
        <w:rPr>
          <w:rFonts w:ascii="Calibri" w:eastAsia="Calibri" w:hAnsi="Calibri" w:cs="Calibri"/>
          <w:spacing w:val="7"/>
        </w:rPr>
        <w:t xml:space="preserve"> </w:t>
      </w:r>
      <w:r w:rsidRPr="00CB7DDC">
        <w:rPr>
          <w:rFonts w:ascii="Calibri" w:eastAsia="Calibri" w:hAnsi="Calibri" w:cs="Calibri"/>
          <w:spacing w:val="1"/>
        </w:rPr>
        <w:t>з</w:t>
      </w:r>
      <w:r w:rsidRPr="00CB7DDC">
        <w:rPr>
          <w:rFonts w:ascii="Calibri" w:eastAsia="Calibri" w:hAnsi="Calibri" w:cs="Calibri"/>
          <w:spacing w:val="-1"/>
        </w:rPr>
        <w:t>ап</w:t>
      </w:r>
      <w:r w:rsidRPr="00CB7DDC">
        <w:rPr>
          <w:rFonts w:ascii="Calibri" w:eastAsia="Calibri" w:hAnsi="Calibri" w:cs="Calibri"/>
        </w:rPr>
        <w:t>о</w:t>
      </w:r>
      <w:r w:rsidRPr="00CB7DDC">
        <w:rPr>
          <w:rFonts w:ascii="Calibri" w:eastAsia="Calibri" w:hAnsi="Calibri" w:cs="Calibri"/>
          <w:spacing w:val="-1"/>
        </w:rPr>
        <w:t>ч</w:t>
      </w:r>
      <w:r w:rsidRPr="00CB7DDC">
        <w:rPr>
          <w:rFonts w:ascii="Calibri" w:eastAsia="Calibri" w:hAnsi="Calibri" w:cs="Calibri"/>
        </w:rPr>
        <w:t>ва</w:t>
      </w:r>
      <w:r w:rsidRPr="00CB7DDC">
        <w:rPr>
          <w:rFonts w:ascii="Calibri" w:eastAsia="Calibri" w:hAnsi="Calibri" w:cs="Calibri"/>
          <w:spacing w:val="6"/>
        </w:rPr>
        <w:t xml:space="preserve"> </w:t>
      </w:r>
      <w:r w:rsidRPr="00CB7DDC">
        <w:rPr>
          <w:rFonts w:ascii="Calibri" w:eastAsia="Calibri" w:hAnsi="Calibri" w:cs="Calibri"/>
          <w:spacing w:val="1"/>
        </w:rPr>
        <w:t>п</w:t>
      </w:r>
      <w:r w:rsidRPr="00CB7DDC">
        <w:rPr>
          <w:rFonts w:ascii="Calibri" w:eastAsia="Calibri" w:hAnsi="Calibri" w:cs="Calibri"/>
        </w:rPr>
        <w:t>ървия</w:t>
      </w:r>
      <w:r w:rsidRPr="00CB7DDC">
        <w:rPr>
          <w:rFonts w:ascii="Calibri" w:eastAsia="Calibri" w:hAnsi="Calibri" w:cs="Calibri"/>
          <w:spacing w:val="7"/>
        </w:rPr>
        <w:t xml:space="preserve"> </w:t>
      </w:r>
      <w:r w:rsidRPr="00CB7DDC">
        <w:rPr>
          <w:rFonts w:ascii="Calibri" w:eastAsia="Calibri" w:hAnsi="Calibri" w:cs="Calibri"/>
          <w:spacing w:val="1"/>
        </w:rPr>
        <w:t>п</w:t>
      </w:r>
      <w:r w:rsidRPr="00CB7DDC">
        <w:rPr>
          <w:rFonts w:ascii="Calibri" w:eastAsia="Calibri" w:hAnsi="Calibri" w:cs="Calibri"/>
          <w:spacing w:val="-1"/>
        </w:rPr>
        <w:t>е</w:t>
      </w:r>
      <w:r w:rsidRPr="00CB7DDC">
        <w:rPr>
          <w:rFonts w:ascii="Calibri" w:eastAsia="Calibri" w:hAnsi="Calibri" w:cs="Calibri"/>
        </w:rPr>
        <w:t>р</w:t>
      </w:r>
      <w:r w:rsidRPr="00CB7DDC">
        <w:rPr>
          <w:rFonts w:ascii="Calibri" w:eastAsia="Calibri" w:hAnsi="Calibri" w:cs="Calibri"/>
          <w:spacing w:val="1"/>
        </w:rPr>
        <w:t>и</w:t>
      </w:r>
      <w:r w:rsidRPr="00CB7DDC">
        <w:rPr>
          <w:rFonts w:ascii="Calibri" w:eastAsia="Calibri" w:hAnsi="Calibri" w:cs="Calibri"/>
        </w:rPr>
        <w:t>од</w:t>
      </w:r>
      <w:r w:rsidRPr="00CB7DDC">
        <w:rPr>
          <w:rFonts w:ascii="Calibri" w:eastAsia="Calibri" w:hAnsi="Calibri" w:cs="Calibri"/>
          <w:spacing w:val="5"/>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4"/>
        </w:rPr>
        <w:t xml:space="preserve"> </w:t>
      </w:r>
      <w:r w:rsidRPr="00CB7DDC">
        <w:rPr>
          <w:rFonts w:ascii="Calibri" w:eastAsia="Calibri" w:hAnsi="Calibri" w:cs="Calibri"/>
        </w:rPr>
        <w:t>б</w:t>
      </w:r>
      <w:r w:rsidRPr="00CB7DDC">
        <w:rPr>
          <w:rFonts w:ascii="Calibri" w:eastAsia="Calibri" w:hAnsi="Calibri" w:cs="Calibri"/>
          <w:spacing w:val="1"/>
        </w:rPr>
        <w:t>и</w:t>
      </w:r>
      <w:r w:rsidRPr="00CB7DDC">
        <w:rPr>
          <w:rFonts w:ascii="Calibri" w:eastAsia="Calibri" w:hAnsi="Calibri" w:cs="Calibri"/>
          <w:spacing w:val="-1"/>
        </w:rPr>
        <w:t>з</w:t>
      </w:r>
      <w:r w:rsidRPr="00CB7DDC">
        <w:rPr>
          <w:rFonts w:ascii="Calibri" w:eastAsia="Calibri" w:hAnsi="Calibri" w:cs="Calibri"/>
          <w:spacing w:val="1"/>
        </w:rPr>
        <w:t>н</w:t>
      </w:r>
      <w:r w:rsidRPr="00CB7DDC">
        <w:rPr>
          <w:rFonts w:ascii="Calibri" w:eastAsia="Calibri" w:hAnsi="Calibri" w:cs="Calibri"/>
          <w:spacing w:val="-1"/>
        </w:rPr>
        <w:t>е</w:t>
      </w:r>
      <w:r w:rsidRPr="00CB7DDC">
        <w:rPr>
          <w:rFonts w:ascii="Calibri" w:eastAsia="Calibri" w:hAnsi="Calibri" w:cs="Calibri"/>
        </w:rPr>
        <w:t>с</w:t>
      </w:r>
      <w:r w:rsidRPr="00CB7DDC">
        <w:rPr>
          <w:rFonts w:ascii="Calibri" w:eastAsia="Calibri" w:hAnsi="Calibri" w:cs="Calibri"/>
          <w:spacing w:val="6"/>
        </w:rPr>
        <w:t xml:space="preserve"> </w:t>
      </w:r>
      <w:r w:rsidRPr="00CB7DDC">
        <w:rPr>
          <w:rFonts w:ascii="Calibri" w:eastAsia="Calibri" w:hAnsi="Calibri" w:cs="Calibri"/>
          <w:spacing w:val="1"/>
        </w:rPr>
        <w:t>п</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ове</w:t>
      </w:r>
      <w:r w:rsidRPr="00CB7DDC">
        <w:rPr>
          <w:rFonts w:ascii="Calibri" w:eastAsia="Calibri" w:hAnsi="Calibri" w:cs="Calibri"/>
          <w:spacing w:val="6"/>
        </w:rPr>
        <w:t xml:space="preserve">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з 2007</w:t>
      </w:r>
      <w:r w:rsidRPr="00CB7DDC">
        <w:rPr>
          <w:rFonts w:ascii="Calibri" w:eastAsia="Calibri" w:hAnsi="Calibri" w:cs="Calibri"/>
          <w:spacing w:val="3"/>
        </w:rPr>
        <w:t xml:space="preserve"> </w:t>
      </w:r>
      <w:r w:rsidRPr="00CB7DDC">
        <w:rPr>
          <w:rFonts w:ascii="Calibri" w:eastAsia="Calibri" w:hAnsi="Calibri" w:cs="Calibri"/>
        </w:rPr>
        <w:t>г.</w:t>
      </w:r>
      <w:r w:rsidRPr="00CB7DDC">
        <w:rPr>
          <w:rFonts w:ascii="Calibri" w:eastAsia="Calibri" w:hAnsi="Calibri" w:cs="Calibri"/>
          <w:spacing w:val="3"/>
        </w:rPr>
        <w:t xml:space="preserve"> </w:t>
      </w:r>
      <w:r w:rsidR="009C60B0" w:rsidRPr="00E92D2E">
        <w:rPr>
          <w:rFonts w:ascii="Calibri" w:eastAsia="Calibri" w:hAnsi="Calibri" w:cs="Times New Roman"/>
        </w:rPr>
        <w:t>На 4 април 2014 г. е подписано Споразумение между МРР и Световна банка за предоставяне на консултантски услуги за подкрепа при засилване функциите и изграждане на капацитет в ДКЕВР и постигане на оптимизация на разходите за постигане на съответствие с Директива 91/271/ЕИО за пречистване на градските отпадъчни води. Мерките включват техническа помощ за Д</w:t>
      </w:r>
      <w:r w:rsidR="009C60B0">
        <w:rPr>
          <w:rFonts w:ascii="Calibri" w:eastAsia="Calibri" w:hAnsi="Calibri" w:cs="Times New Roman"/>
        </w:rPr>
        <w:t>КЕВР</w:t>
      </w:r>
      <w:r w:rsidR="009C60B0" w:rsidRPr="00E92D2E">
        <w:rPr>
          <w:rFonts w:ascii="Calibri" w:eastAsia="Calibri" w:hAnsi="Calibri" w:cs="Times New Roman"/>
        </w:rPr>
        <w:t xml:space="preserve"> (в частта регулиране на отрасъл ВиК), подпомагане измененията на регулаторната рамка с оглед хармонизацията й за завършване на реформата в отрасъл ВиК, предложения за организационна промяна и укрепване на капацитета на комисията за осъществяване на правомощията й.</w:t>
      </w:r>
    </w:p>
    <w:p w:rsidR="00164E61" w:rsidRPr="00BF4843" w:rsidRDefault="00CB7DDC" w:rsidP="009C60B0">
      <w:pPr>
        <w:widowControl w:val="0"/>
        <w:autoSpaceDE w:val="0"/>
        <w:autoSpaceDN w:val="0"/>
        <w:adjustRightInd w:val="0"/>
        <w:spacing w:before="240" w:after="0" w:line="239" w:lineRule="auto"/>
        <w:ind w:right="64"/>
        <w:jc w:val="both"/>
      </w:pPr>
      <w:r w:rsidRPr="00CB7DDC">
        <w:rPr>
          <w:rFonts w:ascii="Calibri" w:eastAsia="Calibri" w:hAnsi="Calibri" w:cs="Calibri"/>
        </w:rPr>
        <w:t>Държ</w:t>
      </w:r>
      <w:r w:rsidRPr="00CB7DDC">
        <w:rPr>
          <w:rFonts w:ascii="Calibri" w:eastAsia="Calibri" w:hAnsi="Calibri" w:cs="Calibri"/>
          <w:spacing w:val="-1"/>
        </w:rPr>
        <w:t>а</w:t>
      </w:r>
      <w:r w:rsidRPr="00CB7DDC">
        <w:rPr>
          <w:rFonts w:ascii="Calibri" w:eastAsia="Calibri" w:hAnsi="Calibri" w:cs="Calibri"/>
        </w:rPr>
        <w:t>вн</w:t>
      </w:r>
      <w:r w:rsidRPr="00CB7DDC">
        <w:rPr>
          <w:rFonts w:ascii="Calibri" w:eastAsia="Calibri" w:hAnsi="Calibri" w:cs="Calibri"/>
          <w:spacing w:val="-1"/>
        </w:rPr>
        <w:t>а</w:t>
      </w:r>
      <w:r w:rsidRPr="00CB7DDC">
        <w:rPr>
          <w:rFonts w:ascii="Calibri" w:eastAsia="Calibri" w:hAnsi="Calibri" w:cs="Calibri"/>
        </w:rPr>
        <w:t>та</w:t>
      </w:r>
      <w:r w:rsidRPr="00CB7DDC">
        <w:rPr>
          <w:rFonts w:ascii="Calibri" w:eastAsia="Calibri" w:hAnsi="Calibri" w:cs="Calibri"/>
          <w:spacing w:val="2"/>
        </w:rPr>
        <w:t xml:space="preserve"> </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м</w:t>
      </w:r>
      <w:r w:rsidRPr="00CB7DDC">
        <w:rPr>
          <w:rFonts w:ascii="Calibri" w:eastAsia="Calibri" w:hAnsi="Calibri" w:cs="Calibri"/>
          <w:spacing w:val="1"/>
        </w:rPr>
        <w:t>и</w:t>
      </w:r>
      <w:r w:rsidRPr="00CB7DDC">
        <w:rPr>
          <w:rFonts w:ascii="Calibri" w:eastAsia="Calibri" w:hAnsi="Calibri" w:cs="Calibri"/>
          <w:spacing w:val="-1"/>
        </w:rPr>
        <w:t>с</w:t>
      </w:r>
      <w:r w:rsidRPr="00CB7DDC">
        <w:rPr>
          <w:rFonts w:ascii="Calibri" w:eastAsia="Calibri" w:hAnsi="Calibri" w:cs="Calibri"/>
          <w:spacing w:val="1"/>
        </w:rPr>
        <w:t>и</w:t>
      </w:r>
      <w:r w:rsidRPr="00CB7DDC">
        <w:rPr>
          <w:rFonts w:ascii="Calibri" w:eastAsia="Calibri" w:hAnsi="Calibri" w:cs="Calibri"/>
        </w:rPr>
        <w:t>я</w:t>
      </w:r>
      <w:r w:rsidRPr="00CB7DDC">
        <w:rPr>
          <w:rFonts w:ascii="Calibri" w:eastAsia="Calibri" w:hAnsi="Calibri" w:cs="Calibri"/>
          <w:spacing w:val="3"/>
        </w:rPr>
        <w:t xml:space="preserve"> </w:t>
      </w:r>
      <w:r w:rsidRPr="00CB7DDC">
        <w:rPr>
          <w:rFonts w:ascii="Calibri" w:eastAsia="Calibri" w:hAnsi="Calibri" w:cs="Calibri"/>
          <w:spacing w:val="1"/>
        </w:rPr>
        <w:t>з</w:t>
      </w:r>
      <w:r w:rsidRPr="00CB7DDC">
        <w:rPr>
          <w:rFonts w:ascii="Calibri" w:eastAsia="Calibri" w:hAnsi="Calibri" w:cs="Calibri"/>
        </w:rPr>
        <w:t>а</w:t>
      </w:r>
      <w:r w:rsidRPr="00CB7DDC">
        <w:rPr>
          <w:rFonts w:ascii="Calibri" w:eastAsia="Calibri" w:hAnsi="Calibri" w:cs="Calibri"/>
          <w:spacing w:val="2"/>
        </w:rPr>
        <w:t xml:space="preserve"> </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spacing w:val="-1"/>
        </w:rPr>
        <w:t>е</w:t>
      </w:r>
      <w:r w:rsidRPr="00CB7DDC">
        <w:rPr>
          <w:rFonts w:ascii="Calibri" w:eastAsia="Calibri" w:hAnsi="Calibri" w:cs="Calibri"/>
        </w:rPr>
        <w:t>рг</w:t>
      </w:r>
      <w:r w:rsidRPr="00CB7DDC">
        <w:rPr>
          <w:rFonts w:ascii="Calibri" w:eastAsia="Calibri" w:hAnsi="Calibri" w:cs="Calibri"/>
          <w:spacing w:val="1"/>
        </w:rPr>
        <w:t>ийн</w:t>
      </w:r>
      <w:r w:rsidRPr="00CB7DDC">
        <w:rPr>
          <w:rFonts w:ascii="Calibri" w:eastAsia="Calibri" w:hAnsi="Calibri" w:cs="Calibri"/>
        </w:rPr>
        <w:t>о и</w:t>
      </w:r>
      <w:r w:rsidRPr="00CB7DDC">
        <w:rPr>
          <w:rFonts w:ascii="Calibri" w:eastAsia="Calibri" w:hAnsi="Calibri" w:cs="Calibri"/>
          <w:spacing w:val="4"/>
        </w:rPr>
        <w:t xml:space="preserve"> </w:t>
      </w:r>
      <w:r w:rsidRPr="00CB7DDC">
        <w:rPr>
          <w:rFonts w:ascii="Calibri" w:eastAsia="Calibri" w:hAnsi="Calibri" w:cs="Calibri"/>
          <w:spacing w:val="-3"/>
        </w:rPr>
        <w:t>в</w:t>
      </w:r>
      <w:r w:rsidRPr="00CB7DDC">
        <w:rPr>
          <w:rFonts w:ascii="Calibri" w:eastAsia="Calibri" w:hAnsi="Calibri" w:cs="Calibri"/>
        </w:rPr>
        <w:t>од</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3"/>
        </w:rPr>
        <w:t xml:space="preserve"> </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2"/>
        </w:rPr>
        <w:t>г</w:t>
      </w:r>
      <w:r w:rsidRPr="00CB7DDC">
        <w:rPr>
          <w:rFonts w:ascii="Calibri" w:eastAsia="Calibri" w:hAnsi="Calibri" w:cs="Calibri"/>
          <w:spacing w:val="-5"/>
        </w:rPr>
        <w:t>у</w:t>
      </w:r>
      <w:r w:rsidRPr="00CB7DDC">
        <w:rPr>
          <w:rFonts w:ascii="Calibri" w:eastAsia="Calibri" w:hAnsi="Calibri" w:cs="Calibri"/>
        </w:rPr>
        <w:t>л</w:t>
      </w:r>
      <w:r w:rsidRPr="00CB7DDC">
        <w:rPr>
          <w:rFonts w:ascii="Calibri" w:eastAsia="Calibri" w:hAnsi="Calibri" w:cs="Calibri"/>
          <w:spacing w:val="1"/>
        </w:rPr>
        <w:t>и</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е</w:t>
      </w:r>
      <w:r w:rsidRPr="00CB7DDC">
        <w:rPr>
          <w:rFonts w:ascii="Calibri" w:eastAsia="Calibri" w:hAnsi="Calibri" w:cs="Calibri"/>
          <w:spacing w:val="8"/>
        </w:rPr>
        <w:t xml:space="preserve"> </w:t>
      </w:r>
      <w:r w:rsidRPr="00CB7DDC">
        <w:rPr>
          <w:rFonts w:ascii="Calibri" w:eastAsia="Calibri" w:hAnsi="Calibri" w:cs="Calibri"/>
          <w:spacing w:val="-1"/>
        </w:rPr>
        <w:t>(</w:t>
      </w:r>
      <w:r w:rsidRPr="00CB7DDC">
        <w:rPr>
          <w:rFonts w:ascii="Calibri" w:eastAsia="Calibri" w:hAnsi="Calibri" w:cs="Calibri"/>
        </w:rPr>
        <w:t>ДК</w:t>
      </w:r>
      <w:r w:rsidRPr="00CB7DDC">
        <w:rPr>
          <w:rFonts w:ascii="Calibri" w:eastAsia="Calibri" w:hAnsi="Calibri" w:cs="Calibri"/>
          <w:spacing w:val="2"/>
        </w:rPr>
        <w:t>Е</w:t>
      </w:r>
      <w:r w:rsidRPr="00CB7DDC">
        <w:rPr>
          <w:rFonts w:ascii="Calibri" w:eastAsia="Calibri" w:hAnsi="Calibri" w:cs="Calibri"/>
          <w:spacing w:val="-2"/>
        </w:rPr>
        <w:t>В</w:t>
      </w:r>
      <w:r w:rsidRPr="00CB7DDC">
        <w:rPr>
          <w:rFonts w:ascii="Calibri" w:eastAsia="Calibri" w:hAnsi="Calibri" w:cs="Calibri"/>
          <w:spacing w:val="2"/>
        </w:rPr>
        <w:t>Р</w:t>
      </w:r>
      <w:r w:rsidRPr="00CB7DDC">
        <w:rPr>
          <w:rFonts w:ascii="Calibri" w:eastAsia="Calibri" w:hAnsi="Calibri" w:cs="Calibri"/>
        </w:rPr>
        <w:t>)</w:t>
      </w:r>
      <w:r w:rsidRPr="00CB7DDC">
        <w:rPr>
          <w:rFonts w:ascii="Calibri" w:eastAsia="Calibri" w:hAnsi="Calibri" w:cs="Calibri"/>
          <w:spacing w:val="2"/>
        </w:rPr>
        <w:t xml:space="preserve"> </w:t>
      </w:r>
      <w:r w:rsidRPr="00CB7DDC">
        <w:rPr>
          <w:rFonts w:ascii="Calibri" w:eastAsia="Calibri" w:hAnsi="Calibri" w:cs="Calibri"/>
        </w:rPr>
        <w:t>е</w:t>
      </w:r>
      <w:r w:rsidRPr="00CB7DDC">
        <w:rPr>
          <w:rFonts w:ascii="Calibri" w:eastAsia="Calibri" w:hAnsi="Calibri" w:cs="Calibri"/>
          <w:spacing w:val="2"/>
        </w:rPr>
        <w:t xml:space="preserve"> </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spacing w:val="2"/>
        </w:rPr>
        <w:t>х</w:t>
      </w:r>
      <w:r w:rsidRPr="00CB7DDC">
        <w:rPr>
          <w:rFonts w:ascii="Calibri" w:eastAsia="Calibri" w:hAnsi="Calibri" w:cs="Calibri"/>
          <w:spacing w:val="1"/>
        </w:rPr>
        <w:t>н</w:t>
      </w:r>
      <w:r w:rsidRPr="00CB7DDC">
        <w:rPr>
          <w:rFonts w:ascii="Calibri" w:eastAsia="Calibri" w:hAnsi="Calibri" w:cs="Calibri"/>
          <w:spacing w:val="2"/>
        </w:rPr>
        <w:t>и</w:t>
      </w:r>
      <w:r w:rsidRPr="00CB7DDC">
        <w:rPr>
          <w:rFonts w:ascii="Calibri" w:eastAsia="Calibri" w:hAnsi="Calibri" w:cs="Calibri"/>
          <w:spacing w:val="-1"/>
        </w:rPr>
        <w:t>чес</w:t>
      </w:r>
      <w:r w:rsidRPr="00CB7DDC">
        <w:rPr>
          <w:rFonts w:ascii="Calibri" w:eastAsia="Calibri" w:hAnsi="Calibri" w:cs="Calibri"/>
          <w:spacing w:val="1"/>
        </w:rPr>
        <w:t>ки</w:t>
      </w:r>
      <w:r w:rsidRPr="00CB7DDC">
        <w:rPr>
          <w:rFonts w:ascii="Calibri" w:eastAsia="Calibri" w:hAnsi="Calibri" w:cs="Calibri"/>
        </w:rPr>
        <w:t>ят</w:t>
      </w:r>
      <w:r w:rsidRPr="00CB7DDC">
        <w:rPr>
          <w:rFonts w:ascii="Calibri" w:eastAsia="Calibri" w:hAnsi="Calibri" w:cs="Calibri"/>
          <w:spacing w:val="3"/>
        </w:rPr>
        <w:t xml:space="preserve"> </w:t>
      </w:r>
      <w:r w:rsidRPr="00CB7DDC">
        <w:rPr>
          <w:rFonts w:ascii="Calibri" w:eastAsia="Calibri" w:hAnsi="Calibri" w:cs="Calibri"/>
        </w:rPr>
        <w:t xml:space="preserve">и </w:t>
      </w:r>
      <w:r w:rsidRPr="00CB7DDC">
        <w:rPr>
          <w:rFonts w:ascii="Calibri" w:eastAsia="Calibri" w:hAnsi="Calibri" w:cs="Calibri"/>
          <w:spacing w:val="1"/>
        </w:rPr>
        <w:t>ик</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3"/>
        </w:rPr>
        <w:t>м</w:t>
      </w:r>
      <w:r w:rsidRPr="00CB7DDC">
        <w:rPr>
          <w:rFonts w:ascii="Calibri" w:eastAsia="Calibri" w:hAnsi="Calibri" w:cs="Calibri"/>
          <w:spacing w:val="1"/>
        </w:rPr>
        <w:t>и</w:t>
      </w:r>
      <w:r w:rsidRPr="00CB7DDC">
        <w:rPr>
          <w:rFonts w:ascii="Calibri" w:eastAsia="Calibri" w:hAnsi="Calibri" w:cs="Calibri"/>
          <w:spacing w:val="-1"/>
        </w:rPr>
        <w:t>чес</w:t>
      </w:r>
      <w:r w:rsidRPr="00CB7DDC">
        <w:rPr>
          <w:rFonts w:ascii="Calibri" w:eastAsia="Calibri" w:hAnsi="Calibri" w:cs="Calibri"/>
          <w:spacing w:val="1"/>
        </w:rPr>
        <w:t>к</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2"/>
        </w:rPr>
        <w:t>г</w:t>
      </w:r>
      <w:r w:rsidRPr="00CB7DDC">
        <w:rPr>
          <w:rFonts w:ascii="Calibri" w:eastAsia="Calibri" w:hAnsi="Calibri" w:cs="Calibri"/>
          <w:spacing w:val="-5"/>
        </w:rPr>
        <w:t>у</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2"/>
        </w:rPr>
        <w:t>о</w:t>
      </w:r>
      <w:r w:rsidRPr="00CB7DDC">
        <w:rPr>
          <w:rFonts w:ascii="Calibri" w:eastAsia="Calibri" w:hAnsi="Calibri" w:cs="Calibri"/>
        </w:rPr>
        <w:t>р</w:t>
      </w:r>
      <w:r w:rsidRPr="00CB7DDC">
        <w:rPr>
          <w:rFonts w:ascii="Calibri" w:eastAsia="Calibri" w:hAnsi="Calibri" w:cs="Calibri"/>
          <w:spacing w:val="2"/>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4"/>
        </w:rPr>
        <w:t xml:space="preserve"> </w:t>
      </w:r>
      <w:r w:rsidRPr="00CB7DDC">
        <w:rPr>
          <w:rFonts w:ascii="Calibri" w:eastAsia="Calibri" w:hAnsi="Calibri" w:cs="Calibri"/>
          <w:spacing w:val="-5"/>
        </w:rPr>
        <w:t>у</w:t>
      </w:r>
      <w:r w:rsidRPr="00CB7DDC">
        <w:rPr>
          <w:rFonts w:ascii="Calibri" w:eastAsia="Calibri" w:hAnsi="Calibri" w:cs="Calibri"/>
          <w:spacing w:val="-1"/>
        </w:rPr>
        <w:t>с</w:t>
      </w:r>
      <w:r w:rsidRPr="00CB7DDC">
        <w:rPr>
          <w:rFonts w:ascii="Calibri" w:eastAsia="Calibri" w:hAnsi="Calibri" w:cs="Calibri"/>
          <w:spacing w:val="5"/>
        </w:rPr>
        <w:t>л</w:t>
      </w:r>
      <w:r w:rsidRPr="00CB7DDC">
        <w:rPr>
          <w:rFonts w:ascii="Calibri" w:eastAsia="Calibri" w:hAnsi="Calibri" w:cs="Calibri"/>
          <w:spacing w:val="-5"/>
        </w:rPr>
        <w:t>у</w:t>
      </w:r>
      <w:r w:rsidRPr="00CB7DDC">
        <w:rPr>
          <w:rFonts w:ascii="Calibri" w:eastAsia="Calibri" w:hAnsi="Calibri" w:cs="Calibri"/>
        </w:rPr>
        <w:t>г</w:t>
      </w:r>
      <w:r w:rsidRPr="00CB7DDC">
        <w:rPr>
          <w:rFonts w:ascii="Calibri" w:eastAsia="Calibri" w:hAnsi="Calibri" w:cs="Calibri"/>
          <w:spacing w:val="1"/>
        </w:rPr>
        <w:t>и</w:t>
      </w:r>
      <w:r w:rsidRPr="00CB7DDC">
        <w:rPr>
          <w:rFonts w:ascii="Calibri" w:eastAsia="Calibri" w:hAnsi="Calibri" w:cs="Calibri"/>
        </w:rPr>
        <w:t>те</w:t>
      </w:r>
      <w:r w:rsidRPr="00CB7DDC">
        <w:rPr>
          <w:rFonts w:ascii="Calibri" w:eastAsia="Calibri" w:hAnsi="Calibri" w:cs="Calibri"/>
          <w:spacing w:val="1"/>
        </w:rPr>
        <w:t xml:space="preserve"> </w:t>
      </w:r>
      <w:r w:rsidRPr="00CB7DDC">
        <w:rPr>
          <w:rFonts w:ascii="Calibri" w:eastAsia="Calibri" w:hAnsi="Calibri" w:cs="Calibri"/>
        </w:rPr>
        <w:t>в</w:t>
      </w:r>
      <w:r w:rsidRPr="00CB7DDC">
        <w:rPr>
          <w:rFonts w:ascii="Calibri" w:eastAsia="Calibri" w:hAnsi="Calibri" w:cs="Calibri"/>
          <w:spacing w:val="1"/>
        </w:rPr>
        <w:t xml:space="preserve"> </w:t>
      </w:r>
      <w:r w:rsidRPr="00CB7DDC">
        <w:rPr>
          <w:rFonts w:ascii="Calibri" w:eastAsia="Calibri" w:hAnsi="Calibri" w:cs="Calibri"/>
          <w:spacing w:val="-1"/>
        </w:rPr>
        <w:t>Б</w:t>
      </w:r>
      <w:r w:rsidRPr="00CB7DDC">
        <w:rPr>
          <w:rFonts w:ascii="Calibri" w:eastAsia="Calibri" w:hAnsi="Calibri" w:cs="Calibri"/>
        </w:rPr>
        <w:t>ъ</w:t>
      </w:r>
      <w:r w:rsidRPr="00CB7DDC">
        <w:rPr>
          <w:rFonts w:ascii="Calibri" w:eastAsia="Calibri" w:hAnsi="Calibri" w:cs="Calibri"/>
          <w:spacing w:val="1"/>
        </w:rPr>
        <w:t>л</w:t>
      </w:r>
      <w:r w:rsidRPr="00CB7DDC">
        <w:rPr>
          <w:rFonts w:ascii="Calibri" w:eastAsia="Calibri" w:hAnsi="Calibri" w:cs="Calibri"/>
        </w:rPr>
        <w:t>г</w:t>
      </w:r>
      <w:r w:rsidRPr="00CB7DDC">
        <w:rPr>
          <w:rFonts w:ascii="Calibri" w:eastAsia="Calibri" w:hAnsi="Calibri" w:cs="Calibri"/>
          <w:spacing w:val="-1"/>
        </w:rPr>
        <w:t>а</w:t>
      </w:r>
      <w:r w:rsidRPr="00CB7DDC">
        <w:rPr>
          <w:rFonts w:ascii="Calibri" w:eastAsia="Calibri" w:hAnsi="Calibri" w:cs="Calibri"/>
        </w:rPr>
        <w:t>р</w:t>
      </w:r>
      <w:r w:rsidRPr="00CB7DDC">
        <w:rPr>
          <w:rFonts w:ascii="Calibri" w:eastAsia="Calibri" w:hAnsi="Calibri" w:cs="Calibri"/>
          <w:spacing w:val="1"/>
        </w:rPr>
        <w:t>и</w:t>
      </w:r>
      <w:r w:rsidRPr="00CB7DDC">
        <w:rPr>
          <w:rFonts w:ascii="Calibri" w:eastAsia="Calibri" w:hAnsi="Calibri" w:cs="Calibri"/>
          <w:spacing w:val="6"/>
        </w:rPr>
        <w:t>я</w:t>
      </w:r>
      <w:r w:rsidRPr="00CB7DDC">
        <w:rPr>
          <w:rFonts w:ascii="Calibri" w:eastAsia="Calibri" w:hAnsi="Calibri" w:cs="Calibri"/>
        </w:rPr>
        <w:t>.</w:t>
      </w:r>
      <w:r w:rsidRPr="00CB7DDC">
        <w:rPr>
          <w:rFonts w:ascii="Calibri" w:eastAsia="Calibri" w:hAnsi="Calibri" w:cs="Calibri"/>
          <w:spacing w:val="2"/>
        </w:rPr>
        <w:t xml:space="preserve"> </w:t>
      </w:r>
      <w:r w:rsidR="00164E61" w:rsidRPr="00164E61">
        <w:rPr>
          <w:rFonts w:ascii="Calibri" w:eastAsia="Calibri" w:hAnsi="Calibri" w:cs="Calibri"/>
          <w:bCs/>
        </w:rPr>
        <w:t xml:space="preserve">Цените на ВиК услугите се регулират от </w:t>
      </w:r>
      <w:r w:rsidR="00164E61">
        <w:rPr>
          <w:rFonts w:ascii="Calibri" w:eastAsia="Calibri" w:hAnsi="Calibri" w:cs="Calibri"/>
          <w:bCs/>
        </w:rPr>
        <w:t>ДКЕВР</w:t>
      </w:r>
      <w:r w:rsidR="00164E61" w:rsidRPr="00164E61">
        <w:rPr>
          <w:rFonts w:ascii="Calibri" w:eastAsia="Calibri" w:hAnsi="Calibri" w:cs="Calibri"/>
          <w:bCs/>
        </w:rPr>
        <w:t xml:space="preserve"> в съответствие с чл. 6 от Закона за регулиране на ВиК услугите (Обн. ДВ. бр. 18 от 25 Февруари 2005 г., посл. изм. ДВ. бр.103 от 29 Ноември 2013 г.)</w:t>
      </w:r>
      <w:r w:rsidR="00164E61">
        <w:rPr>
          <w:rFonts w:ascii="Calibri" w:eastAsia="Calibri" w:hAnsi="Calibri" w:cs="Calibri"/>
          <w:bCs/>
        </w:rPr>
        <w:t>, съгласно който п</w:t>
      </w:r>
      <w:r w:rsidR="00164E61" w:rsidRPr="00BF4843">
        <w:t xml:space="preserve">ри осъществяване на дейността си </w:t>
      </w:r>
      <w:r w:rsidR="00164E61">
        <w:t>К</w:t>
      </w:r>
      <w:r w:rsidR="00164E61" w:rsidRPr="00BF4843">
        <w:t xml:space="preserve">омисията се ръководи от </w:t>
      </w:r>
      <w:r w:rsidR="00164E61">
        <w:t xml:space="preserve">принципа за </w:t>
      </w:r>
      <w:r w:rsidR="00164E61" w:rsidRPr="00BF4843">
        <w:t xml:space="preserve">осигуряване на условия за предоставяне </w:t>
      </w:r>
      <w:r w:rsidR="00164E61" w:rsidRPr="00BF4843">
        <w:lastRenderedPageBreak/>
        <w:t>на всеобщ до</w:t>
      </w:r>
      <w:r w:rsidR="00164E61">
        <w:t>стъп и социална поносимост на В</w:t>
      </w:r>
      <w:r w:rsidR="00164E61" w:rsidRPr="00BF4843">
        <w:t>иК услугите</w:t>
      </w:r>
      <w:r w:rsidR="00164E61">
        <w:t xml:space="preserve">. Съгласно </w:t>
      </w:r>
      <w:r w:rsidR="00164E61">
        <w:rPr>
          <w:rFonts w:ascii="Verdana" w:hAnsi="Verdana"/>
          <w:color w:val="000000"/>
          <w:sz w:val="18"/>
          <w:szCs w:val="18"/>
          <w:shd w:val="clear" w:color="auto" w:fill="FEFEFE"/>
        </w:rPr>
        <w:t>§ 1. (1), т. 4 от Допълнителните разпоредби на Закона с</w:t>
      </w:r>
      <w:r w:rsidR="00164E61" w:rsidRPr="00BF4843">
        <w:t>оциа</w:t>
      </w:r>
      <w:r w:rsidR="00164E61">
        <w:t>лна поносимост на цената на Ви</w:t>
      </w:r>
      <w:r w:rsidR="00164E61" w:rsidRPr="00BF4843">
        <w:t>К услугите е налице в случаите, когато тяхната стойност, определена на база минимално месечно потребление на вода за питейно-битови нужди от 2,8 куб. м на едно лице, не надхвърля 4 на сто от средния месечен доход на домакинство в съответния регион</w:t>
      </w:r>
      <w:r w:rsidR="00164E61">
        <w:t>.</w:t>
      </w:r>
    </w:p>
    <w:p w:rsidR="00164E61" w:rsidRPr="00D23138" w:rsidRDefault="00164E61" w:rsidP="00E90753">
      <w:pPr>
        <w:widowControl w:val="0"/>
        <w:autoSpaceDE w:val="0"/>
        <w:autoSpaceDN w:val="0"/>
        <w:adjustRightInd w:val="0"/>
        <w:spacing w:before="240" w:after="0" w:line="240" w:lineRule="auto"/>
        <w:ind w:right="67"/>
        <w:jc w:val="both"/>
      </w:pPr>
      <w:r w:rsidRPr="00164E61">
        <w:rPr>
          <w:rFonts w:ascii="Calibri" w:eastAsia="Calibri" w:hAnsi="Calibri" w:cs="Calibri"/>
          <w:bCs/>
        </w:rPr>
        <w:t>Цените на ВиК услугите се регулират от ДКЕВР и съгласно Наредбата за регулиране на цените на водоснабдителните и канализационните услуги (Обн. ДВ. бр. 32 от 18 април 2006 г.).</w:t>
      </w:r>
      <w:r>
        <w:rPr>
          <w:rFonts w:ascii="Calibri" w:eastAsia="Calibri" w:hAnsi="Calibri" w:cs="Calibri"/>
          <w:bCs/>
        </w:rPr>
        <w:t xml:space="preserve"> </w:t>
      </w:r>
      <w:r w:rsidRPr="00D23138">
        <w:t xml:space="preserve">С наредбата се определят методите за регулиране на </w:t>
      </w:r>
      <w:r>
        <w:t>В</w:t>
      </w:r>
      <w:r w:rsidRPr="00D23138">
        <w:t>иК цените, правилата за тяхното образуване или изменение, редът за предоставяне на информация, внасяне на предложенията за цени и утвърждаването на цените и тяхната структура.</w:t>
      </w:r>
      <w:r w:rsidR="00E90753">
        <w:t xml:space="preserve"> </w:t>
      </w:r>
      <w:r w:rsidRPr="00D23138">
        <w:t>Комисията прилага следните основни методи на ценово регулиране:</w:t>
      </w:r>
    </w:p>
    <w:p w:rsidR="00164E61" w:rsidRPr="00D23138" w:rsidRDefault="00164E61" w:rsidP="009C1CFD">
      <w:pPr>
        <w:numPr>
          <w:ilvl w:val="0"/>
          <w:numId w:val="7"/>
        </w:numPr>
        <w:tabs>
          <w:tab w:val="left" w:pos="993"/>
        </w:tabs>
        <w:autoSpaceDE w:val="0"/>
        <w:autoSpaceDN w:val="0"/>
        <w:adjustRightInd w:val="0"/>
        <w:spacing w:before="240" w:after="120" w:line="276" w:lineRule="auto"/>
        <w:ind w:left="993"/>
        <w:jc w:val="both"/>
      </w:pPr>
      <w:r w:rsidRPr="00D23138">
        <w:t>"Норма на възвръщаемост на капитала" ("разходи плюс"), при който</w:t>
      </w:r>
      <w:r>
        <w:t xml:space="preserve"> </w:t>
      </w:r>
      <w:r w:rsidRPr="00D23138">
        <w:t>комисията утвърждава цени и наблюдава текущо фактическите стойности на</w:t>
      </w:r>
      <w:r>
        <w:t xml:space="preserve"> </w:t>
      </w:r>
      <w:r w:rsidRPr="00D23138">
        <w:t>необходимите приходи на ВиК оператора и техните компоненти; регулаторният</w:t>
      </w:r>
      <w:r>
        <w:t xml:space="preserve"> </w:t>
      </w:r>
      <w:r w:rsidRPr="00D23138">
        <w:t>период е не по-кратък от една година;</w:t>
      </w:r>
    </w:p>
    <w:p w:rsidR="00164E61" w:rsidRPr="00D23138" w:rsidRDefault="00164E61" w:rsidP="009C1CFD">
      <w:pPr>
        <w:numPr>
          <w:ilvl w:val="0"/>
          <w:numId w:val="7"/>
        </w:numPr>
        <w:tabs>
          <w:tab w:val="left" w:pos="993"/>
        </w:tabs>
        <w:autoSpaceDE w:val="0"/>
        <w:autoSpaceDN w:val="0"/>
        <w:adjustRightInd w:val="0"/>
        <w:spacing w:before="240" w:after="120" w:line="276" w:lineRule="auto"/>
        <w:ind w:left="993"/>
        <w:jc w:val="both"/>
      </w:pPr>
      <w:r w:rsidRPr="00D23138">
        <w:t>Регулиране чрез стимули, при което регулаторният период е от 3 до 5 години:</w:t>
      </w:r>
    </w:p>
    <w:p w:rsidR="00164E61" w:rsidRPr="00D23138" w:rsidRDefault="00164E61" w:rsidP="009C1CFD">
      <w:pPr>
        <w:numPr>
          <w:ilvl w:val="0"/>
          <w:numId w:val="6"/>
        </w:numPr>
        <w:spacing w:after="200" w:line="276" w:lineRule="auto"/>
        <w:ind w:left="1276"/>
        <w:jc w:val="both"/>
      </w:pPr>
      <w:r w:rsidRPr="00D23138">
        <w:t>"Горна граница на цени", при който</w:t>
      </w:r>
      <w:r>
        <w:t xml:space="preserve"> комисията утвърждава цени на Ви</w:t>
      </w:r>
      <w:r w:rsidRPr="00D23138">
        <w:t>К</w:t>
      </w:r>
      <w:r>
        <w:t xml:space="preserve"> </w:t>
      </w:r>
      <w:r w:rsidRPr="00D23138">
        <w:t xml:space="preserve">оператора за първата година от регулаторния период и ги изменя в края на всяка година с инфлационен индекс, намален с коефициент за подобряване ефективността на ВиК оператора. </w:t>
      </w:r>
    </w:p>
    <w:p w:rsidR="00164E61" w:rsidRPr="00D23138" w:rsidRDefault="00164E61" w:rsidP="009C1CFD">
      <w:pPr>
        <w:numPr>
          <w:ilvl w:val="0"/>
          <w:numId w:val="6"/>
        </w:numPr>
        <w:spacing w:after="200" w:line="276" w:lineRule="auto"/>
        <w:ind w:left="1276"/>
        <w:jc w:val="both"/>
      </w:pPr>
      <w:r w:rsidRPr="00D23138">
        <w:t>"Горна граница на приходи", при ко</w:t>
      </w:r>
      <w:r>
        <w:t>я</w:t>
      </w:r>
      <w:r w:rsidRPr="00D23138">
        <w:t>то комисията утвърждава необходими</w:t>
      </w:r>
      <w:r>
        <w:t xml:space="preserve"> </w:t>
      </w:r>
      <w:r w:rsidRPr="00D23138">
        <w:t>приходи на ВиК оператора за първата година от регулаторния период и ги изменя в края на всяка година с инфлационен индекс, намален с</w:t>
      </w:r>
      <w:r>
        <w:t xml:space="preserve"> </w:t>
      </w:r>
      <w:r w:rsidRPr="00D23138">
        <w:t>коефициент за подобряване ефективността на ВиК оператора, и с разлики между</w:t>
      </w:r>
      <w:r>
        <w:t xml:space="preserve"> </w:t>
      </w:r>
      <w:r w:rsidRPr="00D23138">
        <w:t>прогнозните и действителните необходими приходи, породени от разликата между</w:t>
      </w:r>
      <w:r>
        <w:t xml:space="preserve"> </w:t>
      </w:r>
      <w:r w:rsidRPr="00D23138">
        <w:t>прогнозните и действителните показатели за промените в количествата доставени,</w:t>
      </w:r>
      <w:r>
        <w:t xml:space="preserve"> </w:t>
      </w:r>
      <w:r w:rsidRPr="00D23138">
        <w:t>отведени и/или пречистени води и за броя на потребителите за предишни ценови</w:t>
      </w:r>
      <w:r>
        <w:t xml:space="preserve"> </w:t>
      </w:r>
      <w:r w:rsidRPr="00D23138">
        <w:t>периоди.</w:t>
      </w:r>
    </w:p>
    <w:p w:rsidR="009C60B0" w:rsidRDefault="009D2DBF" w:rsidP="009D6DA0">
      <w:pPr>
        <w:jc w:val="both"/>
        <w:rPr>
          <w:rFonts w:eastAsia="Calibri" w:cstheme="minorHAnsi"/>
        </w:rPr>
      </w:pPr>
      <w:r w:rsidRPr="009D6DA0">
        <w:rPr>
          <w:rFonts w:eastAsia="Calibri" w:cstheme="minorHAnsi"/>
        </w:rPr>
        <w:t>Начинът на формиране на цените на ВиК услугите в страната обуславя и ниската еластичност на търсенето</w:t>
      </w:r>
      <w:r w:rsidRPr="009D6DA0">
        <w:rPr>
          <w:rFonts w:cstheme="minorHAnsi"/>
          <w:vertAlign w:val="superscript"/>
        </w:rPr>
        <w:footnoteReference w:id="5"/>
      </w:r>
      <w:r w:rsidRPr="009D6DA0">
        <w:rPr>
          <w:rFonts w:eastAsia="Calibri" w:cstheme="minorHAnsi"/>
        </w:rPr>
        <w:t>, а от там и търговските загуби на ВиК операторите от понижената събираемост на сметките за предоставяните услуги, които оказват значително влияние върху способността на ВиК дружествата да генерират достатъчно приходи за инвестиции и реинвестиции в сектора.</w:t>
      </w:r>
    </w:p>
    <w:p w:rsidR="009C60B0" w:rsidRDefault="009C60B0" w:rsidP="009C60B0">
      <w:pPr>
        <w:jc w:val="both"/>
        <w:rPr>
          <w:rFonts w:ascii="Calibri" w:eastAsia="Calibri" w:hAnsi="Calibri" w:cs="Calibri"/>
          <w:lang w:val="en-US"/>
        </w:rPr>
      </w:pPr>
      <w:r w:rsidRPr="009C60B0">
        <w:rPr>
          <w:rFonts w:ascii="Calibri" w:eastAsia="Calibri" w:hAnsi="Calibri" w:cs="Calibri"/>
        </w:rPr>
        <w:t xml:space="preserve">За планиране на инвестициите в отрасъл ВиК са разработени </w:t>
      </w:r>
      <w:r>
        <w:rPr>
          <w:rFonts w:eastAsia="Calibri" w:cstheme="minorHAnsi"/>
        </w:rPr>
        <w:t>51 Регионални генерални планове</w:t>
      </w:r>
      <w:r w:rsidRPr="009C60B0">
        <w:rPr>
          <w:rFonts w:ascii="Calibri" w:eastAsia="Calibri" w:hAnsi="Calibri" w:cs="Calibri"/>
        </w:rPr>
        <w:t xml:space="preserve"> за ВиК системите.</w:t>
      </w:r>
      <w:r>
        <w:rPr>
          <w:rFonts w:eastAsia="Calibri" w:cstheme="minorHAnsi"/>
        </w:rPr>
        <w:t xml:space="preserve"> </w:t>
      </w:r>
      <w:r w:rsidRPr="009C60B0">
        <w:rPr>
          <w:rFonts w:ascii="Calibri" w:eastAsia="Calibri" w:hAnsi="Calibri" w:cs="Calibri"/>
        </w:rPr>
        <w:t>Те дават оценка на състоянието на системите и съоръженията, планират и приоритизират</w:t>
      </w:r>
      <w:r>
        <w:rPr>
          <w:rFonts w:eastAsia="Calibri" w:cstheme="minorHAnsi"/>
        </w:rPr>
        <w:t xml:space="preserve"> </w:t>
      </w:r>
      <w:r w:rsidRPr="009C60B0">
        <w:rPr>
          <w:rFonts w:ascii="Calibri" w:eastAsia="Calibri" w:hAnsi="Calibri" w:cs="Calibri"/>
        </w:rPr>
        <w:t>инвестициите в отрасъла за период от 25 години. Към тях са изготвени и краткосрочна, средносрочна и дългосрочна инвестиционни програми.</w:t>
      </w:r>
    </w:p>
    <w:p w:rsidR="00722616" w:rsidRPr="00722616" w:rsidRDefault="00722616" w:rsidP="00722616">
      <w:pPr>
        <w:spacing w:after="0"/>
        <w:jc w:val="both"/>
        <w:rPr>
          <w:rFonts w:ascii="Calibri" w:eastAsia="Calibri" w:hAnsi="Calibri" w:cs="Calibri"/>
          <w:lang w:val="en-US"/>
        </w:rPr>
      </w:pPr>
    </w:p>
    <w:p w:rsidR="00CB7DDC" w:rsidRPr="009C60B0" w:rsidRDefault="00491198" w:rsidP="009C60B0">
      <w:pPr>
        <w:pStyle w:val="Heading3"/>
        <w:jc w:val="both"/>
        <w:rPr>
          <w:rFonts w:asciiTheme="minorHAnsi" w:eastAsia="Calibri" w:hAnsiTheme="minorHAnsi"/>
        </w:rPr>
      </w:pPr>
      <w:bookmarkStart w:id="10" w:name="_Toc399494509"/>
      <w:r w:rsidRPr="009C60B0">
        <w:rPr>
          <w:rFonts w:asciiTheme="minorHAnsi" w:eastAsia="Calibri" w:hAnsiTheme="minorHAnsi"/>
        </w:rPr>
        <w:lastRenderedPageBreak/>
        <w:t xml:space="preserve">1.1.2. </w:t>
      </w:r>
      <w:r w:rsidR="00CB7DDC" w:rsidRPr="009C60B0">
        <w:rPr>
          <w:rFonts w:asciiTheme="minorHAnsi" w:eastAsia="Calibri" w:hAnsiTheme="minorHAnsi"/>
        </w:rPr>
        <w:t>Идентифициране на съществуващите проблеми на пазара във ВиК сектора в България</w:t>
      </w:r>
      <w:bookmarkEnd w:id="10"/>
    </w:p>
    <w:p w:rsidR="00CB7DDC" w:rsidRPr="00CB7DDC" w:rsidRDefault="00CB7DDC" w:rsidP="00CB7DDC">
      <w:pPr>
        <w:widowControl w:val="0"/>
        <w:autoSpaceDE w:val="0"/>
        <w:autoSpaceDN w:val="0"/>
        <w:adjustRightInd w:val="0"/>
        <w:spacing w:before="240" w:after="0" w:line="240" w:lineRule="auto"/>
        <w:ind w:right="64"/>
        <w:jc w:val="both"/>
        <w:rPr>
          <w:rFonts w:ascii="Calibri" w:eastAsia="Calibri" w:hAnsi="Calibri" w:cs="Calibri"/>
        </w:rPr>
      </w:pPr>
      <w:r w:rsidRPr="00CB7DDC">
        <w:rPr>
          <w:rFonts w:ascii="Calibri" w:eastAsia="Calibri" w:hAnsi="Calibri" w:cs="Calibri"/>
        </w:rPr>
        <w:t>По отношение регулацията на ВиК сектора същ</w:t>
      </w:r>
      <w:r w:rsidRPr="00CB7DDC">
        <w:rPr>
          <w:rFonts w:ascii="Calibri" w:eastAsia="Calibri" w:hAnsi="Calibri" w:cs="Calibri"/>
          <w:spacing w:val="-1"/>
        </w:rPr>
        <w:t>ес</w:t>
      </w:r>
      <w:r w:rsidRPr="00CB7DDC">
        <w:rPr>
          <w:rFonts w:ascii="Calibri" w:eastAsia="Calibri" w:hAnsi="Calibri" w:cs="Calibri"/>
        </w:rPr>
        <w:t>т</w:t>
      </w:r>
      <w:r w:rsidRPr="00CB7DDC">
        <w:rPr>
          <w:rFonts w:ascii="Calibri" w:eastAsia="Calibri" w:hAnsi="Calibri" w:cs="Calibri"/>
          <w:spacing w:val="2"/>
        </w:rPr>
        <w:t>в</w:t>
      </w:r>
      <w:r w:rsidRPr="00CB7DDC">
        <w:rPr>
          <w:rFonts w:ascii="Calibri" w:eastAsia="Calibri" w:hAnsi="Calibri" w:cs="Calibri"/>
          <w:spacing w:val="-5"/>
        </w:rPr>
        <w:t>у</w:t>
      </w:r>
      <w:r w:rsidRPr="00CB7DDC">
        <w:rPr>
          <w:rFonts w:ascii="Calibri" w:eastAsia="Calibri" w:hAnsi="Calibri" w:cs="Calibri"/>
          <w:spacing w:val="2"/>
        </w:rPr>
        <w:t>в</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4"/>
        </w:rPr>
        <w:t xml:space="preserve"> </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иц</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из</w:t>
      </w:r>
      <w:r w:rsidRPr="00CB7DDC">
        <w:rPr>
          <w:rFonts w:ascii="Calibri" w:eastAsia="Calibri" w:hAnsi="Calibri" w:cs="Calibri"/>
        </w:rPr>
        <w:t>ви</w:t>
      </w:r>
      <w:r w:rsidRPr="00CB7DDC">
        <w:rPr>
          <w:rFonts w:ascii="Calibri" w:eastAsia="Calibri" w:hAnsi="Calibri" w:cs="Calibri"/>
          <w:spacing w:val="1"/>
        </w:rPr>
        <w:t>к</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с</w:t>
      </w:r>
      <w:r w:rsidRPr="00CB7DDC">
        <w:rPr>
          <w:rFonts w:ascii="Calibri" w:eastAsia="Calibri" w:hAnsi="Calibri" w:cs="Calibri"/>
        </w:rPr>
        <w:t>тва,</w:t>
      </w:r>
      <w:r w:rsidRPr="00CB7DDC">
        <w:rPr>
          <w:rFonts w:ascii="Calibri" w:eastAsia="Calibri" w:hAnsi="Calibri" w:cs="Calibri"/>
          <w:spacing w:val="2"/>
        </w:rPr>
        <w:t xml:space="preserve"> </w:t>
      </w:r>
      <w:r w:rsidRPr="00CB7DDC">
        <w:rPr>
          <w:rFonts w:ascii="Calibri" w:eastAsia="Calibri" w:hAnsi="Calibri" w:cs="Calibri"/>
          <w:spacing w:val="1"/>
        </w:rPr>
        <w:t>п</w:t>
      </w:r>
      <w:r w:rsidRPr="00CB7DDC">
        <w:rPr>
          <w:rFonts w:ascii="Calibri" w:eastAsia="Calibri" w:hAnsi="Calibri" w:cs="Calibri"/>
        </w:rPr>
        <w:t>о</w:t>
      </w:r>
      <w:r w:rsidRPr="00CB7DDC">
        <w:rPr>
          <w:rFonts w:ascii="Calibri" w:eastAsia="Calibri" w:hAnsi="Calibri" w:cs="Calibri"/>
          <w:spacing w:val="2"/>
        </w:rPr>
        <w:t xml:space="preserve"> </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и</w:t>
      </w:r>
      <w:r w:rsidRPr="00CB7DDC">
        <w:rPr>
          <w:rFonts w:ascii="Calibri" w:eastAsia="Calibri" w:hAnsi="Calibri" w:cs="Calibri"/>
        </w:rPr>
        <w:t xml:space="preserve">то </w:t>
      </w:r>
      <w:r w:rsidRPr="00CB7DDC">
        <w:rPr>
          <w:rFonts w:ascii="Calibri" w:eastAsia="Calibri" w:hAnsi="Calibri" w:cs="Calibri"/>
          <w:spacing w:val="-1"/>
        </w:rPr>
        <w:t>с</w:t>
      </w:r>
      <w:r w:rsidRPr="00CB7DDC">
        <w:rPr>
          <w:rFonts w:ascii="Calibri" w:eastAsia="Calibri" w:hAnsi="Calibri" w:cs="Calibri"/>
        </w:rPr>
        <w:t>л</w:t>
      </w:r>
      <w:r w:rsidRPr="00CB7DDC">
        <w:rPr>
          <w:rFonts w:ascii="Calibri" w:eastAsia="Calibri" w:hAnsi="Calibri" w:cs="Calibri"/>
          <w:spacing w:val="-1"/>
        </w:rPr>
        <w:t>е</w:t>
      </w:r>
      <w:r w:rsidRPr="00CB7DDC">
        <w:rPr>
          <w:rFonts w:ascii="Calibri" w:eastAsia="Calibri" w:hAnsi="Calibri" w:cs="Calibri"/>
        </w:rPr>
        <w:t xml:space="preserve">два </w:t>
      </w:r>
      <w:r w:rsidRPr="00CB7DDC">
        <w:rPr>
          <w:rFonts w:ascii="Calibri" w:eastAsia="Calibri" w:hAnsi="Calibri" w:cs="Calibri"/>
          <w:spacing w:val="2"/>
        </w:rPr>
        <w:t>д</w:t>
      </w:r>
      <w:r w:rsidRPr="00CB7DDC">
        <w:rPr>
          <w:rFonts w:ascii="Calibri" w:eastAsia="Calibri" w:hAnsi="Calibri" w:cs="Calibri"/>
        </w:rPr>
        <w:t xml:space="preserve">а </w:t>
      </w:r>
      <w:r w:rsidRPr="00CB7DDC">
        <w:rPr>
          <w:rFonts w:ascii="Calibri" w:eastAsia="Calibri" w:hAnsi="Calibri" w:cs="Calibri"/>
          <w:spacing w:val="1"/>
        </w:rPr>
        <w:t>с</w:t>
      </w:r>
      <w:r w:rsidRPr="00CB7DDC">
        <w:rPr>
          <w:rFonts w:ascii="Calibri" w:eastAsia="Calibri" w:hAnsi="Calibri" w:cs="Calibri"/>
        </w:rPr>
        <w:t>е вз</w:t>
      </w:r>
      <w:r w:rsidRPr="00CB7DDC">
        <w:rPr>
          <w:rFonts w:ascii="Calibri" w:eastAsia="Calibri" w:hAnsi="Calibri" w:cs="Calibri"/>
          <w:spacing w:val="1"/>
        </w:rPr>
        <w:t>е</w:t>
      </w:r>
      <w:r w:rsidRPr="00CB7DDC">
        <w:rPr>
          <w:rFonts w:ascii="Calibri" w:eastAsia="Calibri" w:hAnsi="Calibri" w:cs="Calibri"/>
          <w:spacing w:val="-1"/>
        </w:rPr>
        <w:t>м</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5"/>
        </w:rPr>
        <w:t xml:space="preserve"> </w:t>
      </w:r>
      <w:r w:rsidRPr="00CB7DDC">
        <w:rPr>
          <w:rFonts w:ascii="Calibri" w:eastAsia="Calibri" w:hAnsi="Calibri" w:cs="Calibri"/>
          <w:spacing w:val="-1"/>
        </w:rPr>
        <w:t>с</w:t>
      </w:r>
      <w:r w:rsidRPr="00CB7DDC">
        <w:rPr>
          <w:rFonts w:ascii="Calibri" w:eastAsia="Calibri" w:hAnsi="Calibri" w:cs="Calibri"/>
          <w:spacing w:val="1"/>
        </w:rPr>
        <w:t>п</w:t>
      </w:r>
      <w:r w:rsidRPr="00CB7DDC">
        <w:rPr>
          <w:rFonts w:ascii="Calibri" w:eastAsia="Calibri" w:hAnsi="Calibri" w:cs="Calibri"/>
          <w:spacing w:val="-1"/>
        </w:rPr>
        <w:t>е</w:t>
      </w:r>
      <w:r w:rsidRPr="00CB7DDC">
        <w:rPr>
          <w:rFonts w:ascii="Calibri" w:eastAsia="Calibri" w:hAnsi="Calibri" w:cs="Calibri"/>
        </w:rPr>
        <w:t>ш</w:t>
      </w:r>
      <w:r w:rsidRPr="00CB7DDC">
        <w:rPr>
          <w:rFonts w:ascii="Calibri" w:eastAsia="Calibri" w:hAnsi="Calibri" w:cs="Calibri"/>
          <w:spacing w:val="1"/>
        </w:rPr>
        <w:t>н</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spacing w:val="-1"/>
        </w:rPr>
        <w:t>ме</w:t>
      </w:r>
      <w:r w:rsidRPr="00CB7DDC">
        <w:rPr>
          <w:rFonts w:ascii="Calibri" w:eastAsia="Calibri" w:hAnsi="Calibri" w:cs="Calibri"/>
        </w:rPr>
        <w:t>р</w:t>
      </w:r>
      <w:r w:rsidRPr="00CB7DDC">
        <w:rPr>
          <w:rFonts w:ascii="Calibri" w:eastAsia="Calibri" w:hAnsi="Calibri" w:cs="Calibri"/>
          <w:spacing w:val="1"/>
        </w:rPr>
        <w:t>ки</w:t>
      </w:r>
      <w:r w:rsidRPr="00CB7DDC">
        <w:rPr>
          <w:rFonts w:ascii="Calibri" w:eastAsia="Calibri" w:hAnsi="Calibri" w:cs="Calibri"/>
          <w:spacing w:val="1"/>
          <w:vertAlign w:val="superscript"/>
        </w:rPr>
        <w:footnoteReference w:id="6"/>
      </w:r>
      <w:r w:rsidRPr="00CB7DDC">
        <w:rPr>
          <w:rFonts w:ascii="Calibri" w:eastAsia="Calibri" w:hAnsi="Calibri" w:cs="Calibri"/>
        </w:rPr>
        <w:t>. Т</w:t>
      </w:r>
      <w:r w:rsidRPr="00CB7DDC">
        <w:rPr>
          <w:rFonts w:ascii="Calibri" w:eastAsia="Calibri" w:hAnsi="Calibri" w:cs="Calibri"/>
          <w:spacing w:val="-1"/>
        </w:rPr>
        <w:t>е</w:t>
      </w:r>
      <w:r w:rsidRPr="00CB7DDC">
        <w:rPr>
          <w:rFonts w:ascii="Calibri" w:eastAsia="Calibri" w:hAnsi="Calibri" w:cs="Calibri"/>
          <w:spacing w:val="1"/>
        </w:rPr>
        <w:t>з</w:t>
      </w:r>
      <w:r w:rsidRPr="00CB7DDC">
        <w:rPr>
          <w:rFonts w:ascii="Calibri" w:eastAsia="Calibri" w:hAnsi="Calibri" w:cs="Calibri"/>
        </w:rPr>
        <w:t>и</w:t>
      </w:r>
      <w:r w:rsidRPr="00CB7DDC">
        <w:rPr>
          <w:rFonts w:ascii="Calibri" w:eastAsia="Calibri" w:hAnsi="Calibri" w:cs="Calibri"/>
          <w:spacing w:val="3"/>
        </w:rPr>
        <w:t xml:space="preserve"> </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из</w:t>
      </w:r>
      <w:r w:rsidRPr="00CB7DDC">
        <w:rPr>
          <w:rFonts w:ascii="Calibri" w:eastAsia="Calibri" w:hAnsi="Calibri" w:cs="Calibri"/>
          <w:spacing w:val="-3"/>
        </w:rPr>
        <w:t>в</w:t>
      </w:r>
      <w:r w:rsidRPr="00CB7DDC">
        <w:rPr>
          <w:rFonts w:ascii="Calibri" w:eastAsia="Calibri" w:hAnsi="Calibri" w:cs="Calibri"/>
          <w:spacing w:val="1"/>
        </w:rPr>
        <w:t>ик</w:t>
      </w:r>
      <w:r w:rsidRPr="00CB7DDC">
        <w:rPr>
          <w:rFonts w:ascii="Calibri" w:eastAsia="Calibri" w:hAnsi="Calibri" w:cs="Calibri"/>
          <w:spacing w:val="-1"/>
        </w:rPr>
        <w:t>а</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с</w:t>
      </w:r>
      <w:r w:rsidRPr="00CB7DDC">
        <w:rPr>
          <w:rFonts w:ascii="Calibri" w:eastAsia="Calibri" w:hAnsi="Calibri" w:cs="Calibri"/>
        </w:rPr>
        <w:t>тва</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rPr>
        <w:t>е</w:t>
      </w:r>
      <w:r w:rsidRPr="00CB7DDC">
        <w:rPr>
          <w:rFonts w:ascii="Calibri" w:eastAsia="Calibri" w:hAnsi="Calibri" w:cs="Calibri"/>
          <w:spacing w:val="2"/>
        </w:rPr>
        <w:t xml:space="preserve"> </w:t>
      </w:r>
      <w:r w:rsidRPr="00CB7DDC">
        <w:rPr>
          <w:rFonts w:ascii="Calibri" w:eastAsia="Calibri" w:hAnsi="Calibri" w:cs="Calibri"/>
        </w:rPr>
        <w:t>от</w:t>
      </w:r>
      <w:r w:rsidRPr="00CB7DDC">
        <w:rPr>
          <w:rFonts w:ascii="Calibri" w:eastAsia="Calibri" w:hAnsi="Calibri" w:cs="Calibri"/>
          <w:spacing w:val="2"/>
        </w:rPr>
        <w:t>н</w:t>
      </w:r>
      <w:r w:rsidRPr="00CB7DDC">
        <w:rPr>
          <w:rFonts w:ascii="Calibri" w:eastAsia="Calibri" w:hAnsi="Calibri" w:cs="Calibri"/>
          <w:spacing w:val="-1"/>
        </w:rPr>
        <w:t>ас</w:t>
      </w:r>
      <w:r w:rsidRPr="00CB7DDC">
        <w:rPr>
          <w:rFonts w:ascii="Calibri" w:eastAsia="Calibri" w:hAnsi="Calibri" w:cs="Calibri"/>
        </w:rPr>
        <w:t>ят</w:t>
      </w:r>
      <w:r w:rsidRPr="00CB7DDC">
        <w:rPr>
          <w:rFonts w:ascii="Calibri" w:eastAsia="Calibri" w:hAnsi="Calibri" w:cs="Calibri"/>
          <w:spacing w:val="2"/>
        </w:rPr>
        <w:t xml:space="preserve"> </w:t>
      </w:r>
      <w:r w:rsidRPr="00CB7DDC">
        <w:rPr>
          <w:rFonts w:ascii="Calibri" w:eastAsia="Calibri" w:hAnsi="Calibri" w:cs="Calibri"/>
        </w:rPr>
        <w:t xml:space="preserve">до </w:t>
      </w:r>
      <w:r w:rsidRPr="00CB7DDC">
        <w:rPr>
          <w:rFonts w:ascii="Calibri" w:eastAsia="Calibri" w:hAnsi="Calibri" w:cs="Calibri"/>
          <w:spacing w:val="1"/>
        </w:rPr>
        <w:t>н</w:t>
      </w:r>
      <w:r w:rsidRPr="00CB7DDC">
        <w:rPr>
          <w:rFonts w:ascii="Calibri" w:eastAsia="Calibri" w:hAnsi="Calibri" w:cs="Calibri"/>
          <w:spacing w:val="-1"/>
        </w:rPr>
        <w:t>е</w:t>
      </w:r>
      <w:r w:rsidRPr="00CB7DDC">
        <w:rPr>
          <w:rFonts w:ascii="Calibri" w:eastAsia="Calibri" w:hAnsi="Calibri" w:cs="Calibri"/>
        </w:rPr>
        <w:t>об</w:t>
      </w:r>
      <w:r w:rsidRPr="00CB7DDC">
        <w:rPr>
          <w:rFonts w:ascii="Calibri" w:eastAsia="Calibri" w:hAnsi="Calibri" w:cs="Calibri"/>
          <w:spacing w:val="2"/>
        </w:rPr>
        <w:t>х</w:t>
      </w:r>
      <w:r w:rsidRPr="00CB7DDC">
        <w:rPr>
          <w:rFonts w:ascii="Calibri" w:eastAsia="Calibri" w:hAnsi="Calibri" w:cs="Calibri"/>
        </w:rPr>
        <w:t>о</w:t>
      </w:r>
      <w:r w:rsidRPr="00CB7DDC">
        <w:rPr>
          <w:rFonts w:ascii="Calibri" w:eastAsia="Calibri" w:hAnsi="Calibri" w:cs="Calibri"/>
          <w:spacing w:val="-2"/>
        </w:rPr>
        <w:t>д</w:t>
      </w:r>
      <w:r w:rsidRPr="00CB7DDC">
        <w:rPr>
          <w:rFonts w:ascii="Calibri" w:eastAsia="Calibri" w:hAnsi="Calibri" w:cs="Calibri"/>
          <w:spacing w:val="1"/>
        </w:rPr>
        <w:t>и</w:t>
      </w:r>
      <w:r w:rsidRPr="00CB7DDC">
        <w:rPr>
          <w:rFonts w:ascii="Calibri" w:eastAsia="Calibri" w:hAnsi="Calibri" w:cs="Calibri"/>
          <w:spacing w:val="-1"/>
        </w:rPr>
        <w:t>м</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тта от:</w:t>
      </w:r>
    </w:p>
    <w:p w:rsidR="00CB7DDC" w:rsidRPr="00CB7DDC" w:rsidRDefault="00CB7DDC" w:rsidP="009C1CFD">
      <w:pPr>
        <w:widowControl w:val="0"/>
        <w:numPr>
          <w:ilvl w:val="3"/>
          <w:numId w:val="4"/>
        </w:numPr>
        <w:autoSpaceDE w:val="0"/>
        <w:autoSpaceDN w:val="0"/>
        <w:adjustRightInd w:val="0"/>
        <w:spacing w:before="240" w:after="0" w:line="240" w:lineRule="auto"/>
        <w:ind w:left="851" w:right="64"/>
        <w:jc w:val="both"/>
        <w:rPr>
          <w:rFonts w:ascii="Calibri" w:eastAsia="Calibri" w:hAnsi="Calibri" w:cs="Calibri"/>
        </w:rPr>
      </w:pPr>
      <w:r w:rsidRPr="00CB7DDC">
        <w:rPr>
          <w:rFonts w:ascii="Calibri" w:eastAsia="Calibri" w:hAnsi="Calibri" w:cs="Calibri"/>
          <w:spacing w:val="1"/>
        </w:rPr>
        <w:t>п</w:t>
      </w:r>
      <w:r w:rsidRPr="00CB7DDC">
        <w:rPr>
          <w:rFonts w:ascii="Calibri" w:eastAsia="Calibri" w:hAnsi="Calibri" w:cs="Calibri"/>
        </w:rPr>
        <w:t>одобряв</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 xml:space="preserve">е </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ц</w:t>
      </w:r>
      <w:r w:rsidRPr="00CB7DDC">
        <w:rPr>
          <w:rFonts w:ascii="Calibri" w:eastAsia="Calibri" w:hAnsi="Calibri" w:cs="Calibri"/>
          <w:spacing w:val="-2"/>
        </w:rPr>
        <w:t>я</w:t>
      </w:r>
      <w:r w:rsidRPr="00CB7DDC">
        <w:rPr>
          <w:rFonts w:ascii="Calibri" w:eastAsia="Calibri" w:hAnsi="Calibri" w:cs="Calibri"/>
        </w:rPr>
        <w:t>ло</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1"/>
        </w:rPr>
        <w:t>н</w:t>
      </w:r>
      <w:r w:rsidRPr="00CB7DDC">
        <w:rPr>
          <w:rFonts w:ascii="Calibri" w:eastAsia="Calibri" w:hAnsi="Calibri" w:cs="Calibri"/>
        </w:rPr>
        <w:t>ото</w:t>
      </w:r>
      <w:r w:rsidRPr="00CB7DDC">
        <w:rPr>
          <w:rFonts w:ascii="Calibri" w:eastAsia="Calibri" w:hAnsi="Calibri" w:cs="Calibri"/>
          <w:spacing w:val="4"/>
        </w:rPr>
        <w:t xml:space="preserve"> </w:t>
      </w:r>
      <w:r w:rsidRPr="00CB7DDC">
        <w:rPr>
          <w:rFonts w:ascii="Calibri" w:eastAsia="Calibri" w:hAnsi="Calibri" w:cs="Calibri"/>
          <w:spacing w:val="-7"/>
        </w:rPr>
        <w:t>у</w:t>
      </w:r>
      <w:r w:rsidRPr="00CB7DDC">
        <w:rPr>
          <w:rFonts w:ascii="Calibri" w:eastAsia="Calibri" w:hAnsi="Calibri" w:cs="Calibri"/>
          <w:spacing w:val="1"/>
        </w:rPr>
        <w:t>п</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rPr>
        <w:t>вл</w:t>
      </w:r>
      <w:r w:rsidRPr="00CB7DDC">
        <w:rPr>
          <w:rFonts w:ascii="Calibri" w:eastAsia="Calibri" w:hAnsi="Calibri" w:cs="Calibri"/>
          <w:spacing w:val="-1"/>
        </w:rPr>
        <w:t>е</w:t>
      </w:r>
      <w:r w:rsidRPr="00CB7DDC">
        <w:rPr>
          <w:rFonts w:ascii="Calibri" w:eastAsia="Calibri" w:hAnsi="Calibri" w:cs="Calibri"/>
          <w:spacing w:val="1"/>
        </w:rPr>
        <w:t>ни</w:t>
      </w:r>
      <w:r w:rsidRPr="00CB7DDC">
        <w:rPr>
          <w:rFonts w:ascii="Calibri" w:eastAsia="Calibri" w:hAnsi="Calibri" w:cs="Calibri"/>
        </w:rPr>
        <w:t>е</w:t>
      </w:r>
      <w:r w:rsidRPr="00CB7DDC">
        <w:rPr>
          <w:rFonts w:ascii="Calibri" w:eastAsia="Calibri" w:hAnsi="Calibri" w:cs="Calibri"/>
          <w:spacing w:val="2"/>
        </w:rPr>
        <w:t xml:space="preserve"> </w:t>
      </w:r>
      <w:r w:rsidRPr="00CB7DDC">
        <w:rPr>
          <w:rFonts w:ascii="Calibri" w:eastAsia="Calibri" w:hAnsi="Calibri" w:cs="Calibri"/>
          <w:spacing w:val="1"/>
        </w:rPr>
        <w:t>н</w:t>
      </w:r>
      <w:r w:rsidRPr="00CB7DDC">
        <w:rPr>
          <w:rFonts w:ascii="Calibri" w:eastAsia="Calibri" w:hAnsi="Calibri" w:cs="Calibri"/>
        </w:rPr>
        <w:t>а отр</w:t>
      </w:r>
      <w:r w:rsidRPr="00CB7DDC">
        <w:rPr>
          <w:rFonts w:ascii="Calibri" w:eastAsia="Calibri" w:hAnsi="Calibri" w:cs="Calibri"/>
          <w:spacing w:val="-1"/>
        </w:rPr>
        <w:t>ас</w:t>
      </w:r>
      <w:r w:rsidRPr="00CB7DDC">
        <w:rPr>
          <w:rFonts w:ascii="Calibri" w:eastAsia="Calibri" w:hAnsi="Calibri" w:cs="Calibri"/>
        </w:rPr>
        <w:t>ъ</w:t>
      </w:r>
      <w:r w:rsidRPr="00CB7DDC">
        <w:rPr>
          <w:rFonts w:ascii="Calibri" w:eastAsia="Calibri" w:hAnsi="Calibri" w:cs="Calibri"/>
          <w:spacing w:val="1"/>
        </w:rPr>
        <w:t>л</w:t>
      </w:r>
      <w:r w:rsidRPr="00CB7DDC">
        <w:rPr>
          <w:rFonts w:ascii="Calibri" w:eastAsia="Calibri" w:hAnsi="Calibri" w:cs="Calibri"/>
          <w:spacing w:val="5"/>
        </w:rPr>
        <w:t>а</w:t>
      </w:r>
      <w:r w:rsidR="003E7FB6">
        <w:rPr>
          <w:rFonts w:ascii="Calibri" w:eastAsia="Calibri" w:hAnsi="Calibri" w:cs="Calibri"/>
          <w:spacing w:val="5"/>
        </w:rPr>
        <w:t xml:space="preserve"> и минимизиране на последствията от изкуствения монопол</w:t>
      </w:r>
      <w:r w:rsidR="009D2DBF">
        <w:rPr>
          <w:rStyle w:val="FootnoteReference"/>
          <w:rFonts w:ascii="Calibri" w:eastAsia="Calibri" w:hAnsi="Calibri" w:cs="Calibri"/>
          <w:spacing w:val="5"/>
        </w:rPr>
        <w:footnoteReference w:id="7"/>
      </w:r>
      <w:r w:rsidRPr="00CB7DDC">
        <w:rPr>
          <w:rFonts w:ascii="Calibri" w:eastAsia="Calibri" w:hAnsi="Calibri" w:cs="Calibri"/>
        </w:rPr>
        <w:t>;</w:t>
      </w:r>
      <w:r w:rsidRPr="00CB7DDC">
        <w:rPr>
          <w:rFonts w:ascii="Calibri" w:eastAsia="Calibri" w:hAnsi="Calibri" w:cs="Calibri"/>
          <w:spacing w:val="1"/>
        </w:rPr>
        <w:t xml:space="preserve"> </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rPr>
      </w:pPr>
      <w:r w:rsidRPr="00CB7DDC">
        <w:rPr>
          <w:rFonts w:ascii="Calibri" w:eastAsia="Calibri" w:hAnsi="Calibri" w:cs="Calibri"/>
        </w:rPr>
        <w:t>о</w:t>
      </w:r>
      <w:r w:rsidRPr="00CB7DDC">
        <w:rPr>
          <w:rFonts w:ascii="Calibri" w:eastAsia="Calibri" w:hAnsi="Calibri" w:cs="Calibri"/>
          <w:spacing w:val="1"/>
        </w:rPr>
        <w:t>п</w:t>
      </w:r>
      <w:r w:rsidRPr="00CB7DDC">
        <w:rPr>
          <w:rFonts w:ascii="Calibri" w:eastAsia="Calibri" w:hAnsi="Calibri" w:cs="Calibri"/>
        </w:rPr>
        <w:t>т</w:t>
      </w:r>
      <w:r w:rsidRPr="00CB7DDC">
        <w:rPr>
          <w:rFonts w:ascii="Calibri" w:eastAsia="Calibri" w:hAnsi="Calibri" w:cs="Calibri"/>
          <w:spacing w:val="1"/>
        </w:rPr>
        <w:t>и</w:t>
      </w:r>
      <w:r w:rsidRPr="00CB7DDC">
        <w:rPr>
          <w:rFonts w:ascii="Calibri" w:eastAsia="Calibri" w:hAnsi="Calibri" w:cs="Calibri"/>
          <w:spacing w:val="-1"/>
        </w:rPr>
        <w:t>ми</w:t>
      </w:r>
      <w:r w:rsidRPr="00CB7DDC">
        <w:rPr>
          <w:rFonts w:ascii="Calibri" w:eastAsia="Calibri" w:hAnsi="Calibri" w:cs="Calibri"/>
          <w:spacing w:val="1"/>
        </w:rPr>
        <w:t>зи</w:t>
      </w:r>
      <w:r w:rsidRPr="00CB7DDC">
        <w:rPr>
          <w:rFonts w:ascii="Calibri" w:eastAsia="Calibri" w:hAnsi="Calibri" w:cs="Calibri"/>
        </w:rPr>
        <w:t>р</w:t>
      </w:r>
      <w:r w:rsidRPr="00CB7DDC">
        <w:rPr>
          <w:rFonts w:ascii="Calibri" w:eastAsia="Calibri" w:hAnsi="Calibri" w:cs="Calibri"/>
          <w:spacing w:val="-3"/>
        </w:rPr>
        <w:t>а</w:t>
      </w:r>
      <w:r w:rsidRPr="00CB7DDC">
        <w:rPr>
          <w:rFonts w:ascii="Calibri" w:eastAsia="Calibri" w:hAnsi="Calibri" w:cs="Calibri"/>
          <w:spacing w:val="1"/>
        </w:rPr>
        <w:t>н</w:t>
      </w:r>
      <w:r w:rsidRPr="00CB7DDC">
        <w:rPr>
          <w:rFonts w:ascii="Calibri" w:eastAsia="Calibri" w:hAnsi="Calibri" w:cs="Calibri"/>
        </w:rPr>
        <w:t xml:space="preserve">е </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с</w:t>
      </w:r>
      <w:r w:rsidRPr="00CB7DDC">
        <w:rPr>
          <w:rFonts w:ascii="Calibri" w:eastAsia="Calibri" w:hAnsi="Calibri" w:cs="Calibri"/>
        </w:rPr>
        <w:t>об</w:t>
      </w:r>
      <w:r w:rsidRPr="00CB7DDC">
        <w:rPr>
          <w:rFonts w:ascii="Calibri" w:eastAsia="Calibri" w:hAnsi="Calibri" w:cs="Calibri"/>
          <w:spacing w:val="-1"/>
        </w:rPr>
        <w:t>с</w:t>
      </w:r>
      <w:r w:rsidRPr="00CB7DDC">
        <w:rPr>
          <w:rFonts w:ascii="Calibri" w:eastAsia="Calibri" w:hAnsi="Calibri" w:cs="Calibri"/>
        </w:rPr>
        <w:t>тв</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1"/>
        </w:rPr>
        <w:t>с</w:t>
      </w:r>
      <w:r w:rsidRPr="00CB7DDC">
        <w:rPr>
          <w:rFonts w:ascii="Calibri" w:eastAsia="Calibri" w:hAnsi="Calibri" w:cs="Calibri"/>
        </w:rPr>
        <w:t xml:space="preserve">тта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5"/>
        </w:rPr>
        <w:t xml:space="preserve">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spacing w:val="1"/>
        </w:rPr>
        <w:t>и</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spacing w:val="-1"/>
        </w:rPr>
        <w:t>м</w:t>
      </w:r>
      <w:r w:rsidRPr="00CB7DDC">
        <w:rPr>
          <w:rFonts w:ascii="Calibri" w:eastAsia="Calibri" w:hAnsi="Calibri" w:cs="Calibri"/>
          <w:spacing w:val="1"/>
        </w:rPr>
        <w:t>и</w:t>
      </w:r>
      <w:r w:rsidRPr="00CB7DDC">
        <w:rPr>
          <w:rFonts w:ascii="Calibri" w:eastAsia="Calibri" w:hAnsi="Calibri" w:cs="Calibri"/>
        </w:rPr>
        <w:t>те и</w:t>
      </w:r>
      <w:r w:rsidRPr="00CB7DDC">
        <w:rPr>
          <w:rFonts w:ascii="Calibri" w:eastAsia="Calibri" w:hAnsi="Calibri" w:cs="Calibri"/>
          <w:spacing w:val="2"/>
        </w:rPr>
        <w:t xml:space="preserve"> </w:t>
      </w:r>
      <w:r w:rsidRPr="00CB7DDC">
        <w:rPr>
          <w:rFonts w:ascii="Calibri" w:eastAsia="Calibri" w:hAnsi="Calibri" w:cs="Calibri"/>
          <w:spacing w:val="-1"/>
        </w:rPr>
        <w:t>с</w:t>
      </w:r>
      <w:r w:rsidRPr="00CB7DDC">
        <w:rPr>
          <w:rFonts w:ascii="Calibri" w:eastAsia="Calibri" w:hAnsi="Calibri" w:cs="Calibri"/>
        </w:rPr>
        <w:t>ъоръж</w:t>
      </w:r>
      <w:r w:rsidRPr="00CB7DDC">
        <w:rPr>
          <w:rFonts w:ascii="Calibri" w:eastAsia="Calibri" w:hAnsi="Calibri" w:cs="Calibri"/>
          <w:spacing w:val="-1"/>
        </w:rPr>
        <w:t>е</w:t>
      </w:r>
      <w:r w:rsidRPr="00CB7DDC">
        <w:rPr>
          <w:rFonts w:ascii="Calibri" w:eastAsia="Calibri" w:hAnsi="Calibri" w:cs="Calibri"/>
          <w:spacing w:val="1"/>
        </w:rPr>
        <w:t>ни</w:t>
      </w:r>
      <w:r w:rsidRPr="00CB7DDC">
        <w:rPr>
          <w:rFonts w:ascii="Calibri" w:eastAsia="Calibri" w:hAnsi="Calibri" w:cs="Calibri"/>
        </w:rPr>
        <w:t>ята</w:t>
      </w:r>
      <w:r w:rsidRPr="00CB7DDC">
        <w:rPr>
          <w:rFonts w:ascii="Calibri" w:eastAsia="Calibri" w:hAnsi="Calibri" w:cs="Calibri"/>
          <w:spacing w:val="5"/>
        </w:rPr>
        <w:t xml:space="preserve"> </w:t>
      </w:r>
      <w:r w:rsidRPr="00CB7DDC">
        <w:rPr>
          <w:rFonts w:ascii="Calibri" w:eastAsia="Calibri" w:hAnsi="Calibri" w:cs="Calibri"/>
        </w:rPr>
        <w:t>и о</w:t>
      </w:r>
      <w:r w:rsidRPr="00CB7DDC">
        <w:rPr>
          <w:rFonts w:ascii="Calibri" w:eastAsia="Calibri" w:hAnsi="Calibri" w:cs="Calibri"/>
          <w:spacing w:val="1"/>
        </w:rPr>
        <w:t>п</w:t>
      </w:r>
      <w:r w:rsidRPr="00CB7DDC">
        <w:rPr>
          <w:rFonts w:ascii="Calibri" w:eastAsia="Calibri" w:hAnsi="Calibri" w:cs="Calibri"/>
          <w:spacing w:val="-1"/>
        </w:rPr>
        <w:t>е</w:t>
      </w:r>
      <w:r w:rsidRPr="00CB7DDC">
        <w:rPr>
          <w:rFonts w:ascii="Calibri" w:eastAsia="Calibri" w:hAnsi="Calibri" w:cs="Calibri"/>
        </w:rPr>
        <w:t>рат</w:t>
      </w:r>
      <w:r w:rsidRPr="00CB7DDC">
        <w:rPr>
          <w:rFonts w:ascii="Calibri" w:eastAsia="Calibri" w:hAnsi="Calibri" w:cs="Calibri"/>
          <w:spacing w:val="1"/>
        </w:rPr>
        <w:t>и</w:t>
      </w:r>
      <w:r w:rsidRPr="00CB7DDC">
        <w:rPr>
          <w:rFonts w:ascii="Calibri" w:eastAsia="Calibri" w:hAnsi="Calibri" w:cs="Calibri"/>
        </w:rPr>
        <w:t>вн</w:t>
      </w:r>
      <w:r w:rsidRPr="00CB7DDC">
        <w:rPr>
          <w:rFonts w:ascii="Calibri" w:eastAsia="Calibri" w:hAnsi="Calibri" w:cs="Calibri"/>
          <w:spacing w:val="1"/>
        </w:rPr>
        <w:t>и</w:t>
      </w:r>
      <w:r w:rsidRPr="00CB7DDC">
        <w:rPr>
          <w:rFonts w:ascii="Calibri" w:eastAsia="Calibri" w:hAnsi="Calibri" w:cs="Calibri"/>
        </w:rPr>
        <w:t>те ро</w:t>
      </w:r>
      <w:r w:rsidRPr="00CB7DDC">
        <w:rPr>
          <w:rFonts w:ascii="Calibri" w:eastAsia="Calibri" w:hAnsi="Calibri" w:cs="Calibri"/>
          <w:spacing w:val="-2"/>
        </w:rPr>
        <w:t>л</w:t>
      </w:r>
      <w:r w:rsidRPr="00CB7DDC">
        <w:rPr>
          <w:rFonts w:ascii="Calibri" w:eastAsia="Calibri" w:hAnsi="Calibri" w:cs="Calibri"/>
          <w:spacing w:val="3"/>
        </w:rPr>
        <w:t>и</w:t>
      </w:r>
      <w:r w:rsidRPr="00CB7DDC">
        <w:rPr>
          <w:rFonts w:ascii="Calibri" w:eastAsia="Calibri" w:hAnsi="Calibri" w:cs="Calibri"/>
        </w:rPr>
        <w:t xml:space="preserve">; </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rPr>
      </w:pPr>
      <w:r w:rsidRPr="00CB7DDC">
        <w:rPr>
          <w:rFonts w:ascii="Calibri" w:eastAsia="Calibri" w:hAnsi="Calibri" w:cs="Calibri"/>
          <w:spacing w:val="1"/>
        </w:rPr>
        <w:t>п</w:t>
      </w:r>
      <w:r w:rsidRPr="00CB7DDC">
        <w:rPr>
          <w:rFonts w:ascii="Calibri" w:eastAsia="Calibri" w:hAnsi="Calibri" w:cs="Calibri"/>
        </w:rPr>
        <w:t>о</w:t>
      </w:r>
      <w:r w:rsidRPr="00CB7DDC">
        <w:rPr>
          <w:rFonts w:ascii="Calibri" w:eastAsia="Calibri" w:hAnsi="Calibri" w:cs="Calibri"/>
          <w:spacing w:val="-1"/>
        </w:rPr>
        <w:t>-</w:t>
      </w:r>
      <w:r w:rsidRPr="00CB7DDC">
        <w:rPr>
          <w:rFonts w:ascii="Calibri" w:eastAsia="Calibri" w:hAnsi="Calibri" w:cs="Calibri"/>
        </w:rPr>
        <w:t>доб</w:t>
      </w:r>
      <w:r w:rsidRPr="00CB7DDC">
        <w:rPr>
          <w:rFonts w:ascii="Calibri" w:eastAsia="Calibri" w:hAnsi="Calibri" w:cs="Calibri"/>
          <w:spacing w:val="1"/>
        </w:rPr>
        <w:t>ъ</w:t>
      </w:r>
      <w:r w:rsidRPr="00CB7DDC">
        <w:rPr>
          <w:rFonts w:ascii="Calibri" w:eastAsia="Calibri" w:hAnsi="Calibri" w:cs="Calibri"/>
        </w:rPr>
        <w:t xml:space="preserve">р </w:t>
      </w:r>
      <w:r w:rsidRPr="00CB7DDC">
        <w:rPr>
          <w:rFonts w:ascii="Calibri" w:eastAsia="Calibri" w:hAnsi="Calibri" w:cs="Calibri"/>
          <w:spacing w:val="5"/>
        </w:rPr>
        <w:t xml:space="preserve"> </w:t>
      </w:r>
      <w:r w:rsidRPr="00CB7DDC">
        <w:rPr>
          <w:rFonts w:ascii="Calibri" w:eastAsia="Calibri" w:hAnsi="Calibri" w:cs="Calibri"/>
        </w:rPr>
        <w:t>б</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 xml:space="preserve">с </w:t>
      </w:r>
      <w:r w:rsidRPr="00CB7DDC">
        <w:rPr>
          <w:rFonts w:ascii="Calibri" w:eastAsia="Calibri" w:hAnsi="Calibri" w:cs="Calibri"/>
          <w:spacing w:val="6"/>
        </w:rPr>
        <w:t xml:space="preserve"> </w:t>
      </w:r>
      <w:r w:rsidRPr="00CB7DDC">
        <w:rPr>
          <w:rFonts w:ascii="Calibri" w:eastAsia="Calibri" w:hAnsi="Calibri" w:cs="Calibri"/>
          <w:spacing w:val="-1"/>
        </w:rPr>
        <w:t>ме</w:t>
      </w:r>
      <w:r w:rsidRPr="00CB7DDC">
        <w:rPr>
          <w:rFonts w:ascii="Calibri" w:eastAsia="Calibri" w:hAnsi="Calibri" w:cs="Calibri"/>
        </w:rPr>
        <w:t>ж</w:t>
      </w:r>
      <w:r w:rsidRPr="00CB7DDC">
        <w:rPr>
          <w:rFonts w:ascii="Calibri" w:eastAsia="Calibri" w:hAnsi="Calibri" w:cs="Calibri"/>
          <w:spacing w:val="5"/>
        </w:rPr>
        <w:t>д</w:t>
      </w:r>
      <w:r w:rsidRPr="00CB7DDC">
        <w:rPr>
          <w:rFonts w:ascii="Calibri" w:eastAsia="Calibri" w:hAnsi="Calibri" w:cs="Calibri"/>
        </w:rPr>
        <w:t xml:space="preserve">у  </w:t>
      </w:r>
      <w:r w:rsidRPr="00CB7DDC">
        <w:rPr>
          <w:rFonts w:ascii="Calibri" w:eastAsia="Calibri" w:hAnsi="Calibri" w:cs="Calibri"/>
          <w:spacing w:val="1"/>
        </w:rPr>
        <w:t>з</w:t>
      </w:r>
      <w:r w:rsidRPr="00CB7DDC">
        <w:rPr>
          <w:rFonts w:ascii="Calibri" w:eastAsia="Calibri" w:hAnsi="Calibri" w:cs="Calibri"/>
          <w:spacing w:val="-1"/>
        </w:rPr>
        <w:t>а</w:t>
      </w:r>
      <w:r w:rsidRPr="00CB7DDC">
        <w:rPr>
          <w:rFonts w:ascii="Calibri" w:eastAsia="Calibri" w:hAnsi="Calibri" w:cs="Calibri"/>
          <w:spacing w:val="1"/>
        </w:rPr>
        <w:t>к</w:t>
      </w:r>
      <w:r w:rsidRPr="00CB7DDC">
        <w:rPr>
          <w:rFonts w:ascii="Calibri" w:eastAsia="Calibri" w:hAnsi="Calibri" w:cs="Calibri"/>
        </w:rPr>
        <w:t>о</w:t>
      </w:r>
      <w:r w:rsidRPr="00CB7DDC">
        <w:rPr>
          <w:rFonts w:ascii="Calibri" w:eastAsia="Calibri" w:hAnsi="Calibri" w:cs="Calibri"/>
          <w:spacing w:val="1"/>
        </w:rPr>
        <w:t>н</w:t>
      </w:r>
      <w:r w:rsidRPr="00CB7DDC">
        <w:rPr>
          <w:rFonts w:ascii="Calibri" w:eastAsia="Calibri" w:hAnsi="Calibri" w:cs="Calibri"/>
        </w:rPr>
        <w:t xml:space="preserve">овите </w:t>
      </w:r>
      <w:r w:rsidRPr="00CB7DDC">
        <w:rPr>
          <w:rFonts w:ascii="Calibri" w:eastAsia="Calibri" w:hAnsi="Calibri" w:cs="Calibri"/>
          <w:spacing w:val="4"/>
        </w:rPr>
        <w:t xml:space="preserve"> </w:t>
      </w:r>
      <w:r w:rsidRPr="00CB7DDC">
        <w:rPr>
          <w:rFonts w:ascii="Calibri" w:eastAsia="Calibri" w:hAnsi="Calibri" w:cs="Calibri"/>
          <w:spacing w:val="1"/>
        </w:rPr>
        <w:t>изи</w:t>
      </w:r>
      <w:r w:rsidRPr="00CB7DDC">
        <w:rPr>
          <w:rFonts w:ascii="Calibri" w:eastAsia="Calibri" w:hAnsi="Calibri" w:cs="Calibri"/>
          <w:spacing w:val="-1"/>
        </w:rPr>
        <w:t>с</w:t>
      </w:r>
      <w:r w:rsidRPr="00CB7DDC">
        <w:rPr>
          <w:rFonts w:ascii="Calibri" w:eastAsia="Calibri" w:hAnsi="Calibri" w:cs="Calibri"/>
          <w:spacing w:val="1"/>
        </w:rPr>
        <w:t>к</w:t>
      </w:r>
      <w:r w:rsidRPr="00CB7DDC">
        <w:rPr>
          <w:rFonts w:ascii="Calibri" w:eastAsia="Calibri" w:hAnsi="Calibri" w:cs="Calibri"/>
        </w:rPr>
        <w:t>в</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 xml:space="preserve">и </w:t>
      </w:r>
      <w:r w:rsidRPr="00CB7DDC">
        <w:rPr>
          <w:rFonts w:ascii="Calibri" w:eastAsia="Calibri" w:hAnsi="Calibri" w:cs="Calibri"/>
          <w:spacing w:val="6"/>
        </w:rPr>
        <w:t xml:space="preserve"> </w:t>
      </w:r>
      <w:r w:rsidRPr="00CB7DDC">
        <w:rPr>
          <w:rFonts w:ascii="Calibri" w:eastAsia="Calibri" w:hAnsi="Calibri" w:cs="Calibri"/>
          <w:spacing w:val="1"/>
        </w:rPr>
        <w:t>з</w:t>
      </w:r>
      <w:r w:rsidRPr="00CB7DDC">
        <w:rPr>
          <w:rFonts w:ascii="Calibri" w:eastAsia="Calibri" w:hAnsi="Calibri" w:cs="Calibri"/>
        </w:rPr>
        <w:t xml:space="preserve">а </w:t>
      </w:r>
      <w:r w:rsidRPr="00CB7DDC">
        <w:rPr>
          <w:rFonts w:ascii="Calibri" w:eastAsia="Calibri" w:hAnsi="Calibri" w:cs="Calibri"/>
          <w:spacing w:val="4"/>
        </w:rPr>
        <w:t xml:space="preserve"> </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2"/>
        </w:rPr>
        <w:t>г</w:t>
      </w:r>
      <w:r w:rsidRPr="00CB7DDC">
        <w:rPr>
          <w:rFonts w:ascii="Calibri" w:eastAsia="Calibri" w:hAnsi="Calibri" w:cs="Calibri"/>
          <w:spacing w:val="-5"/>
        </w:rPr>
        <w:t>у</w:t>
      </w:r>
      <w:r w:rsidRPr="00CB7DDC">
        <w:rPr>
          <w:rFonts w:ascii="Calibri" w:eastAsia="Calibri" w:hAnsi="Calibri" w:cs="Calibri"/>
        </w:rPr>
        <w:t>л</w:t>
      </w:r>
      <w:r w:rsidRPr="00CB7DDC">
        <w:rPr>
          <w:rFonts w:ascii="Calibri" w:eastAsia="Calibri" w:hAnsi="Calibri" w:cs="Calibri"/>
          <w:spacing w:val="1"/>
        </w:rPr>
        <w:t>и</w:t>
      </w:r>
      <w:r w:rsidRPr="00CB7DDC">
        <w:rPr>
          <w:rFonts w:ascii="Calibri" w:eastAsia="Calibri" w:hAnsi="Calibri" w:cs="Calibri"/>
        </w:rPr>
        <w:t>р</w:t>
      </w:r>
      <w:r w:rsidRPr="00CB7DDC">
        <w:rPr>
          <w:rFonts w:ascii="Calibri" w:eastAsia="Calibri" w:hAnsi="Calibri" w:cs="Calibri"/>
          <w:spacing w:val="1"/>
        </w:rPr>
        <w:t>ан</w:t>
      </w:r>
      <w:r w:rsidRPr="00CB7DDC">
        <w:rPr>
          <w:rFonts w:ascii="Calibri" w:eastAsia="Calibri" w:hAnsi="Calibri" w:cs="Calibri"/>
        </w:rPr>
        <w:t xml:space="preserve">е </w:t>
      </w:r>
      <w:r w:rsidRPr="00CB7DDC">
        <w:rPr>
          <w:rFonts w:ascii="Calibri" w:eastAsia="Calibri" w:hAnsi="Calibri" w:cs="Calibri"/>
          <w:spacing w:val="4"/>
        </w:rPr>
        <w:t xml:space="preserve"> </w:t>
      </w:r>
      <w:r w:rsidRPr="00CB7DDC">
        <w:rPr>
          <w:rFonts w:ascii="Calibri" w:eastAsia="Calibri" w:hAnsi="Calibri" w:cs="Calibri"/>
        </w:rPr>
        <w:t xml:space="preserve">и </w:t>
      </w:r>
      <w:r w:rsidRPr="00CB7DDC">
        <w:rPr>
          <w:rFonts w:ascii="Calibri" w:eastAsia="Calibri" w:hAnsi="Calibri" w:cs="Calibri"/>
          <w:spacing w:val="6"/>
        </w:rPr>
        <w:t xml:space="preserve"> </w:t>
      </w:r>
      <w:r w:rsidRPr="00CB7DDC">
        <w:rPr>
          <w:rFonts w:ascii="Calibri" w:eastAsia="Calibri" w:hAnsi="Calibri" w:cs="Calibri"/>
          <w:spacing w:val="1"/>
        </w:rPr>
        <w:t>к</w:t>
      </w:r>
      <w:r w:rsidRPr="00CB7DDC">
        <w:rPr>
          <w:rFonts w:ascii="Calibri" w:eastAsia="Calibri" w:hAnsi="Calibri" w:cs="Calibri"/>
          <w:spacing w:val="-1"/>
        </w:rPr>
        <w:t>а</w:t>
      </w:r>
      <w:r w:rsidRPr="00CB7DDC">
        <w:rPr>
          <w:rFonts w:ascii="Calibri" w:eastAsia="Calibri" w:hAnsi="Calibri" w:cs="Calibri"/>
          <w:spacing w:val="1"/>
        </w:rPr>
        <w:t>п</w:t>
      </w:r>
      <w:r w:rsidRPr="00CB7DDC">
        <w:rPr>
          <w:rFonts w:ascii="Calibri" w:eastAsia="Calibri" w:hAnsi="Calibri" w:cs="Calibri"/>
          <w:spacing w:val="-1"/>
        </w:rPr>
        <w:t>а</w:t>
      </w:r>
      <w:r w:rsidRPr="00CB7DDC">
        <w:rPr>
          <w:rFonts w:ascii="Calibri" w:eastAsia="Calibri" w:hAnsi="Calibri" w:cs="Calibri"/>
          <w:spacing w:val="1"/>
        </w:rPr>
        <w:t>ци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 xml:space="preserve">та </w:t>
      </w:r>
      <w:r w:rsidRPr="00CB7DDC">
        <w:rPr>
          <w:rFonts w:ascii="Calibri" w:eastAsia="Calibri" w:hAnsi="Calibri" w:cs="Calibri"/>
          <w:spacing w:val="4"/>
        </w:rPr>
        <w:t xml:space="preserve"> </w:t>
      </w:r>
      <w:r w:rsidRPr="00CB7DDC">
        <w:rPr>
          <w:rFonts w:ascii="Calibri" w:eastAsia="Calibri" w:hAnsi="Calibri" w:cs="Calibri"/>
        </w:rPr>
        <w:t>и р</w:t>
      </w:r>
      <w:r w:rsidRPr="00CB7DDC">
        <w:rPr>
          <w:rFonts w:ascii="Calibri" w:eastAsia="Calibri" w:hAnsi="Calibri" w:cs="Calibri"/>
          <w:spacing w:val="-1"/>
        </w:rPr>
        <w:t>е</w:t>
      </w:r>
      <w:r w:rsidRPr="00CB7DDC">
        <w:rPr>
          <w:rFonts w:ascii="Calibri" w:eastAsia="Calibri" w:hAnsi="Calibri" w:cs="Calibri"/>
          <w:spacing w:val="4"/>
        </w:rPr>
        <w:t>с</w:t>
      </w:r>
      <w:r w:rsidRPr="00CB7DDC">
        <w:rPr>
          <w:rFonts w:ascii="Calibri" w:eastAsia="Calibri" w:hAnsi="Calibri" w:cs="Calibri"/>
          <w:spacing w:val="-5"/>
        </w:rPr>
        <w:t>у</w:t>
      </w:r>
      <w:r w:rsidRPr="00CB7DDC">
        <w:rPr>
          <w:rFonts w:ascii="Calibri" w:eastAsia="Calibri" w:hAnsi="Calibri" w:cs="Calibri"/>
        </w:rPr>
        <w:t>р</w:t>
      </w:r>
      <w:r w:rsidRPr="00CB7DDC">
        <w:rPr>
          <w:rFonts w:ascii="Calibri" w:eastAsia="Calibri" w:hAnsi="Calibri" w:cs="Calibri"/>
          <w:spacing w:val="-1"/>
        </w:rPr>
        <w:t>с</w:t>
      </w:r>
      <w:r w:rsidRPr="00CB7DDC">
        <w:rPr>
          <w:rFonts w:ascii="Calibri" w:eastAsia="Calibri" w:hAnsi="Calibri" w:cs="Calibri"/>
          <w:spacing w:val="1"/>
        </w:rPr>
        <w:t>и</w:t>
      </w:r>
      <w:r w:rsidRPr="00CB7DDC">
        <w:rPr>
          <w:rFonts w:ascii="Calibri" w:eastAsia="Calibri" w:hAnsi="Calibri" w:cs="Calibri"/>
        </w:rPr>
        <w:t>те</w:t>
      </w:r>
      <w:r w:rsidRPr="00CB7DDC">
        <w:rPr>
          <w:rFonts w:ascii="Calibri" w:eastAsia="Calibri" w:hAnsi="Calibri" w:cs="Calibri"/>
          <w:spacing w:val="3"/>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3"/>
        </w:rPr>
        <w:t xml:space="preserve"> </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5"/>
        </w:rPr>
        <w:t>г</w:t>
      </w:r>
      <w:r w:rsidRPr="00CB7DDC">
        <w:rPr>
          <w:rFonts w:ascii="Calibri" w:eastAsia="Calibri" w:hAnsi="Calibri" w:cs="Calibri"/>
          <w:spacing w:val="-7"/>
        </w:rPr>
        <w:t>у</w:t>
      </w:r>
      <w:r w:rsidRPr="00CB7DDC">
        <w:rPr>
          <w:rFonts w:ascii="Calibri" w:eastAsia="Calibri" w:hAnsi="Calibri" w:cs="Calibri"/>
          <w:spacing w:val="2"/>
        </w:rPr>
        <w:t>л</w:t>
      </w:r>
      <w:r w:rsidRPr="00CB7DDC">
        <w:rPr>
          <w:rFonts w:ascii="Calibri" w:eastAsia="Calibri" w:hAnsi="Calibri" w:cs="Calibri"/>
          <w:spacing w:val="-1"/>
        </w:rPr>
        <w:t>а</w:t>
      </w:r>
      <w:r w:rsidRPr="00CB7DDC">
        <w:rPr>
          <w:rFonts w:ascii="Calibri" w:eastAsia="Calibri" w:hAnsi="Calibri" w:cs="Calibri"/>
        </w:rPr>
        <w:t>то</w:t>
      </w:r>
      <w:r w:rsidRPr="00CB7DDC">
        <w:rPr>
          <w:rFonts w:ascii="Calibri" w:eastAsia="Calibri" w:hAnsi="Calibri" w:cs="Calibri"/>
          <w:spacing w:val="2"/>
        </w:rPr>
        <w:t>ра</w:t>
      </w:r>
      <w:r w:rsidRPr="00CB7DDC">
        <w:rPr>
          <w:rFonts w:ascii="Calibri" w:eastAsia="Calibri" w:hAnsi="Calibri" w:cs="Calibri"/>
        </w:rPr>
        <w:t>;</w:t>
      </w:r>
      <w:r w:rsidRPr="00CB7DDC">
        <w:rPr>
          <w:rFonts w:ascii="Calibri" w:eastAsia="Calibri" w:hAnsi="Calibri" w:cs="Calibri"/>
          <w:spacing w:val="4"/>
        </w:rPr>
        <w:t xml:space="preserve"> </w:t>
      </w:r>
      <w:r w:rsidRPr="00CB7DDC">
        <w:rPr>
          <w:rFonts w:ascii="Calibri" w:eastAsia="Calibri" w:hAnsi="Calibri" w:cs="Calibri"/>
        </w:rPr>
        <w:t>и</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rPr>
      </w:pPr>
      <w:r w:rsidRPr="00CB7DDC">
        <w:rPr>
          <w:rFonts w:ascii="Calibri" w:eastAsia="Calibri" w:hAnsi="Calibri" w:cs="Calibri"/>
          <w:spacing w:val="1"/>
        </w:rPr>
        <w:t>п</w:t>
      </w:r>
      <w:r w:rsidRPr="00CB7DDC">
        <w:rPr>
          <w:rFonts w:ascii="Calibri" w:eastAsia="Calibri" w:hAnsi="Calibri" w:cs="Calibri"/>
        </w:rPr>
        <w:t>одобряв</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 xml:space="preserve">е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3"/>
        </w:rPr>
        <w:t xml:space="preserve"> </w:t>
      </w:r>
      <w:r w:rsidRPr="00CB7DDC">
        <w:rPr>
          <w:rFonts w:ascii="Calibri" w:eastAsia="Calibri" w:hAnsi="Calibri" w:cs="Calibri"/>
          <w:spacing w:val="-1"/>
        </w:rPr>
        <w:t>е</w:t>
      </w:r>
      <w:r w:rsidRPr="00CB7DDC">
        <w:rPr>
          <w:rFonts w:ascii="Calibri" w:eastAsia="Calibri" w:hAnsi="Calibri" w:cs="Calibri"/>
        </w:rPr>
        <w:t>фек</w:t>
      </w:r>
      <w:r w:rsidRPr="00CB7DDC">
        <w:rPr>
          <w:rFonts w:ascii="Calibri" w:eastAsia="Calibri" w:hAnsi="Calibri" w:cs="Calibri"/>
          <w:spacing w:val="1"/>
        </w:rPr>
        <w:t>ти</w:t>
      </w:r>
      <w:r w:rsidRPr="00CB7DDC">
        <w:rPr>
          <w:rFonts w:ascii="Calibri" w:eastAsia="Calibri" w:hAnsi="Calibri" w:cs="Calibri"/>
        </w:rPr>
        <w:t>вно</w:t>
      </w:r>
      <w:r w:rsidRPr="00CB7DDC">
        <w:rPr>
          <w:rFonts w:ascii="Calibri" w:eastAsia="Calibri" w:hAnsi="Calibri" w:cs="Calibri"/>
          <w:spacing w:val="-1"/>
        </w:rPr>
        <w:t>с</w:t>
      </w:r>
      <w:r w:rsidRPr="00CB7DDC">
        <w:rPr>
          <w:rFonts w:ascii="Calibri" w:eastAsia="Calibri" w:hAnsi="Calibri" w:cs="Calibri"/>
        </w:rPr>
        <w:t xml:space="preserve">тта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6"/>
        </w:rPr>
        <w:t xml:space="preserve"> </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spacing w:val="2"/>
        </w:rPr>
        <w:t>г</w:t>
      </w:r>
      <w:r w:rsidRPr="00CB7DDC">
        <w:rPr>
          <w:rFonts w:ascii="Calibri" w:eastAsia="Calibri" w:hAnsi="Calibri" w:cs="Calibri"/>
          <w:spacing w:val="-2"/>
        </w:rPr>
        <w:t>у</w:t>
      </w:r>
      <w:r w:rsidRPr="00CB7DDC">
        <w:rPr>
          <w:rFonts w:ascii="Calibri" w:eastAsia="Calibri" w:hAnsi="Calibri" w:cs="Calibri"/>
        </w:rPr>
        <w:t>л</w:t>
      </w:r>
      <w:r w:rsidRPr="00CB7DDC">
        <w:rPr>
          <w:rFonts w:ascii="Calibri" w:eastAsia="Calibri" w:hAnsi="Calibri" w:cs="Calibri"/>
          <w:spacing w:val="1"/>
        </w:rPr>
        <w:t>и</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spacing w:val="-1"/>
        </w:rPr>
        <w:t>е</w:t>
      </w:r>
      <w:r w:rsidRPr="00CB7DDC">
        <w:rPr>
          <w:rFonts w:ascii="Calibri" w:eastAsia="Calibri" w:hAnsi="Calibri" w:cs="Calibri"/>
        </w:rPr>
        <w:t>то</w:t>
      </w:r>
      <w:r w:rsidRPr="00CB7DDC">
        <w:rPr>
          <w:rFonts w:ascii="Calibri" w:eastAsia="Calibri" w:hAnsi="Calibri" w:cs="Calibri"/>
          <w:spacing w:val="4"/>
        </w:rPr>
        <w:t xml:space="preserve"> </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1"/>
        </w:rPr>
        <w:t>ц</w:t>
      </w:r>
      <w:r w:rsidRPr="00CB7DDC">
        <w:rPr>
          <w:rFonts w:ascii="Calibri" w:eastAsia="Calibri" w:hAnsi="Calibri" w:cs="Calibri"/>
          <w:spacing w:val="-1"/>
        </w:rPr>
        <w:t>е</w:t>
      </w:r>
      <w:r w:rsidRPr="00CB7DDC">
        <w:rPr>
          <w:rFonts w:ascii="Calibri" w:eastAsia="Calibri" w:hAnsi="Calibri" w:cs="Calibri"/>
          <w:spacing w:val="1"/>
        </w:rPr>
        <w:t>н</w:t>
      </w:r>
      <w:r w:rsidRPr="00CB7DDC">
        <w:rPr>
          <w:rFonts w:ascii="Calibri" w:eastAsia="Calibri" w:hAnsi="Calibri" w:cs="Calibri"/>
          <w:spacing w:val="-1"/>
        </w:rPr>
        <w:t>и</w:t>
      </w:r>
      <w:r w:rsidRPr="00CB7DDC">
        <w:rPr>
          <w:rFonts w:ascii="Calibri" w:eastAsia="Calibri" w:hAnsi="Calibri" w:cs="Calibri"/>
        </w:rPr>
        <w:t xml:space="preserve">те </w:t>
      </w:r>
      <w:r w:rsidRPr="00CB7DDC">
        <w:rPr>
          <w:rFonts w:ascii="Calibri" w:eastAsia="Calibri" w:hAnsi="Calibri" w:cs="Calibri"/>
          <w:spacing w:val="1"/>
        </w:rPr>
        <w:t>н</w:t>
      </w:r>
      <w:r w:rsidRPr="00CB7DDC">
        <w:rPr>
          <w:rFonts w:ascii="Calibri" w:eastAsia="Calibri" w:hAnsi="Calibri" w:cs="Calibri"/>
        </w:rPr>
        <w:t xml:space="preserve">а </w:t>
      </w:r>
      <w:r w:rsidRPr="00CB7DDC">
        <w:rPr>
          <w:rFonts w:ascii="Calibri" w:eastAsia="Calibri" w:hAnsi="Calibri" w:cs="Calibri"/>
          <w:spacing w:val="-2"/>
        </w:rPr>
        <w:t>В</w:t>
      </w:r>
      <w:r w:rsidRPr="00CB7DDC">
        <w:rPr>
          <w:rFonts w:ascii="Calibri" w:eastAsia="Calibri" w:hAnsi="Calibri" w:cs="Calibri"/>
          <w:spacing w:val="1"/>
        </w:rPr>
        <w:t>и</w:t>
      </w:r>
      <w:r w:rsidRPr="00CB7DDC">
        <w:rPr>
          <w:rFonts w:ascii="Calibri" w:eastAsia="Calibri" w:hAnsi="Calibri" w:cs="Calibri"/>
        </w:rPr>
        <w:t>К</w:t>
      </w:r>
      <w:r w:rsidRPr="00CB7DDC">
        <w:rPr>
          <w:rFonts w:ascii="Calibri" w:eastAsia="Calibri" w:hAnsi="Calibri" w:cs="Calibri"/>
          <w:spacing w:val="4"/>
        </w:rPr>
        <w:t xml:space="preserve"> </w:t>
      </w:r>
      <w:r w:rsidRPr="00CB7DDC">
        <w:rPr>
          <w:rFonts w:ascii="Calibri" w:eastAsia="Calibri" w:hAnsi="Calibri" w:cs="Calibri"/>
          <w:spacing w:val="-5"/>
        </w:rPr>
        <w:t>у</w:t>
      </w:r>
      <w:r w:rsidRPr="00CB7DDC">
        <w:rPr>
          <w:rFonts w:ascii="Calibri" w:eastAsia="Calibri" w:hAnsi="Calibri" w:cs="Calibri"/>
          <w:spacing w:val="1"/>
        </w:rPr>
        <w:t>с</w:t>
      </w:r>
      <w:r w:rsidRPr="00CB7DDC">
        <w:rPr>
          <w:rFonts w:ascii="Calibri" w:eastAsia="Calibri" w:hAnsi="Calibri" w:cs="Calibri"/>
          <w:spacing w:val="5"/>
        </w:rPr>
        <w:t>л</w:t>
      </w:r>
      <w:r w:rsidRPr="00CB7DDC">
        <w:rPr>
          <w:rFonts w:ascii="Calibri" w:eastAsia="Calibri" w:hAnsi="Calibri" w:cs="Calibri"/>
          <w:spacing w:val="-5"/>
        </w:rPr>
        <w:t>у</w:t>
      </w:r>
      <w:r w:rsidRPr="00CB7DDC">
        <w:rPr>
          <w:rFonts w:ascii="Calibri" w:eastAsia="Calibri" w:hAnsi="Calibri" w:cs="Calibri"/>
        </w:rPr>
        <w:t>г</w:t>
      </w:r>
      <w:r w:rsidRPr="00CB7DDC">
        <w:rPr>
          <w:rFonts w:ascii="Calibri" w:eastAsia="Calibri" w:hAnsi="Calibri" w:cs="Calibri"/>
          <w:spacing w:val="1"/>
        </w:rPr>
        <w:t>и</w:t>
      </w:r>
      <w:r w:rsidRPr="00CB7DDC">
        <w:rPr>
          <w:rFonts w:ascii="Calibri" w:eastAsia="Calibri" w:hAnsi="Calibri" w:cs="Calibri"/>
        </w:rPr>
        <w:t>т</w:t>
      </w:r>
      <w:r w:rsidRPr="00CB7DDC">
        <w:rPr>
          <w:rFonts w:ascii="Calibri" w:eastAsia="Calibri" w:hAnsi="Calibri" w:cs="Calibri"/>
          <w:spacing w:val="-1"/>
        </w:rPr>
        <w:t>е</w:t>
      </w:r>
      <w:r w:rsidRPr="00CB7DDC">
        <w:rPr>
          <w:rFonts w:ascii="Calibri" w:eastAsia="Calibri" w:hAnsi="Calibri" w:cs="Calibri"/>
        </w:rPr>
        <w:t>,</w:t>
      </w:r>
      <w:r w:rsidRPr="00CB7DDC">
        <w:rPr>
          <w:rFonts w:ascii="Calibri" w:eastAsia="Calibri" w:hAnsi="Calibri" w:cs="Calibri"/>
          <w:spacing w:val="4"/>
        </w:rPr>
        <w:t xml:space="preserve"> </w:t>
      </w:r>
      <w:r w:rsidRPr="00CB7DDC">
        <w:rPr>
          <w:rFonts w:ascii="Calibri" w:eastAsia="Calibri" w:hAnsi="Calibri" w:cs="Calibri"/>
          <w:spacing w:val="1"/>
        </w:rPr>
        <w:t>з</w:t>
      </w:r>
      <w:r w:rsidRPr="00CB7DDC">
        <w:rPr>
          <w:rFonts w:ascii="Calibri" w:eastAsia="Calibri" w:hAnsi="Calibri" w:cs="Calibri"/>
        </w:rPr>
        <w:t>а да</w:t>
      </w:r>
      <w:r w:rsidRPr="00CB7DDC">
        <w:rPr>
          <w:rFonts w:ascii="Calibri" w:eastAsia="Calibri" w:hAnsi="Calibri" w:cs="Calibri"/>
          <w:spacing w:val="1"/>
        </w:rPr>
        <w:t xml:space="preserve"> с</w:t>
      </w:r>
      <w:r w:rsidRPr="00CB7DDC">
        <w:rPr>
          <w:rFonts w:ascii="Calibri" w:eastAsia="Calibri" w:hAnsi="Calibri" w:cs="Calibri"/>
        </w:rPr>
        <w:t>е отговори</w:t>
      </w:r>
      <w:r w:rsidRPr="00CB7DDC">
        <w:rPr>
          <w:rFonts w:ascii="Calibri" w:eastAsia="Calibri" w:hAnsi="Calibri" w:cs="Calibri"/>
          <w:spacing w:val="2"/>
        </w:rPr>
        <w:t xml:space="preserve"> </w:t>
      </w:r>
      <w:r w:rsidRPr="00CB7DDC">
        <w:rPr>
          <w:rFonts w:ascii="Calibri" w:eastAsia="Calibri" w:hAnsi="Calibri" w:cs="Calibri"/>
          <w:spacing w:val="-1"/>
        </w:rPr>
        <w:t>е</w:t>
      </w:r>
      <w:r w:rsidRPr="00CB7DDC">
        <w:rPr>
          <w:rFonts w:ascii="Calibri" w:eastAsia="Calibri" w:hAnsi="Calibri" w:cs="Calibri"/>
        </w:rPr>
        <w:t>д</w:t>
      </w:r>
      <w:r w:rsidRPr="00CB7DDC">
        <w:rPr>
          <w:rFonts w:ascii="Calibri" w:eastAsia="Calibri" w:hAnsi="Calibri" w:cs="Calibri"/>
          <w:spacing w:val="1"/>
        </w:rPr>
        <w:t>н</w:t>
      </w:r>
      <w:r w:rsidRPr="00CB7DDC">
        <w:rPr>
          <w:rFonts w:ascii="Calibri" w:eastAsia="Calibri" w:hAnsi="Calibri" w:cs="Calibri"/>
        </w:rPr>
        <w:t>овр</w:t>
      </w:r>
      <w:r w:rsidRPr="00CB7DDC">
        <w:rPr>
          <w:rFonts w:ascii="Calibri" w:eastAsia="Calibri" w:hAnsi="Calibri" w:cs="Calibri"/>
          <w:spacing w:val="-1"/>
        </w:rPr>
        <w:t>еме</w:t>
      </w:r>
      <w:r w:rsidRPr="00CB7DDC">
        <w:rPr>
          <w:rFonts w:ascii="Calibri" w:eastAsia="Calibri" w:hAnsi="Calibri" w:cs="Calibri"/>
          <w:spacing w:val="1"/>
        </w:rPr>
        <w:t>нн</w:t>
      </w:r>
      <w:r w:rsidRPr="00CB7DDC">
        <w:rPr>
          <w:rFonts w:ascii="Calibri" w:eastAsia="Calibri" w:hAnsi="Calibri" w:cs="Calibri"/>
        </w:rPr>
        <w:t>о</w:t>
      </w:r>
      <w:r w:rsidRPr="00CB7DDC">
        <w:rPr>
          <w:rFonts w:ascii="Calibri" w:eastAsia="Calibri" w:hAnsi="Calibri" w:cs="Calibri"/>
          <w:spacing w:val="1"/>
        </w:rPr>
        <w:t xml:space="preserve"> н</w:t>
      </w:r>
      <w:r w:rsidRPr="00CB7DDC">
        <w:rPr>
          <w:rFonts w:ascii="Calibri" w:eastAsia="Calibri" w:hAnsi="Calibri" w:cs="Calibri"/>
        </w:rPr>
        <w:t xml:space="preserve">а </w:t>
      </w:r>
      <w:r w:rsidRPr="00CB7DDC">
        <w:rPr>
          <w:rFonts w:ascii="Calibri" w:eastAsia="Calibri" w:hAnsi="Calibri" w:cs="Calibri"/>
          <w:spacing w:val="1"/>
        </w:rPr>
        <w:t>ц</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и</w:t>
      </w:r>
      <w:r w:rsidRPr="00CB7DDC">
        <w:rPr>
          <w:rFonts w:ascii="Calibri" w:eastAsia="Calibri" w:hAnsi="Calibri" w:cs="Calibri"/>
        </w:rPr>
        <w:t xml:space="preserve">те </w:t>
      </w:r>
      <w:r w:rsidRPr="00CB7DDC">
        <w:rPr>
          <w:rFonts w:ascii="Calibri" w:eastAsia="Calibri" w:hAnsi="Calibri" w:cs="Calibri"/>
          <w:spacing w:val="1"/>
        </w:rPr>
        <w:t>з</w:t>
      </w:r>
      <w:r w:rsidRPr="00CB7DDC">
        <w:rPr>
          <w:rFonts w:ascii="Calibri" w:eastAsia="Calibri" w:hAnsi="Calibri" w:cs="Calibri"/>
        </w:rPr>
        <w:t xml:space="preserve">а </w:t>
      </w:r>
      <w:r w:rsidRPr="00CB7DDC">
        <w:rPr>
          <w:rFonts w:ascii="Calibri" w:eastAsia="Calibri" w:hAnsi="Calibri" w:cs="Calibri"/>
          <w:spacing w:val="-1"/>
        </w:rPr>
        <w:t>е</w:t>
      </w:r>
      <w:r w:rsidRPr="00CB7DDC">
        <w:rPr>
          <w:rFonts w:ascii="Calibri" w:eastAsia="Calibri" w:hAnsi="Calibri" w:cs="Calibri"/>
        </w:rPr>
        <w:t>фек</w:t>
      </w:r>
      <w:r w:rsidRPr="00CB7DDC">
        <w:rPr>
          <w:rFonts w:ascii="Calibri" w:eastAsia="Calibri" w:hAnsi="Calibri" w:cs="Calibri"/>
          <w:spacing w:val="1"/>
        </w:rPr>
        <w:t>ти</w:t>
      </w:r>
      <w:r w:rsidRPr="00CB7DDC">
        <w:rPr>
          <w:rFonts w:ascii="Calibri" w:eastAsia="Calibri" w:hAnsi="Calibri" w:cs="Calibri"/>
        </w:rPr>
        <w:t>вно</w:t>
      </w:r>
      <w:r w:rsidRPr="00CB7DDC">
        <w:rPr>
          <w:rFonts w:ascii="Calibri" w:eastAsia="Calibri" w:hAnsi="Calibri" w:cs="Calibri"/>
          <w:spacing w:val="-1"/>
        </w:rPr>
        <w:t>с</w:t>
      </w:r>
      <w:r w:rsidRPr="00CB7DDC">
        <w:rPr>
          <w:rFonts w:ascii="Calibri" w:eastAsia="Calibri" w:hAnsi="Calibri" w:cs="Calibri"/>
        </w:rPr>
        <w:t>т</w:t>
      </w:r>
      <w:r w:rsidRPr="00CB7DDC">
        <w:rPr>
          <w:rFonts w:ascii="Calibri" w:eastAsia="Calibri" w:hAnsi="Calibri" w:cs="Calibri"/>
          <w:spacing w:val="2"/>
        </w:rPr>
        <w:t xml:space="preserve"> </w:t>
      </w:r>
      <w:r w:rsidRPr="00CB7DDC">
        <w:rPr>
          <w:rFonts w:ascii="Calibri" w:eastAsia="Calibri" w:hAnsi="Calibri" w:cs="Calibri"/>
        </w:rPr>
        <w:t>и ф</w:t>
      </w:r>
      <w:r w:rsidRPr="00CB7DDC">
        <w:rPr>
          <w:rFonts w:ascii="Calibri" w:eastAsia="Calibri" w:hAnsi="Calibri" w:cs="Calibri"/>
          <w:spacing w:val="1"/>
        </w:rPr>
        <w:t>ин</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spacing w:val="-1"/>
        </w:rPr>
        <w:t>с</w:t>
      </w:r>
      <w:r w:rsidRPr="00CB7DDC">
        <w:rPr>
          <w:rFonts w:ascii="Calibri" w:eastAsia="Calibri" w:hAnsi="Calibri" w:cs="Calibri"/>
          <w:spacing w:val="1"/>
        </w:rPr>
        <w:t>и</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е,</w:t>
      </w:r>
      <w:r w:rsidRPr="00CB7DDC">
        <w:rPr>
          <w:rFonts w:ascii="Calibri" w:eastAsia="Calibri" w:hAnsi="Calibri" w:cs="Calibri"/>
          <w:spacing w:val="5"/>
        </w:rPr>
        <w:t xml:space="preserve"> </w:t>
      </w:r>
      <w:r w:rsidRPr="00CB7DDC">
        <w:rPr>
          <w:rFonts w:ascii="Calibri" w:eastAsia="Calibri" w:hAnsi="Calibri" w:cs="Calibri"/>
          <w:spacing w:val="-3"/>
        </w:rPr>
        <w:t>в</w:t>
      </w:r>
      <w:r w:rsidRPr="00CB7DDC">
        <w:rPr>
          <w:rFonts w:ascii="Calibri" w:eastAsia="Calibri" w:hAnsi="Calibri" w:cs="Calibri"/>
          <w:spacing w:val="1"/>
        </w:rPr>
        <w:t>к</w:t>
      </w:r>
      <w:r w:rsidRPr="00CB7DDC">
        <w:rPr>
          <w:rFonts w:ascii="Calibri" w:eastAsia="Calibri" w:hAnsi="Calibri" w:cs="Calibri"/>
        </w:rPr>
        <w:t>л</w:t>
      </w:r>
      <w:r w:rsidRPr="00CB7DDC">
        <w:rPr>
          <w:rFonts w:ascii="Calibri" w:eastAsia="Calibri" w:hAnsi="Calibri" w:cs="Calibri"/>
          <w:spacing w:val="1"/>
        </w:rPr>
        <w:t>ю</w:t>
      </w:r>
      <w:r w:rsidRPr="00CB7DDC">
        <w:rPr>
          <w:rFonts w:ascii="Calibri" w:eastAsia="Calibri" w:hAnsi="Calibri" w:cs="Calibri"/>
          <w:spacing w:val="-1"/>
        </w:rPr>
        <w:t>чи</w:t>
      </w:r>
      <w:r w:rsidRPr="00CB7DDC">
        <w:rPr>
          <w:rFonts w:ascii="Calibri" w:eastAsia="Calibri" w:hAnsi="Calibri" w:cs="Calibri"/>
          <w:spacing w:val="-2"/>
        </w:rPr>
        <w:t>т</w:t>
      </w:r>
      <w:r w:rsidRPr="00CB7DDC">
        <w:rPr>
          <w:rFonts w:ascii="Calibri" w:eastAsia="Calibri" w:hAnsi="Calibri" w:cs="Calibri"/>
          <w:spacing w:val="-1"/>
        </w:rPr>
        <w:t>е</w:t>
      </w:r>
      <w:r w:rsidRPr="00CB7DDC">
        <w:rPr>
          <w:rFonts w:ascii="Calibri" w:eastAsia="Calibri" w:hAnsi="Calibri" w:cs="Calibri"/>
        </w:rPr>
        <w:t>л</w:t>
      </w:r>
      <w:r w:rsidRPr="00CB7DDC">
        <w:rPr>
          <w:rFonts w:ascii="Calibri" w:eastAsia="Calibri" w:hAnsi="Calibri" w:cs="Calibri"/>
          <w:spacing w:val="1"/>
        </w:rPr>
        <w:t>н</w:t>
      </w:r>
      <w:r w:rsidRPr="00CB7DDC">
        <w:rPr>
          <w:rFonts w:ascii="Calibri" w:eastAsia="Calibri" w:hAnsi="Calibri" w:cs="Calibri"/>
        </w:rPr>
        <w:t>о</w:t>
      </w:r>
      <w:r w:rsidRPr="00CB7DDC">
        <w:rPr>
          <w:rFonts w:ascii="Calibri" w:eastAsia="Calibri" w:hAnsi="Calibri" w:cs="Calibri"/>
          <w:spacing w:val="5"/>
        </w:rPr>
        <w:t xml:space="preserve"> </w:t>
      </w:r>
      <w:r w:rsidRPr="00CB7DDC">
        <w:rPr>
          <w:rFonts w:ascii="Calibri" w:eastAsia="Calibri" w:hAnsi="Calibri" w:cs="Calibri"/>
          <w:spacing w:val="-1"/>
        </w:rPr>
        <w:t>ч</w:t>
      </w:r>
      <w:r w:rsidRPr="00CB7DDC">
        <w:rPr>
          <w:rFonts w:ascii="Calibri" w:eastAsia="Calibri" w:hAnsi="Calibri" w:cs="Calibri"/>
        </w:rPr>
        <w:t>р</w:t>
      </w:r>
      <w:r w:rsidRPr="00CB7DDC">
        <w:rPr>
          <w:rFonts w:ascii="Calibri" w:eastAsia="Calibri" w:hAnsi="Calibri" w:cs="Calibri"/>
          <w:spacing w:val="-1"/>
        </w:rPr>
        <w:t>е</w:t>
      </w:r>
      <w:r w:rsidRPr="00CB7DDC">
        <w:rPr>
          <w:rFonts w:ascii="Calibri" w:eastAsia="Calibri" w:hAnsi="Calibri" w:cs="Calibri"/>
        </w:rPr>
        <w:t>з</w:t>
      </w:r>
      <w:r w:rsidRPr="00CB7DDC">
        <w:rPr>
          <w:rFonts w:ascii="Calibri" w:eastAsia="Calibri" w:hAnsi="Calibri" w:cs="Calibri"/>
          <w:spacing w:val="6"/>
        </w:rPr>
        <w:t xml:space="preserve"> </w:t>
      </w:r>
      <w:r w:rsidRPr="00CB7DDC">
        <w:rPr>
          <w:rFonts w:ascii="Calibri" w:eastAsia="Calibri" w:hAnsi="Calibri" w:cs="Calibri"/>
          <w:spacing w:val="1"/>
        </w:rPr>
        <w:t>п</w:t>
      </w:r>
      <w:r w:rsidRPr="00CB7DDC">
        <w:rPr>
          <w:rFonts w:ascii="Calibri" w:eastAsia="Calibri" w:hAnsi="Calibri" w:cs="Calibri"/>
          <w:spacing w:val="2"/>
        </w:rPr>
        <w:t>о</w:t>
      </w:r>
      <w:r w:rsidRPr="00CB7DDC">
        <w:rPr>
          <w:rFonts w:ascii="Calibri" w:eastAsia="Calibri" w:hAnsi="Calibri" w:cs="Calibri"/>
          <w:spacing w:val="-1"/>
        </w:rPr>
        <w:t>-</w:t>
      </w:r>
      <w:r w:rsidRPr="00CB7DDC">
        <w:rPr>
          <w:rFonts w:ascii="Calibri" w:eastAsia="Calibri" w:hAnsi="Calibri" w:cs="Calibri"/>
        </w:rPr>
        <w:t>добро</w:t>
      </w:r>
      <w:r w:rsidRPr="00CB7DDC">
        <w:rPr>
          <w:rFonts w:ascii="Calibri" w:eastAsia="Calibri" w:hAnsi="Calibri" w:cs="Calibri"/>
          <w:spacing w:val="3"/>
        </w:rPr>
        <w:t xml:space="preserve"> </w:t>
      </w:r>
      <w:r w:rsidRPr="00CB7DDC">
        <w:rPr>
          <w:rFonts w:ascii="Calibri" w:eastAsia="Calibri" w:hAnsi="Calibri" w:cs="Calibri"/>
          <w:spacing w:val="-1"/>
        </w:rPr>
        <w:t>с</w:t>
      </w:r>
      <w:r w:rsidRPr="00CB7DDC">
        <w:rPr>
          <w:rFonts w:ascii="Calibri" w:eastAsia="Calibri" w:hAnsi="Calibri" w:cs="Calibri"/>
        </w:rPr>
        <w:t>ъотв</w:t>
      </w:r>
      <w:r w:rsidRPr="00CB7DDC">
        <w:rPr>
          <w:rFonts w:ascii="Calibri" w:eastAsia="Calibri" w:hAnsi="Calibri" w:cs="Calibri"/>
          <w:spacing w:val="-1"/>
        </w:rPr>
        <w:t>е</w:t>
      </w:r>
      <w:r w:rsidRPr="00CB7DDC">
        <w:rPr>
          <w:rFonts w:ascii="Calibri" w:eastAsia="Calibri" w:hAnsi="Calibri" w:cs="Calibri"/>
        </w:rPr>
        <w:t>т</w:t>
      </w:r>
      <w:r w:rsidRPr="00CB7DDC">
        <w:rPr>
          <w:rFonts w:ascii="Calibri" w:eastAsia="Calibri" w:hAnsi="Calibri" w:cs="Calibri"/>
          <w:spacing w:val="-1"/>
        </w:rPr>
        <w:t>с</w:t>
      </w:r>
      <w:r w:rsidRPr="00CB7DDC">
        <w:rPr>
          <w:rFonts w:ascii="Calibri" w:eastAsia="Calibri" w:hAnsi="Calibri" w:cs="Calibri"/>
        </w:rPr>
        <w:t>твие</w:t>
      </w:r>
      <w:r w:rsidRPr="00CB7DDC">
        <w:rPr>
          <w:rFonts w:ascii="Calibri" w:eastAsia="Calibri" w:hAnsi="Calibri" w:cs="Calibri"/>
          <w:spacing w:val="4"/>
        </w:rPr>
        <w:t xml:space="preserve"> </w:t>
      </w:r>
      <w:r w:rsidRPr="00CB7DDC">
        <w:rPr>
          <w:rFonts w:ascii="Calibri" w:eastAsia="Calibri" w:hAnsi="Calibri" w:cs="Calibri"/>
          <w:spacing w:val="-1"/>
        </w:rPr>
        <w:t>ме</w:t>
      </w:r>
      <w:r w:rsidRPr="00CB7DDC">
        <w:rPr>
          <w:rFonts w:ascii="Calibri" w:eastAsia="Calibri" w:hAnsi="Calibri" w:cs="Calibri"/>
        </w:rPr>
        <w:t>ж</w:t>
      </w:r>
      <w:r w:rsidRPr="00CB7DDC">
        <w:rPr>
          <w:rFonts w:ascii="Calibri" w:eastAsia="Calibri" w:hAnsi="Calibri" w:cs="Calibri"/>
          <w:spacing w:val="2"/>
        </w:rPr>
        <w:t>д</w:t>
      </w:r>
      <w:r w:rsidRPr="00CB7DDC">
        <w:rPr>
          <w:rFonts w:ascii="Calibri" w:eastAsia="Calibri" w:hAnsi="Calibri" w:cs="Calibri"/>
        </w:rPr>
        <w:t>у г</w:t>
      </w:r>
      <w:r w:rsidRPr="00CB7DDC">
        <w:rPr>
          <w:rFonts w:ascii="Calibri" w:eastAsia="Calibri" w:hAnsi="Calibri" w:cs="Calibri"/>
          <w:spacing w:val="1"/>
        </w:rPr>
        <w:t>ен</w:t>
      </w:r>
      <w:r w:rsidRPr="00CB7DDC">
        <w:rPr>
          <w:rFonts w:ascii="Calibri" w:eastAsia="Calibri" w:hAnsi="Calibri" w:cs="Calibri"/>
          <w:spacing w:val="-1"/>
        </w:rPr>
        <w:t>е</w:t>
      </w:r>
      <w:r w:rsidRPr="00CB7DDC">
        <w:rPr>
          <w:rFonts w:ascii="Calibri" w:eastAsia="Calibri" w:hAnsi="Calibri" w:cs="Calibri"/>
        </w:rPr>
        <w:t>р</w:t>
      </w:r>
      <w:r w:rsidRPr="00CB7DDC">
        <w:rPr>
          <w:rFonts w:ascii="Calibri" w:eastAsia="Calibri" w:hAnsi="Calibri" w:cs="Calibri"/>
          <w:spacing w:val="-1"/>
        </w:rPr>
        <w:t>а</w:t>
      </w:r>
      <w:r w:rsidRPr="00CB7DDC">
        <w:rPr>
          <w:rFonts w:ascii="Calibri" w:eastAsia="Calibri" w:hAnsi="Calibri" w:cs="Calibri"/>
        </w:rPr>
        <w:t>л</w:t>
      </w:r>
      <w:r w:rsidRPr="00CB7DDC">
        <w:rPr>
          <w:rFonts w:ascii="Calibri" w:eastAsia="Calibri" w:hAnsi="Calibri" w:cs="Calibri"/>
          <w:spacing w:val="1"/>
        </w:rPr>
        <w:t>ни</w:t>
      </w:r>
      <w:r w:rsidRPr="00CB7DDC">
        <w:rPr>
          <w:rFonts w:ascii="Calibri" w:eastAsia="Calibri" w:hAnsi="Calibri" w:cs="Calibri"/>
        </w:rPr>
        <w:t>те</w:t>
      </w:r>
      <w:r w:rsidRPr="00CB7DDC">
        <w:rPr>
          <w:rFonts w:ascii="Calibri" w:eastAsia="Calibri" w:hAnsi="Calibri" w:cs="Calibri"/>
          <w:spacing w:val="2"/>
        </w:rPr>
        <w:t xml:space="preserve"> </w:t>
      </w:r>
      <w:r w:rsidRPr="00CB7DDC">
        <w:rPr>
          <w:rFonts w:ascii="Calibri" w:eastAsia="Calibri" w:hAnsi="Calibri" w:cs="Calibri"/>
          <w:spacing w:val="1"/>
        </w:rPr>
        <w:t>п</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ов</w:t>
      </w:r>
      <w:r w:rsidRPr="00CB7DDC">
        <w:rPr>
          <w:rFonts w:ascii="Calibri" w:eastAsia="Calibri" w:hAnsi="Calibri" w:cs="Calibri"/>
          <w:spacing w:val="4"/>
        </w:rPr>
        <w:t>е</w:t>
      </w:r>
      <w:r w:rsidRPr="00CB7DDC">
        <w:rPr>
          <w:rFonts w:ascii="Calibri" w:eastAsia="Calibri" w:hAnsi="Calibri" w:cs="Calibri"/>
        </w:rPr>
        <w:t>, б</w:t>
      </w:r>
      <w:r w:rsidRPr="00CB7DDC">
        <w:rPr>
          <w:rFonts w:ascii="Calibri" w:eastAsia="Calibri" w:hAnsi="Calibri" w:cs="Calibri"/>
          <w:spacing w:val="1"/>
        </w:rPr>
        <w:t>и</w:t>
      </w:r>
      <w:r w:rsidRPr="00CB7DDC">
        <w:rPr>
          <w:rFonts w:ascii="Calibri" w:eastAsia="Calibri" w:hAnsi="Calibri" w:cs="Calibri"/>
          <w:spacing w:val="-1"/>
        </w:rPr>
        <w:t>з</w:t>
      </w:r>
      <w:r w:rsidRPr="00CB7DDC">
        <w:rPr>
          <w:rFonts w:ascii="Calibri" w:eastAsia="Calibri" w:hAnsi="Calibri" w:cs="Calibri"/>
          <w:spacing w:val="1"/>
        </w:rPr>
        <w:t>н</w:t>
      </w:r>
      <w:r w:rsidRPr="00CB7DDC">
        <w:rPr>
          <w:rFonts w:ascii="Calibri" w:eastAsia="Calibri" w:hAnsi="Calibri" w:cs="Calibri"/>
          <w:spacing w:val="-1"/>
        </w:rPr>
        <w:t>е</w:t>
      </w:r>
      <w:r w:rsidRPr="00CB7DDC">
        <w:rPr>
          <w:rFonts w:ascii="Calibri" w:eastAsia="Calibri" w:hAnsi="Calibri" w:cs="Calibri"/>
        </w:rPr>
        <w:t>с</w:t>
      </w:r>
      <w:r w:rsidRPr="00CB7DDC">
        <w:rPr>
          <w:rFonts w:ascii="Calibri" w:eastAsia="Calibri" w:hAnsi="Calibri" w:cs="Calibri"/>
          <w:spacing w:val="-1"/>
        </w:rPr>
        <w:t xml:space="preserve"> </w:t>
      </w:r>
      <w:r w:rsidRPr="00CB7DDC">
        <w:rPr>
          <w:rFonts w:ascii="Calibri" w:eastAsia="Calibri" w:hAnsi="Calibri" w:cs="Calibri"/>
          <w:spacing w:val="1"/>
        </w:rPr>
        <w:t>п</w:t>
      </w:r>
      <w:r w:rsidRPr="00CB7DDC">
        <w:rPr>
          <w:rFonts w:ascii="Calibri" w:eastAsia="Calibri" w:hAnsi="Calibri" w:cs="Calibri"/>
        </w:rPr>
        <w:t>л</w:t>
      </w:r>
      <w:r w:rsidRPr="00CB7DDC">
        <w:rPr>
          <w:rFonts w:ascii="Calibri" w:eastAsia="Calibri" w:hAnsi="Calibri" w:cs="Calibri"/>
          <w:spacing w:val="-1"/>
        </w:rPr>
        <w:t>а</w:t>
      </w:r>
      <w:r w:rsidRPr="00CB7DDC">
        <w:rPr>
          <w:rFonts w:ascii="Calibri" w:eastAsia="Calibri" w:hAnsi="Calibri" w:cs="Calibri"/>
          <w:spacing w:val="1"/>
        </w:rPr>
        <w:t>н</w:t>
      </w:r>
      <w:r w:rsidRPr="00CB7DDC">
        <w:rPr>
          <w:rFonts w:ascii="Calibri" w:eastAsia="Calibri" w:hAnsi="Calibri" w:cs="Calibri"/>
        </w:rPr>
        <w:t>ов</w:t>
      </w:r>
      <w:r w:rsidRPr="00CB7DDC">
        <w:rPr>
          <w:rFonts w:ascii="Calibri" w:eastAsia="Calibri" w:hAnsi="Calibri" w:cs="Calibri"/>
          <w:spacing w:val="-1"/>
        </w:rPr>
        <w:t>е</w:t>
      </w:r>
      <w:r w:rsidRPr="00CB7DDC">
        <w:rPr>
          <w:rFonts w:ascii="Calibri" w:eastAsia="Calibri" w:hAnsi="Calibri" w:cs="Calibri"/>
        </w:rPr>
        <w:t>те</w:t>
      </w:r>
      <w:r w:rsidRPr="00CB7DDC">
        <w:rPr>
          <w:rFonts w:ascii="Calibri" w:eastAsia="Calibri" w:hAnsi="Calibri" w:cs="Calibri"/>
          <w:spacing w:val="-1"/>
        </w:rPr>
        <w:t xml:space="preserve"> </w:t>
      </w:r>
      <w:r w:rsidRPr="00CB7DDC">
        <w:rPr>
          <w:rFonts w:ascii="Calibri" w:eastAsia="Calibri" w:hAnsi="Calibri" w:cs="Calibri"/>
        </w:rPr>
        <w:t>и</w:t>
      </w:r>
      <w:r w:rsidRPr="00CB7DDC">
        <w:rPr>
          <w:rFonts w:ascii="Calibri" w:eastAsia="Calibri" w:hAnsi="Calibri" w:cs="Calibri"/>
          <w:spacing w:val="1"/>
        </w:rPr>
        <w:t xml:space="preserve"> ни</w:t>
      </w:r>
      <w:r w:rsidRPr="00CB7DDC">
        <w:rPr>
          <w:rFonts w:ascii="Calibri" w:eastAsia="Calibri" w:hAnsi="Calibri" w:cs="Calibri"/>
          <w:spacing w:val="-3"/>
        </w:rPr>
        <w:t>в</w:t>
      </w:r>
      <w:r w:rsidRPr="00CB7DDC">
        <w:rPr>
          <w:rFonts w:ascii="Calibri" w:eastAsia="Calibri" w:hAnsi="Calibri" w:cs="Calibri"/>
          <w:spacing w:val="-1"/>
        </w:rPr>
        <w:t>а</w:t>
      </w:r>
      <w:r w:rsidRPr="00CB7DDC">
        <w:rPr>
          <w:rFonts w:ascii="Calibri" w:eastAsia="Calibri" w:hAnsi="Calibri" w:cs="Calibri"/>
        </w:rPr>
        <w:t>та</w:t>
      </w:r>
      <w:r w:rsidRPr="00CB7DDC">
        <w:rPr>
          <w:rFonts w:ascii="Calibri" w:eastAsia="Calibri" w:hAnsi="Calibri" w:cs="Calibri"/>
          <w:spacing w:val="-1"/>
        </w:rPr>
        <w:t xml:space="preserve"> </w:t>
      </w:r>
      <w:r w:rsidRPr="00CB7DDC">
        <w:rPr>
          <w:rFonts w:ascii="Calibri" w:eastAsia="Calibri" w:hAnsi="Calibri" w:cs="Calibri"/>
          <w:spacing w:val="1"/>
        </w:rPr>
        <w:t>н</w:t>
      </w:r>
      <w:r w:rsidRPr="00CB7DDC">
        <w:rPr>
          <w:rFonts w:ascii="Calibri" w:eastAsia="Calibri" w:hAnsi="Calibri" w:cs="Calibri"/>
        </w:rPr>
        <w:t>а</w:t>
      </w:r>
      <w:r w:rsidRPr="00CB7DDC">
        <w:rPr>
          <w:rFonts w:ascii="Calibri" w:eastAsia="Calibri" w:hAnsi="Calibri" w:cs="Calibri"/>
          <w:spacing w:val="1"/>
        </w:rPr>
        <w:t xml:space="preserve"> </w:t>
      </w:r>
      <w:r w:rsidRPr="00CB7DDC">
        <w:rPr>
          <w:rFonts w:ascii="Calibri" w:eastAsia="Calibri" w:hAnsi="Calibri" w:cs="Calibri"/>
          <w:spacing w:val="-5"/>
        </w:rPr>
        <w:t>у</w:t>
      </w:r>
      <w:r w:rsidRPr="00CB7DDC">
        <w:rPr>
          <w:rFonts w:ascii="Calibri" w:eastAsia="Calibri" w:hAnsi="Calibri" w:cs="Calibri"/>
          <w:spacing w:val="1"/>
        </w:rPr>
        <w:t>с</w:t>
      </w:r>
      <w:r w:rsidRPr="00CB7DDC">
        <w:rPr>
          <w:rFonts w:ascii="Calibri" w:eastAsia="Calibri" w:hAnsi="Calibri" w:cs="Calibri"/>
          <w:spacing w:val="5"/>
        </w:rPr>
        <w:t>л</w:t>
      </w:r>
      <w:r w:rsidRPr="00CB7DDC">
        <w:rPr>
          <w:rFonts w:ascii="Calibri" w:eastAsia="Calibri" w:hAnsi="Calibri" w:cs="Calibri"/>
          <w:spacing w:val="-5"/>
        </w:rPr>
        <w:t>у</w:t>
      </w:r>
      <w:r w:rsidRPr="00CB7DDC">
        <w:rPr>
          <w:rFonts w:ascii="Calibri" w:eastAsia="Calibri" w:hAnsi="Calibri" w:cs="Calibri"/>
        </w:rPr>
        <w:t>г</w:t>
      </w:r>
      <w:r w:rsidRPr="00CB7DDC">
        <w:rPr>
          <w:rFonts w:ascii="Calibri" w:eastAsia="Calibri" w:hAnsi="Calibri" w:cs="Calibri"/>
          <w:spacing w:val="5"/>
        </w:rPr>
        <w:t>и</w:t>
      </w:r>
      <w:r w:rsidRPr="00CB7DDC">
        <w:rPr>
          <w:rFonts w:ascii="Calibri" w:eastAsia="Calibri" w:hAnsi="Calibri" w:cs="Calibri"/>
        </w:rPr>
        <w:t>.</w:t>
      </w:r>
    </w:p>
    <w:p w:rsidR="00674B2B" w:rsidRDefault="00674B2B" w:rsidP="00CB7DDC">
      <w:pPr>
        <w:spacing w:before="120" w:after="120" w:line="240" w:lineRule="auto"/>
        <w:ind w:left="34"/>
        <w:jc w:val="both"/>
        <w:rPr>
          <w:rFonts w:eastAsia="Times New Roman" w:cs="Arial"/>
          <w:color w:val="000000"/>
          <w:lang w:eastAsia="bg-BG"/>
        </w:rPr>
      </w:pPr>
      <w:r>
        <w:rPr>
          <w:rFonts w:ascii="Calibri" w:eastAsia="Calibri" w:hAnsi="Calibri" w:cs="Calibri"/>
          <w:bCs/>
          <w:lang w:eastAsia="bg-BG"/>
        </w:rPr>
        <w:t>Описаните нужди се потвърждават и от резултатите от проведеното за целите на настоящия анализ анкетно проучване сред потенциалните бенефициенти в сектора. На въпроса „</w:t>
      </w:r>
      <w:r w:rsidRPr="000E5D7D">
        <w:rPr>
          <w:rFonts w:eastAsia="Times New Roman" w:cs="Arial"/>
          <w:b/>
          <w:color w:val="000000"/>
          <w:lang w:eastAsia="bg-BG"/>
        </w:rPr>
        <w:t>Какви са причините, които ви ограничават да отделите по-голям ресурс за инвестиции</w:t>
      </w:r>
      <w:r>
        <w:rPr>
          <w:rFonts w:eastAsia="Times New Roman" w:cs="Arial"/>
          <w:b/>
          <w:color w:val="000000"/>
          <w:lang w:eastAsia="bg-BG"/>
        </w:rPr>
        <w:t xml:space="preserve">”, </w:t>
      </w:r>
      <w:r w:rsidR="00B22077" w:rsidRPr="00B22077">
        <w:rPr>
          <w:rFonts w:ascii="Calibri" w:eastAsia="Calibri" w:hAnsi="Calibri" w:cs="Calibri"/>
          <w:bCs/>
          <w:lang w:eastAsia="bg-BG"/>
        </w:rPr>
        <w:t xml:space="preserve">16 </w:t>
      </w:r>
      <w:r w:rsidRPr="00674B2B">
        <w:rPr>
          <w:rFonts w:eastAsia="Times New Roman" w:cs="Arial"/>
          <w:color w:val="000000"/>
          <w:lang w:eastAsia="bg-BG"/>
        </w:rPr>
        <w:t>ВиК дружества</w:t>
      </w:r>
      <w:r w:rsidR="00B22077">
        <w:rPr>
          <w:rFonts w:eastAsia="Times New Roman" w:cs="Arial"/>
          <w:color w:val="000000"/>
          <w:lang w:eastAsia="bg-BG"/>
        </w:rPr>
        <w:t>, отговорили на анкетата дават следните отговори:</w:t>
      </w:r>
    </w:p>
    <w:p w:rsidR="00B22077" w:rsidRDefault="00B22077" w:rsidP="00B22077">
      <w:pPr>
        <w:pStyle w:val="Caption"/>
        <w:ind w:left="176" w:firstLine="708"/>
        <w:rPr>
          <w:rFonts w:asciiTheme="minorHAnsi" w:hAnsiTheme="minorHAnsi" w:cstheme="minorHAnsi"/>
          <w:lang w:val="en-US"/>
        </w:rPr>
      </w:pPr>
    </w:p>
    <w:p w:rsidR="00B22077" w:rsidRPr="009D2DBF" w:rsidRDefault="00B22077" w:rsidP="00B22077">
      <w:pPr>
        <w:pStyle w:val="Caption"/>
        <w:ind w:left="176" w:firstLine="708"/>
        <w:rPr>
          <w:rFonts w:asciiTheme="minorHAnsi" w:eastAsia="Calibri" w:hAnsiTheme="minorHAnsi" w:cstheme="minorHAnsi"/>
        </w:rPr>
      </w:pPr>
      <w:bookmarkStart w:id="11" w:name="_Toc399494587"/>
      <w:r>
        <w:rPr>
          <w:rFonts w:asciiTheme="minorHAnsi" w:hAnsiTheme="minorHAnsi" w:cstheme="minorHAnsi"/>
        </w:rPr>
        <w:t>Ф</w:t>
      </w:r>
      <w:r w:rsidRPr="009D2DBF">
        <w:rPr>
          <w:rFonts w:asciiTheme="minorHAnsi" w:hAnsiTheme="minorHAnsi" w:cstheme="minorHAnsi"/>
        </w:rPr>
        <w:t xml:space="preserve">игура </w:t>
      </w:r>
      <w:r w:rsidR="008E6461" w:rsidRPr="009D2DBF">
        <w:rPr>
          <w:rFonts w:asciiTheme="minorHAnsi" w:hAnsiTheme="minorHAnsi" w:cstheme="minorHAnsi"/>
        </w:rPr>
        <w:fldChar w:fldCharType="begin"/>
      </w:r>
      <w:r w:rsidRPr="009D2DBF">
        <w:rPr>
          <w:rFonts w:asciiTheme="minorHAnsi" w:hAnsiTheme="minorHAnsi" w:cstheme="minorHAnsi"/>
        </w:rPr>
        <w:instrText xml:space="preserve"> SEQ фигура \* ARABIC </w:instrText>
      </w:r>
      <w:r w:rsidR="008E6461" w:rsidRPr="009D2DBF">
        <w:rPr>
          <w:rFonts w:asciiTheme="minorHAnsi" w:hAnsiTheme="minorHAnsi" w:cstheme="minorHAnsi"/>
        </w:rPr>
        <w:fldChar w:fldCharType="separate"/>
      </w:r>
      <w:r w:rsidR="003A69A7">
        <w:rPr>
          <w:rFonts w:asciiTheme="minorHAnsi" w:hAnsiTheme="minorHAnsi" w:cstheme="minorHAnsi"/>
          <w:noProof/>
        </w:rPr>
        <w:t>2</w:t>
      </w:r>
      <w:r w:rsidR="008E6461" w:rsidRPr="009D2DBF">
        <w:rPr>
          <w:rFonts w:asciiTheme="minorHAnsi" w:hAnsiTheme="minorHAnsi" w:cstheme="minorHAnsi"/>
        </w:rPr>
        <w:fldChar w:fldCharType="end"/>
      </w:r>
      <w:r>
        <w:rPr>
          <w:rFonts w:asciiTheme="minorHAnsi" w:hAnsiTheme="minorHAnsi" w:cstheme="minorHAnsi"/>
        </w:rPr>
        <w:t>: Причини за ограничаване на инвестициите във ВиК сектора</w:t>
      </w:r>
      <w:bookmarkEnd w:id="11"/>
    </w:p>
    <w:p w:rsidR="00674B2B" w:rsidRDefault="00674B2B" w:rsidP="00CB7DDC">
      <w:pPr>
        <w:spacing w:before="120" w:after="120" w:line="240" w:lineRule="auto"/>
        <w:ind w:left="34"/>
        <w:jc w:val="both"/>
        <w:rPr>
          <w:rFonts w:ascii="Calibri" w:eastAsia="Calibri" w:hAnsi="Calibri" w:cs="Calibri"/>
          <w:bCs/>
          <w:lang w:eastAsia="bg-BG"/>
        </w:rPr>
      </w:pPr>
      <w:r>
        <w:rPr>
          <w:rFonts w:ascii="Calibri" w:eastAsia="Calibri" w:hAnsi="Calibri" w:cs="Calibri"/>
          <w:bCs/>
          <w:noProof/>
          <w:lang w:eastAsia="bg-BG"/>
        </w:rPr>
        <w:drawing>
          <wp:inline distT="0" distB="0" distL="0" distR="0">
            <wp:extent cx="5486400" cy="1988820"/>
            <wp:effectExtent l="1905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0" cstate="print"/>
                    <a:srcRect/>
                    <a:stretch>
                      <a:fillRect/>
                    </a:stretch>
                  </pic:blipFill>
                  <pic:spPr bwMode="auto">
                    <a:xfrm>
                      <a:off x="0" y="0"/>
                      <a:ext cx="5486400" cy="1988820"/>
                    </a:xfrm>
                    <a:prstGeom prst="rect">
                      <a:avLst/>
                    </a:prstGeom>
                    <a:noFill/>
                  </pic:spPr>
                </pic:pic>
              </a:graphicData>
            </a:graphic>
          </wp:inline>
        </w:drawing>
      </w:r>
    </w:p>
    <w:p w:rsidR="00B22077" w:rsidRDefault="00B22077" w:rsidP="00CB7DDC">
      <w:pPr>
        <w:spacing w:before="120" w:after="120" w:line="240" w:lineRule="auto"/>
        <w:ind w:left="34"/>
        <w:jc w:val="both"/>
        <w:rPr>
          <w:rFonts w:ascii="Calibri" w:eastAsia="Calibri" w:hAnsi="Calibri" w:cs="Calibri"/>
          <w:bCs/>
          <w:lang w:eastAsia="bg-BG"/>
        </w:rPr>
      </w:pPr>
    </w:p>
    <w:p w:rsidR="00CB7DDC" w:rsidRPr="00CB7DDC" w:rsidRDefault="00CB7DDC" w:rsidP="00CB7DDC">
      <w:pPr>
        <w:spacing w:before="120" w:after="120" w:line="240" w:lineRule="auto"/>
        <w:ind w:left="34"/>
        <w:jc w:val="both"/>
        <w:rPr>
          <w:rFonts w:ascii="Calibri" w:eastAsia="Calibri" w:hAnsi="Calibri" w:cs="Calibri"/>
          <w:bCs/>
          <w:lang w:eastAsia="bg-BG"/>
        </w:rPr>
      </w:pPr>
      <w:r w:rsidRPr="00CB7DDC">
        <w:rPr>
          <w:rFonts w:ascii="Calibri" w:eastAsia="Calibri" w:hAnsi="Calibri" w:cs="Calibri"/>
          <w:bCs/>
          <w:lang w:eastAsia="bg-BG"/>
        </w:rPr>
        <w:t>Проблемите във ВиК сектора, свързани с предоставянето и качеството на услугите могат да бъдат накратко представени както следва</w:t>
      </w:r>
      <w:r w:rsidRPr="00CB7DDC">
        <w:rPr>
          <w:rFonts w:ascii="Calibri" w:eastAsia="Calibri" w:hAnsi="Calibri" w:cs="Calibri"/>
          <w:bCs/>
          <w:vertAlign w:val="superscript"/>
          <w:lang w:eastAsia="bg-BG"/>
        </w:rPr>
        <w:footnoteReference w:id="8"/>
      </w:r>
      <w:r w:rsidRPr="00CB7DDC">
        <w:rPr>
          <w:rFonts w:ascii="Calibri" w:eastAsia="Calibri" w:hAnsi="Calibri" w:cs="Calibri"/>
          <w:bCs/>
          <w:lang w:eastAsia="bg-BG"/>
        </w:rPr>
        <w:t>:</w:t>
      </w:r>
    </w:p>
    <w:p w:rsidR="00CB7DDC" w:rsidRPr="00CB7DDC" w:rsidRDefault="00CB7DDC" w:rsidP="009C1CFD">
      <w:pPr>
        <w:widowControl w:val="0"/>
        <w:numPr>
          <w:ilvl w:val="3"/>
          <w:numId w:val="4"/>
        </w:numPr>
        <w:autoSpaceDE w:val="0"/>
        <w:autoSpaceDN w:val="0"/>
        <w:adjustRightInd w:val="0"/>
        <w:spacing w:before="240" w:after="0" w:line="240" w:lineRule="auto"/>
        <w:ind w:left="851" w:right="64"/>
        <w:jc w:val="both"/>
        <w:rPr>
          <w:rFonts w:ascii="Calibri" w:eastAsia="Calibri" w:hAnsi="Calibri" w:cs="Calibri"/>
          <w:spacing w:val="1"/>
        </w:rPr>
      </w:pPr>
      <w:r w:rsidRPr="00CB7DDC">
        <w:rPr>
          <w:rFonts w:ascii="Calibri" w:eastAsia="Calibri" w:hAnsi="Calibri" w:cs="Calibri"/>
          <w:spacing w:val="1"/>
        </w:rPr>
        <w:t xml:space="preserve">Физически и технологично остаряла инфраструктура, загуби по мрежата средно 60 % </w:t>
      </w:r>
      <w:r w:rsidRPr="00CB7DDC">
        <w:rPr>
          <w:rFonts w:ascii="Calibri" w:eastAsia="Calibri" w:hAnsi="Calibri" w:cs="Calibri"/>
          <w:spacing w:val="1"/>
        </w:rPr>
        <w:lastRenderedPageBreak/>
        <w:t>(неотчетена вода), 57 % от водоснабдителната (40 хил. км) и 20 % от канализационната мрежа са за подмяна;</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 300-100 хиляди души от населението са на воден режим;</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 xml:space="preserve">Около 36 % от населението няма изградена канализационна мрежа; </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 xml:space="preserve">Питейните и отпадъчните води на 50 % от населението не се пречистват – </w:t>
      </w:r>
      <w:r w:rsidR="00F04AD2" w:rsidRPr="00BD60EC">
        <w:rPr>
          <w:rFonts w:ascii="Calibri" w:eastAsia="Calibri" w:hAnsi="Calibri" w:cs="Times New Roman"/>
        </w:rPr>
        <w:t>282 агломерации се нуждаят от пречистване на отпадъчните води</w:t>
      </w:r>
      <w:r w:rsidRPr="00CB7DDC">
        <w:rPr>
          <w:rFonts w:ascii="Calibri" w:eastAsia="Calibri" w:hAnsi="Calibri" w:cs="Calibri"/>
          <w:spacing w:val="1"/>
        </w:rPr>
        <w:t xml:space="preserve">; </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Необходимост от крупни инвестиции с бавна възвръщаемост;</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Раздробеност на сектора на много и малки ВиК дружества с липса на ресурси и с ограничена автономия;</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Ниско ниво на социална поносимост на разходите за ВиК в домакинствата</w:t>
      </w:r>
      <w:r w:rsidR="00F04AD2">
        <w:rPr>
          <w:rFonts w:ascii="Calibri" w:eastAsia="Calibri" w:hAnsi="Calibri" w:cs="Calibri"/>
          <w:spacing w:val="1"/>
        </w:rPr>
        <w:t>, вкл. и поради ниска кутура за използване на водни ресурси</w:t>
      </w:r>
      <w:r w:rsidRPr="00CB7DDC">
        <w:rPr>
          <w:rFonts w:ascii="Calibri" w:eastAsia="Calibri" w:hAnsi="Calibri" w:cs="Calibri"/>
          <w:spacing w:val="1"/>
        </w:rPr>
        <w:t>;</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Недостиг на надеждна информация в самите ВиК фирми и слаба информираност на обществото за величината на разходите по предоставянето на услугите;</w:t>
      </w:r>
    </w:p>
    <w:p w:rsidR="00CB7DDC" w:rsidRPr="00CB7DDC"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Фискални ограничения – върху приходната база, върху заемите;</w:t>
      </w:r>
    </w:p>
    <w:p w:rsidR="00722616" w:rsidRPr="00722616"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CB7DDC">
        <w:rPr>
          <w:rFonts w:ascii="Calibri" w:eastAsia="Calibri" w:hAnsi="Calibri" w:cs="Calibri"/>
          <w:spacing w:val="1"/>
        </w:rPr>
        <w:t>Недостатъчна координация между институциите и силна политическа намеса;</w:t>
      </w:r>
    </w:p>
    <w:p w:rsidR="00CB7DDC" w:rsidRPr="00722616" w:rsidRDefault="00CB7DD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722616">
        <w:rPr>
          <w:rFonts w:ascii="Calibri" w:eastAsia="Calibri" w:hAnsi="Calibri" w:cs="Calibri"/>
          <w:spacing w:val="1"/>
        </w:rPr>
        <w:t>Неефективна правораздавателна система.</w:t>
      </w:r>
    </w:p>
    <w:p w:rsidR="00CB7DDC" w:rsidRDefault="00325089" w:rsidP="00CB7DDC">
      <w:pPr>
        <w:spacing w:before="240" w:after="120" w:line="240" w:lineRule="auto"/>
        <w:jc w:val="both"/>
        <w:rPr>
          <w:rFonts w:ascii="Calibri" w:eastAsia="Calibri" w:hAnsi="Calibri" w:cs="Calibri"/>
          <w:bCs/>
          <w:lang w:eastAsia="bg-BG"/>
        </w:rPr>
      </w:pPr>
      <w:r>
        <w:rPr>
          <w:rFonts w:ascii="Calibri" w:eastAsia="Calibri" w:hAnsi="Calibri" w:cs="Calibri"/>
          <w:bCs/>
          <w:lang w:eastAsia="bg-BG"/>
        </w:rPr>
        <w:t>Друг проблем в сектора и</w:t>
      </w:r>
      <w:r w:rsidR="00CB7DDC" w:rsidRPr="00CB7DDC">
        <w:rPr>
          <w:rFonts w:ascii="Calibri" w:eastAsia="Calibri" w:hAnsi="Calibri" w:cs="Calibri"/>
          <w:bCs/>
          <w:lang w:eastAsia="bg-BG"/>
        </w:rPr>
        <w:t xml:space="preserve"> ефективността на ВиК операторите, която е под средната за ЕС.</w:t>
      </w:r>
      <w:r w:rsidR="00CB7DDC" w:rsidRPr="00CB7DDC">
        <w:rPr>
          <w:rFonts w:ascii="Calibri" w:eastAsia="Calibri" w:hAnsi="Calibri" w:cs="Calibri"/>
          <w:bCs/>
          <w:vertAlign w:val="superscript"/>
          <w:lang w:eastAsia="bg-BG"/>
        </w:rPr>
        <w:footnoteReference w:id="9"/>
      </w:r>
      <w:r w:rsidR="00CB7DDC" w:rsidRPr="00CB7DDC">
        <w:rPr>
          <w:rFonts w:ascii="Calibri" w:eastAsia="Calibri" w:hAnsi="Calibri" w:cs="Calibri"/>
          <w:bCs/>
          <w:lang w:eastAsia="bg-BG"/>
        </w:rPr>
        <w:t xml:space="preserve"> При българските ВиК дружества се забелязва тенденцията да поддържат значителен персонал. Измерен по брой служители на 1000 отклонения, персоналът на българските ВиК оператори е 4 до 5 пъти по-многоброен в сравнение с други страни от ЕС. Това се дължи отчасти на неефективност, отчасти на факта, че българските ВиК дружества разчитат на собствена механизация и персонал за почти всички свои нужди (като обичайно имат дори автопарк с тежка механизация). Годишните загуби на вода и авариите по водопроводната мрежа в България са по-</w:t>
      </w:r>
      <w:r w:rsidR="00B23254" w:rsidRPr="00CB7DDC">
        <w:rPr>
          <w:rFonts w:ascii="Calibri" w:eastAsia="Calibri" w:hAnsi="Calibri" w:cs="Calibri"/>
          <w:bCs/>
          <w:lang w:eastAsia="bg-BG"/>
        </w:rPr>
        <w:t>големи, отколкото</w:t>
      </w:r>
      <w:r w:rsidR="00CB7DDC" w:rsidRPr="00CB7DDC">
        <w:rPr>
          <w:rFonts w:ascii="Calibri" w:eastAsia="Calibri" w:hAnsi="Calibri" w:cs="Calibri"/>
          <w:bCs/>
          <w:lang w:eastAsia="bg-BG"/>
        </w:rPr>
        <w:t xml:space="preserve"> в повечето европейски страни.</w:t>
      </w:r>
    </w:p>
    <w:p w:rsidR="00CB7DDC" w:rsidRPr="00325089" w:rsidRDefault="00325089" w:rsidP="009C60B0">
      <w:pPr>
        <w:pStyle w:val="Caption"/>
        <w:spacing w:before="240" w:after="240"/>
        <w:rPr>
          <w:rFonts w:asciiTheme="minorHAnsi" w:eastAsia="Calibri" w:hAnsiTheme="minorHAnsi" w:cstheme="minorHAnsi"/>
          <w:bCs w:val="0"/>
        </w:rPr>
      </w:pPr>
      <w:bookmarkStart w:id="12" w:name="_Toc399494881"/>
      <w:r w:rsidRPr="00325089">
        <w:rPr>
          <w:rFonts w:asciiTheme="minorHAnsi" w:eastAsia="Calibri" w:hAnsiTheme="minorHAnsi" w:cstheme="minorHAnsi"/>
          <w:bCs w:val="0"/>
        </w:rPr>
        <w:t xml:space="preserve">Таблица </w:t>
      </w:r>
      <w:r w:rsidR="008E6461" w:rsidRPr="00325089">
        <w:rPr>
          <w:rFonts w:asciiTheme="minorHAnsi" w:eastAsia="Calibri" w:hAnsiTheme="minorHAnsi" w:cstheme="minorHAnsi"/>
          <w:bCs w:val="0"/>
        </w:rPr>
        <w:fldChar w:fldCharType="begin"/>
      </w:r>
      <w:r w:rsidRPr="00325089">
        <w:rPr>
          <w:rFonts w:asciiTheme="minorHAnsi" w:eastAsia="Calibri" w:hAnsiTheme="minorHAnsi" w:cstheme="minorHAnsi"/>
          <w:bCs w:val="0"/>
        </w:rPr>
        <w:instrText xml:space="preserve"> SEQ таблица \* ARABIC </w:instrText>
      </w:r>
      <w:r w:rsidR="008E6461" w:rsidRPr="00325089">
        <w:rPr>
          <w:rFonts w:asciiTheme="minorHAnsi" w:eastAsia="Calibri" w:hAnsiTheme="minorHAnsi" w:cstheme="minorHAnsi"/>
          <w:bCs w:val="0"/>
        </w:rPr>
        <w:fldChar w:fldCharType="separate"/>
      </w:r>
      <w:r w:rsidR="003A69A7">
        <w:rPr>
          <w:rFonts w:asciiTheme="minorHAnsi" w:eastAsia="Calibri" w:hAnsiTheme="minorHAnsi" w:cstheme="minorHAnsi"/>
          <w:bCs w:val="0"/>
          <w:noProof/>
        </w:rPr>
        <w:t>1</w:t>
      </w:r>
      <w:r w:rsidR="008E6461" w:rsidRPr="00325089">
        <w:rPr>
          <w:rFonts w:asciiTheme="minorHAnsi" w:eastAsia="Calibri" w:hAnsiTheme="minorHAnsi" w:cstheme="minorHAnsi"/>
          <w:bCs w:val="0"/>
        </w:rPr>
        <w:fldChar w:fldCharType="end"/>
      </w:r>
      <w:r w:rsidR="009E6215">
        <w:rPr>
          <w:rFonts w:asciiTheme="minorHAnsi" w:eastAsia="Calibri" w:hAnsiTheme="minorHAnsi" w:cstheme="minorHAnsi"/>
          <w:bCs w:val="0"/>
        </w:rPr>
        <w:t>: Ефективност на ВиК операторите</w:t>
      </w:r>
      <w:bookmarkEnd w:id="12"/>
    </w:p>
    <w:tbl>
      <w:tblPr>
        <w:tblW w:w="9249" w:type="dxa"/>
        <w:jc w:val="center"/>
        <w:tblLayout w:type="fixed"/>
        <w:tblCellMar>
          <w:left w:w="0" w:type="dxa"/>
          <w:right w:w="0" w:type="dxa"/>
        </w:tblCellMar>
        <w:tblLook w:val="0000" w:firstRow="0" w:lastRow="0" w:firstColumn="0" w:lastColumn="0" w:noHBand="0" w:noVBand="0"/>
      </w:tblPr>
      <w:tblGrid>
        <w:gridCol w:w="3158"/>
        <w:gridCol w:w="1134"/>
        <w:gridCol w:w="992"/>
        <w:gridCol w:w="1169"/>
        <w:gridCol w:w="816"/>
        <w:gridCol w:w="989"/>
        <w:gridCol w:w="991"/>
      </w:tblGrid>
      <w:tr w:rsidR="00CB7DDC" w:rsidRPr="009E6215" w:rsidTr="00107B8E">
        <w:trPr>
          <w:trHeight w:hRule="exact" w:val="480"/>
          <w:jc w:val="center"/>
        </w:trPr>
        <w:tc>
          <w:tcPr>
            <w:tcW w:w="3158"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107B8E">
            <w:pPr>
              <w:widowControl w:val="0"/>
              <w:autoSpaceDE w:val="0"/>
              <w:autoSpaceDN w:val="0"/>
              <w:adjustRightInd w:val="0"/>
              <w:spacing w:line="240" w:lineRule="auto"/>
              <w:ind w:left="-1"/>
              <w:rPr>
                <w:rFonts w:eastAsia="Calibri" w:cstheme="minorHAnsi"/>
                <w:sz w:val="20"/>
                <w:szCs w:val="20"/>
              </w:rPr>
            </w:pPr>
            <w:r w:rsidRPr="009E6215">
              <w:rPr>
                <w:rFonts w:eastAsia="Calibri" w:cstheme="minorHAnsi"/>
                <w:b/>
                <w:bCs/>
                <w:color w:val="FFFFFF"/>
                <w:spacing w:val="-1"/>
                <w:sz w:val="20"/>
                <w:szCs w:val="20"/>
              </w:rPr>
              <w:t>Еф</w:t>
            </w:r>
            <w:r w:rsidRPr="009E6215">
              <w:rPr>
                <w:rFonts w:eastAsia="Calibri" w:cstheme="minorHAnsi"/>
                <w:b/>
                <w:bCs/>
                <w:color w:val="FFFFFF"/>
                <w:sz w:val="20"/>
                <w:szCs w:val="20"/>
              </w:rPr>
              <w:t>е</w:t>
            </w:r>
            <w:r w:rsidRPr="009E6215">
              <w:rPr>
                <w:rFonts w:eastAsia="Calibri" w:cstheme="minorHAnsi"/>
                <w:b/>
                <w:bCs/>
                <w:color w:val="FFFFFF"/>
                <w:spacing w:val="1"/>
                <w:sz w:val="20"/>
                <w:szCs w:val="20"/>
              </w:rPr>
              <w:t>к</w:t>
            </w:r>
            <w:r w:rsidRPr="009E6215">
              <w:rPr>
                <w:rFonts w:eastAsia="Calibri" w:cstheme="minorHAnsi"/>
                <w:b/>
                <w:bCs/>
                <w:color w:val="FFFFFF"/>
                <w:spacing w:val="5"/>
                <w:sz w:val="20"/>
                <w:szCs w:val="20"/>
              </w:rPr>
              <w:t>т</w:t>
            </w:r>
            <w:r w:rsidRPr="009E6215">
              <w:rPr>
                <w:rFonts w:eastAsia="Calibri" w:cstheme="minorHAnsi"/>
                <w:b/>
                <w:bCs/>
                <w:color w:val="FFFFFF"/>
                <w:sz w:val="20"/>
                <w:szCs w:val="20"/>
              </w:rPr>
              <w:t>и</w:t>
            </w:r>
            <w:r w:rsidRPr="009E6215">
              <w:rPr>
                <w:rFonts w:eastAsia="Calibri" w:cstheme="minorHAnsi"/>
                <w:b/>
                <w:bCs/>
                <w:color w:val="FFFFFF"/>
                <w:spacing w:val="1"/>
                <w:sz w:val="20"/>
                <w:szCs w:val="20"/>
              </w:rPr>
              <w:t>в</w:t>
            </w:r>
            <w:r w:rsidRPr="009E6215">
              <w:rPr>
                <w:rFonts w:eastAsia="Calibri" w:cstheme="minorHAnsi"/>
                <w:b/>
                <w:bCs/>
                <w:color w:val="FFFFFF"/>
                <w:sz w:val="20"/>
                <w:szCs w:val="20"/>
              </w:rPr>
              <w:t>н</w:t>
            </w:r>
            <w:r w:rsidRPr="009E6215">
              <w:rPr>
                <w:rFonts w:eastAsia="Calibri" w:cstheme="minorHAnsi"/>
                <w:b/>
                <w:bCs/>
                <w:color w:val="FFFFFF"/>
                <w:spacing w:val="1"/>
                <w:sz w:val="20"/>
                <w:szCs w:val="20"/>
              </w:rPr>
              <w:t>о</w:t>
            </w:r>
            <w:r w:rsidRPr="009E6215">
              <w:rPr>
                <w:rFonts w:eastAsia="Calibri" w:cstheme="minorHAnsi"/>
                <w:b/>
                <w:bCs/>
                <w:color w:val="FFFFFF"/>
                <w:spacing w:val="-2"/>
                <w:sz w:val="20"/>
                <w:szCs w:val="20"/>
              </w:rPr>
              <w:t>с</w:t>
            </w:r>
            <w:r w:rsidRPr="009E6215">
              <w:rPr>
                <w:rFonts w:eastAsia="Calibri" w:cstheme="minorHAnsi"/>
                <w:b/>
                <w:bCs/>
                <w:color w:val="FFFFFF"/>
                <w:sz w:val="20"/>
                <w:szCs w:val="20"/>
              </w:rPr>
              <w:t>т</w:t>
            </w:r>
            <w:r w:rsidRPr="009E6215">
              <w:rPr>
                <w:rFonts w:eastAsia="Calibri" w:cstheme="minorHAnsi"/>
                <w:b/>
                <w:bCs/>
                <w:color w:val="FFFFFF"/>
                <w:spacing w:val="-9"/>
                <w:sz w:val="20"/>
                <w:szCs w:val="20"/>
              </w:rPr>
              <w:t xml:space="preserve"> </w:t>
            </w:r>
            <w:r w:rsidRPr="009E6215">
              <w:rPr>
                <w:rFonts w:eastAsia="Calibri" w:cstheme="minorHAnsi"/>
                <w:b/>
                <w:bCs/>
                <w:color w:val="FFFFFF"/>
                <w:spacing w:val="-2"/>
                <w:sz w:val="20"/>
                <w:szCs w:val="20"/>
              </w:rPr>
              <w:t>н</w:t>
            </w:r>
            <w:r w:rsidRPr="009E6215">
              <w:rPr>
                <w:rFonts w:eastAsia="Calibri" w:cstheme="minorHAnsi"/>
                <w:b/>
                <w:bCs/>
                <w:color w:val="FFFFFF"/>
                <w:sz w:val="20"/>
                <w:szCs w:val="20"/>
              </w:rPr>
              <w:t>а</w:t>
            </w:r>
            <w:r w:rsidRPr="009E6215">
              <w:rPr>
                <w:rFonts w:eastAsia="Calibri" w:cstheme="minorHAnsi"/>
                <w:b/>
                <w:bCs/>
                <w:color w:val="FFFFFF"/>
                <w:spacing w:val="-1"/>
                <w:sz w:val="20"/>
                <w:szCs w:val="20"/>
              </w:rPr>
              <w:t xml:space="preserve"> </w:t>
            </w:r>
            <w:r w:rsidRPr="009E6215">
              <w:rPr>
                <w:rFonts w:eastAsia="Calibri" w:cstheme="minorHAnsi"/>
                <w:b/>
                <w:bCs/>
                <w:color w:val="FFFFFF"/>
                <w:spacing w:val="1"/>
                <w:sz w:val="20"/>
                <w:szCs w:val="20"/>
              </w:rPr>
              <w:t>В</w:t>
            </w:r>
            <w:r w:rsidRPr="009E6215">
              <w:rPr>
                <w:rFonts w:eastAsia="Calibri" w:cstheme="minorHAnsi"/>
                <w:b/>
                <w:bCs/>
                <w:color w:val="FFFFFF"/>
                <w:sz w:val="20"/>
                <w:szCs w:val="20"/>
              </w:rPr>
              <w:t>иК</w:t>
            </w:r>
            <w:r w:rsidR="00107B8E">
              <w:rPr>
                <w:rFonts w:eastAsia="Calibri" w:cstheme="minorHAnsi"/>
                <w:b/>
                <w:bCs/>
                <w:color w:val="FFFFFF"/>
                <w:sz w:val="20"/>
                <w:szCs w:val="20"/>
              </w:rPr>
              <w:t xml:space="preserve"> </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п</w:t>
            </w:r>
            <w:r w:rsidRPr="009E6215">
              <w:rPr>
                <w:rFonts w:eastAsia="Calibri" w:cstheme="minorHAnsi"/>
                <w:b/>
                <w:bCs/>
                <w:color w:val="FFFFFF"/>
                <w:spacing w:val="1"/>
                <w:sz w:val="20"/>
                <w:szCs w:val="20"/>
              </w:rPr>
              <w:t>е</w:t>
            </w:r>
            <w:r w:rsidRPr="009E6215">
              <w:rPr>
                <w:rFonts w:eastAsia="Calibri" w:cstheme="minorHAnsi"/>
                <w:b/>
                <w:bCs/>
                <w:color w:val="FFFFFF"/>
                <w:sz w:val="20"/>
                <w:szCs w:val="20"/>
              </w:rPr>
              <w:t>р</w:t>
            </w:r>
            <w:r w:rsidRPr="009E6215">
              <w:rPr>
                <w:rFonts w:eastAsia="Calibri" w:cstheme="minorHAnsi"/>
                <w:b/>
                <w:bCs/>
                <w:color w:val="FFFFFF"/>
                <w:spacing w:val="-2"/>
                <w:sz w:val="20"/>
                <w:szCs w:val="20"/>
              </w:rPr>
              <w:t>а</w:t>
            </w:r>
            <w:r w:rsidRPr="009E6215">
              <w:rPr>
                <w:rFonts w:eastAsia="Calibri" w:cstheme="minorHAnsi"/>
                <w:b/>
                <w:bCs/>
                <w:color w:val="FFFFFF"/>
                <w:spacing w:val="3"/>
                <w:sz w:val="20"/>
                <w:szCs w:val="20"/>
              </w:rPr>
              <w:t>т</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р</w:t>
            </w:r>
            <w:r w:rsidRPr="009E6215">
              <w:rPr>
                <w:rFonts w:eastAsia="Calibri" w:cstheme="minorHAnsi"/>
                <w:b/>
                <w:bCs/>
                <w:color w:val="FFFFFF"/>
                <w:spacing w:val="-2"/>
                <w:sz w:val="20"/>
                <w:szCs w:val="20"/>
              </w:rPr>
              <w:t>и</w:t>
            </w:r>
            <w:r w:rsidRPr="009E6215">
              <w:rPr>
                <w:rFonts w:eastAsia="Calibri" w:cstheme="minorHAnsi"/>
                <w:b/>
                <w:bCs/>
                <w:color w:val="FFFFFF"/>
                <w:spacing w:val="5"/>
                <w:sz w:val="20"/>
                <w:szCs w:val="20"/>
              </w:rPr>
              <w:t>т</w:t>
            </w:r>
            <w:r w:rsidRPr="009E6215">
              <w:rPr>
                <w:rFonts w:eastAsia="Calibri" w:cstheme="minorHAnsi"/>
                <w:b/>
                <w:bCs/>
                <w:color w:val="FFFFFF"/>
                <w:sz w:val="20"/>
                <w:szCs w:val="20"/>
              </w:rPr>
              <w:t>е</w:t>
            </w:r>
          </w:p>
        </w:tc>
        <w:tc>
          <w:tcPr>
            <w:tcW w:w="1134"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after="0" w:line="240" w:lineRule="auto"/>
              <w:ind w:left="172"/>
              <w:rPr>
                <w:rFonts w:eastAsia="Calibri" w:cstheme="minorHAnsi"/>
                <w:sz w:val="20"/>
                <w:szCs w:val="20"/>
              </w:rPr>
            </w:pPr>
            <w:r w:rsidRPr="009E6215">
              <w:rPr>
                <w:rFonts w:eastAsia="Calibri" w:cstheme="minorHAnsi"/>
                <w:b/>
                <w:bCs/>
                <w:color w:val="FFFFFF"/>
                <w:sz w:val="20"/>
                <w:szCs w:val="20"/>
              </w:rPr>
              <w:t>Б</w:t>
            </w:r>
            <w:r w:rsidRPr="009E6215">
              <w:rPr>
                <w:rFonts w:eastAsia="Calibri" w:cstheme="minorHAnsi"/>
                <w:b/>
                <w:bCs/>
                <w:color w:val="FFFFFF"/>
                <w:spacing w:val="-1"/>
                <w:sz w:val="20"/>
                <w:szCs w:val="20"/>
              </w:rPr>
              <w:t>ъ</w:t>
            </w:r>
            <w:r w:rsidRPr="009E6215">
              <w:rPr>
                <w:rFonts w:eastAsia="Calibri" w:cstheme="minorHAnsi"/>
                <w:b/>
                <w:bCs/>
                <w:color w:val="FFFFFF"/>
                <w:spacing w:val="1"/>
                <w:sz w:val="20"/>
                <w:szCs w:val="20"/>
              </w:rPr>
              <w:t>лга</w:t>
            </w:r>
            <w:r w:rsidRPr="009E6215">
              <w:rPr>
                <w:rFonts w:eastAsia="Calibri" w:cstheme="minorHAnsi"/>
                <w:b/>
                <w:bCs/>
                <w:color w:val="FFFFFF"/>
                <w:sz w:val="20"/>
                <w:szCs w:val="20"/>
              </w:rPr>
              <w:t>рия</w:t>
            </w:r>
          </w:p>
        </w:tc>
        <w:tc>
          <w:tcPr>
            <w:tcW w:w="992"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after="0" w:line="240" w:lineRule="auto"/>
              <w:ind w:left="162"/>
              <w:rPr>
                <w:rFonts w:eastAsia="Calibri" w:cstheme="minorHAnsi"/>
                <w:sz w:val="20"/>
                <w:szCs w:val="20"/>
              </w:rPr>
            </w:pPr>
            <w:r w:rsidRPr="009E6215">
              <w:rPr>
                <w:rFonts w:eastAsia="Calibri" w:cstheme="minorHAnsi"/>
                <w:b/>
                <w:bCs/>
                <w:color w:val="FFFFFF"/>
                <w:sz w:val="20"/>
                <w:szCs w:val="20"/>
              </w:rPr>
              <w:t>Р</w:t>
            </w:r>
            <w:r w:rsidRPr="009E6215">
              <w:rPr>
                <w:rFonts w:eastAsia="Calibri" w:cstheme="minorHAnsi"/>
                <w:b/>
                <w:bCs/>
                <w:color w:val="FFFFFF"/>
                <w:spacing w:val="1"/>
                <w:sz w:val="20"/>
                <w:szCs w:val="20"/>
              </w:rPr>
              <w:t>ум</w:t>
            </w:r>
            <w:r w:rsidRPr="009E6215">
              <w:rPr>
                <w:rFonts w:eastAsia="Calibri" w:cstheme="minorHAnsi"/>
                <w:b/>
                <w:bCs/>
                <w:color w:val="FFFFFF"/>
                <w:spacing w:val="-1"/>
                <w:sz w:val="20"/>
                <w:szCs w:val="20"/>
              </w:rPr>
              <w:t>ъ</w:t>
            </w:r>
            <w:r w:rsidRPr="009E6215">
              <w:rPr>
                <w:rFonts w:eastAsia="Calibri" w:cstheme="minorHAnsi"/>
                <w:b/>
                <w:bCs/>
                <w:color w:val="FFFFFF"/>
                <w:sz w:val="20"/>
                <w:szCs w:val="20"/>
              </w:rPr>
              <w:t>н</w:t>
            </w:r>
            <w:r w:rsidRPr="009E6215">
              <w:rPr>
                <w:rFonts w:eastAsia="Calibri" w:cstheme="minorHAnsi"/>
                <w:b/>
                <w:bCs/>
                <w:color w:val="FFFFFF"/>
                <w:spacing w:val="1"/>
                <w:sz w:val="20"/>
                <w:szCs w:val="20"/>
              </w:rPr>
              <w:t>и</w:t>
            </w:r>
            <w:r w:rsidRPr="009E6215">
              <w:rPr>
                <w:rFonts w:eastAsia="Calibri" w:cstheme="minorHAnsi"/>
                <w:b/>
                <w:bCs/>
                <w:color w:val="FFFFFF"/>
                <w:sz w:val="20"/>
                <w:szCs w:val="20"/>
              </w:rPr>
              <w:t>я</w:t>
            </w:r>
          </w:p>
        </w:tc>
        <w:tc>
          <w:tcPr>
            <w:tcW w:w="1169"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before="5" w:after="0" w:line="240" w:lineRule="auto"/>
              <w:ind w:left="221" w:right="223"/>
              <w:jc w:val="center"/>
              <w:rPr>
                <w:rFonts w:eastAsia="Calibri" w:cstheme="minorHAnsi"/>
                <w:color w:val="000000"/>
                <w:sz w:val="20"/>
                <w:szCs w:val="20"/>
              </w:rPr>
            </w:pPr>
            <w:r w:rsidRPr="009E6215">
              <w:rPr>
                <w:rFonts w:eastAsia="Calibri" w:cstheme="minorHAnsi"/>
                <w:b/>
                <w:bCs/>
                <w:color w:val="FFFFFF"/>
                <w:w w:val="99"/>
                <w:sz w:val="20"/>
                <w:szCs w:val="20"/>
              </w:rPr>
              <w:t>Че</w:t>
            </w:r>
            <w:r w:rsidRPr="009E6215">
              <w:rPr>
                <w:rFonts w:eastAsia="Calibri" w:cstheme="minorHAnsi"/>
                <w:b/>
                <w:bCs/>
                <w:color w:val="FFFFFF"/>
                <w:spacing w:val="3"/>
                <w:w w:val="99"/>
                <w:sz w:val="20"/>
                <w:szCs w:val="20"/>
              </w:rPr>
              <w:t>ш</w:t>
            </w:r>
            <w:r w:rsidRPr="009E6215">
              <w:rPr>
                <w:rFonts w:eastAsia="Calibri" w:cstheme="minorHAnsi"/>
                <w:b/>
                <w:bCs/>
                <w:color w:val="FFFFFF"/>
                <w:w w:val="99"/>
                <w:sz w:val="20"/>
                <w:szCs w:val="20"/>
              </w:rPr>
              <w:t>ка</w:t>
            </w:r>
          </w:p>
          <w:p w:rsidR="00CB7DDC" w:rsidRPr="009E6215" w:rsidRDefault="00CB7DDC" w:rsidP="00CB7DDC">
            <w:pPr>
              <w:widowControl w:val="0"/>
              <w:autoSpaceDE w:val="0"/>
              <w:autoSpaceDN w:val="0"/>
              <w:adjustRightInd w:val="0"/>
              <w:spacing w:after="0" w:line="240" w:lineRule="auto"/>
              <w:ind w:left="48" w:right="51"/>
              <w:jc w:val="center"/>
              <w:rPr>
                <w:rFonts w:eastAsia="Calibri" w:cstheme="minorHAnsi"/>
                <w:sz w:val="20"/>
                <w:szCs w:val="20"/>
              </w:rPr>
            </w:pPr>
            <w:r w:rsidRPr="009E6215">
              <w:rPr>
                <w:rFonts w:eastAsia="Calibri" w:cstheme="minorHAnsi"/>
                <w:b/>
                <w:bCs/>
                <w:color w:val="FFFFFF"/>
                <w:w w:val="99"/>
                <w:sz w:val="20"/>
                <w:szCs w:val="20"/>
              </w:rPr>
              <w:t>Ре</w:t>
            </w:r>
            <w:r w:rsidRPr="009E6215">
              <w:rPr>
                <w:rFonts w:eastAsia="Calibri" w:cstheme="minorHAnsi"/>
                <w:b/>
                <w:bCs/>
                <w:color w:val="FFFFFF"/>
                <w:spacing w:val="1"/>
                <w:w w:val="99"/>
                <w:sz w:val="20"/>
                <w:szCs w:val="20"/>
              </w:rPr>
              <w:t>публ</w:t>
            </w:r>
            <w:r w:rsidRPr="009E6215">
              <w:rPr>
                <w:rFonts w:eastAsia="Calibri" w:cstheme="minorHAnsi"/>
                <w:b/>
                <w:bCs/>
                <w:color w:val="FFFFFF"/>
                <w:w w:val="99"/>
                <w:sz w:val="20"/>
                <w:szCs w:val="20"/>
              </w:rPr>
              <w:t>и</w:t>
            </w:r>
            <w:r w:rsidRPr="009E6215">
              <w:rPr>
                <w:rFonts w:eastAsia="Calibri" w:cstheme="minorHAnsi"/>
                <w:b/>
                <w:bCs/>
                <w:color w:val="FFFFFF"/>
                <w:spacing w:val="1"/>
                <w:w w:val="99"/>
                <w:sz w:val="20"/>
                <w:szCs w:val="20"/>
              </w:rPr>
              <w:t>к</w:t>
            </w:r>
            <w:r w:rsidRPr="009E6215">
              <w:rPr>
                <w:rFonts w:eastAsia="Calibri" w:cstheme="minorHAnsi"/>
                <w:b/>
                <w:bCs/>
                <w:color w:val="FFFFFF"/>
                <w:w w:val="99"/>
                <w:sz w:val="20"/>
                <w:szCs w:val="20"/>
              </w:rPr>
              <w:t>а</w:t>
            </w:r>
          </w:p>
        </w:tc>
        <w:tc>
          <w:tcPr>
            <w:tcW w:w="816"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after="0" w:line="240" w:lineRule="auto"/>
              <w:ind w:left="193"/>
              <w:rPr>
                <w:rFonts w:eastAsia="Calibri" w:cstheme="minorHAnsi"/>
                <w:sz w:val="20"/>
                <w:szCs w:val="20"/>
              </w:rPr>
            </w:pPr>
            <w:r w:rsidRPr="009E6215">
              <w:rPr>
                <w:rFonts w:eastAsia="Calibri" w:cstheme="minorHAnsi"/>
                <w:b/>
                <w:bCs/>
                <w:color w:val="FFFFFF"/>
                <w:sz w:val="20"/>
                <w:szCs w:val="20"/>
              </w:rPr>
              <w:t>Л</w:t>
            </w:r>
            <w:r w:rsidRPr="009E6215">
              <w:rPr>
                <w:rFonts w:eastAsia="Calibri" w:cstheme="minorHAnsi"/>
                <w:b/>
                <w:bCs/>
                <w:color w:val="FFFFFF"/>
                <w:spacing w:val="-2"/>
                <w:sz w:val="20"/>
                <w:szCs w:val="20"/>
              </w:rPr>
              <w:t>и</w:t>
            </w:r>
            <w:r w:rsidRPr="009E6215">
              <w:rPr>
                <w:rFonts w:eastAsia="Calibri" w:cstheme="minorHAnsi"/>
                <w:b/>
                <w:bCs/>
                <w:color w:val="FFFFFF"/>
                <w:spacing w:val="5"/>
                <w:sz w:val="20"/>
                <w:szCs w:val="20"/>
              </w:rPr>
              <w:t>т</w:t>
            </w:r>
            <w:r w:rsidRPr="009E6215">
              <w:rPr>
                <w:rFonts w:eastAsia="Calibri" w:cstheme="minorHAnsi"/>
                <w:b/>
                <w:bCs/>
                <w:color w:val="FFFFFF"/>
                <w:sz w:val="20"/>
                <w:szCs w:val="20"/>
              </w:rPr>
              <w:t>ва</w:t>
            </w:r>
          </w:p>
        </w:tc>
        <w:tc>
          <w:tcPr>
            <w:tcW w:w="989"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after="0" w:line="240" w:lineRule="auto"/>
              <w:ind w:left="28" w:right="-21"/>
              <w:rPr>
                <w:rFonts w:eastAsia="Calibri" w:cstheme="minorHAnsi"/>
                <w:sz w:val="20"/>
                <w:szCs w:val="20"/>
              </w:rPr>
            </w:pPr>
            <w:r w:rsidRPr="009E6215">
              <w:rPr>
                <w:rFonts w:eastAsia="Calibri" w:cstheme="minorHAnsi"/>
                <w:b/>
                <w:bCs/>
                <w:color w:val="FFFFFF"/>
                <w:sz w:val="20"/>
                <w:szCs w:val="20"/>
              </w:rPr>
              <w:t>Г</w:t>
            </w:r>
            <w:r w:rsidRPr="009E6215">
              <w:rPr>
                <w:rFonts w:eastAsia="Calibri" w:cstheme="minorHAnsi"/>
                <w:b/>
                <w:bCs/>
                <w:color w:val="FFFFFF"/>
                <w:spacing w:val="1"/>
                <w:sz w:val="20"/>
                <w:szCs w:val="20"/>
              </w:rPr>
              <w:t>е</w:t>
            </w:r>
            <w:r w:rsidRPr="009E6215">
              <w:rPr>
                <w:rFonts w:eastAsia="Calibri" w:cstheme="minorHAnsi"/>
                <w:b/>
                <w:bCs/>
                <w:color w:val="FFFFFF"/>
                <w:sz w:val="20"/>
                <w:szCs w:val="20"/>
              </w:rPr>
              <w:t>р</w:t>
            </w:r>
            <w:r w:rsidRPr="009E6215">
              <w:rPr>
                <w:rFonts w:eastAsia="Calibri" w:cstheme="minorHAnsi"/>
                <w:b/>
                <w:bCs/>
                <w:color w:val="FFFFFF"/>
                <w:spacing w:val="1"/>
                <w:sz w:val="20"/>
                <w:szCs w:val="20"/>
              </w:rPr>
              <w:t>ма</w:t>
            </w:r>
            <w:r w:rsidRPr="009E6215">
              <w:rPr>
                <w:rFonts w:eastAsia="Calibri" w:cstheme="minorHAnsi"/>
                <w:b/>
                <w:bCs/>
                <w:color w:val="FFFFFF"/>
                <w:sz w:val="20"/>
                <w:szCs w:val="20"/>
              </w:rPr>
              <w:t>н</w:t>
            </w:r>
            <w:r w:rsidRPr="009E6215">
              <w:rPr>
                <w:rFonts w:eastAsia="Calibri" w:cstheme="minorHAnsi"/>
                <w:b/>
                <w:bCs/>
                <w:color w:val="FFFFFF"/>
                <w:spacing w:val="1"/>
                <w:sz w:val="20"/>
                <w:szCs w:val="20"/>
              </w:rPr>
              <w:t>и</w:t>
            </w:r>
            <w:r w:rsidRPr="009E6215">
              <w:rPr>
                <w:rFonts w:eastAsia="Calibri" w:cstheme="minorHAnsi"/>
                <w:b/>
                <w:bCs/>
                <w:color w:val="FFFFFF"/>
                <w:sz w:val="20"/>
                <w:szCs w:val="20"/>
              </w:rPr>
              <w:t>я</w:t>
            </w:r>
          </w:p>
        </w:tc>
        <w:tc>
          <w:tcPr>
            <w:tcW w:w="991"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after="0" w:line="240" w:lineRule="auto"/>
              <w:ind w:left="59"/>
              <w:rPr>
                <w:rFonts w:eastAsia="Calibri" w:cstheme="minorHAnsi"/>
                <w:sz w:val="20"/>
                <w:szCs w:val="20"/>
              </w:rPr>
            </w:pPr>
            <w:r w:rsidRPr="009E6215">
              <w:rPr>
                <w:rFonts w:eastAsia="Calibri" w:cstheme="minorHAnsi"/>
                <w:b/>
                <w:bCs/>
                <w:color w:val="FFFFFF"/>
                <w:spacing w:val="-1"/>
                <w:sz w:val="20"/>
                <w:szCs w:val="20"/>
              </w:rPr>
              <w:t>Ф</w:t>
            </w:r>
            <w:r w:rsidRPr="009E6215">
              <w:rPr>
                <w:rFonts w:eastAsia="Calibri" w:cstheme="minorHAnsi"/>
                <w:b/>
                <w:bCs/>
                <w:color w:val="FFFFFF"/>
                <w:sz w:val="20"/>
                <w:szCs w:val="20"/>
              </w:rPr>
              <w:t>р</w:t>
            </w:r>
            <w:r w:rsidRPr="009E6215">
              <w:rPr>
                <w:rFonts w:eastAsia="Calibri" w:cstheme="minorHAnsi"/>
                <w:b/>
                <w:bCs/>
                <w:color w:val="FFFFFF"/>
                <w:spacing w:val="1"/>
                <w:sz w:val="20"/>
                <w:szCs w:val="20"/>
              </w:rPr>
              <w:t>а</w:t>
            </w:r>
            <w:r w:rsidRPr="009E6215">
              <w:rPr>
                <w:rFonts w:eastAsia="Calibri" w:cstheme="minorHAnsi"/>
                <w:b/>
                <w:bCs/>
                <w:color w:val="FFFFFF"/>
                <w:sz w:val="20"/>
                <w:szCs w:val="20"/>
              </w:rPr>
              <w:t>н</w:t>
            </w:r>
            <w:r w:rsidRPr="009E6215">
              <w:rPr>
                <w:rFonts w:eastAsia="Calibri" w:cstheme="minorHAnsi"/>
                <w:b/>
                <w:bCs/>
                <w:color w:val="FFFFFF"/>
                <w:spacing w:val="1"/>
                <w:sz w:val="20"/>
                <w:szCs w:val="20"/>
              </w:rPr>
              <w:t>ц</w:t>
            </w:r>
            <w:r w:rsidRPr="009E6215">
              <w:rPr>
                <w:rFonts w:eastAsia="Calibri" w:cstheme="minorHAnsi"/>
                <w:b/>
                <w:bCs/>
                <w:color w:val="FFFFFF"/>
                <w:sz w:val="20"/>
                <w:szCs w:val="20"/>
              </w:rPr>
              <w:t>ия</w:t>
            </w:r>
          </w:p>
        </w:tc>
      </w:tr>
      <w:tr w:rsidR="00CB7DDC" w:rsidRPr="009E6215" w:rsidTr="00107B8E">
        <w:trPr>
          <w:trHeight w:hRule="exact" w:val="549"/>
          <w:jc w:val="center"/>
        </w:trPr>
        <w:tc>
          <w:tcPr>
            <w:tcW w:w="3158"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before="5" w:after="0" w:line="240" w:lineRule="auto"/>
              <w:ind w:left="-1" w:right="410"/>
              <w:rPr>
                <w:rFonts w:eastAsia="Calibri" w:cstheme="minorHAnsi"/>
                <w:sz w:val="20"/>
                <w:szCs w:val="20"/>
              </w:rPr>
            </w:pPr>
            <w:r w:rsidRPr="009E6215">
              <w:rPr>
                <w:rFonts w:eastAsia="Calibri" w:cstheme="minorHAnsi"/>
                <w:b/>
                <w:bCs/>
                <w:color w:val="FFFFFF"/>
                <w:sz w:val="20"/>
                <w:szCs w:val="20"/>
              </w:rPr>
              <w:t>Бр</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й</w:t>
            </w:r>
            <w:r w:rsidRPr="009E6215">
              <w:rPr>
                <w:rFonts w:eastAsia="Calibri" w:cstheme="minorHAnsi"/>
                <w:b/>
                <w:bCs/>
                <w:color w:val="FFFFFF"/>
                <w:spacing w:val="-4"/>
                <w:sz w:val="20"/>
                <w:szCs w:val="20"/>
              </w:rPr>
              <w:t xml:space="preserve"> </w:t>
            </w:r>
            <w:r w:rsidRPr="009E6215">
              <w:rPr>
                <w:rFonts w:eastAsia="Calibri" w:cstheme="minorHAnsi"/>
                <w:b/>
                <w:bCs/>
                <w:color w:val="FFFFFF"/>
                <w:sz w:val="20"/>
                <w:szCs w:val="20"/>
              </w:rPr>
              <w:t>п</w:t>
            </w:r>
            <w:r w:rsidRPr="009E6215">
              <w:rPr>
                <w:rFonts w:eastAsia="Calibri" w:cstheme="minorHAnsi"/>
                <w:b/>
                <w:bCs/>
                <w:color w:val="FFFFFF"/>
                <w:spacing w:val="1"/>
                <w:sz w:val="20"/>
                <w:szCs w:val="20"/>
              </w:rPr>
              <w:t>е</w:t>
            </w:r>
            <w:r w:rsidRPr="009E6215">
              <w:rPr>
                <w:rFonts w:eastAsia="Calibri" w:cstheme="minorHAnsi"/>
                <w:b/>
                <w:bCs/>
                <w:color w:val="FFFFFF"/>
                <w:sz w:val="20"/>
                <w:szCs w:val="20"/>
              </w:rPr>
              <w:t>рс</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н</w:t>
            </w:r>
            <w:r w:rsidRPr="009E6215">
              <w:rPr>
                <w:rFonts w:eastAsia="Calibri" w:cstheme="minorHAnsi"/>
                <w:b/>
                <w:bCs/>
                <w:color w:val="FFFFFF"/>
                <w:spacing w:val="1"/>
                <w:sz w:val="20"/>
                <w:szCs w:val="20"/>
              </w:rPr>
              <w:t>а</w:t>
            </w:r>
            <w:r w:rsidRPr="009E6215">
              <w:rPr>
                <w:rFonts w:eastAsia="Calibri" w:cstheme="minorHAnsi"/>
                <w:b/>
                <w:bCs/>
                <w:color w:val="FFFFFF"/>
                <w:sz w:val="20"/>
                <w:szCs w:val="20"/>
              </w:rPr>
              <w:t>л</w:t>
            </w:r>
            <w:r w:rsidRPr="009E6215">
              <w:rPr>
                <w:rFonts w:eastAsia="Calibri" w:cstheme="minorHAnsi"/>
                <w:b/>
                <w:bCs/>
                <w:color w:val="FFFFFF"/>
                <w:spacing w:val="43"/>
                <w:sz w:val="20"/>
                <w:szCs w:val="20"/>
              </w:rPr>
              <w:t xml:space="preserve"> </w:t>
            </w:r>
            <w:r w:rsidRPr="009E6215">
              <w:rPr>
                <w:rFonts w:eastAsia="Calibri" w:cstheme="minorHAnsi"/>
                <w:b/>
                <w:bCs/>
                <w:color w:val="FFFFFF"/>
                <w:sz w:val="20"/>
                <w:szCs w:val="20"/>
              </w:rPr>
              <w:t>на</w:t>
            </w:r>
            <w:r w:rsidRPr="009E6215">
              <w:rPr>
                <w:rFonts w:eastAsia="Calibri" w:cstheme="minorHAnsi"/>
                <w:b/>
                <w:bCs/>
                <w:color w:val="FFFFFF"/>
                <w:spacing w:val="-3"/>
                <w:sz w:val="20"/>
                <w:szCs w:val="20"/>
              </w:rPr>
              <w:t xml:space="preserve"> </w:t>
            </w:r>
            <w:r w:rsidRPr="009E6215">
              <w:rPr>
                <w:rFonts w:eastAsia="Calibri" w:cstheme="minorHAnsi"/>
                <w:b/>
                <w:bCs/>
                <w:color w:val="FFFFFF"/>
                <w:spacing w:val="1"/>
                <w:sz w:val="20"/>
                <w:szCs w:val="20"/>
              </w:rPr>
              <w:t>10</w:t>
            </w:r>
            <w:r w:rsidRPr="009E6215">
              <w:rPr>
                <w:rFonts w:eastAsia="Calibri" w:cstheme="minorHAnsi"/>
                <w:b/>
                <w:bCs/>
                <w:color w:val="FFFFFF"/>
                <w:spacing w:val="-1"/>
                <w:sz w:val="20"/>
                <w:szCs w:val="20"/>
              </w:rPr>
              <w:t>0</w:t>
            </w:r>
            <w:r w:rsidRPr="009E6215">
              <w:rPr>
                <w:rFonts w:eastAsia="Calibri" w:cstheme="minorHAnsi"/>
                <w:b/>
                <w:bCs/>
                <w:color w:val="FFFFFF"/>
                <w:sz w:val="20"/>
                <w:szCs w:val="20"/>
              </w:rPr>
              <w:t xml:space="preserve">0 </w:t>
            </w:r>
            <w:r w:rsidRPr="009E6215">
              <w:rPr>
                <w:rFonts w:eastAsia="Calibri" w:cstheme="minorHAnsi"/>
                <w:b/>
                <w:bCs/>
                <w:color w:val="FFFFFF"/>
                <w:spacing w:val="-1"/>
                <w:sz w:val="20"/>
                <w:szCs w:val="20"/>
              </w:rPr>
              <w:t>о</w:t>
            </w:r>
            <w:r w:rsidRPr="009E6215">
              <w:rPr>
                <w:rFonts w:eastAsia="Calibri" w:cstheme="minorHAnsi"/>
                <w:b/>
                <w:bCs/>
                <w:color w:val="FFFFFF"/>
                <w:spacing w:val="5"/>
                <w:sz w:val="20"/>
                <w:szCs w:val="20"/>
              </w:rPr>
              <w:t>т</w:t>
            </w:r>
            <w:r w:rsidRPr="009E6215">
              <w:rPr>
                <w:rFonts w:eastAsia="Calibri" w:cstheme="minorHAnsi"/>
                <w:b/>
                <w:bCs/>
                <w:color w:val="FFFFFF"/>
                <w:spacing w:val="-2"/>
                <w:sz w:val="20"/>
                <w:szCs w:val="20"/>
              </w:rPr>
              <w:t>к</w:t>
            </w:r>
            <w:r w:rsidRPr="009E6215">
              <w:rPr>
                <w:rFonts w:eastAsia="Calibri" w:cstheme="minorHAnsi"/>
                <w:b/>
                <w:bCs/>
                <w:color w:val="FFFFFF"/>
                <w:spacing w:val="1"/>
                <w:sz w:val="20"/>
                <w:szCs w:val="20"/>
              </w:rPr>
              <w:t>ло</w:t>
            </w:r>
            <w:r w:rsidRPr="009E6215">
              <w:rPr>
                <w:rFonts w:eastAsia="Calibri" w:cstheme="minorHAnsi"/>
                <w:b/>
                <w:bCs/>
                <w:color w:val="FFFFFF"/>
                <w:sz w:val="20"/>
                <w:szCs w:val="20"/>
              </w:rPr>
              <w:t>н</w:t>
            </w:r>
            <w:r w:rsidRPr="009E6215">
              <w:rPr>
                <w:rFonts w:eastAsia="Calibri" w:cstheme="minorHAnsi"/>
                <w:b/>
                <w:bCs/>
                <w:color w:val="FFFFFF"/>
                <w:spacing w:val="1"/>
                <w:sz w:val="20"/>
                <w:szCs w:val="20"/>
              </w:rPr>
              <w:t>е</w:t>
            </w:r>
            <w:r w:rsidRPr="009E6215">
              <w:rPr>
                <w:rFonts w:eastAsia="Calibri" w:cstheme="minorHAnsi"/>
                <w:b/>
                <w:bCs/>
                <w:color w:val="FFFFFF"/>
                <w:sz w:val="20"/>
                <w:szCs w:val="20"/>
              </w:rPr>
              <w:t>н</w:t>
            </w:r>
            <w:r w:rsidRPr="009E6215">
              <w:rPr>
                <w:rFonts w:eastAsia="Calibri" w:cstheme="minorHAnsi"/>
                <w:b/>
                <w:bCs/>
                <w:color w:val="FFFFFF"/>
                <w:spacing w:val="1"/>
                <w:sz w:val="20"/>
                <w:szCs w:val="20"/>
              </w:rPr>
              <w:t>и</w:t>
            </w:r>
            <w:r w:rsidRPr="009E6215">
              <w:rPr>
                <w:rFonts w:eastAsia="Calibri" w:cstheme="minorHAnsi"/>
                <w:b/>
                <w:bCs/>
                <w:color w:val="FFFFFF"/>
                <w:sz w:val="20"/>
                <w:szCs w:val="20"/>
              </w:rPr>
              <w:t>я</w:t>
            </w:r>
          </w:p>
        </w:tc>
        <w:tc>
          <w:tcPr>
            <w:tcW w:w="1134"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11"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2"/>
              <w:jc w:val="right"/>
              <w:rPr>
                <w:rFonts w:eastAsia="Calibri" w:cstheme="minorHAnsi"/>
                <w:sz w:val="20"/>
                <w:szCs w:val="20"/>
              </w:rPr>
            </w:pPr>
            <w:r w:rsidRPr="009E6215">
              <w:rPr>
                <w:rFonts w:eastAsia="Calibri" w:cstheme="minorHAnsi"/>
                <w:spacing w:val="1"/>
                <w:w w:val="99"/>
                <w:sz w:val="20"/>
                <w:szCs w:val="20"/>
              </w:rPr>
              <w:t>7</w:t>
            </w:r>
            <w:r w:rsidRPr="009E6215">
              <w:rPr>
                <w:rFonts w:eastAsia="Calibri" w:cstheme="minorHAnsi"/>
                <w:w w:val="99"/>
                <w:sz w:val="20"/>
                <w:szCs w:val="20"/>
              </w:rPr>
              <w:t>.7</w:t>
            </w:r>
          </w:p>
        </w:tc>
        <w:tc>
          <w:tcPr>
            <w:tcW w:w="992"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11"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1"/>
              <w:jc w:val="right"/>
              <w:rPr>
                <w:rFonts w:eastAsia="Calibri" w:cstheme="minorHAnsi"/>
                <w:sz w:val="20"/>
                <w:szCs w:val="20"/>
              </w:rPr>
            </w:pPr>
            <w:r w:rsidRPr="009E6215">
              <w:rPr>
                <w:rFonts w:eastAsia="Calibri" w:cstheme="minorHAnsi"/>
                <w:spacing w:val="1"/>
                <w:w w:val="99"/>
                <w:sz w:val="20"/>
                <w:szCs w:val="20"/>
              </w:rPr>
              <w:t>1</w:t>
            </w:r>
            <w:r w:rsidRPr="009E6215">
              <w:rPr>
                <w:rFonts w:eastAsia="Calibri" w:cstheme="minorHAnsi"/>
                <w:w w:val="99"/>
                <w:sz w:val="20"/>
                <w:szCs w:val="20"/>
              </w:rPr>
              <w:t>.9</w:t>
            </w:r>
          </w:p>
        </w:tc>
        <w:tc>
          <w:tcPr>
            <w:tcW w:w="1169"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11"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2"/>
              <w:jc w:val="right"/>
              <w:rPr>
                <w:rFonts w:eastAsia="Calibri" w:cstheme="minorHAnsi"/>
                <w:sz w:val="20"/>
                <w:szCs w:val="20"/>
              </w:rPr>
            </w:pPr>
            <w:r w:rsidRPr="009E6215">
              <w:rPr>
                <w:rFonts w:eastAsia="Calibri" w:cstheme="minorHAnsi"/>
                <w:spacing w:val="1"/>
                <w:w w:val="99"/>
                <w:sz w:val="20"/>
                <w:szCs w:val="20"/>
              </w:rPr>
              <w:t>0</w:t>
            </w:r>
            <w:r w:rsidRPr="009E6215">
              <w:rPr>
                <w:rFonts w:eastAsia="Calibri" w:cstheme="minorHAnsi"/>
                <w:w w:val="99"/>
                <w:sz w:val="20"/>
                <w:szCs w:val="20"/>
              </w:rPr>
              <w:t>.6</w:t>
            </w:r>
          </w:p>
        </w:tc>
        <w:tc>
          <w:tcPr>
            <w:tcW w:w="816"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11"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1"/>
              <w:jc w:val="right"/>
              <w:rPr>
                <w:rFonts w:eastAsia="Calibri" w:cstheme="minorHAnsi"/>
                <w:sz w:val="20"/>
                <w:szCs w:val="20"/>
              </w:rPr>
            </w:pPr>
            <w:r w:rsidRPr="009E6215">
              <w:rPr>
                <w:rFonts w:eastAsia="Calibri" w:cstheme="minorHAnsi"/>
                <w:spacing w:val="1"/>
                <w:w w:val="99"/>
                <w:sz w:val="20"/>
                <w:szCs w:val="20"/>
              </w:rPr>
              <w:t>0</w:t>
            </w:r>
            <w:r w:rsidRPr="009E6215">
              <w:rPr>
                <w:rFonts w:eastAsia="Calibri" w:cstheme="minorHAnsi"/>
                <w:w w:val="99"/>
                <w:sz w:val="20"/>
                <w:szCs w:val="20"/>
              </w:rPr>
              <w:t>.8</w:t>
            </w:r>
          </w:p>
        </w:tc>
        <w:tc>
          <w:tcPr>
            <w:tcW w:w="989"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11"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2"/>
              <w:jc w:val="right"/>
              <w:rPr>
                <w:rFonts w:eastAsia="Calibri" w:cstheme="minorHAnsi"/>
                <w:sz w:val="20"/>
                <w:szCs w:val="20"/>
              </w:rPr>
            </w:pPr>
            <w:r w:rsidRPr="009E6215">
              <w:rPr>
                <w:rFonts w:eastAsia="Calibri" w:cstheme="minorHAnsi"/>
                <w:spacing w:val="1"/>
                <w:w w:val="99"/>
                <w:sz w:val="20"/>
                <w:szCs w:val="20"/>
              </w:rPr>
              <w:t>2</w:t>
            </w:r>
            <w:r w:rsidRPr="009E6215">
              <w:rPr>
                <w:rFonts w:eastAsia="Calibri" w:cstheme="minorHAnsi"/>
                <w:w w:val="99"/>
                <w:sz w:val="20"/>
                <w:szCs w:val="20"/>
              </w:rPr>
              <w:t>.5</w:t>
            </w:r>
          </w:p>
        </w:tc>
        <w:tc>
          <w:tcPr>
            <w:tcW w:w="991"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11"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1"/>
              <w:jc w:val="right"/>
              <w:rPr>
                <w:rFonts w:eastAsia="Calibri" w:cstheme="minorHAnsi"/>
                <w:sz w:val="20"/>
                <w:szCs w:val="20"/>
              </w:rPr>
            </w:pPr>
            <w:r w:rsidRPr="009E6215">
              <w:rPr>
                <w:rFonts w:eastAsia="Calibri" w:cstheme="minorHAnsi"/>
                <w:spacing w:val="1"/>
                <w:w w:val="99"/>
                <w:sz w:val="20"/>
                <w:szCs w:val="20"/>
              </w:rPr>
              <w:t>2</w:t>
            </w:r>
            <w:r w:rsidRPr="009E6215">
              <w:rPr>
                <w:rFonts w:eastAsia="Calibri" w:cstheme="minorHAnsi"/>
                <w:w w:val="99"/>
                <w:sz w:val="20"/>
                <w:szCs w:val="20"/>
              </w:rPr>
              <w:t>.4</w:t>
            </w:r>
          </w:p>
        </w:tc>
      </w:tr>
      <w:tr w:rsidR="00CB7DDC" w:rsidRPr="009E6215" w:rsidTr="00107B8E">
        <w:trPr>
          <w:trHeight w:hRule="exact" w:val="445"/>
          <w:jc w:val="center"/>
        </w:trPr>
        <w:tc>
          <w:tcPr>
            <w:tcW w:w="3158"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before="82" w:after="0" w:line="240" w:lineRule="auto"/>
              <w:ind w:left="-1"/>
              <w:rPr>
                <w:rFonts w:eastAsia="Calibri" w:cstheme="minorHAnsi"/>
                <w:sz w:val="20"/>
                <w:szCs w:val="20"/>
              </w:rPr>
            </w:pPr>
            <w:r w:rsidRPr="009E6215">
              <w:rPr>
                <w:rFonts w:eastAsia="Calibri" w:cstheme="minorHAnsi"/>
                <w:b/>
                <w:bCs/>
                <w:color w:val="FFFFFF"/>
                <w:sz w:val="20"/>
                <w:szCs w:val="20"/>
              </w:rPr>
              <w:t>З</w:t>
            </w:r>
            <w:r w:rsidRPr="009E6215">
              <w:rPr>
                <w:rFonts w:eastAsia="Calibri" w:cstheme="minorHAnsi"/>
                <w:b/>
                <w:bCs/>
                <w:color w:val="FFFFFF"/>
                <w:spacing w:val="1"/>
                <w:sz w:val="20"/>
                <w:szCs w:val="20"/>
              </w:rPr>
              <w:t>агуб</w:t>
            </w:r>
            <w:r w:rsidRPr="009E6215">
              <w:rPr>
                <w:rFonts w:eastAsia="Calibri" w:cstheme="minorHAnsi"/>
                <w:b/>
                <w:bCs/>
                <w:color w:val="FFFFFF"/>
                <w:sz w:val="20"/>
                <w:szCs w:val="20"/>
              </w:rPr>
              <w:t>и</w:t>
            </w:r>
            <w:r w:rsidRPr="009E6215">
              <w:rPr>
                <w:rFonts w:eastAsia="Calibri" w:cstheme="minorHAnsi"/>
                <w:b/>
                <w:bCs/>
                <w:color w:val="FFFFFF"/>
                <w:spacing w:val="-5"/>
                <w:sz w:val="20"/>
                <w:szCs w:val="20"/>
              </w:rPr>
              <w:t xml:space="preserve"> </w:t>
            </w:r>
            <w:r w:rsidRPr="009E6215">
              <w:rPr>
                <w:rFonts w:eastAsia="Calibri" w:cstheme="minorHAnsi"/>
                <w:b/>
                <w:bCs/>
                <w:color w:val="FFFFFF"/>
                <w:spacing w:val="-2"/>
                <w:sz w:val="20"/>
                <w:szCs w:val="20"/>
              </w:rPr>
              <w:t>н</w:t>
            </w:r>
            <w:r w:rsidRPr="009E6215">
              <w:rPr>
                <w:rFonts w:eastAsia="Calibri" w:cstheme="minorHAnsi"/>
                <w:b/>
                <w:bCs/>
                <w:color w:val="FFFFFF"/>
                <w:sz w:val="20"/>
                <w:szCs w:val="20"/>
              </w:rPr>
              <w:t>а</w:t>
            </w:r>
            <w:r w:rsidRPr="009E6215">
              <w:rPr>
                <w:rFonts w:eastAsia="Calibri" w:cstheme="minorHAnsi"/>
                <w:b/>
                <w:bCs/>
                <w:color w:val="FFFFFF"/>
                <w:spacing w:val="-1"/>
                <w:sz w:val="20"/>
                <w:szCs w:val="20"/>
              </w:rPr>
              <w:t xml:space="preserve"> </w:t>
            </w:r>
            <w:r w:rsidRPr="009E6215">
              <w:rPr>
                <w:rFonts w:eastAsia="Calibri" w:cstheme="minorHAnsi"/>
                <w:b/>
                <w:bCs/>
                <w:color w:val="FFFFFF"/>
                <w:sz w:val="20"/>
                <w:szCs w:val="20"/>
              </w:rPr>
              <w:t>в</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да</w:t>
            </w:r>
          </w:p>
        </w:tc>
        <w:tc>
          <w:tcPr>
            <w:tcW w:w="1134"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9E6215" w:rsidRDefault="00CB7DDC" w:rsidP="00CB7DDC">
            <w:pPr>
              <w:widowControl w:val="0"/>
              <w:autoSpaceDE w:val="0"/>
              <w:autoSpaceDN w:val="0"/>
              <w:adjustRightInd w:val="0"/>
              <w:spacing w:before="77" w:after="0" w:line="240" w:lineRule="auto"/>
              <w:ind w:right="-3"/>
              <w:jc w:val="right"/>
              <w:rPr>
                <w:rFonts w:eastAsia="Calibri" w:cstheme="minorHAnsi"/>
                <w:sz w:val="20"/>
                <w:szCs w:val="20"/>
              </w:rPr>
            </w:pPr>
            <w:r w:rsidRPr="009E6215">
              <w:rPr>
                <w:rFonts w:eastAsia="Calibri" w:cstheme="minorHAnsi"/>
                <w:spacing w:val="1"/>
                <w:w w:val="99"/>
                <w:sz w:val="20"/>
                <w:szCs w:val="20"/>
              </w:rPr>
              <w:t>60%</w:t>
            </w:r>
          </w:p>
        </w:tc>
        <w:tc>
          <w:tcPr>
            <w:tcW w:w="992"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9E6215" w:rsidRDefault="00CB7DDC" w:rsidP="00CB7DDC">
            <w:pPr>
              <w:widowControl w:val="0"/>
              <w:autoSpaceDE w:val="0"/>
              <w:autoSpaceDN w:val="0"/>
              <w:adjustRightInd w:val="0"/>
              <w:spacing w:before="77" w:after="0" w:line="240" w:lineRule="auto"/>
              <w:jc w:val="right"/>
              <w:rPr>
                <w:rFonts w:eastAsia="Calibri" w:cstheme="minorHAnsi"/>
                <w:sz w:val="20"/>
                <w:szCs w:val="20"/>
              </w:rPr>
            </w:pPr>
            <w:r w:rsidRPr="009E6215">
              <w:rPr>
                <w:rFonts w:eastAsia="Calibri" w:cstheme="minorHAnsi"/>
                <w:spacing w:val="1"/>
                <w:w w:val="99"/>
                <w:sz w:val="20"/>
                <w:szCs w:val="20"/>
              </w:rPr>
              <w:t>49%</w:t>
            </w:r>
          </w:p>
        </w:tc>
        <w:tc>
          <w:tcPr>
            <w:tcW w:w="1169"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9E6215" w:rsidRDefault="00CB7DDC" w:rsidP="00CB7DDC">
            <w:pPr>
              <w:widowControl w:val="0"/>
              <w:autoSpaceDE w:val="0"/>
              <w:autoSpaceDN w:val="0"/>
              <w:adjustRightInd w:val="0"/>
              <w:spacing w:before="77" w:after="0" w:line="240" w:lineRule="auto"/>
              <w:ind w:right="-3"/>
              <w:jc w:val="right"/>
              <w:rPr>
                <w:rFonts w:eastAsia="Calibri" w:cstheme="minorHAnsi"/>
                <w:sz w:val="20"/>
                <w:szCs w:val="20"/>
              </w:rPr>
            </w:pPr>
            <w:r w:rsidRPr="009E6215">
              <w:rPr>
                <w:rFonts w:eastAsia="Calibri" w:cstheme="minorHAnsi"/>
                <w:spacing w:val="1"/>
                <w:w w:val="99"/>
                <w:sz w:val="20"/>
                <w:szCs w:val="20"/>
              </w:rPr>
              <w:t>47%</w:t>
            </w:r>
          </w:p>
        </w:tc>
        <w:tc>
          <w:tcPr>
            <w:tcW w:w="816"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9E6215" w:rsidRDefault="00CB7DDC" w:rsidP="00CB7DDC">
            <w:pPr>
              <w:widowControl w:val="0"/>
              <w:autoSpaceDE w:val="0"/>
              <w:autoSpaceDN w:val="0"/>
              <w:adjustRightInd w:val="0"/>
              <w:spacing w:before="77" w:after="0" w:line="240" w:lineRule="auto"/>
              <w:ind w:left="592" w:right="-49"/>
              <w:rPr>
                <w:rFonts w:eastAsia="Calibri" w:cstheme="minorHAnsi"/>
                <w:sz w:val="20"/>
                <w:szCs w:val="20"/>
              </w:rPr>
            </w:pPr>
            <w:r w:rsidRPr="009E6215">
              <w:rPr>
                <w:rFonts w:eastAsia="Calibri" w:cstheme="minorHAnsi"/>
                <w:spacing w:val="1"/>
                <w:sz w:val="20"/>
                <w:szCs w:val="20"/>
              </w:rPr>
              <w:t>24%</w:t>
            </w:r>
          </w:p>
        </w:tc>
        <w:tc>
          <w:tcPr>
            <w:tcW w:w="989"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9E6215" w:rsidRDefault="00CB7DDC" w:rsidP="00CB7DDC">
            <w:pPr>
              <w:widowControl w:val="0"/>
              <w:autoSpaceDE w:val="0"/>
              <w:autoSpaceDN w:val="0"/>
              <w:adjustRightInd w:val="0"/>
              <w:spacing w:before="77" w:after="0" w:line="240" w:lineRule="auto"/>
              <w:ind w:right="-3"/>
              <w:jc w:val="right"/>
              <w:rPr>
                <w:rFonts w:eastAsia="Calibri" w:cstheme="minorHAnsi"/>
                <w:sz w:val="20"/>
                <w:szCs w:val="20"/>
              </w:rPr>
            </w:pPr>
            <w:r w:rsidRPr="009E6215">
              <w:rPr>
                <w:rFonts w:eastAsia="Calibri" w:cstheme="minorHAnsi"/>
                <w:spacing w:val="1"/>
                <w:w w:val="99"/>
                <w:sz w:val="20"/>
                <w:szCs w:val="20"/>
              </w:rPr>
              <w:t>7%</w:t>
            </w:r>
          </w:p>
        </w:tc>
        <w:tc>
          <w:tcPr>
            <w:tcW w:w="991"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9E6215" w:rsidRDefault="00CB7DDC" w:rsidP="00CB7DDC">
            <w:pPr>
              <w:widowControl w:val="0"/>
              <w:autoSpaceDE w:val="0"/>
              <w:autoSpaceDN w:val="0"/>
              <w:adjustRightInd w:val="0"/>
              <w:spacing w:before="77" w:after="0" w:line="240" w:lineRule="auto"/>
              <w:ind w:left="592" w:right="-51"/>
              <w:rPr>
                <w:rFonts w:eastAsia="Calibri" w:cstheme="minorHAnsi"/>
                <w:sz w:val="20"/>
                <w:szCs w:val="20"/>
              </w:rPr>
            </w:pPr>
            <w:r w:rsidRPr="009E6215">
              <w:rPr>
                <w:rFonts w:eastAsia="Calibri" w:cstheme="minorHAnsi"/>
                <w:spacing w:val="1"/>
                <w:sz w:val="20"/>
                <w:szCs w:val="20"/>
              </w:rPr>
              <w:t>26%</w:t>
            </w:r>
          </w:p>
        </w:tc>
      </w:tr>
      <w:tr w:rsidR="00CB7DDC" w:rsidRPr="009E6215" w:rsidTr="00107B8E">
        <w:trPr>
          <w:trHeight w:hRule="exact" w:val="580"/>
          <w:jc w:val="center"/>
        </w:trPr>
        <w:tc>
          <w:tcPr>
            <w:tcW w:w="3158"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9E6215" w:rsidRDefault="00CB7DDC" w:rsidP="00CB7DDC">
            <w:pPr>
              <w:widowControl w:val="0"/>
              <w:autoSpaceDE w:val="0"/>
              <w:autoSpaceDN w:val="0"/>
              <w:adjustRightInd w:val="0"/>
              <w:spacing w:before="10" w:after="0" w:line="228" w:lineRule="exact"/>
              <w:ind w:left="-1" w:right="48"/>
              <w:rPr>
                <w:rFonts w:eastAsia="Calibri" w:cstheme="minorHAnsi"/>
                <w:sz w:val="20"/>
                <w:szCs w:val="20"/>
              </w:rPr>
            </w:pPr>
            <w:r w:rsidRPr="009E6215">
              <w:rPr>
                <w:rFonts w:eastAsia="Calibri" w:cstheme="minorHAnsi"/>
                <w:b/>
                <w:bCs/>
                <w:color w:val="FFFFFF"/>
                <w:sz w:val="20"/>
                <w:szCs w:val="20"/>
              </w:rPr>
              <w:t>Ав</w:t>
            </w:r>
            <w:r w:rsidRPr="009E6215">
              <w:rPr>
                <w:rFonts w:eastAsia="Calibri" w:cstheme="minorHAnsi"/>
                <w:b/>
                <w:bCs/>
                <w:color w:val="FFFFFF"/>
                <w:spacing w:val="1"/>
                <w:sz w:val="20"/>
                <w:szCs w:val="20"/>
              </w:rPr>
              <w:t>а</w:t>
            </w:r>
            <w:r w:rsidRPr="009E6215">
              <w:rPr>
                <w:rFonts w:eastAsia="Calibri" w:cstheme="minorHAnsi"/>
                <w:b/>
                <w:bCs/>
                <w:color w:val="FFFFFF"/>
                <w:sz w:val="20"/>
                <w:szCs w:val="20"/>
              </w:rPr>
              <w:t>рии</w:t>
            </w:r>
            <w:r w:rsidRPr="009E6215">
              <w:rPr>
                <w:rFonts w:eastAsia="Calibri" w:cstheme="minorHAnsi"/>
                <w:b/>
                <w:bCs/>
                <w:color w:val="FFFFFF"/>
                <w:spacing w:val="-6"/>
                <w:sz w:val="20"/>
                <w:szCs w:val="20"/>
              </w:rPr>
              <w:t xml:space="preserve"> </w:t>
            </w:r>
            <w:r w:rsidRPr="009E6215">
              <w:rPr>
                <w:rFonts w:eastAsia="Calibri" w:cstheme="minorHAnsi"/>
                <w:b/>
                <w:bCs/>
                <w:color w:val="FFFFFF"/>
                <w:sz w:val="20"/>
                <w:szCs w:val="20"/>
              </w:rPr>
              <w:t>по в</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д</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пр</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в</w:t>
            </w:r>
            <w:r w:rsidRPr="009E6215">
              <w:rPr>
                <w:rFonts w:eastAsia="Calibri" w:cstheme="minorHAnsi"/>
                <w:b/>
                <w:bCs/>
                <w:color w:val="FFFFFF"/>
                <w:spacing w:val="1"/>
                <w:sz w:val="20"/>
                <w:szCs w:val="20"/>
              </w:rPr>
              <w:t>о</w:t>
            </w:r>
            <w:r w:rsidRPr="009E6215">
              <w:rPr>
                <w:rFonts w:eastAsia="Calibri" w:cstheme="minorHAnsi"/>
                <w:b/>
                <w:bCs/>
                <w:color w:val="FFFFFF"/>
                <w:sz w:val="20"/>
                <w:szCs w:val="20"/>
              </w:rPr>
              <w:t>дн</w:t>
            </w:r>
            <w:r w:rsidRPr="009E6215">
              <w:rPr>
                <w:rFonts w:eastAsia="Calibri" w:cstheme="minorHAnsi"/>
                <w:b/>
                <w:bCs/>
                <w:color w:val="FFFFFF"/>
                <w:spacing w:val="-1"/>
                <w:sz w:val="20"/>
                <w:szCs w:val="20"/>
              </w:rPr>
              <w:t>а</w:t>
            </w:r>
            <w:r w:rsidRPr="009E6215">
              <w:rPr>
                <w:rFonts w:eastAsia="Calibri" w:cstheme="minorHAnsi"/>
                <w:b/>
                <w:bCs/>
                <w:color w:val="FFFFFF"/>
                <w:sz w:val="20"/>
                <w:szCs w:val="20"/>
              </w:rPr>
              <w:t xml:space="preserve">та </w:t>
            </w:r>
            <w:r w:rsidRPr="009E6215">
              <w:rPr>
                <w:rFonts w:eastAsia="Calibri" w:cstheme="minorHAnsi"/>
                <w:b/>
                <w:bCs/>
                <w:color w:val="FFFFFF"/>
                <w:spacing w:val="1"/>
                <w:sz w:val="20"/>
                <w:szCs w:val="20"/>
              </w:rPr>
              <w:t>м</w:t>
            </w:r>
            <w:r w:rsidRPr="009E6215">
              <w:rPr>
                <w:rFonts w:eastAsia="Calibri" w:cstheme="minorHAnsi"/>
                <w:b/>
                <w:bCs/>
                <w:color w:val="FFFFFF"/>
                <w:sz w:val="20"/>
                <w:szCs w:val="20"/>
              </w:rPr>
              <w:t>р</w:t>
            </w:r>
            <w:r w:rsidRPr="009E6215">
              <w:rPr>
                <w:rFonts w:eastAsia="Calibri" w:cstheme="minorHAnsi"/>
                <w:b/>
                <w:bCs/>
                <w:color w:val="FFFFFF"/>
                <w:spacing w:val="2"/>
                <w:sz w:val="20"/>
                <w:szCs w:val="20"/>
              </w:rPr>
              <w:t>е</w:t>
            </w:r>
            <w:r w:rsidRPr="009E6215">
              <w:rPr>
                <w:rFonts w:eastAsia="Calibri" w:cstheme="minorHAnsi"/>
                <w:b/>
                <w:bCs/>
                <w:color w:val="FFFFFF"/>
                <w:spacing w:val="-3"/>
                <w:sz w:val="20"/>
                <w:szCs w:val="20"/>
              </w:rPr>
              <w:t>ж</w:t>
            </w:r>
            <w:r w:rsidRPr="009E6215">
              <w:rPr>
                <w:rFonts w:eastAsia="Calibri" w:cstheme="minorHAnsi"/>
                <w:b/>
                <w:bCs/>
                <w:color w:val="FFFFFF"/>
                <w:sz w:val="20"/>
                <w:szCs w:val="20"/>
              </w:rPr>
              <w:t>а</w:t>
            </w:r>
            <w:r w:rsidRPr="009E6215">
              <w:rPr>
                <w:rFonts w:eastAsia="Calibri" w:cstheme="minorHAnsi"/>
                <w:b/>
                <w:bCs/>
                <w:color w:val="FFFFFF"/>
                <w:spacing w:val="-5"/>
                <w:sz w:val="20"/>
                <w:szCs w:val="20"/>
              </w:rPr>
              <w:t xml:space="preserve"> </w:t>
            </w:r>
            <w:r w:rsidRPr="009E6215">
              <w:rPr>
                <w:rFonts w:eastAsia="Calibri" w:cstheme="minorHAnsi"/>
                <w:b/>
                <w:bCs/>
                <w:color w:val="FFFFFF"/>
                <w:spacing w:val="1"/>
                <w:sz w:val="20"/>
                <w:szCs w:val="20"/>
              </w:rPr>
              <w:t>а</w:t>
            </w:r>
            <w:r w:rsidRPr="009E6215">
              <w:rPr>
                <w:rFonts w:eastAsia="Calibri" w:cstheme="minorHAnsi"/>
                <w:b/>
                <w:bCs/>
                <w:color w:val="FFFFFF"/>
                <w:sz w:val="20"/>
                <w:szCs w:val="20"/>
              </w:rPr>
              <w:t>в</w:t>
            </w:r>
            <w:r w:rsidRPr="009E6215">
              <w:rPr>
                <w:rFonts w:eastAsia="Calibri" w:cstheme="minorHAnsi"/>
                <w:b/>
                <w:bCs/>
                <w:color w:val="FFFFFF"/>
                <w:spacing w:val="1"/>
                <w:sz w:val="20"/>
                <w:szCs w:val="20"/>
              </w:rPr>
              <w:t>а</w:t>
            </w:r>
            <w:r w:rsidRPr="009E6215">
              <w:rPr>
                <w:rFonts w:eastAsia="Calibri" w:cstheme="minorHAnsi"/>
                <w:b/>
                <w:bCs/>
                <w:color w:val="FFFFFF"/>
                <w:sz w:val="20"/>
                <w:szCs w:val="20"/>
              </w:rPr>
              <w:t>рии/</w:t>
            </w:r>
            <w:r w:rsidRPr="009E6215">
              <w:rPr>
                <w:rFonts w:eastAsia="Calibri" w:cstheme="minorHAnsi"/>
                <w:b/>
                <w:bCs/>
                <w:color w:val="FFFFFF"/>
                <w:spacing w:val="1"/>
                <w:sz w:val="20"/>
                <w:szCs w:val="20"/>
              </w:rPr>
              <w:t>км</w:t>
            </w:r>
            <w:r w:rsidRPr="009E6215">
              <w:rPr>
                <w:rFonts w:eastAsia="Calibri" w:cstheme="minorHAnsi"/>
                <w:b/>
                <w:bCs/>
                <w:color w:val="FFFFFF"/>
                <w:sz w:val="20"/>
                <w:szCs w:val="20"/>
              </w:rPr>
              <w:t>/г</w:t>
            </w:r>
            <w:r w:rsidRPr="009E6215">
              <w:rPr>
                <w:rFonts w:eastAsia="Calibri" w:cstheme="minorHAnsi"/>
                <w:b/>
                <w:bCs/>
                <w:color w:val="FFFFFF"/>
                <w:spacing w:val="2"/>
                <w:sz w:val="20"/>
                <w:szCs w:val="20"/>
              </w:rPr>
              <w:t>о</w:t>
            </w:r>
            <w:r w:rsidRPr="009E6215">
              <w:rPr>
                <w:rFonts w:eastAsia="Calibri" w:cstheme="minorHAnsi"/>
                <w:b/>
                <w:bCs/>
                <w:color w:val="FFFFFF"/>
                <w:sz w:val="20"/>
                <w:szCs w:val="20"/>
              </w:rPr>
              <w:t>ди</w:t>
            </w:r>
            <w:r w:rsidRPr="009E6215">
              <w:rPr>
                <w:rFonts w:eastAsia="Calibri" w:cstheme="minorHAnsi"/>
                <w:b/>
                <w:bCs/>
                <w:color w:val="FFFFFF"/>
                <w:spacing w:val="3"/>
                <w:sz w:val="20"/>
                <w:szCs w:val="20"/>
              </w:rPr>
              <w:t>ш</w:t>
            </w:r>
            <w:r w:rsidRPr="009E6215">
              <w:rPr>
                <w:rFonts w:eastAsia="Calibri" w:cstheme="minorHAnsi"/>
                <w:b/>
                <w:bCs/>
                <w:color w:val="FFFFFF"/>
                <w:sz w:val="20"/>
                <w:szCs w:val="20"/>
              </w:rPr>
              <w:t>но</w:t>
            </w:r>
          </w:p>
        </w:tc>
        <w:tc>
          <w:tcPr>
            <w:tcW w:w="1134"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9"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2"/>
              <w:jc w:val="right"/>
              <w:rPr>
                <w:rFonts w:eastAsia="Calibri" w:cstheme="minorHAnsi"/>
                <w:sz w:val="20"/>
                <w:szCs w:val="20"/>
              </w:rPr>
            </w:pPr>
            <w:r w:rsidRPr="009E6215">
              <w:rPr>
                <w:rFonts w:eastAsia="Calibri" w:cstheme="minorHAnsi"/>
                <w:spacing w:val="1"/>
                <w:w w:val="99"/>
                <w:sz w:val="20"/>
                <w:szCs w:val="20"/>
              </w:rPr>
              <w:t>1</w:t>
            </w:r>
            <w:r w:rsidRPr="009E6215">
              <w:rPr>
                <w:rFonts w:eastAsia="Calibri" w:cstheme="minorHAnsi"/>
                <w:w w:val="99"/>
                <w:sz w:val="20"/>
                <w:szCs w:val="20"/>
              </w:rPr>
              <w:t>.5</w:t>
            </w:r>
          </w:p>
        </w:tc>
        <w:tc>
          <w:tcPr>
            <w:tcW w:w="992"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9"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1"/>
              <w:jc w:val="right"/>
              <w:rPr>
                <w:rFonts w:eastAsia="Calibri" w:cstheme="minorHAnsi"/>
                <w:sz w:val="20"/>
                <w:szCs w:val="20"/>
              </w:rPr>
            </w:pPr>
            <w:r w:rsidRPr="009E6215">
              <w:rPr>
                <w:rFonts w:eastAsia="Calibri" w:cstheme="minorHAnsi"/>
                <w:spacing w:val="1"/>
                <w:w w:val="99"/>
                <w:sz w:val="20"/>
                <w:szCs w:val="20"/>
              </w:rPr>
              <w:t>1</w:t>
            </w:r>
            <w:r w:rsidRPr="009E6215">
              <w:rPr>
                <w:rFonts w:eastAsia="Calibri" w:cstheme="minorHAnsi"/>
                <w:w w:val="99"/>
                <w:sz w:val="20"/>
                <w:szCs w:val="20"/>
              </w:rPr>
              <w:t>.9</w:t>
            </w:r>
          </w:p>
        </w:tc>
        <w:tc>
          <w:tcPr>
            <w:tcW w:w="1169"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9"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2"/>
              <w:jc w:val="right"/>
              <w:rPr>
                <w:rFonts w:eastAsia="Calibri" w:cstheme="minorHAnsi"/>
                <w:sz w:val="20"/>
                <w:szCs w:val="20"/>
              </w:rPr>
            </w:pPr>
            <w:r w:rsidRPr="009E6215">
              <w:rPr>
                <w:rFonts w:eastAsia="Calibri" w:cstheme="minorHAnsi"/>
                <w:spacing w:val="1"/>
                <w:w w:val="99"/>
                <w:sz w:val="20"/>
                <w:szCs w:val="20"/>
              </w:rPr>
              <w:t>0</w:t>
            </w:r>
            <w:r w:rsidRPr="009E6215">
              <w:rPr>
                <w:rFonts w:eastAsia="Calibri" w:cstheme="minorHAnsi"/>
                <w:w w:val="99"/>
                <w:sz w:val="20"/>
                <w:szCs w:val="20"/>
              </w:rPr>
              <w:t>.7</w:t>
            </w:r>
          </w:p>
        </w:tc>
        <w:tc>
          <w:tcPr>
            <w:tcW w:w="816"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9"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1"/>
              <w:jc w:val="right"/>
              <w:rPr>
                <w:rFonts w:eastAsia="Calibri" w:cstheme="minorHAnsi"/>
                <w:sz w:val="20"/>
                <w:szCs w:val="20"/>
              </w:rPr>
            </w:pPr>
            <w:r w:rsidRPr="009E6215">
              <w:rPr>
                <w:rFonts w:eastAsia="Calibri" w:cstheme="minorHAnsi"/>
                <w:spacing w:val="1"/>
                <w:w w:val="99"/>
                <w:sz w:val="20"/>
                <w:szCs w:val="20"/>
              </w:rPr>
              <w:t>1</w:t>
            </w:r>
            <w:r w:rsidRPr="009E6215">
              <w:rPr>
                <w:rFonts w:eastAsia="Calibri" w:cstheme="minorHAnsi"/>
                <w:w w:val="99"/>
                <w:sz w:val="20"/>
                <w:szCs w:val="20"/>
              </w:rPr>
              <w:t>.1</w:t>
            </w:r>
          </w:p>
        </w:tc>
        <w:tc>
          <w:tcPr>
            <w:tcW w:w="989"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9"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left="609" w:right="-51"/>
              <w:rPr>
                <w:rFonts w:eastAsia="Calibri" w:cstheme="minorHAnsi"/>
                <w:sz w:val="20"/>
                <w:szCs w:val="20"/>
              </w:rPr>
            </w:pPr>
            <w:r w:rsidRPr="009E6215">
              <w:rPr>
                <w:rFonts w:eastAsia="Calibri" w:cstheme="minorHAnsi"/>
                <w:spacing w:val="1"/>
                <w:sz w:val="20"/>
                <w:szCs w:val="20"/>
              </w:rPr>
              <w:t>0</w:t>
            </w:r>
            <w:r w:rsidRPr="009E6215">
              <w:rPr>
                <w:rFonts w:eastAsia="Calibri" w:cstheme="minorHAnsi"/>
                <w:sz w:val="20"/>
                <w:szCs w:val="20"/>
              </w:rPr>
              <w:t>.</w:t>
            </w:r>
            <w:r w:rsidRPr="009E6215">
              <w:rPr>
                <w:rFonts w:eastAsia="Calibri" w:cstheme="minorHAnsi"/>
                <w:spacing w:val="1"/>
                <w:sz w:val="20"/>
                <w:szCs w:val="20"/>
              </w:rPr>
              <w:t>0</w:t>
            </w:r>
            <w:r w:rsidRPr="009E6215">
              <w:rPr>
                <w:rFonts w:eastAsia="Calibri" w:cstheme="minorHAnsi"/>
                <w:sz w:val="20"/>
                <w:szCs w:val="20"/>
              </w:rPr>
              <w:t>1</w:t>
            </w:r>
          </w:p>
        </w:tc>
        <w:tc>
          <w:tcPr>
            <w:tcW w:w="991" w:type="dxa"/>
            <w:tcBorders>
              <w:top w:val="single" w:sz="12" w:space="0" w:color="EDEBE0"/>
              <w:left w:val="single" w:sz="12" w:space="0" w:color="EDEBE0"/>
              <w:bottom w:val="single" w:sz="12" w:space="0" w:color="EDEBE0"/>
              <w:right w:val="single" w:sz="12" w:space="0" w:color="EDEBE0"/>
            </w:tcBorders>
            <w:shd w:val="clear" w:color="auto" w:fill="94B3D6"/>
          </w:tcPr>
          <w:p w:rsidR="00CB7DDC" w:rsidRPr="009E6215" w:rsidRDefault="00CB7DDC" w:rsidP="00CB7DDC">
            <w:pPr>
              <w:widowControl w:val="0"/>
              <w:autoSpaceDE w:val="0"/>
              <w:autoSpaceDN w:val="0"/>
              <w:adjustRightInd w:val="0"/>
              <w:spacing w:before="9" w:after="0" w:line="220" w:lineRule="exact"/>
              <w:rPr>
                <w:rFonts w:eastAsia="Calibri" w:cstheme="minorHAnsi"/>
                <w:sz w:val="20"/>
                <w:szCs w:val="20"/>
              </w:rPr>
            </w:pPr>
          </w:p>
          <w:p w:rsidR="00CB7DDC" w:rsidRPr="009E6215" w:rsidRDefault="00CB7DDC" w:rsidP="00CB7DDC">
            <w:pPr>
              <w:widowControl w:val="0"/>
              <w:autoSpaceDE w:val="0"/>
              <w:autoSpaceDN w:val="0"/>
              <w:adjustRightInd w:val="0"/>
              <w:spacing w:after="0" w:line="240" w:lineRule="auto"/>
              <w:ind w:right="1"/>
              <w:jc w:val="right"/>
              <w:rPr>
                <w:rFonts w:eastAsia="Calibri" w:cstheme="minorHAnsi"/>
                <w:sz w:val="20"/>
                <w:szCs w:val="20"/>
              </w:rPr>
            </w:pPr>
            <w:r w:rsidRPr="009E6215">
              <w:rPr>
                <w:rFonts w:eastAsia="Calibri" w:cstheme="minorHAnsi"/>
                <w:spacing w:val="1"/>
                <w:w w:val="99"/>
                <w:sz w:val="20"/>
                <w:szCs w:val="20"/>
              </w:rPr>
              <w:t>0</w:t>
            </w:r>
            <w:r w:rsidRPr="009E6215">
              <w:rPr>
                <w:rFonts w:eastAsia="Calibri" w:cstheme="minorHAnsi"/>
                <w:w w:val="99"/>
                <w:sz w:val="20"/>
                <w:szCs w:val="20"/>
              </w:rPr>
              <w:t>.1</w:t>
            </w:r>
          </w:p>
        </w:tc>
      </w:tr>
      <w:tr w:rsidR="00CB7DDC" w:rsidRPr="00722616" w:rsidTr="00107B8E">
        <w:trPr>
          <w:trHeight w:hRule="exact" w:val="570"/>
          <w:jc w:val="center"/>
        </w:trPr>
        <w:tc>
          <w:tcPr>
            <w:tcW w:w="3158" w:type="dxa"/>
            <w:tcBorders>
              <w:top w:val="single" w:sz="12" w:space="0" w:color="EDEBE0"/>
              <w:left w:val="single" w:sz="12" w:space="0" w:color="EDEBE0"/>
              <w:bottom w:val="single" w:sz="12" w:space="0" w:color="EDEBE0"/>
              <w:right w:val="single" w:sz="12" w:space="0" w:color="EDEBE0"/>
            </w:tcBorders>
            <w:shd w:val="clear" w:color="auto" w:fill="4F81BC"/>
          </w:tcPr>
          <w:p w:rsidR="00CB7DDC" w:rsidRPr="00722616" w:rsidRDefault="00CB7DDC" w:rsidP="00CB7DDC">
            <w:pPr>
              <w:widowControl w:val="0"/>
              <w:autoSpaceDE w:val="0"/>
              <w:autoSpaceDN w:val="0"/>
              <w:adjustRightInd w:val="0"/>
              <w:spacing w:before="3" w:after="0" w:line="240" w:lineRule="auto"/>
              <w:ind w:left="-1" w:right="328"/>
              <w:rPr>
                <w:rFonts w:eastAsia="Calibri" w:cstheme="minorHAnsi"/>
                <w:sz w:val="20"/>
                <w:szCs w:val="20"/>
                <w:u w:val="single"/>
              </w:rPr>
            </w:pPr>
            <w:r w:rsidRPr="00722616">
              <w:rPr>
                <w:rFonts w:eastAsia="Calibri" w:cstheme="minorHAnsi"/>
                <w:b/>
                <w:bCs/>
                <w:color w:val="FFFFFF"/>
                <w:spacing w:val="1"/>
                <w:sz w:val="20"/>
                <w:szCs w:val="20"/>
                <w:u w:val="single"/>
              </w:rPr>
              <w:t>Ц</w:t>
            </w:r>
            <w:r w:rsidRPr="00722616">
              <w:rPr>
                <w:rFonts w:eastAsia="Calibri" w:cstheme="minorHAnsi"/>
                <w:b/>
                <w:bCs/>
                <w:color w:val="FFFFFF"/>
                <w:sz w:val="20"/>
                <w:szCs w:val="20"/>
                <w:u w:val="single"/>
              </w:rPr>
              <w:t>е</w:t>
            </w:r>
            <w:r w:rsidRPr="00722616">
              <w:rPr>
                <w:rFonts w:eastAsia="Calibri" w:cstheme="minorHAnsi"/>
                <w:b/>
                <w:bCs/>
                <w:color w:val="FFFFFF"/>
                <w:spacing w:val="1"/>
                <w:sz w:val="20"/>
                <w:szCs w:val="20"/>
                <w:u w:val="single"/>
              </w:rPr>
              <w:t>н</w:t>
            </w:r>
            <w:r w:rsidRPr="00722616">
              <w:rPr>
                <w:rFonts w:eastAsia="Calibri" w:cstheme="minorHAnsi"/>
                <w:b/>
                <w:bCs/>
                <w:color w:val="FFFFFF"/>
                <w:sz w:val="20"/>
                <w:szCs w:val="20"/>
                <w:u w:val="single"/>
              </w:rPr>
              <w:t>и</w:t>
            </w:r>
            <w:r w:rsidRPr="00722616">
              <w:rPr>
                <w:rFonts w:eastAsia="Calibri" w:cstheme="minorHAnsi"/>
                <w:b/>
                <w:bCs/>
                <w:color w:val="FFFFFF"/>
                <w:spacing w:val="-4"/>
                <w:sz w:val="20"/>
                <w:szCs w:val="20"/>
                <w:u w:val="single"/>
              </w:rPr>
              <w:t xml:space="preserve"> </w:t>
            </w:r>
            <w:r w:rsidRPr="00722616">
              <w:rPr>
                <w:rFonts w:eastAsia="Calibri" w:cstheme="minorHAnsi"/>
                <w:b/>
                <w:bCs/>
                <w:color w:val="FFFFFF"/>
                <w:sz w:val="20"/>
                <w:szCs w:val="20"/>
                <w:u w:val="single"/>
              </w:rPr>
              <w:t xml:space="preserve">на </w:t>
            </w:r>
            <w:r w:rsidRPr="00722616">
              <w:rPr>
                <w:rFonts w:eastAsia="Calibri" w:cstheme="minorHAnsi"/>
                <w:b/>
                <w:bCs/>
                <w:color w:val="FFFFFF"/>
                <w:spacing w:val="1"/>
                <w:sz w:val="20"/>
                <w:szCs w:val="20"/>
                <w:u w:val="single"/>
              </w:rPr>
              <w:t>В</w:t>
            </w:r>
            <w:r w:rsidRPr="00722616">
              <w:rPr>
                <w:rFonts w:eastAsia="Calibri" w:cstheme="minorHAnsi"/>
                <w:b/>
                <w:bCs/>
                <w:color w:val="FFFFFF"/>
                <w:sz w:val="20"/>
                <w:szCs w:val="20"/>
                <w:u w:val="single"/>
              </w:rPr>
              <w:t>иК</w:t>
            </w:r>
            <w:r w:rsidRPr="00722616">
              <w:rPr>
                <w:rFonts w:eastAsia="Calibri" w:cstheme="minorHAnsi"/>
                <w:b/>
                <w:bCs/>
                <w:color w:val="FFFFFF"/>
                <w:spacing w:val="-4"/>
                <w:sz w:val="20"/>
                <w:szCs w:val="20"/>
                <w:u w:val="single"/>
              </w:rPr>
              <w:t xml:space="preserve"> </w:t>
            </w:r>
            <w:r w:rsidRPr="00722616">
              <w:rPr>
                <w:rFonts w:eastAsia="Calibri" w:cstheme="minorHAnsi"/>
                <w:b/>
                <w:bCs/>
                <w:color w:val="FFFFFF"/>
                <w:spacing w:val="1"/>
                <w:sz w:val="20"/>
                <w:szCs w:val="20"/>
                <w:u w:val="single"/>
              </w:rPr>
              <w:t>у</w:t>
            </w:r>
            <w:r w:rsidRPr="00722616">
              <w:rPr>
                <w:rFonts w:eastAsia="Calibri" w:cstheme="minorHAnsi"/>
                <w:b/>
                <w:bCs/>
                <w:color w:val="FFFFFF"/>
                <w:spacing w:val="-2"/>
                <w:sz w:val="20"/>
                <w:szCs w:val="20"/>
                <w:u w:val="single"/>
              </w:rPr>
              <w:t>с</w:t>
            </w:r>
            <w:r w:rsidRPr="00722616">
              <w:rPr>
                <w:rFonts w:eastAsia="Calibri" w:cstheme="minorHAnsi"/>
                <w:b/>
                <w:bCs/>
                <w:color w:val="FFFFFF"/>
                <w:spacing w:val="1"/>
                <w:sz w:val="20"/>
                <w:szCs w:val="20"/>
                <w:u w:val="single"/>
              </w:rPr>
              <w:t>луг</w:t>
            </w:r>
            <w:r w:rsidRPr="00722616">
              <w:rPr>
                <w:rFonts w:eastAsia="Calibri" w:cstheme="minorHAnsi"/>
                <w:b/>
                <w:bCs/>
                <w:color w:val="FFFFFF"/>
                <w:spacing w:val="-2"/>
                <w:sz w:val="20"/>
                <w:szCs w:val="20"/>
                <w:u w:val="single"/>
              </w:rPr>
              <w:t>и</w:t>
            </w:r>
            <w:r w:rsidRPr="00722616">
              <w:rPr>
                <w:rFonts w:eastAsia="Calibri" w:cstheme="minorHAnsi"/>
                <w:b/>
                <w:bCs/>
                <w:color w:val="FFFFFF"/>
                <w:spacing w:val="3"/>
                <w:sz w:val="20"/>
                <w:szCs w:val="20"/>
                <w:u w:val="single"/>
              </w:rPr>
              <w:t>т</w:t>
            </w:r>
            <w:r w:rsidRPr="00722616">
              <w:rPr>
                <w:rFonts w:eastAsia="Calibri" w:cstheme="minorHAnsi"/>
                <w:b/>
                <w:bCs/>
                <w:color w:val="FFFFFF"/>
                <w:sz w:val="20"/>
                <w:szCs w:val="20"/>
                <w:u w:val="single"/>
              </w:rPr>
              <w:t>е</w:t>
            </w:r>
            <w:r w:rsidRPr="00722616">
              <w:rPr>
                <w:rFonts w:eastAsia="Calibri" w:cstheme="minorHAnsi"/>
                <w:b/>
                <w:bCs/>
                <w:color w:val="FFFFFF"/>
                <w:spacing w:val="-7"/>
                <w:sz w:val="20"/>
                <w:szCs w:val="20"/>
                <w:u w:val="single"/>
              </w:rPr>
              <w:t xml:space="preserve"> </w:t>
            </w:r>
            <w:r w:rsidRPr="00722616">
              <w:rPr>
                <w:rFonts w:eastAsia="Calibri" w:cstheme="minorHAnsi"/>
                <w:b/>
                <w:bCs/>
                <w:color w:val="FFFFFF"/>
                <w:sz w:val="20"/>
                <w:szCs w:val="20"/>
                <w:u w:val="single"/>
              </w:rPr>
              <w:t>в е</w:t>
            </w:r>
            <w:r w:rsidRPr="00722616">
              <w:rPr>
                <w:rFonts w:eastAsia="Calibri" w:cstheme="minorHAnsi"/>
                <w:b/>
                <w:bCs/>
                <w:color w:val="FFFFFF"/>
                <w:spacing w:val="1"/>
                <w:sz w:val="20"/>
                <w:szCs w:val="20"/>
                <w:u w:val="single"/>
              </w:rPr>
              <w:t>в</w:t>
            </w:r>
            <w:r w:rsidRPr="00722616">
              <w:rPr>
                <w:rFonts w:eastAsia="Calibri" w:cstheme="minorHAnsi"/>
                <w:b/>
                <w:bCs/>
                <w:color w:val="FFFFFF"/>
                <w:sz w:val="20"/>
                <w:szCs w:val="20"/>
                <w:u w:val="single"/>
              </w:rPr>
              <w:t>р</w:t>
            </w:r>
            <w:r w:rsidRPr="00722616">
              <w:rPr>
                <w:rFonts w:eastAsia="Calibri" w:cstheme="minorHAnsi"/>
                <w:b/>
                <w:bCs/>
                <w:color w:val="FFFFFF"/>
                <w:spacing w:val="1"/>
                <w:sz w:val="20"/>
                <w:szCs w:val="20"/>
                <w:u w:val="single"/>
              </w:rPr>
              <w:t>о</w:t>
            </w:r>
            <w:r w:rsidRPr="00722616">
              <w:rPr>
                <w:rFonts w:eastAsia="Calibri" w:cstheme="minorHAnsi"/>
                <w:b/>
                <w:bCs/>
                <w:color w:val="FFFFFF"/>
                <w:sz w:val="20"/>
                <w:szCs w:val="20"/>
                <w:u w:val="single"/>
              </w:rPr>
              <w:t>/к</w:t>
            </w:r>
            <w:r w:rsidRPr="00722616">
              <w:rPr>
                <w:rFonts w:eastAsia="Calibri" w:cstheme="minorHAnsi"/>
                <w:b/>
                <w:bCs/>
                <w:color w:val="FFFFFF"/>
                <w:spacing w:val="1"/>
                <w:sz w:val="20"/>
                <w:szCs w:val="20"/>
                <w:u w:val="single"/>
              </w:rPr>
              <w:t>уб</w:t>
            </w:r>
            <w:r w:rsidRPr="00722616">
              <w:rPr>
                <w:rFonts w:eastAsia="Calibri" w:cstheme="minorHAnsi"/>
                <w:b/>
                <w:bCs/>
                <w:color w:val="FFFFFF"/>
                <w:sz w:val="20"/>
                <w:szCs w:val="20"/>
                <w:u w:val="single"/>
              </w:rPr>
              <w:t>.</w:t>
            </w:r>
            <w:r w:rsidRPr="00722616">
              <w:rPr>
                <w:rFonts w:eastAsia="Calibri" w:cstheme="minorHAnsi"/>
                <w:b/>
                <w:bCs/>
                <w:color w:val="FFFFFF"/>
                <w:spacing w:val="1"/>
                <w:sz w:val="20"/>
                <w:szCs w:val="20"/>
                <w:u w:val="single"/>
              </w:rPr>
              <w:t>м</w:t>
            </w:r>
            <w:r w:rsidRPr="00722616">
              <w:rPr>
                <w:rFonts w:eastAsia="Calibri" w:cstheme="minorHAnsi"/>
                <w:b/>
                <w:bCs/>
                <w:color w:val="FFFFFF"/>
                <w:sz w:val="20"/>
                <w:szCs w:val="20"/>
                <w:u w:val="single"/>
              </w:rPr>
              <w:t>.</w:t>
            </w:r>
          </w:p>
        </w:tc>
        <w:tc>
          <w:tcPr>
            <w:tcW w:w="1134"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722616" w:rsidRDefault="00CB7DDC" w:rsidP="00CB7DDC">
            <w:pPr>
              <w:widowControl w:val="0"/>
              <w:autoSpaceDE w:val="0"/>
              <w:autoSpaceDN w:val="0"/>
              <w:adjustRightInd w:val="0"/>
              <w:spacing w:before="9" w:after="0" w:line="220" w:lineRule="exact"/>
              <w:rPr>
                <w:rFonts w:eastAsia="Calibri" w:cstheme="minorHAnsi"/>
                <w:sz w:val="20"/>
                <w:szCs w:val="20"/>
                <w:u w:val="single"/>
              </w:rPr>
            </w:pPr>
          </w:p>
          <w:p w:rsidR="00CB7DDC" w:rsidRPr="00722616" w:rsidRDefault="00CB7DDC" w:rsidP="00CB7DDC">
            <w:pPr>
              <w:widowControl w:val="0"/>
              <w:autoSpaceDE w:val="0"/>
              <w:autoSpaceDN w:val="0"/>
              <w:adjustRightInd w:val="0"/>
              <w:spacing w:after="0" w:line="240" w:lineRule="auto"/>
              <w:ind w:right="-2"/>
              <w:jc w:val="right"/>
              <w:rPr>
                <w:rFonts w:eastAsia="Calibri" w:cstheme="minorHAnsi"/>
                <w:sz w:val="20"/>
                <w:szCs w:val="20"/>
                <w:u w:val="single"/>
              </w:rPr>
            </w:pPr>
            <w:r w:rsidRPr="00722616">
              <w:rPr>
                <w:rFonts w:eastAsia="Calibri" w:cstheme="minorHAnsi"/>
                <w:spacing w:val="1"/>
                <w:w w:val="99"/>
                <w:sz w:val="20"/>
                <w:szCs w:val="20"/>
                <w:u w:val="single"/>
              </w:rPr>
              <w:t>0</w:t>
            </w:r>
            <w:r w:rsidRPr="00722616">
              <w:rPr>
                <w:rFonts w:eastAsia="Calibri" w:cstheme="minorHAnsi"/>
                <w:w w:val="99"/>
                <w:sz w:val="20"/>
                <w:szCs w:val="20"/>
                <w:u w:val="single"/>
              </w:rPr>
              <w:t>.</w:t>
            </w:r>
            <w:r w:rsidRPr="00722616">
              <w:rPr>
                <w:rFonts w:eastAsia="Calibri" w:cstheme="minorHAnsi"/>
                <w:spacing w:val="1"/>
                <w:w w:val="99"/>
                <w:sz w:val="20"/>
                <w:szCs w:val="20"/>
                <w:u w:val="single"/>
              </w:rPr>
              <w:t>9</w:t>
            </w:r>
            <w:r w:rsidRPr="00722616">
              <w:rPr>
                <w:rFonts w:eastAsia="Calibri" w:cstheme="minorHAnsi"/>
                <w:w w:val="99"/>
                <w:sz w:val="20"/>
                <w:szCs w:val="20"/>
                <w:u w:val="single"/>
              </w:rPr>
              <w:t>4</w:t>
            </w:r>
          </w:p>
        </w:tc>
        <w:tc>
          <w:tcPr>
            <w:tcW w:w="992"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722616" w:rsidRDefault="00CB7DDC" w:rsidP="00CB7DDC">
            <w:pPr>
              <w:widowControl w:val="0"/>
              <w:autoSpaceDE w:val="0"/>
              <w:autoSpaceDN w:val="0"/>
              <w:adjustRightInd w:val="0"/>
              <w:spacing w:before="9" w:after="0" w:line="220" w:lineRule="exact"/>
              <w:rPr>
                <w:rFonts w:eastAsia="Calibri" w:cstheme="minorHAnsi"/>
                <w:sz w:val="20"/>
                <w:szCs w:val="20"/>
                <w:u w:val="single"/>
              </w:rPr>
            </w:pPr>
          </w:p>
          <w:p w:rsidR="00CB7DDC" w:rsidRPr="00722616" w:rsidRDefault="00CB7DDC" w:rsidP="00CB7DDC">
            <w:pPr>
              <w:widowControl w:val="0"/>
              <w:autoSpaceDE w:val="0"/>
              <w:autoSpaceDN w:val="0"/>
              <w:adjustRightInd w:val="0"/>
              <w:spacing w:after="0" w:line="240" w:lineRule="auto"/>
              <w:ind w:right="1"/>
              <w:jc w:val="right"/>
              <w:rPr>
                <w:rFonts w:eastAsia="Calibri" w:cstheme="minorHAnsi"/>
                <w:sz w:val="20"/>
                <w:szCs w:val="20"/>
                <w:u w:val="single"/>
              </w:rPr>
            </w:pPr>
            <w:r w:rsidRPr="00722616">
              <w:rPr>
                <w:rFonts w:eastAsia="Calibri" w:cstheme="minorHAnsi"/>
                <w:spacing w:val="1"/>
                <w:w w:val="99"/>
                <w:sz w:val="20"/>
                <w:szCs w:val="20"/>
                <w:u w:val="single"/>
              </w:rPr>
              <w:t>0</w:t>
            </w:r>
            <w:r w:rsidRPr="00722616">
              <w:rPr>
                <w:rFonts w:eastAsia="Calibri" w:cstheme="minorHAnsi"/>
                <w:w w:val="99"/>
                <w:sz w:val="20"/>
                <w:szCs w:val="20"/>
                <w:u w:val="single"/>
              </w:rPr>
              <w:t>.</w:t>
            </w:r>
            <w:r w:rsidRPr="00722616">
              <w:rPr>
                <w:rFonts w:eastAsia="Calibri" w:cstheme="minorHAnsi"/>
                <w:spacing w:val="1"/>
                <w:w w:val="99"/>
                <w:sz w:val="20"/>
                <w:szCs w:val="20"/>
                <w:u w:val="single"/>
              </w:rPr>
              <w:t>8</w:t>
            </w:r>
            <w:r w:rsidRPr="00722616">
              <w:rPr>
                <w:rFonts w:eastAsia="Calibri" w:cstheme="minorHAnsi"/>
                <w:w w:val="99"/>
                <w:sz w:val="20"/>
                <w:szCs w:val="20"/>
                <w:u w:val="single"/>
              </w:rPr>
              <w:t>5</w:t>
            </w:r>
          </w:p>
        </w:tc>
        <w:tc>
          <w:tcPr>
            <w:tcW w:w="1169"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722616" w:rsidRDefault="00CB7DDC" w:rsidP="00CB7DDC">
            <w:pPr>
              <w:widowControl w:val="0"/>
              <w:autoSpaceDE w:val="0"/>
              <w:autoSpaceDN w:val="0"/>
              <w:adjustRightInd w:val="0"/>
              <w:spacing w:before="9" w:after="0" w:line="220" w:lineRule="exact"/>
              <w:rPr>
                <w:rFonts w:eastAsia="Calibri" w:cstheme="minorHAnsi"/>
                <w:sz w:val="20"/>
                <w:szCs w:val="20"/>
                <w:u w:val="single"/>
              </w:rPr>
            </w:pPr>
          </w:p>
          <w:p w:rsidR="00CB7DDC" w:rsidRPr="00722616" w:rsidRDefault="00CB7DDC" w:rsidP="00CB7DDC">
            <w:pPr>
              <w:widowControl w:val="0"/>
              <w:autoSpaceDE w:val="0"/>
              <w:autoSpaceDN w:val="0"/>
              <w:adjustRightInd w:val="0"/>
              <w:spacing w:after="0" w:line="240" w:lineRule="auto"/>
              <w:ind w:right="-2"/>
              <w:jc w:val="right"/>
              <w:rPr>
                <w:rFonts w:eastAsia="Calibri" w:cstheme="minorHAnsi"/>
                <w:sz w:val="20"/>
                <w:szCs w:val="20"/>
                <w:u w:val="single"/>
              </w:rPr>
            </w:pPr>
            <w:r w:rsidRPr="00722616">
              <w:rPr>
                <w:rFonts w:eastAsia="Calibri" w:cstheme="minorHAnsi"/>
                <w:spacing w:val="1"/>
                <w:w w:val="99"/>
                <w:sz w:val="20"/>
                <w:szCs w:val="20"/>
                <w:u w:val="single"/>
              </w:rPr>
              <w:t>1</w:t>
            </w:r>
            <w:r w:rsidRPr="00722616">
              <w:rPr>
                <w:rFonts w:eastAsia="Calibri" w:cstheme="minorHAnsi"/>
                <w:w w:val="99"/>
                <w:sz w:val="20"/>
                <w:szCs w:val="20"/>
                <w:u w:val="single"/>
              </w:rPr>
              <w:t>.</w:t>
            </w:r>
            <w:r w:rsidRPr="00722616">
              <w:rPr>
                <w:rFonts w:eastAsia="Calibri" w:cstheme="minorHAnsi"/>
                <w:spacing w:val="1"/>
                <w:w w:val="99"/>
                <w:sz w:val="20"/>
                <w:szCs w:val="20"/>
                <w:u w:val="single"/>
              </w:rPr>
              <w:t>7</w:t>
            </w:r>
            <w:r w:rsidRPr="00722616">
              <w:rPr>
                <w:rFonts w:eastAsia="Calibri" w:cstheme="minorHAnsi"/>
                <w:w w:val="99"/>
                <w:sz w:val="20"/>
                <w:szCs w:val="20"/>
                <w:u w:val="single"/>
              </w:rPr>
              <w:t>5</w:t>
            </w:r>
          </w:p>
        </w:tc>
        <w:tc>
          <w:tcPr>
            <w:tcW w:w="816"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722616" w:rsidRDefault="00CB7DDC" w:rsidP="00CB7DDC">
            <w:pPr>
              <w:widowControl w:val="0"/>
              <w:autoSpaceDE w:val="0"/>
              <w:autoSpaceDN w:val="0"/>
              <w:adjustRightInd w:val="0"/>
              <w:spacing w:before="9" w:after="0" w:line="220" w:lineRule="exact"/>
              <w:rPr>
                <w:rFonts w:eastAsia="Calibri" w:cstheme="minorHAnsi"/>
                <w:sz w:val="20"/>
                <w:szCs w:val="20"/>
                <w:u w:val="single"/>
              </w:rPr>
            </w:pPr>
          </w:p>
          <w:p w:rsidR="00CB7DDC" w:rsidRPr="00722616" w:rsidRDefault="00CB7DDC" w:rsidP="00CB7DDC">
            <w:pPr>
              <w:widowControl w:val="0"/>
              <w:autoSpaceDE w:val="0"/>
              <w:autoSpaceDN w:val="0"/>
              <w:adjustRightInd w:val="0"/>
              <w:spacing w:after="0" w:line="240" w:lineRule="auto"/>
              <w:ind w:left="609" w:right="-48"/>
              <w:rPr>
                <w:rFonts w:eastAsia="Calibri" w:cstheme="minorHAnsi"/>
                <w:sz w:val="20"/>
                <w:szCs w:val="20"/>
                <w:u w:val="single"/>
              </w:rPr>
            </w:pPr>
            <w:r w:rsidRPr="00722616">
              <w:rPr>
                <w:rFonts w:eastAsia="Calibri" w:cstheme="minorHAnsi"/>
                <w:spacing w:val="1"/>
                <w:sz w:val="20"/>
                <w:szCs w:val="20"/>
                <w:u w:val="single"/>
              </w:rPr>
              <w:t>1</w:t>
            </w:r>
            <w:r w:rsidRPr="00722616">
              <w:rPr>
                <w:rFonts w:eastAsia="Calibri" w:cstheme="minorHAnsi"/>
                <w:sz w:val="20"/>
                <w:szCs w:val="20"/>
                <w:u w:val="single"/>
              </w:rPr>
              <w:t>.</w:t>
            </w:r>
            <w:r w:rsidRPr="00722616">
              <w:rPr>
                <w:rFonts w:eastAsia="Calibri" w:cstheme="minorHAnsi"/>
                <w:spacing w:val="1"/>
                <w:sz w:val="20"/>
                <w:szCs w:val="20"/>
                <w:u w:val="single"/>
              </w:rPr>
              <w:t>4</w:t>
            </w:r>
            <w:r w:rsidRPr="00722616">
              <w:rPr>
                <w:rFonts w:eastAsia="Calibri" w:cstheme="minorHAnsi"/>
                <w:sz w:val="20"/>
                <w:szCs w:val="20"/>
                <w:u w:val="single"/>
              </w:rPr>
              <w:t>0</w:t>
            </w:r>
          </w:p>
        </w:tc>
        <w:tc>
          <w:tcPr>
            <w:tcW w:w="989"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722616" w:rsidRDefault="00CB7DDC" w:rsidP="00CB7DDC">
            <w:pPr>
              <w:widowControl w:val="0"/>
              <w:autoSpaceDE w:val="0"/>
              <w:autoSpaceDN w:val="0"/>
              <w:adjustRightInd w:val="0"/>
              <w:spacing w:before="9" w:after="0" w:line="220" w:lineRule="exact"/>
              <w:rPr>
                <w:rFonts w:eastAsia="Calibri" w:cstheme="minorHAnsi"/>
                <w:sz w:val="20"/>
                <w:szCs w:val="20"/>
                <w:u w:val="single"/>
              </w:rPr>
            </w:pPr>
          </w:p>
          <w:p w:rsidR="00CB7DDC" w:rsidRPr="00722616" w:rsidRDefault="00CB7DDC" w:rsidP="00CB7DDC">
            <w:pPr>
              <w:widowControl w:val="0"/>
              <w:autoSpaceDE w:val="0"/>
              <w:autoSpaceDN w:val="0"/>
              <w:adjustRightInd w:val="0"/>
              <w:spacing w:after="0" w:line="240" w:lineRule="auto"/>
              <w:ind w:left="609" w:right="-51"/>
              <w:rPr>
                <w:rFonts w:eastAsia="Calibri" w:cstheme="minorHAnsi"/>
                <w:sz w:val="20"/>
                <w:szCs w:val="20"/>
                <w:u w:val="single"/>
              </w:rPr>
            </w:pPr>
            <w:r w:rsidRPr="00722616">
              <w:rPr>
                <w:rFonts w:eastAsia="Calibri" w:cstheme="minorHAnsi"/>
                <w:spacing w:val="1"/>
                <w:sz w:val="20"/>
                <w:szCs w:val="20"/>
                <w:u w:val="single"/>
              </w:rPr>
              <w:t>3</w:t>
            </w:r>
            <w:r w:rsidRPr="00722616">
              <w:rPr>
                <w:rFonts w:eastAsia="Calibri" w:cstheme="minorHAnsi"/>
                <w:sz w:val="20"/>
                <w:szCs w:val="20"/>
                <w:u w:val="single"/>
              </w:rPr>
              <w:t>.</w:t>
            </w:r>
            <w:r w:rsidRPr="00722616">
              <w:rPr>
                <w:rFonts w:eastAsia="Calibri" w:cstheme="minorHAnsi"/>
                <w:spacing w:val="1"/>
                <w:sz w:val="20"/>
                <w:szCs w:val="20"/>
                <w:u w:val="single"/>
              </w:rPr>
              <w:t>9</w:t>
            </w:r>
            <w:r w:rsidRPr="00722616">
              <w:rPr>
                <w:rFonts w:eastAsia="Calibri" w:cstheme="minorHAnsi"/>
                <w:sz w:val="20"/>
                <w:szCs w:val="20"/>
                <w:u w:val="single"/>
              </w:rPr>
              <w:t>5</w:t>
            </w:r>
          </w:p>
        </w:tc>
        <w:tc>
          <w:tcPr>
            <w:tcW w:w="991" w:type="dxa"/>
            <w:tcBorders>
              <w:top w:val="single" w:sz="12" w:space="0" w:color="EDEBE0"/>
              <w:left w:val="single" w:sz="12" w:space="0" w:color="EDEBE0"/>
              <w:bottom w:val="single" w:sz="12" w:space="0" w:color="EDEBE0"/>
              <w:right w:val="single" w:sz="12" w:space="0" w:color="EDEBE0"/>
            </w:tcBorders>
            <w:shd w:val="clear" w:color="auto" w:fill="DBE4F0"/>
          </w:tcPr>
          <w:p w:rsidR="00CB7DDC" w:rsidRPr="00722616" w:rsidRDefault="00CB7DDC" w:rsidP="00CB7DDC">
            <w:pPr>
              <w:widowControl w:val="0"/>
              <w:autoSpaceDE w:val="0"/>
              <w:autoSpaceDN w:val="0"/>
              <w:adjustRightInd w:val="0"/>
              <w:spacing w:before="9" w:after="0" w:line="220" w:lineRule="exact"/>
              <w:rPr>
                <w:rFonts w:eastAsia="Calibri" w:cstheme="minorHAnsi"/>
                <w:sz w:val="20"/>
                <w:szCs w:val="20"/>
                <w:u w:val="single"/>
              </w:rPr>
            </w:pPr>
          </w:p>
          <w:p w:rsidR="00CB7DDC" w:rsidRPr="00722616" w:rsidRDefault="00CB7DDC" w:rsidP="00CB7DDC">
            <w:pPr>
              <w:widowControl w:val="0"/>
              <w:autoSpaceDE w:val="0"/>
              <w:autoSpaceDN w:val="0"/>
              <w:adjustRightInd w:val="0"/>
              <w:spacing w:after="0" w:line="240" w:lineRule="auto"/>
              <w:ind w:left="609" w:right="-50"/>
              <w:rPr>
                <w:rFonts w:eastAsia="Calibri" w:cstheme="minorHAnsi"/>
                <w:sz w:val="20"/>
                <w:szCs w:val="20"/>
                <w:u w:val="single"/>
              </w:rPr>
            </w:pPr>
            <w:r w:rsidRPr="00722616">
              <w:rPr>
                <w:rFonts w:eastAsia="Calibri" w:cstheme="minorHAnsi"/>
                <w:spacing w:val="1"/>
                <w:sz w:val="20"/>
                <w:szCs w:val="20"/>
                <w:u w:val="single"/>
              </w:rPr>
              <w:t>3</w:t>
            </w:r>
            <w:r w:rsidRPr="00722616">
              <w:rPr>
                <w:rFonts w:eastAsia="Calibri" w:cstheme="minorHAnsi"/>
                <w:sz w:val="20"/>
                <w:szCs w:val="20"/>
                <w:u w:val="single"/>
              </w:rPr>
              <w:t>.</w:t>
            </w:r>
            <w:r w:rsidRPr="00722616">
              <w:rPr>
                <w:rFonts w:eastAsia="Calibri" w:cstheme="minorHAnsi"/>
                <w:spacing w:val="1"/>
                <w:sz w:val="20"/>
                <w:szCs w:val="20"/>
                <w:u w:val="single"/>
              </w:rPr>
              <w:t>4</w:t>
            </w:r>
            <w:r w:rsidRPr="00722616">
              <w:rPr>
                <w:rFonts w:eastAsia="Calibri" w:cstheme="minorHAnsi"/>
                <w:sz w:val="20"/>
                <w:szCs w:val="20"/>
                <w:u w:val="single"/>
              </w:rPr>
              <w:t>0</w:t>
            </w:r>
          </w:p>
        </w:tc>
      </w:tr>
    </w:tbl>
    <w:p w:rsidR="00CB7DDC" w:rsidRPr="009E6215" w:rsidRDefault="00CB7DDC" w:rsidP="00CB7DDC">
      <w:pPr>
        <w:widowControl w:val="0"/>
        <w:autoSpaceDE w:val="0"/>
        <w:autoSpaceDN w:val="0"/>
        <w:adjustRightInd w:val="0"/>
        <w:spacing w:before="18" w:after="0" w:line="281" w:lineRule="auto"/>
        <w:ind w:left="164" w:right="138"/>
        <w:jc w:val="both"/>
        <w:rPr>
          <w:rFonts w:ascii="Calibri" w:eastAsia="Calibri" w:hAnsi="Calibri" w:cs="Calibri"/>
          <w:i/>
          <w:sz w:val="18"/>
          <w:szCs w:val="18"/>
        </w:rPr>
      </w:pPr>
      <w:r w:rsidRPr="00722616">
        <w:rPr>
          <w:rFonts w:ascii="Calibri" w:eastAsia="Calibri" w:hAnsi="Calibri" w:cs="Calibri"/>
          <w:i/>
          <w:iCs/>
          <w:sz w:val="18"/>
          <w:szCs w:val="18"/>
          <w:u w:val="single"/>
        </w:rPr>
        <w:t>И</w:t>
      </w:r>
      <w:r w:rsidRPr="00722616">
        <w:rPr>
          <w:rFonts w:ascii="Calibri" w:eastAsia="Calibri" w:hAnsi="Calibri" w:cs="Calibri"/>
          <w:i/>
          <w:iCs/>
          <w:spacing w:val="-1"/>
          <w:sz w:val="18"/>
          <w:szCs w:val="18"/>
          <w:u w:val="single"/>
        </w:rPr>
        <w:t>з</w:t>
      </w:r>
      <w:r w:rsidRPr="00722616">
        <w:rPr>
          <w:rFonts w:ascii="Calibri" w:eastAsia="Calibri" w:hAnsi="Calibri" w:cs="Calibri"/>
          <w:i/>
          <w:iCs/>
          <w:sz w:val="18"/>
          <w:szCs w:val="18"/>
          <w:u w:val="single"/>
        </w:rPr>
        <w:t>т</w:t>
      </w:r>
      <w:r w:rsidRPr="00722616">
        <w:rPr>
          <w:rFonts w:ascii="Calibri" w:eastAsia="Calibri" w:hAnsi="Calibri" w:cs="Calibri"/>
          <w:i/>
          <w:iCs/>
          <w:spacing w:val="1"/>
          <w:sz w:val="18"/>
          <w:szCs w:val="18"/>
          <w:u w:val="single"/>
        </w:rPr>
        <w:t>оч</w:t>
      </w:r>
      <w:r w:rsidRPr="00722616">
        <w:rPr>
          <w:rFonts w:ascii="Calibri" w:eastAsia="Calibri" w:hAnsi="Calibri" w:cs="Calibri"/>
          <w:i/>
          <w:iCs/>
          <w:sz w:val="18"/>
          <w:szCs w:val="18"/>
          <w:u w:val="single"/>
        </w:rPr>
        <w:t>н</w:t>
      </w:r>
      <w:r w:rsidRPr="00722616">
        <w:rPr>
          <w:rFonts w:ascii="Calibri" w:eastAsia="Calibri" w:hAnsi="Calibri" w:cs="Calibri"/>
          <w:i/>
          <w:iCs/>
          <w:spacing w:val="1"/>
          <w:sz w:val="18"/>
          <w:szCs w:val="18"/>
          <w:u w:val="single"/>
        </w:rPr>
        <w:t>ик</w:t>
      </w:r>
      <w:r w:rsidRPr="00722616">
        <w:rPr>
          <w:rFonts w:ascii="Calibri" w:eastAsia="Calibri" w:hAnsi="Calibri" w:cs="Calibri"/>
          <w:i/>
          <w:sz w:val="18"/>
          <w:szCs w:val="18"/>
          <w:u w:val="single"/>
        </w:rPr>
        <w:t>:</w:t>
      </w:r>
      <w:r w:rsidRPr="009E6215">
        <w:rPr>
          <w:rFonts w:ascii="Calibri" w:eastAsia="Calibri" w:hAnsi="Calibri" w:cs="Calibri"/>
          <w:i/>
          <w:spacing w:val="-9"/>
          <w:sz w:val="18"/>
          <w:szCs w:val="18"/>
        </w:rPr>
        <w:t xml:space="preserve"> </w:t>
      </w:r>
      <w:r w:rsidRPr="009E6215">
        <w:rPr>
          <w:rFonts w:ascii="Calibri" w:eastAsia="Calibri" w:hAnsi="Calibri" w:cs="Calibri"/>
          <w:i/>
          <w:spacing w:val="1"/>
          <w:sz w:val="18"/>
          <w:szCs w:val="18"/>
        </w:rPr>
        <w:t>Б</w:t>
      </w:r>
      <w:r w:rsidRPr="009E6215">
        <w:rPr>
          <w:rFonts w:ascii="Calibri" w:eastAsia="Calibri" w:hAnsi="Calibri" w:cs="Calibri"/>
          <w:i/>
          <w:sz w:val="18"/>
          <w:szCs w:val="18"/>
        </w:rPr>
        <w:t>ъ</w:t>
      </w:r>
      <w:r w:rsidRPr="009E6215">
        <w:rPr>
          <w:rFonts w:ascii="Calibri" w:eastAsia="Calibri" w:hAnsi="Calibri" w:cs="Calibri"/>
          <w:i/>
          <w:spacing w:val="-1"/>
          <w:sz w:val="18"/>
          <w:szCs w:val="18"/>
        </w:rPr>
        <w:t>л</w:t>
      </w:r>
      <w:r w:rsidRPr="009E6215">
        <w:rPr>
          <w:rFonts w:ascii="Calibri" w:eastAsia="Calibri" w:hAnsi="Calibri" w:cs="Calibri"/>
          <w:i/>
          <w:sz w:val="18"/>
          <w:szCs w:val="18"/>
        </w:rPr>
        <w:t>га</w:t>
      </w:r>
      <w:r w:rsidRPr="009E6215">
        <w:rPr>
          <w:rFonts w:ascii="Calibri" w:eastAsia="Calibri" w:hAnsi="Calibri" w:cs="Calibri"/>
          <w:i/>
          <w:spacing w:val="4"/>
          <w:sz w:val="18"/>
          <w:szCs w:val="18"/>
        </w:rPr>
        <w:t>р</w:t>
      </w:r>
      <w:r w:rsidRPr="009E6215">
        <w:rPr>
          <w:rFonts w:ascii="Calibri" w:eastAsia="Calibri" w:hAnsi="Calibri" w:cs="Calibri"/>
          <w:i/>
          <w:spacing w:val="-1"/>
          <w:sz w:val="18"/>
          <w:szCs w:val="18"/>
        </w:rPr>
        <w:t>и</w:t>
      </w:r>
      <w:r w:rsidRPr="009E6215">
        <w:rPr>
          <w:rFonts w:ascii="Calibri" w:eastAsia="Calibri" w:hAnsi="Calibri" w:cs="Calibri"/>
          <w:i/>
          <w:sz w:val="18"/>
          <w:szCs w:val="18"/>
        </w:rPr>
        <w:t>я:</w:t>
      </w:r>
      <w:r w:rsidRPr="009E6215">
        <w:rPr>
          <w:rFonts w:ascii="Calibri" w:eastAsia="Calibri" w:hAnsi="Calibri" w:cs="Calibri"/>
          <w:i/>
          <w:spacing w:val="-6"/>
          <w:sz w:val="18"/>
          <w:szCs w:val="18"/>
        </w:rPr>
        <w:t xml:space="preserve"> </w:t>
      </w:r>
      <w:r w:rsidRPr="009E6215">
        <w:rPr>
          <w:rFonts w:ascii="Calibri" w:eastAsia="Calibri" w:hAnsi="Calibri" w:cs="Calibri"/>
          <w:i/>
          <w:sz w:val="18"/>
          <w:szCs w:val="18"/>
        </w:rPr>
        <w:t>П</w:t>
      </w:r>
      <w:r w:rsidRPr="009E6215">
        <w:rPr>
          <w:rFonts w:ascii="Calibri" w:eastAsia="Calibri" w:hAnsi="Calibri" w:cs="Calibri"/>
          <w:i/>
          <w:spacing w:val="1"/>
          <w:sz w:val="18"/>
          <w:szCs w:val="18"/>
        </w:rPr>
        <w:t>ро</w:t>
      </w:r>
      <w:r w:rsidRPr="009E6215">
        <w:rPr>
          <w:rFonts w:ascii="Calibri" w:eastAsia="Calibri" w:hAnsi="Calibri" w:cs="Calibri"/>
          <w:i/>
          <w:spacing w:val="-1"/>
          <w:sz w:val="18"/>
          <w:szCs w:val="18"/>
        </w:rPr>
        <w:t>и</w:t>
      </w:r>
      <w:r w:rsidRPr="009E6215">
        <w:rPr>
          <w:rFonts w:ascii="Calibri" w:eastAsia="Calibri" w:hAnsi="Calibri" w:cs="Calibri"/>
          <w:i/>
          <w:spacing w:val="3"/>
          <w:sz w:val="18"/>
          <w:szCs w:val="18"/>
        </w:rPr>
        <w:t>з</w:t>
      </w:r>
      <w:r w:rsidRPr="009E6215">
        <w:rPr>
          <w:rFonts w:ascii="Calibri" w:eastAsia="Calibri" w:hAnsi="Calibri" w:cs="Calibri"/>
          <w:i/>
          <w:sz w:val="18"/>
          <w:szCs w:val="18"/>
        </w:rPr>
        <w:t>в</w:t>
      </w:r>
      <w:r w:rsidRPr="009E6215">
        <w:rPr>
          <w:rFonts w:ascii="Calibri" w:eastAsia="Calibri" w:hAnsi="Calibri" w:cs="Calibri"/>
          <w:i/>
          <w:spacing w:val="1"/>
          <w:sz w:val="18"/>
          <w:szCs w:val="18"/>
        </w:rPr>
        <w:t>о</w:t>
      </w:r>
      <w:r w:rsidRPr="009E6215">
        <w:rPr>
          <w:rFonts w:ascii="Calibri" w:eastAsia="Calibri" w:hAnsi="Calibri" w:cs="Calibri"/>
          <w:i/>
          <w:sz w:val="18"/>
          <w:szCs w:val="18"/>
        </w:rPr>
        <w:t>д</w:t>
      </w:r>
      <w:r w:rsidRPr="009E6215">
        <w:rPr>
          <w:rFonts w:ascii="Calibri" w:eastAsia="Calibri" w:hAnsi="Calibri" w:cs="Calibri"/>
          <w:i/>
          <w:spacing w:val="-2"/>
          <w:sz w:val="18"/>
          <w:szCs w:val="18"/>
        </w:rPr>
        <w:t>и</w:t>
      </w:r>
      <w:r w:rsidRPr="009E6215">
        <w:rPr>
          <w:rFonts w:ascii="Calibri" w:eastAsia="Calibri" w:hAnsi="Calibri" w:cs="Calibri"/>
          <w:i/>
          <w:spacing w:val="-1"/>
          <w:sz w:val="18"/>
          <w:szCs w:val="18"/>
        </w:rPr>
        <w:t>т</w:t>
      </w:r>
      <w:r w:rsidRPr="009E6215">
        <w:rPr>
          <w:rFonts w:ascii="Calibri" w:eastAsia="Calibri" w:hAnsi="Calibri" w:cs="Calibri"/>
          <w:i/>
          <w:spacing w:val="3"/>
          <w:sz w:val="18"/>
          <w:szCs w:val="18"/>
        </w:rPr>
        <w:t>е</w:t>
      </w:r>
      <w:r w:rsidRPr="009E6215">
        <w:rPr>
          <w:rFonts w:ascii="Calibri" w:eastAsia="Calibri" w:hAnsi="Calibri" w:cs="Calibri"/>
          <w:i/>
          <w:spacing w:val="1"/>
          <w:sz w:val="18"/>
          <w:szCs w:val="18"/>
        </w:rPr>
        <w:t>л</w:t>
      </w:r>
      <w:r w:rsidRPr="009E6215">
        <w:rPr>
          <w:rFonts w:ascii="Calibri" w:eastAsia="Calibri" w:hAnsi="Calibri" w:cs="Calibri"/>
          <w:i/>
          <w:spacing w:val="-1"/>
          <w:sz w:val="18"/>
          <w:szCs w:val="18"/>
        </w:rPr>
        <w:t>н</w:t>
      </w:r>
      <w:r w:rsidRPr="009E6215">
        <w:rPr>
          <w:rFonts w:ascii="Calibri" w:eastAsia="Calibri" w:hAnsi="Calibri" w:cs="Calibri"/>
          <w:i/>
          <w:spacing w:val="1"/>
          <w:sz w:val="18"/>
          <w:szCs w:val="18"/>
        </w:rPr>
        <w:t>о</w:t>
      </w:r>
      <w:r w:rsidRPr="009E6215">
        <w:rPr>
          <w:rFonts w:ascii="Calibri" w:eastAsia="Calibri" w:hAnsi="Calibri" w:cs="Calibri"/>
          <w:i/>
          <w:sz w:val="18"/>
          <w:szCs w:val="18"/>
        </w:rPr>
        <w:t>ст</w:t>
      </w:r>
      <w:r w:rsidRPr="009E6215">
        <w:rPr>
          <w:rFonts w:ascii="Calibri" w:eastAsia="Calibri" w:hAnsi="Calibri" w:cs="Calibri"/>
          <w:i/>
          <w:spacing w:val="-14"/>
          <w:sz w:val="18"/>
          <w:szCs w:val="18"/>
        </w:rPr>
        <w:t xml:space="preserve"> </w:t>
      </w:r>
      <w:r w:rsidRPr="009E6215">
        <w:rPr>
          <w:rFonts w:ascii="Calibri" w:eastAsia="Calibri" w:hAnsi="Calibri" w:cs="Calibri"/>
          <w:i/>
          <w:spacing w:val="-1"/>
          <w:sz w:val="18"/>
          <w:szCs w:val="18"/>
        </w:rPr>
        <w:t>н</w:t>
      </w:r>
      <w:r w:rsidRPr="009E6215">
        <w:rPr>
          <w:rFonts w:ascii="Calibri" w:eastAsia="Calibri" w:hAnsi="Calibri" w:cs="Calibri"/>
          <w:i/>
          <w:sz w:val="18"/>
          <w:szCs w:val="18"/>
        </w:rPr>
        <w:t>а</w:t>
      </w:r>
      <w:r w:rsidRPr="009E6215">
        <w:rPr>
          <w:rFonts w:ascii="Calibri" w:eastAsia="Calibri" w:hAnsi="Calibri" w:cs="Calibri"/>
          <w:i/>
          <w:spacing w:val="-1"/>
          <w:sz w:val="18"/>
          <w:szCs w:val="18"/>
        </w:rPr>
        <w:t xml:space="preserve"> п</w:t>
      </w:r>
      <w:r w:rsidRPr="009E6215">
        <w:rPr>
          <w:rFonts w:ascii="Calibri" w:eastAsia="Calibri" w:hAnsi="Calibri" w:cs="Calibri"/>
          <w:i/>
          <w:sz w:val="18"/>
          <w:szCs w:val="18"/>
        </w:rPr>
        <w:t>е</w:t>
      </w:r>
      <w:r w:rsidRPr="009E6215">
        <w:rPr>
          <w:rFonts w:ascii="Calibri" w:eastAsia="Calibri" w:hAnsi="Calibri" w:cs="Calibri"/>
          <w:i/>
          <w:spacing w:val="1"/>
          <w:sz w:val="18"/>
          <w:szCs w:val="18"/>
        </w:rPr>
        <w:t>р</w:t>
      </w:r>
      <w:r w:rsidRPr="009E6215">
        <w:rPr>
          <w:rFonts w:ascii="Calibri" w:eastAsia="Calibri" w:hAnsi="Calibri" w:cs="Calibri"/>
          <w:i/>
          <w:sz w:val="18"/>
          <w:szCs w:val="18"/>
        </w:rPr>
        <w:t>с</w:t>
      </w:r>
      <w:r w:rsidRPr="009E6215">
        <w:rPr>
          <w:rFonts w:ascii="Calibri" w:eastAsia="Calibri" w:hAnsi="Calibri" w:cs="Calibri"/>
          <w:i/>
          <w:spacing w:val="1"/>
          <w:sz w:val="18"/>
          <w:szCs w:val="18"/>
        </w:rPr>
        <w:t>о</w:t>
      </w:r>
      <w:r w:rsidRPr="009E6215">
        <w:rPr>
          <w:rFonts w:ascii="Calibri" w:eastAsia="Calibri" w:hAnsi="Calibri" w:cs="Calibri"/>
          <w:i/>
          <w:spacing w:val="-1"/>
          <w:sz w:val="18"/>
          <w:szCs w:val="18"/>
        </w:rPr>
        <w:t>н</w:t>
      </w:r>
      <w:r w:rsidRPr="009E6215">
        <w:rPr>
          <w:rFonts w:ascii="Calibri" w:eastAsia="Calibri" w:hAnsi="Calibri" w:cs="Calibri"/>
          <w:i/>
          <w:spacing w:val="3"/>
          <w:sz w:val="18"/>
          <w:szCs w:val="18"/>
        </w:rPr>
        <w:t>а</w:t>
      </w:r>
      <w:r w:rsidRPr="009E6215">
        <w:rPr>
          <w:rFonts w:ascii="Calibri" w:eastAsia="Calibri" w:hAnsi="Calibri" w:cs="Calibri"/>
          <w:i/>
          <w:spacing w:val="-1"/>
          <w:sz w:val="18"/>
          <w:szCs w:val="18"/>
        </w:rPr>
        <w:t>л</w:t>
      </w:r>
      <w:r w:rsidRPr="009E6215">
        <w:rPr>
          <w:rFonts w:ascii="Calibri" w:eastAsia="Calibri" w:hAnsi="Calibri" w:cs="Calibri"/>
          <w:i/>
          <w:sz w:val="18"/>
          <w:szCs w:val="18"/>
        </w:rPr>
        <w:t>а</w:t>
      </w:r>
      <w:r w:rsidRPr="009E6215">
        <w:rPr>
          <w:rFonts w:ascii="Calibri" w:eastAsia="Calibri" w:hAnsi="Calibri" w:cs="Calibri"/>
          <w:i/>
          <w:spacing w:val="-6"/>
          <w:sz w:val="18"/>
          <w:szCs w:val="18"/>
        </w:rPr>
        <w:t xml:space="preserve"> </w:t>
      </w:r>
      <w:r w:rsidRPr="009E6215">
        <w:rPr>
          <w:rFonts w:ascii="Calibri" w:eastAsia="Calibri" w:hAnsi="Calibri" w:cs="Calibri"/>
          <w:i/>
          <w:sz w:val="18"/>
          <w:szCs w:val="18"/>
        </w:rPr>
        <w:t>и</w:t>
      </w:r>
      <w:r w:rsidRPr="009E6215">
        <w:rPr>
          <w:rFonts w:ascii="Calibri" w:eastAsia="Calibri" w:hAnsi="Calibri" w:cs="Calibri"/>
          <w:i/>
          <w:spacing w:val="1"/>
          <w:sz w:val="18"/>
          <w:szCs w:val="18"/>
        </w:rPr>
        <w:t xml:space="preserve"> </w:t>
      </w:r>
      <w:r w:rsidRPr="009E6215">
        <w:rPr>
          <w:rFonts w:ascii="Calibri" w:eastAsia="Calibri" w:hAnsi="Calibri" w:cs="Calibri"/>
          <w:i/>
          <w:sz w:val="18"/>
          <w:szCs w:val="18"/>
        </w:rPr>
        <w:t>с</w:t>
      </w:r>
      <w:r w:rsidRPr="009E6215">
        <w:rPr>
          <w:rFonts w:ascii="Calibri" w:eastAsia="Calibri" w:hAnsi="Calibri" w:cs="Calibri"/>
          <w:i/>
          <w:spacing w:val="1"/>
          <w:sz w:val="18"/>
          <w:szCs w:val="18"/>
        </w:rPr>
        <w:t>р</w:t>
      </w:r>
      <w:r w:rsidRPr="009E6215">
        <w:rPr>
          <w:rFonts w:ascii="Calibri" w:eastAsia="Calibri" w:hAnsi="Calibri" w:cs="Calibri"/>
          <w:i/>
          <w:sz w:val="18"/>
          <w:szCs w:val="18"/>
        </w:rPr>
        <w:t>ед</w:t>
      </w:r>
      <w:r w:rsidRPr="009E6215">
        <w:rPr>
          <w:rFonts w:ascii="Calibri" w:eastAsia="Calibri" w:hAnsi="Calibri" w:cs="Calibri"/>
          <w:i/>
          <w:spacing w:val="-1"/>
          <w:sz w:val="18"/>
          <w:szCs w:val="18"/>
        </w:rPr>
        <w:t>н</w:t>
      </w:r>
      <w:r w:rsidRPr="009E6215">
        <w:rPr>
          <w:rFonts w:ascii="Calibri" w:eastAsia="Calibri" w:hAnsi="Calibri" w:cs="Calibri"/>
          <w:i/>
          <w:sz w:val="18"/>
          <w:szCs w:val="18"/>
        </w:rPr>
        <w:t>и</w:t>
      </w:r>
      <w:r w:rsidRPr="009E6215">
        <w:rPr>
          <w:rFonts w:ascii="Calibri" w:eastAsia="Calibri" w:hAnsi="Calibri" w:cs="Calibri"/>
          <w:i/>
          <w:spacing w:val="-5"/>
          <w:sz w:val="18"/>
          <w:szCs w:val="18"/>
        </w:rPr>
        <w:t xml:space="preserve"> </w:t>
      </w:r>
      <w:r w:rsidRPr="009E6215">
        <w:rPr>
          <w:rFonts w:ascii="Calibri" w:eastAsia="Calibri" w:hAnsi="Calibri" w:cs="Calibri"/>
          <w:i/>
          <w:spacing w:val="-1"/>
          <w:sz w:val="18"/>
          <w:szCs w:val="18"/>
        </w:rPr>
        <w:t>ц</w:t>
      </w:r>
      <w:r w:rsidRPr="009E6215">
        <w:rPr>
          <w:rFonts w:ascii="Calibri" w:eastAsia="Calibri" w:hAnsi="Calibri" w:cs="Calibri"/>
          <w:i/>
          <w:spacing w:val="3"/>
          <w:sz w:val="18"/>
          <w:szCs w:val="18"/>
        </w:rPr>
        <w:t>е</w:t>
      </w:r>
      <w:r w:rsidRPr="009E6215">
        <w:rPr>
          <w:rFonts w:ascii="Calibri" w:eastAsia="Calibri" w:hAnsi="Calibri" w:cs="Calibri"/>
          <w:i/>
          <w:spacing w:val="-1"/>
          <w:sz w:val="18"/>
          <w:szCs w:val="18"/>
        </w:rPr>
        <w:t>ни</w:t>
      </w:r>
      <w:r w:rsidRPr="009E6215">
        <w:rPr>
          <w:rFonts w:ascii="Calibri" w:eastAsia="Calibri" w:hAnsi="Calibri" w:cs="Calibri"/>
          <w:i/>
          <w:sz w:val="18"/>
          <w:szCs w:val="18"/>
        </w:rPr>
        <w:t>:</w:t>
      </w:r>
      <w:r w:rsidRPr="009E6215">
        <w:rPr>
          <w:rFonts w:ascii="Calibri" w:eastAsia="Calibri" w:hAnsi="Calibri" w:cs="Calibri"/>
          <w:i/>
          <w:spacing w:val="-3"/>
          <w:sz w:val="18"/>
          <w:szCs w:val="18"/>
        </w:rPr>
        <w:t xml:space="preserve"> </w:t>
      </w:r>
      <w:r w:rsidRPr="009E6215">
        <w:rPr>
          <w:rFonts w:ascii="Calibri" w:eastAsia="Calibri" w:hAnsi="Calibri" w:cs="Calibri"/>
          <w:i/>
          <w:sz w:val="18"/>
          <w:szCs w:val="18"/>
        </w:rPr>
        <w:t>д</w:t>
      </w:r>
      <w:r w:rsidRPr="009E6215">
        <w:rPr>
          <w:rFonts w:ascii="Calibri" w:eastAsia="Calibri" w:hAnsi="Calibri" w:cs="Calibri"/>
          <w:i/>
          <w:spacing w:val="2"/>
          <w:sz w:val="18"/>
          <w:szCs w:val="18"/>
        </w:rPr>
        <w:t>а</w:t>
      </w:r>
      <w:r w:rsidRPr="009E6215">
        <w:rPr>
          <w:rFonts w:ascii="Calibri" w:eastAsia="Calibri" w:hAnsi="Calibri" w:cs="Calibri"/>
          <w:i/>
          <w:spacing w:val="-1"/>
          <w:sz w:val="18"/>
          <w:szCs w:val="18"/>
        </w:rPr>
        <w:t>н</w:t>
      </w:r>
      <w:r w:rsidRPr="009E6215">
        <w:rPr>
          <w:rFonts w:ascii="Calibri" w:eastAsia="Calibri" w:hAnsi="Calibri" w:cs="Calibri"/>
          <w:i/>
          <w:spacing w:val="1"/>
          <w:sz w:val="18"/>
          <w:szCs w:val="18"/>
        </w:rPr>
        <w:t>н</w:t>
      </w:r>
      <w:r w:rsidRPr="009E6215">
        <w:rPr>
          <w:rFonts w:ascii="Calibri" w:eastAsia="Calibri" w:hAnsi="Calibri" w:cs="Calibri"/>
          <w:i/>
          <w:sz w:val="18"/>
          <w:szCs w:val="18"/>
        </w:rPr>
        <w:t>и</w:t>
      </w:r>
      <w:r w:rsidRPr="009E6215">
        <w:rPr>
          <w:rFonts w:ascii="Calibri" w:eastAsia="Calibri" w:hAnsi="Calibri" w:cs="Calibri"/>
          <w:i/>
          <w:spacing w:val="-6"/>
          <w:sz w:val="18"/>
          <w:szCs w:val="18"/>
        </w:rPr>
        <w:t xml:space="preserve"> </w:t>
      </w:r>
      <w:r w:rsidRPr="009E6215">
        <w:rPr>
          <w:rFonts w:ascii="Calibri" w:eastAsia="Calibri" w:hAnsi="Calibri" w:cs="Calibri"/>
          <w:i/>
          <w:spacing w:val="1"/>
          <w:sz w:val="18"/>
          <w:szCs w:val="18"/>
        </w:rPr>
        <w:t>о</w:t>
      </w:r>
      <w:r w:rsidRPr="009E6215">
        <w:rPr>
          <w:rFonts w:ascii="Calibri" w:eastAsia="Calibri" w:hAnsi="Calibri" w:cs="Calibri"/>
          <w:i/>
          <w:sz w:val="18"/>
          <w:szCs w:val="18"/>
        </w:rPr>
        <w:t xml:space="preserve">т </w:t>
      </w:r>
      <w:r w:rsidRPr="009E6215">
        <w:rPr>
          <w:rFonts w:ascii="Calibri" w:eastAsia="Calibri" w:hAnsi="Calibri" w:cs="Calibri"/>
          <w:i/>
          <w:spacing w:val="1"/>
          <w:sz w:val="18"/>
          <w:szCs w:val="18"/>
        </w:rPr>
        <w:t>В</w:t>
      </w:r>
      <w:r w:rsidRPr="009E6215">
        <w:rPr>
          <w:rFonts w:ascii="Calibri" w:eastAsia="Calibri" w:hAnsi="Calibri" w:cs="Calibri"/>
          <w:i/>
          <w:spacing w:val="-1"/>
          <w:sz w:val="18"/>
          <w:szCs w:val="18"/>
        </w:rPr>
        <w:t>и</w:t>
      </w:r>
      <w:r w:rsidRPr="009E6215">
        <w:rPr>
          <w:rFonts w:ascii="Calibri" w:eastAsia="Calibri" w:hAnsi="Calibri" w:cs="Calibri"/>
          <w:i/>
          <w:sz w:val="18"/>
          <w:szCs w:val="18"/>
        </w:rPr>
        <w:t xml:space="preserve">К </w:t>
      </w:r>
      <w:r w:rsidRPr="009E6215">
        <w:rPr>
          <w:rFonts w:ascii="Calibri" w:eastAsia="Calibri" w:hAnsi="Calibri" w:cs="Calibri"/>
          <w:i/>
          <w:spacing w:val="1"/>
          <w:sz w:val="18"/>
          <w:szCs w:val="18"/>
        </w:rPr>
        <w:t>о</w:t>
      </w:r>
      <w:r w:rsidRPr="009E6215">
        <w:rPr>
          <w:rFonts w:ascii="Calibri" w:eastAsia="Calibri" w:hAnsi="Calibri" w:cs="Calibri"/>
          <w:i/>
          <w:spacing w:val="-1"/>
          <w:sz w:val="18"/>
          <w:szCs w:val="18"/>
        </w:rPr>
        <w:t>п</w:t>
      </w:r>
      <w:r w:rsidRPr="009E6215">
        <w:rPr>
          <w:rFonts w:ascii="Calibri" w:eastAsia="Calibri" w:hAnsi="Calibri" w:cs="Calibri"/>
          <w:i/>
          <w:sz w:val="18"/>
          <w:szCs w:val="18"/>
        </w:rPr>
        <w:t>е</w:t>
      </w:r>
      <w:r w:rsidRPr="009E6215">
        <w:rPr>
          <w:rFonts w:ascii="Calibri" w:eastAsia="Calibri" w:hAnsi="Calibri" w:cs="Calibri"/>
          <w:i/>
          <w:spacing w:val="1"/>
          <w:sz w:val="18"/>
          <w:szCs w:val="18"/>
        </w:rPr>
        <w:t>р</w:t>
      </w:r>
      <w:r w:rsidRPr="009E6215">
        <w:rPr>
          <w:rFonts w:ascii="Calibri" w:eastAsia="Calibri" w:hAnsi="Calibri" w:cs="Calibri"/>
          <w:i/>
          <w:sz w:val="18"/>
          <w:szCs w:val="18"/>
        </w:rPr>
        <w:t>ат</w:t>
      </w:r>
      <w:r w:rsidRPr="009E6215">
        <w:rPr>
          <w:rFonts w:ascii="Calibri" w:eastAsia="Calibri" w:hAnsi="Calibri" w:cs="Calibri"/>
          <w:i/>
          <w:spacing w:val="1"/>
          <w:sz w:val="18"/>
          <w:szCs w:val="18"/>
        </w:rPr>
        <w:t>ор</w:t>
      </w:r>
      <w:r w:rsidRPr="009E6215">
        <w:rPr>
          <w:rFonts w:ascii="Calibri" w:eastAsia="Calibri" w:hAnsi="Calibri" w:cs="Calibri"/>
          <w:i/>
          <w:sz w:val="18"/>
          <w:szCs w:val="18"/>
        </w:rPr>
        <w:t>и</w:t>
      </w:r>
      <w:r w:rsidRPr="009E6215">
        <w:rPr>
          <w:rFonts w:ascii="Calibri" w:eastAsia="Calibri" w:hAnsi="Calibri" w:cs="Calibri"/>
          <w:i/>
          <w:spacing w:val="-10"/>
          <w:sz w:val="18"/>
          <w:szCs w:val="18"/>
        </w:rPr>
        <w:t xml:space="preserve"> </w:t>
      </w:r>
      <w:r w:rsidRPr="009E6215">
        <w:rPr>
          <w:rFonts w:ascii="Calibri" w:eastAsia="Calibri" w:hAnsi="Calibri" w:cs="Calibri"/>
          <w:i/>
          <w:spacing w:val="-1"/>
          <w:sz w:val="18"/>
          <w:szCs w:val="18"/>
        </w:rPr>
        <w:t>к</w:t>
      </w:r>
      <w:r w:rsidRPr="009E6215">
        <w:rPr>
          <w:rFonts w:ascii="Calibri" w:eastAsia="Calibri" w:hAnsi="Calibri" w:cs="Calibri"/>
          <w:i/>
          <w:sz w:val="18"/>
          <w:szCs w:val="18"/>
        </w:rPr>
        <w:t>ъм</w:t>
      </w:r>
      <w:r w:rsidRPr="009E6215">
        <w:rPr>
          <w:rFonts w:ascii="Calibri" w:eastAsia="Calibri" w:hAnsi="Calibri" w:cs="Calibri"/>
          <w:i/>
          <w:spacing w:val="-2"/>
          <w:sz w:val="18"/>
          <w:szCs w:val="18"/>
        </w:rPr>
        <w:t xml:space="preserve"> </w:t>
      </w:r>
      <w:r w:rsidRPr="009E6215">
        <w:rPr>
          <w:rFonts w:ascii="Calibri" w:eastAsia="Calibri" w:hAnsi="Calibri" w:cs="Calibri"/>
          <w:i/>
          <w:spacing w:val="3"/>
          <w:sz w:val="18"/>
          <w:szCs w:val="18"/>
        </w:rPr>
        <w:t>Д</w:t>
      </w:r>
      <w:r w:rsidRPr="009E6215">
        <w:rPr>
          <w:rFonts w:ascii="Calibri" w:eastAsia="Calibri" w:hAnsi="Calibri" w:cs="Calibri"/>
          <w:i/>
          <w:spacing w:val="-1"/>
          <w:sz w:val="18"/>
          <w:szCs w:val="18"/>
        </w:rPr>
        <w:t>К</w:t>
      </w:r>
      <w:r w:rsidRPr="009E6215">
        <w:rPr>
          <w:rFonts w:ascii="Calibri" w:eastAsia="Calibri" w:hAnsi="Calibri" w:cs="Calibri"/>
          <w:i/>
          <w:sz w:val="18"/>
          <w:szCs w:val="18"/>
        </w:rPr>
        <w:t>Е</w:t>
      </w:r>
      <w:r w:rsidRPr="009E6215">
        <w:rPr>
          <w:rFonts w:ascii="Calibri" w:eastAsia="Calibri" w:hAnsi="Calibri" w:cs="Calibri"/>
          <w:i/>
          <w:spacing w:val="1"/>
          <w:sz w:val="18"/>
          <w:szCs w:val="18"/>
        </w:rPr>
        <w:t>В</w:t>
      </w:r>
      <w:r w:rsidRPr="009E6215">
        <w:rPr>
          <w:rFonts w:ascii="Calibri" w:eastAsia="Calibri" w:hAnsi="Calibri" w:cs="Calibri"/>
          <w:i/>
          <w:spacing w:val="2"/>
          <w:sz w:val="18"/>
          <w:szCs w:val="18"/>
        </w:rPr>
        <w:t>Р</w:t>
      </w:r>
      <w:r w:rsidRPr="009E6215">
        <w:rPr>
          <w:rFonts w:ascii="Calibri" w:eastAsia="Calibri" w:hAnsi="Calibri" w:cs="Calibri"/>
          <w:i/>
          <w:sz w:val="18"/>
          <w:szCs w:val="18"/>
        </w:rPr>
        <w:t>; Н</w:t>
      </w:r>
      <w:r w:rsidRPr="009E6215">
        <w:rPr>
          <w:rFonts w:ascii="Calibri" w:eastAsia="Calibri" w:hAnsi="Calibri" w:cs="Calibri"/>
          <w:i/>
          <w:spacing w:val="-1"/>
          <w:sz w:val="18"/>
          <w:szCs w:val="18"/>
        </w:rPr>
        <w:t>С</w:t>
      </w:r>
      <w:r w:rsidRPr="009E6215">
        <w:rPr>
          <w:rFonts w:ascii="Calibri" w:eastAsia="Calibri" w:hAnsi="Calibri" w:cs="Calibri"/>
          <w:i/>
          <w:sz w:val="18"/>
          <w:szCs w:val="18"/>
        </w:rPr>
        <w:t xml:space="preserve">И </w:t>
      </w:r>
      <w:r w:rsidRPr="009E6215">
        <w:rPr>
          <w:rFonts w:ascii="Calibri" w:eastAsia="Calibri" w:hAnsi="Calibri" w:cs="Calibri"/>
          <w:i/>
          <w:spacing w:val="5"/>
          <w:sz w:val="18"/>
          <w:szCs w:val="18"/>
        </w:rPr>
        <w:t xml:space="preserve"> </w:t>
      </w:r>
      <w:r w:rsidRPr="009E6215">
        <w:rPr>
          <w:rFonts w:ascii="Calibri" w:eastAsia="Calibri" w:hAnsi="Calibri" w:cs="Calibri"/>
          <w:i/>
          <w:spacing w:val="1"/>
          <w:sz w:val="18"/>
          <w:szCs w:val="18"/>
        </w:rPr>
        <w:t>(2013</w:t>
      </w:r>
      <w:r w:rsidRPr="009E6215">
        <w:rPr>
          <w:rFonts w:ascii="Calibri" w:eastAsia="Calibri" w:hAnsi="Calibri" w:cs="Calibri"/>
          <w:i/>
          <w:sz w:val="18"/>
          <w:szCs w:val="18"/>
        </w:rPr>
        <w:t xml:space="preserve">a) </w:t>
      </w:r>
      <w:r w:rsidRPr="009E6215">
        <w:rPr>
          <w:rFonts w:ascii="Calibri" w:eastAsia="Calibri" w:hAnsi="Calibri" w:cs="Calibri"/>
          <w:i/>
          <w:spacing w:val="4"/>
          <w:sz w:val="18"/>
          <w:szCs w:val="18"/>
        </w:rPr>
        <w:t xml:space="preserve"> </w:t>
      </w:r>
      <w:hyperlink r:id="rId21" w:history="1">
        <w:r w:rsidRPr="009E6215">
          <w:rPr>
            <w:rFonts w:ascii="Calibri" w:eastAsia="Calibri" w:hAnsi="Calibri" w:cs="Calibri"/>
            <w:i/>
            <w:spacing w:val="-1"/>
            <w:sz w:val="18"/>
            <w:szCs w:val="18"/>
          </w:rPr>
          <w:t>h</w:t>
        </w:r>
        <w:r w:rsidRPr="009E6215">
          <w:rPr>
            <w:rFonts w:ascii="Calibri" w:eastAsia="Calibri" w:hAnsi="Calibri" w:cs="Calibri"/>
            <w:i/>
            <w:sz w:val="18"/>
            <w:szCs w:val="18"/>
          </w:rPr>
          <w:t>tt</w:t>
        </w:r>
        <w:r w:rsidRPr="009E6215">
          <w:rPr>
            <w:rFonts w:ascii="Calibri" w:eastAsia="Calibri" w:hAnsi="Calibri" w:cs="Calibri"/>
            <w:i/>
            <w:spacing w:val="1"/>
            <w:sz w:val="18"/>
            <w:szCs w:val="18"/>
          </w:rPr>
          <w:t>p</w:t>
        </w:r>
        <w:r w:rsidRPr="009E6215">
          <w:rPr>
            <w:rFonts w:ascii="Calibri" w:eastAsia="Calibri" w:hAnsi="Calibri" w:cs="Calibri"/>
            <w:i/>
            <w:sz w:val="18"/>
            <w:szCs w:val="18"/>
          </w:rPr>
          <w:t>:/</w:t>
        </w:r>
        <w:r w:rsidRPr="009E6215">
          <w:rPr>
            <w:rFonts w:ascii="Calibri" w:eastAsia="Calibri" w:hAnsi="Calibri" w:cs="Calibri"/>
            <w:i/>
            <w:spacing w:val="2"/>
            <w:sz w:val="18"/>
            <w:szCs w:val="18"/>
          </w:rPr>
          <w:t>/</w:t>
        </w:r>
        <w:r w:rsidRPr="009E6215">
          <w:rPr>
            <w:rFonts w:ascii="Calibri" w:eastAsia="Calibri" w:hAnsi="Calibri" w:cs="Calibri"/>
            <w:i/>
            <w:spacing w:val="-2"/>
            <w:sz w:val="18"/>
            <w:szCs w:val="18"/>
          </w:rPr>
          <w:t>w</w:t>
        </w:r>
        <w:r w:rsidRPr="009E6215">
          <w:rPr>
            <w:rFonts w:ascii="Calibri" w:eastAsia="Calibri" w:hAnsi="Calibri" w:cs="Calibri"/>
            <w:i/>
            <w:sz w:val="18"/>
            <w:szCs w:val="18"/>
          </w:rPr>
          <w:t>w</w:t>
        </w:r>
        <w:r w:rsidRPr="009E6215">
          <w:rPr>
            <w:rFonts w:ascii="Calibri" w:eastAsia="Calibri" w:hAnsi="Calibri" w:cs="Calibri"/>
            <w:i/>
            <w:spacing w:val="-2"/>
            <w:sz w:val="18"/>
            <w:szCs w:val="18"/>
          </w:rPr>
          <w:t>w</w:t>
        </w:r>
        <w:r w:rsidRPr="009E6215">
          <w:rPr>
            <w:rFonts w:ascii="Calibri" w:eastAsia="Calibri" w:hAnsi="Calibri" w:cs="Calibri"/>
            <w:i/>
            <w:spacing w:val="3"/>
            <w:sz w:val="18"/>
            <w:szCs w:val="18"/>
          </w:rPr>
          <w:t>.</w:t>
        </w:r>
        <w:r w:rsidRPr="009E6215">
          <w:rPr>
            <w:rFonts w:ascii="Calibri" w:eastAsia="Calibri" w:hAnsi="Calibri" w:cs="Calibri"/>
            <w:i/>
            <w:spacing w:val="-1"/>
            <w:sz w:val="18"/>
            <w:szCs w:val="18"/>
          </w:rPr>
          <w:t>n</w:t>
        </w:r>
        <w:r w:rsidRPr="009E6215">
          <w:rPr>
            <w:rFonts w:ascii="Calibri" w:eastAsia="Calibri" w:hAnsi="Calibri" w:cs="Calibri"/>
            <w:i/>
            <w:spacing w:val="2"/>
            <w:sz w:val="18"/>
            <w:szCs w:val="18"/>
          </w:rPr>
          <w:t>s</w:t>
        </w:r>
        <w:r w:rsidRPr="009E6215">
          <w:rPr>
            <w:rFonts w:ascii="Calibri" w:eastAsia="Calibri" w:hAnsi="Calibri" w:cs="Calibri"/>
            <w:i/>
            <w:sz w:val="18"/>
            <w:szCs w:val="18"/>
          </w:rPr>
          <w:t>i.</w:t>
        </w:r>
        <w:r w:rsidRPr="009E6215">
          <w:rPr>
            <w:rFonts w:ascii="Calibri" w:eastAsia="Calibri" w:hAnsi="Calibri" w:cs="Calibri"/>
            <w:i/>
            <w:spacing w:val="1"/>
            <w:sz w:val="18"/>
            <w:szCs w:val="18"/>
          </w:rPr>
          <w:t>b</w:t>
        </w:r>
        <w:r w:rsidRPr="009E6215">
          <w:rPr>
            <w:rFonts w:ascii="Calibri" w:eastAsia="Calibri" w:hAnsi="Calibri" w:cs="Calibri"/>
            <w:i/>
            <w:spacing w:val="-1"/>
            <w:sz w:val="18"/>
            <w:szCs w:val="18"/>
          </w:rPr>
          <w:t>g</w:t>
        </w:r>
        <w:r w:rsidRPr="009E6215">
          <w:rPr>
            <w:rFonts w:ascii="Calibri" w:eastAsia="Calibri" w:hAnsi="Calibri" w:cs="Calibri"/>
            <w:i/>
            <w:sz w:val="18"/>
            <w:szCs w:val="18"/>
          </w:rPr>
          <w:t>/O</w:t>
        </w:r>
        <w:r w:rsidRPr="009E6215">
          <w:rPr>
            <w:rFonts w:ascii="Calibri" w:eastAsia="Calibri" w:hAnsi="Calibri" w:cs="Calibri"/>
            <w:i/>
            <w:spacing w:val="-1"/>
            <w:sz w:val="18"/>
            <w:szCs w:val="18"/>
          </w:rPr>
          <w:t>R</w:t>
        </w:r>
        <w:r w:rsidRPr="009E6215">
          <w:rPr>
            <w:rFonts w:ascii="Calibri" w:eastAsia="Calibri" w:hAnsi="Calibri" w:cs="Calibri"/>
            <w:i/>
            <w:spacing w:val="2"/>
            <w:sz w:val="18"/>
            <w:szCs w:val="18"/>
          </w:rPr>
          <w:t>P</w:t>
        </w:r>
        <w:r w:rsidRPr="009E6215">
          <w:rPr>
            <w:rFonts w:ascii="Calibri" w:eastAsia="Calibri" w:hAnsi="Calibri" w:cs="Calibri"/>
            <w:i/>
            <w:sz w:val="18"/>
            <w:szCs w:val="18"/>
          </w:rPr>
          <w:t>D</w:t>
        </w:r>
        <w:r w:rsidRPr="009E6215">
          <w:rPr>
            <w:rFonts w:ascii="Calibri" w:eastAsia="Calibri" w:hAnsi="Calibri" w:cs="Calibri"/>
            <w:i/>
            <w:spacing w:val="3"/>
            <w:sz w:val="18"/>
            <w:szCs w:val="18"/>
          </w:rPr>
          <w:t>O</w:t>
        </w:r>
        <w:r w:rsidRPr="009E6215">
          <w:rPr>
            <w:rFonts w:ascii="Calibri" w:eastAsia="Calibri" w:hAnsi="Calibri" w:cs="Calibri"/>
            <w:i/>
            <w:spacing w:val="-1"/>
            <w:sz w:val="18"/>
            <w:szCs w:val="18"/>
          </w:rPr>
          <w:t>C</w:t>
        </w:r>
        <w:r w:rsidRPr="009E6215">
          <w:rPr>
            <w:rFonts w:ascii="Calibri" w:eastAsia="Calibri" w:hAnsi="Calibri" w:cs="Calibri"/>
            <w:i/>
            <w:sz w:val="18"/>
            <w:szCs w:val="18"/>
          </w:rPr>
          <w:t>S/Ec</w:t>
        </w:r>
        <w:r w:rsidRPr="009E6215">
          <w:rPr>
            <w:rFonts w:ascii="Calibri" w:eastAsia="Calibri" w:hAnsi="Calibri" w:cs="Calibri"/>
            <w:i/>
            <w:spacing w:val="2"/>
            <w:sz w:val="18"/>
            <w:szCs w:val="18"/>
          </w:rPr>
          <w:t>o</w:t>
        </w:r>
        <w:r w:rsidRPr="009E6215">
          <w:rPr>
            <w:rFonts w:ascii="Calibri" w:eastAsia="Calibri" w:hAnsi="Calibri" w:cs="Calibri"/>
            <w:i/>
            <w:sz w:val="18"/>
            <w:szCs w:val="18"/>
          </w:rPr>
          <w:t>l</w:t>
        </w:r>
        <w:r w:rsidRPr="009E6215">
          <w:rPr>
            <w:rFonts w:ascii="Calibri" w:eastAsia="Calibri" w:hAnsi="Calibri" w:cs="Calibri"/>
            <w:i/>
            <w:spacing w:val="1"/>
            <w:sz w:val="18"/>
            <w:szCs w:val="18"/>
          </w:rPr>
          <w:t>og</w:t>
        </w:r>
        <w:r w:rsidRPr="009E6215">
          <w:rPr>
            <w:rFonts w:ascii="Calibri" w:eastAsia="Calibri" w:hAnsi="Calibri" w:cs="Calibri"/>
            <w:i/>
            <w:spacing w:val="-4"/>
            <w:sz w:val="18"/>
            <w:szCs w:val="18"/>
          </w:rPr>
          <w:t>y</w:t>
        </w:r>
        <w:r w:rsidRPr="009E6215">
          <w:rPr>
            <w:rFonts w:ascii="Calibri" w:eastAsia="Calibri" w:hAnsi="Calibri" w:cs="Calibri"/>
            <w:i/>
            <w:spacing w:val="1"/>
            <w:sz w:val="18"/>
            <w:szCs w:val="18"/>
          </w:rPr>
          <w:t>_9</w:t>
        </w:r>
        <w:r w:rsidRPr="009E6215">
          <w:rPr>
            <w:rFonts w:ascii="Calibri" w:eastAsia="Calibri" w:hAnsi="Calibri" w:cs="Calibri"/>
            <w:i/>
            <w:sz w:val="18"/>
            <w:szCs w:val="18"/>
          </w:rPr>
          <w:t>.</w:t>
        </w:r>
        <w:r w:rsidRPr="009E6215">
          <w:rPr>
            <w:rFonts w:ascii="Calibri" w:eastAsia="Calibri" w:hAnsi="Calibri" w:cs="Calibri"/>
            <w:i/>
            <w:spacing w:val="1"/>
            <w:sz w:val="18"/>
            <w:szCs w:val="18"/>
          </w:rPr>
          <w:t>2</w:t>
        </w:r>
        <w:r w:rsidRPr="009E6215">
          <w:rPr>
            <w:rFonts w:ascii="Calibri" w:eastAsia="Calibri" w:hAnsi="Calibri" w:cs="Calibri"/>
            <w:i/>
            <w:sz w:val="18"/>
            <w:szCs w:val="18"/>
          </w:rPr>
          <w:t>.</w:t>
        </w:r>
        <w:r w:rsidRPr="009E6215">
          <w:rPr>
            <w:rFonts w:ascii="Calibri" w:eastAsia="Calibri" w:hAnsi="Calibri" w:cs="Calibri"/>
            <w:i/>
            <w:spacing w:val="-1"/>
            <w:sz w:val="18"/>
            <w:szCs w:val="18"/>
          </w:rPr>
          <w:t>x</w:t>
        </w:r>
        <w:r w:rsidRPr="009E6215">
          <w:rPr>
            <w:rFonts w:ascii="Calibri" w:eastAsia="Calibri" w:hAnsi="Calibri" w:cs="Calibri"/>
            <w:i/>
            <w:sz w:val="18"/>
            <w:szCs w:val="18"/>
          </w:rPr>
          <w:t>l</w:t>
        </w:r>
      </w:hyperlink>
      <w:r w:rsidRPr="009E6215">
        <w:rPr>
          <w:rFonts w:ascii="Calibri" w:eastAsia="Calibri" w:hAnsi="Calibri" w:cs="Calibri"/>
          <w:i/>
          <w:spacing w:val="-1"/>
          <w:sz w:val="18"/>
          <w:szCs w:val="18"/>
        </w:rPr>
        <w:t>s</w:t>
      </w:r>
      <w:r w:rsidRPr="009E6215">
        <w:rPr>
          <w:rFonts w:ascii="Calibri" w:eastAsia="Calibri" w:hAnsi="Calibri" w:cs="Calibri"/>
          <w:i/>
          <w:sz w:val="18"/>
          <w:szCs w:val="18"/>
        </w:rPr>
        <w:t>;</w:t>
      </w:r>
      <w:r w:rsidRPr="009E6215">
        <w:rPr>
          <w:rFonts w:ascii="Calibri" w:eastAsia="Calibri" w:hAnsi="Calibri" w:cs="Calibri"/>
          <w:i/>
          <w:spacing w:val="21"/>
          <w:sz w:val="18"/>
          <w:szCs w:val="18"/>
        </w:rPr>
        <w:t xml:space="preserve"> </w:t>
      </w:r>
      <w:r w:rsidRPr="009E6215">
        <w:rPr>
          <w:rFonts w:ascii="Calibri" w:eastAsia="Calibri" w:hAnsi="Calibri" w:cs="Calibri"/>
          <w:i/>
          <w:spacing w:val="3"/>
          <w:sz w:val="18"/>
          <w:szCs w:val="18"/>
        </w:rPr>
        <w:t>а</w:t>
      </w:r>
      <w:r w:rsidRPr="009E6215">
        <w:rPr>
          <w:rFonts w:ascii="Calibri" w:eastAsia="Calibri" w:hAnsi="Calibri" w:cs="Calibri"/>
          <w:i/>
          <w:spacing w:val="-1"/>
          <w:sz w:val="18"/>
          <w:szCs w:val="18"/>
        </w:rPr>
        <w:t>н</w:t>
      </w:r>
      <w:r w:rsidRPr="009E6215">
        <w:rPr>
          <w:rFonts w:ascii="Calibri" w:eastAsia="Calibri" w:hAnsi="Calibri" w:cs="Calibri"/>
          <w:i/>
          <w:sz w:val="18"/>
          <w:szCs w:val="18"/>
        </w:rPr>
        <w:t>а</w:t>
      </w:r>
      <w:r w:rsidRPr="009E6215">
        <w:rPr>
          <w:rFonts w:ascii="Calibri" w:eastAsia="Calibri" w:hAnsi="Calibri" w:cs="Calibri"/>
          <w:i/>
          <w:spacing w:val="2"/>
          <w:sz w:val="18"/>
          <w:szCs w:val="18"/>
        </w:rPr>
        <w:t>л</w:t>
      </w:r>
      <w:r w:rsidRPr="009E6215">
        <w:rPr>
          <w:rFonts w:ascii="Calibri" w:eastAsia="Calibri" w:hAnsi="Calibri" w:cs="Calibri"/>
          <w:i/>
          <w:spacing w:val="-1"/>
          <w:sz w:val="18"/>
          <w:szCs w:val="18"/>
        </w:rPr>
        <w:t>и</w:t>
      </w:r>
      <w:r w:rsidRPr="009E6215">
        <w:rPr>
          <w:rFonts w:ascii="Calibri" w:eastAsia="Calibri" w:hAnsi="Calibri" w:cs="Calibri"/>
          <w:i/>
          <w:sz w:val="18"/>
          <w:szCs w:val="18"/>
        </w:rPr>
        <w:t xml:space="preserve">з, </w:t>
      </w:r>
      <w:r w:rsidRPr="009E6215">
        <w:rPr>
          <w:rFonts w:ascii="Calibri" w:eastAsia="Calibri" w:hAnsi="Calibri" w:cs="Calibri"/>
          <w:i/>
          <w:spacing w:val="4"/>
          <w:sz w:val="18"/>
          <w:szCs w:val="18"/>
        </w:rPr>
        <w:t xml:space="preserve"> </w:t>
      </w:r>
      <w:r w:rsidRPr="009E6215">
        <w:rPr>
          <w:rFonts w:ascii="Calibri" w:eastAsia="Calibri" w:hAnsi="Calibri" w:cs="Calibri"/>
          <w:i/>
          <w:spacing w:val="-1"/>
          <w:sz w:val="18"/>
          <w:szCs w:val="18"/>
        </w:rPr>
        <w:t>и</w:t>
      </w:r>
      <w:r w:rsidRPr="009E6215">
        <w:rPr>
          <w:rFonts w:ascii="Calibri" w:eastAsia="Calibri" w:hAnsi="Calibri" w:cs="Calibri"/>
          <w:i/>
          <w:sz w:val="18"/>
          <w:szCs w:val="18"/>
        </w:rPr>
        <w:t>з</w:t>
      </w:r>
      <w:r w:rsidRPr="009E6215">
        <w:rPr>
          <w:rFonts w:ascii="Calibri" w:eastAsia="Calibri" w:hAnsi="Calibri" w:cs="Calibri"/>
          <w:i/>
          <w:spacing w:val="2"/>
          <w:sz w:val="18"/>
          <w:szCs w:val="18"/>
        </w:rPr>
        <w:t>в</w:t>
      </w:r>
      <w:r w:rsidRPr="009E6215">
        <w:rPr>
          <w:rFonts w:ascii="Calibri" w:eastAsia="Calibri" w:hAnsi="Calibri" w:cs="Calibri"/>
          <w:i/>
          <w:sz w:val="18"/>
          <w:szCs w:val="18"/>
        </w:rPr>
        <w:t>ъ</w:t>
      </w:r>
      <w:r w:rsidRPr="009E6215">
        <w:rPr>
          <w:rFonts w:ascii="Calibri" w:eastAsia="Calibri" w:hAnsi="Calibri" w:cs="Calibri"/>
          <w:i/>
          <w:spacing w:val="1"/>
          <w:sz w:val="18"/>
          <w:szCs w:val="18"/>
        </w:rPr>
        <w:t>р</w:t>
      </w:r>
      <w:r w:rsidRPr="009E6215">
        <w:rPr>
          <w:rFonts w:ascii="Calibri" w:eastAsia="Calibri" w:hAnsi="Calibri" w:cs="Calibri"/>
          <w:i/>
          <w:sz w:val="18"/>
          <w:szCs w:val="18"/>
        </w:rPr>
        <w:t xml:space="preserve">шен </w:t>
      </w:r>
      <w:r w:rsidRPr="009E6215">
        <w:rPr>
          <w:rFonts w:ascii="Calibri" w:eastAsia="Calibri" w:hAnsi="Calibri" w:cs="Calibri"/>
          <w:i/>
          <w:spacing w:val="1"/>
          <w:sz w:val="18"/>
          <w:szCs w:val="18"/>
        </w:rPr>
        <w:t xml:space="preserve"> о</w:t>
      </w:r>
      <w:r w:rsidRPr="009E6215">
        <w:rPr>
          <w:rFonts w:ascii="Calibri" w:eastAsia="Calibri" w:hAnsi="Calibri" w:cs="Calibri"/>
          <w:i/>
          <w:sz w:val="18"/>
          <w:szCs w:val="18"/>
        </w:rPr>
        <w:t xml:space="preserve">т </w:t>
      </w:r>
      <w:r w:rsidRPr="009E6215">
        <w:rPr>
          <w:rFonts w:ascii="Calibri" w:eastAsia="Calibri" w:hAnsi="Calibri" w:cs="Calibri"/>
          <w:i/>
          <w:spacing w:val="17"/>
          <w:sz w:val="18"/>
          <w:szCs w:val="18"/>
        </w:rPr>
        <w:t xml:space="preserve"> </w:t>
      </w:r>
      <w:r w:rsidRPr="009E6215">
        <w:rPr>
          <w:rFonts w:ascii="Calibri" w:eastAsia="Calibri" w:hAnsi="Calibri" w:cs="Calibri"/>
          <w:i/>
          <w:spacing w:val="-1"/>
          <w:sz w:val="18"/>
          <w:szCs w:val="18"/>
        </w:rPr>
        <w:t>С</w:t>
      </w:r>
      <w:r w:rsidRPr="009E6215">
        <w:rPr>
          <w:rFonts w:ascii="Calibri" w:eastAsia="Calibri" w:hAnsi="Calibri" w:cs="Calibri"/>
          <w:i/>
          <w:sz w:val="18"/>
          <w:szCs w:val="18"/>
        </w:rPr>
        <w:t>ве</w:t>
      </w:r>
      <w:r w:rsidRPr="009E6215">
        <w:rPr>
          <w:rFonts w:ascii="Calibri" w:eastAsia="Calibri" w:hAnsi="Calibri" w:cs="Calibri"/>
          <w:i/>
          <w:spacing w:val="-1"/>
          <w:sz w:val="18"/>
          <w:szCs w:val="18"/>
        </w:rPr>
        <w:t>т</w:t>
      </w:r>
      <w:r w:rsidRPr="009E6215">
        <w:rPr>
          <w:rFonts w:ascii="Calibri" w:eastAsia="Calibri" w:hAnsi="Calibri" w:cs="Calibri"/>
          <w:i/>
          <w:spacing w:val="1"/>
          <w:sz w:val="18"/>
          <w:szCs w:val="18"/>
        </w:rPr>
        <w:t>о</w:t>
      </w:r>
      <w:r w:rsidRPr="009E6215">
        <w:rPr>
          <w:rFonts w:ascii="Calibri" w:eastAsia="Calibri" w:hAnsi="Calibri" w:cs="Calibri"/>
          <w:i/>
          <w:spacing w:val="2"/>
          <w:sz w:val="18"/>
          <w:szCs w:val="18"/>
        </w:rPr>
        <w:t>в</w:t>
      </w:r>
      <w:r w:rsidRPr="009E6215">
        <w:rPr>
          <w:rFonts w:ascii="Calibri" w:eastAsia="Calibri" w:hAnsi="Calibri" w:cs="Calibri"/>
          <w:i/>
          <w:spacing w:val="-1"/>
          <w:sz w:val="18"/>
          <w:szCs w:val="18"/>
        </w:rPr>
        <w:t>н</w:t>
      </w:r>
      <w:r w:rsidRPr="009E6215">
        <w:rPr>
          <w:rFonts w:ascii="Calibri" w:eastAsia="Calibri" w:hAnsi="Calibri" w:cs="Calibri"/>
          <w:i/>
          <w:sz w:val="18"/>
          <w:szCs w:val="18"/>
        </w:rPr>
        <w:t>ата  б</w:t>
      </w:r>
      <w:r w:rsidRPr="009E6215">
        <w:rPr>
          <w:rFonts w:ascii="Calibri" w:eastAsia="Calibri" w:hAnsi="Calibri" w:cs="Calibri"/>
          <w:i/>
          <w:spacing w:val="2"/>
          <w:sz w:val="18"/>
          <w:szCs w:val="18"/>
        </w:rPr>
        <w:t>а</w:t>
      </w:r>
      <w:r w:rsidRPr="009E6215">
        <w:rPr>
          <w:rFonts w:ascii="Calibri" w:eastAsia="Calibri" w:hAnsi="Calibri" w:cs="Calibri"/>
          <w:i/>
          <w:spacing w:val="1"/>
          <w:sz w:val="18"/>
          <w:szCs w:val="18"/>
        </w:rPr>
        <w:t>н</w:t>
      </w:r>
      <w:r w:rsidRPr="009E6215">
        <w:rPr>
          <w:rFonts w:ascii="Calibri" w:eastAsia="Calibri" w:hAnsi="Calibri" w:cs="Calibri"/>
          <w:i/>
          <w:spacing w:val="-1"/>
          <w:sz w:val="18"/>
          <w:szCs w:val="18"/>
        </w:rPr>
        <w:t>к</w:t>
      </w:r>
      <w:r w:rsidRPr="009E6215">
        <w:rPr>
          <w:rFonts w:ascii="Calibri" w:eastAsia="Calibri" w:hAnsi="Calibri" w:cs="Calibri"/>
          <w:i/>
          <w:sz w:val="18"/>
          <w:szCs w:val="18"/>
        </w:rPr>
        <w:t xml:space="preserve">а </w:t>
      </w:r>
      <w:r w:rsidRPr="009E6215">
        <w:rPr>
          <w:rFonts w:ascii="Calibri" w:eastAsia="Calibri" w:hAnsi="Calibri" w:cs="Calibri"/>
          <w:i/>
          <w:spacing w:val="5"/>
          <w:sz w:val="18"/>
          <w:szCs w:val="18"/>
        </w:rPr>
        <w:t xml:space="preserve"> </w:t>
      </w:r>
      <w:r w:rsidRPr="009E6215">
        <w:rPr>
          <w:rFonts w:ascii="Calibri" w:eastAsia="Calibri" w:hAnsi="Calibri" w:cs="Calibri"/>
          <w:i/>
          <w:sz w:val="18"/>
          <w:szCs w:val="18"/>
        </w:rPr>
        <w:t xml:space="preserve">за </w:t>
      </w:r>
      <w:r w:rsidRPr="009E6215">
        <w:rPr>
          <w:rFonts w:ascii="Calibri" w:eastAsia="Calibri" w:hAnsi="Calibri" w:cs="Calibri"/>
          <w:i/>
          <w:spacing w:val="1"/>
          <w:sz w:val="18"/>
          <w:szCs w:val="18"/>
        </w:rPr>
        <w:t>н</w:t>
      </w:r>
      <w:r w:rsidRPr="009E6215">
        <w:rPr>
          <w:rFonts w:ascii="Calibri" w:eastAsia="Calibri" w:hAnsi="Calibri" w:cs="Calibri"/>
          <w:i/>
          <w:spacing w:val="-1"/>
          <w:sz w:val="18"/>
          <w:szCs w:val="18"/>
        </w:rPr>
        <w:t>уж</w:t>
      </w:r>
      <w:r w:rsidRPr="009E6215">
        <w:rPr>
          <w:rFonts w:ascii="Calibri" w:eastAsia="Calibri" w:hAnsi="Calibri" w:cs="Calibri"/>
          <w:i/>
          <w:spacing w:val="2"/>
          <w:sz w:val="18"/>
          <w:szCs w:val="18"/>
        </w:rPr>
        <w:t>д</w:t>
      </w:r>
      <w:r w:rsidRPr="009E6215">
        <w:rPr>
          <w:rFonts w:ascii="Calibri" w:eastAsia="Calibri" w:hAnsi="Calibri" w:cs="Calibri"/>
          <w:i/>
          <w:spacing w:val="-1"/>
          <w:sz w:val="18"/>
          <w:szCs w:val="18"/>
        </w:rPr>
        <w:t>ит</w:t>
      </w:r>
      <w:r w:rsidRPr="009E6215">
        <w:rPr>
          <w:rFonts w:ascii="Calibri" w:eastAsia="Calibri" w:hAnsi="Calibri" w:cs="Calibri"/>
          <w:i/>
          <w:sz w:val="18"/>
          <w:szCs w:val="18"/>
        </w:rPr>
        <w:t>е</w:t>
      </w:r>
      <w:r w:rsidRPr="009E6215">
        <w:rPr>
          <w:rFonts w:ascii="Calibri" w:eastAsia="Calibri" w:hAnsi="Calibri" w:cs="Calibri"/>
          <w:i/>
          <w:spacing w:val="-4"/>
          <w:sz w:val="18"/>
          <w:szCs w:val="18"/>
        </w:rPr>
        <w:t xml:space="preserve"> </w:t>
      </w:r>
      <w:r w:rsidRPr="009E6215">
        <w:rPr>
          <w:rFonts w:ascii="Calibri" w:eastAsia="Calibri" w:hAnsi="Calibri" w:cs="Calibri"/>
          <w:i/>
          <w:spacing w:val="-1"/>
          <w:sz w:val="18"/>
          <w:szCs w:val="18"/>
        </w:rPr>
        <w:t>н</w:t>
      </w:r>
      <w:r w:rsidRPr="009E6215">
        <w:rPr>
          <w:rFonts w:ascii="Calibri" w:eastAsia="Calibri" w:hAnsi="Calibri" w:cs="Calibri"/>
          <w:i/>
          <w:sz w:val="18"/>
          <w:szCs w:val="18"/>
        </w:rPr>
        <w:t>а</w:t>
      </w:r>
      <w:r w:rsidRPr="009E6215">
        <w:rPr>
          <w:rFonts w:ascii="Calibri" w:eastAsia="Calibri" w:hAnsi="Calibri" w:cs="Calibri"/>
          <w:i/>
          <w:spacing w:val="-1"/>
          <w:sz w:val="18"/>
          <w:szCs w:val="18"/>
        </w:rPr>
        <w:t xml:space="preserve"> </w:t>
      </w:r>
      <w:r w:rsidRPr="009E6215">
        <w:rPr>
          <w:rFonts w:ascii="Calibri" w:eastAsia="Calibri" w:hAnsi="Calibri" w:cs="Calibri"/>
          <w:i/>
          <w:spacing w:val="1"/>
          <w:sz w:val="18"/>
          <w:szCs w:val="18"/>
        </w:rPr>
        <w:t>С</w:t>
      </w:r>
      <w:r w:rsidRPr="009E6215">
        <w:rPr>
          <w:rFonts w:ascii="Calibri" w:eastAsia="Calibri" w:hAnsi="Calibri" w:cs="Calibri"/>
          <w:i/>
          <w:spacing w:val="-1"/>
          <w:sz w:val="18"/>
          <w:szCs w:val="18"/>
        </w:rPr>
        <w:t>т</w:t>
      </w:r>
      <w:r w:rsidRPr="009E6215">
        <w:rPr>
          <w:rFonts w:ascii="Calibri" w:eastAsia="Calibri" w:hAnsi="Calibri" w:cs="Calibri"/>
          <w:i/>
          <w:spacing w:val="1"/>
          <w:sz w:val="18"/>
          <w:szCs w:val="18"/>
        </w:rPr>
        <w:t>р</w:t>
      </w:r>
      <w:r w:rsidRPr="009E6215">
        <w:rPr>
          <w:rFonts w:ascii="Calibri" w:eastAsia="Calibri" w:hAnsi="Calibri" w:cs="Calibri"/>
          <w:i/>
          <w:sz w:val="18"/>
          <w:szCs w:val="18"/>
        </w:rPr>
        <w:t>атег</w:t>
      </w:r>
      <w:r w:rsidRPr="009E6215">
        <w:rPr>
          <w:rFonts w:ascii="Calibri" w:eastAsia="Calibri" w:hAnsi="Calibri" w:cs="Calibri"/>
          <w:i/>
          <w:spacing w:val="1"/>
          <w:sz w:val="18"/>
          <w:szCs w:val="18"/>
        </w:rPr>
        <w:t>и</w:t>
      </w:r>
      <w:r w:rsidRPr="009E6215">
        <w:rPr>
          <w:rFonts w:ascii="Calibri" w:eastAsia="Calibri" w:hAnsi="Calibri" w:cs="Calibri"/>
          <w:i/>
          <w:sz w:val="18"/>
          <w:szCs w:val="18"/>
        </w:rPr>
        <w:t>я</w:t>
      </w:r>
      <w:r w:rsidRPr="009E6215">
        <w:rPr>
          <w:rFonts w:ascii="Calibri" w:eastAsia="Calibri" w:hAnsi="Calibri" w:cs="Calibri"/>
          <w:i/>
          <w:spacing w:val="-1"/>
          <w:sz w:val="18"/>
          <w:szCs w:val="18"/>
        </w:rPr>
        <w:t>т</w:t>
      </w:r>
      <w:r w:rsidRPr="009E6215">
        <w:rPr>
          <w:rFonts w:ascii="Calibri" w:eastAsia="Calibri" w:hAnsi="Calibri" w:cs="Calibri"/>
          <w:i/>
          <w:sz w:val="18"/>
          <w:szCs w:val="18"/>
        </w:rPr>
        <w:t>а</w:t>
      </w:r>
    </w:p>
    <w:p w:rsidR="00CB7DDC" w:rsidRPr="00CB7DDC" w:rsidRDefault="00CB7DDC" w:rsidP="00CB7DDC">
      <w:pPr>
        <w:widowControl w:val="0"/>
        <w:autoSpaceDE w:val="0"/>
        <w:autoSpaceDN w:val="0"/>
        <w:adjustRightInd w:val="0"/>
        <w:spacing w:before="6" w:after="0" w:line="200" w:lineRule="exact"/>
        <w:rPr>
          <w:rFonts w:ascii="Times New Roman" w:eastAsia="Calibri" w:hAnsi="Times New Roman" w:cs="Times New Roman"/>
          <w:sz w:val="20"/>
          <w:szCs w:val="20"/>
        </w:rPr>
      </w:pPr>
    </w:p>
    <w:p w:rsidR="00325089" w:rsidRDefault="00CB7DDC" w:rsidP="00CB7DDC">
      <w:pPr>
        <w:widowControl w:val="0"/>
        <w:autoSpaceDE w:val="0"/>
        <w:autoSpaceDN w:val="0"/>
        <w:adjustRightInd w:val="0"/>
        <w:spacing w:after="0" w:line="238" w:lineRule="auto"/>
        <w:ind w:right="125"/>
        <w:jc w:val="both"/>
        <w:rPr>
          <w:rFonts w:ascii="Calibri" w:eastAsia="Calibri" w:hAnsi="Calibri" w:cs="Calibri"/>
          <w:bCs/>
          <w:lang w:eastAsia="bg-BG"/>
        </w:rPr>
      </w:pPr>
      <w:r w:rsidRPr="00CB7DDC">
        <w:rPr>
          <w:rFonts w:ascii="Calibri" w:eastAsia="Calibri" w:hAnsi="Calibri" w:cs="Calibri"/>
          <w:bCs/>
          <w:lang w:eastAsia="bg-BG"/>
        </w:rPr>
        <w:t xml:space="preserve">Голям брой ВиК дружества в България не успяват да покрият своите оперативни разходи. За 2011 г. много от операторите имат коефициент на ефективност на приходите (съотношението </w:t>
      </w:r>
      <w:r w:rsidRPr="00CB7DDC">
        <w:rPr>
          <w:rFonts w:ascii="Calibri" w:eastAsia="Calibri" w:hAnsi="Calibri" w:cs="Calibri"/>
          <w:bCs/>
          <w:lang w:eastAsia="bg-BG"/>
        </w:rPr>
        <w:lastRenderedPageBreak/>
        <w:t>между оперативни разходи и оперативни приходи) над 1.00 и твърде малък брой дружества имат коефициент на ефективност под 0.90, който да им позволи да използват собствени средства за капиталови инвестиции</w:t>
      </w:r>
      <w:r w:rsidR="00325089">
        <w:rPr>
          <w:rFonts w:ascii="Calibri" w:eastAsia="Calibri" w:hAnsi="Calibri" w:cs="Calibri"/>
          <w:bCs/>
          <w:lang w:eastAsia="bg-BG"/>
        </w:rPr>
        <w:t>, което е видно и от следващата таблица:</w:t>
      </w:r>
    </w:p>
    <w:p w:rsidR="00325089" w:rsidRDefault="00325089" w:rsidP="00CB7DDC">
      <w:pPr>
        <w:widowControl w:val="0"/>
        <w:autoSpaceDE w:val="0"/>
        <w:autoSpaceDN w:val="0"/>
        <w:adjustRightInd w:val="0"/>
        <w:spacing w:after="0" w:line="238" w:lineRule="auto"/>
        <w:ind w:right="125"/>
        <w:jc w:val="both"/>
        <w:rPr>
          <w:rFonts w:ascii="Calibri" w:eastAsia="Calibri" w:hAnsi="Calibri" w:cs="Calibri"/>
          <w:bCs/>
          <w:lang w:eastAsia="bg-BG"/>
        </w:rPr>
      </w:pPr>
    </w:p>
    <w:p w:rsidR="00325089" w:rsidRPr="00325089" w:rsidRDefault="00325089" w:rsidP="00325089">
      <w:pPr>
        <w:pStyle w:val="Caption"/>
        <w:spacing w:after="240"/>
        <w:rPr>
          <w:rFonts w:asciiTheme="minorHAnsi" w:eastAsia="Calibri" w:hAnsiTheme="minorHAnsi" w:cstheme="minorHAnsi"/>
          <w:bCs w:val="0"/>
        </w:rPr>
      </w:pPr>
      <w:r w:rsidRPr="00325089">
        <w:rPr>
          <w:rFonts w:asciiTheme="minorHAnsi" w:eastAsia="Calibri" w:hAnsiTheme="minorHAnsi" w:cstheme="minorHAnsi"/>
          <w:bCs w:val="0"/>
        </w:rPr>
        <w:tab/>
      </w:r>
      <w:bookmarkStart w:id="13" w:name="_Toc399494882"/>
      <w:r w:rsidRPr="00325089">
        <w:rPr>
          <w:rFonts w:asciiTheme="minorHAnsi" w:hAnsiTheme="minorHAnsi" w:cstheme="minorHAnsi"/>
        </w:rPr>
        <w:t xml:space="preserve">Таблица </w:t>
      </w:r>
      <w:r w:rsidR="008E6461" w:rsidRPr="00325089">
        <w:rPr>
          <w:rFonts w:asciiTheme="minorHAnsi" w:hAnsiTheme="minorHAnsi" w:cstheme="minorHAnsi"/>
        </w:rPr>
        <w:fldChar w:fldCharType="begin"/>
      </w:r>
      <w:r w:rsidRPr="00325089">
        <w:rPr>
          <w:rFonts w:asciiTheme="minorHAnsi" w:hAnsiTheme="minorHAnsi" w:cstheme="minorHAnsi"/>
        </w:rPr>
        <w:instrText xml:space="preserve"> SEQ таблица \* ARABIC </w:instrText>
      </w:r>
      <w:r w:rsidR="008E6461" w:rsidRPr="00325089">
        <w:rPr>
          <w:rFonts w:asciiTheme="minorHAnsi" w:hAnsiTheme="minorHAnsi" w:cstheme="minorHAnsi"/>
        </w:rPr>
        <w:fldChar w:fldCharType="separate"/>
      </w:r>
      <w:r w:rsidR="003A69A7">
        <w:rPr>
          <w:rFonts w:asciiTheme="minorHAnsi" w:hAnsiTheme="minorHAnsi" w:cstheme="minorHAnsi"/>
          <w:noProof/>
        </w:rPr>
        <w:t>2</w:t>
      </w:r>
      <w:r w:rsidR="008E6461" w:rsidRPr="00325089">
        <w:rPr>
          <w:rFonts w:asciiTheme="minorHAnsi" w:hAnsiTheme="minorHAnsi" w:cstheme="minorHAnsi"/>
        </w:rPr>
        <w:fldChar w:fldCharType="end"/>
      </w:r>
      <w:r w:rsidR="009E6215">
        <w:rPr>
          <w:rFonts w:asciiTheme="minorHAnsi" w:hAnsiTheme="minorHAnsi" w:cstheme="minorHAnsi"/>
        </w:rPr>
        <w:t>: Коефициент на ефективност на приходите на ВиК дружествата</w:t>
      </w:r>
      <w:bookmarkEnd w:id="13"/>
    </w:p>
    <w:tbl>
      <w:tblPr>
        <w:tblStyle w:val="LightGrid-Accent5"/>
        <w:tblW w:w="7440" w:type="dxa"/>
        <w:jc w:val="center"/>
        <w:tblLook w:val="0000" w:firstRow="0" w:lastRow="0" w:firstColumn="0" w:lastColumn="0" w:noHBand="0" w:noVBand="0"/>
      </w:tblPr>
      <w:tblGrid>
        <w:gridCol w:w="4080"/>
        <w:gridCol w:w="1120"/>
        <w:gridCol w:w="1120"/>
        <w:gridCol w:w="1120"/>
      </w:tblGrid>
      <w:tr w:rsidR="00325089" w:rsidRPr="00252A3E" w:rsidTr="009E6215">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325089" w:rsidRPr="00252A3E" w:rsidRDefault="00325089" w:rsidP="009E6215">
            <w:pPr>
              <w:spacing w:after="80"/>
            </w:pPr>
            <w:r>
              <w:t>Коефициент на ефективност на приходите</w:t>
            </w:r>
          </w:p>
        </w:tc>
        <w:tc>
          <w:tcPr>
            <w:tcW w:w="1120" w:type="dxa"/>
          </w:tcPr>
          <w:p w:rsidR="00325089" w:rsidRPr="00252A3E" w:rsidRDefault="00325089" w:rsidP="009E6215">
            <w:pPr>
              <w:spacing w:after="80"/>
              <w:jc w:val="center"/>
              <w:cnfStyle w:val="000000100000" w:firstRow="0" w:lastRow="0" w:firstColumn="0" w:lastColumn="0" w:oddVBand="0" w:evenVBand="0" w:oddHBand="1" w:evenHBand="0" w:firstRowFirstColumn="0" w:firstRowLastColumn="0" w:lastRowFirstColumn="0" w:lastRowLastColumn="0"/>
              <w:rPr>
                <w:b/>
                <w:bCs/>
              </w:rPr>
            </w:pPr>
            <w:r w:rsidRPr="00252A3E">
              <w:rPr>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325089" w:rsidRPr="00252A3E" w:rsidRDefault="00325089" w:rsidP="009E6215">
            <w:pPr>
              <w:spacing w:after="80"/>
              <w:jc w:val="center"/>
              <w:rPr>
                <w:b/>
                <w:bCs/>
              </w:rPr>
            </w:pPr>
            <w:r w:rsidRPr="00252A3E">
              <w:rPr>
                <w:b/>
                <w:bCs/>
              </w:rPr>
              <w:t>2008 г.</w:t>
            </w:r>
          </w:p>
        </w:tc>
        <w:tc>
          <w:tcPr>
            <w:tcW w:w="1120" w:type="dxa"/>
          </w:tcPr>
          <w:p w:rsidR="00325089" w:rsidRPr="00252A3E" w:rsidRDefault="00325089" w:rsidP="009E6215">
            <w:pPr>
              <w:spacing w:after="80"/>
              <w:jc w:val="center"/>
              <w:cnfStyle w:val="000000100000" w:firstRow="0" w:lastRow="0" w:firstColumn="0" w:lastColumn="0" w:oddVBand="0" w:evenVBand="0" w:oddHBand="1" w:evenHBand="0" w:firstRowFirstColumn="0" w:firstRowLastColumn="0" w:lastRowFirstColumn="0" w:lastRowLastColumn="0"/>
              <w:rPr>
                <w:b/>
                <w:bCs/>
              </w:rPr>
            </w:pPr>
            <w:r w:rsidRPr="00252A3E">
              <w:rPr>
                <w:b/>
                <w:bCs/>
              </w:rPr>
              <w:t>2009 г.</w:t>
            </w:r>
          </w:p>
        </w:tc>
      </w:tr>
      <w:tr w:rsidR="00325089" w:rsidRPr="00252A3E" w:rsidTr="009E6215">
        <w:trPr>
          <w:cnfStyle w:val="000000010000" w:firstRow="0" w:lastRow="0" w:firstColumn="0" w:lastColumn="0" w:oddVBand="0" w:evenVBand="0" w:oddHBand="0" w:evenHBand="1"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325089" w:rsidRPr="00252A3E" w:rsidRDefault="00325089" w:rsidP="009E6215">
            <w:pPr>
              <w:spacing w:after="80"/>
            </w:pPr>
            <w:r w:rsidRPr="00252A3E">
              <w:t>Малки ВиК дружества (17)</w:t>
            </w:r>
          </w:p>
        </w:tc>
        <w:tc>
          <w:tcPr>
            <w:tcW w:w="1120" w:type="dxa"/>
            <w:noWrap/>
          </w:tcPr>
          <w:p w:rsidR="00325089" w:rsidRPr="00252A3E" w:rsidRDefault="00325089" w:rsidP="009E6215">
            <w:pPr>
              <w:jc w:val="right"/>
              <w:cnfStyle w:val="000000010000" w:firstRow="0" w:lastRow="0" w:firstColumn="0" w:lastColumn="0" w:oddVBand="0" w:evenVBand="0" w:oddHBand="0" w:evenHBand="1" w:firstRowFirstColumn="0" w:firstRowLastColumn="0" w:lastRowFirstColumn="0" w:lastRowLastColumn="0"/>
            </w:pPr>
            <w:r w:rsidRPr="00252A3E">
              <w:t>1,0478</w:t>
            </w:r>
          </w:p>
        </w:tc>
        <w:tc>
          <w:tcPr>
            <w:cnfStyle w:val="000010000000" w:firstRow="0" w:lastRow="0" w:firstColumn="0" w:lastColumn="0" w:oddVBand="1" w:evenVBand="0" w:oddHBand="0" w:evenHBand="0" w:firstRowFirstColumn="0" w:firstRowLastColumn="0" w:lastRowFirstColumn="0" w:lastRowLastColumn="0"/>
            <w:tcW w:w="1120" w:type="dxa"/>
            <w:noWrap/>
          </w:tcPr>
          <w:p w:rsidR="00325089" w:rsidRPr="00252A3E" w:rsidRDefault="00325089" w:rsidP="009E6215">
            <w:pPr>
              <w:jc w:val="right"/>
            </w:pPr>
            <w:r w:rsidRPr="00252A3E">
              <w:t>0,9742</w:t>
            </w:r>
          </w:p>
        </w:tc>
        <w:tc>
          <w:tcPr>
            <w:tcW w:w="1120" w:type="dxa"/>
            <w:noWrap/>
          </w:tcPr>
          <w:p w:rsidR="00325089" w:rsidRPr="00252A3E" w:rsidRDefault="00325089" w:rsidP="009E6215">
            <w:pPr>
              <w:jc w:val="right"/>
              <w:cnfStyle w:val="000000010000" w:firstRow="0" w:lastRow="0" w:firstColumn="0" w:lastColumn="0" w:oddVBand="0" w:evenVBand="0" w:oddHBand="0" w:evenHBand="1" w:firstRowFirstColumn="0" w:firstRowLastColumn="0" w:lastRowFirstColumn="0" w:lastRowLastColumn="0"/>
            </w:pPr>
            <w:r w:rsidRPr="00252A3E">
              <w:t>0,9361</w:t>
            </w:r>
          </w:p>
        </w:tc>
      </w:tr>
      <w:tr w:rsidR="00325089" w:rsidRPr="00252A3E" w:rsidTr="009E6215">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325089" w:rsidRPr="00252A3E" w:rsidRDefault="00325089" w:rsidP="009E6215">
            <w:pPr>
              <w:spacing w:after="80"/>
            </w:pPr>
            <w:r w:rsidRPr="00252A3E">
              <w:t>Средни ВиК дружества (15)</w:t>
            </w:r>
          </w:p>
        </w:tc>
        <w:tc>
          <w:tcPr>
            <w:tcW w:w="1120" w:type="dxa"/>
            <w:noWrap/>
          </w:tcPr>
          <w:p w:rsidR="00325089" w:rsidRPr="00252A3E" w:rsidRDefault="00325089" w:rsidP="009E6215">
            <w:pPr>
              <w:jc w:val="right"/>
              <w:cnfStyle w:val="000000100000" w:firstRow="0" w:lastRow="0" w:firstColumn="0" w:lastColumn="0" w:oddVBand="0" w:evenVBand="0" w:oddHBand="1" w:evenHBand="0" w:firstRowFirstColumn="0" w:firstRowLastColumn="0" w:lastRowFirstColumn="0" w:lastRowLastColumn="0"/>
            </w:pPr>
            <w:r w:rsidRPr="00252A3E">
              <w:t>0,8820</w:t>
            </w:r>
          </w:p>
        </w:tc>
        <w:tc>
          <w:tcPr>
            <w:cnfStyle w:val="000010000000" w:firstRow="0" w:lastRow="0" w:firstColumn="0" w:lastColumn="0" w:oddVBand="1" w:evenVBand="0" w:oddHBand="0" w:evenHBand="0" w:firstRowFirstColumn="0" w:firstRowLastColumn="0" w:lastRowFirstColumn="0" w:lastRowLastColumn="0"/>
            <w:tcW w:w="1120" w:type="dxa"/>
            <w:noWrap/>
          </w:tcPr>
          <w:p w:rsidR="00325089" w:rsidRPr="00252A3E" w:rsidRDefault="00325089" w:rsidP="009E6215">
            <w:pPr>
              <w:jc w:val="right"/>
            </w:pPr>
            <w:r w:rsidRPr="00252A3E">
              <w:t>0,8986</w:t>
            </w:r>
          </w:p>
        </w:tc>
        <w:tc>
          <w:tcPr>
            <w:tcW w:w="1120" w:type="dxa"/>
            <w:noWrap/>
          </w:tcPr>
          <w:p w:rsidR="00325089" w:rsidRPr="00252A3E" w:rsidRDefault="00325089" w:rsidP="009E6215">
            <w:pPr>
              <w:jc w:val="right"/>
              <w:cnfStyle w:val="000000100000" w:firstRow="0" w:lastRow="0" w:firstColumn="0" w:lastColumn="0" w:oddVBand="0" w:evenVBand="0" w:oddHBand="1" w:evenHBand="0" w:firstRowFirstColumn="0" w:firstRowLastColumn="0" w:lastRowFirstColumn="0" w:lastRowLastColumn="0"/>
            </w:pPr>
            <w:r w:rsidRPr="00252A3E">
              <w:t>0,8908</w:t>
            </w:r>
          </w:p>
        </w:tc>
      </w:tr>
      <w:tr w:rsidR="00325089" w:rsidRPr="00252A3E" w:rsidTr="009E6215">
        <w:trPr>
          <w:cnfStyle w:val="000000010000" w:firstRow="0" w:lastRow="0" w:firstColumn="0" w:lastColumn="0" w:oddVBand="0" w:evenVBand="0" w:oddHBand="0" w:evenHBand="1"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325089" w:rsidRPr="00252A3E" w:rsidRDefault="00325089" w:rsidP="009E6215">
            <w:pPr>
              <w:spacing w:after="80"/>
            </w:pPr>
            <w:r w:rsidRPr="00252A3E">
              <w:t>Големи ВиК дружества (13)</w:t>
            </w:r>
          </w:p>
        </w:tc>
        <w:tc>
          <w:tcPr>
            <w:tcW w:w="1120" w:type="dxa"/>
            <w:noWrap/>
          </w:tcPr>
          <w:p w:rsidR="00325089" w:rsidRPr="00252A3E" w:rsidRDefault="00325089" w:rsidP="009E6215">
            <w:pPr>
              <w:jc w:val="right"/>
              <w:cnfStyle w:val="000000010000" w:firstRow="0" w:lastRow="0" w:firstColumn="0" w:lastColumn="0" w:oddVBand="0" w:evenVBand="0" w:oddHBand="0" w:evenHBand="1" w:firstRowFirstColumn="0" w:firstRowLastColumn="0" w:lastRowFirstColumn="0" w:lastRowLastColumn="0"/>
            </w:pPr>
            <w:r w:rsidRPr="00252A3E">
              <w:t>0,8974</w:t>
            </w:r>
          </w:p>
        </w:tc>
        <w:tc>
          <w:tcPr>
            <w:cnfStyle w:val="000010000000" w:firstRow="0" w:lastRow="0" w:firstColumn="0" w:lastColumn="0" w:oddVBand="1" w:evenVBand="0" w:oddHBand="0" w:evenHBand="0" w:firstRowFirstColumn="0" w:firstRowLastColumn="0" w:lastRowFirstColumn="0" w:lastRowLastColumn="0"/>
            <w:tcW w:w="1120" w:type="dxa"/>
            <w:noWrap/>
          </w:tcPr>
          <w:p w:rsidR="00325089" w:rsidRPr="00252A3E" w:rsidRDefault="00325089" w:rsidP="009E6215">
            <w:pPr>
              <w:jc w:val="right"/>
            </w:pPr>
            <w:r w:rsidRPr="00252A3E">
              <w:t>0,8871</w:t>
            </w:r>
          </w:p>
        </w:tc>
        <w:tc>
          <w:tcPr>
            <w:tcW w:w="1120" w:type="dxa"/>
            <w:noWrap/>
          </w:tcPr>
          <w:p w:rsidR="00325089" w:rsidRPr="00252A3E" w:rsidRDefault="00325089" w:rsidP="009E6215">
            <w:pPr>
              <w:jc w:val="right"/>
              <w:cnfStyle w:val="000000010000" w:firstRow="0" w:lastRow="0" w:firstColumn="0" w:lastColumn="0" w:oddVBand="0" w:evenVBand="0" w:oddHBand="0" w:evenHBand="1" w:firstRowFirstColumn="0" w:firstRowLastColumn="0" w:lastRowFirstColumn="0" w:lastRowLastColumn="0"/>
            </w:pPr>
            <w:r w:rsidRPr="00252A3E">
              <w:t>0,8761</w:t>
            </w:r>
          </w:p>
        </w:tc>
      </w:tr>
      <w:tr w:rsidR="00325089" w:rsidRPr="00252A3E" w:rsidTr="009E6215">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325089" w:rsidRPr="00252A3E" w:rsidRDefault="00325089" w:rsidP="009E6215">
            <w:pPr>
              <w:spacing w:after="80"/>
            </w:pPr>
            <w:r w:rsidRPr="00252A3E">
              <w:t>Много големи ВиК дружества (11)</w:t>
            </w:r>
          </w:p>
        </w:tc>
        <w:tc>
          <w:tcPr>
            <w:tcW w:w="1120" w:type="dxa"/>
            <w:noWrap/>
          </w:tcPr>
          <w:p w:rsidR="00325089" w:rsidRPr="00252A3E" w:rsidRDefault="00325089" w:rsidP="009E6215">
            <w:pPr>
              <w:jc w:val="right"/>
              <w:cnfStyle w:val="000000100000" w:firstRow="0" w:lastRow="0" w:firstColumn="0" w:lastColumn="0" w:oddVBand="0" w:evenVBand="0" w:oddHBand="1" w:evenHBand="0" w:firstRowFirstColumn="0" w:firstRowLastColumn="0" w:lastRowFirstColumn="0" w:lastRowLastColumn="0"/>
            </w:pPr>
            <w:r w:rsidRPr="00252A3E">
              <w:t>0,8779</w:t>
            </w:r>
          </w:p>
        </w:tc>
        <w:tc>
          <w:tcPr>
            <w:cnfStyle w:val="000010000000" w:firstRow="0" w:lastRow="0" w:firstColumn="0" w:lastColumn="0" w:oddVBand="1" w:evenVBand="0" w:oddHBand="0" w:evenHBand="0" w:firstRowFirstColumn="0" w:firstRowLastColumn="0" w:lastRowFirstColumn="0" w:lastRowLastColumn="0"/>
            <w:tcW w:w="1120" w:type="dxa"/>
            <w:noWrap/>
          </w:tcPr>
          <w:p w:rsidR="00325089" w:rsidRPr="00252A3E" w:rsidRDefault="00325089" w:rsidP="009E6215">
            <w:pPr>
              <w:jc w:val="right"/>
            </w:pPr>
            <w:r w:rsidRPr="00252A3E">
              <w:t>0,8213</w:t>
            </w:r>
          </w:p>
        </w:tc>
        <w:tc>
          <w:tcPr>
            <w:tcW w:w="1120" w:type="dxa"/>
            <w:noWrap/>
          </w:tcPr>
          <w:p w:rsidR="00325089" w:rsidRPr="00252A3E" w:rsidRDefault="00325089" w:rsidP="009E6215">
            <w:pPr>
              <w:jc w:val="right"/>
              <w:cnfStyle w:val="000000100000" w:firstRow="0" w:lastRow="0" w:firstColumn="0" w:lastColumn="0" w:oddVBand="0" w:evenVBand="0" w:oddHBand="1" w:evenHBand="0" w:firstRowFirstColumn="0" w:firstRowLastColumn="0" w:lastRowFirstColumn="0" w:lastRowLastColumn="0"/>
            </w:pPr>
            <w:r w:rsidRPr="00252A3E">
              <w:t>0,8202</w:t>
            </w:r>
          </w:p>
        </w:tc>
      </w:tr>
      <w:tr w:rsidR="00325089" w:rsidRPr="00252A3E" w:rsidTr="009E6215">
        <w:trPr>
          <w:cnfStyle w:val="000000010000" w:firstRow="0" w:lastRow="0" w:firstColumn="0" w:lastColumn="0" w:oddVBand="0" w:evenVBand="0" w:oddHBand="0" w:evenHBand="1" w:firstRowFirstColumn="0" w:firstRowLastColumn="0" w:lastRowFirstColumn="0" w:lastRowLastColumn="0"/>
          <w:trHeight w:val="402"/>
          <w:jc w:val="center"/>
        </w:trPr>
        <w:tc>
          <w:tcPr>
            <w:cnfStyle w:val="000010000000" w:firstRow="0" w:lastRow="0" w:firstColumn="0" w:lastColumn="0" w:oddVBand="1" w:evenVBand="0" w:oddHBand="0" w:evenHBand="0" w:firstRowFirstColumn="0" w:firstRowLastColumn="0" w:lastRowFirstColumn="0" w:lastRowLastColumn="0"/>
            <w:tcW w:w="4080" w:type="dxa"/>
          </w:tcPr>
          <w:p w:rsidR="00325089" w:rsidRPr="00252A3E" w:rsidRDefault="00325089" w:rsidP="009E6215">
            <w:pPr>
              <w:spacing w:after="80"/>
            </w:pPr>
            <w:r w:rsidRPr="00252A3E">
              <w:t>Общо ВиК дружества (56)</w:t>
            </w:r>
          </w:p>
        </w:tc>
        <w:tc>
          <w:tcPr>
            <w:tcW w:w="1120" w:type="dxa"/>
            <w:noWrap/>
          </w:tcPr>
          <w:p w:rsidR="00325089" w:rsidRPr="00252A3E" w:rsidRDefault="00325089" w:rsidP="009E6215">
            <w:pPr>
              <w:jc w:val="right"/>
              <w:cnfStyle w:val="000000010000" w:firstRow="0" w:lastRow="0" w:firstColumn="0" w:lastColumn="0" w:oddVBand="0" w:evenVBand="0" w:oddHBand="0" w:evenHBand="1" w:firstRowFirstColumn="0" w:firstRowLastColumn="0" w:lastRowFirstColumn="0" w:lastRowLastColumn="0"/>
            </w:pPr>
            <w:r w:rsidRPr="00252A3E">
              <w:t>0,8862</w:t>
            </w:r>
          </w:p>
        </w:tc>
        <w:tc>
          <w:tcPr>
            <w:cnfStyle w:val="000010000000" w:firstRow="0" w:lastRow="0" w:firstColumn="0" w:lastColumn="0" w:oddVBand="1" w:evenVBand="0" w:oddHBand="0" w:evenHBand="0" w:firstRowFirstColumn="0" w:firstRowLastColumn="0" w:lastRowFirstColumn="0" w:lastRowLastColumn="0"/>
            <w:tcW w:w="1120" w:type="dxa"/>
            <w:noWrap/>
          </w:tcPr>
          <w:p w:rsidR="00325089" w:rsidRPr="00252A3E" w:rsidRDefault="00325089" w:rsidP="009E6215">
            <w:pPr>
              <w:jc w:val="right"/>
            </w:pPr>
            <w:r w:rsidRPr="00252A3E">
              <w:t>0,8480</w:t>
            </w:r>
          </w:p>
        </w:tc>
        <w:tc>
          <w:tcPr>
            <w:tcW w:w="1120" w:type="dxa"/>
            <w:noWrap/>
          </w:tcPr>
          <w:p w:rsidR="00325089" w:rsidRPr="00252A3E" w:rsidRDefault="00325089" w:rsidP="009E6215">
            <w:pPr>
              <w:jc w:val="right"/>
              <w:cnfStyle w:val="000000010000" w:firstRow="0" w:lastRow="0" w:firstColumn="0" w:lastColumn="0" w:oddVBand="0" w:evenVBand="0" w:oddHBand="0" w:evenHBand="1" w:firstRowFirstColumn="0" w:firstRowLastColumn="0" w:lastRowFirstColumn="0" w:lastRowLastColumn="0"/>
            </w:pPr>
            <w:r w:rsidRPr="00252A3E">
              <w:t>0,8406</w:t>
            </w:r>
          </w:p>
        </w:tc>
      </w:tr>
    </w:tbl>
    <w:p w:rsidR="00325089" w:rsidRPr="00325089" w:rsidRDefault="00325089" w:rsidP="00325089">
      <w:pPr>
        <w:widowControl w:val="0"/>
        <w:autoSpaceDE w:val="0"/>
        <w:autoSpaceDN w:val="0"/>
        <w:adjustRightInd w:val="0"/>
        <w:spacing w:after="0" w:line="238" w:lineRule="auto"/>
        <w:ind w:left="709" w:right="125"/>
        <w:jc w:val="both"/>
        <w:rPr>
          <w:rFonts w:ascii="Calibri" w:eastAsia="Calibri" w:hAnsi="Calibri" w:cs="Calibri"/>
          <w:bCs/>
          <w:i/>
          <w:sz w:val="20"/>
          <w:szCs w:val="20"/>
          <w:lang w:eastAsia="bg-BG"/>
        </w:rPr>
      </w:pPr>
      <w:r w:rsidRPr="00722616">
        <w:rPr>
          <w:rFonts w:ascii="Calibri" w:eastAsia="Calibri" w:hAnsi="Calibri" w:cs="Calibri"/>
          <w:bCs/>
          <w:i/>
          <w:sz w:val="20"/>
          <w:szCs w:val="20"/>
          <w:u w:val="single"/>
          <w:lang w:eastAsia="bg-BG"/>
        </w:rPr>
        <w:t>Източник:</w:t>
      </w:r>
      <w:r w:rsidRPr="00325089">
        <w:rPr>
          <w:rFonts w:ascii="Calibri" w:eastAsia="Calibri" w:hAnsi="Calibri" w:cs="Calibri"/>
          <w:bCs/>
          <w:i/>
          <w:sz w:val="20"/>
          <w:szCs w:val="20"/>
          <w:lang w:eastAsia="bg-BG"/>
        </w:rPr>
        <w:t xml:space="preserve"> Анализ на дейността на дружествата, предоставящи услуги във водния сектор</w:t>
      </w:r>
      <w:r w:rsidR="009E6215">
        <w:rPr>
          <w:rFonts w:ascii="Calibri" w:eastAsia="Calibri" w:hAnsi="Calibri" w:cs="Calibri"/>
          <w:bCs/>
          <w:i/>
          <w:sz w:val="20"/>
          <w:szCs w:val="20"/>
          <w:lang w:eastAsia="bg-BG"/>
        </w:rPr>
        <w:t xml:space="preserve"> - </w:t>
      </w:r>
      <w:hyperlink r:id="rId22" w:history="1">
        <w:r w:rsidR="009E6215" w:rsidRPr="00A401CA">
          <w:rPr>
            <w:rStyle w:val="Hyperlink"/>
            <w:rFonts w:ascii="Calibri" w:eastAsia="Calibri" w:hAnsi="Calibri" w:cs="Calibri"/>
            <w:bCs/>
            <w:i/>
            <w:sz w:val="20"/>
            <w:szCs w:val="20"/>
            <w:lang w:eastAsia="bg-BG"/>
          </w:rPr>
          <w:t>http://www.moew.government.bg/?show=top&amp;cid=569</w:t>
        </w:r>
      </w:hyperlink>
      <w:r w:rsidR="009E6215">
        <w:rPr>
          <w:rFonts w:ascii="Calibri" w:eastAsia="Calibri" w:hAnsi="Calibri" w:cs="Calibri"/>
          <w:bCs/>
          <w:i/>
          <w:sz w:val="20"/>
          <w:szCs w:val="20"/>
          <w:lang w:eastAsia="bg-BG"/>
        </w:rPr>
        <w:t xml:space="preserve"> </w:t>
      </w:r>
    </w:p>
    <w:p w:rsidR="0000262E" w:rsidRPr="00107B8E" w:rsidRDefault="0000262E" w:rsidP="009C60B0">
      <w:pPr>
        <w:widowControl w:val="0"/>
        <w:autoSpaceDE w:val="0"/>
        <w:autoSpaceDN w:val="0"/>
        <w:adjustRightInd w:val="0"/>
        <w:spacing w:before="240" w:after="0" w:line="238" w:lineRule="auto"/>
        <w:ind w:right="125"/>
        <w:jc w:val="both"/>
        <w:rPr>
          <w:rFonts w:ascii="Calibri" w:eastAsia="Calibri" w:hAnsi="Calibri" w:cs="Calibri"/>
          <w:bCs/>
          <w:lang w:eastAsia="bg-BG"/>
        </w:rPr>
      </w:pPr>
      <w:r w:rsidRPr="00107B8E">
        <w:rPr>
          <w:rFonts w:ascii="Calibri" w:eastAsia="Calibri" w:hAnsi="Calibri" w:cs="Calibri"/>
          <w:bCs/>
          <w:lang w:eastAsia="bg-BG"/>
        </w:rPr>
        <w:t>Оттук може да се направи изводът, че принципът за възстановяване на разходите следва да се интегрира изцяло в изискванията за изчисляване на крайната цена на водата, плащана от потребителя, включвайки стойността на водния ресурс, разходите за околна среда и за експлоатация на инфраструктурата. Принципът “замърсителят плаща” също трябва да се отчете при определяне на таксите за заустване на отпадъчни води от населените места, които следва да  се  определят  по  начин,  който  да  стимулира  развитието  на  съоръженията  за пречистване на отпадъчните води в агломерациите.</w:t>
      </w:r>
      <w:r w:rsidR="00B22077" w:rsidRPr="00107B8E">
        <w:rPr>
          <w:rFonts w:ascii="Calibri" w:eastAsia="Calibri" w:hAnsi="Calibri" w:cs="Calibri"/>
          <w:bCs/>
          <w:lang w:eastAsia="bg-BG"/>
        </w:rPr>
        <w:t xml:space="preserve"> В подкрепа на този извод са резултатите от анкетното проучване сред 16 ВиК оператори, които на въпроса „</w:t>
      </w:r>
      <w:r w:rsidR="00B22077" w:rsidRPr="00107B8E">
        <w:rPr>
          <w:rFonts w:ascii="Calibri" w:eastAsia="Times New Roman" w:hAnsi="Calibri" w:cs="Calibri"/>
          <w:b/>
          <w:bCs/>
          <w:color w:val="000000"/>
          <w:lang w:eastAsia="bg-BG"/>
        </w:rPr>
        <w:t xml:space="preserve">Считате ли, че либерализацията на цените във ВиК сектора ще допринесе до увеличаване на инвестициите?” </w:t>
      </w:r>
      <w:r w:rsidR="00B22077" w:rsidRPr="00107B8E">
        <w:rPr>
          <w:rFonts w:ascii="Calibri" w:eastAsia="Calibri" w:hAnsi="Calibri" w:cs="Calibri"/>
          <w:bCs/>
          <w:lang w:eastAsia="bg-BG"/>
        </w:rPr>
        <w:t>са отговорили по следния начин:</w:t>
      </w:r>
    </w:p>
    <w:p w:rsidR="00B22077" w:rsidRDefault="00B22077" w:rsidP="00B22077">
      <w:pPr>
        <w:pStyle w:val="Caption"/>
        <w:ind w:left="176" w:firstLine="708"/>
        <w:rPr>
          <w:rFonts w:asciiTheme="minorHAnsi" w:hAnsiTheme="minorHAnsi" w:cstheme="minorHAnsi"/>
        </w:rPr>
      </w:pPr>
    </w:p>
    <w:p w:rsidR="00B22077" w:rsidRPr="009D2DBF" w:rsidRDefault="00B22077" w:rsidP="00B22077">
      <w:pPr>
        <w:pStyle w:val="Caption"/>
        <w:rPr>
          <w:rFonts w:asciiTheme="minorHAnsi" w:eastAsia="Calibri" w:hAnsiTheme="minorHAnsi" w:cstheme="minorHAnsi"/>
        </w:rPr>
      </w:pPr>
      <w:bookmarkStart w:id="14" w:name="_Toc399494588"/>
      <w:r>
        <w:rPr>
          <w:rFonts w:asciiTheme="minorHAnsi" w:hAnsiTheme="minorHAnsi" w:cstheme="minorHAnsi"/>
        </w:rPr>
        <w:t>Ф</w:t>
      </w:r>
      <w:r w:rsidRPr="009D2DBF">
        <w:rPr>
          <w:rFonts w:asciiTheme="minorHAnsi" w:hAnsiTheme="minorHAnsi" w:cstheme="minorHAnsi"/>
        </w:rPr>
        <w:t xml:space="preserve">игура </w:t>
      </w:r>
      <w:r w:rsidR="008E6461" w:rsidRPr="009D2DBF">
        <w:rPr>
          <w:rFonts w:asciiTheme="minorHAnsi" w:hAnsiTheme="minorHAnsi" w:cstheme="minorHAnsi"/>
        </w:rPr>
        <w:fldChar w:fldCharType="begin"/>
      </w:r>
      <w:r w:rsidRPr="009D2DBF">
        <w:rPr>
          <w:rFonts w:asciiTheme="minorHAnsi" w:hAnsiTheme="minorHAnsi" w:cstheme="minorHAnsi"/>
        </w:rPr>
        <w:instrText xml:space="preserve"> SEQ фигура \* ARABIC </w:instrText>
      </w:r>
      <w:r w:rsidR="008E6461" w:rsidRPr="009D2DBF">
        <w:rPr>
          <w:rFonts w:asciiTheme="minorHAnsi" w:hAnsiTheme="minorHAnsi" w:cstheme="minorHAnsi"/>
        </w:rPr>
        <w:fldChar w:fldCharType="separate"/>
      </w:r>
      <w:r w:rsidR="003A69A7">
        <w:rPr>
          <w:rFonts w:asciiTheme="minorHAnsi" w:hAnsiTheme="minorHAnsi" w:cstheme="minorHAnsi"/>
          <w:noProof/>
        </w:rPr>
        <w:t>3</w:t>
      </w:r>
      <w:r w:rsidR="008E6461" w:rsidRPr="009D2DBF">
        <w:rPr>
          <w:rFonts w:asciiTheme="minorHAnsi" w:hAnsiTheme="minorHAnsi" w:cstheme="minorHAnsi"/>
        </w:rPr>
        <w:fldChar w:fldCharType="end"/>
      </w:r>
      <w:r>
        <w:rPr>
          <w:rFonts w:asciiTheme="minorHAnsi" w:hAnsiTheme="minorHAnsi" w:cstheme="minorHAnsi"/>
        </w:rPr>
        <w:t>: Ще доведе ли либерализацията на цените във ВиК сектора до увеличаване на инвестициите</w:t>
      </w:r>
      <w:bookmarkEnd w:id="14"/>
    </w:p>
    <w:p w:rsidR="00B22077" w:rsidRDefault="00B22077" w:rsidP="009C60B0">
      <w:pPr>
        <w:widowControl w:val="0"/>
        <w:autoSpaceDE w:val="0"/>
        <w:autoSpaceDN w:val="0"/>
        <w:adjustRightInd w:val="0"/>
        <w:spacing w:before="240" w:after="0" w:line="238" w:lineRule="auto"/>
        <w:ind w:right="125"/>
        <w:jc w:val="both"/>
        <w:rPr>
          <w:rFonts w:ascii="Calibri" w:eastAsia="Calibri" w:hAnsi="Calibri" w:cs="Calibri"/>
          <w:bCs/>
          <w:lang w:eastAsia="bg-BG"/>
        </w:rPr>
      </w:pPr>
      <w:r>
        <w:rPr>
          <w:rFonts w:ascii="Calibri" w:eastAsia="Calibri" w:hAnsi="Calibri" w:cs="Calibri"/>
          <w:bCs/>
          <w:noProof/>
          <w:lang w:eastAsia="bg-BG"/>
        </w:rPr>
        <w:drawing>
          <wp:inline distT="0" distB="0" distL="0" distR="0">
            <wp:extent cx="5501640" cy="2491740"/>
            <wp:effectExtent l="19050" t="0" r="381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3" cstate="print"/>
                    <a:srcRect/>
                    <a:stretch>
                      <a:fillRect/>
                    </a:stretch>
                  </pic:blipFill>
                  <pic:spPr bwMode="auto">
                    <a:xfrm>
                      <a:off x="0" y="0"/>
                      <a:ext cx="5501640" cy="2491740"/>
                    </a:xfrm>
                    <a:prstGeom prst="rect">
                      <a:avLst/>
                    </a:prstGeom>
                    <a:noFill/>
                  </pic:spPr>
                </pic:pic>
              </a:graphicData>
            </a:graphic>
          </wp:inline>
        </w:drawing>
      </w:r>
    </w:p>
    <w:p w:rsidR="0000262E" w:rsidRDefault="0000262E" w:rsidP="009E6215">
      <w:pPr>
        <w:widowControl w:val="0"/>
        <w:autoSpaceDE w:val="0"/>
        <w:autoSpaceDN w:val="0"/>
        <w:adjustRightInd w:val="0"/>
        <w:spacing w:after="0" w:line="238" w:lineRule="auto"/>
        <w:ind w:right="125"/>
        <w:jc w:val="both"/>
        <w:rPr>
          <w:rFonts w:ascii="Calibri" w:eastAsia="Calibri" w:hAnsi="Calibri" w:cs="Calibri"/>
          <w:bCs/>
          <w:lang w:eastAsia="bg-BG"/>
        </w:rPr>
      </w:pPr>
    </w:p>
    <w:p w:rsidR="00B22077" w:rsidRDefault="00B22077" w:rsidP="009E6215">
      <w:pPr>
        <w:widowControl w:val="0"/>
        <w:autoSpaceDE w:val="0"/>
        <w:autoSpaceDN w:val="0"/>
        <w:adjustRightInd w:val="0"/>
        <w:spacing w:after="0" w:line="238" w:lineRule="auto"/>
        <w:ind w:right="125"/>
        <w:jc w:val="both"/>
        <w:rPr>
          <w:rFonts w:ascii="Calibri" w:eastAsia="Calibri" w:hAnsi="Calibri" w:cs="Calibri"/>
          <w:bCs/>
          <w:lang w:eastAsia="bg-BG"/>
        </w:rPr>
      </w:pPr>
    </w:p>
    <w:p w:rsidR="009E6215" w:rsidRDefault="009E6215" w:rsidP="009E6215">
      <w:pPr>
        <w:widowControl w:val="0"/>
        <w:autoSpaceDE w:val="0"/>
        <w:autoSpaceDN w:val="0"/>
        <w:adjustRightInd w:val="0"/>
        <w:spacing w:after="0" w:line="238" w:lineRule="auto"/>
        <w:ind w:right="125"/>
        <w:jc w:val="both"/>
        <w:rPr>
          <w:rFonts w:ascii="Calibri" w:eastAsia="Calibri" w:hAnsi="Calibri" w:cs="Calibri"/>
          <w:bCs/>
          <w:lang w:eastAsia="bg-BG"/>
        </w:rPr>
      </w:pPr>
      <w:r w:rsidRPr="009E6215">
        <w:rPr>
          <w:rFonts w:ascii="Calibri" w:eastAsia="Calibri" w:hAnsi="Calibri" w:cs="Calibri"/>
          <w:bCs/>
          <w:lang w:eastAsia="bg-BG"/>
        </w:rPr>
        <w:t xml:space="preserve">Неизпълнението на инвестиционните програми в утвърдените бизнес планове се дължи </w:t>
      </w:r>
      <w:r w:rsidR="00917BB0">
        <w:rPr>
          <w:rFonts w:ascii="Calibri" w:eastAsia="Calibri" w:hAnsi="Calibri" w:cs="Calibri"/>
          <w:bCs/>
          <w:lang w:eastAsia="bg-BG"/>
        </w:rPr>
        <w:t xml:space="preserve">също </w:t>
      </w:r>
      <w:r w:rsidRPr="009E6215">
        <w:rPr>
          <w:rFonts w:ascii="Calibri" w:eastAsia="Calibri" w:hAnsi="Calibri" w:cs="Calibri"/>
          <w:bCs/>
          <w:lang w:eastAsia="bg-BG"/>
        </w:rPr>
        <w:lastRenderedPageBreak/>
        <w:t>и на факта, че инвестиционните намерения на принципалите нерядко се разминават с възможностите и приоритетите им, което от своя страна натоварва операторите с непред</w:t>
      </w:r>
      <w:r w:rsidR="009C60B0">
        <w:rPr>
          <w:rFonts w:ascii="Calibri" w:eastAsia="Calibri" w:hAnsi="Calibri" w:cs="Calibri"/>
          <w:bCs/>
          <w:lang w:eastAsia="bg-BG"/>
        </w:rPr>
        <w:t>видени разходи и мероприятия.</w:t>
      </w:r>
    </w:p>
    <w:p w:rsidR="009E6215" w:rsidRPr="009E6215" w:rsidRDefault="009E6215" w:rsidP="009E6215">
      <w:pPr>
        <w:widowControl w:val="0"/>
        <w:autoSpaceDE w:val="0"/>
        <w:autoSpaceDN w:val="0"/>
        <w:adjustRightInd w:val="0"/>
        <w:spacing w:after="0" w:line="238" w:lineRule="auto"/>
        <w:ind w:right="125"/>
        <w:jc w:val="both"/>
        <w:rPr>
          <w:rFonts w:ascii="Calibri" w:eastAsia="Calibri" w:hAnsi="Calibri" w:cs="Calibri"/>
          <w:bCs/>
          <w:lang w:eastAsia="bg-BG"/>
        </w:rPr>
      </w:pPr>
    </w:p>
    <w:p w:rsidR="009E6215" w:rsidRPr="001C7643" w:rsidRDefault="009E6215" w:rsidP="009E6215">
      <w:pPr>
        <w:pStyle w:val="Caption"/>
        <w:spacing w:after="240"/>
        <w:ind w:firstLine="708"/>
        <w:rPr>
          <w:sz w:val="24"/>
          <w:szCs w:val="24"/>
        </w:rPr>
      </w:pPr>
      <w:bookmarkStart w:id="15" w:name="_Toc399494883"/>
      <w:r w:rsidRPr="00325089">
        <w:rPr>
          <w:rFonts w:asciiTheme="minorHAnsi" w:hAnsiTheme="minorHAnsi" w:cstheme="minorHAnsi"/>
        </w:rPr>
        <w:t xml:space="preserve">Таблица </w:t>
      </w:r>
      <w:r w:rsidR="008E6461" w:rsidRPr="00325089">
        <w:rPr>
          <w:rFonts w:asciiTheme="minorHAnsi" w:hAnsiTheme="minorHAnsi" w:cstheme="minorHAnsi"/>
        </w:rPr>
        <w:fldChar w:fldCharType="begin"/>
      </w:r>
      <w:r w:rsidRPr="00325089">
        <w:rPr>
          <w:rFonts w:asciiTheme="minorHAnsi" w:hAnsiTheme="minorHAnsi" w:cstheme="minorHAnsi"/>
        </w:rPr>
        <w:instrText xml:space="preserve"> SEQ таблица \* ARABIC </w:instrText>
      </w:r>
      <w:r w:rsidR="008E6461" w:rsidRPr="00325089">
        <w:rPr>
          <w:rFonts w:asciiTheme="minorHAnsi" w:hAnsiTheme="minorHAnsi" w:cstheme="minorHAnsi"/>
        </w:rPr>
        <w:fldChar w:fldCharType="separate"/>
      </w:r>
      <w:r w:rsidR="003A69A7">
        <w:rPr>
          <w:rFonts w:asciiTheme="minorHAnsi" w:hAnsiTheme="minorHAnsi" w:cstheme="minorHAnsi"/>
          <w:noProof/>
        </w:rPr>
        <w:t>3</w:t>
      </w:r>
      <w:r w:rsidR="008E6461" w:rsidRPr="00325089">
        <w:rPr>
          <w:rFonts w:asciiTheme="minorHAnsi" w:hAnsiTheme="minorHAnsi" w:cstheme="minorHAnsi"/>
        </w:rPr>
        <w:fldChar w:fldCharType="end"/>
      </w:r>
      <w:r>
        <w:rPr>
          <w:rFonts w:asciiTheme="minorHAnsi" w:hAnsiTheme="minorHAnsi" w:cstheme="minorHAnsi"/>
        </w:rPr>
        <w:t xml:space="preserve">: </w:t>
      </w:r>
      <w:r w:rsidRPr="009E6215">
        <w:rPr>
          <w:rFonts w:asciiTheme="minorHAnsi" w:hAnsiTheme="minorHAnsi" w:cstheme="minorHAnsi"/>
        </w:rPr>
        <w:t>Изпълнение на планираните инвестиции от ВиК дружествата</w:t>
      </w:r>
      <w:r>
        <w:rPr>
          <w:rStyle w:val="FootnoteReference"/>
          <w:rFonts w:asciiTheme="minorHAnsi" w:hAnsiTheme="minorHAnsi" w:cstheme="minorHAnsi"/>
        </w:rPr>
        <w:footnoteReference w:id="10"/>
      </w:r>
      <w:bookmarkEnd w:id="15"/>
      <w:r w:rsidRPr="001C7643">
        <w:rPr>
          <w:sz w:val="24"/>
          <w:szCs w:val="24"/>
        </w:rPr>
        <w:t xml:space="preserve"> </w:t>
      </w:r>
    </w:p>
    <w:tbl>
      <w:tblPr>
        <w:tblStyle w:val="LightGrid-Accent11"/>
        <w:tblW w:w="8100" w:type="dxa"/>
        <w:jc w:val="center"/>
        <w:tblLayout w:type="fixed"/>
        <w:tblLook w:val="0000" w:firstRow="0" w:lastRow="0" w:firstColumn="0" w:lastColumn="0" w:noHBand="0" w:noVBand="0"/>
      </w:tblPr>
      <w:tblGrid>
        <w:gridCol w:w="4080"/>
        <w:gridCol w:w="1340"/>
        <w:gridCol w:w="1340"/>
        <w:gridCol w:w="1340"/>
      </w:tblGrid>
      <w:tr w:rsidR="009E6215" w:rsidRPr="001C7643" w:rsidTr="009E6215">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9E6215" w:rsidRPr="001C7643" w:rsidRDefault="009E6215" w:rsidP="009E6215"/>
        </w:tc>
        <w:tc>
          <w:tcPr>
            <w:tcW w:w="1340" w:type="dxa"/>
            <w:noWrap/>
          </w:tcPr>
          <w:p w:rsidR="009E6215" w:rsidRPr="001C7643" w:rsidRDefault="009E6215" w:rsidP="009E6215">
            <w:pPr>
              <w:jc w:val="center"/>
              <w:cnfStyle w:val="000000100000" w:firstRow="0" w:lastRow="0" w:firstColumn="0" w:lastColumn="0" w:oddVBand="0" w:evenVBand="0" w:oddHBand="1" w:evenHBand="0" w:firstRowFirstColumn="0" w:firstRowLastColumn="0" w:lastRowFirstColumn="0" w:lastRowLastColumn="0"/>
              <w:rPr>
                <w:b/>
                <w:bCs/>
              </w:rPr>
            </w:pPr>
            <w:r w:rsidRPr="001C7643">
              <w:rPr>
                <w:b/>
                <w:bCs/>
              </w:rPr>
              <w:t>2007*</w:t>
            </w:r>
          </w:p>
        </w:tc>
        <w:tc>
          <w:tcPr>
            <w:cnfStyle w:val="000010000000" w:firstRow="0" w:lastRow="0" w:firstColumn="0" w:lastColumn="0" w:oddVBand="1" w:evenVBand="0" w:oddHBand="0" w:evenHBand="0" w:firstRowFirstColumn="0" w:firstRowLastColumn="0" w:lastRowFirstColumn="0" w:lastRowLastColumn="0"/>
            <w:tcW w:w="1340" w:type="dxa"/>
            <w:noWrap/>
          </w:tcPr>
          <w:p w:rsidR="009E6215" w:rsidRPr="001C7643" w:rsidRDefault="009E6215" w:rsidP="009E6215">
            <w:pPr>
              <w:jc w:val="center"/>
              <w:rPr>
                <w:b/>
                <w:bCs/>
              </w:rPr>
            </w:pPr>
            <w:r w:rsidRPr="001C7643">
              <w:rPr>
                <w:b/>
                <w:bCs/>
              </w:rPr>
              <w:t>2008*</w:t>
            </w:r>
          </w:p>
        </w:tc>
        <w:tc>
          <w:tcPr>
            <w:tcW w:w="1340" w:type="dxa"/>
            <w:noWrap/>
          </w:tcPr>
          <w:p w:rsidR="009E6215" w:rsidRPr="001C7643" w:rsidRDefault="009E6215" w:rsidP="009E6215">
            <w:pPr>
              <w:jc w:val="center"/>
              <w:cnfStyle w:val="000000100000" w:firstRow="0" w:lastRow="0" w:firstColumn="0" w:lastColumn="0" w:oddVBand="0" w:evenVBand="0" w:oddHBand="1" w:evenHBand="0" w:firstRowFirstColumn="0" w:firstRowLastColumn="0" w:lastRowFirstColumn="0" w:lastRowLastColumn="0"/>
              <w:rPr>
                <w:b/>
                <w:bCs/>
              </w:rPr>
            </w:pPr>
            <w:r w:rsidRPr="001C7643">
              <w:rPr>
                <w:b/>
                <w:bCs/>
              </w:rPr>
              <w:t>2009**</w:t>
            </w:r>
          </w:p>
        </w:tc>
      </w:tr>
      <w:tr w:rsidR="009E6215" w:rsidRPr="001C7643" w:rsidTr="009E6215">
        <w:trPr>
          <w:cnfStyle w:val="000000010000" w:firstRow="0" w:lastRow="0" w:firstColumn="0" w:lastColumn="0" w:oddVBand="0" w:evenVBand="0" w:oddHBand="0" w:evenHBand="1"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9E6215" w:rsidRPr="001C7643" w:rsidRDefault="009E6215" w:rsidP="009E6215">
            <w:r w:rsidRPr="001C7643">
              <w:t>Планирани инвестиции (хил.</w:t>
            </w:r>
            <w:r>
              <w:t xml:space="preserve"> </w:t>
            </w:r>
            <w:r w:rsidRPr="001C7643">
              <w:t>лв.)</w:t>
            </w:r>
          </w:p>
        </w:tc>
        <w:tc>
          <w:tcPr>
            <w:tcW w:w="1340" w:type="dxa"/>
            <w:noWrap/>
          </w:tcPr>
          <w:p w:rsidR="009E6215" w:rsidRPr="001C7643" w:rsidRDefault="009E6215" w:rsidP="009E6215">
            <w:pPr>
              <w:jc w:val="right"/>
              <w:cnfStyle w:val="000000010000" w:firstRow="0" w:lastRow="0" w:firstColumn="0" w:lastColumn="0" w:oddVBand="0" w:evenVBand="0" w:oddHBand="0" w:evenHBand="1" w:firstRowFirstColumn="0" w:firstRowLastColumn="0" w:lastRowFirstColumn="0" w:lastRowLastColumn="0"/>
              <w:rPr>
                <w:sz w:val="20"/>
                <w:szCs w:val="20"/>
              </w:rPr>
            </w:pPr>
            <w:r w:rsidRPr="001C7643">
              <w:rPr>
                <w:sz w:val="20"/>
                <w:szCs w:val="20"/>
              </w:rPr>
              <w:t>166 164</w:t>
            </w:r>
          </w:p>
        </w:tc>
        <w:tc>
          <w:tcPr>
            <w:cnfStyle w:val="000010000000" w:firstRow="0" w:lastRow="0" w:firstColumn="0" w:lastColumn="0" w:oddVBand="1" w:evenVBand="0" w:oddHBand="0" w:evenHBand="0" w:firstRowFirstColumn="0" w:firstRowLastColumn="0" w:lastRowFirstColumn="0" w:lastRowLastColumn="0"/>
            <w:tcW w:w="1340" w:type="dxa"/>
            <w:noWrap/>
          </w:tcPr>
          <w:p w:rsidR="009E6215" w:rsidRPr="001C7643" w:rsidRDefault="009E6215" w:rsidP="009E6215">
            <w:pPr>
              <w:jc w:val="right"/>
              <w:rPr>
                <w:sz w:val="20"/>
                <w:szCs w:val="20"/>
              </w:rPr>
            </w:pPr>
            <w:r w:rsidRPr="001C7643">
              <w:rPr>
                <w:sz w:val="20"/>
                <w:szCs w:val="20"/>
              </w:rPr>
              <w:t>250 293</w:t>
            </w:r>
          </w:p>
        </w:tc>
        <w:tc>
          <w:tcPr>
            <w:tcW w:w="1340" w:type="dxa"/>
            <w:noWrap/>
          </w:tcPr>
          <w:p w:rsidR="009E6215" w:rsidRPr="001C7643" w:rsidRDefault="009E6215" w:rsidP="009E6215">
            <w:pPr>
              <w:jc w:val="right"/>
              <w:cnfStyle w:val="000000010000" w:firstRow="0" w:lastRow="0" w:firstColumn="0" w:lastColumn="0" w:oddVBand="0" w:evenVBand="0" w:oddHBand="0" w:evenHBand="1" w:firstRowFirstColumn="0" w:firstRowLastColumn="0" w:lastRowFirstColumn="0" w:lastRowLastColumn="0"/>
              <w:rPr>
                <w:sz w:val="20"/>
                <w:szCs w:val="20"/>
              </w:rPr>
            </w:pPr>
            <w:r w:rsidRPr="001C7643">
              <w:rPr>
                <w:sz w:val="20"/>
                <w:szCs w:val="20"/>
              </w:rPr>
              <w:t>522 939</w:t>
            </w:r>
          </w:p>
        </w:tc>
      </w:tr>
      <w:tr w:rsidR="009E6215" w:rsidRPr="001C7643" w:rsidTr="009E6215">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9E6215" w:rsidRPr="001C7643" w:rsidRDefault="009E6215" w:rsidP="009E6215">
            <w:r w:rsidRPr="001C7643">
              <w:t>Изпълнени инвестиции (хил.</w:t>
            </w:r>
            <w:r>
              <w:t xml:space="preserve"> </w:t>
            </w:r>
            <w:r w:rsidRPr="001C7643">
              <w:t>лв.)</w:t>
            </w:r>
          </w:p>
        </w:tc>
        <w:tc>
          <w:tcPr>
            <w:tcW w:w="1340" w:type="dxa"/>
            <w:noWrap/>
          </w:tcPr>
          <w:p w:rsidR="009E6215" w:rsidRPr="001C7643" w:rsidRDefault="009E6215" w:rsidP="009E6215">
            <w:pPr>
              <w:jc w:val="right"/>
              <w:cnfStyle w:val="000000100000" w:firstRow="0" w:lastRow="0" w:firstColumn="0" w:lastColumn="0" w:oddVBand="0" w:evenVBand="0" w:oddHBand="1" w:evenHBand="0" w:firstRowFirstColumn="0" w:firstRowLastColumn="0" w:lastRowFirstColumn="0" w:lastRowLastColumn="0"/>
              <w:rPr>
                <w:sz w:val="20"/>
                <w:szCs w:val="20"/>
              </w:rPr>
            </w:pPr>
            <w:r w:rsidRPr="001C7643">
              <w:rPr>
                <w:sz w:val="20"/>
                <w:szCs w:val="20"/>
              </w:rPr>
              <w:t>45 782</w:t>
            </w:r>
          </w:p>
        </w:tc>
        <w:tc>
          <w:tcPr>
            <w:cnfStyle w:val="000010000000" w:firstRow="0" w:lastRow="0" w:firstColumn="0" w:lastColumn="0" w:oddVBand="1" w:evenVBand="0" w:oddHBand="0" w:evenHBand="0" w:firstRowFirstColumn="0" w:firstRowLastColumn="0" w:lastRowFirstColumn="0" w:lastRowLastColumn="0"/>
            <w:tcW w:w="1340" w:type="dxa"/>
            <w:noWrap/>
          </w:tcPr>
          <w:p w:rsidR="009E6215" w:rsidRPr="001C7643" w:rsidRDefault="009E6215" w:rsidP="009E6215">
            <w:pPr>
              <w:jc w:val="right"/>
              <w:rPr>
                <w:sz w:val="20"/>
                <w:szCs w:val="20"/>
              </w:rPr>
            </w:pPr>
            <w:r w:rsidRPr="001C7643">
              <w:rPr>
                <w:sz w:val="20"/>
                <w:szCs w:val="20"/>
              </w:rPr>
              <w:t>44 080</w:t>
            </w:r>
          </w:p>
        </w:tc>
        <w:tc>
          <w:tcPr>
            <w:tcW w:w="1340" w:type="dxa"/>
            <w:noWrap/>
          </w:tcPr>
          <w:p w:rsidR="009E6215" w:rsidRPr="001C7643" w:rsidRDefault="009E6215" w:rsidP="009E6215">
            <w:pPr>
              <w:jc w:val="right"/>
              <w:cnfStyle w:val="000000100000" w:firstRow="0" w:lastRow="0" w:firstColumn="0" w:lastColumn="0" w:oddVBand="0" w:evenVBand="0" w:oddHBand="1" w:evenHBand="0" w:firstRowFirstColumn="0" w:firstRowLastColumn="0" w:lastRowFirstColumn="0" w:lastRowLastColumn="0"/>
              <w:rPr>
                <w:sz w:val="20"/>
                <w:szCs w:val="20"/>
              </w:rPr>
            </w:pPr>
            <w:r w:rsidRPr="001C7643">
              <w:rPr>
                <w:sz w:val="20"/>
                <w:szCs w:val="20"/>
              </w:rPr>
              <w:t>98 316</w:t>
            </w:r>
          </w:p>
        </w:tc>
      </w:tr>
      <w:tr w:rsidR="009E6215" w:rsidRPr="001C7643" w:rsidTr="009E6215">
        <w:trPr>
          <w:cnfStyle w:val="000000010000" w:firstRow="0" w:lastRow="0" w:firstColumn="0" w:lastColumn="0" w:oddVBand="0" w:evenVBand="0" w:oddHBand="0" w:evenHBand="1"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9E6215" w:rsidRPr="001C7643" w:rsidRDefault="009E6215" w:rsidP="009E6215">
            <w:r w:rsidRPr="001C7643">
              <w:t>Изпълнени / планирани инвестиции</w:t>
            </w:r>
          </w:p>
        </w:tc>
        <w:tc>
          <w:tcPr>
            <w:tcW w:w="1340" w:type="dxa"/>
            <w:noWrap/>
          </w:tcPr>
          <w:p w:rsidR="009E6215" w:rsidRPr="001C7643" w:rsidRDefault="009E6215" w:rsidP="009E6215">
            <w:pPr>
              <w:jc w:val="right"/>
              <w:cnfStyle w:val="000000010000" w:firstRow="0" w:lastRow="0" w:firstColumn="0" w:lastColumn="0" w:oddVBand="0" w:evenVBand="0" w:oddHBand="0" w:evenHBand="1" w:firstRowFirstColumn="0" w:firstRowLastColumn="0" w:lastRowFirstColumn="0" w:lastRowLastColumn="0"/>
              <w:rPr>
                <w:sz w:val="20"/>
                <w:szCs w:val="20"/>
              </w:rPr>
            </w:pPr>
            <w:r w:rsidRPr="001C7643">
              <w:rPr>
                <w:sz w:val="20"/>
                <w:szCs w:val="20"/>
              </w:rPr>
              <w:t>27,6%</w:t>
            </w:r>
          </w:p>
        </w:tc>
        <w:tc>
          <w:tcPr>
            <w:cnfStyle w:val="000010000000" w:firstRow="0" w:lastRow="0" w:firstColumn="0" w:lastColumn="0" w:oddVBand="1" w:evenVBand="0" w:oddHBand="0" w:evenHBand="0" w:firstRowFirstColumn="0" w:firstRowLastColumn="0" w:lastRowFirstColumn="0" w:lastRowLastColumn="0"/>
            <w:tcW w:w="1340" w:type="dxa"/>
            <w:noWrap/>
          </w:tcPr>
          <w:p w:rsidR="009E6215" w:rsidRPr="001C7643" w:rsidRDefault="009E6215" w:rsidP="009E6215">
            <w:pPr>
              <w:jc w:val="right"/>
              <w:rPr>
                <w:sz w:val="20"/>
                <w:szCs w:val="20"/>
              </w:rPr>
            </w:pPr>
            <w:r w:rsidRPr="001C7643">
              <w:rPr>
                <w:sz w:val="20"/>
                <w:szCs w:val="20"/>
              </w:rPr>
              <w:t>17,6%</w:t>
            </w:r>
          </w:p>
        </w:tc>
        <w:tc>
          <w:tcPr>
            <w:tcW w:w="1340" w:type="dxa"/>
            <w:noWrap/>
          </w:tcPr>
          <w:p w:rsidR="009E6215" w:rsidRPr="001C7643" w:rsidRDefault="009E6215" w:rsidP="009E6215">
            <w:pPr>
              <w:jc w:val="right"/>
              <w:cnfStyle w:val="000000010000" w:firstRow="0" w:lastRow="0" w:firstColumn="0" w:lastColumn="0" w:oddVBand="0" w:evenVBand="0" w:oddHBand="0" w:evenHBand="1" w:firstRowFirstColumn="0" w:firstRowLastColumn="0" w:lastRowFirstColumn="0" w:lastRowLastColumn="0"/>
              <w:rPr>
                <w:sz w:val="20"/>
                <w:szCs w:val="20"/>
              </w:rPr>
            </w:pPr>
            <w:r w:rsidRPr="001C7643">
              <w:rPr>
                <w:sz w:val="20"/>
                <w:szCs w:val="20"/>
              </w:rPr>
              <w:t>18,8%</w:t>
            </w:r>
          </w:p>
        </w:tc>
      </w:tr>
    </w:tbl>
    <w:p w:rsidR="009E6215" w:rsidRPr="00EB3625" w:rsidRDefault="009E6215" w:rsidP="00107B8E">
      <w:pPr>
        <w:spacing w:after="0"/>
        <w:jc w:val="both"/>
        <w:rPr>
          <w:i/>
          <w:iCs/>
          <w:color w:val="000000"/>
          <w:sz w:val="20"/>
          <w:szCs w:val="20"/>
        </w:rPr>
      </w:pPr>
      <w:r w:rsidRPr="00EB3625">
        <w:rPr>
          <w:i/>
          <w:iCs/>
          <w:color w:val="000000"/>
          <w:sz w:val="20"/>
          <w:szCs w:val="20"/>
        </w:rPr>
        <w:t xml:space="preserve"> </w:t>
      </w:r>
      <w:r w:rsidRPr="00EB3625">
        <w:rPr>
          <w:i/>
          <w:iCs/>
          <w:color w:val="000000"/>
          <w:sz w:val="20"/>
          <w:szCs w:val="20"/>
        </w:rPr>
        <w:tab/>
        <w:t xml:space="preserve"> Бележка:      * извадка от 52 дружества</w:t>
      </w:r>
      <w:r w:rsidR="00107B8E">
        <w:rPr>
          <w:i/>
          <w:iCs/>
          <w:color w:val="000000"/>
          <w:sz w:val="20"/>
          <w:szCs w:val="20"/>
        </w:rPr>
        <w:t xml:space="preserve">; </w:t>
      </w:r>
      <w:r w:rsidRPr="00EB3625">
        <w:rPr>
          <w:i/>
          <w:iCs/>
          <w:color w:val="000000"/>
          <w:sz w:val="20"/>
          <w:szCs w:val="20"/>
        </w:rPr>
        <w:t>** извадка от 50 дружества</w:t>
      </w:r>
    </w:p>
    <w:p w:rsidR="009E6215" w:rsidRDefault="009E6215" w:rsidP="009E6215">
      <w:pPr>
        <w:widowControl w:val="0"/>
        <w:autoSpaceDE w:val="0"/>
        <w:autoSpaceDN w:val="0"/>
        <w:adjustRightInd w:val="0"/>
        <w:spacing w:after="0" w:line="238" w:lineRule="auto"/>
        <w:ind w:right="125"/>
        <w:jc w:val="both"/>
        <w:rPr>
          <w:rFonts w:ascii="Calibri" w:eastAsia="Calibri" w:hAnsi="Calibri" w:cs="Calibri"/>
          <w:bCs/>
          <w:lang w:eastAsia="bg-BG"/>
        </w:rPr>
      </w:pPr>
    </w:p>
    <w:p w:rsidR="00917BB0" w:rsidRPr="00107B8E" w:rsidRDefault="00917BB0" w:rsidP="00917BB0">
      <w:pPr>
        <w:spacing w:after="120"/>
        <w:jc w:val="both"/>
        <w:rPr>
          <w:rFonts w:ascii="Calibri" w:hAnsi="Calibri" w:cs="Calibri"/>
          <w:color w:val="000000"/>
          <w:lang w:val="en-US"/>
        </w:rPr>
      </w:pPr>
      <w:r w:rsidRPr="00107B8E">
        <w:rPr>
          <w:rFonts w:ascii="Calibri" w:hAnsi="Calibri" w:cs="Calibri"/>
          <w:color w:val="000000"/>
        </w:rPr>
        <w:t xml:space="preserve">Инвестициите във ВиК дружествата могат да се финансират основно от два източника: 1) собствени средства – средства от амортизационни отчисления, от печалба и от заемни средства; и 2) целеви средства, предоставяни по програми, финансирани от EС </w:t>
      </w:r>
      <w:r w:rsidR="009C60B0" w:rsidRPr="00107B8E">
        <w:rPr>
          <w:rFonts w:ascii="Calibri" w:hAnsi="Calibri" w:cs="Calibri"/>
          <w:color w:val="000000"/>
        </w:rPr>
        <w:t>или чрез фондове към МРР</w:t>
      </w:r>
      <w:r w:rsidRPr="00107B8E">
        <w:rPr>
          <w:rFonts w:ascii="Calibri" w:hAnsi="Calibri" w:cs="Calibri"/>
          <w:color w:val="000000"/>
        </w:rPr>
        <w:t xml:space="preserve">. </w:t>
      </w:r>
      <w:r w:rsidRPr="00107B8E">
        <w:rPr>
          <w:rFonts w:ascii="Calibri" w:hAnsi="Calibri" w:cs="Calibri"/>
        </w:rPr>
        <w:t>И</w:t>
      </w:r>
      <w:r w:rsidRPr="00107B8E">
        <w:rPr>
          <w:rFonts w:ascii="Calibri" w:hAnsi="Calibri" w:cs="Calibri"/>
          <w:color w:val="000000"/>
        </w:rPr>
        <w:t xml:space="preserve">нвестициите във ВиК отрасъла се правят за основен ремонт и реконструкция на съществуващи водоснабдителни, канализационни и пречиствателни съоръжения. Основната причина е, че все още не е решен проблемът със собствеността на ВиК системите и съоръженията, които </w:t>
      </w:r>
      <w:r w:rsidRPr="00107B8E">
        <w:rPr>
          <w:rFonts w:ascii="Calibri" w:hAnsi="Calibri" w:cs="Calibri"/>
        </w:rPr>
        <w:t xml:space="preserve">трябва да се прехвърлят на общините или държавата, а ВиК дружествата да функционират като оператори, които ги използват и поддържат. Това е и основната причина ВиК дружествата, които </w:t>
      </w:r>
      <w:r w:rsidRPr="00107B8E">
        <w:rPr>
          <w:rFonts w:ascii="Calibri" w:hAnsi="Calibri" w:cs="Calibri"/>
          <w:color w:val="000000"/>
        </w:rPr>
        <w:t>разполагат и/или имат достъп до средства, да не финансират свои инвестиционни намерения. Никое от дружествата не е пренебрегнало инвестиционното си намерение за сметка на разпределяне на дивидент или заделяне на резерви - особено средствата от фонд резервен, които обикновено се използват точно за тази цел.</w:t>
      </w:r>
    </w:p>
    <w:p w:rsidR="00F15AC0" w:rsidRPr="00107B8E" w:rsidRDefault="00896C88" w:rsidP="00D85AED">
      <w:pPr>
        <w:spacing w:before="240" w:after="200" w:line="276" w:lineRule="auto"/>
        <w:jc w:val="both"/>
        <w:rPr>
          <w:rFonts w:ascii="Calibri" w:eastAsia="Calibri" w:hAnsi="Calibri" w:cs="Calibri"/>
          <w:bCs/>
          <w:lang w:eastAsia="bg-BG"/>
        </w:rPr>
      </w:pPr>
      <w:r>
        <w:rPr>
          <w:rFonts w:ascii="Calibri" w:eastAsia="Calibri" w:hAnsi="Calibri" w:cs="Calibri"/>
          <w:noProof/>
          <w:lang w:eastAsia="bg-BG"/>
        </w:rPr>
        <mc:AlternateContent>
          <mc:Choice Requires="wps">
            <w:drawing>
              <wp:anchor distT="0" distB="0" distL="114300" distR="114300" simplePos="0" relativeHeight="251661312" behindDoc="0" locked="0" layoutInCell="1" allowOverlap="1" wp14:anchorId="25B6F60A">
                <wp:simplePos x="0" y="0"/>
                <wp:positionH relativeFrom="column">
                  <wp:posOffset>14605</wp:posOffset>
                </wp:positionH>
                <wp:positionV relativeFrom="paragraph">
                  <wp:posOffset>1456055</wp:posOffset>
                </wp:positionV>
                <wp:extent cx="5773420" cy="780415"/>
                <wp:effectExtent l="0" t="0" r="36830" b="57785"/>
                <wp:wrapSquare wrapText="bothSides"/>
                <wp:docPr id="20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3420" cy="780415"/>
                        </a:xfrm>
                        <a:prstGeom prst="rect">
                          <a:avLst/>
                        </a:prstGeom>
                        <a:gradFill rotWithShape="0">
                          <a:gsLst>
                            <a:gs pos="0">
                              <a:srgbClr val="95B3D7"/>
                            </a:gs>
                            <a:gs pos="50000">
                              <a:srgbClr val="DBE5F1"/>
                            </a:gs>
                            <a:gs pos="100000">
                              <a:srgbClr val="95B3D7"/>
                            </a:gs>
                          </a:gsLst>
                          <a:lin ang="189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EA2176" w:rsidRPr="00CB7DDC" w:rsidRDefault="00EA2176" w:rsidP="00CB7DDC">
                            <w:pPr>
                              <w:widowControl w:val="0"/>
                              <w:autoSpaceDE w:val="0"/>
                              <w:autoSpaceDN w:val="0"/>
                              <w:adjustRightInd w:val="0"/>
                              <w:spacing w:after="0" w:line="238" w:lineRule="auto"/>
                              <w:ind w:right="65"/>
                              <w:jc w:val="both"/>
                              <w:rPr>
                                <w:rFonts w:cs="Calibri"/>
                                <w:b/>
                                <w:bCs/>
                              </w:rPr>
                            </w:pPr>
                            <w:r w:rsidRPr="00CB7DDC">
                              <w:rPr>
                                <w:rFonts w:cs="Calibri"/>
                                <w:b/>
                                <w:bCs/>
                                <w:lang w:eastAsia="bg-BG"/>
                              </w:rPr>
                              <w:t>Слабата финансова жизнеспособност и липсата на ефективност пречат на ВиК дружествата да финансират и изпълняват големи програми за капиталови инвестиции, които са необходими за постигане на изискванията за съответствие и необходимите дългосрочни нива на обслужване.</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5B6F60A" id="Text Box 6" o:spid="_x0000_s1027" type="#_x0000_t202" style="position:absolute;left:0;text-align:left;margin-left:1.15pt;margin-top:114.65pt;width:454.6pt;height:61.45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" fillcolor="#95b3d7" strokecolor="#95b3d7" strokeweight="1pt">
                <v:fill color2="#dbe5f1" angle="135" focus="50%" type="gradient"/>
                <v:shadow on="t" color="#243f60" opacity=".5" offset="1pt"/>
                <v:textbox style="mso-fit-shape-to-text:t">
                  <w:txbxContent>
                    <w:p w:rsidR="00EA2176" w:rsidRPr="00CB7DDC" w:rsidRDefault="00EA2176" w:rsidP="00CB7DDC">
                      <w:pPr>
                        <w:widowControl w:val="0"/>
                        <w:autoSpaceDE w:val="0"/>
                        <w:autoSpaceDN w:val="0"/>
                        <w:adjustRightInd w:val="0"/>
                        <w:spacing w:after="0" w:line="238" w:lineRule="auto"/>
                        <w:ind w:right="65"/>
                        <w:jc w:val="both"/>
                        <w:rPr>
                          <w:rFonts w:cs="Calibri"/>
                          <w:b/>
                          <w:bCs/>
                        </w:rPr>
                      </w:pPr>
                      <w:r w:rsidRPr="00CB7DDC">
                        <w:rPr>
                          <w:rFonts w:cs="Calibri"/>
                          <w:b/>
                          <w:bCs/>
                          <w:lang w:eastAsia="bg-BG"/>
                        </w:rPr>
                        <w:t>Слабата финансова жизнеспособност и липсата на ефективност пречат на ВиК дружествата да финансират и изпълняват големи програми за капиталови инвестиции, които са необходими за постигане на изискванията за съответствие и необходимите дългосрочни нива на обслужване.</w:t>
                      </w:r>
                    </w:p>
                  </w:txbxContent>
                </v:textbox>
                <w10:wrap type="square"/>
              </v:shape>
            </w:pict>
          </mc:Fallback>
        </mc:AlternateContent>
      </w:r>
      <w:r w:rsidR="00F15AC0" w:rsidRPr="00107B8E">
        <w:rPr>
          <w:rFonts w:ascii="Calibri" w:eastAsia="Calibri" w:hAnsi="Calibri" w:cs="Calibri"/>
          <w:bCs/>
          <w:lang w:eastAsia="bg-BG"/>
        </w:rPr>
        <w:t>Съгласно методология за предварителна оценка на финансовите инструменти, причините за пазарните неуспехи могат да бъдат различни.</w:t>
      </w:r>
      <w:r w:rsidR="00BA3B11" w:rsidRPr="00107B8E">
        <w:rPr>
          <w:rFonts w:ascii="Calibri" w:eastAsia="Calibri" w:hAnsi="Calibri" w:cs="Calibri"/>
          <w:bCs/>
          <w:lang w:eastAsia="bg-BG"/>
        </w:rPr>
        <w:t xml:space="preserve"> Дефинирането на пазарните неуспехи във ВиК сектора е направено въз основа на том 1 Обща методология, покриваща всички тематични цели</w:t>
      </w:r>
      <w:r w:rsidR="008B4A11" w:rsidRPr="00107B8E">
        <w:rPr>
          <w:rFonts w:ascii="Calibri" w:eastAsia="Calibri" w:hAnsi="Calibri" w:cs="Calibri"/>
          <w:bCs/>
          <w:lang w:eastAsia="bg-BG"/>
        </w:rPr>
        <w:t>,</w:t>
      </w:r>
      <w:r w:rsidR="00BA3B11" w:rsidRPr="00107B8E">
        <w:rPr>
          <w:rFonts w:ascii="Calibri" w:eastAsia="Calibri" w:hAnsi="Calibri" w:cs="Calibri"/>
          <w:bCs/>
          <w:lang w:eastAsia="bg-BG"/>
        </w:rPr>
        <w:t xml:space="preserve"> том 4 методология, </w:t>
      </w:r>
      <w:r w:rsidR="008B4A11" w:rsidRPr="00107B8E">
        <w:rPr>
          <w:rFonts w:ascii="Calibri" w:eastAsia="Calibri" w:hAnsi="Calibri" w:cs="Calibri"/>
          <w:bCs/>
          <w:lang w:eastAsia="bg-BG"/>
        </w:rPr>
        <w:t>свързана със секторите, които имат отношение към ТЦ 4 „Преминаване към нисковъглеродна икономика” и том 5 Финансови инструменти за градско и териториално развитие</w:t>
      </w:r>
      <w:r w:rsidR="000D6B79" w:rsidRPr="00107B8E">
        <w:rPr>
          <w:rStyle w:val="FootnoteReference"/>
          <w:rFonts w:ascii="Calibri" w:eastAsia="Calibri" w:hAnsi="Calibri" w:cs="Calibri"/>
          <w:bCs/>
          <w:lang w:eastAsia="bg-BG"/>
        </w:rPr>
        <w:footnoteReference w:id="11"/>
      </w:r>
      <w:r w:rsidR="008B4A11" w:rsidRPr="00107B8E">
        <w:rPr>
          <w:rFonts w:ascii="Calibri" w:eastAsia="Calibri" w:hAnsi="Calibri" w:cs="Calibri"/>
          <w:bCs/>
          <w:lang w:eastAsia="bg-BG"/>
        </w:rPr>
        <w:t xml:space="preserve">, </w:t>
      </w:r>
      <w:r w:rsidR="00BA3B11" w:rsidRPr="00107B8E">
        <w:rPr>
          <w:rFonts w:ascii="Calibri" w:eastAsia="Calibri" w:hAnsi="Calibri" w:cs="Calibri"/>
          <w:bCs/>
          <w:lang w:eastAsia="bg-BG"/>
        </w:rPr>
        <w:t xml:space="preserve"> както следва</w:t>
      </w:r>
      <w:r w:rsidR="00F15AC0" w:rsidRPr="00107B8E">
        <w:rPr>
          <w:rFonts w:ascii="Calibri" w:eastAsia="Calibri" w:hAnsi="Calibri" w:cs="Calibri"/>
          <w:bCs/>
          <w:lang w:eastAsia="bg-BG"/>
        </w:rPr>
        <w:t>:</w:t>
      </w:r>
    </w:p>
    <w:p w:rsidR="00692155" w:rsidRDefault="00692155" w:rsidP="00F15AC0">
      <w:pPr>
        <w:spacing w:before="120" w:after="120" w:line="240" w:lineRule="auto"/>
        <w:jc w:val="both"/>
        <w:rPr>
          <w:rFonts w:ascii="Calibri" w:eastAsia="Calibri" w:hAnsi="Calibri" w:cs="Calibri"/>
          <w:bCs/>
          <w:lang w:eastAsia="bg-BG"/>
        </w:rPr>
        <w:sectPr w:rsidR="00692155" w:rsidSect="006E39EC">
          <w:pgSz w:w="11906" w:h="16838"/>
          <w:pgMar w:top="1560" w:right="1417" w:bottom="1134" w:left="1417" w:header="708" w:footer="247" w:gutter="0"/>
          <w:cols w:space="708"/>
          <w:titlePg/>
          <w:docGrid w:linePitch="360"/>
        </w:sectPr>
      </w:pPr>
    </w:p>
    <w:p w:rsidR="00F15AC0" w:rsidRPr="00CB7DDC" w:rsidRDefault="00F15AC0" w:rsidP="00F15AC0">
      <w:pPr>
        <w:spacing w:before="120" w:after="120" w:line="240" w:lineRule="auto"/>
        <w:jc w:val="both"/>
        <w:rPr>
          <w:rFonts w:ascii="Calibri" w:eastAsia="Calibri" w:hAnsi="Calibri" w:cs="Calibri"/>
          <w:bCs/>
          <w:lang w:eastAsia="bg-BG"/>
        </w:rPr>
      </w:pPr>
    </w:p>
    <w:tbl>
      <w:tblPr>
        <w:tblStyle w:val="MediumShading2-Accent11"/>
        <w:tblW w:w="14283" w:type="dxa"/>
        <w:tblLook w:val="04A0" w:firstRow="1" w:lastRow="0" w:firstColumn="1" w:lastColumn="0" w:noHBand="0" w:noVBand="1"/>
      </w:tblPr>
      <w:tblGrid>
        <w:gridCol w:w="2497"/>
        <w:gridCol w:w="3707"/>
        <w:gridCol w:w="4131"/>
        <w:gridCol w:w="3948"/>
      </w:tblGrid>
      <w:tr w:rsidR="00487D88" w:rsidRPr="00487D88" w:rsidTr="005F4B1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497" w:type="dxa"/>
          </w:tcPr>
          <w:p w:rsidR="00487D88" w:rsidRPr="00487D88" w:rsidRDefault="00487D88" w:rsidP="00F15AC0">
            <w:pPr>
              <w:spacing w:before="120" w:after="120"/>
              <w:jc w:val="center"/>
              <w:rPr>
                <w:rFonts w:eastAsia="Calibri" w:cstheme="minorHAnsi"/>
                <w:lang w:eastAsia="bg-BG"/>
              </w:rPr>
            </w:pPr>
            <w:r w:rsidRPr="00487D88">
              <w:rPr>
                <w:rFonts w:eastAsia="Calibri" w:cstheme="minorHAnsi"/>
                <w:lang w:eastAsia="bg-BG"/>
              </w:rPr>
              <w:t>Пазарен неуспех</w:t>
            </w:r>
          </w:p>
        </w:tc>
        <w:tc>
          <w:tcPr>
            <w:tcW w:w="3707" w:type="dxa"/>
          </w:tcPr>
          <w:p w:rsidR="00487D88" w:rsidRPr="00487D88" w:rsidRDefault="00487D88" w:rsidP="00F15AC0">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Дефиниция</w:t>
            </w:r>
          </w:p>
        </w:tc>
        <w:tc>
          <w:tcPr>
            <w:tcW w:w="4131" w:type="dxa"/>
          </w:tcPr>
          <w:p w:rsidR="00487D88" w:rsidRPr="00487D88" w:rsidRDefault="00487D88" w:rsidP="00F15AC0">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Обосновка</w:t>
            </w:r>
          </w:p>
        </w:tc>
        <w:tc>
          <w:tcPr>
            <w:tcW w:w="3948" w:type="dxa"/>
          </w:tcPr>
          <w:p w:rsidR="00487D88" w:rsidRPr="00487D88" w:rsidRDefault="00487D88" w:rsidP="00F15AC0">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Резултат</w:t>
            </w:r>
          </w:p>
        </w:tc>
      </w:tr>
      <w:tr w:rsidR="00D27DCE" w:rsidRPr="00487D88" w:rsidTr="005F4B15">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4283" w:type="dxa"/>
            <w:gridSpan w:val="4"/>
          </w:tcPr>
          <w:p w:rsidR="00D27DCE" w:rsidRPr="00487D88" w:rsidRDefault="00D27DCE" w:rsidP="00D27DCE">
            <w:pPr>
              <w:widowControl w:val="0"/>
              <w:autoSpaceDE w:val="0"/>
              <w:autoSpaceDN w:val="0"/>
              <w:adjustRightInd w:val="0"/>
              <w:spacing w:before="240"/>
              <w:ind w:right="64"/>
              <w:jc w:val="center"/>
              <w:rPr>
                <w:rFonts w:eastAsia="Calibri" w:cstheme="minorHAnsi"/>
                <w:spacing w:val="1"/>
              </w:rPr>
            </w:pPr>
            <w:r>
              <w:rPr>
                <w:rFonts w:eastAsia="Calibri" w:cstheme="minorHAnsi"/>
                <w:spacing w:val="1"/>
              </w:rPr>
              <w:t>Структурни неуспехи на икономиката</w:t>
            </w:r>
          </w:p>
        </w:tc>
      </w:tr>
      <w:tr w:rsidR="00D27DCE" w:rsidRPr="00487D88" w:rsidTr="005F4B15">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lang w:eastAsia="bg-BG"/>
              </w:rPr>
            </w:pPr>
            <w:r w:rsidRPr="00487D88">
              <w:rPr>
                <w:rFonts w:eastAsia="Calibri" w:cstheme="minorHAnsi"/>
                <w:lang w:eastAsia="bg-BG"/>
              </w:rPr>
              <w:t>Отрицателни външни ефекти</w:t>
            </w:r>
          </w:p>
        </w:tc>
        <w:tc>
          <w:tcPr>
            <w:tcW w:w="3707" w:type="dxa"/>
          </w:tcPr>
          <w:p w:rsidR="00D27DCE" w:rsidRPr="00487D88" w:rsidRDefault="00D27DCE" w:rsidP="001743FA">
            <w:pPr>
              <w:spacing w:before="120" w:after="120"/>
              <w:jc w:val="both"/>
              <w:cnfStyle w:val="000000000000" w:firstRow="0" w:lastRow="0" w:firstColumn="0" w:lastColumn="0" w:oddVBand="0" w:evenVBand="0" w:oddHBand="0" w:evenHBand="0" w:firstRowFirstColumn="0" w:firstRowLastColumn="0" w:lastRowFirstColumn="0" w:lastRowLastColumn="0"/>
              <w:rPr>
                <w:rFonts w:cstheme="minorHAnsi"/>
              </w:rPr>
            </w:pPr>
            <w:r w:rsidRPr="00487D88">
              <w:rPr>
                <w:rFonts w:cstheme="minorHAnsi"/>
              </w:rPr>
              <w:t xml:space="preserve">Отрицателният външен ефект е цената, която се понася от трета страна в резултат от икономическа сделка. Външният ефект се дължи на това, че участниците в сделката не асоциират всички свързани разходи. </w:t>
            </w:r>
          </w:p>
          <w:p w:rsidR="00D27DCE" w:rsidRPr="00487D88" w:rsidRDefault="00D27DCE" w:rsidP="00A57B17">
            <w:pPr>
              <w:spacing w:before="120" w:after="120"/>
              <w:jc w:val="both"/>
              <w:cnfStyle w:val="000000000000" w:firstRow="0" w:lastRow="0" w:firstColumn="0" w:lastColumn="0" w:oddVBand="0" w:evenVBand="0" w:oddHBand="0" w:evenHBand="0" w:firstRowFirstColumn="0" w:firstRowLastColumn="0" w:lastRowFirstColumn="0" w:lastRowLastColumn="0"/>
              <w:rPr>
                <w:rFonts w:cstheme="minorHAnsi"/>
              </w:rPr>
            </w:pPr>
            <w:r w:rsidRPr="00487D88">
              <w:rPr>
                <w:rFonts w:cstheme="minorHAnsi"/>
              </w:rPr>
              <w:t>Наличието на отрицателен външен фактор означава, че частният сектор/участник/ползвател не е особено заинтересован да инвестира, за да намали негативния ефект, тъй като не понася пълната цена. Това означава, че е налице пазарен неуспех и съществува публична подкрепа.</w:t>
            </w:r>
          </w:p>
        </w:tc>
        <w:tc>
          <w:tcPr>
            <w:tcW w:w="4131" w:type="dxa"/>
          </w:tcPr>
          <w:p w:rsidR="005F4B15" w:rsidRDefault="005F4B15" w:rsidP="009C1CFD">
            <w:pPr>
              <w:numPr>
                <w:ilvl w:val="0"/>
                <w:numId w:val="12"/>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Pr>
                <w:rFonts w:eastAsia="Calibri" w:cstheme="minorHAnsi"/>
                <w:bCs/>
                <w:lang w:eastAsia="bg-BG"/>
              </w:rPr>
              <w:t xml:space="preserve">ВиК дружествата не са склонни да инвестират за сметка </w:t>
            </w:r>
            <w:r>
              <w:rPr>
                <w:color w:val="000000"/>
              </w:rPr>
              <w:t>на разпределяне на дивидент или заделяне на резерви, което води до неизпълнение на инвестиционните им програми</w:t>
            </w:r>
            <w:r>
              <w:rPr>
                <w:rFonts w:eastAsia="Calibri" w:cstheme="minorHAnsi"/>
                <w:bCs/>
                <w:lang w:eastAsia="bg-BG"/>
              </w:rPr>
              <w:t xml:space="preserve"> </w:t>
            </w:r>
          </w:p>
          <w:p w:rsidR="001743FA" w:rsidRPr="005F4B15" w:rsidRDefault="001743FA" w:rsidP="009C1CFD">
            <w:pPr>
              <w:numPr>
                <w:ilvl w:val="0"/>
                <w:numId w:val="12"/>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Pr>
                <w:rFonts w:eastAsia="Calibri" w:cstheme="minorHAnsi"/>
                <w:bCs/>
                <w:lang w:eastAsia="bg-BG"/>
              </w:rPr>
              <w:t>Липсва задължение крайните потребители на ВиК услуги да се присъединяват към канализационната  мрежа, което означава, че те не винаги са заинтересовани да инвестират в мерки за намаляване замърсяването от отпадъчни води</w:t>
            </w:r>
          </w:p>
        </w:tc>
        <w:tc>
          <w:tcPr>
            <w:tcW w:w="3948" w:type="dxa"/>
          </w:tcPr>
          <w:p w:rsidR="005F4B15" w:rsidRPr="005F4B15" w:rsidRDefault="005F4B15"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5F4B15">
              <w:rPr>
                <w:rFonts w:eastAsia="Calibri" w:cstheme="minorHAnsi"/>
                <w:bCs/>
                <w:lang w:eastAsia="bg-BG"/>
              </w:rPr>
              <w:t>Физически и технологично остаряла инфраструктура, загуби по мрежата средно 60 % (неотчетена вода), 57 % от водоснабдителната (40 хил. км) и 20 % от канализационната мрежа са за подмяна</w:t>
            </w:r>
          </w:p>
          <w:p w:rsidR="005F4B15" w:rsidRPr="005F4B15" w:rsidRDefault="005F4B15"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5F4B15">
              <w:rPr>
                <w:rFonts w:eastAsia="Calibri" w:cstheme="minorHAnsi"/>
                <w:bCs/>
                <w:lang w:eastAsia="bg-BG"/>
              </w:rPr>
              <w:t>~ 300-100 хиляди души о</w:t>
            </w:r>
            <w:r>
              <w:rPr>
                <w:rFonts w:eastAsia="Calibri" w:cstheme="minorHAnsi"/>
                <w:bCs/>
                <w:lang w:eastAsia="bg-BG"/>
              </w:rPr>
              <w:t>т населението са на воден режим</w:t>
            </w:r>
          </w:p>
          <w:p w:rsidR="00D27DCE" w:rsidRPr="005F4B15" w:rsidRDefault="00D27DCE"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5F4B15">
              <w:rPr>
                <w:rFonts w:eastAsia="Calibri" w:cstheme="minorHAnsi"/>
                <w:bCs/>
                <w:lang w:eastAsia="bg-BG"/>
              </w:rPr>
              <w:t>Около 36 % от населението няма изградена канализационна мрежа</w:t>
            </w:r>
          </w:p>
          <w:p w:rsidR="00D27DCE" w:rsidRPr="00487D88" w:rsidRDefault="00D27DCE"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eastAsia="Calibri" w:cstheme="minorHAnsi"/>
                <w:spacing w:val="1"/>
              </w:rPr>
            </w:pPr>
            <w:r w:rsidRPr="005F4B15">
              <w:rPr>
                <w:rFonts w:eastAsia="Calibri" w:cstheme="minorHAnsi"/>
                <w:bCs/>
                <w:lang w:eastAsia="bg-BG"/>
              </w:rPr>
              <w:t xml:space="preserve">Питейните и отпадъчните води на 50 % от населението не се пречистват – </w:t>
            </w:r>
            <w:r w:rsidR="000D6B79" w:rsidRPr="00BD60EC">
              <w:rPr>
                <w:rFonts w:ascii="Calibri" w:eastAsia="Calibri" w:hAnsi="Calibri" w:cs="Times New Roman"/>
              </w:rPr>
              <w:t>282 агломерации се нуждаят от пречистване на отпадъчните води</w:t>
            </w:r>
          </w:p>
        </w:tc>
      </w:tr>
      <w:tr w:rsidR="00D27DCE" w:rsidRPr="00487D88" w:rsidTr="005F4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lang w:eastAsia="bg-BG"/>
              </w:rPr>
            </w:pPr>
            <w:r w:rsidRPr="00487D88">
              <w:rPr>
                <w:rFonts w:eastAsia="Calibri" w:cstheme="minorHAnsi"/>
                <w:lang w:eastAsia="bg-BG"/>
              </w:rPr>
              <w:t>Публични услуги</w:t>
            </w:r>
          </w:p>
        </w:tc>
        <w:tc>
          <w:tcPr>
            <w:tcW w:w="3707" w:type="dxa"/>
          </w:tcPr>
          <w:p w:rsidR="00D27DCE" w:rsidRPr="00487D88" w:rsidRDefault="00D27DCE" w:rsidP="005F4B15">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lang w:eastAsia="bg-BG"/>
              </w:rPr>
            </w:pPr>
            <w:r w:rsidRPr="00487D88">
              <w:rPr>
                <w:rFonts w:eastAsia="Times New Roman" w:cstheme="minorHAnsi"/>
                <w:bCs/>
                <w:lang w:eastAsia="bg-BG"/>
              </w:rPr>
              <w:t xml:space="preserve">Тези услуги не изключват </w:t>
            </w:r>
            <w:r w:rsidR="005F4B15">
              <w:rPr>
                <w:rFonts w:eastAsia="Times New Roman" w:cstheme="minorHAnsi"/>
                <w:bCs/>
                <w:lang w:eastAsia="bg-BG"/>
              </w:rPr>
              <w:t xml:space="preserve">взаимно </w:t>
            </w:r>
            <w:r w:rsidRPr="00487D88">
              <w:rPr>
                <w:rFonts w:eastAsia="Times New Roman" w:cstheme="minorHAnsi"/>
                <w:bCs/>
                <w:lang w:eastAsia="bg-BG"/>
              </w:rPr>
              <w:t xml:space="preserve">и не са конкурентни. Дори ако някой не допринася за производството на обществено благо, разходите за ограничаване на неговото право да се възползва от услугата са забранени. </w:t>
            </w:r>
          </w:p>
        </w:tc>
        <w:tc>
          <w:tcPr>
            <w:tcW w:w="4131" w:type="dxa"/>
          </w:tcPr>
          <w:p w:rsidR="0021141C" w:rsidRDefault="0021141C" w:rsidP="009C1CFD">
            <w:pPr>
              <w:numPr>
                <w:ilvl w:val="0"/>
                <w:numId w:val="12"/>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21141C">
              <w:rPr>
                <w:rFonts w:eastAsia="Calibri" w:cstheme="minorHAnsi"/>
                <w:bCs/>
                <w:lang w:eastAsia="bg-BG"/>
              </w:rPr>
              <w:t>Съгл. Чл. 2а, ал. 1, т. 2 от Закона за водите определяне на правото на всеки гражданин на достъп до вода за питейно-битови цели като основна жизнена потребност е приоритет на държавната политика и на политиката, осъществявана от органите на местно самоуправление</w:t>
            </w:r>
          </w:p>
          <w:p w:rsidR="009C60B0" w:rsidRDefault="009C60B0" w:rsidP="009C60B0">
            <w:p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p>
          <w:p w:rsidR="005F4B15" w:rsidRDefault="0021141C" w:rsidP="009C1CFD">
            <w:pPr>
              <w:numPr>
                <w:ilvl w:val="0"/>
                <w:numId w:val="12"/>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Pr>
                <w:rFonts w:eastAsia="Calibri" w:cstheme="minorHAnsi"/>
                <w:bCs/>
                <w:lang w:eastAsia="bg-BG"/>
              </w:rPr>
              <w:lastRenderedPageBreak/>
              <w:t xml:space="preserve">В изпълнение на ЗВ, </w:t>
            </w:r>
            <w:r w:rsidR="005F4B15" w:rsidRPr="005F4B15">
              <w:rPr>
                <w:rFonts w:eastAsia="Calibri" w:cstheme="minorHAnsi"/>
                <w:bCs/>
                <w:lang w:eastAsia="bg-BG"/>
              </w:rPr>
              <w:t xml:space="preserve">ВиК услугите </w:t>
            </w:r>
            <w:r>
              <w:rPr>
                <w:rFonts w:eastAsia="Calibri" w:cstheme="minorHAnsi"/>
                <w:bCs/>
                <w:lang w:eastAsia="bg-BG"/>
              </w:rPr>
              <w:t xml:space="preserve">в страната </w:t>
            </w:r>
            <w:r w:rsidR="005F4B15" w:rsidRPr="005F4B15">
              <w:rPr>
                <w:rFonts w:eastAsia="Calibri" w:cstheme="minorHAnsi"/>
                <w:bCs/>
                <w:lang w:eastAsia="bg-BG"/>
              </w:rPr>
              <w:t>се предоставят от 66 оператора на териториален принцип</w:t>
            </w:r>
          </w:p>
          <w:p w:rsidR="009C60B0" w:rsidRPr="0021141C" w:rsidRDefault="009C60B0" w:rsidP="009C60B0">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p>
        </w:tc>
        <w:tc>
          <w:tcPr>
            <w:tcW w:w="3948" w:type="dxa"/>
          </w:tcPr>
          <w:p w:rsidR="00D27DCE" w:rsidRPr="00487D88" w:rsidRDefault="005F4B15" w:rsidP="009C1CFD">
            <w:pPr>
              <w:numPr>
                <w:ilvl w:val="0"/>
                <w:numId w:val="12"/>
              </w:numPr>
              <w:spacing w:before="120" w:after="120"/>
              <w:ind w:left="29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Pr>
                <w:rFonts w:eastAsia="Calibri" w:cstheme="minorHAnsi"/>
                <w:bCs/>
                <w:lang w:eastAsia="bg-BG"/>
              </w:rPr>
              <w:lastRenderedPageBreak/>
              <w:t>Изкуствен монопол на пазара на ВиК услуги</w:t>
            </w:r>
          </w:p>
        </w:tc>
      </w:tr>
      <w:tr w:rsidR="00D27DCE" w:rsidRPr="00487D88" w:rsidTr="005A2223">
        <w:trPr>
          <w:trHeight w:val="3215"/>
        </w:trPr>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lang w:eastAsia="bg-BG"/>
              </w:rPr>
            </w:pPr>
            <w:r w:rsidRPr="00487D88">
              <w:rPr>
                <w:rFonts w:eastAsia="Calibri" w:cstheme="minorHAnsi"/>
                <w:lang w:eastAsia="bg-BG"/>
              </w:rPr>
              <w:lastRenderedPageBreak/>
              <w:t>Неуспешно регулиране на пазара</w:t>
            </w:r>
          </w:p>
        </w:tc>
        <w:tc>
          <w:tcPr>
            <w:tcW w:w="3707" w:type="dxa"/>
          </w:tcPr>
          <w:p w:rsidR="00D27DCE" w:rsidRPr="00487D88" w:rsidRDefault="00D27DCE" w:rsidP="00F15AC0">
            <w:pPr>
              <w:spacing w:before="120" w:after="120"/>
              <w:jc w:val="both"/>
              <w:cnfStyle w:val="000000000000" w:firstRow="0" w:lastRow="0" w:firstColumn="0" w:lastColumn="0" w:oddVBand="0" w:evenVBand="0" w:oddHBand="0" w:evenHBand="0" w:firstRowFirstColumn="0" w:firstRowLastColumn="0" w:lastRowFirstColumn="0" w:lastRowLastColumn="0"/>
              <w:rPr>
                <w:rFonts w:eastAsia="Times New Roman" w:cstheme="minorHAnsi"/>
                <w:bCs/>
                <w:lang w:eastAsia="bg-BG"/>
              </w:rPr>
            </w:pPr>
            <w:r w:rsidRPr="00487D88">
              <w:rPr>
                <w:rFonts w:eastAsia="Calibri" w:cstheme="minorHAnsi"/>
                <w:bCs/>
                <w:lang w:eastAsia="bg-BG"/>
              </w:rPr>
              <w:t>Възниква, когато политическите решения не отчитат факта, че пазарът може сам да коригира някои от своите неуспехи. В такива случаи регулационните мерки пораждат неефективност</w:t>
            </w:r>
          </w:p>
        </w:tc>
        <w:tc>
          <w:tcPr>
            <w:tcW w:w="4131" w:type="dxa"/>
          </w:tcPr>
          <w:p w:rsidR="0021141C" w:rsidRPr="0021141C" w:rsidRDefault="0021141C" w:rsidP="009C1CFD">
            <w:pPr>
              <w:numPr>
                <w:ilvl w:val="0"/>
                <w:numId w:val="12"/>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21141C">
              <w:rPr>
                <w:rFonts w:eastAsia="Calibri" w:cstheme="minorHAnsi"/>
                <w:bCs/>
                <w:lang w:eastAsia="bg-BG"/>
              </w:rPr>
              <w:t>Тарифите за ВиК услуги се регулират от ДКЕВР чрез следните основни методи на ценово регулиране:</w:t>
            </w:r>
          </w:p>
          <w:p w:rsidR="0021141C" w:rsidRDefault="0021141C" w:rsidP="00DF6FCF">
            <w:pPr>
              <w:numPr>
                <w:ilvl w:val="0"/>
                <w:numId w:val="17"/>
              </w:numPr>
              <w:tabs>
                <w:tab w:val="left" w:pos="993"/>
              </w:tabs>
              <w:spacing w:before="120" w:after="120" w:line="276"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21141C">
              <w:rPr>
                <w:rFonts w:eastAsia="Calibri" w:cstheme="minorHAnsi"/>
                <w:bCs/>
                <w:lang w:eastAsia="bg-BG"/>
              </w:rPr>
              <w:t>Нор</w:t>
            </w:r>
            <w:r>
              <w:rPr>
                <w:rFonts w:eastAsia="Calibri" w:cstheme="minorHAnsi"/>
                <w:bCs/>
                <w:lang w:eastAsia="bg-BG"/>
              </w:rPr>
              <w:t>ма на възвръщаемост на капитала</w:t>
            </w:r>
          </w:p>
          <w:p w:rsidR="00D27DCE" w:rsidRPr="0021141C" w:rsidRDefault="0021141C" w:rsidP="00DF6FCF">
            <w:pPr>
              <w:numPr>
                <w:ilvl w:val="0"/>
                <w:numId w:val="17"/>
              </w:numPr>
              <w:tabs>
                <w:tab w:val="left" w:pos="993"/>
              </w:tabs>
              <w:spacing w:before="120" w:after="120" w:line="276" w:lineRule="auto"/>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21141C">
              <w:rPr>
                <w:rFonts w:eastAsia="Calibri" w:cstheme="minorHAnsi"/>
                <w:bCs/>
                <w:lang w:eastAsia="bg-BG"/>
              </w:rPr>
              <w:t xml:space="preserve">Регулиране чрез стимули, в т.ч. </w:t>
            </w:r>
            <w:r>
              <w:rPr>
                <w:rFonts w:eastAsia="Calibri" w:cstheme="minorHAnsi"/>
                <w:bCs/>
                <w:lang w:eastAsia="bg-BG"/>
              </w:rPr>
              <w:t>г</w:t>
            </w:r>
            <w:r w:rsidRPr="0021141C">
              <w:rPr>
                <w:rFonts w:eastAsia="Calibri" w:cstheme="minorHAnsi"/>
                <w:bCs/>
                <w:lang w:eastAsia="bg-BG"/>
              </w:rPr>
              <w:t xml:space="preserve">орна граница на приходи  и  </w:t>
            </w:r>
            <w:r>
              <w:rPr>
                <w:rFonts w:eastAsia="Calibri" w:cstheme="minorHAnsi"/>
                <w:bCs/>
                <w:lang w:eastAsia="bg-BG"/>
              </w:rPr>
              <w:t>г</w:t>
            </w:r>
            <w:r w:rsidRPr="0021141C">
              <w:rPr>
                <w:rFonts w:eastAsia="Calibri" w:cstheme="minorHAnsi"/>
                <w:bCs/>
                <w:lang w:eastAsia="bg-BG"/>
              </w:rPr>
              <w:t>орна граница на цени</w:t>
            </w:r>
          </w:p>
        </w:tc>
        <w:tc>
          <w:tcPr>
            <w:tcW w:w="3948" w:type="dxa"/>
          </w:tcPr>
          <w:p w:rsidR="00D27DCE" w:rsidRPr="009C60B0" w:rsidRDefault="00D27DCE" w:rsidP="009C1CFD">
            <w:pPr>
              <w:numPr>
                <w:ilvl w:val="0"/>
                <w:numId w:val="12"/>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9C60B0">
              <w:rPr>
                <w:rFonts w:eastAsia="Calibri" w:cstheme="minorHAnsi"/>
                <w:bCs/>
                <w:lang w:eastAsia="bg-BG"/>
              </w:rPr>
              <w:t>Ниско ниво на социална поносимост на разходите за ВиК в домакинствата</w:t>
            </w:r>
            <w:r w:rsidR="000D6B79">
              <w:rPr>
                <w:rFonts w:eastAsia="Calibri" w:cstheme="minorHAnsi"/>
                <w:bCs/>
                <w:lang w:eastAsia="bg-BG"/>
              </w:rPr>
              <w:t>, вкл. и поради ниска култура за ползване на водни ресурси</w:t>
            </w:r>
          </w:p>
          <w:p w:rsidR="00D27DCE" w:rsidRPr="00487D88" w:rsidRDefault="00D27DCE" w:rsidP="009C1CFD">
            <w:pPr>
              <w:numPr>
                <w:ilvl w:val="0"/>
                <w:numId w:val="12"/>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9C60B0">
              <w:rPr>
                <w:rFonts w:eastAsia="Calibri" w:cstheme="minorHAnsi"/>
                <w:bCs/>
                <w:lang w:eastAsia="bg-BG"/>
              </w:rPr>
              <w:t>Неефективни водни дружества с високи оперативни разходи и ниска събираемост на фактурираните сметки – около</w:t>
            </w:r>
            <w:r w:rsidR="005F4B15" w:rsidRPr="009C60B0">
              <w:rPr>
                <w:rFonts w:eastAsia="Calibri" w:cstheme="minorHAnsi"/>
                <w:bCs/>
                <w:lang w:eastAsia="bg-BG"/>
              </w:rPr>
              <w:t xml:space="preserve"> </w:t>
            </w:r>
            <w:r w:rsidRPr="009C60B0">
              <w:rPr>
                <w:rFonts w:eastAsia="Calibri" w:cstheme="minorHAnsi"/>
                <w:bCs/>
                <w:lang w:eastAsia="bg-BG"/>
              </w:rPr>
              <w:t>75 % (в ЕС над 95%)</w:t>
            </w:r>
          </w:p>
          <w:p w:rsidR="00D27DCE" w:rsidRPr="009C60B0" w:rsidRDefault="00D27DCE" w:rsidP="009C1CFD">
            <w:pPr>
              <w:numPr>
                <w:ilvl w:val="0"/>
                <w:numId w:val="12"/>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9C60B0">
              <w:rPr>
                <w:rFonts w:eastAsia="Calibri" w:cstheme="minorHAnsi"/>
                <w:bCs/>
                <w:lang w:eastAsia="bg-BG"/>
              </w:rPr>
              <w:t>Недостатъчна координация между институциите и силна политическа намеса</w:t>
            </w:r>
          </w:p>
          <w:p w:rsidR="009C60B0" w:rsidRPr="00487D88" w:rsidRDefault="009C60B0" w:rsidP="009C60B0">
            <w:pPr>
              <w:widowControl w:val="0"/>
              <w:autoSpaceDE w:val="0"/>
              <w:autoSpaceDN w:val="0"/>
              <w:adjustRightInd w:val="0"/>
              <w:ind w:left="351" w:right="64"/>
              <w:jc w:val="both"/>
              <w:cnfStyle w:val="000000000000" w:firstRow="0" w:lastRow="0" w:firstColumn="0" w:lastColumn="0" w:oddVBand="0" w:evenVBand="0" w:oddHBand="0" w:evenHBand="0" w:firstRowFirstColumn="0" w:firstRowLastColumn="0" w:lastRowFirstColumn="0" w:lastRowLastColumn="0"/>
              <w:rPr>
                <w:rFonts w:eastAsia="Calibri" w:cstheme="minorHAnsi"/>
                <w:spacing w:val="1"/>
              </w:rPr>
            </w:pPr>
          </w:p>
        </w:tc>
      </w:tr>
      <w:tr w:rsidR="00D27DCE" w:rsidRPr="00487D88" w:rsidTr="005F4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lang w:eastAsia="bg-BG"/>
              </w:rPr>
            </w:pPr>
            <w:r w:rsidRPr="00487D88">
              <w:rPr>
                <w:rFonts w:eastAsia="Calibri" w:cstheme="minorHAnsi"/>
                <w:lang w:eastAsia="bg-BG"/>
              </w:rPr>
              <w:t>Непълни права върху собствеността или трудности при прехвърлянето им</w:t>
            </w:r>
          </w:p>
        </w:tc>
        <w:tc>
          <w:tcPr>
            <w:tcW w:w="3707" w:type="dxa"/>
          </w:tcPr>
          <w:p w:rsidR="00D27DCE" w:rsidRPr="00487D88" w:rsidRDefault="00D27DCE" w:rsidP="00F15AC0">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487D88">
              <w:rPr>
                <w:rFonts w:eastAsia="Calibri" w:cstheme="minorHAnsi"/>
                <w:bCs/>
                <w:lang w:eastAsia="bg-BG"/>
              </w:rPr>
              <w:t>Отнася се до ситуация, в която е трудно да се установят или прехвърлят правата на собственост върху ресурс или продукт/услуга</w:t>
            </w:r>
          </w:p>
        </w:tc>
        <w:tc>
          <w:tcPr>
            <w:tcW w:w="4131" w:type="dxa"/>
          </w:tcPr>
          <w:p w:rsidR="00D27DCE" w:rsidRDefault="005A2223"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01242A">
              <w:rPr>
                <w:rFonts w:eastAsia="Calibri" w:cstheme="minorHAnsi"/>
              </w:rPr>
              <w:t>Процедурата по промяна в собствеността на ВиК инфраструктурата все още не е завършила</w:t>
            </w:r>
          </w:p>
          <w:p w:rsidR="009C60B0" w:rsidRDefault="009C60B0" w:rsidP="009C60B0">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rPr>
            </w:pPr>
          </w:p>
          <w:p w:rsidR="009C60B0" w:rsidRDefault="009C60B0" w:rsidP="009C60B0">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rPr>
            </w:pPr>
          </w:p>
          <w:p w:rsidR="009C60B0" w:rsidRPr="0001242A" w:rsidRDefault="009C60B0" w:rsidP="009C60B0">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rPr>
            </w:pPr>
          </w:p>
        </w:tc>
        <w:tc>
          <w:tcPr>
            <w:tcW w:w="3948" w:type="dxa"/>
          </w:tcPr>
          <w:p w:rsidR="009C60B0" w:rsidRPr="009C60B0" w:rsidRDefault="0001242A"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eastAsia="Calibri" w:cstheme="minorHAnsi"/>
              </w:rPr>
              <w:lastRenderedPageBreak/>
              <w:t>Н</w:t>
            </w:r>
            <w:r w:rsidRPr="00487D88">
              <w:rPr>
                <w:rFonts w:eastAsia="Calibri" w:cstheme="minorHAnsi"/>
              </w:rPr>
              <w:t>е са разрешени проблемите със собствеността на активите и рамката за изпълнение, което от своя страна обуславя липсата на ясни правила, по които ще се изпълнява инвестиционната програма.</w:t>
            </w:r>
          </w:p>
        </w:tc>
      </w:tr>
      <w:tr w:rsidR="00D27DCE" w:rsidRPr="00487D88" w:rsidTr="005F4B15">
        <w:tc>
          <w:tcPr>
            <w:cnfStyle w:val="001000000000" w:firstRow="0" w:lastRow="0" w:firstColumn="1" w:lastColumn="0" w:oddVBand="0" w:evenVBand="0" w:oddHBand="0" w:evenHBand="0" w:firstRowFirstColumn="0" w:firstRowLastColumn="0" w:lastRowFirstColumn="0" w:lastRowLastColumn="0"/>
            <w:tcW w:w="14283" w:type="dxa"/>
            <w:gridSpan w:val="4"/>
          </w:tcPr>
          <w:p w:rsidR="00D27DCE" w:rsidRPr="00487D88" w:rsidRDefault="00D27DCE" w:rsidP="00D27DCE">
            <w:pPr>
              <w:widowControl w:val="0"/>
              <w:autoSpaceDE w:val="0"/>
              <w:autoSpaceDN w:val="0"/>
              <w:adjustRightInd w:val="0"/>
              <w:ind w:right="64"/>
              <w:jc w:val="center"/>
              <w:rPr>
                <w:rFonts w:eastAsia="Calibri" w:cstheme="minorHAnsi"/>
                <w:spacing w:val="1"/>
              </w:rPr>
            </w:pPr>
            <w:r>
              <w:rPr>
                <w:rFonts w:eastAsia="Calibri" w:cstheme="minorHAnsi"/>
                <w:spacing w:val="1"/>
              </w:rPr>
              <w:lastRenderedPageBreak/>
              <w:t>Неуспехи от страна на търсенето</w:t>
            </w:r>
          </w:p>
        </w:tc>
      </w:tr>
      <w:tr w:rsidR="00D27DCE" w:rsidRPr="00487D88" w:rsidTr="005F4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lang w:eastAsia="bg-BG"/>
              </w:rPr>
            </w:pPr>
            <w:r w:rsidRPr="00487D88">
              <w:rPr>
                <w:rFonts w:eastAsia="Calibri" w:cstheme="minorHAnsi"/>
                <w:lang w:eastAsia="bg-BG"/>
              </w:rPr>
              <w:t>Информационна асиметрия</w:t>
            </w:r>
          </w:p>
        </w:tc>
        <w:tc>
          <w:tcPr>
            <w:tcW w:w="3707" w:type="dxa"/>
          </w:tcPr>
          <w:p w:rsidR="00D27DCE" w:rsidRPr="00487D88" w:rsidRDefault="00D27DCE" w:rsidP="00F15AC0">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lang w:eastAsia="bg-BG"/>
              </w:rPr>
            </w:pPr>
            <w:r w:rsidRPr="00487D88">
              <w:rPr>
                <w:rFonts w:eastAsia="Calibri" w:cstheme="minorHAnsi"/>
                <w:bCs/>
                <w:lang w:eastAsia="bg-BG"/>
              </w:rPr>
              <w:t>Възниква, когато две страни, които искат да влязат в договорни отношения имат различно ниво на информираност, което засяга способността им да вземат решения</w:t>
            </w:r>
          </w:p>
        </w:tc>
        <w:tc>
          <w:tcPr>
            <w:tcW w:w="4131" w:type="dxa"/>
          </w:tcPr>
          <w:p w:rsidR="00D27DCE" w:rsidRPr="0001242A" w:rsidRDefault="005A2223"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01242A">
              <w:rPr>
                <w:rFonts w:eastAsia="Calibri" w:cstheme="minorHAnsi"/>
              </w:rPr>
              <w:t>Недостиг на надеждна информация в самите ВиК фирми и слаба информираност на обществото за величината на разходите по предоставянето на услугите</w:t>
            </w:r>
          </w:p>
        </w:tc>
        <w:tc>
          <w:tcPr>
            <w:tcW w:w="3948" w:type="dxa"/>
          </w:tcPr>
          <w:p w:rsidR="00D27DCE" w:rsidRPr="0001242A" w:rsidRDefault="0001242A"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01242A">
              <w:rPr>
                <w:rFonts w:eastAsia="Calibri" w:cstheme="minorHAnsi"/>
              </w:rPr>
              <w:t>Ниска събираемост на тарифите за ВиК услуги</w:t>
            </w:r>
          </w:p>
          <w:p w:rsidR="0001242A" w:rsidRPr="0001242A" w:rsidRDefault="0001242A"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01242A">
              <w:rPr>
                <w:rFonts w:eastAsia="Calibri" w:cstheme="minorHAnsi"/>
              </w:rPr>
              <w:t>Неефективно планиране на необходимите инвестиции</w:t>
            </w:r>
          </w:p>
        </w:tc>
      </w:tr>
      <w:tr w:rsidR="00D27DCE" w:rsidRPr="00487D88" w:rsidTr="005A2223">
        <w:trPr>
          <w:trHeight w:val="2626"/>
        </w:trPr>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lang w:eastAsia="bg-BG"/>
              </w:rPr>
            </w:pPr>
            <w:r w:rsidRPr="00487D88">
              <w:rPr>
                <w:rFonts w:eastAsia="Calibri" w:cstheme="minorHAnsi"/>
                <w:lang w:eastAsia="bg-BG"/>
              </w:rPr>
              <w:t>Различни стимули</w:t>
            </w:r>
          </w:p>
        </w:tc>
        <w:tc>
          <w:tcPr>
            <w:tcW w:w="3707" w:type="dxa"/>
          </w:tcPr>
          <w:p w:rsidR="00D27DCE" w:rsidRPr="005A2223" w:rsidRDefault="00D27DCE" w:rsidP="005A2223">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5A2223">
              <w:rPr>
                <w:rFonts w:eastAsia="Calibri" w:cstheme="minorHAnsi"/>
                <w:bCs/>
                <w:lang w:eastAsia="bg-BG"/>
              </w:rPr>
              <w:t>Възникват когато две страни , които искат да влязат в договорни отношения имат различна цел и стимули, което засяга способността им да вземат решения</w:t>
            </w:r>
          </w:p>
          <w:p w:rsidR="00D27DCE" w:rsidRPr="005A2223" w:rsidRDefault="00D27DCE" w:rsidP="005A2223">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p>
        </w:tc>
        <w:tc>
          <w:tcPr>
            <w:tcW w:w="4131" w:type="dxa"/>
          </w:tcPr>
          <w:p w:rsidR="00D27DCE" w:rsidRPr="0001242A" w:rsidRDefault="00D27DCE"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01242A">
              <w:rPr>
                <w:rFonts w:eastAsia="Calibri" w:cstheme="minorHAnsi"/>
              </w:rPr>
              <w:t xml:space="preserve">Реализирането на проектите във ВиК сектора са свързани с допълнителни инвестиционни и експлоатационни разходи, което води до повишаване цените на ВиК услугите, които крайните потребители не са склонни или </w:t>
            </w:r>
            <w:r w:rsidR="009C60B0">
              <w:rPr>
                <w:rFonts w:eastAsia="Calibri" w:cstheme="minorHAnsi"/>
              </w:rPr>
              <w:t>трудно се съгласяват да поемат.</w:t>
            </w:r>
          </w:p>
        </w:tc>
        <w:tc>
          <w:tcPr>
            <w:tcW w:w="3948" w:type="dxa"/>
          </w:tcPr>
          <w:p w:rsidR="00D27DCE" w:rsidRPr="0001242A" w:rsidRDefault="005A2223"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01242A">
              <w:rPr>
                <w:rFonts w:eastAsia="Calibri" w:cstheme="minorHAnsi"/>
              </w:rPr>
              <w:t>Спадане в събираемостта на тарифите, което рефлектира върху финансовото състояние на ВиК операторите и способността им да изплащат първоначалните инвестиции и последващите реинвестиции, както и да поддържат необходимото качество на услугите</w:t>
            </w:r>
          </w:p>
        </w:tc>
      </w:tr>
      <w:tr w:rsidR="00D27DCE" w:rsidRPr="00487D88" w:rsidTr="005F4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lang w:eastAsia="bg-BG"/>
              </w:rPr>
            </w:pPr>
            <w:r w:rsidRPr="00487D88">
              <w:rPr>
                <w:rFonts w:eastAsia="Calibri" w:cstheme="minorHAnsi"/>
              </w:rPr>
              <w:t>Недостатъчно готови инвестиционни проекти</w:t>
            </w:r>
          </w:p>
        </w:tc>
        <w:tc>
          <w:tcPr>
            <w:tcW w:w="3707" w:type="dxa"/>
          </w:tcPr>
          <w:p w:rsidR="00D27DCE" w:rsidRPr="00487D88" w:rsidRDefault="00D27DCE" w:rsidP="00D27DCE">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lang w:eastAsia="bg-BG"/>
              </w:rPr>
            </w:pPr>
            <w:r w:rsidRPr="00D27DCE">
              <w:rPr>
                <w:rFonts w:eastAsia="Times New Roman" w:cstheme="minorHAnsi"/>
                <w:bCs/>
                <w:lang w:eastAsia="bg-BG"/>
              </w:rPr>
              <w:t>Това означава, че дори да има достъп до финансиране, страната на предлагането може да остане по-скоро пасивна, отколкото активна</w:t>
            </w:r>
          </w:p>
        </w:tc>
        <w:tc>
          <w:tcPr>
            <w:tcW w:w="4131" w:type="dxa"/>
          </w:tcPr>
          <w:p w:rsidR="009C60B0" w:rsidRPr="004562E3" w:rsidRDefault="005A2223"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01242A">
              <w:rPr>
                <w:rFonts w:eastAsia="Calibri" w:cstheme="minorHAnsi"/>
              </w:rPr>
              <w:t>Въпреки наличието на готови проекти, които могат да стартират през новия програмен период, техният брой не е достатъчен да покрие дори наличния финансов ресурс, още по-малко целия обем на необходими инвестиции за постигане на целите в сектора.</w:t>
            </w:r>
            <w:r w:rsidR="0001242A" w:rsidRPr="0001242A">
              <w:rPr>
                <w:rFonts w:eastAsia="Calibri" w:cstheme="minorHAnsi"/>
              </w:rPr>
              <w:t xml:space="preserve"> </w:t>
            </w:r>
            <w:r w:rsidRPr="0001242A">
              <w:rPr>
                <w:rFonts w:eastAsia="Calibri" w:cstheme="minorHAnsi"/>
              </w:rPr>
              <w:t xml:space="preserve">Това се дължи основно на факта, че до момента отговорни за подготовката </w:t>
            </w:r>
            <w:r w:rsidRPr="0001242A">
              <w:rPr>
                <w:rFonts w:eastAsia="Calibri" w:cstheme="minorHAnsi"/>
              </w:rPr>
              <w:lastRenderedPageBreak/>
              <w:t>на проектите бяха единствено общините и ресорните министерства (МОСВ и МРРБ, понастоящем МРР), които не разполагат с достатъчно финансов ресурс за инвестиционно проектиране</w:t>
            </w:r>
            <w:r w:rsidR="004562E3">
              <w:rPr>
                <w:rFonts w:eastAsia="Calibri" w:cstheme="minorHAnsi"/>
              </w:rPr>
              <w:t>.</w:t>
            </w:r>
          </w:p>
        </w:tc>
        <w:tc>
          <w:tcPr>
            <w:tcW w:w="3948" w:type="dxa"/>
          </w:tcPr>
          <w:p w:rsidR="0001242A" w:rsidRPr="0001242A" w:rsidRDefault="0001242A"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01242A">
              <w:rPr>
                <w:rFonts w:eastAsia="Calibri" w:cstheme="minorHAnsi"/>
              </w:rPr>
              <w:lastRenderedPageBreak/>
              <w:t>Липса на стимули за подготовка и на инвестиционни проекти и реализиране на инвестиции в сектора</w:t>
            </w:r>
          </w:p>
        </w:tc>
      </w:tr>
      <w:tr w:rsidR="00D27DCE" w:rsidRPr="00487D88" w:rsidTr="005F4B15">
        <w:tc>
          <w:tcPr>
            <w:cnfStyle w:val="001000000000" w:firstRow="0" w:lastRow="0" w:firstColumn="1" w:lastColumn="0" w:oddVBand="0" w:evenVBand="0" w:oddHBand="0" w:evenHBand="0" w:firstRowFirstColumn="0" w:firstRowLastColumn="0" w:lastRowFirstColumn="0" w:lastRowLastColumn="0"/>
            <w:tcW w:w="14283" w:type="dxa"/>
            <w:gridSpan w:val="4"/>
          </w:tcPr>
          <w:p w:rsidR="00D27DCE" w:rsidRPr="00487D88" w:rsidRDefault="00D27DCE" w:rsidP="00D27DCE">
            <w:pPr>
              <w:widowControl w:val="0"/>
              <w:autoSpaceDE w:val="0"/>
              <w:autoSpaceDN w:val="0"/>
              <w:adjustRightInd w:val="0"/>
              <w:spacing w:line="239" w:lineRule="auto"/>
              <w:ind w:right="66"/>
              <w:jc w:val="center"/>
              <w:rPr>
                <w:rFonts w:eastAsia="Calibri" w:cstheme="minorHAnsi"/>
              </w:rPr>
            </w:pPr>
            <w:r>
              <w:rPr>
                <w:rFonts w:eastAsia="Calibri" w:cstheme="minorHAnsi"/>
              </w:rPr>
              <w:lastRenderedPageBreak/>
              <w:t>Неуспехи от страна на предлагането</w:t>
            </w:r>
          </w:p>
        </w:tc>
      </w:tr>
      <w:tr w:rsidR="00D27DCE" w:rsidRPr="00487D88" w:rsidTr="005F4B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lang w:eastAsia="bg-BG"/>
              </w:rPr>
            </w:pPr>
            <w:r w:rsidRPr="00487D88">
              <w:rPr>
                <w:rFonts w:eastAsia="Calibri" w:cstheme="minorHAnsi"/>
              </w:rPr>
              <w:t>Ограничен достъп до подходящо финансиране</w:t>
            </w:r>
          </w:p>
        </w:tc>
        <w:tc>
          <w:tcPr>
            <w:tcW w:w="3707" w:type="dxa"/>
          </w:tcPr>
          <w:p w:rsidR="00D27DCE" w:rsidRPr="00487D88" w:rsidRDefault="00D27DCE" w:rsidP="00D27DCE">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Pr>
                <w:rFonts w:eastAsia="Times New Roman" w:cstheme="minorHAnsi"/>
                <w:bCs/>
                <w:lang w:eastAsia="bg-BG"/>
              </w:rPr>
              <w:t>Много от инвестициите изискват микс от публично (безвъзмездно) финансиране и частно финансиране, тъй като имат големи първоначални (инвестиционни) разходи и дълъг период на изплащане/откупуване на инвестицията</w:t>
            </w:r>
          </w:p>
        </w:tc>
        <w:tc>
          <w:tcPr>
            <w:tcW w:w="4131" w:type="dxa"/>
          </w:tcPr>
          <w:p w:rsidR="00D27DCE" w:rsidRPr="00487D88" w:rsidRDefault="0001242A"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487D88">
              <w:rPr>
                <w:rFonts w:eastAsia="Calibri" w:cstheme="minorHAnsi"/>
              </w:rPr>
              <w:t xml:space="preserve">Проектите във ВиК сектора като цяло са на значителна стойност. Повечето инвестиции се изплащат много бавно, а за част от тях практически липсва възвращаемост. </w:t>
            </w:r>
            <w:r>
              <w:rPr>
                <w:rFonts w:eastAsia="Calibri" w:cstheme="minorHAnsi"/>
              </w:rPr>
              <w:t xml:space="preserve">Същевременно наличната БФП е недостатъчна за покриване на инвестиционните нужди. </w:t>
            </w:r>
            <w:r w:rsidRPr="00487D88">
              <w:rPr>
                <w:rFonts w:eastAsia="Calibri" w:cstheme="minorHAnsi"/>
              </w:rPr>
              <w:t>Това налага необходимостта от осигуряване на смесено финансиране – чрез БФП и собствен принос. Към настоящия момент, без наличието на подходящи финансови инструменти, възможностите за осигуряване на собствен принос са ограничени.</w:t>
            </w:r>
          </w:p>
        </w:tc>
        <w:tc>
          <w:tcPr>
            <w:tcW w:w="3948" w:type="dxa"/>
          </w:tcPr>
          <w:p w:rsidR="00D27DCE" w:rsidRPr="0001242A" w:rsidRDefault="0001242A"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eastAsia="Calibri" w:cstheme="minorHAnsi"/>
              </w:rPr>
              <w:t>Липса на адекватно портфолио от финансови ресурси</w:t>
            </w:r>
          </w:p>
        </w:tc>
      </w:tr>
      <w:tr w:rsidR="00D27DCE" w:rsidRPr="00487D88" w:rsidTr="005F4B15">
        <w:tc>
          <w:tcPr>
            <w:cnfStyle w:val="001000000000" w:firstRow="0" w:lastRow="0" w:firstColumn="1" w:lastColumn="0" w:oddVBand="0" w:evenVBand="0" w:oddHBand="0" w:evenHBand="0" w:firstRowFirstColumn="0" w:firstRowLastColumn="0" w:lastRowFirstColumn="0" w:lastRowLastColumn="0"/>
            <w:tcW w:w="2497" w:type="dxa"/>
          </w:tcPr>
          <w:p w:rsidR="00D27DCE" w:rsidRPr="00487D88" w:rsidRDefault="00D27DCE" w:rsidP="00F15AC0">
            <w:pPr>
              <w:spacing w:before="120" w:after="120"/>
              <w:jc w:val="both"/>
              <w:rPr>
                <w:rFonts w:eastAsia="Calibri" w:cstheme="minorHAnsi"/>
              </w:rPr>
            </w:pPr>
            <w:r w:rsidRPr="00487D88">
              <w:rPr>
                <w:rFonts w:eastAsia="Calibri" w:cstheme="minorHAnsi"/>
              </w:rPr>
              <w:t xml:space="preserve">Липса на капацитет или недостатъчно опит при </w:t>
            </w:r>
            <w:r w:rsidRPr="00487D88">
              <w:rPr>
                <w:rFonts w:eastAsia="Calibri" w:cstheme="minorHAnsi"/>
              </w:rPr>
              <w:lastRenderedPageBreak/>
              <w:t>управление на проектно финансиране</w:t>
            </w:r>
          </w:p>
        </w:tc>
        <w:tc>
          <w:tcPr>
            <w:tcW w:w="3707" w:type="dxa"/>
          </w:tcPr>
          <w:p w:rsidR="00D27DCE" w:rsidRPr="00487D88" w:rsidRDefault="001743FA" w:rsidP="001743FA">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Pr>
                <w:rFonts w:eastAsia="Calibri" w:cstheme="minorHAnsi"/>
              </w:rPr>
              <w:lastRenderedPageBreak/>
              <w:t xml:space="preserve">Липсата на капацитет/опит в проектното финансиране </w:t>
            </w:r>
            <w:r w:rsidRPr="00487D88">
              <w:rPr>
                <w:rFonts w:eastAsia="Calibri" w:cstheme="minorHAnsi"/>
              </w:rPr>
              <w:t xml:space="preserve">предполагат ниска или недостатъчна успеваемост на инвестициите и </w:t>
            </w:r>
            <w:r w:rsidRPr="00487D88">
              <w:rPr>
                <w:rFonts w:eastAsia="Calibri" w:cstheme="minorHAnsi"/>
              </w:rPr>
              <w:lastRenderedPageBreak/>
              <w:t>завишен риск при реализиране на проектите</w:t>
            </w:r>
          </w:p>
        </w:tc>
        <w:tc>
          <w:tcPr>
            <w:tcW w:w="4131" w:type="dxa"/>
          </w:tcPr>
          <w:p w:rsidR="00D27DCE" w:rsidRDefault="0001242A"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487D88">
              <w:rPr>
                <w:rFonts w:eastAsia="Calibri" w:cstheme="minorHAnsi"/>
              </w:rPr>
              <w:lastRenderedPageBreak/>
              <w:t xml:space="preserve">Въпреки, че през изминалия програмен период, общините натрупаха известен капацитет за изпълнение на проекти, като цяло </w:t>
            </w:r>
            <w:r w:rsidRPr="00487D88">
              <w:rPr>
                <w:rFonts w:eastAsia="Calibri" w:cstheme="minorHAnsi"/>
              </w:rPr>
              <w:lastRenderedPageBreak/>
              <w:t xml:space="preserve">проблемите при управлението на инвестиционни намерения са значителни. </w:t>
            </w:r>
          </w:p>
          <w:p w:rsidR="0001242A" w:rsidRPr="0001242A" w:rsidRDefault="0001242A"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Pr>
                <w:rFonts w:eastAsia="Calibri" w:cstheme="minorHAnsi"/>
              </w:rPr>
              <w:t xml:space="preserve">Недостатъчно </w:t>
            </w:r>
            <w:r w:rsidR="0083165D">
              <w:rPr>
                <w:rFonts w:eastAsia="Calibri" w:cstheme="minorHAnsi"/>
              </w:rPr>
              <w:t xml:space="preserve">в реализирането на проекти </w:t>
            </w:r>
            <w:r>
              <w:rPr>
                <w:rFonts w:eastAsia="Calibri" w:cstheme="minorHAnsi"/>
              </w:rPr>
              <w:t xml:space="preserve">е участието на </w:t>
            </w:r>
            <w:r w:rsidR="0083165D">
              <w:rPr>
                <w:rFonts w:eastAsia="Calibri" w:cstheme="minorHAnsi"/>
              </w:rPr>
              <w:t>операторите, които пряко събират приходите от ВиК услуги, което предполага и недостиг на капацитет в рамките на техните структури.</w:t>
            </w:r>
          </w:p>
        </w:tc>
        <w:tc>
          <w:tcPr>
            <w:tcW w:w="3948" w:type="dxa"/>
          </w:tcPr>
          <w:p w:rsidR="0083165D" w:rsidRPr="0083165D" w:rsidRDefault="0083165D"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Pr>
                <w:rFonts w:eastAsia="Calibri" w:cstheme="minorHAnsi"/>
              </w:rPr>
              <w:lastRenderedPageBreak/>
              <w:t xml:space="preserve">Занижен интерес от страна на финансовите институции за предлагане на адекватни форми на </w:t>
            </w:r>
            <w:r>
              <w:rPr>
                <w:rFonts w:eastAsia="Calibri" w:cstheme="minorHAnsi"/>
              </w:rPr>
              <w:lastRenderedPageBreak/>
              <w:t>ФИ, поради високия риск от успеваемост на проектите</w:t>
            </w:r>
          </w:p>
        </w:tc>
      </w:tr>
    </w:tbl>
    <w:p w:rsidR="00F15AC0" w:rsidRPr="00CB7DDC" w:rsidRDefault="00F15AC0" w:rsidP="00F15AC0">
      <w:pPr>
        <w:widowControl w:val="0"/>
        <w:autoSpaceDE w:val="0"/>
        <w:autoSpaceDN w:val="0"/>
        <w:adjustRightInd w:val="0"/>
        <w:spacing w:after="0" w:line="253" w:lineRule="auto"/>
        <w:ind w:right="110"/>
        <w:jc w:val="both"/>
        <w:rPr>
          <w:rFonts w:ascii="Georgia" w:eastAsia="Calibri" w:hAnsi="Georgia" w:cs="Georgia"/>
          <w:sz w:val="20"/>
          <w:szCs w:val="20"/>
        </w:rPr>
      </w:pPr>
    </w:p>
    <w:p w:rsidR="00692155" w:rsidRDefault="00692155" w:rsidP="00F15AC0">
      <w:pPr>
        <w:jc w:val="both"/>
        <w:rPr>
          <w:rFonts w:cstheme="minorHAnsi"/>
          <w:b/>
          <w:bCs/>
          <w:color w:val="000000"/>
        </w:rPr>
        <w:sectPr w:rsidR="00692155" w:rsidSect="006E39EC">
          <w:pgSz w:w="16838" w:h="11906" w:orient="landscape"/>
          <w:pgMar w:top="1417" w:right="1560" w:bottom="1417" w:left="1134" w:header="708" w:footer="247" w:gutter="0"/>
          <w:cols w:space="708"/>
          <w:titlePg/>
          <w:docGrid w:linePitch="360"/>
        </w:sectPr>
      </w:pPr>
    </w:p>
    <w:p w:rsidR="009C60B0" w:rsidRDefault="009C60B0" w:rsidP="009C60B0">
      <w:pPr>
        <w:spacing w:after="0" w:line="240" w:lineRule="auto"/>
        <w:jc w:val="both"/>
        <w:rPr>
          <w:rFonts w:ascii="Calibri" w:eastAsia="Calibri" w:hAnsi="Calibri" w:cs="Calibri"/>
          <w:bCs/>
          <w:lang w:eastAsia="bg-BG"/>
        </w:rPr>
      </w:pPr>
    </w:p>
    <w:p w:rsidR="0083165D" w:rsidRPr="00CB7DDC" w:rsidRDefault="0083165D" w:rsidP="0083165D">
      <w:pPr>
        <w:spacing w:before="240" w:after="120" w:line="240" w:lineRule="auto"/>
        <w:jc w:val="both"/>
        <w:rPr>
          <w:rFonts w:ascii="Calibri" w:eastAsia="Calibri" w:hAnsi="Calibri" w:cs="Calibri"/>
          <w:bCs/>
          <w:lang w:eastAsia="bg-BG"/>
        </w:rPr>
      </w:pPr>
      <w:r w:rsidRPr="00CB7DDC">
        <w:rPr>
          <w:rFonts w:ascii="Calibri" w:eastAsia="Calibri" w:hAnsi="Calibri" w:cs="Calibri"/>
          <w:bCs/>
          <w:lang w:eastAsia="bg-BG"/>
        </w:rPr>
        <w:t>Съвкупността от гореизброените причини за идентифицираните пазарни неуспехи води до два основни недостига на пазара на ВиК услуги, а именно:</w:t>
      </w:r>
    </w:p>
    <w:p w:rsidR="0083165D" w:rsidRPr="00CB7DDC" w:rsidRDefault="0083165D" w:rsidP="009C1CFD">
      <w:pPr>
        <w:numPr>
          <w:ilvl w:val="3"/>
          <w:numId w:val="4"/>
        </w:numPr>
        <w:spacing w:before="240" w:after="120" w:line="240" w:lineRule="auto"/>
        <w:ind w:left="851"/>
        <w:jc w:val="both"/>
        <w:rPr>
          <w:rFonts w:ascii="Calibri" w:eastAsia="Calibri" w:hAnsi="Calibri" w:cs="Calibri"/>
          <w:bCs/>
          <w:lang w:eastAsia="bg-BG"/>
        </w:rPr>
      </w:pPr>
      <w:r w:rsidRPr="00CB7DDC">
        <w:rPr>
          <w:rFonts w:ascii="Calibri" w:eastAsia="Calibri" w:hAnsi="Calibri" w:cs="Calibri"/>
          <w:b/>
          <w:bCs/>
          <w:lang w:eastAsia="bg-BG"/>
        </w:rPr>
        <w:t xml:space="preserve">Финансов </w:t>
      </w:r>
      <w:r w:rsidRPr="00CB7DDC">
        <w:rPr>
          <w:rFonts w:ascii="Calibri" w:eastAsia="Calibri" w:hAnsi="Calibri" w:cs="Calibri"/>
          <w:bCs/>
          <w:lang w:eastAsia="bg-BG"/>
        </w:rPr>
        <w:t xml:space="preserve">– </w:t>
      </w:r>
      <w:r w:rsidR="00E91F4E">
        <w:rPr>
          <w:rFonts w:ascii="Calibri" w:eastAsia="Calibri" w:hAnsi="Calibri" w:cs="Calibri"/>
          <w:bCs/>
          <w:lang w:eastAsia="bg-BG"/>
        </w:rPr>
        <w:t>налице е необходимост от значителен финансов ресурс, който обаче не може да бъде запълнен от пазарното предлагане във финансовия сектор.</w:t>
      </w:r>
    </w:p>
    <w:p w:rsidR="0083165D" w:rsidRPr="00CB7DDC" w:rsidRDefault="0083165D" w:rsidP="009C1CFD">
      <w:pPr>
        <w:numPr>
          <w:ilvl w:val="3"/>
          <w:numId w:val="4"/>
        </w:numPr>
        <w:spacing w:before="240" w:after="120" w:line="240" w:lineRule="auto"/>
        <w:ind w:left="851"/>
        <w:jc w:val="both"/>
        <w:rPr>
          <w:rFonts w:ascii="Calibri" w:eastAsia="Calibri" w:hAnsi="Calibri" w:cs="Calibri"/>
          <w:bCs/>
          <w:lang w:eastAsia="bg-BG"/>
        </w:rPr>
      </w:pPr>
      <w:r w:rsidRPr="00CB7DDC">
        <w:rPr>
          <w:rFonts w:ascii="Calibri" w:eastAsia="Calibri" w:hAnsi="Calibri" w:cs="Calibri"/>
          <w:b/>
          <w:bCs/>
          <w:lang w:eastAsia="bg-BG"/>
        </w:rPr>
        <w:t>Жизнеспособен</w:t>
      </w:r>
      <w:r w:rsidRPr="00CB7DDC">
        <w:rPr>
          <w:rFonts w:ascii="Calibri" w:eastAsia="Calibri" w:hAnsi="Calibri" w:cs="Calibri"/>
          <w:bCs/>
          <w:lang w:eastAsia="bg-BG"/>
        </w:rPr>
        <w:t xml:space="preserve"> – проектите в сектора демонстрират възвращаемост под пазарното ниво.</w:t>
      </w:r>
    </w:p>
    <w:p w:rsidR="0083165D" w:rsidRDefault="0083165D" w:rsidP="0083165D">
      <w:pPr>
        <w:jc w:val="both"/>
        <w:rPr>
          <w:rFonts w:cstheme="minorHAnsi"/>
        </w:rPr>
      </w:pPr>
    </w:p>
    <w:p w:rsidR="00CB7DDC" w:rsidRPr="00347A92" w:rsidRDefault="00347A92" w:rsidP="00E74E51">
      <w:pPr>
        <w:pStyle w:val="Heading3"/>
        <w:spacing w:before="120" w:after="120"/>
        <w:rPr>
          <w:rFonts w:asciiTheme="minorHAnsi" w:eastAsia="Calibri" w:hAnsiTheme="minorHAnsi"/>
        </w:rPr>
      </w:pPr>
      <w:bookmarkStart w:id="16" w:name="_Toc399494510"/>
      <w:r>
        <w:rPr>
          <w:rFonts w:asciiTheme="minorHAnsi" w:eastAsia="Calibri" w:hAnsiTheme="minorHAnsi"/>
        </w:rPr>
        <w:t xml:space="preserve">1.1.3. </w:t>
      </w:r>
      <w:r w:rsidR="00CB7DDC" w:rsidRPr="00347A92">
        <w:rPr>
          <w:rFonts w:asciiTheme="minorHAnsi" w:eastAsia="Calibri" w:hAnsiTheme="minorHAnsi"/>
        </w:rPr>
        <w:t>Анализ на търсенето и предлагането</w:t>
      </w:r>
      <w:r w:rsidR="00F15AC0">
        <w:rPr>
          <w:rFonts w:asciiTheme="minorHAnsi" w:eastAsia="Calibri" w:hAnsiTheme="minorHAnsi"/>
        </w:rPr>
        <w:t xml:space="preserve"> на ВиК услуги</w:t>
      </w:r>
      <w:bookmarkEnd w:id="16"/>
    </w:p>
    <w:p w:rsidR="00CB7DDC" w:rsidRPr="00CB7DDC" w:rsidRDefault="00CB7DDC" w:rsidP="00CB7DDC">
      <w:pPr>
        <w:spacing w:after="200" w:line="276" w:lineRule="auto"/>
        <w:jc w:val="both"/>
        <w:rPr>
          <w:rFonts w:ascii="Calibri" w:eastAsia="Calibri" w:hAnsi="Calibri" w:cs="Times New Roman"/>
        </w:rPr>
      </w:pPr>
      <w:r w:rsidRPr="00CB7DDC">
        <w:rPr>
          <w:rFonts w:ascii="Calibri" w:eastAsia="Calibri" w:hAnsi="Calibri" w:cs="Times New Roman"/>
          <w:b/>
          <w:i/>
        </w:rPr>
        <w:t>Анализът на търсенето</w:t>
      </w:r>
      <w:r w:rsidRPr="00CB7DDC">
        <w:rPr>
          <w:rFonts w:ascii="Calibri" w:eastAsia="Calibri" w:hAnsi="Calibri" w:cs="Times New Roman"/>
        </w:rPr>
        <w:t xml:space="preserve"> на ВиК услуги в страната в голяма степен се обуславя от изискванията на европейското законодателство в областта на водите, в т.ч.:</w:t>
      </w:r>
    </w:p>
    <w:p w:rsidR="00CB7DDC" w:rsidRPr="00CB7DDC" w:rsidRDefault="00CB7DDC"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CB7DDC">
        <w:rPr>
          <w:rFonts w:ascii="Calibri" w:eastAsia="Calibri" w:hAnsi="Calibri" w:cs="Calibri"/>
          <w:bCs/>
        </w:rPr>
        <w:t>Съответствие  с  Директива  98/83ЕО  за  качеството  на  водата  предназначена  за консумация от човек</w:t>
      </w:r>
    </w:p>
    <w:p w:rsidR="00CB7DDC" w:rsidRPr="00CB7DDC" w:rsidRDefault="00CB7DDC"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CB7DDC">
        <w:rPr>
          <w:rFonts w:ascii="Calibri" w:eastAsia="Calibri" w:hAnsi="Calibri" w:cs="Calibri"/>
          <w:bCs/>
        </w:rPr>
        <w:t>Съответствие с Директива 91/271/ЕО за пречистване на градски отпадъчни води, както е изменена;</w:t>
      </w:r>
    </w:p>
    <w:p w:rsidR="00CB7DDC" w:rsidRPr="00CB7DDC" w:rsidRDefault="00CB7DDC"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CB7DDC">
        <w:rPr>
          <w:rFonts w:ascii="Calibri" w:eastAsia="Calibri" w:hAnsi="Calibri" w:cs="Calibri"/>
          <w:bCs/>
        </w:rPr>
        <w:t>Съответствие с Директива 2000/60/ЕО за установяване на рамка за действията на Общността в областта на политиката за водите.</w:t>
      </w:r>
    </w:p>
    <w:p w:rsidR="00CB7DDC" w:rsidRPr="00CB7DDC" w:rsidRDefault="00CB7DDC" w:rsidP="00CB7DDC">
      <w:pPr>
        <w:widowControl w:val="0"/>
        <w:autoSpaceDE w:val="0"/>
        <w:autoSpaceDN w:val="0"/>
        <w:adjustRightInd w:val="0"/>
        <w:spacing w:before="240" w:after="0" w:line="239" w:lineRule="auto"/>
        <w:ind w:right="66"/>
        <w:jc w:val="both"/>
        <w:rPr>
          <w:rFonts w:ascii="Calibri" w:eastAsia="Calibri" w:hAnsi="Calibri" w:cs="Times New Roman"/>
        </w:rPr>
      </w:pPr>
      <w:r w:rsidRPr="00CB7DDC">
        <w:rPr>
          <w:rFonts w:ascii="Calibri" w:eastAsia="Calibri" w:hAnsi="Calibri" w:cs="Times New Roman"/>
        </w:rPr>
        <w:t xml:space="preserve">За да постигне съответствие с тези директиви, е необходимо адресиране на значителните нужди от инвестиции във ВиК инфраструктура, които са залегнали и в ОП „Околна среда 2014 – 2020 г.”, а именно: </w:t>
      </w:r>
    </w:p>
    <w:p w:rsidR="00CB7DDC" w:rsidRPr="00CB7DDC" w:rsidRDefault="00CB7DDC" w:rsidP="009C1CFD">
      <w:pPr>
        <w:widowControl w:val="0"/>
        <w:numPr>
          <w:ilvl w:val="3"/>
          <w:numId w:val="4"/>
        </w:numPr>
        <w:autoSpaceDE w:val="0"/>
        <w:autoSpaceDN w:val="0"/>
        <w:adjustRightInd w:val="0"/>
        <w:spacing w:before="240" w:after="0" w:line="239" w:lineRule="auto"/>
        <w:ind w:left="851" w:right="66"/>
        <w:jc w:val="both"/>
        <w:rPr>
          <w:rFonts w:ascii="Calibri" w:eastAsia="Calibri" w:hAnsi="Calibri" w:cs="Times New Roman"/>
        </w:rPr>
      </w:pPr>
      <w:r w:rsidRPr="00CB7DDC">
        <w:rPr>
          <w:rFonts w:ascii="Calibri" w:eastAsia="Calibri" w:hAnsi="Calibri" w:cs="Times New Roman"/>
        </w:rPr>
        <w:t xml:space="preserve">Приоритетни инвестиции във ВиК инфраструктура в агломерации с над 10 000 екв. ж. и доизграждане на системите за мониторинг на водите във връзка с изпълнение на изискванията на законодателството на ЕС в областта на околната среда и ефективно използване на водите и целите на Плана за опазване на водните ресурси на Европа до 2020 г. (Blueprint). </w:t>
      </w:r>
    </w:p>
    <w:p w:rsidR="00CB7DDC" w:rsidRPr="00CB7DDC" w:rsidRDefault="00CB7DDC" w:rsidP="009C1CFD">
      <w:pPr>
        <w:widowControl w:val="0"/>
        <w:numPr>
          <w:ilvl w:val="3"/>
          <w:numId w:val="4"/>
        </w:numPr>
        <w:autoSpaceDE w:val="0"/>
        <w:autoSpaceDN w:val="0"/>
        <w:adjustRightInd w:val="0"/>
        <w:spacing w:after="0" w:line="239" w:lineRule="auto"/>
        <w:ind w:left="851" w:right="66"/>
        <w:jc w:val="both"/>
        <w:rPr>
          <w:rFonts w:ascii="Calibri" w:eastAsia="Calibri" w:hAnsi="Calibri" w:cs="Times New Roman"/>
        </w:rPr>
      </w:pPr>
      <w:r w:rsidRPr="00CB7DDC">
        <w:rPr>
          <w:rFonts w:ascii="Calibri" w:eastAsia="Calibri" w:hAnsi="Calibri" w:cs="Times New Roman"/>
        </w:rPr>
        <w:t>Мерки за изграждане/рехабилитация/реконструкция на съоръжения за третиране на утайки от ПСОВ и доставка на необходимото оборудване, вкл. на вече изградени ПСОВ.</w:t>
      </w:r>
    </w:p>
    <w:p w:rsidR="00CB7DDC" w:rsidRPr="00CB7DDC" w:rsidRDefault="00CB7DDC" w:rsidP="00FC75F0">
      <w:pPr>
        <w:widowControl w:val="0"/>
        <w:autoSpaceDE w:val="0"/>
        <w:autoSpaceDN w:val="0"/>
        <w:adjustRightInd w:val="0"/>
        <w:spacing w:before="240" w:after="0" w:line="239" w:lineRule="auto"/>
        <w:ind w:right="66"/>
        <w:jc w:val="both"/>
        <w:rPr>
          <w:rFonts w:ascii="Calibri" w:eastAsia="Calibri" w:hAnsi="Calibri" w:cs="Times New Roman"/>
        </w:rPr>
      </w:pPr>
      <w:r w:rsidRPr="00CB7DDC">
        <w:rPr>
          <w:rFonts w:ascii="Calibri" w:eastAsia="Calibri" w:hAnsi="Calibri" w:cs="Times New Roman"/>
        </w:rPr>
        <w:t>За пречистване на отпадъчните води в България трябва да бъде осигурено събиране, отвеждане и пречистване на отпадъчните води в 364 агломерации. От тях 256 агломерации са между 2,000 и 10,000 е. ж., а 108 са над 10,000 е. ж. Доизграждане на канализационна мрежа е необходимо в общо 351 агломерации.</w:t>
      </w:r>
    </w:p>
    <w:p w:rsidR="00CB7DDC" w:rsidRPr="00CB7DDC" w:rsidRDefault="00CB7DDC" w:rsidP="00CB7DDC">
      <w:pPr>
        <w:widowControl w:val="0"/>
        <w:autoSpaceDE w:val="0"/>
        <w:autoSpaceDN w:val="0"/>
        <w:adjustRightInd w:val="0"/>
        <w:spacing w:before="240" w:after="0" w:line="239" w:lineRule="auto"/>
        <w:ind w:right="66"/>
        <w:jc w:val="both"/>
        <w:rPr>
          <w:rFonts w:ascii="Calibri" w:eastAsia="Calibri" w:hAnsi="Calibri" w:cs="Times New Roman"/>
        </w:rPr>
      </w:pPr>
      <w:r w:rsidRPr="00CB7DDC">
        <w:rPr>
          <w:rFonts w:ascii="Calibri" w:eastAsia="Calibri" w:hAnsi="Calibri" w:cs="Times New Roman"/>
        </w:rPr>
        <w:t>След присъединяването на България към Европейския съюз и необходимостта от прилагането на действащите директиви изисква големи инвестиции в инфраструктура. Оценката на българското правителство е, че за изпълнение на изискванията на Директивата за пречистване на градски отпадъчни води са необходими 2.1 млрд. евро, оценката на Световната банка (2005) е за необходими 3 млрд. евро, а тази на ГД „Околна среда“ (ЕК 2010) – за 5.1 млрд. евро</w:t>
      </w:r>
      <w:r w:rsidRPr="00CB7DDC">
        <w:rPr>
          <w:rFonts w:ascii="Calibri" w:eastAsia="Calibri" w:hAnsi="Calibri" w:cs="Times New Roman"/>
          <w:vertAlign w:val="superscript"/>
        </w:rPr>
        <w:footnoteReference w:id="12"/>
      </w:r>
      <w:r w:rsidRPr="00CB7DDC">
        <w:rPr>
          <w:rFonts w:ascii="Calibri" w:eastAsia="Calibri" w:hAnsi="Calibri" w:cs="Times New Roman"/>
        </w:rPr>
        <w:t>.</w:t>
      </w:r>
    </w:p>
    <w:p w:rsidR="00CB7DDC" w:rsidRPr="00CB7DDC" w:rsidRDefault="00CB7DDC" w:rsidP="00CB7DDC">
      <w:pPr>
        <w:widowControl w:val="0"/>
        <w:autoSpaceDE w:val="0"/>
        <w:autoSpaceDN w:val="0"/>
        <w:adjustRightInd w:val="0"/>
        <w:spacing w:before="240" w:after="0" w:line="239" w:lineRule="auto"/>
        <w:ind w:right="66"/>
        <w:jc w:val="both"/>
        <w:rPr>
          <w:rFonts w:ascii="Calibri" w:eastAsia="Calibri" w:hAnsi="Calibri" w:cs="Times New Roman"/>
        </w:rPr>
      </w:pPr>
      <w:r w:rsidRPr="00CB7DDC">
        <w:rPr>
          <w:rFonts w:ascii="Calibri" w:eastAsia="Calibri" w:hAnsi="Calibri" w:cs="Times New Roman"/>
        </w:rPr>
        <w:t xml:space="preserve">Инвестициите във водоснабдяването също са под равнището, необходимо за поддържане на добро качество и непрекъснатост на ВиК услугите в дългосрочен план. Съгласно направената </w:t>
      </w:r>
      <w:r w:rsidRPr="00CB7DDC">
        <w:rPr>
          <w:rFonts w:ascii="Calibri" w:eastAsia="Calibri" w:hAnsi="Calibri" w:cs="Times New Roman"/>
        </w:rPr>
        <w:lastRenderedPageBreak/>
        <w:t>през 2005 г. от Световната банка оценка необходимите разходи  за  изграждане  на  нова  и  рехабилитация  и  подмяна  на  съществуващата водоснабдителна мрежа възлизат на 3.969 млрд. евро за срок от повече от десет години или средно около 800 млн. лв. годишно.</w:t>
      </w:r>
    </w:p>
    <w:p w:rsidR="00CB7DDC" w:rsidRDefault="00CB7DDC" w:rsidP="00CB7DDC">
      <w:pPr>
        <w:widowControl w:val="0"/>
        <w:autoSpaceDE w:val="0"/>
        <w:autoSpaceDN w:val="0"/>
        <w:adjustRightInd w:val="0"/>
        <w:spacing w:before="240" w:line="239" w:lineRule="auto"/>
        <w:ind w:right="66"/>
        <w:jc w:val="both"/>
        <w:rPr>
          <w:rFonts w:ascii="Calibri" w:eastAsia="Calibri" w:hAnsi="Calibri" w:cs="Times New Roman"/>
        </w:rPr>
      </w:pPr>
      <w:r w:rsidRPr="00CB7DDC">
        <w:rPr>
          <w:rFonts w:ascii="Calibri" w:eastAsia="Calibri" w:hAnsi="Calibri" w:cs="Times New Roman"/>
        </w:rPr>
        <w:t xml:space="preserve">Въпреки, че през програмния период 2007 – 2013 г. започна изграждането на необходимата инфраструктура във Водния сектор, България продължава да е изправена пред огромното предизвикателство да отговори на законовите водоснабдителни и канализационни изисквания. Въз основа на краткосрочните инвестиционни програми (2014 – 2020 г.) към регионалните генерални </w:t>
      </w:r>
      <w:r w:rsidR="00C87AF0">
        <w:rPr>
          <w:rFonts w:ascii="Calibri" w:eastAsia="Calibri" w:hAnsi="Calibri" w:cs="Times New Roman"/>
        </w:rPr>
        <w:t xml:space="preserve">планове </w:t>
      </w:r>
      <w:r w:rsidRPr="00CB7DDC">
        <w:rPr>
          <w:rFonts w:ascii="Calibri" w:eastAsia="Calibri" w:hAnsi="Calibri" w:cs="Times New Roman"/>
        </w:rPr>
        <w:t>са направени следните изчисления за необходимия финансов ресурс, който следва да бъде инвестиран в сектора:</w:t>
      </w:r>
    </w:p>
    <w:p w:rsidR="0000262E" w:rsidRPr="0000262E" w:rsidRDefault="0000262E" w:rsidP="0000262E">
      <w:pPr>
        <w:pStyle w:val="Caption"/>
        <w:spacing w:after="240"/>
        <w:ind w:firstLine="708"/>
        <w:rPr>
          <w:rFonts w:asciiTheme="minorHAnsi" w:hAnsiTheme="minorHAnsi" w:cstheme="minorHAnsi"/>
        </w:rPr>
      </w:pPr>
      <w:bookmarkStart w:id="17" w:name="_Toc399494884"/>
      <w:r w:rsidRPr="00325089">
        <w:rPr>
          <w:rFonts w:asciiTheme="minorHAnsi" w:hAnsiTheme="minorHAnsi" w:cstheme="minorHAnsi"/>
        </w:rPr>
        <w:t xml:space="preserve">Таблица </w:t>
      </w:r>
      <w:r w:rsidR="008E6461" w:rsidRPr="00325089">
        <w:rPr>
          <w:rFonts w:asciiTheme="minorHAnsi" w:hAnsiTheme="minorHAnsi" w:cstheme="minorHAnsi"/>
        </w:rPr>
        <w:fldChar w:fldCharType="begin"/>
      </w:r>
      <w:r w:rsidRPr="00325089">
        <w:rPr>
          <w:rFonts w:asciiTheme="minorHAnsi" w:hAnsiTheme="minorHAnsi" w:cstheme="minorHAnsi"/>
        </w:rPr>
        <w:instrText xml:space="preserve"> SEQ таблица \* ARABIC </w:instrText>
      </w:r>
      <w:r w:rsidR="008E6461" w:rsidRPr="00325089">
        <w:rPr>
          <w:rFonts w:asciiTheme="minorHAnsi" w:hAnsiTheme="minorHAnsi" w:cstheme="minorHAnsi"/>
        </w:rPr>
        <w:fldChar w:fldCharType="separate"/>
      </w:r>
      <w:r w:rsidR="003A69A7">
        <w:rPr>
          <w:rFonts w:asciiTheme="minorHAnsi" w:hAnsiTheme="minorHAnsi" w:cstheme="minorHAnsi"/>
          <w:noProof/>
        </w:rPr>
        <w:t>4</w:t>
      </w:r>
      <w:r w:rsidR="008E6461" w:rsidRPr="00325089">
        <w:rPr>
          <w:rFonts w:asciiTheme="minorHAnsi" w:hAnsiTheme="minorHAnsi" w:cstheme="minorHAnsi"/>
        </w:rPr>
        <w:fldChar w:fldCharType="end"/>
      </w:r>
      <w:r>
        <w:rPr>
          <w:rFonts w:asciiTheme="minorHAnsi" w:hAnsiTheme="minorHAnsi" w:cstheme="minorHAnsi"/>
        </w:rPr>
        <w:t>: Необходими краткосрочни инвестиции във ВиК сектора</w:t>
      </w:r>
      <w:bookmarkEnd w:id="17"/>
    </w:p>
    <w:tbl>
      <w:tblPr>
        <w:tblStyle w:val="MediumList2-Accent1"/>
        <w:tblW w:w="5966" w:type="dxa"/>
        <w:tblInd w:w="1073" w:type="dxa"/>
        <w:tblLook w:val="04A0" w:firstRow="1" w:lastRow="0" w:firstColumn="1" w:lastColumn="0" w:noHBand="0" w:noVBand="1"/>
      </w:tblPr>
      <w:tblGrid>
        <w:gridCol w:w="2040"/>
        <w:gridCol w:w="2083"/>
        <w:gridCol w:w="1843"/>
      </w:tblGrid>
      <w:tr w:rsidR="00BE0DD0" w:rsidRPr="009C0322" w:rsidTr="00BE0DD0">
        <w:trPr>
          <w:cnfStyle w:val="100000000000" w:firstRow="1" w:lastRow="0" w:firstColumn="0" w:lastColumn="0" w:oddVBand="0" w:evenVBand="0" w:oddHBand="0" w:evenHBand="0" w:firstRowFirstColumn="0" w:firstRowLastColumn="0" w:lastRowFirstColumn="0" w:lastRowLastColumn="0"/>
          <w:trHeight w:val="615"/>
        </w:trPr>
        <w:tc>
          <w:tcPr>
            <w:cnfStyle w:val="001000000100" w:firstRow="0" w:lastRow="0" w:firstColumn="1" w:lastColumn="0" w:oddVBand="0" w:evenVBand="0" w:oddHBand="0" w:evenHBand="0" w:firstRowFirstColumn="1" w:firstRowLastColumn="0" w:lastRowFirstColumn="0" w:lastRowLastColumn="0"/>
            <w:tcW w:w="2040" w:type="dxa"/>
            <w:hideMark/>
          </w:tcPr>
          <w:p w:rsidR="00BE0DD0" w:rsidRPr="009C0322" w:rsidRDefault="00BE0DD0" w:rsidP="009811D3">
            <w:pPr>
              <w:jc w:val="center"/>
              <w:rPr>
                <w:rFonts w:ascii="Calibri" w:eastAsia="Times New Roman" w:hAnsi="Calibri" w:cs="Calibri"/>
                <w:b/>
                <w:bCs/>
                <w:color w:val="000000"/>
                <w:lang w:eastAsia="bg-BG"/>
              </w:rPr>
            </w:pPr>
            <w:r w:rsidRPr="009C0322">
              <w:rPr>
                <w:rFonts w:ascii="Calibri" w:eastAsia="Times New Roman" w:hAnsi="Calibri" w:cs="Calibri"/>
                <w:b/>
                <w:bCs/>
                <w:color w:val="000000"/>
                <w:lang w:eastAsia="bg-BG"/>
              </w:rPr>
              <w:t>Обособена територия на ВиК</w:t>
            </w:r>
          </w:p>
        </w:tc>
        <w:tc>
          <w:tcPr>
            <w:tcW w:w="2083" w:type="dxa"/>
            <w:noWrap/>
            <w:hideMark/>
          </w:tcPr>
          <w:p w:rsidR="00BE0DD0" w:rsidRPr="009C0322" w:rsidRDefault="00BE0DD0"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bCs/>
                <w:color w:val="000000"/>
                <w:lang w:eastAsia="bg-BG"/>
              </w:rPr>
            </w:pPr>
            <w:r w:rsidRPr="009C0322">
              <w:rPr>
                <w:rFonts w:ascii="Calibri" w:eastAsia="Times New Roman" w:hAnsi="Calibri" w:cs="Calibri"/>
                <w:b/>
                <w:bCs/>
                <w:color w:val="000000"/>
                <w:lang w:eastAsia="bg-BG"/>
              </w:rPr>
              <w:t>Водоснабдяване</w:t>
            </w:r>
          </w:p>
        </w:tc>
        <w:tc>
          <w:tcPr>
            <w:tcW w:w="1843" w:type="dxa"/>
            <w:noWrap/>
            <w:hideMark/>
          </w:tcPr>
          <w:p w:rsidR="00BE0DD0" w:rsidRPr="009C0322" w:rsidRDefault="00BE0DD0"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bCs/>
                <w:color w:val="000000"/>
                <w:lang w:eastAsia="bg-BG"/>
              </w:rPr>
            </w:pPr>
            <w:r w:rsidRPr="009C0322">
              <w:rPr>
                <w:rFonts w:ascii="Calibri" w:eastAsia="Times New Roman" w:hAnsi="Calibri" w:cs="Calibri"/>
                <w:b/>
                <w:bCs/>
                <w:color w:val="000000"/>
                <w:lang w:eastAsia="bg-BG"/>
              </w:rPr>
              <w:t>Канализация</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Исперих</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sz w:val="20"/>
                <w:szCs w:val="20"/>
                <w:lang w:eastAsia="bg-BG"/>
              </w:rPr>
            </w:pPr>
            <w:r w:rsidRPr="009C60B0">
              <w:rPr>
                <w:rFonts w:ascii="Arial" w:eastAsia="Times New Roman" w:hAnsi="Arial" w:cs="Arial"/>
                <w:bCs/>
                <w:sz w:val="20"/>
                <w:szCs w:val="20"/>
                <w:lang w:eastAsia="bg-BG"/>
              </w:rPr>
              <w:t xml:space="preserve">       26 270 700 €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sz w:val="20"/>
                <w:szCs w:val="20"/>
                <w:lang w:eastAsia="bg-BG"/>
              </w:rPr>
            </w:pPr>
            <w:r w:rsidRPr="009C60B0">
              <w:rPr>
                <w:rFonts w:ascii="Arial" w:eastAsia="Times New Roman" w:hAnsi="Arial" w:cs="Arial"/>
                <w:bCs/>
                <w:sz w:val="20"/>
                <w:szCs w:val="20"/>
                <w:lang w:eastAsia="bg-BG"/>
              </w:rPr>
              <w:t xml:space="preserve">     68 849 300 €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Кубрат</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5 080 600 €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149 600 €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Пловдив</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106 698 900 €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846 101 800 €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Разград</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24 895 200 €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78 382 600 €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Русе</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148 898 300 €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311 305 200 €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Силистра</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64 991 500 €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69 087 800 €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Дупница</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23 479 887 €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33 773 385 €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Батак</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5 976 800 €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24 076 600 €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Белово</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6 976 700 €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9 447 000 €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Брацигово</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3 059 385 €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9 302 400 €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Панагюрище</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11 104 500 €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128 500 €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Пазарджик</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115 134 200 €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237 644 900 €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Пещера</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357 797 €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158 000 €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Ракитово</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3 607 200 €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22 407 200 €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Стрелча</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6 571 000 €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10 088 600 €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Велинград</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18 007 800 €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47 773 900 €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Димитровград</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21 573 200 €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50 501 600 €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Габрово</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105 973 900 €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22 150 100 €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Кнежа</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2 293 836 €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25 169 769 €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Кресна</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6 505 405 €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7 511 508 €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Ловеч</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54 999 974 €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133 013 905 €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Бургас</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243 144 851 €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340 495 795 €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Добрич</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96 675 157 €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178 829 643 €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Шумен</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261 969 309 €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130 349 265 €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Търговище</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129 663 009 €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29 505 156 €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Сливен</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173 971 929 €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79 566 116 €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Ямбол</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81 676 779 €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51 835 940 €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lastRenderedPageBreak/>
              <w:t>Стара Загора</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99 533 147 €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36 723 720 €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Варна</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167 601 479 €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164 840 502 €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Микрево</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2 393 869 €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5 904 927 €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Берковица</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6 202 042 €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19 461 005 €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Ботевград</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10 739 766 €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29 652 171 €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Хасково</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85 455 000 €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359 956 800 €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Кърджали</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53 794 300 €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50 884 300 €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Перник</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26 881 795 €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91 874 715 €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Петрич</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9 872 160 €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33 953 785 €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Смолян</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60 187 300 €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92 222 800 €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Стамболово</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2 012 900 €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221 400 €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Троян</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14 602 905 €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26 409 898 €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Враца</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7 379 199 €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284 042 610 €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Велико Търново</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99 380 600 €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180 729 600 €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Сандански</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4 515 525 €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32 224 387 €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София</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124 682 636 €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202 676 176 €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Свищов</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4 311 900 €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14 940 700 €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Кюстендил</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28 348 435 €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91 469 623 €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Благоевград</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48 543 027 €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201 357 585 €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Монтана</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56 196 308 €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97 292 350 €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Плевен</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43 449 269 €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259 904 772 €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Сапарева баня</w:t>
            </w:r>
          </w:p>
        </w:tc>
        <w:tc>
          <w:tcPr>
            <w:tcW w:w="208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8 455 062 € </w:t>
            </w:r>
          </w:p>
        </w:tc>
        <w:tc>
          <w:tcPr>
            <w:tcW w:w="1843" w:type="dxa"/>
            <w:noWrap/>
            <w:hideMark/>
          </w:tcPr>
          <w:p w:rsidR="00BE0DD0" w:rsidRPr="009C60B0"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8 060 590 € </w:t>
            </w:r>
          </w:p>
        </w:tc>
      </w:tr>
      <w:tr w:rsidR="00BE0DD0" w:rsidRPr="009C0322" w:rsidTr="00BE0DD0">
        <w:trPr>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color w:val="000000"/>
                <w:lang w:eastAsia="bg-BG"/>
              </w:rPr>
            </w:pPr>
            <w:r w:rsidRPr="009C0322">
              <w:rPr>
                <w:rFonts w:ascii="Calibri" w:eastAsia="Times New Roman" w:hAnsi="Calibri" w:cs="Calibri"/>
                <w:color w:val="000000"/>
                <w:lang w:eastAsia="bg-BG"/>
              </w:rPr>
              <w:t>Видин</w:t>
            </w:r>
          </w:p>
        </w:tc>
        <w:tc>
          <w:tcPr>
            <w:tcW w:w="208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26 965 729 € </w:t>
            </w:r>
          </w:p>
        </w:tc>
        <w:tc>
          <w:tcPr>
            <w:tcW w:w="1843" w:type="dxa"/>
            <w:noWrap/>
            <w:hideMark/>
          </w:tcPr>
          <w:p w:rsidR="00BE0DD0" w:rsidRPr="009C60B0" w:rsidRDefault="00BE0DD0" w:rsidP="009811D3">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bg-BG"/>
              </w:rPr>
            </w:pPr>
            <w:r w:rsidRPr="009C60B0">
              <w:rPr>
                <w:rFonts w:ascii="Arial" w:eastAsia="Times New Roman" w:hAnsi="Arial" w:cs="Arial"/>
                <w:bCs/>
                <w:color w:val="000000"/>
                <w:sz w:val="20"/>
                <w:szCs w:val="20"/>
                <w:lang w:eastAsia="bg-BG"/>
              </w:rPr>
              <w:t xml:space="preserve">    100 277 827 € </w:t>
            </w:r>
          </w:p>
        </w:tc>
      </w:tr>
      <w:tr w:rsidR="00BE0DD0" w:rsidRPr="009C0322" w:rsidTr="00BE0DD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040" w:type="dxa"/>
            <w:noWrap/>
            <w:hideMark/>
          </w:tcPr>
          <w:p w:rsidR="00BE0DD0" w:rsidRPr="009C0322" w:rsidRDefault="00BE0DD0" w:rsidP="009811D3">
            <w:pPr>
              <w:rPr>
                <w:rFonts w:ascii="Calibri" w:eastAsia="Times New Roman" w:hAnsi="Calibri" w:cs="Calibri"/>
                <w:b/>
                <w:bCs/>
                <w:color w:val="000000"/>
                <w:lang w:eastAsia="bg-BG"/>
              </w:rPr>
            </w:pPr>
            <w:r w:rsidRPr="009C0322">
              <w:rPr>
                <w:rFonts w:ascii="Calibri" w:eastAsia="Times New Roman" w:hAnsi="Calibri" w:cs="Calibri"/>
                <w:b/>
                <w:bCs/>
                <w:color w:val="000000"/>
                <w:lang w:eastAsia="bg-BG"/>
              </w:rPr>
              <w:t>ОБЩО</w:t>
            </w:r>
          </w:p>
        </w:tc>
        <w:tc>
          <w:tcPr>
            <w:tcW w:w="2083" w:type="dxa"/>
            <w:noWrap/>
            <w:hideMark/>
          </w:tcPr>
          <w:p w:rsidR="00BE0DD0" w:rsidRPr="009C0322"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20"/>
                <w:szCs w:val="20"/>
                <w:lang w:eastAsia="bg-BG"/>
              </w:rPr>
            </w:pPr>
            <w:r w:rsidRPr="009C0322">
              <w:rPr>
                <w:rFonts w:ascii="Arial" w:eastAsia="Times New Roman" w:hAnsi="Arial" w:cs="Arial"/>
                <w:b/>
                <w:bCs/>
                <w:color w:val="000000"/>
                <w:sz w:val="20"/>
                <w:szCs w:val="20"/>
                <w:lang w:eastAsia="bg-BG"/>
              </w:rPr>
              <w:t xml:space="preserve">   2 741 062 171 € </w:t>
            </w:r>
          </w:p>
        </w:tc>
        <w:tc>
          <w:tcPr>
            <w:tcW w:w="1843" w:type="dxa"/>
            <w:noWrap/>
            <w:hideMark/>
          </w:tcPr>
          <w:p w:rsidR="00BE0DD0" w:rsidRPr="009C0322" w:rsidRDefault="00BE0DD0" w:rsidP="009811D3">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20"/>
                <w:szCs w:val="20"/>
                <w:lang w:eastAsia="bg-BG"/>
              </w:rPr>
            </w:pPr>
            <w:r w:rsidRPr="009C0322">
              <w:rPr>
                <w:rFonts w:ascii="Arial" w:eastAsia="Times New Roman" w:hAnsi="Arial" w:cs="Arial"/>
                <w:b/>
                <w:bCs/>
                <w:color w:val="000000"/>
                <w:sz w:val="20"/>
                <w:szCs w:val="20"/>
                <w:lang w:eastAsia="bg-BG"/>
              </w:rPr>
              <w:t xml:space="preserve"> 5 202 687 825 € </w:t>
            </w:r>
          </w:p>
        </w:tc>
      </w:tr>
    </w:tbl>
    <w:p w:rsidR="00BE0DD0" w:rsidRPr="00BE0DD0" w:rsidRDefault="00BE0DD0" w:rsidP="00BE0DD0">
      <w:pPr>
        <w:widowControl w:val="0"/>
        <w:autoSpaceDE w:val="0"/>
        <w:autoSpaceDN w:val="0"/>
        <w:adjustRightInd w:val="0"/>
        <w:spacing w:before="240" w:after="0" w:line="239" w:lineRule="auto"/>
        <w:ind w:right="66"/>
        <w:jc w:val="both"/>
        <w:rPr>
          <w:rFonts w:ascii="Calibri" w:eastAsia="Calibri" w:hAnsi="Calibri" w:cs="Times New Roman"/>
        </w:rPr>
      </w:pPr>
      <w:r w:rsidRPr="00BE0DD0">
        <w:rPr>
          <w:rFonts w:ascii="Calibri" w:eastAsia="Calibri" w:hAnsi="Calibri" w:cs="Times New Roman"/>
        </w:rPr>
        <w:t>В краткосрочен и дългосрочен план</w:t>
      </w:r>
      <w:r w:rsidR="00C87AF0">
        <w:rPr>
          <w:rFonts w:ascii="Calibri" w:eastAsia="Calibri" w:hAnsi="Calibri" w:cs="Times New Roman"/>
        </w:rPr>
        <w:t xml:space="preserve"> съгласно Стратегията за развитие на ВиК сектора в България</w:t>
      </w:r>
      <w:r w:rsidRPr="00BE0DD0">
        <w:rPr>
          <w:rFonts w:ascii="Calibri" w:eastAsia="Calibri" w:hAnsi="Calibri" w:cs="Times New Roman"/>
        </w:rPr>
        <w:t xml:space="preserve">, необходимите разходи  за  привеждане  на  отрасъла  в  съответствие  със законовите изисквания се изчисляват на 7.5 млрд. лв., от които 7.1 млрд. лв. са за съответствие при отвеждането и пречистването на отпадъчни води. Спешните нужди от инвестиции за рехабилитация и подмяна в областта на водоснабдяването се оценяват на 5.0 млрд. лв., малка част от които (0.4 млрд. лева) са за постигане на съответствие във водоснабдяването. </w:t>
      </w:r>
      <w:r w:rsidR="00C87AF0">
        <w:rPr>
          <w:rFonts w:ascii="Calibri" w:eastAsia="Calibri" w:hAnsi="Calibri" w:cs="Times New Roman"/>
        </w:rPr>
        <w:t xml:space="preserve">Тези цифри не се различават съществено от прогнозните средносрочни инвестиционни програми </w:t>
      </w:r>
      <w:r w:rsidR="00C87AF0" w:rsidRPr="00CB7DDC">
        <w:rPr>
          <w:rFonts w:ascii="Calibri" w:eastAsia="Calibri" w:hAnsi="Calibri" w:cs="Times New Roman"/>
        </w:rPr>
        <w:t xml:space="preserve">към регионалните генерални </w:t>
      </w:r>
      <w:r w:rsidR="00C87AF0">
        <w:rPr>
          <w:rFonts w:ascii="Calibri" w:eastAsia="Calibri" w:hAnsi="Calibri" w:cs="Times New Roman"/>
        </w:rPr>
        <w:t>планове, като и в двата случая необходимият финансов ресурс е между 7,5 и 8 млрд. евро.</w:t>
      </w:r>
    </w:p>
    <w:p w:rsidR="00BE0DD0" w:rsidRPr="00BE0DD0" w:rsidRDefault="00BE0DD0" w:rsidP="00BE0DD0">
      <w:pPr>
        <w:widowControl w:val="0"/>
        <w:autoSpaceDE w:val="0"/>
        <w:autoSpaceDN w:val="0"/>
        <w:adjustRightInd w:val="0"/>
        <w:spacing w:before="240" w:after="0" w:line="239" w:lineRule="auto"/>
        <w:ind w:right="66"/>
        <w:jc w:val="both"/>
        <w:rPr>
          <w:rFonts w:ascii="Calibri" w:eastAsia="Calibri" w:hAnsi="Calibri" w:cs="Times New Roman"/>
        </w:rPr>
      </w:pPr>
      <w:r w:rsidRPr="00BE0DD0">
        <w:rPr>
          <w:rFonts w:ascii="Calibri" w:eastAsia="Calibri" w:hAnsi="Calibri" w:cs="Times New Roman"/>
          <w:b/>
          <w:i/>
        </w:rPr>
        <w:t>Анализът на предлагането</w:t>
      </w:r>
      <w:r w:rsidRPr="00BE0DD0">
        <w:rPr>
          <w:rFonts w:ascii="Calibri" w:eastAsia="Calibri" w:hAnsi="Calibri" w:cs="Times New Roman"/>
        </w:rPr>
        <w:t xml:space="preserve"> на ВиК услуги в страната и особено тяхното качество в значителна степен зависи от наличното финансиране за инвестиции в инфраструктура. През изминалия програмен период Оперативна програма “Околна среда” 2007-2013 г. е основен инструмент за изграждането на инфраструктура за намаляване на замърсяването на водните тела от непречистени битови отпадъчни води и подобряване качеството на питейните води. По ОПОС 2007-2013 г. предвидените средства за сектора са в размер на </w:t>
      </w:r>
      <w:r w:rsidR="009C60B0">
        <w:rPr>
          <w:rFonts w:ascii="Calibri" w:eastAsia="Calibri" w:hAnsi="Calibri" w:cs="Times New Roman"/>
        </w:rPr>
        <w:t>малко над 1.2</w:t>
      </w:r>
      <w:r w:rsidRPr="00BE0DD0">
        <w:rPr>
          <w:rFonts w:ascii="Calibri" w:eastAsia="Calibri" w:hAnsi="Calibri" w:cs="Times New Roman"/>
        </w:rPr>
        <w:t xml:space="preserve"> млрд. евро. Тяхното предназначение е да се изградят ВиК инфраструктурата съгласно изискванията на Директива 91/271/ЕИО и Директива 98/83/ЕО. </w:t>
      </w:r>
    </w:p>
    <w:p w:rsidR="00BE0DD0" w:rsidRPr="00BE0DD0" w:rsidRDefault="00BE0DD0" w:rsidP="00BE0DD0">
      <w:pPr>
        <w:widowControl w:val="0"/>
        <w:autoSpaceDE w:val="0"/>
        <w:autoSpaceDN w:val="0"/>
        <w:adjustRightInd w:val="0"/>
        <w:spacing w:before="240" w:line="239" w:lineRule="auto"/>
        <w:ind w:right="66"/>
        <w:jc w:val="both"/>
        <w:rPr>
          <w:rFonts w:ascii="Calibri" w:eastAsia="Calibri" w:hAnsi="Calibri" w:cs="Times New Roman"/>
        </w:rPr>
      </w:pPr>
      <w:r w:rsidRPr="00BE0DD0">
        <w:rPr>
          <w:rFonts w:ascii="Calibri" w:eastAsia="Calibri" w:hAnsi="Calibri" w:cs="Times New Roman"/>
        </w:rPr>
        <w:lastRenderedPageBreak/>
        <w:t>Реалното изпълн</w:t>
      </w:r>
      <w:r w:rsidR="004D6636">
        <w:rPr>
          <w:rFonts w:ascii="Calibri" w:eastAsia="Calibri" w:hAnsi="Calibri" w:cs="Times New Roman"/>
        </w:rPr>
        <w:t>ен</w:t>
      </w:r>
      <w:r w:rsidRPr="00BE0DD0">
        <w:rPr>
          <w:rFonts w:ascii="Calibri" w:eastAsia="Calibri" w:hAnsi="Calibri" w:cs="Times New Roman"/>
        </w:rPr>
        <w:t>ие на мерките по приоритетна ос 1 на програмата започна през 2010 г. след извършен анализ на обявените до 2009 г. процедури, подадените проектни предложения и последваща приоритизация на агломерациите, които следва да бъдат финансирани по ОПОС с цел спазване на ангажиментите по Директива 91/271/ЕИО и доброто финансово управление на ОПОС. В резултат на забавения старт на приоритетната ос, финансовият ресурс по приоритетна ос 1 е наддоговорен. Към настоящия момент са приключили или са в процес на изпълнение следните проекти:</w:t>
      </w:r>
    </w:p>
    <w:p w:rsidR="00BE0DD0" w:rsidRPr="0000262E" w:rsidRDefault="0000262E" w:rsidP="0000262E">
      <w:pPr>
        <w:pStyle w:val="Caption"/>
        <w:spacing w:after="240"/>
        <w:rPr>
          <w:rFonts w:asciiTheme="minorHAnsi" w:hAnsiTheme="minorHAnsi" w:cstheme="minorHAnsi"/>
        </w:rPr>
      </w:pPr>
      <w:bookmarkStart w:id="18" w:name="_Toc399494885"/>
      <w:r w:rsidRPr="00325089">
        <w:rPr>
          <w:rFonts w:asciiTheme="minorHAnsi" w:hAnsiTheme="minorHAnsi" w:cstheme="minorHAnsi"/>
        </w:rPr>
        <w:t xml:space="preserve">Таблица </w:t>
      </w:r>
      <w:r w:rsidR="008E6461" w:rsidRPr="00325089">
        <w:rPr>
          <w:rFonts w:asciiTheme="minorHAnsi" w:hAnsiTheme="minorHAnsi" w:cstheme="minorHAnsi"/>
        </w:rPr>
        <w:fldChar w:fldCharType="begin"/>
      </w:r>
      <w:r w:rsidRPr="00325089">
        <w:rPr>
          <w:rFonts w:asciiTheme="minorHAnsi" w:hAnsiTheme="minorHAnsi" w:cstheme="minorHAnsi"/>
        </w:rPr>
        <w:instrText xml:space="preserve"> SEQ таблица \* ARABIC </w:instrText>
      </w:r>
      <w:r w:rsidR="008E6461" w:rsidRPr="00325089">
        <w:rPr>
          <w:rFonts w:asciiTheme="minorHAnsi" w:hAnsiTheme="minorHAnsi" w:cstheme="minorHAnsi"/>
        </w:rPr>
        <w:fldChar w:fldCharType="separate"/>
      </w:r>
      <w:r w:rsidR="003A69A7">
        <w:rPr>
          <w:rFonts w:asciiTheme="minorHAnsi" w:hAnsiTheme="minorHAnsi" w:cstheme="minorHAnsi"/>
          <w:noProof/>
        </w:rPr>
        <w:t>5</w:t>
      </w:r>
      <w:r w:rsidR="008E6461" w:rsidRPr="00325089">
        <w:rPr>
          <w:rFonts w:asciiTheme="minorHAnsi" w:hAnsiTheme="minorHAnsi" w:cstheme="minorHAnsi"/>
        </w:rPr>
        <w:fldChar w:fldCharType="end"/>
      </w:r>
      <w:r>
        <w:rPr>
          <w:rFonts w:asciiTheme="minorHAnsi" w:hAnsiTheme="minorHAnsi" w:cstheme="minorHAnsi"/>
        </w:rPr>
        <w:t>:</w:t>
      </w:r>
      <w:r w:rsidRPr="0000262E">
        <w:rPr>
          <w:rFonts w:asciiTheme="minorHAnsi" w:hAnsiTheme="minorHAnsi" w:cstheme="minorHAnsi"/>
        </w:rPr>
        <w:t xml:space="preserve"> </w:t>
      </w:r>
      <w:r w:rsidR="00BE0DD0" w:rsidRPr="0000262E">
        <w:rPr>
          <w:rFonts w:asciiTheme="minorHAnsi" w:hAnsiTheme="minorHAnsi" w:cstheme="minorHAnsi"/>
        </w:rPr>
        <w:t>Процедура: BG161PO005-1.0.02 Подобряване и развитие на инфраструктурата за питейни и отпадъчни води</w:t>
      </w:r>
      <w:bookmarkEnd w:id="18"/>
    </w:p>
    <w:tbl>
      <w:tblPr>
        <w:tblStyle w:val="LightShading-Accent5"/>
        <w:tblW w:w="9078" w:type="dxa"/>
        <w:jc w:val="center"/>
        <w:tblLayout w:type="fixed"/>
        <w:tblLook w:val="04A0" w:firstRow="1" w:lastRow="0" w:firstColumn="1" w:lastColumn="0" w:noHBand="0" w:noVBand="1"/>
      </w:tblPr>
      <w:tblGrid>
        <w:gridCol w:w="2137"/>
        <w:gridCol w:w="1623"/>
        <w:gridCol w:w="1843"/>
        <w:gridCol w:w="1275"/>
        <w:gridCol w:w="2200"/>
      </w:tblGrid>
      <w:tr w:rsidR="00BE0DD0" w:rsidRPr="00BE41F6" w:rsidTr="009811D3">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jc w:val="center"/>
              <w:rPr>
                <w:rFonts w:eastAsia="Times New Roman" w:cstheme="minorHAnsi"/>
                <w:sz w:val="20"/>
                <w:szCs w:val="20"/>
                <w:lang w:eastAsia="bg-BG"/>
              </w:rPr>
            </w:pPr>
            <w:r w:rsidRPr="00BE41F6">
              <w:rPr>
                <w:rFonts w:eastAsia="Times New Roman" w:cstheme="minorHAnsi"/>
                <w:sz w:val="20"/>
                <w:szCs w:val="20"/>
                <w:lang w:eastAsia="bg-BG"/>
              </w:rPr>
              <w:t>Бенефициент</w:t>
            </w:r>
          </w:p>
        </w:tc>
        <w:tc>
          <w:tcPr>
            <w:tcW w:w="1623" w:type="dxa"/>
            <w:hideMark/>
          </w:tcPr>
          <w:p w:rsidR="00BE0DD0" w:rsidRPr="00BE41F6" w:rsidRDefault="00BE0DD0" w:rsidP="009811D3">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lang w:eastAsia="bg-BG"/>
              </w:rPr>
            </w:pPr>
            <w:r w:rsidRPr="00BE41F6">
              <w:rPr>
                <w:rFonts w:eastAsia="Times New Roman" w:cstheme="minorHAnsi"/>
                <w:sz w:val="20"/>
                <w:szCs w:val="20"/>
                <w:lang w:eastAsia="bg-BG"/>
              </w:rPr>
              <w:t>Обща стойност</w:t>
            </w:r>
            <w:r>
              <w:rPr>
                <w:rFonts w:eastAsia="Times New Roman" w:cstheme="minorHAnsi"/>
                <w:sz w:val="20"/>
                <w:szCs w:val="20"/>
                <w:lang w:eastAsia="bg-BG"/>
              </w:rPr>
              <w:t xml:space="preserve"> (лева)</w:t>
            </w:r>
          </w:p>
        </w:tc>
        <w:tc>
          <w:tcPr>
            <w:tcW w:w="1843" w:type="dxa"/>
            <w:hideMark/>
          </w:tcPr>
          <w:p w:rsidR="00BE0DD0" w:rsidRPr="00BE41F6" w:rsidRDefault="00BE0DD0" w:rsidP="009811D3">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lang w:eastAsia="bg-BG"/>
              </w:rPr>
            </w:pPr>
            <w:r w:rsidRPr="00BE41F6">
              <w:rPr>
                <w:rFonts w:eastAsia="Times New Roman" w:cstheme="minorHAnsi"/>
                <w:sz w:val="20"/>
                <w:szCs w:val="20"/>
                <w:lang w:eastAsia="bg-BG"/>
              </w:rPr>
              <w:t>Реално изплатени суми</w:t>
            </w:r>
            <w:r>
              <w:rPr>
                <w:rFonts w:eastAsia="Times New Roman" w:cstheme="minorHAnsi"/>
                <w:sz w:val="20"/>
                <w:szCs w:val="20"/>
                <w:lang w:eastAsia="bg-BG"/>
              </w:rPr>
              <w:t xml:space="preserve"> (лева)</w:t>
            </w:r>
          </w:p>
        </w:tc>
        <w:tc>
          <w:tcPr>
            <w:tcW w:w="1275" w:type="dxa"/>
            <w:hideMark/>
          </w:tcPr>
          <w:p w:rsidR="00BE0DD0" w:rsidRPr="00BE41F6" w:rsidRDefault="00BE0DD0" w:rsidP="009811D3">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sz w:val="20"/>
                <w:szCs w:val="20"/>
                <w:lang w:eastAsia="bg-BG"/>
              </w:rPr>
            </w:pPr>
            <w:r w:rsidRPr="00BE41F6">
              <w:rPr>
                <w:rFonts w:eastAsia="Times New Roman" w:cstheme="minorHAnsi"/>
                <w:sz w:val="20"/>
                <w:szCs w:val="20"/>
                <w:lang w:eastAsia="bg-BG"/>
              </w:rPr>
              <w:t>Продълж.</w:t>
            </w:r>
          </w:p>
          <w:p w:rsidR="00BE0DD0" w:rsidRPr="00BE41F6" w:rsidRDefault="00BE0DD0" w:rsidP="009811D3">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lang w:eastAsia="bg-BG"/>
              </w:rPr>
            </w:pPr>
            <w:r w:rsidRPr="00BE41F6">
              <w:rPr>
                <w:rFonts w:eastAsia="Times New Roman" w:cstheme="minorHAnsi"/>
                <w:sz w:val="20"/>
                <w:szCs w:val="20"/>
                <w:lang w:eastAsia="bg-BG"/>
              </w:rPr>
              <w:t>(месеци)</w:t>
            </w:r>
          </w:p>
        </w:tc>
        <w:tc>
          <w:tcPr>
            <w:tcW w:w="2200" w:type="dxa"/>
            <w:hideMark/>
          </w:tcPr>
          <w:p w:rsidR="00BE0DD0" w:rsidRPr="00BE41F6" w:rsidRDefault="00BE0DD0" w:rsidP="009811D3">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sz w:val="20"/>
                <w:szCs w:val="20"/>
                <w:lang w:eastAsia="bg-BG"/>
              </w:rPr>
            </w:pPr>
            <w:r w:rsidRPr="00BE41F6">
              <w:rPr>
                <w:rFonts w:eastAsia="Times New Roman" w:cstheme="minorHAnsi"/>
                <w:sz w:val="20"/>
                <w:szCs w:val="20"/>
                <w:lang w:eastAsia="bg-BG"/>
              </w:rPr>
              <w:t>Статус</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17"/>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Благоевград</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21 258 510,56</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11 385 291,14</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39,10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Временно спрян</w:t>
            </w:r>
          </w:p>
        </w:tc>
      </w:tr>
      <w:tr w:rsidR="00BE0DD0" w:rsidRPr="00BE41F6" w:rsidTr="009811D3">
        <w:trPr>
          <w:trHeight w:val="431"/>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Троян</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8 057 097,42</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5 087 231,59</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36,00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Временно спрян</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09"/>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Перник</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25 616 977,48</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25 882 671,38</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40,00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trHeight w:val="442"/>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Каварна</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7 052 115,36</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7 041 322,72</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44,10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34"/>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ГЛАВИНИЦА</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7 647 617,15</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7 631 488,86</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37,37</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trHeight w:val="413"/>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Сопот</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16 457 194,55</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14 158 081,75</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72,03</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349"/>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Вършец</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4 939 920,84</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4 939 920,84</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61,00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trHeight w:val="437"/>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Приморско</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18 795 925,58</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17 036 972,32</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28,00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660"/>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Горна Оряховица</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12 705 988,41</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7 385 320,02</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76,00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trHeight w:val="608"/>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Велико Търново</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44 734 372,51</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29 142 766,44</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66,93</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32"/>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Стралджа</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2 837 838,00</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216 315,50</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24,00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Временно спрян</w:t>
            </w:r>
          </w:p>
        </w:tc>
      </w:tr>
      <w:tr w:rsidR="00BE0DD0" w:rsidRPr="00BE41F6" w:rsidTr="009811D3">
        <w:trPr>
          <w:trHeight w:val="411"/>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Хисаря</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15 616 997,96</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14 701 970,13</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47,00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30"/>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Бургас</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5 553 418,53</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5 276 173,17</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40,00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trHeight w:val="574"/>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Тунджа</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23 187 888,47</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9 034 500,34</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72,00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26"/>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Бургас</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14 660 020,23</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9 824 349,02</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62,23</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trHeight w:val="504"/>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БЕЛОСЛАВ</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17 286 921,50</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16 901 772,09</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28,00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11"/>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Вълчи дол</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8 494 204,58</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8 072 873,85</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32,00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trHeight w:val="430"/>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Лозница</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15 872 827,53</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14 927 188,93</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70,00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Временно спрян</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22"/>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Ябланица</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8 965 257,36</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6 927 419,19</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75,07</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trHeight w:val="515"/>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ТЪРГОВИЩЕ</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17 500 550,29</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4 433 728,51</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71,00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23"/>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lastRenderedPageBreak/>
              <w:t>СТОЛИЧНА ОБЩИНА</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8 427 778,88</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8 324 769,37</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55,00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trHeight w:val="415"/>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Руен</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28 651 184,08</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28 573 303,82</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62,33</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34"/>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Попово</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7 966 036,39</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7 117 651,97</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47,00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Приключен</w:t>
            </w:r>
          </w:p>
        </w:tc>
      </w:tr>
      <w:tr w:rsidR="00BE0DD0" w:rsidRPr="00BE41F6" w:rsidTr="009811D3">
        <w:trPr>
          <w:trHeight w:val="412"/>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Каолиново</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22 585 846,68</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0,00</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40,00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Временно спрян</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33"/>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Казанлък</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5 980 166,40</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4 020 133,99</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29,63</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trHeight w:val="511"/>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Враца</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136 344 211,03</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39 690 997,82</w:t>
            </w:r>
          </w:p>
        </w:tc>
        <w:tc>
          <w:tcPr>
            <w:tcW w:w="1275"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71,00</w:t>
            </w:r>
          </w:p>
        </w:tc>
        <w:tc>
          <w:tcPr>
            <w:tcW w:w="2200" w:type="dxa"/>
            <w:hideMark/>
          </w:tcPr>
          <w:p w:rsidR="00BE0DD0" w:rsidRPr="00BE41F6" w:rsidRDefault="00BE0DD0" w:rsidP="009811D3">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cnfStyle w:val="000000100000" w:firstRow="0" w:lastRow="0" w:firstColumn="0" w:lastColumn="0" w:oddVBand="0" w:evenVBand="0" w:oddHBand="1" w:evenHBand="0" w:firstRowFirstColumn="0" w:firstRowLastColumn="0" w:lastRowFirstColumn="0" w:lastRowLastColumn="0"/>
          <w:trHeight w:val="419"/>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Община Габрово</w:t>
            </w:r>
          </w:p>
        </w:tc>
        <w:tc>
          <w:tcPr>
            <w:tcW w:w="162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123 539 184,42</w:t>
            </w:r>
          </w:p>
        </w:tc>
        <w:tc>
          <w:tcPr>
            <w:tcW w:w="1843" w:type="dxa"/>
            <w:noWrap/>
            <w:hideMark/>
          </w:tcPr>
          <w:p w:rsidR="00BE0DD0" w:rsidRPr="00BE41F6" w:rsidRDefault="00BE0DD0" w:rsidP="009811D3">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53 223 284,65</w:t>
            </w:r>
          </w:p>
        </w:tc>
        <w:tc>
          <w:tcPr>
            <w:tcW w:w="1275"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65,00</w:t>
            </w:r>
          </w:p>
        </w:tc>
        <w:tc>
          <w:tcPr>
            <w:tcW w:w="2200" w:type="dxa"/>
            <w:hideMark/>
          </w:tcPr>
          <w:p w:rsidR="00BE0DD0" w:rsidRPr="00BE41F6" w:rsidRDefault="00BE0DD0" w:rsidP="009811D3">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3399"/>
                <w:sz w:val="20"/>
                <w:szCs w:val="20"/>
                <w:lang w:eastAsia="bg-BG"/>
              </w:rPr>
            </w:pPr>
            <w:r w:rsidRPr="00BE41F6">
              <w:rPr>
                <w:rFonts w:eastAsia="Times New Roman" w:cstheme="minorHAnsi"/>
                <w:color w:val="003399"/>
                <w:sz w:val="20"/>
                <w:szCs w:val="20"/>
                <w:lang w:eastAsia="bg-BG"/>
              </w:rPr>
              <w:t>В процес на изпълнение</w:t>
            </w:r>
          </w:p>
        </w:tc>
      </w:tr>
      <w:tr w:rsidR="00BE0DD0" w:rsidRPr="00BE41F6" w:rsidTr="009811D3">
        <w:trPr>
          <w:trHeight w:val="300"/>
          <w:jc w:val="center"/>
        </w:trPr>
        <w:tc>
          <w:tcPr>
            <w:cnfStyle w:val="001000000000" w:firstRow="0" w:lastRow="0" w:firstColumn="1" w:lastColumn="0" w:oddVBand="0" w:evenVBand="0" w:oddHBand="0" w:evenHBand="0" w:firstRowFirstColumn="0" w:firstRowLastColumn="0" w:lastRowFirstColumn="0" w:lastRowLastColumn="0"/>
            <w:tcW w:w="2137" w:type="dxa"/>
            <w:hideMark/>
          </w:tcPr>
          <w:p w:rsidR="00BE0DD0" w:rsidRPr="00BE41F6" w:rsidRDefault="00BE0DD0" w:rsidP="009811D3">
            <w:pPr>
              <w:rPr>
                <w:rFonts w:eastAsia="Times New Roman" w:cstheme="minorHAnsi"/>
                <w:color w:val="003399"/>
                <w:sz w:val="20"/>
                <w:szCs w:val="20"/>
                <w:lang w:eastAsia="bg-BG"/>
              </w:rPr>
            </w:pPr>
            <w:r w:rsidRPr="00BE41F6">
              <w:rPr>
                <w:rFonts w:eastAsia="Times New Roman" w:cstheme="minorHAnsi"/>
                <w:color w:val="003399"/>
                <w:sz w:val="20"/>
                <w:szCs w:val="20"/>
                <w:lang w:eastAsia="bg-BG"/>
              </w:rPr>
              <w:t>ОБЩО</w:t>
            </w:r>
          </w:p>
        </w:tc>
        <w:tc>
          <w:tcPr>
            <w:tcW w:w="162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17375D"/>
                <w:sz w:val="20"/>
                <w:szCs w:val="20"/>
                <w:lang w:eastAsia="bg-BG"/>
              </w:rPr>
            </w:pPr>
            <w:r w:rsidRPr="00BE41F6">
              <w:rPr>
                <w:rFonts w:eastAsia="Times New Roman" w:cstheme="minorHAnsi"/>
                <w:b/>
                <w:bCs/>
                <w:color w:val="17375D"/>
                <w:sz w:val="20"/>
                <w:szCs w:val="20"/>
                <w:lang w:eastAsia="bg-BG"/>
              </w:rPr>
              <w:t>630 736 052,19</w:t>
            </w:r>
          </w:p>
        </w:tc>
        <w:tc>
          <w:tcPr>
            <w:tcW w:w="1843" w:type="dxa"/>
            <w:noWrap/>
            <w:hideMark/>
          </w:tcPr>
          <w:p w:rsidR="00BE0DD0" w:rsidRPr="00BE41F6" w:rsidRDefault="00BE0DD0" w:rsidP="009811D3">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17375D"/>
                <w:sz w:val="20"/>
                <w:szCs w:val="20"/>
                <w:lang w:eastAsia="bg-BG"/>
              </w:rPr>
            </w:pPr>
            <w:r w:rsidRPr="00BE41F6">
              <w:rPr>
                <w:rFonts w:eastAsia="Times New Roman" w:cstheme="minorHAnsi"/>
                <w:b/>
                <w:bCs/>
                <w:color w:val="17375D"/>
                <w:sz w:val="20"/>
                <w:szCs w:val="20"/>
                <w:lang w:eastAsia="bg-BG"/>
              </w:rPr>
              <w:t>360 957 499,41</w:t>
            </w:r>
          </w:p>
        </w:tc>
        <w:tc>
          <w:tcPr>
            <w:tcW w:w="1275" w:type="dxa"/>
            <w:noWrap/>
            <w:hideMark/>
          </w:tcPr>
          <w:p w:rsidR="00BE0DD0" w:rsidRPr="00BE41F6" w:rsidRDefault="00BE0DD0" w:rsidP="009811D3">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bg-BG"/>
              </w:rPr>
            </w:pPr>
          </w:p>
        </w:tc>
        <w:tc>
          <w:tcPr>
            <w:tcW w:w="2200" w:type="dxa"/>
            <w:noWrap/>
            <w:hideMark/>
          </w:tcPr>
          <w:p w:rsidR="00BE0DD0" w:rsidRPr="00BE41F6" w:rsidRDefault="00BE0DD0" w:rsidP="009811D3">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bg-BG"/>
              </w:rPr>
            </w:pPr>
          </w:p>
        </w:tc>
      </w:tr>
    </w:tbl>
    <w:p w:rsidR="00BE0DD0" w:rsidRPr="00BE0DD0" w:rsidRDefault="00BE0DD0" w:rsidP="00BE0DD0">
      <w:pPr>
        <w:widowControl w:val="0"/>
        <w:autoSpaceDE w:val="0"/>
        <w:autoSpaceDN w:val="0"/>
        <w:adjustRightInd w:val="0"/>
        <w:spacing w:after="0" w:line="239" w:lineRule="auto"/>
        <w:ind w:right="66"/>
        <w:jc w:val="both"/>
        <w:rPr>
          <w:rFonts w:ascii="Calibri" w:eastAsia="Calibri" w:hAnsi="Calibri" w:cs="Times New Roman"/>
          <w:i/>
          <w:sz w:val="20"/>
          <w:szCs w:val="20"/>
        </w:rPr>
      </w:pPr>
      <w:r w:rsidRPr="00BE0DD0">
        <w:rPr>
          <w:rFonts w:ascii="Calibri" w:eastAsia="Calibri" w:hAnsi="Calibri" w:cs="Times New Roman"/>
          <w:i/>
          <w:sz w:val="20"/>
          <w:szCs w:val="20"/>
        </w:rPr>
        <w:t xml:space="preserve">Източник: ИСУН </w:t>
      </w:r>
    </w:p>
    <w:p w:rsidR="00BE0DD0" w:rsidRDefault="00BE0DD0" w:rsidP="00BE0DD0">
      <w:pPr>
        <w:widowControl w:val="0"/>
        <w:autoSpaceDE w:val="0"/>
        <w:autoSpaceDN w:val="0"/>
        <w:adjustRightInd w:val="0"/>
        <w:spacing w:after="0" w:line="239" w:lineRule="auto"/>
        <w:ind w:right="66"/>
        <w:jc w:val="both"/>
        <w:rPr>
          <w:i/>
        </w:rPr>
      </w:pPr>
    </w:p>
    <w:p w:rsidR="00BE0DD0" w:rsidRPr="0000262E" w:rsidRDefault="0000262E" w:rsidP="0000262E">
      <w:pPr>
        <w:pStyle w:val="Caption"/>
        <w:spacing w:after="240"/>
        <w:rPr>
          <w:rFonts w:asciiTheme="minorHAnsi" w:hAnsiTheme="minorHAnsi" w:cstheme="minorHAnsi"/>
        </w:rPr>
      </w:pPr>
      <w:bookmarkStart w:id="19" w:name="_Toc399494886"/>
      <w:r w:rsidRPr="00325089">
        <w:rPr>
          <w:rFonts w:asciiTheme="minorHAnsi" w:hAnsiTheme="minorHAnsi" w:cstheme="minorHAnsi"/>
        </w:rPr>
        <w:t xml:space="preserve">Таблица </w:t>
      </w:r>
      <w:r w:rsidR="008E6461" w:rsidRPr="00325089">
        <w:rPr>
          <w:rFonts w:asciiTheme="minorHAnsi" w:hAnsiTheme="minorHAnsi" w:cstheme="minorHAnsi"/>
        </w:rPr>
        <w:fldChar w:fldCharType="begin"/>
      </w:r>
      <w:r w:rsidRPr="00325089">
        <w:rPr>
          <w:rFonts w:asciiTheme="minorHAnsi" w:hAnsiTheme="minorHAnsi" w:cstheme="minorHAnsi"/>
        </w:rPr>
        <w:instrText xml:space="preserve"> SEQ таблица \* ARABIC </w:instrText>
      </w:r>
      <w:r w:rsidR="008E6461" w:rsidRPr="00325089">
        <w:rPr>
          <w:rFonts w:asciiTheme="minorHAnsi" w:hAnsiTheme="minorHAnsi" w:cstheme="minorHAnsi"/>
        </w:rPr>
        <w:fldChar w:fldCharType="separate"/>
      </w:r>
      <w:r w:rsidR="003A69A7">
        <w:rPr>
          <w:rFonts w:asciiTheme="minorHAnsi" w:hAnsiTheme="minorHAnsi" w:cstheme="minorHAnsi"/>
          <w:noProof/>
        </w:rPr>
        <w:t>6</w:t>
      </w:r>
      <w:r w:rsidR="008E6461" w:rsidRPr="00325089">
        <w:rPr>
          <w:rFonts w:asciiTheme="minorHAnsi" w:hAnsiTheme="minorHAnsi" w:cstheme="minorHAnsi"/>
        </w:rPr>
        <w:fldChar w:fldCharType="end"/>
      </w:r>
      <w:r>
        <w:rPr>
          <w:rFonts w:asciiTheme="minorHAnsi" w:hAnsiTheme="minorHAnsi" w:cstheme="minorHAnsi"/>
        </w:rPr>
        <w:t>:</w:t>
      </w:r>
      <w:r w:rsidRPr="0000262E">
        <w:rPr>
          <w:rFonts w:asciiTheme="minorHAnsi" w:hAnsiTheme="minorHAnsi" w:cstheme="minorHAnsi"/>
        </w:rPr>
        <w:t xml:space="preserve"> </w:t>
      </w:r>
      <w:r w:rsidR="00BE0DD0" w:rsidRPr="0000262E">
        <w:rPr>
          <w:rFonts w:asciiTheme="minorHAnsi" w:hAnsiTheme="minorHAnsi" w:cstheme="minorHAnsi"/>
        </w:rPr>
        <w:t>Процедура: BG161PO005-1.0.06 Подобряване и развитие на инфраструктурата за питейни и отпадъчни води в агломерации над 10 000 е.ж.</w:t>
      </w:r>
      <w:bookmarkEnd w:id="19"/>
    </w:p>
    <w:tbl>
      <w:tblPr>
        <w:tblStyle w:val="LightShading-Accent52"/>
        <w:tblW w:w="9180" w:type="dxa"/>
        <w:tblLayout w:type="fixed"/>
        <w:tblLook w:val="04A0" w:firstRow="1" w:lastRow="0" w:firstColumn="1" w:lastColumn="0" w:noHBand="0" w:noVBand="1"/>
      </w:tblPr>
      <w:tblGrid>
        <w:gridCol w:w="2137"/>
        <w:gridCol w:w="1657"/>
        <w:gridCol w:w="1920"/>
        <w:gridCol w:w="1275"/>
        <w:gridCol w:w="2191"/>
      </w:tblGrid>
      <w:tr w:rsidR="009811D3" w:rsidRPr="009811D3" w:rsidTr="009811D3">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jc w:val="center"/>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Бенефициент</w:t>
            </w:r>
          </w:p>
        </w:tc>
        <w:tc>
          <w:tcPr>
            <w:tcW w:w="1657"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Обща стойност (лева)</w:t>
            </w:r>
          </w:p>
        </w:tc>
        <w:tc>
          <w:tcPr>
            <w:tcW w:w="1920"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Реално изплатени суми (лева)</w:t>
            </w:r>
          </w:p>
        </w:tc>
        <w:tc>
          <w:tcPr>
            <w:tcW w:w="1275"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Продълж.</w:t>
            </w:r>
          </w:p>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(месеци)</w:t>
            </w:r>
          </w:p>
        </w:tc>
        <w:tc>
          <w:tcPr>
            <w:tcW w:w="2191"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Статус</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Трявна</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13 141 649,47</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2 654 576,67</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37,00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ТЕРВЕЛ</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17 667 001,59</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5 324 633,88</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38,00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Козлодуй</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21 892 101,78</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11 992 320,71</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45,00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Средец</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9 887 514,94</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5 069 016,11</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34,00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Пещера</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28 715 233,43</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11 689 824,94</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38,00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Столична Община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5 582 663,75</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2 075 559,48</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31,00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Пирдоп</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42 984 245,33</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34 021 473,39</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Бургас</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10 845 887,80</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5 238 386,46</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40,00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Oбщина Кричим</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33 852 989,90</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15 810 248,03</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Раковски</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58 894 977,41</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32 057 906,59</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Хисаря</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31 561 047,34</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24 743 266,11</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32,00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ПРОВАДИЯ</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13 984 258,35</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15 769 152,49</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26,00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Кнежа</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32 940 428,16</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16 960 680,36</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ВАРНА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41 557 184,98</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8 204 914,61</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37,00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ЛОВЕЧ</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8 125 543,24</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3 998 011,25</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37,53</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lastRenderedPageBreak/>
              <w:t>Община Стара Загора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40 399 581,97</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9 451 191,24</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Бургас</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30 897 506,35</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7 338 767,42</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41,00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Исперих</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49 768 510,12</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9 638 169,67</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31,00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Бяла</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13 136 834,50</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3 740 925,65</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34,00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Бяла Слатина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22 749 879,78</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17 516 233,20</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Благоевград</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7 233 900,52</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1 390 721,85</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Велики Преслав</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11 296 141,59</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3 856 150,39</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27,00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Свищов</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30 138 347,50</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11 502 224,60</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37,00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Нови пазар</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36 747 604,39</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7 125 360,49</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29,00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Червен бряг</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24 213 390,26</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4 663 591,32</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Банско</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89 286 639,26</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20 970 548,75</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37,00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Сопот</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35 280 094,80</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0,00</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35,20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Столична Община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61 055 777,91</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11 550 532,07</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Столична Община</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4 711 948,13</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862 946,18</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27,00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Столична Община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28 403 317,41</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5 510 243,58</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Етрополе</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22 217 659,20</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15 943 526,25</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28,00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Казанлък</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22 867 404,17</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6 665 631,72</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40,00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Созопол</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77 291 892,35</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23 064 412,87</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НЕСЕБЪР</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95 842 113,85</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36 152 319,31</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Аксаково</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13 482 600,20</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5 317 255,38</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Ботевград</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20 116 016,16</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8 274 925,88</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32,00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СТАМБОЛИЙСКИ</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41 070 510,79</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11 762 031,71</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29,00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Мездра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20 317 528,14</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6 706 972,06</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31,00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Карлово</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15 191 337,99</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731 083,14</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20,00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Ямбол</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93 092 225,34</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21 800 301,33</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31,00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БЯЛА</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40 396 596,98</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1 957 093,46</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Кубрат</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44 218 715,47</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16 941 149,39</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34,00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lastRenderedPageBreak/>
              <w:t>Община Костинброд</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97 405 411,01</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56 570 253,60</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37,00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МОНТАНА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54 544 237,52</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23 461 024,04</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29,00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Панагюрище</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58 800 943,39</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21 229 752,14</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Шумен</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75 712 867,35</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14 485 199,74</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Сливен</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63 524 520,32</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23 420 362,44</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28,00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Луковит</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33 666 131,62</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6 529 007,29</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Момчилград</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25 610 370,81</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13 368 293,42</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32,00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ПЕТРИЧ</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24 611 295,04</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1 158 508,70</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Димитровград</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13 274 503,93</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5 156 150,46</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28,00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Силистра</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72 552 548,50</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14 434 904,41</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27,00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Видин</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75 021 684,29</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21 415 731,04</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27,00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Септември</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9 018 280,51</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1 688 222,11</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ПОМОРИЕ</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96 686 234,48</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18 636 597,04</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32,00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Свиленград</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48 004 785,34</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13 967 299,37</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Раднево</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38 949 684,44</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6 799 304,11</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Белене</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42 392 916,17</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264 680,00</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32,00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Първомай</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36 007 563,02</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15 987 148,35</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Троян</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29 486 104,51</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5 597 366,20</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26,00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Севлиево</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18 890 193,03</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6 434 397,00</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Павликени</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30 222 879,95</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11 983 568,17</w:t>
            </w:r>
          </w:p>
        </w:tc>
        <w:tc>
          <w:tcPr>
            <w:tcW w:w="1275"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33,00</w:t>
            </w:r>
          </w:p>
        </w:tc>
        <w:tc>
          <w:tcPr>
            <w:tcW w:w="2191"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Кърджали</w:t>
            </w:r>
          </w:p>
        </w:tc>
        <w:tc>
          <w:tcPr>
            <w:tcW w:w="1657"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72 069 182,65</w:t>
            </w:r>
          </w:p>
        </w:tc>
        <w:tc>
          <w:tcPr>
            <w:tcW w:w="1920"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24 254 455,21</w:t>
            </w:r>
          </w:p>
        </w:tc>
        <w:tc>
          <w:tcPr>
            <w:tcW w:w="1275"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30,00</w:t>
            </w:r>
          </w:p>
        </w:tc>
        <w:tc>
          <w:tcPr>
            <w:tcW w:w="2191"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2137" w:type="dxa"/>
            <w:hideMark/>
          </w:tcPr>
          <w:p w:rsidR="009811D3" w:rsidRPr="009811D3" w:rsidRDefault="009811D3" w:rsidP="009811D3">
            <w:pPr>
              <w:rPr>
                <w:rFonts w:ascii="Calibri" w:eastAsia="Times New Roman" w:hAnsi="Calibri" w:cs="Calibri"/>
                <w:color w:val="002060"/>
                <w:sz w:val="20"/>
                <w:szCs w:val="20"/>
                <w:lang w:eastAsia="bg-BG"/>
              </w:rPr>
            </w:pPr>
            <w:r w:rsidRPr="009811D3">
              <w:rPr>
                <w:rFonts w:ascii="Calibri" w:eastAsia="Times New Roman" w:hAnsi="Calibri" w:cs="Calibri"/>
                <w:color w:val="002060"/>
                <w:sz w:val="20"/>
                <w:szCs w:val="20"/>
                <w:lang w:eastAsia="bg-BG"/>
              </w:rPr>
              <w:t>ОБЩО</w:t>
            </w:r>
          </w:p>
        </w:tc>
        <w:tc>
          <w:tcPr>
            <w:tcW w:w="1657"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2060"/>
                <w:sz w:val="20"/>
                <w:szCs w:val="20"/>
                <w:lang w:eastAsia="bg-BG"/>
              </w:rPr>
            </w:pPr>
            <w:r w:rsidRPr="009811D3">
              <w:rPr>
                <w:rFonts w:ascii="Calibri" w:eastAsia="Times New Roman" w:hAnsi="Calibri" w:cs="Calibri"/>
                <w:b/>
                <w:bCs/>
                <w:color w:val="002060"/>
                <w:sz w:val="20"/>
                <w:szCs w:val="20"/>
                <w:lang w:eastAsia="bg-BG"/>
              </w:rPr>
              <w:t>2 379 509 140,48</w:t>
            </w:r>
          </w:p>
        </w:tc>
        <w:tc>
          <w:tcPr>
            <w:tcW w:w="1920"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2060"/>
                <w:sz w:val="20"/>
                <w:szCs w:val="20"/>
                <w:lang w:eastAsia="bg-BG"/>
              </w:rPr>
            </w:pPr>
            <w:r w:rsidRPr="009811D3">
              <w:rPr>
                <w:rFonts w:ascii="Calibri" w:eastAsia="Times New Roman" w:hAnsi="Calibri" w:cs="Calibri"/>
                <w:b/>
                <w:bCs/>
                <w:color w:val="002060"/>
                <w:sz w:val="20"/>
                <w:szCs w:val="20"/>
                <w:lang w:eastAsia="bg-BG"/>
              </w:rPr>
              <w:t>772 886 504,83</w:t>
            </w:r>
          </w:p>
        </w:tc>
        <w:tc>
          <w:tcPr>
            <w:tcW w:w="1275" w:type="dxa"/>
            <w:noWrap/>
            <w:hideMark/>
          </w:tcPr>
          <w:p w:rsidR="009811D3" w:rsidRPr="009811D3" w:rsidRDefault="009811D3" w:rsidP="009811D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bg-BG"/>
              </w:rPr>
            </w:pPr>
          </w:p>
        </w:tc>
        <w:tc>
          <w:tcPr>
            <w:tcW w:w="2191" w:type="dxa"/>
            <w:noWrap/>
            <w:hideMark/>
          </w:tcPr>
          <w:p w:rsidR="009811D3" w:rsidRPr="009811D3" w:rsidRDefault="009811D3" w:rsidP="009811D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bg-BG"/>
              </w:rPr>
            </w:pPr>
          </w:p>
        </w:tc>
      </w:tr>
    </w:tbl>
    <w:p w:rsidR="009811D3" w:rsidRPr="00BE41F6" w:rsidRDefault="009811D3" w:rsidP="009811D3">
      <w:pPr>
        <w:widowControl w:val="0"/>
        <w:autoSpaceDE w:val="0"/>
        <w:autoSpaceDN w:val="0"/>
        <w:adjustRightInd w:val="0"/>
        <w:spacing w:after="0" w:line="239" w:lineRule="auto"/>
        <w:ind w:right="66"/>
        <w:jc w:val="both"/>
        <w:rPr>
          <w:i/>
          <w:sz w:val="20"/>
          <w:szCs w:val="20"/>
        </w:rPr>
      </w:pPr>
      <w:r w:rsidRPr="00BE41F6">
        <w:rPr>
          <w:i/>
          <w:sz w:val="20"/>
          <w:szCs w:val="20"/>
        </w:rPr>
        <w:t xml:space="preserve">Източник: ИСУН </w:t>
      </w:r>
    </w:p>
    <w:p w:rsidR="009811D3" w:rsidRDefault="009811D3" w:rsidP="009811D3">
      <w:pPr>
        <w:widowControl w:val="0"/>
        <w:autoSpaceDE w:val="0"/>
        <w:autoSpaceDN w:val="0"/>
        <w:adjustRightInd w:val="0"/>
        <w:spacing w:before="240" w:line="239" w:lineRule="auto"/>
        <w:ind w:right="66"/>
        <w:jc w:val="both"/>
      </w:pPr>
      <w:r>
        <w:t xml:space="preserve">В рамките на изминалия програмен период е </w:t>
      </w:r>
      <w:r w:rsidRPr="009C0322">
        <w:t>идентифицирана значителна група проекти с добро качество, които отговарят не само на законодателните изисквания, но и на принципите за добро финансово управление, които реално могат да продължат или да започнат изпълнението си в периода 2014-2020 г.</w:t>
      </w:r>
      <w:r>
        <w:t xml:space="preserve"> Тези проекти са подготвени в рамките на </w:t>
      </w:r>
      <w:r w:rsidRPr="00BD2C53">
        <w:t>Процедура BG161PO005-1.0.07 Подготовка и изпълнение на проекти за подобряване и развитие на инфраструктура за питейни и отпадъчни води в агломерации над 10 000 е.ж</w:t>
      </w:r>
      <w:r>
        <w:t>.:</w:t>
      </w:r>
    </w:p>
    <w:p w:rsidR="00CC74D4" w:rsidRPr="0000262E" w:rsidRDefault="0000262E" w:rsidP="0000262E">
      <w:pPr>
        <w:pStyle w:val="Caption"/>
        <w:spacing w:after="240"/>
        <w:rPr>
          <w:rFonts w:asciiTheme="minorHAnsi" w:hAnsiTheme="minorHAnsi" w:cstheme="minorHAnsi"/>
        </w:rPr>
      </w:pPr>
      <w:bookmarkStart w:id="20" w:name="_Toc399494887"/>
      <w:r w:rsidRPr="00325089">
        <w:rPr>
          <w:rFonts w:asciiTheme="minorHAnsi" w:hAnsiTheme="minorHAnsi" w:cstheme="minorHAnsi"/>
        </w:rPr>
        <w:lastRenderedPageBreak/>
        <w:t xml:space="preserve">Таблица </w:t>
      </w:r>
      <w:r w:rsidR="008E6461" w:rsidRPr="00325089">
        <w:rPr>
          <w:rFonts w:asciiTheme="minorHAnsi" w:hAnsiTheme="minorHAnsi" w:cstheme="minorHAnsi"/>
        </w:rPr>
        <w:fldChar w:fldCharType="begin"/>
      </w:r>
      <w:r w:rsidRPr="00325089">
        <w:rPr>
          <w:rFonts w:asciiTheme="minorHAnsi" w:hAnsiTheme="minorHAnsi" w:cstheme="minorHAnsi"/>
        </w:rPr>
        <w:instrText xml:space="preserve"> SEQ таблица \* ARABIC </w:instrText>
      </w:r>
      <w:r w:rsidR="008E6461" w:rsidRPr="00325089">
        <w:rPr>
          <w:rFonts w:asciiTheme="minorHAnsi" w:hAnsiTheme="minorHAnsi" w:cstheme="minorHAnsi"/>
        </w:rPr>
        <w:fldChar w:fldCharType="separate"/>
      </w:r>
      <w:r w:rsidR="003A69A7">
        <w:rPr>
          <w:rFonts w:asciiTheme="minorHAnsi" w:hAnsiTheme="minorHAnsi" w:cstheme="minorHAnsi"/>
          <w:noProof/>
        </w:rPr>
        <w:t>7</w:t>
      </w:r>
      <w:r w:rsidR="008E6461" w:rsidRPr="00325089">
        <w:rPr>
          <w:rFonts w:asciiTheme="minorHAnsi" w:hAnsiTheme="minorHAnsi" w:cstheme="minorHAnsi"/>
        </w:rPr>
        <w:fldChar w:fldCharType="end"/>
      </w:r>
      <w:r>
        <w:rPr>
          <w:rFonts w:asciiTheme="minorHAnsi" w:hAnsiTheme="minorHAnsi" w:cstheme="minorHAnsi"/>
        </w:rPr>
        <w:t>:</w:t>
      </w:r>
      <w:r w:rsidRPr="0000262E">
        <w:t xml:space="preserve"> </w:t>
      </w:r>
      <w:r w:rsidRPr="0000262E">
        <w:rPr>
          <w:rFonts w:asciiTheme="minorHAnsi" w:hAnsiTheme="minorHAnsi" w:cstheme="minorHAnsi"/>
        </w:rPr>
        <w:t>Процедура BG161PO005-1.0.07 Подготовка и изпълнение на проекти за подобряване и развитие на инфраструктура за питейни и отпадъчни води в агломерации над 10 000 е.ж.</w:t>
      </w:r>
      <w:bookmarkEnd w:id="20"/>
    </w:p>
    <w:tbl>
      <w:tblPr>
        <w:tblStyle w:val="LightShading-Accent53"/>
        <w:tblW w:w="9082" w:type="dxa"/>
        <w:tblLook w:val="04A0" w:firstRow="1" w:lastRow="0" w:firstColumn="1" w:lastColumn="0" w:noHBand="0" w:noVBand="1"/>
      </w:tblPr>
      <w:tblGrid>
        <w:gridCol w:w="1949"/>
        <w:gridCol w:w="1605"/>
        <w:gridCol w:w="1985"/>
        <w:gridCol w:w="1559"/>
        <w:gridCol w:w="1984"/>
      </w:tblGrid>
      <w:tr w:rsidR="009811D3" w:rsidRPr="009811D3" w:rsidTr="009811D3">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jc w:val="center"/>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Бенефициент</w:t>
            </w:r>
          </w:p>
        </w:tc>
        <w:tc>
          <w:tcPr>
            <w:tcW w:w="1605"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Обща стойност (лева)</w:t>
            </w:r>
          </w:p>
        </w:tc>
        <w:tc>
          <w:tcPr>
            <w:tcW w:w="1985"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Реално изплатени суми (лева)</w:t>
            </w:r>
          </w:p>
        </w:tc>
        <w:tc>
          <w:tcPr>
            <w:tcW w:w="1559"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Продълж.</w:t>
            </w:r>
          </w:p>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(месеци)</w:t>
            </w:r>
          </w:p>
        </w:tc>
        <w:tc>
          <w:tcPr>
            <w:tcW w:w="1984"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bg-BG"/>
              </w:rPr>
            </w:pPr>
            <w:r w:rsidRPr="009811D3">
              <w:rPr>
                <w:rFonts w:ascii="Calibri" w:eastAsia="Times New Roman" w:hAnsi="Calibri" w:cs="Calibri"/>
                <w:sz w:val="20"/>
                <w:szCs w:val="20"/>
                <w:lang w:eastAsia="bg-BG"/>
              </w:rPr>
              <w:t>Статус</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Oбщина Разлог</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8 200 667,09</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77 033,40</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46,00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Чирпан</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42 070 028,68</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640 809,44</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46,00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Дряново</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24 592 609,10</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339 573,72</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41,00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Айтос</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31 017 340,00</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151 240,00</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42,30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Левски</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43 661 062,22</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533 079,04</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46,37</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РАДОМИР</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79 844 040,00</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464 299,40</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57,37</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Попово</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28 537 437,45</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241 592,59</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40,00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ЕЛИН ПЕЛИН</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40 642 709,36</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297 566,08</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51,00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Смолян</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41 195 567,46</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1 149 556,49</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48,00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Пазарджик</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49 822 725,34</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601 683,06</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48,00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Разград</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35 031 308,05</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153 216,60</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44,00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Бургас</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19 132 711,00</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148 557,60</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Тутракан</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19 960 312,62</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523 727,52</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40,00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ИХТИМАН</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28 645 461,44</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555 583,81</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44,00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Балчик</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32 445 369,75</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170 475,90</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ВАРНА</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48 056 411,96</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353 962,79</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44,87</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 процес на изпълнение</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Бургас</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23 313 852,25</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158 192,40</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Балчик</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18 884 558,48</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273 101,70</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27,07</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Каварна</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19 278 754,68</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309 637,01</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41,80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Кюстендил</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87 807 247,20</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684 926,08</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40,00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Приморско</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42 419 124,25</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146 065,88</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41,40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ДУЛОВО</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22 211 606,00</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0,00</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35,00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Елхово</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18 093 346,43</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337 002,98</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Столична Община</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28 547 353,90</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231 848,20</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34,00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Сандански</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51 535 151,25</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186 192,00</w:t>
            </w:r>
          </w:p>
        </w:tc>
        <w:tc>
          <w:tcPr>
            <w:tcW w:w="1559"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36,00</w:t>
            </w:r>
          </w:p>
        </w:tc>
        <w:tc>
          <w:tcPr>
            <w:tcW w:w="1984"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trHeight w:val="315"/>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Община Гълъбово</w:t>
            </w:r>
          </w:p>
        </w:tc>
        <w:tc>
          <w:tcPr>
            <w:tcW w:w="160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33 840 592,24</w:t>
            </w:r>
          </w:p>
        </w:tc>
        <w:tc>
          <w:tcPr>
            <w:tcW w:w="1985"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124 825,42</w:t>
            </w:r>
          </w:p>
        </w:tc>
        <w:tc>
          <w:tcPr>
            <w:tcW w:w="1559"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26,00</w:t>
            </w:r>
          </w:p>
        </w:tc>
        <w:tc>
          <w:tcPr>
            <w:tcW w:w="1984" w:type="dxa"/>
            <w:hideMark/>
          </w:tcPr>
          <w:p w:rsidR="009811D3" w:rsidRPr="009811D3" w:rsidRDefault="009811D3" w:rsidP="009811D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sz w:val="20"/>
                <w:szCs w:val="20"/>
                <w:lang w:eastAsia="bg-BG"/>
              </w:rPr>
            </w:pPr>
            <w:r w:rsidRPr="009811D3">
              <w:rPr>
                <w:rFonts w:ascii="Calibri" w:eastAsia="Times New Roman" w:hAnsi="Calibri" w:cs="Calibri"/>
                <w:color w:val="003399"/>
                <w:sz w:val="20"/>
                <w:szCs w:val="20"/>
                <w:lang w:eastAsia="bg-BG"/>
              </w:rPr>
              <w:t>Временно спрян</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49" w:type="dxa"/>
            <w:hideMark/>
          </w:tcPr>
          <w:p w:rsidR="009811D3" w:rsidRPr="009811D3" w:rsidRDefault="009811D3" w:rsidP="009811D3">
            <w:pPr>
              <w:rPr>
                <w:rFonts w:ascii="Calibri" w:eastAsia="Times New Roman" w:hAnsi="Calibri" w:cs="Calibri"/>
                <w:color w:val="002060"/>
                <w:sz w:val="20"/>
                <w:szCs w:val="20"/>
                <w:lang w:eastAsia="bg-BG"/>
              </w:rPr>
            </w:pPr>
            <w:r w:rsidRPr="009811D3">
              <w:rPr>
                <w:rFonts w:ascii="Calibri" w:eastAsia="Times New Roman" w:hAnsi="Calibri" w:cs="Calibri"/>
                <w:color w:val="002060"/>
                <w:sz w:val="20"/>
                <w:szCs w:val="20"/>
                <w:lang w:eastAsia="bg-BG"/>
              </w:rPr>
              <w:t>ОБЩО</w:t>
            </w:r>
          </w:p>
        </w:tc>
        <w:tc>
          <w:tcPr>
            <w:tcW w:w="160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2060"/>
                <w:sz w:val="20"/>
                <w:szCs w:val="20"/>
                <w:lang w:eastAsia="bg-BG"/>
              </w:rPr>
            </w:pPr>
            <w:r w:rsidRPr="009811D3">
              <w:rPr>
                <w:rFonts w:ascii="Calibri" w:eastAsia="Times New Roman" w:hAnsi="Calibri" w:cs="Calibri"/>
                <w:b/>
                <w:bCs/>
                <w:color w:val="002060"/>
                <w:sz w:val="20"/>
                <w:szCs w:val="20"/>
                <w:lang w:eastAsia="bg-BG"/>
              </w:rPr>
              <w:t>918 787 348,20</w:t>
            </w:r>
          </w:p>
        </w:tc>
        <w:tc>
          <w:tcPr>
            <w:tcW w:w="1985"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2060"/>
                <w:sz w:val="20"/>
                <w:szCs w:val="20"/>
                <w:lang w:eastAsia="bg-BG"/>
              </w:rPr>
            </w:pPr>
            <w:r w:rsidRPr="009811D3">
              <w:rPr>
                <w:rFonts w:ascii="Calibri" w:eastAsia="Times New Roman" w:hAnsi="Calibri" w:cs="Calibri"/>
                <w:b/>
                <w:bCs/>
                <w:color w:val="002060"/>
                <w:sz w:val="20"/>
                <w:szCs w:val="20"/>
                <w:lang w:eastAsia="bg-BG"/>
              </w:rPr>
              <w:t>8 853 749,11</w:t>
            </w:r>
          </w:p>
        </w:tc>
        <w:tc>
          <w:tcPr>
            <w:tcW w:w="1559" w:type="dxa"/>
            <w:noWrap/>
            <w:hideMark/>
          </w:tcPr>
          <w:p w:rsidR="009811D3" w:rsidRPr="009811D3" w:rsidRDefault="009811D3" w:rsidP="009811D3">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bg-BG"/>
              </w:rPr>
            </w:pPr>
          </w:p>
        </w:tc>
        <w:tc>
          <w:tcPr>
            <w:tcW w:w="1984" w:type="dxa"/>
            <w:noWrap/>
            <w:hideMark/>
          </w:tcPr>
          <w:p w:rsidR="009811D3" w:rsidRPr="009811D3" w:rsidRDefault="009811D3" w:rsidP="009811D3">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bg-BG"/>
              </w:rPr>
            </w:pPr>
          </w:p>
        </w:tc>
      </w:tr>
    </w:tbl>
    <w:p w:rsidR="009811D3" w:rsidRPr="00BE41F6" w:rsidRDefault="009811D3" w:rsidP="009811D3">
      <w:pPr>
        <w:widowControl w:val="0"/>
        <w:autoSpaceDE w:val="0"/>
        <w:autoSpaceDN w:val="0"/>
        <w:adjustRightInd w:val="0"/>
        <w:spacing w:after="0" w:line="239" w:lineRule="auto"/>
        <w:ind w:right="66"/>
        <w:jc w:val="both"/>
        <w:rPr>
          <w:i/>
          <w:sz w:val="20"/>
          <w:szCs w:val="20"/>
        </w:rPr>
      </w:pPr>
      <w:r w:rsidRPr="00BE41F6">
        <w:rPr>
          <w:i/>
          <w:sz w:val="20"/>
          <w:szCs w:val="20"/>
        </w:rPr>
        <w:t xml:space="preserve">Източник: ИСУН </w:t>
      </w:r>
    </w:p>
    <w:p w:rsidR="009811D3" w:rsidRDefault="009811D3" w:rsidP="009811D3">
      <w:pPr>
        <w:widowControl w:val="0"/>
        <w:autoSpaceDE w:val="0"/>
        <w:autoSpaceDN w:val="0"/>
        <w:adjustRightInd w:val="0"/>
        <w:spacing w:before="240" w:after="0" w:line="239" w:lineRule="auto"/>
        <w:ind w:right="66"/>
        <w:jc w:val="both"/>
      </w:pPr>
      <w:r>
        <w:t>Представената до тук информация може да бъде обобщена както следва:</w:t>
      </w:r>
    </w:p>
    <w:p w:rsidR="00FC75F0" w:rsidRDefault="00FC75F0" w:rsidP="009811D3">
      <w:pPr>
        <w:widowControl w:val="0"/>
        <w:autoSpaceDE w:val="0"/>
        <w:autoSpaceDN w:val="0"/>
        <w:adjustRightInd w:val="0"/>
        <w:spacing w:before="240" w:after="0" w:line="239" w:lineRule="auto"/>
        <w:ind w:right="66"/>
        <w:jc w:val="both"/>
      </w:pPr>
    </w:p>
    <w:p w:rsidR="00107B8E" w:rsidRDefault="00107B8E" w:rsidP="00E010B7">
      <w:pPr>
        <w:pStyle w:val="Caption"/>
        <w:keepNext/>
        <w:ind w:firstLine="709"/>
        <w:rPr>
          <w:rFonts w:asciiTheme="minorHAnsi" w:hAnsiTheme="minorHAnsi" w:cstheme="minorHAnsi"/>
        </w:rPr>
      </w:pPr>
      <w:bookmarkStart w:id="21" w:name="_Toc399494589"/>
    </w:p>
    <w:p w:rsidR="0000262E" w:rsidRPr="0000262E" w:rsidRDefault="0000262E" w:rsidP="00E010B7">
      <w:pPr>
        <w:pStyle w:val="Caption"/>
        <w:keepNext/>
        <w:ind w:firstLine="709"/>
        <w:rPr>
          <w:rFonts w:asciiTheme="minorHAnsi" w:hAnsiTheme="minorHAnsi" w:cstheme="minorHAnsi"/>
        </w:rPr>
      </w:pPr>
      <w:r w:rsidRPr="0000262E">
        <w:rPr>
          <w:rFonts w:asciiTheme="minorHAnsi" w:hAnsiTheme="minorHAnsi" w:cstheme="minorHAnsi"/>
        </w:rPr>
        <w:t xml:space="preserve">Фигура </w:t>
      </w:r>
      <w:r w:rsidR="008E6461" w:rsidRPr="0000262E">
        <w:rPr>
          <w:rFonts w:asciiTheme="minorHAnsi" w:hAnsiTheme="minorHAnsi" w:cstheme="minorHAnsi"/>
        </w:rPr>
        <w:fldChar w:fldCharType="begin"/>
      </w:r>
      <w:r w:rsidRPr="0000262E">
        <w:rPr>
          <w:rFonts w:asciiTheme="minorHAnsi" w:hAnsiTheme="minorHAnsi" w:cstheme="minorHAnsi"/>
        </w:rPr>
        <w:instrText xml:space="preserve"> SEQ фигура \* ARABIC </w:instrText>
      </w:r>
      <w:r w:rsidR="008E6461" w:rsidRPr="0000262E">
        <w:rPr>
          <w:rFonts w:asciiTheme="minorHAnsi" w:hAnsiTheme="minorHAnsi" w:cstheme="minorHAnsi"/>
        </w:rPr>
        <w:fldChar w:fldCharType="separate"/>
      </w:r>
      <w:r w:rsidR="003A69A7">
        <w:rPr>
          <w:rFonts w:asciiTheme="minorHAnsi" w:hAnsiTheme="minorHAnsi" w:cstheme="minorHAnsi"/>
          <w:noProof/>
        </w:rPr>
        <w:t>4</w:t>
      </w:r>
      <w:r w:rsidR="008E6461" w:rsidRPr="0000262E">
        <w:rPr>
          <w:rFonts w:asciiTheme="minorHAnsi" w:hAnsiTheme="minorHAnsi" w:cstheme="minorHAnsi"/>
        </w:rPr>
        <w:fldChar w:fldCharType="end"/>
      </w:r>
      <w:r>
        <w:rPr>
          <w:rFonts w:asciiTheme="minorHAnsi" w:hAnsiTheme="minorHAnsi" w:cstheme="minorHAnsi"/>
        </w:rPr>
        <w:t xml:space="preserve">: Финансов ресурс по ОПОС </w:t>
      </w:r>
      <w:r w:rsidR="00E51D2B">
        <w:rPr>
          <w:rFonts w:asciiTheme="minorHAnsi" w:hAnsiTheme="minorHAnsi" w:cstheme="minorHAnsi"/>
        </w:rPr>
        <w:t>2</w:t>
      </w:r>
      <w:r>
        <w:rPr>
          <w:rFonts w:asciiTheme="minorHAnsi" w:hAnsiTheme="minorHAnsi" w:cstheme="minorHAnsi"/>
        </w:rPr>
        <w:t>007-2013 г.</w:t>
      </w:r>
      <w:bookmarkEnd w:id="21"/>
    </w:p>
    <w:p w:rsidR="00BE0DD0" w:rsidRPr="00BE0DD0" w:rsidRDefault="00517F74" w:rsidP="009811D3">
      <w:pPr>
        <w:widowControl w:val="0"/>
        <w:autoSpaceDE w:val="0"/>
        <w:autoSpaceDN w:val="0"/>
        <w:adjustRightInd w:val="0"/>
        <w:spacing w:before="240" w:after="0" w:line="239" w:lineRule="auto"/>
        <w:ind w:right="66"/>
        <w:jc w:val="center"/>
        <w:rPr>
          <w:rFonts w:ascii="Calibri" w:eastAsia="Calibri" w:hAnsi="Calibri" w:cs="Times New Roman"/>
          <w:i/>
        </w:rPr>
      </w:pPr>
      <w:r>
        <w:rPr>
          <w:rFonts w:ascii="Calibri" w:eastAsia="Calibri" w:hAnsi="Calibri" w:cs="Times New Roman"/>
          <w:i/>
          <w:noProof/>
          <w:lang w:eastAsia="bg-BG"/>
        </w:rPr>
        <w:drawing>
          <wp:inline distT="0" distB="0" distL="0" distR="0">
            <wp:extent cx="4610100" cy="316230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srcRect/>
                    <a:stretch>
                      <a:fillRect/>
                    </a:stretch>
                  </pic:blipFill>
                  <pic:spPr bwMode="auto">
                    <a:xfrm>
                      <a:off x="0" y="0"/>
                      <a:ext cx="4610100" cy="3162300"/>
                    </a:xfrm>
                    <a:prstGeom prst="rect">
                      <a:avLst/>
                    </a:prstGeom>
                    <a:noFill/>
                  </pic:spPr>
                </pic:pic>
              </a:graphicData>
            </a:graphic>
          </wp:inline>
        </w:drawing>
      </w:r>
    </w:p>
    <w:p w:rsidR="009811D3" w:rsidRPr="009811D3" w:rsidRDefault="009811D3" w:rsidP="009811D3">
      <w:pPr>
        <w:widowControl w:val="0"/>
        <w:autoSpaceDE w:val="0"/>
        <w:autoSpaceDN w:val="0"/>
        <w:adjustRightInd w:val="0"/>
        <w:spacing w:before="240" w:after="0" w:line="239" w:lineRule="auto"/>
        <w:ind w:right="66"/>
        <w:jc w:val="both"/>
        <w:rPr>
          <w:rFonts w:ascii="Calibri" w:eastAsia="Calibri" w:hAnsi="Calibri" w:cs="Times New Roman"/>
        </w:rPr>
      </w:pPr>
      <w:r w:rsidRPr="009811D3">
        <w:rPr>
          <w:rFonts w:ascii="Calibri" w:eastAsia="Calibri" w:hAnsi="Calibri" w:cs="Times New Roman"/>
        </w:rPr>
        <w:t>В заключение, договореният ресурс по ОПОС 2007-2013 г. се равнява на 156% от наличния, а изплатеното към края на м. май 2014 г. представлява 45% от общия размер на средствата по програмата за ВиК сектора</w:t>
      </w:r>
      <w:r w:rsidRPr="009811D3">
        <w:rPr>
          <w:rFonts w:ascii="Calibri" w:eastAsia="Calibri" w:hAnsi="Calibri" w:cs="Times New Roman"/>
          <w:bCs/>
        </w:rPr>
        <w:t xml:space="preserve">. </w:t>
      </w:r>
    </w:p>
    <w:p w:rsidR="009811D3" w:rsidRPr="009811D3" w:rsidRDefault="009811D3" w:rsidP="009811D3">
      <w:pPr>
        <w:widowControl w:val="0"/>
        <w:autoSpaceDE w:val="0"/>
        <w:autoSpaceDN w:val="0"/>
        <w:adjustRightInd w:val="0"/>
        <w:spacing w:before="240" w:after="0" w:line="239" w:lineRule="auto"/>
        <w:ind w:right="66"/>
        <w:jc w:val="both"/>
        <w:rPr>
          <w:rFonts w:ascii="Calibri" w:eastAsia="Calibri" w:hAnsi="Calibri" w:cs="Times New Roman"/>
        </w:rPr>
      </w:pPr>
      <w:r w:rsidRPr="009811D3">
        <w:rPr>
          <w:rFonts w:ascii="Calibri" w:eastAsia="Calibri" w:hAnsi="Calibri" w:cs="Times New Roman"/>
        </w:rPr>
        <w:t>От УО на ОПОС е взето решение физическото изпълнение на проектите по Процедура BG161PO005-1.0.07 Подготовка и изпълнение на проекти за подобряване и развитие на инфраструктура за питейни и отпадъчни води в агломерации над 10 000 е.ж. да бъде прехвърлено в новия програмен период, а тяхната стойност се равнява на 887 460 071,08 лв. или 453 751 129,23 евро с ДДС.</w:t>
      </w:r>
    </w:p>
    <w:p w:rsidR="009811D3" w:rsidRDefault="009811D3" w:rsidP="009811D3">
      <w:pPr>
        <w:widowControl w:val="0"/>
        <w:autoSpaceDE w:val="0"/>
        <w:autoSpaceDN w:val="0"/>
        <w:adjustRightInd w:val="0"/>
        <w:spacing w:before="240" w:after="0" w:line="239" w:lineRule="auto"/>
        <w:ind w:right="66"/>
        <w:jc w:val="both"/>
        <w:rPr>
          <w:rFonts w:ascii="Calibri" w:eastAsia="Calibri" w:hAnsi="Calibri" w:cs="Times New Roman"/>
        </w:rPr>
      </w:pPr>
      <w:r w:rsidRPr="009811D3">
        <w:rPr>
          <w:rFonts w:ascii="Calibri" w:eastAsia="Calibri" w:hAnsi="Calibri" w:cs="Times New Roman"/>
        </w:rPr>
        <w:t>Потенциални големи проекти, които са предвидени за изпълнение в рамките на ОПОС 2014 - 2020 г. са също:</w:t>
      </w:r>
    </w:p>
    <w:p w:rsidR="0000262E" w:rsidRPr="0000262E" w:rsidRDefault="0000262E" w:rsidP="0000262E">
      <w:pPr>
        <w:widowControl w:val="0"/>
        <w:autoSpaceDE w:val="0"/>
        <w:autoSpaceDN w:val="0"/>
        <w:adjustRightInd w:val="0"/>
        <w:spacing w:before="240" w:line="239" w:lineRule="auto"/>
        <w:ind w:left="1416" w:right="66" w:firstLine="708"/>
        <w:jc w:val="both"/>
        <w:rPr>
          <w:rFonts w:eastAsia="Times New Roman" w:cstheme="minorHAnsi"/>
          <w:b/>
          <w:bCs/>
          <w:sz w:val="20"/>
          <w:szCs w:val="20"/>
          <w:lang w:eastAsia="bg-BG"/>
        </w:rPr>
      </w:pPr>
      <w:bookmarkStart w:id="22" w:name="_Toc399494888"/>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8</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Големи проекти по ОПОС 2014-2020 г.</w:t>
      </w:r>
      <w:bookmarkEnd w:id="22"/>
    </w:p>
    <w:tbl>
      <w:tblPr>
        <w:tblStyle w:val="LightShading-Accent54"/>
        <w:tblW w:w="3640" w:type="dxa"/>
        <w:jc w:val="center"/>
        <w:tblLook w:val="04A0" w:firstRow="1" w:lastRow="0" w:firstColumn="1" w:lastColumn="0" w:noHBand="0" w:noVBand="1"/>
      </w:tblPr>
      <w:tblGrid>
        <w:gridCol w:w="2012"/>
        <w:gridCol w:w="1628"/>
      </w:tblGrid>
      <w:tr w:rsidR="009811D3" w:rsidRPr="009811D3" w:rsidTr="009811D3">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012" w:type="dxa"/>
            <w:hideMark/>
          </w:tcPr>
          <w:p w:rsidR="009811D3" w:rsidRPr="009811D3" w:rsidRDefault="009811D3" w:rsidP="009811D3">
            <w:pPr>
              <w:rPr>
                <w:rFonts w:ascii="Calibri" w:eastAsia="Times New Roman" w:hAnsi="Calibri" w:cs="Calibri"/>
                <w:color w:val="002060"/>
                <w:sz w:val="20"/>
                <w:szCs w:val="20"/>
                <w:lang w:eastAsia="bg-BG"/>
              </w:rPr>
            </w:pPr>
            <w:r w:rsidRPr="009811D3">
              <w:rPr>
                <w:rFonts w:ascii="Calibri" w:eastAsia="Times New Roman" w:hAnsi="Calibri" w:cs="Calibri"/>
                <w:color w:val="002060"/>
                <w:sz w:val="20"/>
                <w:szCs w:val="20"/>
                <w:lang w:eastAsia="bg-BG"/>
              </w:rPr>
              <w:t>Пловдив</w:t>
            </w:r>
          </w:p>
        </w:tc>
        <w:tc>
          <w:tcPr>
            <w:tcW w:w="1628" w:type="dxa"/>
            <w:noWrap/>
            <w:hideMark/>
          </w:tcPr>
          <w:p w:rsidR="009811D3" w:rsidRPr="009811D3" w:rsidRDefault="009811D3" w:rsidP="009811D3">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2060"/>
                <w:lang w:eastAsia="bg-BG"/>
              </w:rPr>
            </w:pPr>
            <w:r w:rsidRPr="009811D3">
              <w:rPr>
                <w:rFonts w:ascii="Calibri" w:eastAsia="Times New Roman" w:hAnsi="Calibri" w:cs="Calibri"/>
                <w:color w:val="002060"/>
                <w:lang w:eastAsia="bg-BG"/>
              </w:rPr>
              <w:t>€ 72 712 000</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012" w:type="dxa"/>
            <w:hideMark/>
          </w:tcPr>
          <w:p w:rsidR="009811D3" w:rsidRPr="009811D3" w:rsidRDefault="009811D3" w:rsidP="009811D3">
            <w:pPr>
              <w:rPr>
                <w:rFonts w:ascii="Calibri" w:eastAsia="Times New Roman" w:hAnsi="Calibri" w:cs="Calibri"/>
                <w:color w:val="002060"/>
                <w:sz w:val="20"/>
                <w:szCs w:val="20"/>
                <w:lang w:eastAsia="bg-BG"/>
              </w:rPr>
            </w:pPr>
            <w:r w:rsidRPr="009811D3">
              <w:rPr>
                <w:rFonts w:ascii="Calibri" w:eastAsia="Times New Roman" w:hAnsi="Calibri" w:cs="Calibri"/>
                <w:color w:val="002060"/>
                <w:sz w:val="20"/>
                <w:szCs w:val="20"/>
                <w:lang w:eastAsia="bg-BG"/>
              </w:rPr>
              <w:t>Добрич</w:t>
            </w:r>
          </w:p>
        </w:tc>
        <w:tc>
          <w:tcPr>
            <w:tcW w:w="1628"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2060"/>
                <w:lang w:eastAsia="bg-BG"/>
              </w:rPr>
            </w:pPr>
            <w:r w:rsidRPr="009811D3">
              <w:rPr>
                <w:rFonts w:ascii="Calibri" w:eastAsia="Times New Roman" w:hAnsi="Calibri" w:cs="Calibri"/>
                <w:color w:val="002060"/>
                <w:lang w:eastAsia="bg-BG"/>
              </w:rPr>
              <w:t>€ 57 692 000</w:t>
            </w:r>
          </w:p>
        </w:tc>
      </w:tr>
      <w:tr w:rsidR="009811D3" w:rsidRPr="009811D3" w:rsidTr="009811D3">
        <w:trPr>
          <w:trHeight w:val="300"/>
          <w:jc w:val="center"/>
        </w:trPr>
        <w:tc>
          <w:tcPr>
            <w:cnfStyle w:val="001000000000" w:firstRow="0" w:lastRow="0" w:firstColumn="1" w:lastColumn="0" w:oddVBand="0" w:evenVBand="0" w:oddHBand="0" w:evenHBand="0" w:firstRowFirstColumn="0" w:firstRowLastColumn="0" w:lastRowFirstColumn="0" w:lastRowLastColumn="0"/>
            <w:tcW w:w="2012" w:type="dxa"/>
            <w:hideMark/>
          </w:tcPr>
          <w:p w:rsidR="009811D3" w:rsidRPr="009811D3" w:rsidRDefault="009811D3" w:rsidP="009811D3">
            <w:pPr>
              <w:rPr>
                <w:rFonts w:ascii="Calibri" w:eastAsia="Times New Roman" w:hAnsi="Calibri" w:cs="Calibri"/>
                <w:color w:val="002060"/>
                <w:sz w:val="20"/>
                <w:szCs w:val="20"/>
                <w:lang w:eastAsia="bg-BG"/>
              </w:rPr>
            </w:pPr>
            <w:r w:rsidRPr="009811D3">
              <w:rPr>
                <w:rFonts w:ascii="Calibri" w:eastAsia="Times New Roman" w:hAnsi="Calibri" w:cs="Calibri"/>
                <w:color w:val="002060"/>
                <w:sz w:val="20"/>
                <w:szCs w:val="20"/>
                <w:lang w:eastAsia="bg-BG"/>
              </w:rPr>
              <w:t>Асеновград</w:t>
            </w:r>
          </w:p>
        </w:tc>
        <w:tc>
          <w:tcPr>
            <w:tcW w:w="1628" w:type="dxa"/>
            <w:noWrap/>
            <w:hideMark/>
          </w:tcPr>
          <w:p w:rsidR="009811D3" w:rsidRPr="009811D3" w:rsidRDefault="009811D3" w:rsidP="009811D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2060"/>
                <w:lang w:eastAsia="bg-BG"/>
              </w:rPr>
            </w:pPr>
            <w:r w:rsidRPr="009811D3">
              <w:rPr>
                <w:rFonts w:ascii="Calibri" w:eastAsia="Times New Roman" w:hAnsi="Calibri" w:cs="Calibri"/>
                <w:color w:val="002060"/>
                <w:lang w:eastAsia="bg-BG"/>
              </w:rPr>
              <w:t>€ 55 758 000</w:t>
            </w:r>
          </w:p>
        </w:tc>
      </w:tr>
      <w:tr w:rsidR="009811D3" w:rsidRPr="009811D3" w:rsidTr="009811D3">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012" w:type="dxa"/>
            <w:hideMark/>
          </w:tcPr>
          <w:p w:rsidR="009811D3" w:rsidRPr="009811D3" w:rsidRDefault="009811D3" w:rsidP="009811D3">
            <w:pPr>
              <w:rPr>
                <w:rFonts w:ascii="Calibri" w:eastAsia="Times New Roman" w:hAnsi="Calibri" w:cs="Calibri"/>
                <w:color w:val="002060"/>
                <w:sz w:val="20"/>
                <w:szCs w:val="20"/>
                <w:lang w:eastAsia="bg-BG"/>
              </w:rPr>
            </w:pPr>
            <w:r w:rsidRPr="009811D3">
              <w:rPr>
                <w:rFonts w:ascii="Calibri" w:eastAsia="Times New Roman" w:hAnsi="Calibri" w:cs="Calibri"/>
                <w:color w:val="002060"/>
                <w:sz w:val="20"/>
                <w:szCs w:val="20"/>
                <w:lang w:eastAsia="bg-BG"/>
              </w:rPr>
              <w:t>Плевен</w:t>
            </w:r>
          </w:p>
        </w:tc>
        <w:tc>
          <w:tcPr>
            <w:tcW w:w="1628" w:type="dxa"/>
            <w:noWrap/>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2060"/>
                <w:lang w:eastAsia="bg-BG"/>
              </w:rPr>
            </w:pPr>
            <w:r w:rsidRPr="009811D3">
              <w:rPr>
                <w:rFonts w:ascii="Calibri" w:eastAsia="Times New Roman" w:hAnsi="Calibri" w:cs="Calibri"/>
                <w:color w:val="002060"/>
                <w:lang w:eastAsia="bg-BG"/>
              </w:rPr>
              <w:t>€ 79 511 142</w:t>
            </w:r>
          </w:p>
        </w:tc>
      </w:tr>
      <w:tr w:rsidR="009811D3" w:rsidRPr="009811D3" w:rsidTr="009811D3">
        <w:trPr>
          <w:trHeight w:val="300"/>
          <w:jc w:val="center"/>
        </w:trPr>
        <w:tc>
          <w:tcPr>
            <w:cnfStyle w:val="001000000000" w:firstRow="0" w:lastRow="0" w:firstColumn="1" w:lastColumn="0" w:oddVBand="0" w:evenVBand="0" w:oddHBand="0" w:evenHBand="0" w:firstRowFirstColumn="0" w:firstRowLastColumn="0" w:lastRowFirstColumn="0" w:lastRowLastColumn="0"/>
            <w:tcW w:w="2012" w:type="dxa"/>
            <w:hideMark/>
          </w:tcPr>
          <w:p w:rsidR="009811D3" w:rsidRPr="009811D3" w:rsidRDefault="009811D3" w:rsidP="00347A92">
            <w:pPr>
              <w:spacing w:before="120" w:after="120"/>
              <w:rPr>
                <w:rFonts w:ascii="Calibri" w:eastAsia="Times New Roman" w:hAnsi="Calibri" w:cs="Calibri"/>
                <w:color w:val="002060"/>
                <w:sz w:val="20"/>
                <w:szCs w:val="20"/>
                <w:lang w:eastAsia="bg-BG"/>
              </w:rPr>
            </w:pPr>
            <w:r w:rsidRPr="009811D3">
              <w:rPr>
                <w:rFonts w:ascii="Calibri" w:eastAsia="Times New Roman" w:hAnsi="Calibri" w:cs="Calibri"/>
                <w:color w:val="002060"/>
                <w:sz w:val="20"/>
                <w:szCs w:val="20"/>
                <w:lang w:eastAsia="bg-BG"/>
              </w:rPr>
              <w:t>ОБЩО</w:t>
            </w:r>
          </w:p>
        </w:tc>
        <w:tc>
          <w:tcPr>
            <w:tcW w:w="1628" w:type="dxa"/>
            <w:noWrap/>
            <w:hideMark/>
          </w:tcPr>
          <w:p w:rsidR="009811D3" w:rsidRPr="009811D3" w:rsidRDefault="009811D3" w:rsidP="00347A92">
            <w:pPr>
              <w:spacing w:before="120" w:after="120"/>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2060"/>
                <w:lang w:eastAsia="bg-BG"/>
              </w:rPr>
            </w:pPr>
            <w:r w:rsidRPr="009811D3">
              <w:rPr>
                <w:rFonts w:ascii="Calibri" w:eastAsia="Times New Roman" w:hAnsi="Calibri" w:cs="Calibri"/>
                <w:b/>
                <w:bCs/>
                <w:color w:val="002060"/>
                <w:lang w:eastAsia="bg-BG"/>
              </w:rPr>
              <w:t>€ 265 673 142</w:t>
            </w:r>
          </w:p>
        </w:tc>
      </w:tr>
    </w:tbl>
    <w:p w:rsidR="00DE4427" w:rsidRDefault="00DE4427" w:rsidP="00F54846"/>
    <w:p w:rsidR="000D6B79" w:rsidRPr="000D6B79" w:rsidRDefault="000D6B79" w:rsidP="000D6B79"/>
    <w:p w:rsidR="00107B8E" w:rsidRDefault="00107B8E" w:rsidP="00FD65DD">
      <w:pPr>
        <w:pStyle w:val="Heading3"/>
        <w:spacing w:before="120" w:after="120"/>
        <w:rPr>
          <w:rFonts w:asciiTheme="minorHAnsi" w:eastAsia="Calibri" w:hAnsiTheme="minorHAnsi"/>
        </w:rPr>
      </w:pPr>
      <w:bookmarkStart w:id="23" w:name="_Toc399494511"/>
    </w:p>
    <w:p w:rsidR="009811D3" w:rsidRPr="00347A92" w:rsidRDefault="00347A92" w:rsidP="00FD65DD">
      <w:pPr>
        <w:pStyle w:val="Heading3"/>
        <w:spacing w:before="120" w:after="120"/>
        <w:rPr>
          <w:rFonts w:asciiTheme="minorHAnsi" w:eastAsia="Calibri" w:hAnsiTheme="minorHAnsi"/>
        </w:rPr>
      </w:pPr>
      <w:r>
        <w:rPr>
          <w:rFonts w:asciiTheme="minorHAnsi" w:eastAsia="Calibri" w:hAnsiTheme="minorHAnsi"/>
        </w:rPr>
        <w:t xml:space="preserve">1.1.4. </w:t>
      </w:r>
      <w:r w:rsidR="009811D3" w:rsidRPr="00347A92">
        <w:rPr>
          <w:rFonts w:asciiTheme="minorHAnsi" w:eastAsia="Calibri" w:hAnsiTheme="minorHAnsi"/>
        </w:rPr>
        <w:t>Инвестиционен недостиг</w:t>
      </w:r>
      <w:bookmarkEnd w:id="23"/>
      <w:r w:rsidR="009811D3" w:rsidRPr="00347A92">
        <w:rPr>
          <w:rFonts w:asciiTheme="minorHAnsi" w:eastAsia="Calibri" w:hAnsiTheme="minorHAnsi"/>
        </w:rPr>
        <w:t xml:space="preserve"> </w:t>
      </w:r>
    </w:p>
    <w:p w:rsidR="009811D3" w:rsidRPr="009A735A" w:rsidRDefault="009811D3" w:rsidP="009A735A">
      <w:pPr>
        <w:jc w:val="both"/>
        <w:rPr>
          <w:rFonts w:ascii="Calibri" w:eastAsia="Times New Roman" w:hAnsi="Calibri" w:cs="Calibri"/>
          <w:color w:val="000000"/>
          <w:lang w:eastAsia="bg-BG"/>
        </w:rPr>
      </w:pPr>
      <w:r>
        <w:t xml:space="preserve">Към настоящия момент, в рамките на ОПОС 2014-2020 г. финансовият ресурс, предвиден по Приоритетна ос 1 „Води” е в размер на 1 216 023 392 евро, в т.ч. размера на националното </w:t>
      </w:r>
      <w:r w:rsidR="00672113">
        <w:t>съфинансиране</w:t>
      </w:r>
      <w:r>
        <w:t xml:space="preserve">. От този ресурс, след като бъдат приспаднати разходите </w:t>
      </w:r>
      <w:r w:rsidR="009A735A">
        <w:t xml:space="preserve">за управление на води и мерките за намаляване емисиите парникови газове, както и разходите </w:t>
      </w:r>
      <w:r>
        <w:t>по проектите, за които има готовност за стартиране</w:t>
      </w:r>
      <w:r w:rsidR="009A735A">
        <w:t xml:space="preserve"> </w:t>
      </w:r>
      <w:r>
        <w:t xml:space="preserve">и тези за големите проекти, наличният финансов ресурс, който остава се равнява на </w:t>
      </w:r>
      <w:r w:rsidR="009A735A" w:rsidRPr="009A735A">
        <w:rPr>
          <w:rFonts w:ascii="Calibri" w:eastAsia="Times New Roman" w:hAnsi="Calibri" w:cs="Calibri"/>
          <w:color w:val="000000"/>
          <w:lang w:eastAsia="bg-BG"/>
        </w:rPr>
        <w:t>425 279</w:t>
      </w:r>
      <w:r w:rsidR="009A735A">
        <w:rPr>
          <w:rFonts w:ascii="Calibri" w:eastAsia="Times New Roman" w:hAnsi="Calibri" w:cs="Calibri"/>
          <w:color w:val="000000"/>
          <w:lang w:eastAsia="bg-BG"/>
        </w:rPr>
        <w:t> </w:t>
      </w:r>
      <w:r w:rsidR="009A735A" w:rsidRPr="009A735A">
        <w:rPr>
          <w:rFonts w:ascii="Calibri" w:eastAsia="Times New Roman" w:hAnsi="Calibri" w:cs="Calibri"/>
          <w:color w:val="000000"/>
          <w:lang w:eastAsia="bg-BG"/>
        </w:rPr>
        <w:t>349</w:t>
      </w:r>
      <w:r w:rsidR="009A735A">
        <w:rPr>
          <w:rFonts w:ascii="Calibri" w:eastAsia="Times New Roman" w:hAnsi="Calibri" w:cs="Calibri"/>
          <w:color w:val="000000"/>
          <w:lang w:eastAsia="bg-BG"/>
        </w:rPr>
        <w:t xml:space="preserve"> </w:t>
      </w:r>
      <w:r w:rsidRPr="00CF267F">
        <w:t>евро.</w:t>
      </w:r>
    </w:p>
    <w:p w:rsidR="009811D3" w:rsidRDefault="009811D3" w:rsidP="009811D3">
      <w:pPr>
        <w:widowControl w:val="0"/>
        <w:autoSpaceDE w:val="0"/>
        <w:autoSpaceDN w:val="0"/>
        <w:adjustRightInd w:val="0"/>
        <w:spacing w:before="240" w:after="0" w:line="239" w:lineRule="auto"/>
        <w:ind w:right="66"/>
        <w:jc w:val="both"/>
      </w:pPr>
      <w:r w:rsidRPr="00D85AED">
        <w:t>В Стратегия за развитие и управление на водоснабдяването и канализацията в Република България 2014-2023 г. е изчислено, че средствата от фондовете на ЕС ще стигнат за финансирането само на около 30 - 40%  от  общия  размер  на  необходимите  капиталови  инвестиции във ВиК сектора за  срока  на Стратегията (2014 -2023 г.).</w:t>
      </w:r>
      <w:r w:rsidRPr="009C0322">
        <w:t xml:space="preserve"> </w:t>
      </w:r>
    </w:p>
    <w:p w:rsidR="00CC6505" w:rsidRDefault="009811D3" w:rsidP="009811D3">
      <w:pPr>
        <w:widowControl w:val="0"/>
        <w:autoSpaceDE w:val="0"/>
        <w:autoSpaceDN w:val="0"/>
        <w:adjustRightInd w:val="0"/>
        <w:spacing w:before="240" w:after="0" w:line="239" w:lineRule="auto"/>
        <w:ind w:right="66"/>
        <w:jc w:val="both"/>
      </w:pPr>
      <w:r>
        <w:t>Въз основа на информацията, обобщена по-горе, може да се направи изводът, че инвестиционният недостиг за постигане на специфичните цели по ОПОС 2014-2020 (</w:t>
      </w:r>
      <w:r w:rsidRPr="00162477">
        <w:t>Специфична цел 1 Опазване и подобряване състоянието на водните ресурси и Специфична цел 2 Подобряване оценката на състоянието на водите</w:t>
      </w:r>
      <w:r>
        <w:t xml:space="preserve">), както и за осигуряване на националния принос към Тематична цел </w:t>
      </w:r>
      <w:r w:rsidRPr="00162477">
        <w:t>6 „Опазване на околната среда и насърчаване на ресурсната ефективност“</w:t>
      </w:r>
      <w:r>
        <w:t xml:space="preserve"> от Стратегията Европа 2020, е както следва:</w:t>
      </w:r>
    </w:p>
    <w:p w:rsidR="00E51D2B" w:rsidRDefault="00E51D2B" w:rsidP="00E51D2B">
      <w:pPr>
        <w:pStyle w:val="Caption"/>
        <w:ind w:firstLine="708"/>
        <w:rPr>
          <w:rFonts w:asciiTheme="minorHAnsi" w:hAnsiTheme="minorHAnsi" w:cstheme="minorHAnsi"/>
        </w:rPr>
      </w:pPr>
    </w:p>
    <w:p w:rsidR="00E51D2B" w:rsidRPr="0000262E" w:rsidRDefault="00E51D2B" w:rsidP="00E51D2B">
      <w:pPr>
        <w:pStyle w:val="Caption"/>
        <w:ind w:firstLine="708"/>
        <w:rPr>
          <w:rFonts w:asciiTheme="minorHAnsi" w:hAnsiTheme="minorHAnsi" w:cstheme="minorHAnsi"/>
        </w:rPr>
      </w:pPr>
      <w:bookmarkStart w:id="24" w:name="_Toc399494590"/>
      <w:r w:rsidRPr="0000262E">
        <w:rPr>
          <w:rFonts w:asciiTheme="minorHAnsi" w:hAnsiTheme="minorHAnsi" w:cstheme="minorHAnsi"/>
        </w:rPr>
        <w:t xml:space="preserve">Фигура </w:t>
      </w:r>
      <w:r w:rsidR="008E6461" w:rsidRPr="0000262E">
        <w:rPr>
          <w:rFonts w:asciiTheme="minorHAnsi" w:hAnsiTheme="minorHAnsi" w:cstheme="minorHAnsi"/>
        </w:rPr>
        <w:fldChar w:fldCharType="begin"/>
      </w:r>
      <w:r w:rsidRPr="0000262E">
        <w:rPr>
          <w:rFonts w:asciiTheme="minorHAnsi" w:hAnsiTheme="minorHAnsi" w:cstheme="minorHAnsi"/>
        </w:rPr>
        <w:instrText xml:space="preserve"> SEQ фигура \* ARABIC </w:instrText>
      </w:r>
      <w:r w:rsidR="008E6461" w:rsidRPr="0000262E">
        <w:rPr>
          <w:rFonts w:asciiTheme="minorHAnsi" w:hAnsiTheme="minorHAnsi" w:cstheme="minorHAnsi"/>
        </w:rPr>
        <w:fldChar w:fldCharType="separate"/>
      </w:r>
      <w:r w:rsidR="003A69A7">
        <w:rPr>
          <w:rFonts w:asciiTheme="minorHAnsi" w:hAnsiTheme="minorHAnsi" w:cstheme="minorHAnsi"/>
          <w:noProof/>
        </w:rPr>
        <w:t>5</w:t>
      </w:r>
      <w:r w:rsidR="008E6461" w:rsidRPr="0000262E">
        <w:rPr>
          <w:rFonts w:asciiTheme="minorHAnsi" w:hAnsiTheme="minorHAnsi" w:cstheme="minorHAnsi"/>
        </w:rPr>
        <w:fldChar w:fldCharType="end"/>
      </w:r>
      <w:r>
        <w:rPr>
          <w:rFonts w:asciiTheme="minorHAnsi" w:hAnsiTheme="minorHAnsi" w:cstheme="minorHAnsi"/>
        </w:rPr>
        <w:t>: Инвестиционен недостиг във ВиК сектора 2014-2020 г.</w:t>
      </w:r>
      <w:bookmarkEnd w:id="24"/>
    </w:p>
    <w:p w:rsidR="00517F74" w:rsidRDefault="0078445C" w:rsidP="00517F74">
      <w:pPr>
        <w:widowControl w:val="0"/>
        <w:autoSpaceDE w:val="0"/>
        <w:autoSpaceDN w:val="0"/>
        <w:adjustRightInd w:val="0"/>
        <w:spacing w:before="240" w:after="0" w:line="239" w:lineRule="auto"/>
        <w:ind w:right="66"/>
        <w:jc w:val="center"/>
      </w:pPr>
      <w:r>
        <w:rPr>
          <w:noProof/>
          <w:lang w:eastAsia="bg-BG"/>
        </w:rPr>
        <w:drawing>
          <wp:inline distT="0" distB="0" distL="0" distR="0">
            <wp:extent cx="4594860" cy="2758440"/>
            <wp:effectExtent l="19050" t="0" r="0" b="0"/>
            <wp:docPr id="6"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5" cstate="print"/>
                    <a:srcRect/>
                    <a:stretch>
                      <a:fillRect/>
                    </a:stretch>
                  </pic:blipFill>
                  <pic:spPr bwMode="auto">
                    <a:xfrm>
                      <a:off x="0" y="0"/>
                      <a:ext cx="4594860" cy="2758440"/>
                    </a:xfrm>
                    <a:prstGeom prst="rect">
                      <a:avLst/>
                    </a:prstGeom>
                    <a:noFill/>
                  </pic:spPr>
                </pic:pic>
              </a:graphicData>
            </a:graphic>
          </wp:inline>
        </w:drawing>
      </w:r>
    </w:p>
    <w:p w:rsidR="009A735A" w:rsidRPr="0078445C" w:rsidRDefault="00566B84" w:rsidP="00517F74">
      <w:pPr>
        <w:widowControl w:val="0"/>
        <w:autoSpaceDE w:val="0"/>
        <w:autoSpaceDN w:val="0"/>
        <w:adjustRightInd w:val="0"/>
        <w:spacing w:before="240" w:after="0" w:line="239" w:lineRule="auto"/>
        <w:ind w:right="66"/>
        <w:jc w:val="both"/>
        <w:rPr>
          <w:i/>
          <w:sz w:val="18"/>
          <w:szCs w:val="18"/>
        </w:rPr>
      </w:pPr>
      <w:r w:rsidRPr="0078445C">
        <w:rPr>
          <w:i/>
          <w:sz w:val="18"/>
          <w:szCs w:val="18"/>
          <w:u w:val="single"/>
        </w:rPr>
        <w:t>Забележка:</w:t>
      </w:r>
      <w:r w:rsidRPr="0078445C">
        <w:rPr>
          <w:i/>
          <w:sz w:val="18"/>
          <w:szCs w:val="18"/>
        </w:rPr>
        <w:t xml:space="preserve"> Финансовият недостиг в сектора е изчислен като от общия ресурс по </w:t>
      </w:r>
      <w:r w:rsidR="0078445C" w:rsidRPr="0078445C">
        <w:rPr>
          <w:i/>
          <w:sz w:val="18"/>
          <w:szCs w:val="18"/>
        </w:rPr>
        <w:t xml:space="preserve">ПО І на </w:t>
      </w:r>
      <w:r w:rsidRPr="0078445C">
        <w:rPr>
          <w:i/>
          <w:sz w:val="18"/>
          <w:szCs w:val="18"/>
        </w:rPr>
        <w:t>ОПОС</w:t>
      </w:r>
      <w:r w:rsidR="0078445C" w:rsidRPr="0078445C">
        <w:rPr>
          <w:i/>
          <w:sz w:val="18"/>
          <w:szCs w:val="18"/>
        </w:rPr>
        <w:t xml:space="preserve"> са приспаднати мерките за управление и намаляване емисиите парникови газове, а общият размер на инвестициите е този от краткосрочните инвестиционни програми към Регионалните генерални планове</w:t>
      </w:r>
    </w:p>
    <w:p w:rsidR="0083165D" w:rsidRDefault="0083165D" w:rsidP="00517F74">
      <w:pPr>
        <w:widowControl w:val="0"/>
        <w:autoSpaceDE w:val="0"/>
        <w:autoSpaceDN w:val="0"/>
        <w:adjustRightInd w:val="0"/>
        <w:spacing w:before="240" w:after="0" w:line="239" w:lineRule="auto"/>
        <w:ind w:right="66"/>
        <w:jc w:val="both"/>
      </w:pPr>
      <w:r>
        <w:t>Причините за инвестиционния недостиг, който се дължи на разликата между търсенето и предлагането могат да бъдат обобщени по следния начин:</w:t>
      </w:r>
    </w:p>
    <w:p w:rsidR="00107B8E" w:rsidRDefault="00107B8E" w:rsidP="009C60B0">
      <w:pPr>
        <w:spacing w:before="240"/>
        <w:jc w:val="both"/>
        <w:rPr>
          <w:rFonts w:cstheme="minorHAnsi"/>
        </w:rPr>
      </w:pPr>
    </w:p>
    <w:p w:rsidR="0083165D" w:rsidRPr="009D6DA0" w:rsidRDefault="0083165D" w:rsidP="009C60B0">
      <w:pPr>
        <w:spacing w:before="240"/>
        <w:jc w:val="both"/>
        <w:rPr>
          <w:rFonts w:eastAsia="Calibri"/>
        </w:rPr>
      </w:pPr>
      <w:r w:rsidRPr="009D6DA0">
        <w:rPr>
          <w:rFonts w:cstheme="minorHAnsi"/>
        </w:rPr>
        <w:lastRenderedPageBreak/>
        <w:t xml:space="preserve">Неефективното регулиране на ВиК услугите към настоящия момент води до </w:t>
      </w:r>
      <w:r w:rsidRPr="009D6DA0">
        <w:rPr>
          <w:rFonts w:cstheme="minorHAnsi"/>
          <w:b/>
        </w:rPr>
        <w:t>л</w:t>
      </w:r>
      <w:r w:rsidRPr="009D6DA0">
        <w:rPr>
          <w:rFonts w:cstheme="minorHAnsi"/>
          <w:b/>
          <w:bCs/>
          <w:spacing w:val="1"/>
        </w:rPr>
        <w:t>ип</w:t>
      </w:r>
      <w:r w:rsidRPr="009D6DA0">
        <w:rPr>
          <w:rFonts w:cstheme="minorHAnsi"/>
          <w:b/>
          <w:bCs/>
          <w:spacing w:val="-1"/>
        </w:rPr>
        <w:t>с</w:t>
      </w:r>
      <w:r w:rsidRPr="009D6DA0">
        <w:rPr>
          <w:rFonts w:cstheme="minorHAnsi"/>
          <w:b/>
          <w:bCs/>
          <w:spacing w:val="-2"/>
        </w:rPr>
        <w:t>а</w:t>
      </w:r>
      <w:r w:rsidRPr="009D6DA0">
        <w:rPr>
          <w:rFonts w:cstheme="minorHAnsi"/>
          <w:b/>
          <w:bCs/>
          <w:spacing w:val="2"/>
        </w:rPr>
        <w:t xml:space="preserve"> </w:t>
      </w:r>
      <w:r w:rsidRPr="009D6DA0">
        <w:rPr>
          <w:rFonts w:cstheme="minorHAnsi"/>
          <w:b/>
          <w:bCs/>
          <w:spacing w:val="1"/>
        </w:rPr>
        <w:t>н</w:t>
      </w:r>
      <w:r w:rsidRPr="009D6DA0">
        <w:rPr>
          <w:rFonts w:cstheme="minorHAnsi"/>
          <w:b/>
          <w:bCs/>
        </w:rPr>
        <w:t xml:space="preserve">а </w:t>
      </w:r>
      <w:r w:rsidRPr="009D6DA0">
        <w:rPr>
          <w:rFonts w:cstheme="minorHAnsi"/>
          <w:b/>
          <w:bCs/>
          <w:spacing w:val="-3"/>
        </w:rPr>
        <w:t>ф</w:t>
      </w:r>
      <w:r w:rsidRPr="009D6DA0">
        <w:rPr>
          <w:rFonts w:cstheme="minorHAnsi"/>
          <w:b/>
          <w:bCs/>
          <w:spacing w:val="1"/>
        </w:rPr>
        <w:t>ин</w:t>
      </w:r>
      <w:r w:rsidRPr="009D6DA0">
        <w:rPr>
          <w:rFonts w:cstheme="minorHAnsi"/>
          <w:b/>
          <w:bCs/>
        </w:rPr>
        <w:t>а</w:t>
      </w:r>
      <w:r w:rsidRPr="009D6DA0">
        <w:rPr>
          <w:rFonts w:cstheme="minorHAnsi"/>
          <w:b/>
          <w:bCs/>
          <w:spacing w:val="1"/>
        </w:rPr>
        <w:t>н</w:t>
      </w:r>
      <w:r w:rsidRPr="009D6DA0">
        <w:rPr>
          <w:rFonts w:cstheme="minorHAnsi"/>
          <w:b/>
          <w:bCs/>
          <w:spacing w:val="-1"/>
        </w:rPr>
        <w:t>с</w:t>
      </w:r>
      <w:r w:rsidRPr="009D6DA0">
        <w:rPr>
          <w:rFonts w:cstheme="minorHAnsi"/>
          <w:b/>
          <w:bCs/>
        </w:rPr>
        <w:t>ова</w:t>
      </w:r>
      <w:r w:rsidRPr="009D6DA0">
        <w:rPr>
          <w:rFonts w:cstheme="minorHAnsi"/>
          <w:b/>
          <w:bCs/>
          <w:spacing w:val="2"/>
        </w:rPr>
        <w:t xml:space="preserve"> </w:t>
      </w:r>
      <w:r w:rsidRPr="009D6DA0">
        <w:rPr>
          <w:rFonts w:cstheme="minorHAnsi"/>
          <w:b/>
          <w:bCs/>
        </w:rPr>
        <w:t>у</w:t>
      </w:r>
      <w:r w:rsidRPr="009D6DA0">
        <w:rPr>
          <w:rFonts w:cstheme="minorHAnsi"/>
          <w:b/>
          <w:bCs/>
          <w:spacing w:val="-1"/>
        </w:rPr>
        <w:t>с</w:t>
      </w:r>
      <w:r w:rsidRPr="009D6DA0">
        <w:rPr>
          <w:rFonts w:cstheme="minorHAnsi"/>
          <w:b/>
          <w:bCs/>
          <w:spacing w:val="2"/>
        </w:rPr>
        <w:t>т</w:t>
      </w:r>
      <w:r w:rsidRPr="009D6DA0">
        <w:rPr>
          <w:rFonts w:cstheme="minorHAnsi"/>
          <w:b/>
          <w:bCs/>
        </w:rPr>
        <w:t>о</w:t>
      </w:r>
      <w:r w:rsidRPr="009D6DA0">
        <w:rPr>
          <w:rFonts w:cstheme="minorHAnsi"/>
          <w:b/>
          <w:bCs/>
          <w:spacing w:val="1"/>
        </w:rPr>
        <w:t>й</w:t>
      </w:r>
      <w:r w:rsidRPr="009D6DA0">
        <w:rPr>
          <w:rFonts w:cstheme="minorHAnsi"/>
          <w:b/>
          <w:bCs/>
          <w:spacing w:val="-1"/>
        </w:rPr>
        <w:t>ч</w:t>
      </w:r>
      <w:r w:rsidRPr="009D6DA0">
        <w:rPr>
          <w:rFonts w:cstheme="minorHAnsi"/>
          <w:b/>
          <w:bCs/>
          <w:spacing w:val="1"/>
        </w:rPr>
        <w:t>и</w:t>
      </w:r>
      <w:r w:rsidRPr="009D6DA0">
        <w:rPr>
          <w:rFonts w:cstheme="minorHAnsi"/>
          <w:b/>
          <w:bCs/>
        </w:rPr>
        <w:t>во</w:t>
      </w:r>
      <w:r w:rsidRPr="009D6DA0">
        <w:rPr>
          <w:rFonts w:cstheme="minorHAnsi"/>
          <w:b/>
          <w:bCs/>
          <w:spacing w:val="-3"/>
        </w:rPr>
        <w:t>с</w:t>
      </w:r>
      <w:r w:rsidRPr="009D6DA0">
        <w:rPr>
          <w:rFonts w:cstheme="minorHAnsi"/>
          <w:b/>
          <w:bCs/>
        </w:rPr>
        <w:t>т</w:t>
      </w:r>
      <w:r w:rsidRPr="009D6DA0">
        <w:rPr>
          <w:rFonts w:cstheme="minorHAnsi"/>
          <w:b/>
          <w:bCs/>
          <w:spacing w:val="4"/>
        </w:rPr>
        <w:t xml:space="preserve"> </w:t>
      </w:r>
      <w:r w:rsidRPr="009D6DA0">
        <w:rPr>
          <w:rFonts w:cstheme="minorHAnsi"/>
          <w:b/>
          <w:bCs/>
        </w:rPr>
        <w:t>и</w:t>
      </w:r>
      <w:r w:rsidRPr="009D6DA0">
        <w:rPr>
          <w:rFonts w:cstheme="minorHAnsi"/>
          <w:b/>
          <w:bCs/>
          <w:spacing w:val="1"/>
        </w:rPr>
        <w:t xml:space="preserve"> и</w:t>
      </w:r>
      <w:r w:rsidRPr="009D6DA0">
        <w:rPr>
          <w:rFonts w:cstheme="minorHAnsi"/>
          <w:b/>
          <w:bCs/>
          <w:spacing w:val="-1"/>
        </w:rPr>
        <w:t>к</w:t>
      </w:r>
      <w:r w:rsidRPr="009D6DA0">
        <w:rPr>
          <w:rFonts w:cstheme="minorHAnsi"/>
          <w:b/>
          <w:bCs/>
        </w:rPr>
        <w:t>о</w:t>
      </w:r>
      <w:r w:rsidRPr="009D6DA0">
        <w:rPr>
          <w:rFonts w:cstheme="minorHAnsi"/>
          <w:b/>
          <w:bCs/>
          <w:spacing w:val="1"/>
        </w:rPr>
        <w:t>н</w:t>
      </w:r>
      <w:r w:rsidRPr="009D6DA0">
        <w:rPr>
          <w:rFonts w:cstheme="minorHAnsi"/>
          <w:b/>
          <w:bCs/>
        </w:rPr>
        <w:t>омии</w:t>
      </w:r>
      <w:r w:rsidRPr="009D6DA0">
        <w:rPr>
          <w:rFonts w:cstheme="minorHAnsi"/>
          <w:b/>
          <w:bCs/>
          <w:spacing w:val="3"/>
        </w:rPr>
        <w:t xml:space="preserve"> </w:t>
      </w:r>
      <w:r w:rsidRPr="009D6DA0">
        <w:rPr>
          <w:rFonts w:cstheme="minorHAnsi"/>
          <w:b/>
          <w:bCs/>
          <w:spacing w:val="-2"/>
        </w:rPr>
        <w:t>о</w:t>
      </w:r>
      <w:r w:rsidRPr="009D6DA0">
        <w:rPr>
          <w:rFonts w:cstheme="minorHAnsi"/>
          <w:b/>
          <w:bCs/>
        </w:rPr>
        <w:t>т</w:t>
      </w:r>
      <w:r w:rsidRPr="009D6DA0">
        <w:rPr>
          <w:rFonts w:cstheme="minorHAnsi"/>
          <w:b/>
          <w:bCs/>
          <w:spacing w:val="2"/>
        </w:rPr>
        <w:t xml:space="preserve"> </w:t>
      </w:r>
      <w:r w:rsidRPr="009D6DA0">
        <w:rPr>
          <w:rFonts w:cstheme="minorHAnsi"/>
          <w:b/>
          <w:bCs/>
        </w:rPr>
        <w:t>м</w:t>
      </w:r>
      <w:r w:rsidRPr="009D6DA0">
        <w:rPr>
          <w:rFonts w:cstheme="minorHAnsi"/>
          <w:b/>
          <w:bCs/>
          <w:spacing w:val="2"/>
        </w:rPr>
        <w:t>а</w:t>
      </w:r>
      <w:r w:rsidRPr="009D6DA0">
        <w:rPr>
          <w:rFonts w:cstheme="minorHAnsi"/>
          <w:b/>
          <w:bCs/>
          <w:spacing w:val="-6"/>
        </w:rPr>
        <w:t>щ</w:t>
      </w:r>
      <w:r w:rsidRPr="009D6DA0">
        <w:rPr>
          <w:rFonts w:cstheme="minorHAnsi"/>
          <w:b/>
          <w:bCs/>
        </w:rPr>
        <w:t>аба, които</w:t>
      </w:r>
      <w:r w:rsidRPr="009D6DA0">
        <w:rPr>
          <w:rFonts w:cstheme="minorHAnsi"/>
          <w:b/>
          <w:bCs/>
          <w:spacing w:val="2"/>
        </w:rPr>
        <w:t xml:space="preserve"> </w:t>
      </w:r>
      <w:r w:rsidRPr="009D6DA0">
        <w:rPr>
          <w:rFonts w:cstheme="minorHAnsi"/>
          <w:b/>
          <w:bCs/>
          <w:spacing w:val="1"/>
        </w:rPr>
        <w:t>пр</w:t>
      </w:r>
      <w:r w:rsidRPr="009D6DA0">
        <w:rPr>
          <w:rFonts w:cstheme="minorHAnsi"/>
          <w:b/>
          <w:bCs/>
        </w:rPr>
        <w:t>авят</w:t>
      </w:r>
      <w:r w:rsidRPr="009D6DA0">
        <w:rPr>
          <w:rFonts w:cstheme="minorHAnsi"/>
          <w:b/>
          <w:bCs/>
          <w:spacing w:val="1"/>
        </w:rPr>
        <w:t xml:space="preserve"> н</w:t>
      </w:r>
      <w:r w:rsidRPr="009D6DA0">
        <w:rPr>
          <w:rFonts w:cstheme="minorHAnsi"/>
          <w:b/>
          <w:bCs/>
          <w:spacing w:val="-1"/>
        </w:rPr>
        <w:t>е</w:t>
      </w:r>
      <w:r w:rsidRPr="009D6DA0">
        <w:rPr>
          <w:rFonts w:cstheme="minorHAnsi"/>
          <w:b/>
          <w:bCs/>
        </w:rPr>
        <w:t>в</w:t>
      </w:r>
      <w:r w:rsidRPr="009D6DA0">
        <w:rPr>
          <w:rFonts w:cstheme="minorHAnsi"/>
          <w:b/>
          <w:bCs/>
          <w:spacing w:val="-1"/>
        </w:rPr>
        <w:t>ъ</w:t>
      </w:r>
      <w:r w:rsidRPr="009D6DA0">
        <w:rPr>
          <w:rFonts w:cstheme="minorHAnsi"/>
          <w:b/>
          <w:bCs/>
        </w:rPr>
        <w:t>зм</w:t>
      </w:r>
      <w:r w:rsidRPr="009D6DA0">
        <w:rPr>
          <w:rFonts w:cstheme="minorHAnsi"/>
          <w:b/>
          <w:bCs/>
          <w:spacing w:val="1"/>
        </w:rPr>
        <w:t>о</w:t>
      </w:r>
      <w:r w:rsidRPr="009D6DA0">
        <w:rPr>
          <w:rFonts w:cstheme="minorHAnsi"/>
          <w:b/>
          <w:bCs/>
          <w:spacing w:val="-4"/>
        </w:rPr>
        <w:t>ж</w:t>
      </w:r>
      <w:r w:rsidRPr="009D6DA0">
        <w:rPr>
          <w:rFonts w:cstheme="minorHAnsi"/>
          <w:b/>
          <w:bCs/>
          <w:spacing w:val="1"/>
        </w:rPr>
        <w:t>н</w:t>
      </w:r>
      <w:r w:rsidRPr="009D6DA0">
        <w:rPr>
          <w:rFonts w:cstheme="minorHAnsi"/>
          <w:b/>
          <w:bCs/>
        </w:rPr>
        <w:t xml:space="preserve">о </w:t>
      </w:r>
      <w:r w:rsidRPr="009D6DA0">
        <w:rPr>
          <w:rFonts w:cstheme="minorHAnsi"/>
          <w:b/>
          <w:bCs/>
          <w:spacing w:val="-3"/>
        </w:rPr>
        <w:t>ф</w:t>
      </w:r>
      <w:r w:rsidRPr="009D6DA0">
        <w:rPr>
          <w:rFonts w:cstheme="minorHAnsi"/>
          <w:b/>
          <w:bCs/>
          <w:spacing w:val="1"/>
        </w:rPr>
        <w:t>ин</w:t>
      </w:r>
      <w:r w:rsidRPr="009D6DA0">
        <w:rPr>
          <w:rFonts w:cstheme="minorHAnsi"/>
          <w:b/>
          <w:bCs/>
        </w:rPr>
        <w:t>а</w:t>
      </w:r>
      <w:r w:rsidRPr="009D6DA0">
        <w:rPr>
          <w:rFonts w:cstheme="minorHAnsi"/>
          <w:b/>
          <w:bCs/>
          <w:spacing w:val="1"/>
        </w:rPr>
        <w:t>н</w:t>
      </w:r>
      <w:r w:rsidRPr="009D6DA0">
        <w:rPr>
          <w:rFonts w:cstheme="minorHAnsi"/>
          <w:b/>
          <w:bCs/>
          <w:spacing w:val="-1"/>
        </w:rPr>
        <w:t>с</w:t>
      </w:r>
      <w:r w:rsidRPr="009D6DA0">
        <w:rPr>
          <w:rFonts w:cstheme="minorHAnsi"/>
          <w:b/>
          <w:bCs/>
          <w:spacing w:val="1"/>
        </w:rPr>
        <w:t>ир</w:t>
      </w:r>
      <w:r w:rsidRPr="009D6DA0">
        <w:rPr>
          <w:rFonts w:cstheme="minorHAnsi"/>
          <w:b/>
          <w:bCs/>
        </w:rPr>
        <w:t>а</w:t>
      </w:r>
      <w:r w:rsidRPr="009D6DA0">
        <w:rPr>
          <w:rFonts w:cstheme="minorHAnsi"/>
          <w:b/>
          <w:bCs/>
          <w:spacing w:val="1"/>
        </w:rPr>
        <w:t>н</w:t>
      </w:r>
      <w:r w:rsidRPr="009D6DA0">
        <w:rPr>
          <w:rFonts w:cstheme="minorHAnsi"/>
          <w:b/>
          <w:bCs/>
          <w:spacing w:val="-1"/>
        </w:rPr>
        <w:t>е</w:t>
      </w:r>
      <w:r w:rsidRPr="009D6DA0">
        <w:rPr>
          <w:rFonts w:cstheme="minorHAnsi"/>
          <w:b/>
          <w:bCs/>
          <w:spacing w:val="2"/>
        </w:rPr>
        <w:t>т</w:t>
      </w:r>
      <w:r w:rsidRPr="009D6DA0">
        <w:rPr>
          <w:rFonts w:cstheme="minorHAnsi"/>
          <w:b/>
          <w:bCs/>
        </w:rPr>
        <w:t>о</w:t>
      </w:r>
      <w:r w:rsidRPr="009D6DA0">
        <w:rPr>
          <w:rFonts w:cstheme="minorHAnsi"/>
          <w:b/>
          <w:bCs/>
          <w:spacing w:val="2"/>
        </w:rPr>
        <w:t xml:space="preserve"> </w:t>
      </w:r>
      <w:r w:rsidRPr="009D6DA0">
        <w:rPr>
          <w:rFonts w:cstheme="minorHAnsi"/>
          <w:b/>
          <w:bCs/>
          <w:spacing w:val="1"/>
        </w:rPr>
        <w:t>н</w:t>
      </w:r>
      <w:r w:rsidRPr="009D6DA0">
        <w:rPr>
          <w:rFonts w:cstheme="minorHAnsi"/>
          <w:b/>
          <w:bCs/>
        </w:rPr>
        <w:t xml:space="preserve">а </w:t>
      </w:r>
      <w:r w:rsidRPr="009D6DA0">
        <w:rPr>
          <w:rFonts w:cstheme="minorHAnsi"/>
          <w:b/>
          <w:bCs/>
          <w:spacing w:val="1"/>
        </w:rPr>
        <w:t>и</w:t>
      </w:r>
      <w:r w:rsidRPr="009D6DA0">
        <w:rPr>
          <w:rFonts w:cstheme="minorHAnsi"/>
          <w:b/>
          <w:bCs/>
          <w:spacing w:val="-1"/>
        </w:rPr>
        <w:t>н</w:t>
      </w:r>
      <w:r w:rsidRPr="009D6DA0">
        <w:rPr>
          <w:rFonts w:cstheme="minorHAnsi"/>
          <w:b/>
          <w:bCs/>
        </w:rPr>
        <w:t>в</w:t>
      </w:r>
      <w:r w:rsidRPr="009D6DA0">
        <w:rPr>
          <w:rFonts w:cstheme="minorHAnsi"/>
          <w:b/>
          <w:bCs/>
          <w:spacing w:val="-1"/>
        </w:rPr>
        <w:t>ес</w:t>
      </w:r>
      <w:r w:rsidRPr="009D6DA0">
        <w:rPr>
          <w:rFonts w:cstheme="minorHAnsi"/>
          <w:b/>
          <w:bCs/>
          <w:spacing w:val="2"/>
        </w:rPr>
        <w:t>т</w:t>
      </w:r>
      <w:r w:rsidRPr="009D6DA0">
        <w:rPr>
          <w:rFonts w:cstheme="minorHAnsi"/>
          <w:b/>
          <w:bCs/>
          <w:spacing w:val="1"/>
        </w:rPr>
        <w:t>иц</w:t>
      </w:r>
      <w:r w:rsidRPr="009D6DA0">
        <w:rPr>
          <w:rFonts w:cstheme="minorHAnsi"/>
          <w:b/>
          <w:bCs/>
          <w:spacing w:val="-1"/>
        </w:rPr>
        <w:t>и</w:t>
      </w:r>
      <w:r w:rsidRPr="009D6DA0">
        <w:rPr>
          <w:rFonts w:cstheme="minorHAnsi"/>
          <w:b/>
          <w:bCs/>
        </w:rPr>
        <w:t>и</w:t>
      </w:r>
      <w:r w:rsidRPr="009D6DA0">
        <w:rPr>
          <w:rFonts w:cstheme="minorHAnsi"/>
          <w:b/>
          <w:bCs/>
          <w:spacing w:val="3"/>
        </w:rPr>
        <w:t xml:space="preserve"> </w:t>
      </w:r>
      <w:r w:rsidRPr="009D6DA0">
        <w:rPr>
          <w:rFonts w:cstheme="minorHAnsi"/>
          <w:b/>
          <w:bCs/>
        </w:rPr>
        <w:t>в</w:t>
      </w:r>
      <w:r w:rsidRPr="009D6DA0">
        <w:rPr>
          <w:rFonts w:cstheme="minorHAnsi"/>
          <w:b/>
          <w:bCs/>
          <w:spacing w:val="-1"/>
        </w:rPr>
        <w:t>ъ</w:t>
      </w:r>
      <w:r w:rsidRPr="009D6DA0">
        <w:rPr>
          <w:rFonts w:cstheme="minorHAnsi"/>
          <w:b/>
          <w:bCs/>
        </w:rPr>
        <w:t>в</w:t>
      </w:r>
      <w:r w:rsidRPr="009D6DA0">
        <w:rPr>
          <w:rFonts w:cstheme="minorHAnsi"/>
          <w:b/>
          <w:bCs/>
          <w:spacing w:val="2"/>
        </w:rPr>
        <w:t xml:space="preserve"> </w:t>
      </w:r>
      <w:r w:rsidRPr="009D6DA0">
        <w:rPr>
          <w:rFonts w:cstheme="minorHAnsi"/>
          <w:b/>
          <w:bCs/>
        </w:rPr>
        <w:t>В</w:t>
      </w:r>
      <w:r w:rsidRPr="009D6DA0">
        <w:rPr>
          <w:rFonts w:cstheme="minorHAnsi"/>
          <w:b/>
          <w:bCs/>
          <w:spacing w:val="1"/>
        </w:rPr>
        <w:t>и</w:t>
      </w:r>
      <w:r w:rsidRPr="009D6DA0">
        <w:rPr>
          <w:rFonts w:cstheme="minorHAnsi"/>
          <w:b/>
          <w:bCs/>
        </w:rPr>
        <w:t>К</w:t>
      </w:r>
      <w:r w:rsidRPr="009D6DA0">
        <w:rPr>
          <w:rFonts w:cstheme="minorHAnsi"/>
          <w:b/>
          <w:bCs/>
          <w:spacing w:val="3"/>
        </w:rPr>
        <w:t xml:space="preserve"> </w:t>
      </w:r>
      <w:r w:rsidRPr="009D6DA0">
        <w:rPr>
          <w:rFonts w:cstheme="minorHAnsi"/>
          <w:b/>
          <w:bCs/>
          <w:spacing w:val="-1"/>
        </w:rPr>
        <w:t>сис</w:t>
      </w:r>
      <w:r w:rsidRPr="009D6DA0">
        <w:rPr>
          <w:rFonts w:cstheme="minorHAnsi"/>
          <w:b/>
          <w:bCs/>
          <w:spacing w:val="2"/>
        </w:rPr>
        <w:t>т</w:t>
      </w:r>
      <w:r w:rsidRPr="009D6DA0">
        <w:rPr>
          <w:rFonts w:cstheme="minorHAnsi"/>
          <w:b/>
          <w:bCs/>
          <w:spacing w:val="-1"/>
        </w:rPr>
        <w:t>е</w:t>
      </w:r>
      <w:r w:rsidRPr="009D6DA0">
        <w:rPr>
          <w:rFonts w:cstheme="minorHAnsi"/>
          <w:b/>
          <w:bCs/>
        </w:rPr>
        <w:t>ми</w:t>
      </w:r>
      <w:r w:rsidRPr="009D6DA0">
        <w:rPr>
          <w:rFonts w:cstheme="minorHAnsi"/>
          <w:b/>
          <w:bCs/>
          <w:spacing w:val="2"/>
        </w:rPr>
        <w:t>т</w:t>
      </w:r>
      <w:r w:rsidRPr="009D6DA0">
        <w:rPr>
          <w:rFonts w:cstheme="minorHAnsi"/>
          <w:b/>
          <w:bCs/>
        </w:rPr>
        <w:t>е</w:t>
      </w:r>
      <w:r w:rsidRPr="009D6DA0">
        <w:rPr>
          <w:rFonts w:cstheme="minorHAnsi"/>
          <w:b/>
          <w:bCs/>
          <w:spacing w:val="1"/>
        </w:rPr>
        <w:t xml:space="preserve"> </w:t>
      </w:r>
      <w:r w:rsidRPr="009D6DA0">
        <w:rPr>
          <w:rFonts w:cstheme="minorHAnsi"/>
          <w:b/>
          <w:bCs/>
        </w:rPr>
        <w:t>и</w:t>
      </w:r>
      <w:r w:rsidRPr="009D6DA0">
        <w:rPr>
          <w:rFonts w:cstheme="minorHAnsi"/>
          <w:b/>
          <w:bCs/>
          <w:spacing w:val="3"/>
        </w:rPr>
        <w:t xml:space="preserve"> </w:t>
      </w:r>
      <w:r w:rsidRPr="009D6DA0">
        <w:rPr>
          <w:rFonts w:cstheme="minorHAnsi"/>
          <w:b/>
          <w:bCs/>
          <w:spacing w:val="-1"/>
        </w:rPr>
        <w:t>съ</w:t>
      </w:r>
      <w:r w:rsidRPr="009D6DA0">
        <w:rPr>
          <w:rFonts w:cstheme="minorHAnsi"/>
          <w:b/>
          <w:bCs/>
        </w:rPr>
        <w:t>о</w:t>
      </w:r>
      <w:r w:rsidRPr="009D6DA0">
        <w:rPr>
          <w:rFonts w:cstheme="minorHAnsi"/>
          <w:b/>
          <w:bCs/>
          <w:spacing w:val="1"/>
        </w:rPr>
        <w:t>р</w:t>
      </w:r>
      <w:r w:rsidRPr="009D6DA0">
        <w:rPr>
          <w:rFonts w:cstheme="minorHAnsi"/>
          <w:b/>
          <w:bCs/>
          <w:spacing w:val="-1"/>
        </w:rPr>
        <w:t>ъже</w:t>
      </w:r>
      <w:r w:rsidRPr="009D6DA0">
        <w:rPr>
          <w:rFonts w:cstheme="minorHAnsi"/>
          <w:b/>
          <w:bCs/>
          <w:spacing w:val="1"/>
        </w:rPr>
        <w:t>ни</w:t>
      </w:r>
      <w:r w:rsidRPr="009D6DA0">
        <w:rPr>
          <w:rFonts w:cstheme="minorHAnsi"/>
          <w:b/>
          <w:bCs/>
        </w:rPr>
        <w:t>я</w:t>
      </w:r>
      <w:r w:rsidRPr="009D6DA0">
        <w:rPr>
          <w:rFonts w:cstheme="minorHAnsi"/>
          <w:b/>
          <w:bCs/>
          <w:spacing w:val="2"/>
        </w:rPr>
        <w:t>т</w:t>
      </w:r>
      <w:r w:rsidRPr="009D6DA0">
        <w:rPr>
          <w:rFonts w:cstheme="minorHAnsi"/>
          <w:b/>
          <w:bCs/>
        </w:rPr>
        <w:t>а</w:t>
      </w:r>
      <w:r w:rsidRPr="009D6DA0">
        <w:rPr>
          <w:rFonts w:cstheme="minorHAnsi"/>
          <w:b/>
          <w:bCs/>
          <w:spacing w:val="2"/>
        </w:rPr>
        <w:t xml:space="preserve"> </w:t>
      </w:r>
      <w:r w:rsidRPr="009D6DA0">
        <w:rPr>
          <w:rFonts w:cstheme="minorHAnsi"/>
          <w:b/>
          <w:bCs/>
        </w:rPr>
        <w:t>от</w:t>
      </w:r>
      <w:r w:rsidRPr="009D6DA0">
        <w:rPr>
          <w:rFonts w:cstheme="minorHAnsi"/>
          <w:b/>
          <w:bCs/>
          <w:spacing w:val="14"/>
        </w:rPr>
        <w:t xml:space="preserve"> </w:t>
      </w:r>
      <w:r w:rsidRPr="009D6DA0">
        <w:rPr>
          <w:rFonts w:cstheme="minorHAnsi"/>
          <w:b/>
          <w:bCs/>
          <w:spacing w:val="-2"/>
        </w:rPr>
        <w:t>о</w:t>
      </w:r>
      <w:r w:rsidRPr="009D6DA0">
        <w:rPr>
          <w:rFonts w:cstheme="minorHAnsi"/>
          <w:b/>
          <w:bCs/>
          <w:spacing w:val="1"/>
        </w:rPr>
        <w:t>п</w:t>
      </w:r>
      <w:r w:rsidRPr="009D6DA0">
        <w:rPr>
          <w:rFonts w:cstheme="minorHAnsi"/>
          <w:b/>
          <w:bCs/>
          <w:spacing w:val="-1"/>
        </w:rPr>
        <w:t>е</w:t>
      </w:r>
      <w:r w:rsidRPr="009D6DA0">
        <w:rPr>
          <w:rFonts w:cstheme="minorHAnsi"/>
          <w:b/>
          <w:bCs/>
          <w:spacing w:val="1"/>
        </w:rPr>
        <w:t>р</w:t>
      </w:r>
      <w:r w:rsidRPr="009D6DA0">
        <w:rPr>
          <w:rFonts w:cstheme="minorHAnsi"/>
          <w:b/>
          <w:bCs/>
          <w:spacing w:val="-2"/>
        </w:rPr>
        <w:t>а</w:t>
      </w:r>
      <w:r w:rsidRPr="009D6DA0">
        <w:rPr>
          <w:rFonts w:cstheme="minorHAnsi"/>
          <w:b/>
          <w:bCs/>
          <w:spacing w:val="2"/>
        </w:rPr>
        <w:t>т</w:t>
      </w:r>
      <w:r w:rsidRPr="009D6DA0">
        <w:rPr>
          <w:rFonts w:cstheme="minorHAnsi"/>
          <w:b/>
          <w:bCs/>
        </w:rPr>
        <w:t>о</w:t>
      </w:r>
      <w:r w:rsidRPr="009D6DA0">
        <w:rPr>
          <w:rFonts w:cstheme="minorHAnsi"/>
          <w:b/>
          <w:bCs/>
          <w:spacing w:val="1"/>
        </w:rPr>
        <w:t>р</w:t>
      </w:r>
      <w:r w:rsidRPr="009D6DA0">
        <w:rPr>
          <w:rFonts w:cstheme="minorHAnsi"/>
          <w:b/>
          <w:bCs/>
          <w:spacing w:val="-1"/>
        </w:rPr>
        <w:t>и</w:t>
      </w:r>
      <w:r w:rsidRPr="009D6DA0">
        <w:rPr>
          <w:rFonts w:cstheme="minorHAnsi"/>
          <w:b/>
          <w:bCs/>
          <w:spacing w:val="2"/>
        </w:rPr>
        <w:t>т</w:t>
      </w:r>
      <w:r w:rsidRPr="009D6DA0">
        <w:rPr>
          <w:rFonts w:cstheme="minorHAnsi"/>
          <w:b/>
          <w:bCs/>
        </w:rPr>
        <w:t xml:space="preserve">е </w:t>
      </w:r>
      <w:r w:rsidRPr="009D6DA0">
        <w:rPr>
          <w:rFonts w:cstheme="minorHAnsi"/>
          <w:b/>
          <w:bCs/>
          <w:spacing w:val="1"/>
        </w:rPr>
        <w:t>н</w:t>
      </w:r>
      <w:r w:rsidRPr="009D6DA0">
        <w:rPr>
          <w:rFonts w:cstheme="minorHAnsi"/>
          <w:b/>
          <w:bCs/>
        </w:rPr>
        <w:t>а во</w:t>
      </w:r>
      <w:r w:rsidRPr="009D6DA0">
        <w:rPr>
          <w:rFonts w:cstheme="minorHAnsi"/>
          <w:b/>
          <w:bCs/>
          <w:spacing w:val="1"/>
        </w:rPr>
        <w:t>д</w:t>
      </w:r>
      <w:r w:rsidRPr="009D6DA0">
        <w:rPr>
          <w:rFonts w:cstheme="minorHAnsi"/>
          <w:b/>
          <w:bCs/>
        </w:rPr>
        <w:t>о</w:t>
      </w:r>
      <w:r w:rsidRPr="009D6DA0">
        <w:rPr>
          <w:rFonts w:cstheme="minorHAnsi"/>
          <w:b/>
          <w:bCs/>
          <w:spacing w:val="-1"/>
        </w:rPr>
        <w:t>с</w:t>
      </w:r>
      <w:r w:rsidRPr="009D6DA0">
        <w:rPr>
          <w:rFonts w:cstheme="minorHAnsi"/>
          <w:b/>
          <w:bCs/>
          <w:spacing w:val="1"/>
        </w:rPr>
        <w:t>н</w:t>
      </w:r>
      <w:r w:rsidRPr="009D6DA0">
        <w:rPr>
          <w:rFonts w:cstheme="minorHAnsi"/>
          <w:b/>
          <w:bCs/>
        </w:rPr>
        <w:t>аб</w:t>
      </w:r>
      <w:r w:rsidRPr="009D6DA0">
        <w:rPr>
          <w:rFonts w:cstheme="minorHAnsi"/>
          <w:b/>
          <w:bCs/>
          <w:spacing w:val="1"/>
        </w:rPr>
        <w:t>д</w:t>
      </w:r>
      <w:r w:rsidRPr="009D6DA0">
        <w:rPr>
          <w:rFonts w:cstheme="minorHAnsi"/>
          <w:b/>
          <w:bCs/>
          <w:spacing w:val="-1"/>
        </w:rPr>
        <w:t>и</w:t>
      </w:r>
      <w:r w:rsidRPr="009D6DA0">
        <w:rPr>
          <w:rFonts w:cstheme="minorHAnsi"/>
          <w:b/>
          <w:bCs/>
          <w:spacing w:val="2"/>
        </w:rPr>
        <w:t>т</w:t>
      </w:r>
      <w:r w:rsidRPr="009D6DA0">
        <w:rPr>
          <w:rFonts w:cstheme="minorHAnsi"/>
          <w:b/>
          <w:bCs/>
          <w:spacing w:val="-1"/>
        </w:rPr>
        <w:t>е</w:t>
      </w:r>
      <w:r w:rsidRPr="009D6DA0">
        <w:rPr>
          <w:rFonts w:cstheme="minorHAnsi"/>
          <w:b/>
          <w:bCs/>
        </w:rPr>
        <w:t>лна</w:t>
      </w:r>
      <w:r w:rsidRPr="009D6DA0">
        <w:rPr>
          <w:rFonts w:cstheme="minorHAnsi"/>
          <w:b/>
          <w:bCs/>
          <w:spacing w:val="1"/>
        </w:rPr>
        <w:t xml:space="preserve"> </w:t>
      </w:r>
      <w:r w:rsidRPr="009D6DA0">
        <w:rPr>
          <w:rFonts w:cstheme="minorHAnsi"/>
          <w:b/>
          <w:bCs/>
        </w:rPr>
        <w:t>и</w:t>
      </w:r>
      <w:r w:rsidRPr="009D6DA0">
        <w:rPr>
          <w:rFonts w:cstheme="minorHAnsi"/>
          <w:b/>
          <w:bCs/>
          <w:spacing w:val="1"/>
        </w:rPr>
        <w:t xml:space="preserve"> к</w:t>
      </w:r>
      <w:r w:rsidRPr="009D6DA0">
        <w:rPr>
          <w:rFonts w:cstheme="minorHAnsi"/>
          <w:b/>
          <w:bCs/>
        </w:rPr>
        <w:t>а</w:t>
      </w:r>
      <w:r w:rsidRPr="009D6DA0">
        <w:rPr>
          <w:rFonts w:cstheme="minorHAnsi"/>
          <w:b/>
          <w:bCs/>
          <w:spacing w:val="1"/>
        </w:rPr>
        <w:t>н</w:t>
      </w:r>
      <w:r w:rsidRPr="009D6DA0">
        <w:rPr>
          <w:rFonts w:cstheme="minorHAnsi"/>
          <w:b/>
          <w:bCs/>
        </w:rPr>
        <w:t>ализац</w:t>
      </w:r>
      <w:r w:rsidRPr="009D6DA0">
        <w:rPr>
          <w:rFonts w:cstheme="minorHAnsi"/>
          <w:b/>
          <w:bCs/>
          <w:spacing w:val="3"/>
        </w:rPr>
        <w:t>и</w:t>
      </w:r>
      <w:r w:rsidRPr="009D6DA0">
        <w:rPr>
          <w:rFonts w:cstheme="minorHAnsi"/>
          <w:b/>
          <w:bCs/>
          <w:spacing w:val="-2"/>
        </w:rPr>
        <w:t>о</w:t>
      </w:r>
      <w:r w:rsidRPr="009D6DA0">
        <w:rPr>
          <w:rFonts w:cstheme="minorHAnsi"/>
          <w:b/>
          <w:bCs/>
          <w:spacing w:val="1"/>
        </w:rPr>
        <w:t>нн</w:t>
      </w:r>
      <w:r w:rsidRPr="009D6DA0">
        <w:rPr>
          <w:rFonts w:cstheme="minorHAnsi"/>
          <w:b/>
          <w:bCs/>
        </w:rPr>
        <w:t xml:space="preserve">а </w:t>
      </w:r>
      <w:r w:rsidRPr="009D6DA0">
        <w:rPr>
          <w:rFonts w:cstheme="minorHAnsi"/>
          <w:b/>
          <w:bCs/>
          <w:spacing w:val="-1"/>
        </w:rPr>
        <w:t>и</w:t>
      </w:r>
      <w:r w:rsidRPr="009D6DA0">
        <w:rPr>
          <w:rFonts w:cstheme="minorHAnsi"/>
          <w:b/>
          <w:bCs/>
          <w:spacing w:val="1"/>
        </w:rPr>
        <w:t>н</w:t>
      </w:r>
      <w:r w:rsidRPr="009D6DA0">
        <w:rPr>
          <w:rFonts w:cstheme="minorHAnsi"/>
          <w:b/>
          <w:bCs/>
          <w:spacing w:val="-3"/>
        </w:rPr>
        <w:t>ф</w:t>
      </w:r>
      <w:r w:rsidRPr="009D6DA0">
        <w:rPr>
          <w:rFonts w:cstheme="minorHAnsi"/>
          <w:b/>
          <w:bCs/>
          <w:spacing w:val="1"/>
        </w:rPr>
        <w:t>р</w:t>
      </w:r>
      <w:r w:rsidRPr="009D6DA0">
        <w:rPr>
          <w:rFonts w:cstheme="minorHAnsi"/>
          <w:b/>
          <w:bCs/>
        </w:rPr>
        <w:t>а</w:t>
      </w:r>
      <w:r w:rsidRPr="009D6DA0">
        <w:rPr>
          <w:rFonts w:cstheme="minorHAnsi"/>
          <w:b/>
          <w:bCs/>
          <w:spacing w:val="-1"/>
        </w:rPr>
        <w:t>с</w:t>
      </w:r>
      <w:r w:rsidRPr="009D6DA0">
        <w:rPr>
          <w:rFonts w:cstheme="minorHAnsi"/>
          <w:b/>
          <w:bCs/>
          <w:spacing w:val="2"/>
        </w:rPr>
        <w:t>т</w:t>
      </w:r>
      <w:r w:rsidRPr="009D6DA0">
        <w:rPr>
          <w:rFonts w:cstheme="minorHAnsi"/>
          <w:b/>
          <w:bCs/>
          <w:spacing w:val="1"/>
        </w:rPr>
        <w:t>р</w:t>
      </w:r>
      <w:r w:rsidRPr="009D6DA0">
        <w:rPr>
          <w:rFonts w:cstheme="minorHAnsi"/>
          <w:b/>
          <w:bCs/>
        </w:rPr>
        <w:t>у</w:t>
      </w:r>
      <w:r w:rsidRPr="009D6DA0">
        <w:rPr>
          <w:rFonts w:cstheme="minorHAnsi"/>
          <w:b/>
          <w:bCs/>
          <w:spacing w:val="-1"/>
        </w:rPr>
        <w:t>к</w:t>
      </w:r>
      <w:r w:rsidRPr="009D6DA0">
        <w:rPr>
          <w:rFonts w:cstheme="minorHAnsi"/>
          <w:b/>
          <w:bCs/>
          <w:spacing w:val="2"/>
        </w:rPr>
        <w:t>т</w:t>
      </w:r>
      <w:r w:rsidRPr="009D6DA0">
        <w:rPr>
          <w:rFonts w:cstheme="minorHAnsi"/>
          <w:b/>
          <w:bCs/>
        </w:rPr>
        <w:t>у</w:t>
      </w:r>
      <w:r w:rsidRPr="009D6DA0">
        <w:rPr>
          <w:rFonts w:cstheme="minorHAnsi"/>
          <w:b/>
          <w:bCs/>
          <w:spacing w:val="1"/>
        </w:rPr>
        <w:t>р</w:t>
      </w:r>
      <w:r w:rsidRPr="009D6DA0">
        <w:rPr>
          <w:rFonts w:cstheme="minorHAnsi"/>
          <w:b/>
          <w:bCs/>
        </w:rPr>
        <w:t>а</w:t>
      </w:r>
      <w:r w:rsidRPr="009D6DA0">
        <w:rPr>
          <w:rStyle w:val="FootnoteReference"/>
          <w:rFonts w:cstheme="minorHAnsi"/>
          <w:bCs/>
          <w:spacing w:val="-1"/>
        </w:rPr>
        <w:footnoteReference w:id="13"/>
      </w:r>
      <w:r w:rsidRPr="009D6DA0">
        <w:rPr>
          <w:rFonts w:cstheme="minorHAnsi"/>
          <w:bCs/>
        </w:rPr>
        <w:t>.</w:t>
      </w:r>
    </w:p>
    <w:p w:rsidR="0083165D" w:rsidRDefault="0083165D" w:rsidP="009811D3">
      <w:pPr>
        <w:widowControl w:val="0"/>
        <w:autoSpaceDE w:val="0"/>
        <w:autoSpaceDN w:val="0"/>
        <w:adjustRightInd w:val="0"/>
        <w:spacing w:before="240" w:after="0" w:line="239" w:lineRule="auto"/>
        <w:ind w:right="66"/>
        <w:jc w:val="both"/>
      </w:pPr>
    </w:p>
    <w:p w:rsidR="009811D3" w:rsidRPr="00E51D2B" w:rsidRDefault="00E51D2B" w:rsidP="00E51D2B">
      <w:pPr>
        <w:pStyle w:val="Heading3"/>
        <w:spacing w:before="120" w:after="120"/>
        <w:rPr>
          <w:rFonts w:asciiTheme="minorHAnsi" w:eastAsia="Calibri" w:hAnsiTheme="minorHAnsi"/>
        </w:rPr>
      </w:pPr>
      <w:bookmarkStart w:id="25" w:name="_Toc399494512"/>
      <w:r w:rsidRPr="00E51D2B">
        <w:rPr>
          <w:rFonts w:asciiTheme="minorHAnsi" w:eastAsia="Calibri" w:hAnsiTheme="minorHAnsi"/>
        </w:rPr>
        <w:t xml:space="preserve">1.1.5. </w:t>
      </w:r>
      <w:r>
        <w:rPr>
          <w:rFonts w:asciiTheme="minorHAnsi" w:eastAsia="Calibri" w:hAnsiTheme="minorHAnsi"/>
        </w:rPr>
        <w:t xml:space="preserve">Анализ на търсенето и предлагането на </w:t>
      </w:r>
      <w:r w:rsidR="00665F19">
        <w:rPr>
          <w:rFonts w:asciiTheme="minorHAnsi" w:eastAsia="Calibri" w:hAnsiTheme="minorHAnsi"/>
        </w:rPr>
        <w:t>финансиране</w:t>
      </w:r>
      <w:bookmarkEnd w:id="25"/>
    </w:p>
    <w:p w:rsidR="009811D3" w:rsidRPr="009811D3" w:rsidRDefault="009811D3" w:rsidP="009C1CFD">
      <w:pPr>
        <w:numPr>
          <w:ilvl w:val="2"/>
          <w:numId w:val="5"/>
        </w:numPr>
        <w:spacing w:after="200" w:line="276" w:lineRule="auto"/>
        <w:ind w:left="1134" w:hanging="425"/>
        <w:jc w:val="both"/>
        <w:rPr>
          <w:rFonts w:ascii="Calibri" w:eastAsia="Calibri" w:hAnsi="Calibri" w:cs="Times New Roman"/>
          <w:b/>
          <w:color w:val="4F81BD"/>
        </w:rPr>
      </w:pPr>
      <w:r w:rsidRPr="009811D3">
        <w:rPr>
          <w:rFonts w:ascii="Calibri" w:eastAsia="Calibri" w:hAnsi="Calibri" w:cs="Times New Roman"/>
          <w:b/>
          <w:color w:val="4F81BD"/>
        </w:rPr>
        <w:t>Схеми на финансиране на проектите във ВиК сектора в пред-присъединителния период</w:t>
      </w:r>
    </w:p>
    <w:p w:rsidR="009811D3" w:rsidRDefault="009811D3" w:rsidP="009811D3">
      <w:pPr>
        <w:spacing w:after="200" w:line="276" w:lineRule="auto"/>
        <w:jc w:val="both"/>
        <w:rPr>
          <w:rFonts w:ascii="Calibri" w:eastAsia="Calibri" w:hAnsi="Calibri" w:cs="Times New Roman"/>
        </w:rPr>
      </w:pPr>
      <w:r w:rsidRPr="009811D3">
        <w:rPr>
          <w:rFonts w:ascii="Calibri" w:eastAsia="Calibri" w:hAnsi="Calibri" w:cs="Times New Roman"/>
        </w:rPr>
        <w:t>В периода до 2007 г., когато България стана страна-членка на ЕС са подписани следните Финансови меморандуми в сектор Околна среда по програма ИСПА:</w:t>
      </w:r>
    </w:p>
    <w:p w:rsidR="00FC75F0" w:rsidRPr="009811D3" w:rsidRDefault="00FC75F0" w:rsidP="00FC75F0">
      <w:pPr>
        <w:spacing w:after="200" w:line="276" w:lineRule="auto"/>
        <w:ind w:firstLine="708"/>
        <w:jc w:val="both"/>
        <w:rPr>
          <w:rFonts w:ascii="Calibri" w:eastAsia="Calibri" w:hAnsi="Calibri" w:cs="Times New Roman"/>
        </w:rPr>
      </w:pPr>
      <w:bookmarkStart w:id="26" w:name="_Toc399494889"/>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9</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Одобрение проекти по програма ИСПА до 2007 г.</w:t>
      </w:r>
      <w:bookmarkEnd w:id="26"/>
    </w:p>
    <w:p w:rsidR="00FC75F0" w:rsidRDefault="009811D3" w:rsidP="009811D3">
      <w:pPr>
        <w:jc w:val="both"/>
      </w:pPr>
      <w:r w:rsidRPr="009811D3">
        <w:rPr>
          <w:rFonts w:cs="Times New Roman"/>
          <w:noProof/>
          <w:lang w:eastAsia="bg-BG"/>
        </w:rPr>
        <w:drawing>
          <wp:inline distT="0" distB="0" distL="0" distR="0">
            <wp:extent cx="4880754" cy="4529977"/>
            <wp:effectExtent l="19050" t="0" r="0" b="0"/>
            <wp:docPr id="12" name="Picture 6" descr="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4.gif"/>
                    <pic:cNvPicPr/>
                  </pic:nvPicPr>
                  <pic:blipFill>
                    <a:blip r:embed="rId26" cstate="print"/>
                    <a:stretch>
                      <a:fillRect/>
                    </a:stretch>
                  </pic:blipFill>
                  <pic:spPr>
                    <a:xfrm>
                      <a:off x="0" y="0"/>
                      <a:ext cx="4888017" cy="4536718"/>
                    </a:xfrm>
                    <a:prstGeom prst="rect">
                      <a:avLst/>
                    </a:prstGeom>
                  </pic:spPr>
                </pic:pic>
              </a:graphicData>
            </a:graphic>
          </wp:inline>
        </w:drawing>
      </w:r>
      <w:r w:rsidRPr="009811D3">
        <w:t xml:space="preserve"> </w:t>
      </w:r>
    </w:p>
    <w:p w:rsidR="00107B8E" w:rsidRDefault="00107B8E" w:rsidP="009C60B0">
      <w:pPr>
        <w:spacing w:before="240"/>
        <w:jc w:val="both"/>
      </w:pPr>
    </w:p>
    <w:p w:rsidR="009811D3" w:rsidRDefault="009811D3" w:rsidP="009C60B0">
      <w:pPr>
        <w:spacing w:before="240"/>
        <w:jc w:val="both"/>
      </w:pPr>
      <w:r>
        <w:lastRenderedPageBreak/>
        <w:t>Структурата на финансиране на тези проекти е следната:</w:t>
      </w:r>
    </w:p>
    <w:p w:rsidR="00FC75F0" w:rsidRDefault="00FC75F0" w:rsidP="00FC75F0">
      <w:pPr>
        <w:ind w:left="708" w:firstLine="708"/>
        <w:jc w:val="both"/>
      </w:pPr>
      <w:bookmarkStart w:id="27" w:name="_Toc399494890"/>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10</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Структура на финансиране на проектите по програма ИСПА</w:t>
      </w:r>
      <w:bookmarkEnd w:id="27"/>
    </w:p>
    <w:p w:rsidR="00FA0C25" w:rsidRDefault="009811D3" w:rsidP="00FC75F0">
      <w:pPr>
        <w:jc w:val="center"/>
        <w:rPr>
          <w:rFonts w:cs="Times New Roman"/>
        </w:rPr>
      </w:pPr>
      <w:r w:rsidRPr="009811D3">
        <w:rPr>
          <w:rFonts w:cs="Times New Roman"/>
          <w:noProof/>
          <w:lang w:eastAsia="bg-BG"/>
        </w:rPr>
        <w:drawing>
          <wp:inline distT="0" distB="0" distL="0" distR="0">
            <wp:extent cx="4286250" cy="895350"/>
            <wp:effectExtent l="19050" t="0" r="0" b="0"/>
            <wp:docPr id="13" name="Picture 7" descr="02-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3.1.gif"/>
                    <pic:cNvPicPr/>
                  </pic:nvPicPr>
                  <pic:blipFill>
                    <a:blip r:embed="rId27" cstate="print"/>
                    <a:stretch>
                      <a:fillRect/>
                    </a:stretch>
                  </pic:blipFill>
                  <pic:spPr>
                    <a:xfrm>
                      <a:off x="0" y="0"/>
                      <a:ext cx="4286250" cy="895350"/>
                    </a:xfrm>
                    <a:prstGeom prst="rect">
                      <a:avLst/>
                    </a:prstGeom>
                  </pic:spPr>
                </pic:pic>
              </a:graphicData>
            </a:graphic>
          </wp:inline>
        </w:drawing>
      </w:r>
    </w:p>
    <w:p w:rsidR="009811D3" w:rsidRPr="003362FC" w:rsidRDefault="009811D3" w:rsidP="009811D3">
      <w:pPr>
        <w:ind w:left="708" w:firstLine="708"/>
        <w:rPr>
          <w:i/>
          <w:sz w:val="20"/>
          <w:szCs w:val="20"/>
        </w:rPr>
      </w:pPr>
      <w:r w:rsidRPr="003362FC">
        <w:rPr>
          <w:i/>
          <w:sz w:val="20"/>
          <w:szCs w:val="20"/>
        </w:rPr>
        <w:t xml:space="preserve">Източник: </w:t>
      </w:r>
      <w:hyperlink r:id="rId28" w:history="1">
        <w:r w:rsidRPr="003362FC">
          <w:rPr>
            <w:rStyle w:val="Hyperlink"/>
            <w:i/>
            <w:sz w:val="20"/>
            <w:szCs w:val="20"/>
          </w:rPr>
          <w:t>http://ispa-mrrb.org/?id=108</w:t>
        </w:r>
      </w:hyperlink>
      <w:r w:rsidRPr="003362FC">
        <w:rPr>
          <w:i/>
          <w:sz w:val="20"/>
          <w:szCs w:val="20"/>
        </w:rPr>
        <w:t xml:space="preserve"> </w:t>
      </w:r>
    </w:p>
    <w:p w:rsidR="009811D3" w:rsidRPr="009811D3" w:rsidRDefault="009811D3" w:rsidP="009C60B0">
      <w:pPr>
        <w:spacing w:before="240" w:after="200" w:line="276" w:lineRule="auto"/>
        <w:jc w:val="both"/>
        <w:rPr>
          <w:rFonts w:ascii="Calibri" w:eastAsia="Calibri" w:hAnsi="Calibri" w:cs="Times New Roman"/>
        </w:rPr>
      </w:pPr>
      <w:r w:rsidRPr="009811D3">
        <w:rPr>
          <w:rFonts w:ascii="Calibri" w:eastAsia="Calibri" w:hAnsi="Calibri" w:cs="Times New Roman"/>
        </w:rPr>
        <w:t>Международните фи</w:t>
      </w:r>
      <w:r w:rsidR="00531451">
        <w:rPr>
          <w:rFonts w:ascii="Calibri" w:eastAsia="Calibri" w:hAnsi="Calibri" w:cs="Times New Roman"/>
        </w:rPr>
        <w:t xml:space="preserve">нансови институции (МФИ), </w:t>
      </w:r>
      <w:r w:rsidRPr="009811D3">
        <w:rPr>
          <w:rFonts w:ascii="Calibri" w:eastAsia="Calibri" w:hAnsi="Calibri" w:cs="Times New Roman"/>
        </w:rPr>
        <w:t xml:space="preserve">чрез които е осигурено по-голямата част от </w:t>
      </w:r>
      <w:r w:rsidR="00531451" w:rsidRPr="009811D3">
        <w:rPr>
          <w:rFonts w:ascii="Calibri" w:eastAsia="Calibri" w:hAnsi="Calibri" w:cs="Times New Roman"/>
        </w:rPr>
        <w:t>съфинансирането</w:t>
      </w:r>
      <w:r w:rsidRPr="009811D3">
        <w:rPr>
          <w:rFonts w:ascii="Calibri" w:eastAsia="Calibri" w:hAnsi="Calibri" w:cs="Times New Roman"/>
        </w:rPr>
        <w:t xml:space="preserve"> за някои проекти във Водния сектор са Европейската инвестиционна банка (ЕИБ) и Европейската банка за възстановяване и развитие (ЕБВР). Схемите на финансиране на тези проекти са както следва</w:t>
      </w:r>
      <w:r w:rsidRPr="009811D3">
        <w:rPr>
          <w:rFonts w:ascii="Calibri" w:eastAsia="Calibri" w:hAnsi="Calibri" w:cs="Times New Roman"/>
          <w:vertAlign w:val="superscript"/>
        </w:rPr>
        <w:footnoteReference w:id="14"/>
      </w:r>
      <w:r w:rsidRPr="009811D3">
        <w:rPr>
          <w:rFonts w:ascii="Calibri" w:eastAsia="Calibri" w:hAnsi="Calibri" w:cs="Times New Roman"/>
        </w:rPr>
        <w:t>:</w:t>
      </w:r>
    </w:p>
    <w:p w:rsidR="009811D3" w:rsidRPr="009811D3" w:rsidRDefault="009811D3" w:rsidP="009C1CFD">
      <w:pPr>
        <w:numPr>
          <w:ilvl w:val="0"/>
          <w:numId w:val="6"/>
        </w:numPr>
        <w:spacing w:after="200" w:line="276" w:lineRule="auto"/>
        <w:jc w:val="both"/>
        <w:rPr>
          <w:rFonts w:ascii="Calibri" w:eastAsia="Calibri" w:hAnsi="Calibri" w:cs="Times New Roman"/>
        </w:rPr>
      </w:pPr>
      <w:r w:rsidRPr="009811D3">
        <w:rPr>
          <w:rFonts w:ascii="Calibri" w:eastAsia="Calibri" w:hAnsi="Calibri" w:cs="Times New Roman"/>
        </w:rPr>
        <w:t>Проект „Изграждане на ГПСОВ в басейна на р. Марица” – 75% от програма ИСПА, 15% държавногарантиран заем от ЕИБ и 10% финансиране от държавния бюджет</w:t>
      </w:r>
    </w:p>
    <w:p w:rsidR="009811D3" w:rsidRPr="009811D3" w:rsidRDefault="009811D3" w:rsidP="009C1CFD">
      <w:pPr>
        <w:numPr>
          <w:ilvl w:val="0"/>
          <w:numId w:val="6"/>
        </w:numPr>
        <w:spacing w:after="200" w:line="276" w:lineRule="auto"/>
        <w:jc w:val="both"/>
        <w:rPr>
          <w:rFonts w:ascii="Calibri" w:eastAsia="Calibri" w:hAnsi="Calibri" w:cs="Times New Roman"/>
        </w:rPr>
      </w:pPr>
      <w:r w:rsidRPr="009811D3">
        <w:rPr>
          <w:rFonts w:ascii="Calibri" w:eastAsia="Calibri" w:hAnsi="Calibri" w:cs="Times New Roman"/>
        </w:rPr>
        <w:t>Проект „Интегриран проект за водния сектор на гр. София” - 75% от програма ИСПА, 15% държавногарантиран заем от ЕИБ и 10% финансиране от държавния бюджет</w:t>
      </w:r>
    </w:p>
    <w:p w:rsidR="009811D3" w:rsidRPr="009811D3" w:rsidRDefault="009811D3" w:rsidP="009C1CFD">
      <w:pPr>
        <w:numPr>
          <w:ilvl w:val="0"/>
          <w:numId w:val="6"/>
        </w:numPr>
        <w:spacing w:after="200" w:line="276" w:lineRule="auto"/>
        <w:jc w:val="both"/>
        <w:rPr>
          <w:rFonts w:ascii="Calibri" w:eastAsia="Calibri" w:hAnsi="Calibri" w:cs="Times New Roman"/>
        </w:rPr>
      </w:pPr>
      <w:r w:rsidRPr="009811D3">
        <w:rPr>
          <w:rFonts w:ascii="Calibri" w:eastAsia="Calibri" w:hAnsi="Calibri" w:cs="Times New Roman"/>
        </w:rPr>
        <w:t>Проект „Интегриран проект за водния сектор на гр. Сливен” - 75% от програма ИСПА, 15% държавногарантиран заем от ЕИБ и 10% финансиране от държавния бюджет</w:t>
      </w:r>
    </w:p>
    <w:p w:rsidR="009811D3" w:rsidRPr="009811D3" w:rsidRDefault="009811D3" w:rsidP="009C1CFD">
      <w:pPr>
        <w:numPr>
          <w:ilvl w:val="0"/>
          <w:numId w:val="6"/>
        </w:numPr>
        <w:spacing w:after="200" w:line="276" w:lineRule="auto"/>
        <w:jc w:val="both"/>
        <w:rPr>
          <w:rFonts w:ascii="Calibri" w:eastAsia="Calibri" w:hAnsi="Calibri" w:cs="Times New Roman"/>
        </w:rPr>
      </w:pPr>
      <w:r w:rsidRPr="009811D3">
        <w:rPr>
          <w:rFonts w:ascii="Calibri" w:eastAsia="Calibri" w:hAnsi="Calibri" w:cs="Times New Roman"/>
        </w:rPr>
        <w:t>Проект „Интегриран проект за водния сектор на гр. Бургас” – 46,26% от програма ИСПА,  51,40% заем на ВиК Бургас от ЕБВР и 2,34% финансиране от държавния бюджет</w:t>
      </w:r>
    </w:p>
    <w:p w:rsidR="009811D3" w:rsidRPr="009811D3" w:rsidRDefault="009811D3" w:rsidP="009C1CFD">
      <w:pPr>
        <w:numPr>
          <w:ilvl w:val="0"/>
          <w:numId w:val="6"/>
        </w:numPr>
        <w:spacing w:after="200" w:line="276" w:lineRule="auto"/>
        <w:jc w:val="both"/>
        <w:rPr>
          <w:rFonts w:ascii="Calibri" w:eastAsia="Calibri" w:hAnsi="Calibri" w:cs="Times New Roman"/>
        </w:rPr>
      </w:pPr>
      <w:r w:rsidRPr="009811D3">
        <w:rPr>
          <w:rFonts w:ascii="Calibri" w:eastAsia="Calibri" w:hAnsi="Calibri" w:cs="Times New Roman"/>
        </w:rPr>
        <w:t>Проект „Интегриран проект за водния сектор на гр. Русе” – 66,12% от програма ИСПА и 13,63% заем на ВиК Русе от ЕБВР и 20,25% финансиране от държавния бюджет</w:t>
      </w:r>
    </w:p>
    <w:p w:rsidR="009811D3" w:rsidRDefault="009811D3" w:rsidP="009811D3">
      <w:pPr>
        <w:spacing w:after="200" w:line="276" w:lineRule="auto"/>
        <w:jc w:val="both"/>
        <w:rPr>
          <w:rFonts w:ascii="Calibri" w:eastAsia="Calibri" w:hAnsi="Calibri" w:cs="Times New Roman"/>
        </w:rPr>
      </w:pPr>
      <w:r w:rsidRPr="009811D3">
        <w:rPr>
          <w:rFonts w:ascii="Calibri" w:eastAsia="Calibri" w:hAnsi="Calibri" w:cs="Times New Roman"/>
        </w:rPr>
        <w:t>Видно, от информацията представена по-горе е, че за почти ¼ от проектите е използвана възможността за осигуряване на външно финансиране, което обаче не може да се квалифицира като финансов инженеринг. Въпреки това, може да се направи изводът, че част от проектите във Водния сектор, особено тези за по-големи агломерации, които се обслужват от по-финансово стабилни ВиК дружества са оценени от МФИ като рентабилни в дългосрочен план и с възможности за генериране на достатъчно приходи за изплащане на земното финансиране</w:t>
      </w:r>
      <w:r w:rsidRPr="009811D3">
        <w:rPr>
          <w:rFonts w:ascii="Calibri" w:eastAsia="Calibri" w:hAnsi="Calibri" w:cs="Times New Roman"/>
          <w:vertAlign w:val="superscript"/>
        </w:rPr>
        <w:footnoteReference w:id="15"/>
      </w:r>
      <w:r w:rsidRPr="009811D3">
        <w:rPr>
          <w:rFonts w:ascii="Calibri" w:eastAsia="Calibri" w:hAnsi="Calibri" w:cs="Times New Roman"/>
        </w:rPr>
        <w:t>.</w:t>
      </w:r>
    </w:p>
    <w:p w:rsidR="00107B8E" w:rsidRDefault="00107B8E" w:rsidP="009811D3">
      <w:pPr>
        <w:spacing w:after="200" w:line="276" w:lineRule="auto"/>
        <w:jc w:val="both"/>
        <w:rPr>
          <w:rFonts w:ascii="Calibri" w:eastAsia="Calibri" w:hAnsi="Calibri" w:cs="Times New Roman"/>
        </w:rPr>
      </w:pPr>
    </w:p>
    <w:p w:rsidR="009811D3" w:rsidRPr="009811D3" w:rsidRDefault="009811D3" w:rsidP="009C1CFD">
      <w:pPr>
        <w:numPr>
          <w:ilvl w:val="2"/>
          <w:numId w:val="5"/>
        </w:numPr>
        <w:spacing w:after="200" w:line="276" w:lineRule="auto"/>
        <w:ind w:left="1134" w:hanging="425"/>
        <w:jc w:val="both"/>
        <w:rPr>
          <w:rFonts w:ascii="Calibri" w:eastAsia="Calibri" w:hAnsi="Calibri" w:cs="Times New Roman"/>
          <w:b/>
          <w:color w:val="4F81BD"/>
        </w:rPr>
      </w:pPr>
      <w:r w:rsidRPr="009811D3">
        <w:rPr>
          <w:rFonts w:ascii="Calibri" w:eastAsia="Calibri" w:hAnsi="Calibri" w:cs="Times New Roman"/>
          <w:b/>
          <w:color w:val="4F81BD"/>
        </w:rPr>
        <w:t>Схеми на финансиране на проектите във ВиК сектора в периода 2007-2013 г.</w:t>
      </w:r>
    </w:p>
    <w:p w:rsidR="009811D3" w:rsidRDefault="009811D3" w:rsidP="009811D3">
      <w:pPr>
        <w:spacing w:after="200" w:line="276" w:lineRule="auto"/>
        <w:jc w:val="both"/>
        <w:rPr>
          <w:rFonts w:ascii="Calibri" w:eastAsia="Calibri" w:hAnsi="Calibri" w:cs="Times New Roman"/>
        </w:rPr>
      </w:pPr>
      <w:r w:rsidRPr="009811D3">
        <w:rPr>
          <w:rFonts w:ascii="Calibri" w:eastAsia="Calibri" w:hAnsi="Calibri" w:cs="Times New Roman"/>
        </w:rPr>
        <w:lastRenderedPageBreak/>
        <w:t>В периода 2007-2013 г. структурата на финансиране на проектите във Водния сектор е както следва:</w:t>
      </w:r>
    </w:p>
    <w:p w:rsidR="00FC75F0" w:rsidRPr="009811D3" w:rsidRDefault="00FC75F0" w:rsidP="009811D3">
      <w:pPr>
        <w:spacing w:after="200" w:line="276" w:lineRule="auto"/>
        <w:jc w:val="both"/>
        <w:rPr>
          <w:rFonts w:ascii="Calibri" w:eastAsia="Calibri" w:hAnsi="Calibri" w:cs="Times New Roman"/>
        </w:rPr>
      </w:pPr>
      <w:bookmarkStart w:id="28" w:name="_Toc399494891"/>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11</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Структура на финансиране на проектите във ВиК сектора (2007-2013 г.)</w:t>
      </w:r>
      <w:bookmarkEnd w:id="28"/>
    </w:p>
    <w:tbl>
      <w:tblPr>
        <w:tblStyle w:val="LightGrid-Accent52"/>
        <w:tblW w:w="9606" w:type="dxa"/>
        <w:tblLook w:val="04A0" w:firstRow="1" w:lastRow="0" w:firstColumn="1" w:lastColumn="0" w:noHBand="0" w:noVBand="1"/>
      </w:tblPr>
      <w:tblGrid>
        <w:gridCol w:w="3369"/>
        <w:gridCol w:w="600"/>
        <w:gridCol w:w="1825"/>
        <w:gridCol w:w="1808"/>
        <w:gridCol w:w="2004"/>
      </w:tblGrid>
      <w:tr w:rsidR="009811D3" w:rsidRPr="009811D3" w:rsidTr="00195C05">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3369" w:type="dxa"/>
            <w:vMerge w:val="restart"/>
            <w:hideMark/>
          </w:tcPr>
          <w:p w:rsidR="009811D3" w:rsidRPr="009811D3" w:rsidRDefault="009811D3" w:rsidP="009811D3">
            <w:pPr>
              <w:jc w:val="center"/>
              <w:rPr>
                <w:rFonts w:ascii="Calibri" w:hAnsi="Calibri" w:cs="Calibri"/>
                <w:color w:val="333399"/>
                <w:lang w:eastAsia="bg-BG"/>
              </w:rPr>
            </w:pPr>
            <w:r w:rsidRPr="009811D3">
              <w:rPr>
                <w:rFonts w:ascii="Calibri" w:hAnsi="Calibri" w:cs="Calibri"/>
                <w:color w:val="333399"/>
                <w:lang w:eastAsia="bg-BG"/>
              </w:rPr>
              <w:t>Приоритетна ос</w:t>
            </w:r>
          </w:p>
        </w:tc>
        <w:tc>
          <w:tcPr>
            <w:tcW w:w="600" w:type="dxa"/>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333399"/>
                <w:lang w:eastAsia="bg-BG"/>
              </w:rPr>
            </w:pPr>
            <w:r w:rsidRPr="009811D3">
              <w:rPr>
                <w:rFonts w:ascii="Calibri" w:hAnsi="Calibri" w:cs="Calibri"/>
                <w:color w:val="333399"/>
                <w:lang w:eastAsia="bg-BG"/>
              </w:rPr>
              <w:t>Бр.</w:t>
            </w:r>
          </w:p>
        </w:tc>
        <w:tc>
          <w:tcPr>
            <w:tcW w:w="5637" w:type="dxa"/>
            <w:gridSpan w:val="3"/>
            <w:hideMark/>
          </w:tcPr>
          <w:p w:rsidR="009811D3" w:rsidRPr="009811D3" w:rsidRDefault="009811D3" w:rsidP="009811D3">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333399"/>
                <w:lang w:eastAsia="bg-BG"/>
              </w:rPr>
            </w:pPr>
            <w:r w:rsidRPr="009811D3">
              <w:rPr>
                <w:rFonts w:ascii="Calibri" w:hAnsi="Calibri" w:cs="Calibri"/>
                <w:color w:val="333399"/>
                <w:lang w:eastAsia="bg-BG"/>
              </w:rPr>
              <w:t>Бюджет (лева)</w:t>
            </w:r>
          </w:p>
        </w:tc>
      </w:tr>
      <w:tr w:rsidR="009811D3" w:rsidRPr="009811D3" w:rsidTr="00195C0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69" w:type="dxa"/>
            <w:vMerge/>
            <w:hideMark/>
          </w:tcPr>
          <w:p w:rsidR="009811D3" w:rsidRPr="009811D3" w:rsidRDefault="009811D3" w:rsidP="009811D3">
            <w:pPr>
              <w:rPr>
                <w:rFonts w:ascii="Calibri" w:hAnsi="Calibri" w:cs="Calibri"/>
                <w:color w:val="333399"/>
                <w:lang w:eastAsia="bg-BG"/>
              </w:rPr>
            </w:pPr>
          </w:p>
        </w:tc>
        <w:tc>
          <w:tcPr>
            <w:tcW w:w="600"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333399"/>
                <w:lang w:eastAsia="bg-BG"/>
              </w:rPr>
            </w:pPr>
            <w:r w:rsidRPr="009811D3">
              <w:rPr>
                <w:rFonts w:ascii="Calibri" w:eastAsia="Times New Roman" w:hAnsi="Calibri" w:cs="Calibri"/>
                <w:b/>
                <w:bCs/>
                <w:color w:val="333399"/>
                <w:lang w:eastAsia="bg-BG"/>
              </w:rPr>
              <w:t>дог.</w:t>
            </w:r>
          </w:p>
        </w:tc>
        <w:tc>
          <w:tcPr>
            <w:tcW w:w="1825" w:type="dxa"/>
            <w:vMerge w:val="restart"/>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333399"/>
                <w:lang w:eastAsia="bg-BG"/>
              </w:rPr>
            </w:pPr>
            <w:r w:rsidRPr="009811D3">
              <w:rPr>
                <w:rFonts w:ascii="Calibri" w:eastAsia="Times New Roman" w:hAnsi="Calibri" w:cs="Calibri"/>
                <w:b/>
                <w:bCs/>
                <w:color w:val="333399"/>
                <w:lang w:eastAsia="bg-BG"/>
              </w:rPr>
              <w:t>Общо</w:t>
            </w:r>
          </w:p>
        </w:tc>
        <w:tc>
          <w:tcPr>
            <w:tcW w:w="1808" w:type="dxa"/>
            <w:vMerge w:val="restart"/>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333399"/>
                <w:lang w:eastAsia="bg-BG"/>
              </w:rPr>
            </w:pPr>
            <w:r w:rsidRPr="009811D3">
              <w:rPr>
                <w:rFonts w:ascii="Calibri" w:eastAsia="Times New Roman" w:hAnsi="Calibri" w:cs="Calibri"/>
                <w:b/>
                <w:bCs/>
                <w:color w:val="333399"/>
                <w:lang w:eastAsia="bg-BG"/>
              </w:rPr>
              <w:t>Финансиране от ЕС</w:t>
            </w:r>
          </w:p>
        </w:tc>
        <w:tc>
          <w:tcPr>
            <w:tcW w:w="2004" w:type="dxa"/>
            <w:vMerge w:val="restart"/>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333399"/>
                <w:lang w:eastAsia="bg-BG"/>
              </w:rPr>
            </w:pPr>
            <w:r w:rsidRPr="009811D3">
              <w:rPr>
                <w:rFonts w:ascii="Calibri" w:eastAsia="Times New Roman" w:hAnsi="Calibri" w:cs="Calibri"/>
                <w:b/>
                <w:bCs/>
                <w:color w:val="333399"/>
                <w:lang w:eastAsia="bg-BG"/>
              </w:rPr>
              <w:t>Национално финансиране</w:t>
            </w:r>
          </w:p>
        </w:tc>
      </w:tr>
      <w:tr w:rsidR="009811D3" w:rsidRPr="009811D3" w:rsidTr="00195C0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69" w:type="dxa"/>
            <w:vMerge/>
            <w:hideMark/>
          </w:tcPr>
          <w:p w:rsidR="009811D3" w:rsidRPr="009811D3" w:rsidRDefault="009811D3" w:rsidP="009811D3">
            <w:pPr>
              <w:rPr>
                <w:rFonts w:ascii="Calibri" w:hAnsi="Calibri" w:cs="Calibri"/>
                <w:color w:val="333399"/>
                <w:lang w:eastAsia="bg-BG"/>
              </w:rPr>
            </w:pPr>
          </w:p>
        </w:tc>
        <w:tc>
          <w:tcPr>
            <w:tcW w:w="600" w:type="dxa"/>
            <w:hideMark/>
          </w:tcPr>
          <w:p w:rsidR="009811D3" w:rsidRPr="009811D3" w:rsidRDefault="009811D3" w:rsidP="009811D3">
            <w:pPr>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bCs/>
                <w:color w:val="333399"/>
                <w:lang w:eastAsia="bg-BG"/>
              </w:rPr>
            </w:pPr>
            <w:r w:rsidRPr="009811D3">
              <w:rPr>
                <w:rFonts w:ascii="Calibri" w:eastAsia="Times New Roman" w:hAnsi="Calibri" w:cs="Calibri"/>
                <w:b/>
                <w:bCs/>
                <w:color w:val="333399"/>
                <w:lang w:eastAsia="bg-BG"/>
              </w:rPr>
              <w:t> </w:t>
            </w:r>
          </w:p>
        </w:tc>
        <w:tc>
          <w:tcPr>
            <w:tcW w:w="1825" w:type="dxa"/>
            <w:vMerge/>
            <w:hideMark/>
          </w:tcPr>
          <w:p w:rsidR="009811D3" w:rsidRPr="009811D3" w:rsidRDefault="009811D3" w:rsidP="009811D3">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bCs/>
                <w:color w:val="333399"/>
                <w:lang w:eastAsia="bg-BG"/>
              </w:rPr>
            </w:pPr>
          </w:p>
        </w:tc>
        <w:tc>
          <w:tcPr>
            <w:tcW w:w="1808" w:type="dxa"/>
            <w:vMerge/>
            <w:hideMark/>
          </w:tcPr>
          <w:p w:rsidR="009811D3" w:rsidRPr="009811D3" w:rsidRDefault="009811D3" w:rsidP="009811D3">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bCs/>
                <w:color w:val="333399"/>
                <w:lang w:eastAsia="bg-BG"/>
              </w:rPr>
            </w:pPr>
          </w:p>
        </w:tc>
        <w:tc>
          <w:tcPr>
            <w:tcW w:w="2004" w:type="dxa"/>
            <w:vMerge/>
            <w:hideMark/>
          </w:tcPr>
          <w:p w:rsidR="009811D3" w:rsidRPr="009811D3" w:rsidRDefault="009811D3" w:rsidP="009811D3">
            <w:pP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b/>
                <w:bCs/>
                <w:color w:val="333399"/>
                <w:lang w:eastAsia="bg-BG"/>
              </w:rPr>
            </w:pPr>
          </w:p>
        </w:tc>
      </w:tr>
      <w:tr w:rsidR="009811D3" w:rsidRPr="009811D3" w:rsidTr="00195C05">
        <w:trPr>
          <w:cnfStyle w:val="000000100000" w:firstRow="0" w:lastRow="0" w:firstColumn="0" w:lastColumn="0" w:oddVBand="0" w:evenVBand="0" w:oddHBand="1" w:evenHBand="0" w:firstRowFirstColumn="0" w:firstRowLastColumn="0" w:lastRowFirstColumn="0" w:lastRowLastColumn="0"/>
          <w:trHeight w:val="1440"/>
        </w:trPr>
        <w:tc>
          <w:tcPr>
            <w:cnfStyle w:val="001000000000" w:firstRow="0" w:lastRow="0" w:firstColumn="1" w:lastColumn="0" w:oddVBand="0" w:evenVBand="0" w:oddHBand="0" w:evenHBand="0" w:firstRowFirstColumn="0" w:firstRowLastColumn="0" w:lastRowFirstColumn="0" w:lastRowLastColumn="0"/>
            <w:tcW w:w="3369" w:type="dxa"/>
            <w:hideMark/>
          </w:tcPr>
          <w:p w:rsidR="009811D3" w:rsidRPr="009811D3" w:rsidRDefault="009811D3" w:rsidP="009811D3">
            <w:pPr>
              <w:rPr>
                <w:rFonts w:ascii="Calibri" w:hAnsi="Calibri" w:cs="Calibri"/>
                <w:color w:val="333399"/>
                <w:lang w:eastAsia="bg-BG"/>
              </w:rPr>
            </w:pPr>
            <w:r w:rsidRPr="009811D3">
              <w:rPr>
                <w:rFonts w:ascii="Calibri" w:hAnsi="Calibri" w:cs="Calibri"/>
                <w:color w:val="333399"/>
                <w:lang w:eastAsia="bg-BG"/>
              </w:rPr>
              <w:t>Подобряване и развитие на инфраструктурата за отпадъчни и питейни води в населени места с над 2 000 екв. ж. и в населени места с под 2000 екв. ж. попадащи в градски агломерационни ареали</w:t>
            </w:r>
          </w:p>
        </w:tc>
        <w:tc>
          <w:tcPr>
            <w:tcW w:w="600" w:type="dxa"/>
            <w:hideMark/>
          </w:tcPr>
          <w:p w:rsidR="009811D3" w:rsidRPr="009811D3" w:rsidRDefault="009811D3" w:rsidP="009811D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33399"/>
                <w:lang w:eastAsia="bg-BG"/>
              </w:rPr>
            </w:pPr>
            <w:r w:rsidRPr="009811D3">
              <w:rPr>
                <w:rFonts w:ascii="Calibri" w:eastAsia="Times New Roman" w:hAnsi="Calibri" w:cs="Calibri"/>
                <w:color w:val="333399"/>
                <w:lang w:eastAsia="bg-BG"/>
              </w:rPr>
              <w:t>290</w:t>
            </w:r>
          </w:p>
        </w:tc>
        <w:tc>
          <w:tcPr>
            <w:tcW w:w="1825" w:type="dxa"/>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33399"/>
                <w:lang w:eastAsia="bg-BG"/>
              </w:rPr>
            </w:pPr>
            <w:r w:rsidRPr="009811D3">
              <w:rPr>
                <w:rFonts w:ascii="Calibri" w:eastAsia="Times New Roman" w:hAnsi="Calibri" w:cs="Calibri"/>
                <w:color w:val="333399"/>
                <w:lang w:eastAsia="bg-BG"/>
              </w:rPr>
              <w:t>2 511 692 221,66</w:t>
            </w:r>
          </w:p>
        </w:tc>
        <w:tc>
          <w:tcPr>
            <w:tcW w:w="1808" w:type="dxa"/>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33399"/>
                <w:lang w:eastAsia="bg-BG"/>
              </w:rPr>
            </w:pPr>
            <w:r w:rsidRPr="009811D3">
              <w:rPr>
                <w:rFonts w:ascii="Calibri" w:eastAsia="Times New Roman" w:hAnsi="Calibri" w:cs="Calibri"/>
                <w:color w:val="333399"/>
                <w:lang w:eastAsia="bg-BG"/>
              </w:rPr>
              <w:t>2 009 353 777,72</w:t>
            </w:r>
          </w:p>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33399"/>
                <w:lang w:eastAsia="bg-BG"/>
              </w:rPr>
            </w:pPr>
          </w:p>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33399"/>
                <w:lang w:eastAsia="bg-BG"/>
              </w:rPr>
            </w:pPr>
            <w:r w:rsidRPr="009811D3">
              <w:rPr>
                <w:rFonts w:ascii="Calibri" w:eastAsia="Times New Roman" w:hAnsi="Calibri" w:cs="Calibri"/>
                <w:color w:val="333399"/>
                <w:lang w:eastAsia="bg-BG"/>
              </w:rPr>
              <w:t>(80%)</w:t>
            </w:r>
          </w:p>
        </w:tc>
        <w:tc>
          <w:tcPr>
            <w:tcW w:w="2004" w:type="dxa"/>
            <w:hideMark/>
          </w:tcPr>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33399"/>
                <w:lang w:eastAsia="bg-BG"/>
              </w:rPr>
            </w:pPr>
            <w:r w:rsidRPr="009811D3">
              <w:rPr>
                <w:rFonts w:ascii="Calibri" w:eastAsia="Times New Roman" w:hAnsi="Calibri" w:cs="Calibri"/>
                <w:color w:val="333399"/>
                <w:lang w:eastAsia="bg-BG"/>
              </w:rPr>
              <w:t>502 338 443,94</w:t>
            </w:r>
          </w:p>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33399"/>
                <w:lang w:eastAsia="bg-BG"/>
              </w:rPr>
            </w:pPr>
          </w:p>
          <w:p w:rsidR="009811D3" w:rsidRPr="009811D3" w:rsidRDefault="009811D3" w:rsidP="009811D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333399"/>
                <w:lang w:eastAsia="bg-BG"/>
              </w:rPr>
            </w:pPr>
            <w:r w:rsidRPr="009811D3">
              <w:rPr>
                <w:rFonts w:ascii="Calibri" w:eastAsia="Times New Roman" w:hAnsi="Calibri" w:cs="Calibri"/>
                <w:color w:val="333399"/>
                <w:lang w:eastAsia="bg-BG"/>
              </w:rPr>
              <w:t>(20%)</w:t>
            </w:r>
          </w:p>
        </w:tc>
      </w:tr>
    </w:tbl>
    <w:p w:rsidR="009811D3" w:rsidRPr="00BE41F6" w:rsidRDefault="009811D3" w:rsidP="009811D3">
      <w:pPr>
        <w:widowControl w:val="0"/>
        <w:autoSpaceDE w:val="0"/>
        <w:autoSpaceDN w:val="0"/>
        <w:adjustRightInd w:val="0"/>
        <w:spacing w:after="0" w:line="239" w:lineRule="auto"/>
        <w:ind w:right="66"/>
        <w:jc w:val="both"/>
        <w:rPr>
          <w:i/>
          <w:sz w:val="20"/>
          <w:szCs w:val="20"/>
        </w:rPr>
      </w:pPr>
      <w:r w:rsidRPr="00BE41F6">
        <w:rPr>
          <w:i/>
          <w:sz w:val="20"/>
          <w:szCs w:val="20"/>
        </w:rPr>
        <w:t xml:space="preserve">Източник: ИСУН </w:t>
      </w:r>
    </w:p>
    <w:p w:rsidR="009811D3" w:rsidRDefault="009811D3" w:rsidP="00392731">
      <w:pPr>
        <w:jc w:val="both"/>
        <w:rPr>
          <w:rFonts w:cs="Times New Roman"/>
        </w:rPr>
      </w:pPr>
    </w:p>
    <w:p w:rsidR="0026520F" w:rsidRDefault="0026520F" w:rsidP="0026520F">
      <w:pPr>
        <w:jc w:val="both"/>
      </w:pPr>
      <w:r>
        <w:t xml:space="preserve">Националното финансиране включва финансиране от държавния бюджет и общинско съфинансиране, което се определя въз основа на резултатите от финансовите анализи, изготвени за съответните проекти. Съгласно поканата за представяне на проектни предложения по Процедура </w:t>
      </w:r>
      <w:r w:rsidRPr="00A62CDA">
        <w:t>BG161PO005-1.0.06 Подобряване и развитие на инфраструктурата за питейни и отпадъчни води в агломерации над 10 000 е.ж.</w:t>
      </w:r>
      <w:r>
        <w:t>, минималният размер на общинското съфинансиране е определен на стойност 3%. В резултат от предварително дефинирания минимален размер на общинско съфинансиране, при повечето проекти финансирани в рамките на тази процедура, собствените средства, осигурени от общините се равняват на между 3% и 5% от общия бюджет на проектите. Част от тези средства са осигурени от общинския бюджет на съответната община, а друга част чрез заемно финансиране от Фонд ФЛАГ.</w:t>
      </w:r>
    </w:p>
    <w:p w:rsidR="0026520F" w:rsidRDefault="0026520F" w:rsidP="0026520F">
      <w:pPr>
        <w:jc w:val="both"/>
      </w:pPr>
      <w:r>
        <w:t>Съгласно информацията, предоставена от фонда, в периода 2007-2013 г. ФЛАГ е финансирал 69 проекта по ОПОС, от които 61 в сектор Води на обща стойност 804,7 млн. лв. и стойност на отпуснатите кредити 140,8 млн. лв. Към края н м. май 2014 г. във фонда са подадени още 12 проекта от ВиК сектора на стойност 335 млн. лв. с искане за кредитно финансиране в размер на близо 64 млн. лв.</w:t>
      </w:r>
    </w:p>
    <w:p w:rsidR="0026520F" w:rsidRDefault="0026520F" w:rsidP="0026520F">
      <w:pPr>
        <w:jc w:val="both"/>
      </w:pPr>
      <w:r>
        <w:t>По-голямата част от кредитите, отпуснати от фонд ФЛАГ се използват като мостово финансиране за проектите, т.е. за покриване на разходите преди тяхното възстановяване от ОПОС.</w:t>
      </w:r>
    </w:p>
    <w:p w:rsidR="0026520F" w:rsidRPr="00393E1D" w:rsidRDefault="0026520F" w:rsidP="002259A0">
      <w:pPr>
        <w:jc w:val="both"/>
      </w:pPr>
      <w:r>
        <w:t xml:space="preserve">Друг източник на финансиране за проектите по ОПОС е </w:t>
      </w:r>
      <w:r w:rsidRPr="006538C8">
        <w:rPr>
          <w:b/>
        </w:rPr>
        <w:t>Предприятието за управление на дейностите по опазване на околната среда (ПУДООС)</w:t>
      </w:r>
      <w:r>
        <w:t xml:space="preserve"> с принципал Министерство на околната среда и водите. </w:t>
      </w:r>
    </w:p>
    <w:p w:rsidR="00107B8E" w:rsidRDefault="00107B8E" w:rsidP="0026520F">
      <w:pPr>
        <w:jc w:val="both"/>
      </w:pPr>
    </w:p>
    <w:p w:rsidR="00107B8E" w:rsidRDefault="00107B8E" w:rsidP="0026520F">
      <w:pPr>
        <w:jc w:val="both"/>
      </w:pPr>
    </w:p>
    <w:p w:rsidR="0026520F" w:rsidRDefault="0026520F" w:rsidP="0026520F">
      <w:pPr>
        <w:jc w:val="both"/>
      </w:pPr>
      <w:r>
        <w:lastRenderedPageBreak/>
        <w:t>Към настоящия момент съфинансирането от страна на предприятието за проекти по ОПОС се изразява в осигуряване на безлихвени кредити за общини за първоначално покриване на разходите преди тяхното възстановяване от програмата, т.е. за мостово финансиране.</w:t>
      </w:r>
    </w:p>
    <w:p w:rsidR="009C60B0" w:rsidRDefault="009C60B0" w:rsidP="0026520F">
      <w:pPr>
        <w:jc w:val="both"/>
      </w:pPr>
    </w:p>
    <w:p w:rsidR="0026520F" w:rsidRPr="0033112C" w:rsidRDefault="0026520F" w:rsidP="009C1CFD">
      <w:pPr>
        <w:numPr>
          <w:ilvl w:val="2"/>
          <w:numId w:val="5"/>
        </w:numPr>
        <w:spacing w:after="200" w:line="276" w:lineRule="auto"/>
        <w:ind w:left="1134" w:hanging="567"/>
        <w:jc w:val="both"/>
        <w:rPr>
          <w:rFonts w:ascii="Calibri" w:eastAsia="Calibri" w:hAnsi="Calibri" w:cs="Times New Roman"/>
          <w:b/>
          <w:color w:val="4F81BD"/>
        </w:rPr>
      </w:pPr>
      <w:r w:rsidRPr="0033112C">
        <w:rPr>
          <w:rFonts w:ascii="Calibri" w:eastAsia="Calibri" w:hAnsi="Calibri" w:cs="Times New Roman"/>
          <w:b/>
          <w:color w:val="4F81BD"/>
        </w:rPr>
        <w:t xml:space="preserve">Възможни </w:t>
      </w:r>
      <w:r w:rsidR="00374715">
        <w:rPr>
          <w:rFonts w:ascii="Calibri" w:eastAsia="Calibri" w:hAnsi="Calibri" w:cs="Times New Roman"/>
          <w:b/>
          <w:color w:val="4F81BD"/>
        </w:rPr>
        <w:t>форми</w:t>
      </w:r>
      <w:r w:rsidRPr="0033112C">
        <w:rPr>
          <w:rFonts w:ascii="Calibri" w:eastAsia="Calibri" w:hAnsi="Calibri" w:cs="Times New Roman"/>
          <w:b/>
          <w:color w:val="4F81BD"/>
        </w:rPr>
        <w:t xml:space="preserve"> на финансиране на проектите във ВиК сектора по ОПОС в периода 2014-2020 г.</w:t>
      </w:r>
    </w:p>
    <w:p w:rsidR="0026520F" w:rsidRDefault="0026520F" w:rsidP="0026520F">
      <w:pPr>
        <w:jc w:val="both"/>
      </w:pPr>
      <w:r>
        <w:t xml:space="preserve">Съгласно чл. 120 от </w:t>
      </w:r>
      <w:r w:rsidRPr="00210C1F">
        <w:t xml:space="preserve">Регламент (ЕС) № 1303/2013 </w:t>
      </w:r>
      <w:r>
        <w:t>на Европейския парламент и на С</w:t>
      </w:r>
      <w:r w:rsidRPr="00210C1F">
        <w:t>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w:t>
      </w:r>
      <w:r>
        <w:t xml:space="preserve"> (Общия Регламент), с</w:t>
      </w:r>
      <w:r w:rsidRPr="00210C1F">
        <w:t>тавката на съ</w:t>
      </w:r>
      <w:r>
        <w:t>ф</w:t>
      </w:r>
      <w:r w:rsidRPr="00210C1F">
        <w:t xml:space="preserve">инансиране за всяка приоритетна </w:t>
      </w:r>
      <w:r w:rsidR="008F308F" w:rsidRPr="00210C1F">
        <w:t>ос и когато</w:t>
      </w:r>
      <w:r w:rsidRPr="00210C1F">
        <w:t xml:space="preserve"> е приложимо, по категория регион и фонд, на оперативните програми по целта „Инвестиции за растеж и работни места“ не може да надвишава</w:t>
      </w:r>
      <w:r>
        <w:t xml:space="preserve"> </w:t>
      </w:r>
      <w:r w:rsidRPr="00210C1F">
        <w:t>85 % за Кохезионния фонд</w:t>
      </w:r>
      <w:r>
        <w:t xml:space="preserve"> и ЕФРР.</w:t>
      </w:r>
    </w:p>
    <w:p w:rsidR="0026520F" w:rsidRDefault="0026520F" w:rsidP="0026520F">
      <w:pPr>
        <w:jc w:val="both"/>
      </w:pPr>
      <w:r>
        <w:t xml:space="preserve">Съгласно чл. 37 от същия Регламент, </w:t>
      </w:r>
      <w:r w:rsidRPr="00210C1F">
        <w:t xml:space="preserve">Европейските структурни и инвестиционни фондове </w:t>
      </w:r>
      <w:r>
        <w:t xml:space="preserve">(ЕСИФ) </w:t>
      </w:r>
      <w:r w:rsidRPr="00210C1F">
        <w:t>могат да бъдат използвани за подкрепа на финансови инструменти с цел да допринесат за постигането на специфичните цели, определени по даден приоритет. Финансовите инструменти се използват за подкрепа на инвестиции, които се очаква да бъдат финансово жизнеспособни, но не могат да генерират достатъчно финансиране от пазарни източници.</w:t>
      </w:r>
    </w:p>
    <w:p w:rsidR="0083165D" w:rsidRPr="0026520F" w:rsidRDefault="0083165D" w:rsidP="0083165D">
      <w:pPr>
        <w:spacing w:after="200" w:line="276" w:lineRule="auto"/>
        <w:jc w:val="both"/>
        <w:rPr>
          <w:rFonts w:ascii="Calibri" w:eastAsia="Calibri" w:hAnsi="Calibri" w:cs="Calibri"/>
          <w:lang w:eastAsia="ar-SA"/>
        </w:rPr>
      </w:pPr>
      <w:r w:rsidRPr="0026520F">
        <w:rPr>
          <w:rFonts w:ascii="Calibri" w:eastAsia="Calibri" w:hAnsi="Calibri" w:cs="Calibri"/>
          <w:color w:val="000000"/>
        </w:rPr>
        <w:t xml:space="preserve">При определяне на възможните източници </w:t>
      </w:r>
      <w:r>
        <w:rPr>
          <w:rFonts w:ascii="Calibri" w:eastAsia="Calibri" w:hAnsi="Calibri" w:cs="Calibri"/>
          <w:color w:val="000000"/>
        </w:rPr>
        <w:t xml:space="preserve">и форми </w:t>
      </w:r>
      <w:r w:rsidRPr="0026520F">
        <w:rPr>
          <w:rFonts w:ascii="Calibri" w:eastAsia="Calibri" w:hAnsi="Calibri" w:cs="Calibri"/>
          <w:color w:val="000000"/>
        </w:rPr>
        <w:t xml:space="preserve">на финансиране </w:t>
      </w:r>
      <w:r w:rsidRPr="0026520F">
        <w:rPr>
          <w:rFonts w:ascii="Calibri" w:eastAsia="Calibri" w:hAnsi="Calibri" w:cs="Calibri"/>
          <w:lang w:eastAsia="ar-SA"/>
        </w:rPr>
        <w:t xml:space="preserve">на проектите </w:t>
      </w:r>
      <w:r>
        <w:rPr>
          <w:rFonts w:ascii="Calibri" w:eastAsia="Calibri" w:hAnsi="Calibri" w:cs="Calibri"/>
          <w:lang w:eastAsia="ar-SA"/>
        </w:rPr>
        <w:t xml:space="preserve">във </w:t>
      </w:r>
      <w:r w:rsidRPr="0026520F">
        <w:rPr>
          <w:rFonts w:ascii="Calibri" w:eastAsia="Calibri" w:hAnsi="Calibri" w:cs="Calibri"/>
          <w:lang w:eastAsia="ar-SA"/>
        </w:rPr>
        <w:t>Водния сектор следва да се вземат предвид и следните обстоятелства:</w:t>
      </w:r>
    </w:p>
    <w:p w:rsidR="0083165D" w:rsidRPr="0026520F" w:rsidRDefault="0083165D" w:rsidP="009C1CFD">
      <w:pPr>
        <w:numPr>
          <w:ilvl w:val="0"/>
          <w:numId w:val="8"/>
        </w:numPr>
        <w:spacing w:after="200" w:line="276" w:lineRule="auto"/>
        <w:jc w:val="both"/>
        <w:rPr>
          <w:rFonts w:ascii="Calibri" w:eastAsia="Calibri" w:hAnsi="Calibri" w:cs="Calibri"/>
          <w:color w:val="000000"/>
        </w:rPr>
      </w:pPr>
      <w:r w:rsidRPr="0026520F">
        <w:rPr>
          <w:rFonts w:ascii="Calibri" w:eastAsia="Calibri" w:hAnsi="Calibri" w:cs="Calibri"/>
          <w:color w:val="000000"/>
        </w:rPr>
        <w:t>Р</w:t>
      </w:r>
      <w:r w:rsidRPr="0026520F">
        <w:rPr>
          <w:rFonts w:ascii="Calibri" w:eastAsia="Calibri" w:hAnsi="Calibri" w:cs="Calibri"/>
          <w:lang w:eastAsia="ar-SA"/>
        </w:rPr>
        <w:t>амковата политика на ЕСИФ подчертава нуждата от използване на повече финансови инструменти в периода 2014-2020, особено в контекста на финансови рестрикции;</w:t>
      </w:r>
    </w:p>
    <w:p w:rsidR="0083165D" w:rsidRPr="0026520F" w:rsidRDefault="0083165D" w:rsidP="009C1CFD">
      <w:pPr>
        <w:numPr>
          <w:ilvl w:val="0"/>
          <w:numId w:val="8"/>
        </w:numPr>
        <w:spacing w:after="200" w:line="276" w:lineRule="auto"/>
        <w:jc w:val="both"/>
        <w:rPr>
          <w:rFonts w:ascii="Calibri" w:eastAsia="Calibri" w:hAnsi="Calibri" w:cs="Calibri"/>
          <w:color w:val="000000"/>
        </w:rPr>
      </w:pPr>
      <w:r w:rsidRPr="0026520F">
        <w:rPr>
          <w:rFonts w:ascii="Calibri" w:eastAsia="Calibri" w:hAnsi="Calibri" w:cs="Calibri"/>
          <w:color w:val="000000"/>
        </w:rPr>
        <w:t>През новия програмен период финансовите инструменти не могат да се използват за предварително финансиране на безвъзмездни средства (мостово финансиране);</w:t>
      </w:r>
    </w:p>
    <w:p w:rsidR="0083165D" w:rsidRPr="0026520F" w:rsidRDefault="0083165D" w:rsidP="009C1CFD">
      <w:pPr>
        <w:numPr>
          <w:ilvl w:val="0"/>
          <w:numId w:val="8"/>
        </w:numPr>
        <w:spacing w:after="200" w:line="276" w:lineRule="auto"/>
        <w:jc w:val="both"/>
        <w:rPr>
          <w:rFonts w:ascii="Calibri" w:eastAsia="Calibri" w:hAnsi="Calibri" w:cs="Calibri"/>
          <w:color w:val="000000"/>
        </w:rPr>
      </w:pPr>
      <w:r w:rsidRPr="0026520F">
        <w:rPr>
          <w:rFonts w:ascii="Calibri" w:eastAsia="Calibri" w:hAnsi="Calibri" w:cs="Calibri"/>
          <w:color w:val="000000"/>
        </w:rPr>
        <w:t>До настоящия момент в страната няма създадени схеми за използване на финансови инструменти за финансиране на проекти във Водния сектор, т.е. при избор на финансови инструменти ще бъдат изследвани и предложени модели от други европейски страни;</w:t>
      </w:r>
    </w:p>
    <w:p w:rsidR="0083165D" w:rsidRDefault="0083165D" w:rsidP="009C1CFD">
      <w:pPr>
        <w:numPr>
          <w:ilvl w:val="0"/>
          <w:numId w:val="8"/>
        </w:numPr>
        <w:spacing w:after="200" w:line="276" w:lineRule="auto"/>
        <w:jc w:val="both"/>
        <w:rPr>
          <w:rFonts w:ascii="Calibri" w:eastAsia="Calibri" w:hAnsi="Calibri" w:cs="Calibri"/>
          <w:color w:val="000000"/>
        </w:rPr>
      </w:pPr>
      <w:r w:rsidRPr="0026520F">
        <w:rPr>
          <w:rFonts w:ascii="Calibri" w:eastAsia="Calibri" w:hAnsi="Calibri" w:cs="Calibri"/>
          <w:color w:val="000000"/>
        </w:rPr>
        <w:t>На този етап от оценката ще бъдат изброени всички възможни форми на финансиране, приложими за сектора, а по-задълбочен анализ ще бъде направен в следващите раздели от настоящия документ.</w:t>
      </w:r>
    </w:p>
    <w:p w:rsidR="004562E3" w:rsidRDefault="004562E3" w:rsidP="00576C81">
      <w:pPr>
        <w:spacing w:after="200" w:line="276" w:lineRule="auto"/>
        <w:ind w:left="720"/>
        <w:jc w:val="both"/>
        <w:rPr>
          <w:rFonts w:eastAsia="Times New Roman" w:cstheme="minorHAnsi"/>
          <w:b/>
          <w:bCs/>
          <w:sz w:val="20"/>
          <w:szCs w:val="20"/>
          <w:lang w:eastAsia="bg-BG"/>
        </w:rPr>
      </w:pPr>
    </w:p>
    <w:p w:rsidR="00107B8E" w:rsidRDefault="00107B8E" w:rsidP="00576C81">
      <w:pPr>
        <w:spacing w:after="200" w:line="276" w:lineRule="auto"/>
        <w:ind w:left="720"/>
        <w:jc w:val="both"/>
        <w:rPr>
          <w:rFonts w:eastAsia="Times New Roman" w:cstheme="minorHAnsi"/>
          <w:b/>
          <w:bCs/>
          <w:sz w:val="20"/>
          <w:szCs w:val="20"/>
          <w:lang w:eastAsia="bg-BG"/>
        </w:rPr>
      </w:pPr>
    </w:p>
    <w:p w:rsidR="00576C81" w:rsidRPr="0026520F" w:rsidRDefault="00576C81" w:rsidP="00576C81">
      <w:pPr>
        <w:spacing w:after="200" w:line="276" w:lineRule="auto"/>
        <w:ind w:left="720"/>
        <w:jc w:val="both"/>
        <w:rPr>
          <w:rFonts w:ascii="Calibri" w:eastAsia="Calibri" w:hAnsi="Calibri" w:cs="Calibri"/>
          <w:color w:val="000000"/>
        </w:rPr>
      </w:pPr>
      <w:bookmarkStart w:id="29" w:name="_Toc399494892"/>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12</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Възможни форми на финансиране на проекти в сектор ВиК (2014-2020 г.)</w:t>
      </w:r>
      <w:bookmarkEnd w:id="29"/>
    </w:p>
    <w:tbl>
      <w:tblPr>
        <w:tblStyle w:val="MediumList2-Accent1"/>
        <w:tblW w:w="0" w:type="auto"/>
        <w:jc w:val="center"/>
        <w:tblLook w:val="04A0" w:firstRow="1" w:lastRow="0" w:firstColumn="1" w:lastColumn="0" w:noHBand="0" w:noVBand="1"/>
      </w:tblPr>
      <w:tblGrid>
        <w:gridCol w:w="3876"/>
        <w:gridCol w:w="5003"/>
      </w:tblGrid>
      <w:tr w:rsidR="0083165D" w:rsidRPr="009C60B0" w:rsidTr="0083165D">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3876" w:type="dxa"/>
          </w:tcPr>
          <w:p w:rsidR="0083165D" w:rsidRPr="009C60B0" w:rsidRDefault="0083165D" w:rsidP="0083165D">
            <w:pPr>
              <w:jc w:val="center"/>
              <w:rPr>
                <w:rFonts w:asciiTheme="minorHAnsi" w:hAnsiTheme="minorHAnsi" w:cstheme="minorHAnsi"/>
                <w:b/>
                <w:color w:val="000000"/>
                <w:sz w:val="22"/>
                <w:szCs w:val="22"/>
              </w:rPr>
            </w:pPr>
            <w:r w:rsidRPr="009C60B0">
              <w:rPr>
                <w:rFonts w:asciiTheme="minorHAnsi" w:hAnsiTheme="minorHAnsi" w:cstheme="minorHAnsi"/>
                <w:b/>
                <w:color w:val="000000"/>
                <w:sz w:val="22"/>
                <w:szCs w:val="22"/>
              </w:rPr>
              <w:lastRenderedPageBreak/>
              <w:t>Възможни форми на финансиране на проекти във ВиК сектора</w:t>
            </w:r>
          </w:p>
        </w:tc>
        <w:tc>
          <w:tcPr>
            <w:tcW w:w="5003" w:type="dxa"/>
          </w:tcPr>
          <w:p w:rsidR="0083165D" w:rsidRPr="009C60B0" w:rsidRDefault="0083165D" w:rsidP="0083165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color w:val="000000"/>
                <w:sz w:val="22"/>
                <w:szCs w:val="22"/>
              </w:rPr>
            </w:pPr>
            <w:r w:rsidRPr="009C60B0">
              <w:rPr>
                <w:rFonts w:asciiTheme="minorHAnsi" w:hAnsiTheme="minorHAnsi" w:cstheme="minorHAnsi"/>
                <w:b/>
                <w:color w:val="000000"/>
                <w:sz w:val="22"/>
                <w:szCs w:val="22"/>
              </w:rPr>
              <w:t>Обосновка</w:t>
            </w:r>
          </w:p>
        </w:tc>
      </w:tr>
      <w:tr w:rsidR="0083165D" w:rsidRPr="009C60B0" w:rsidTr="008316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76" w:type="dxa"/>
          </w:tcPr>
          <w:p w:rsidR="0083165D" w:rsidRPr="009C60B0" w:rsidRDefault="0083165D" w:rsidP="009C60B0">
            <w:pPr>
              <w:rPr>
                <w:rFonts w:asciiTheme="minorHAnsi" w:hAnsiTheme="minorHAnsi" w:cstheme="minorHAnsi"/>
                <w:color w:val="000000"/>
              </w:rPr>
            </w:pPr>
            <w:r w:rsidRPr="009C60B0">
              <w:rPr>
                <w:rFonts w:asciiTheme="minorHAnsi" w:hAnsiTheme="minorHAnsi" w:cstheme="minorHAnsi"/>
                <w:color w:val="000000"/>
              </w:rPr>
              <w:t>Тарифи за ВиК услуги</w:t>
            </w: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color w:val="000000"/>
              </w:rPr>
            </w:pPr>
          </w:p>
          <w:p w:rsidR="0083165D" w:rsidRPr="009C60B0" w:rsidRDefault="0083165D" w:rsidP="0083165D">
            <w:pPr>
              <w:jc w:val="center"/>
              <w:rPr>
                <w:rFonts w:asciiTheme="minorHAnsi" w:hAnsiTheme="minorHAnsi" w:cstheme="minorHAnsi"/>
                <w:b/>
                <w:color w:val="000000"/>
              </w:rPr>
            </w:pPr>
          </w:p>
        </w:tc>
        <w:tc>
          <w:tcPr>
            <w:tcW w:w="5003" w:type="dxa"/>
          </w:tcPr>
          <w:p w:rsidR="0083165D" w:rsidRPr="009C60B0" w:rsidRDefault="0083165D" w:rsidP="0083165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rPr>
            </w:pPr>
            <w:r w:rsidRPr="009C60B0">
              <w:rPr>
                <w:rFonts w:asciiTheme="minorHAnsi" w:hAnsiTheme="minorHAnsi" w:cstheme="minorHAnsi"/>
                <w:color w:val="000000"/>
              </w:rPr>
              <w:t xml:space="preserve">Определят се в съответствие с: </w:t>
            </w:r>
          </w:p>
          <w:p w:rsidR="0083165D" w:rsidRPr="009C60B0" w:rsidRDefault="0083165D" w:rsidP="00DF6FCF">
            <w:pPr>
              <w:numPr>
                <w:ilvl w:val="0"/>
                <w:numId w:val="16"/>
              </w:numPr>
              <w:ind w:left="456"/>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rPr>
            </w:pPr>
            <w:r w:rsidRPr="009C60B0">
              <w:rPr>
                <w:rFonts w:asciiTheme="minorHAnsi" w:hAnsiTheme="minorHAnsi" w:cstheme="minorHAnsi"/>
                <w:color w:val="000000"/>
              </w:rPr>
              <w:t>Закона за регулиране на ВиК услугите</w:t>
            </w:r>
          </w:p>
          <w:p w:rsidR="0083165D" w:rsidRPr="009C60B0" w:rsidRDefault="0083165D" w:rsidP="00DF6FCF">
            <w:pPr>
              <w:numPr>
                <w:ilvl w:val="0"/>
                <w:numId w:val="16"/>
              </w:numPr>
              <w:ind w:left="456"/>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rPr>
            </w:pPr>
            <w:r w:rsidRPr="009C60B0">
              <w:rPr>
                <w:rFonts w:asciiTheme="minorHAnsi" w:hAnsiTheme="minorHAnsi" w:cstheme="minorHAnsi"/>
                <w:color w:val="000000"/>
              </w:rPr>
              <w:t>Наредбата за регулиране на цените на водоснабдителните и канализационните услуги (Обн. ДВ. бр. 32 от 18 Април 2006 г.)</w:t>
            </w:r>
          </w:p>
          <w:p w:rsidR="0083165D" w:rsidRPr="009C60B0" w:rsidRDefault="0083165D" w:rsidP="00DF6FCF">
            <w:pPr>
              <w:numPr>
                <w:ilvl w:val="0"/>
                <w:numId w:val="16"/>
              </w:numPr>
              <w:ind w:left="456"/>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rPr>
            </w:pPr>
            <w:r w:rsidRPr="009C60B0">
              <w:rPr>
                <w:rFonts w:asciiTheme="minorHAnsi" w:hAnsiTheme="minorHAnsi" w:cstheme="minorHAnsi"/>
                <w:color w:val="000000"/>
              </w:rPr>
              <w:t>Указания на ДКЕВР за образуване на цени на водоснабдителните и канализационните услуги при ценово регулиране чрез метода „горна граница на цени”</w:t>
            </w:r>
            <w:r w:rsidR="00187165">
              <w:rPr>
                <w:rFonts w:asciiTheme="minorHAnsi" w:hAnsiTheme="minorHAnsi" w:cstheme="minorHAnsi"/>
                <w:color w:val="000000"/>
              </w:rPr>
              <w:t xml:space="preserve">. </w:t>
            </w:r>
            <w:r w:rsidRPr="009C60B0">
              <w:rPr>
                <w:rFonts w:asciiTheme="minorHAnsi" w:hAnsiTheme="minorHAnsi" w:cstheme="minorHAnsi"/>
                <w:color w:val="000000"/>
              </w:rPr>
              <w:t>Начисляват се и се събират от ВиК операторите съгласно методиката и указанията на ДКЕВР</w:t>
            </w:r>
            <w:r w:rsidR="009C60B0">
              <w:rPr>
                <w:rFonts w:asciiTheme="minorHAnsi" w:hAnsiTheme="minorHAnsi" w:cstheme="minorHAnsi"/>
                <w:color w:val="000000"/>
              </w:rPr>
              <w:t>.</w:t>
            </w:r>
          </w:p>
        </w:tc>
      </w:tr>
      <w:tr w:rsidR="0083165D" w:rsidRPr="009C60B0" w:rsidTr="0083165D">
        <w:trPr>
          <w:jc w:val="center"/>
        </w:trPr>
        <w:tc>
          <w:tcPr>
            <w:cnfStyle w:val="001000000000" w:firstRow="0" w:lastRow="0" w:firstColumn="1" w:lastColumn="0" w:oddVBand="0" w:evenVBand="0" w:oddHBand="0" w:evenHBand="0" w:firstRowFirstColumn="0" w:firstRowLastColumn="0" w:lastRowFirstColumn="0" w:lastRowLastColumn="0"/>
            <w:tcW w:w="3876" w:type="dxa"/>
          </w:tcPr>
          <w:p w:rsidR="0083165D" w:rsidRPr="009C60B0" w:rsidRDefault="0083165D" w:rsidP="009C60B0">
            <w:pPr>
              <w:rPr>
                <w:rFonts w:asciiTheme="minorHAnsi" w:hAnsiTheme="minorHAnsi" w:cstheme="minorHAnsi"/>
                <w:color w:val="000000"/>
              </w:rPr>
            </w:pPr>
            <w:r w:rsidRPr="009C60B0">
              <w:rPr>
                <w:rFonts w:asciiTheme="minorHAnsi" w:hAnsiTheme="minorHAnsi" w:cstheme="minorHAnsi"/>
                <w:color w:val="000000"/>
              </w:rPr>
              <w:t>Безвъзмездна финансова помощ</w:t>
            </w:r>
          </w:p>
        </w:tc>
        <w:tc>
          <w:tcPr>
            <w:tcW w:w="5003" w:type="dxa"/>
          </w:tcPr>
          <w:p w:rsidR="0083165D" w:rsidRPr="009C60B0" w:rsidRDefault="0083165D" w:rsidP="0083165D">
            <w:pPr>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rPr>
            </w:pPr>
            <w:r w:rsidRPr="009C60B0">
              <w:rPr>
                <w:rFonts w:asciiTheme="minorHAnsi" w:hAnsiTheme="minorHAnsi" w:cstheme="minorHAnsi"/>
                <w:color w:val="000000"/>
              </w:rPr>
              <w:t>Високите първоначални разходи и дългият период на изплащане на инвестициите в сектора правят невъзможно финансирането на мащабни инвестиции без БФП.</w:t>
            </w:r>
          </w:p>
        </w:tc>
      </w:tr>
      <w:tr w:rsidR="0083165D" w:rsidRPr="009C60B0" w:rsidTr="008316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76" w:type="dxa"/>
          </w:tcPr>
          <w:p w:rsidR="0083165D" w:rsidRPr="009C60B0" w:rsidRDefault="0083165D" w:rsidP="0083165D">
            <w:pPr>
              <w:jc w:val="both"/>
              <w:rPr>
                <w:rFonts w:asciiTheme="minorHAnsi" w:hAnsiTheme="minorHAnsi" w:cstheme="minorHAnsi"/>
                <w:color w:val="000000"/>
              </w:rPr>
            </w:pPr>
            <w:r w:rsidRPr="009C60B0">
              <w:rPr>
                <w:rFonts w:asciiTheme="minorHAnsi" w:hAnsiTheme="minorHAnsi" w:cstheme="minorHAnsi"/>
                <w:color w:val="000000"/>
              </w:rPr>
              <w:t>Директни заеми за финансово стабилните (големите) ВиК оператори</w:t>
            </w:r>
          </w:p>
        </w:tc>
        <w:tc>
          <w:tcPr>
            <w:tcW w:w="5003" w:type="dxa"/>
          </w:tcPr>
          <w:p w:rsidR="0083165D" w:rsidRPr="009C60B0" w:rsidRDefault="0083165D" w:rsidP="0083165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rPr>
            </w:pPr>
            <w:r w:rsidRPr="009C60B0">
              <w:rPr>
                <w:rFonts w:asciiTheme="minorHAnsi" w:hAnsiTheme="minorHAnsi" w:cstheme="minorHAnsi"/>
                <w:color w:val="000000"/>
              </w:rPr>
              <w:t>Целта на ФИ е не да заменят финансирането от пазарни източници, когато същото е налично, а да допълнят инвестиционните нужди. В този смисъл, когато ВиК операторите могат да използват заеми на пазарен принцип, не е необходимо използването на финансови инструменти.</w:t>
            </w:r>
          </w:p>
        </w:tc>
      </w:tr>
      <w:tr w:rsidR="0083165D" w:rsidRPr="009C60B0" w:rsidTr="0083165D">
        <w:trPr>
          <w:jc w:val="center"/>
        </w:trPr>
        <w:tc>
          <w:tcPr>
            <w:cnfStyle w:val="001000000000" w:firstRow="0" w:lastRow="0" w:firstColumn="1" w:lastColumn="0" w:oddVBand="0" w:evenVBand="0" w:oddHBand="0" w:evenHBand="0" w:firstRowFirstColumn="0" w:firstRowLastColumn="0" w:lastRowFirstColumn="0" w:lastRowLastColumn="0"/>
            <w:tcW w:w="3876" w:type="dxa"/>
          </w:tcPr>
          <w:p w:rsidR="0083165D" w:rsidRPr="009C60B0" w:rsidRDefault="0083165D" w:rsidP="0083165D">
            <w:pPr>
              <w:jc w:val="both"/>
              <w:rPr>
                <w:rFonts w:asciiTheme="minorHAnsi" w:hAnsiTheme="minorHAnsi" w:cstheme="minorHAnsi"/>
                <w:color w:val="000000"/>
              </w:rPr>
            </w:pPr>
            <w:r w:rsidRPr="009C60B0">
              <w:rPr>
                <w:rFonts w:asciiTheme="minorHAnsi" w:hAnsiTheme="minorHAnsi" w:cstheme="minorHAnsi"/>
                <w:color w:val="000000"/>
              </w:rPr>
              <w:t>Заемно финансиране при облекчени условия и гаранции за финансово по-нестабилните (по-малките) ВиК дружества</w:t>
            </w:r>
          </w:p>
        </w:tc>
        <w:tc>
          <w:tcPr>
            <w:tcW w:w="5003" w:type="dxa"/>
          </w:tcPr>
          <w:p w:rsidR="0083165D" w:rsidRPr="009C60B0" w:rsidRDefault="0083165D" w:rsidP="0083165D">
            <w:pPr>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rPr>
            </w:pPr>
            <w:r w:rsidRPr="009C60B0">
              <w:rPr>
                <w:rFonts w:asciiTheme="minorHAnsi" w:hAnsiTheme="minorHAnsi" w:cstheme="minorHAnsi"/>
                <w:color w:val="000000"/>
              </w:rPr>
              <w:t>С цел осигуряване на необходимите стимули и възможности на по-малките ВиК дружества да инвестират в инфраструктура, е необходимо да им се предоставят облекчени условия за заемно финансиране, тъй като те не са в състояние да постигнат икономии от мащаба.</w:t>
            </w:r>
          </w:p>
        </w:tc>
      </w:tr>
      <w:tr w:rsidR="0083165D" w:rsidRPr="009C60B0" w:rsidTr="008316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76" w:type="dxa"/>
          </w:tcPr>
          <w:p w:rsidR="0083165D" w:rsidRPr="009C60B0" w:rsidRDefault="0083165D" w:rsidP="0083165D">
            <w:pPr>
              <w:jc w:val="both"/>
              <w:rPr>
                <w:rFonts w:asciiTheme="minorHAnsi" w:hAnsiTheme="minorHAnsi" w:cstheme="minorHAnsi"/>
                <w:color w:val="000000"/>
              </w:rPr>
            </w:pPr>
            <w:r w:rsidRPr="009C60B0">
              <w:rPr>
                <w:rFonts w:asciiTheme="minorHAnsi" w:hAnsiTheme="minorHAnsi" w:cstheme="minorHAnsi"/>
                <w:color w:val="000000"/>
              </w:rPr>
              <w:t>Публично-частно партньорство</w:t>
            </w:r>
          </w:p>
        </w:tc>
        <w:tc>
          <w:tcPr>
            <w:tcW w:w="5003" w:type="dxa"/>
          </w:tcPr>
          <w:p w:rsidR="0083165D" w:rsidRPr="009C60B0" w:rsidRDefault="0083165D" w:rsidP="0083165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rPr>
            </w:pPr>
            <w:r w:rsidRPr="009C60B0">
              <w:rPr>
                <w:rFonts w:asciiTheme="minorHAnsi" w:hAnsiTheme="minorHAnsi" w:cstheme="minorHAnsi"/>
                <w:color w:val="000000"/>
              </w:rPr>
              <w:t>Пример за успешно ПЧП е концесията на Софийска вода АД. За увеличаване на инвестициите в сектора е възможно привличане на допълнителен частен финансов ресурс чрез създаване на подходящи форми на ПЧП</w:t>
            </w:r>
            <w:r w:rsidR="00722A8B" w:rsidRPr="009C60B0">
              <w:rPr>
                <w:rFonts w:asciiTheme="minorHAnsi" w:hAnsiTheme="minorHAnsi" w:cstheme="minorHAnsi"/>
                <w:color w:val="000000"/>
              </w:rPr>
              <w:t>, в т.ч. концесии, дялово участие и др.</w:t>
            </w:r>
          </w:p>
        </w:tc>
      </w:tr>
    </w:tbl>
    <w:p w:rsidR="0083165D" w:rsidRDefault="0083165D" w:rsidP="0083165D">
      <w:pPr>
        <w:jc w:val="both"/>
        <w:rPr>
          <w:rFonts w:cs="Times New Roman"/>
        </w:rPr>
      </w:pPr>
    </w:p>
    <w:p w:rsidR="00042034" w:rsidRDefault="00042034" w:rsidP="0083165D">
      <w:pPr>
        <w:jc w:val="both"/>
        <w:rPr>
          <w:rFonts w:cs="Times New Roman"/>
        </w:rPr>
      </w:pPr>
      <w:r>
        <w:rPr>
          <w:rFonts w:cs="Times New Roman"/>
        </w:rPr>
        <w:t>В допълнение, следва да се отбележи, че ВиК дружествата биха използвали финансови инструменти за инвестиции в сектора при осигурена техническа помощ, което се потвърждава и от направеното анкетно проучване</w:t>
      </w:r>
      <w:r w:rsidR="000D4B2E">
        <w:rPr>
          <w:rStyle w:val="FootnoteReference"/>
          <w:rFonts w:cs="Times New Roman"/>
        </w:rPr>
        <w:footnoteReference w:id="16"/>
      </w:r>
      <w:r>
        <w:rPr>
          <w:rFonts w:cs="Times New Roman"/>
        </w:rPr>
        <w:t>, част от чиито резултати са представени както следва:</w:t>
      </w:r>
    </w:p>
    <w:p w:rsidR="00042034" w:rsidRDefault="00042034" w:rsidP="0083165D">
      <w:pPr>
        <w:jc w:val="both"/>
        <w:rPr>
          <w:rFonts w:cs="Times New Roman"/>
        </w:rPr>
      </w:pPr>
    </w:p>
    <w:p w:rsidR="00D73254" w:rsidRDefault="00D73254" w:rsidP="00042034">
      <w:pPr>
        <w:spacing w:after="0" w:line="240" w:lineRule="auto"/>
        <w:rPr>
          <w:rFonts w:eastAsia="Times New Roman" w:cs="Arial"/>
          <w:b/>
          <w:bCs/>
          <w:color w:val="000000"/>
          <w:lang w:val="en-US" w:eastAsia="bg-BG"/>
        </w:rPr>
      </w:pPr>
    </w:p>
    <w:p w:rsidR="00042034" w:rsidRPr="00042034" w:rsidRDefault="00042034" w:rsidP="00042034">
      <w:pPr>
        <w:spacing w:after="0" w:line="240" w:lineRule="auto"/>
        <w:rPr>
          <w:rFonts w:eastAsia="Times New Roman" w:cs="Arial"/>
          <w:b/>
          <w:bCs/>
          <w:color w:val="000000"/>
          <w:lang w:eastAsia="bg-BG"/>
        </w:rPr>
      </w:pPr>
      <w:r w:rsidRPr="00042034">
        <w:rPr>
          <w:rFonts w:eastAsia="Times New Roman" w:cs="Arial"/>
          <w:b/>
          <w:bCs/>
          <w:color w:val="000000"/>
          <w:lang w:eastAsia="bg-BG"/>
        </w:rPr>
        <w:t xml:space="preserve"> </w:t>
      </w:r>
      <w:bookmarkStart w:id="30" w:name="_Toc399494591"/>
      <w:r w:rsidRPr="00042034">
        <w:rPr>
          <w:rFonts w:cstheme="minorHAnsi"/>
          <w:b/>
        </w:rPr>
        <w:t xml:space="preserve">Фигура </w:t>
      </w:r>
      <w:r w:rsidR="008E6461" w:rsidRPr="00042034">
        <w:rPr>
          <w:rFonts w:cstheme="minorHAnsi"/>
          <w:b/>
        </w:rPr>
        <w:fldChar w:fldCharType="begin"/>
      </w:r>
      <w:r w:rsidRPr="00042034">
        <w:rPr>
          <w:rFonts w:cstheme="minorHAnsi"/>
          <w:b/>
        </w:rPr>
        <w:instrText xml:space="preserve"> SEQ фигура \* ARABIC </w:instrText>
      </w:r>
      <w:r w:rsidR="008E6461" w:rsidRPr="00042034">
        <w:rPr>
          <w:rFonts w:cstheme="minorHAnsi"/>
          <w:b/>
        </w:rPr>
        <w:fldChar w:fldCharType="separate"/>
      </w:r>
      <w:r w:rsidR="003A69A7">
        <w:rPr>
          <w:rFonts w:cstheme="minorHAnsi"/>
          <w:b/>
          <w:noProof/>
        </w:rPr>
        <w:t>6</w:t>
      </w:r>
      <w:r w:rsidR="008E6461" w:rsidRPr="00042034">
        <w:rPr>
          <w:rFonts w:cstheme="minorHAnsi"/>
          <w:b/>
        </w:rPr>
        <w:fldChar w:fldCharType="end"/>
      </w:r>
      <w:r w:rsidRPr="00042034">
        <w:rPr>
          <w:rFonts w:cstheme="minorHAnsi"/>
          <w:b/>
        </w:rPr>
        <w:t xml:space="preserve">: </w:t>
      </w:r>
      <w:r w:rsidRPr="00042034">
        <w:rPr>
          <w:rFonts w:eastAsia="Times New Roman" w:cs="Arial"/>
          <w:b/>
          <w:bCs/>
          <w:color w:val="000000"/>
          <w:lang w:eastAsia="bg-BG"/>
        </w:rPr>
        <w:t>Бихте ли ползвали финансови инструменти за реализация</w:t>
      </w:r>
      <w:r w:rsidR="00D73254">
        <w:rPr>
          <w:rFonts w:eastAsia="Times New Roman" w:cs="Arial"/>
          <w:b/>
          <w:bCs/>
          <w:color w:val="000000"/>
          <w:lang w:val="en-US" w:eastAsia="bg-BG"/>
        </w:rPr>
        <w:t xml:space="preserve"> </w:t>
      </w:r>
      <w:r w:rsidR="00D73254">
        <w:rPr>
          <w:rFonts w:eastAsia="Times New Roman" w:cs="Arial"/>
          <w:b/>
          <w:bCs/>
          <w:color w:val="000000"/>
          <w:lang w:eastAsia="bg-BG"/>
        </w:rPr>
        <w:t>на инвестиции</w:t>
      </w:r>
      <w:r w:rsidRPr="00042034">
        <w:rPr>
          <w:rFonts w:eastAsia="Times New Roman" w:cs="Arial"/>
          <w:b/>
          <w:bCs/>
          <w:color w:val="000000"/>
          <w:lang w:eastAsia="bg-BG"/>
        </w:rPr>
        <w:t>?</w:t>
      </w:r>
      <w:bookmarkEnd w:id="30"/>
    </w:p>
    <w:p w:rsidR="00042034" w:rsidRDefault="00042034" w:rsidP="00042034">
      <w:pPr>
        <w:spacing w:after="0" w:line="240" w:lineRule="auto"/>
        <w:rPr>
          <w:rFonts w:eastAsia="Times New Roman" w:cs="Arial"/>
          <w:bCs/>
          <w:i/>
          <w:color w:val="000000"/>
          <w:lang w:eastAsia="bg-BG"/>
        </w:rPr>
      </w:pPr>
    </w:p>
    <w:p w:rsidR="00042034" w:rsidRPr="000E5D7D" w:rsidRDefault="00042034" w:rsidP="00042034">
      <w:pPr>
        <w:spacing w:after="0" w:line="240" w:lineRule="auto"/>
        <w:jc w:val="center"/>
        <w:rPr>
          <w:rFonts w:eastAsia="Times New Roman" w:cs="Arial"/>
          <w:b/>
          <w:color w:val="000000"/>
          <w:lang w:val="en-US" w:eastAsia="bg-BG"/>
        </w:rPr>
      </w:pPr>
      <w:r>
        <w:rPr>
          <w:rFonts w:eastAsia="Times New Roman" w:cs="Arial"/>
          <w:b/>
          <w:noProof/>
          <w:color w:val="000000"/>
          <w:lang w:eastAsia="bg-BG"/>
        </w:rPr>
        <w:lastRenderedPageBreak/>
        <w:drawing>
          <wp:inline distT="0" distB="0" distL="0" distR="0">
            <wp:extent cx="4892040" cy="2186940"/>
            <wp:effectExtent l="19050" t="0" r="381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9" cstate="print"/>
                    <a:srcRect/>
                    <a:stretch>
                      <a:fillRect/>
                    </a:stretch>
                  </pic:blipFill>
                  <pic:spPr bwMode="auto">
                    <a:xfrm>
                      <a:off x="0" y="0"/>
                      <a:ext cx="4892040" cy="2186940"/>
                    </a:xfrm>
                    <a:prstGeom prst="rect">
                      <a:avLst/>
                    </a:prstGeom>
                    <a:noFill/>
                  </pic:spPr>
                </pic:pic>
              </a:graphicData>
            </a:graphic>
          </wp:inline>
        </w:drawing>
      </w:r>
    </w:p>
    <w:p w:rsidR="00042034" w:rsidRPr="000E5D7D" w:rsidRDefault="00042034" w:rsidP="00042034">
      <w:pPr>
        <w:spacing w:after="0" w:line="240" w:lineRule="auto"/>
        <w:rPr>
          <w:rFonts w:eastAsia="Times New Roman" w:cs="Arial"/>
          <w:b/>
          <w:color w:val="000000"/>
          <w:lang w:val="en-US" w:eastAsia="bg-BG"/>
        </w:rPr>
      </w:pPr>
    </w:p>
    <w:p w:rsidR="00042034" w:rsidRDefault="00042034" w:rsidP="0083165D">
      <w:pPr>
        <w:jc w:val="both"/>
        <w:rPr>
          <w:rFonts w:cs="Times New Roman"/>
        </w:rPr>
      </w:pPr>
    </w:p>
    <w:p w:rsidR="00042034" w:rsidRPr="000E5D7D" w:rsidRDefault="00042034" w:rsidP="00042034">
      <w:pPr>
        <w:spacing w:after="0" w:line="240" w:lineRule="auto"/>
        <w:rPr>
          <w:rFonts w:eastAsia="Times New Roman" w:cs="Arial"/>
          <w:b/>
          <w:bCs/>
          <w:color w:val="000000"/>
          <w:lang w:eastAsia="bg-BG"/>
        </w:rPr>
      </w:pPr>
      <w:bookmarkStart w:id="31" w:name="_Toc399494592"/>
      <w:r w:rsidRPr="00042034">
        <w:rPr>
          <w:rFonts w:cstheme="minorHAnsi"/>
          <w:b/>
        </w:rPr>
        <w:t xml:space="preserve">Фигура </w:t>
      </w:r>
      <w:r w:rsidR="008E6461" w:rsidRPr="00042034">
        <w:rPr>
          <w:rFonts w:cstheme="minorHAnsi"/>
          <w:b/>
        </w:rPr>
        <w:fldChar w:fldCharType="begin"/>
      </w:r>
      <w:r w:rsidRPr="00042034">
        <w:rPr>
          <w:rFonts w:cstheme="minorHAnsi"/>
          <w:b/>
        </w:rPr>
        <w:instrText xml:space="preserve"> SEQ фигура \* ARABIC </w:instrText>
      </w:r>
      <w:r w:rsidR="008E6461" w:rsidRPr="00042034">
        <w:rPr>
          <w:rFonts w:cstheme="minorHAnsi"/>
          <w:b/>
        </w:rPr>
        <w:fldChar w:fldCharType="separate"/>
      </w:r>
      <w:r w:rsidR="003A69A7">
        <w:rPr>
          <w:rFonts w:cstheme="minorHAnsi"/>
          <w:b/>
          <w:noProof/>
        </w:rPr>
        <w:t>7</w:t>
      </w:r>
      <w:r w:rsidR="008E6461" w:rsidRPr="00042034">
        <w:rPr>
          <w:rFonts w:cstheme="minorHAnsi"/>
          <w:b/>
        </w:rPr>
        <w:fldChar w:fldCharType="end"/>
      </w:r>
      <w:r w:rsidRPr="00042034">
        <w:rPr>
          <w:rFonts w:cstheme="minorHAnsi"/>
          <w:b/>
        </w:rPr>
        <w:t xml:space="preserve">: </w:t>
      </w:r>
      <w:r w:rsidRPr="000E5D7D">
        <w:rPr>
          <w:rFonts w:eastAsia="Times New Roman" w:cs="Arial"/>
          <w:b/>
          <w:color w:val="000000"/>
          <w:lang w:eastAsia="bg-BG"/>
        </w:rPr>
        <w:t xml:space="preserve"> </w:t>
      </w:r>
      <w:r w:rsidRPr="000E5D7D">
        <w:rPr>
          <w:rFonts w:eastAsia="Times New Roman" w:cs="Arial"/>
          <w:b/>
          <w:bCs/>
          <w:color w:val="000000"/>
          <w:lang w:eastAsia="bg-BG"/>
        </w:rPr>
        <w:t>Необходима ли ви е техническа помощ за управление на финансови инструменти?</w:t>
      </w:r>
      <w:bookmarkEnd w:id="31"/>
    </w:p>
    <w:p w:rsidR="00042034" w:rsidRDefault="00042034" w:rsidP="00042034">
      <w:pPr>
        <w:spacing w:after="0" w:line="240" w:lineRule="auto"/>
        <w:rPr>
          <w:rFonts w:eastAsia="Times New Roman" w:cs="Arial"/>
          <w:bCs/>
          <w:i/>
          <w:color w:val="000000"/>
          <w:lang w:eastAsia="bg-BG"/>
        </w:rPr>
      </w:pPr>
    </w:p>
    <w:p w:rsidR="00042034" w:rsidRPr="000E5D7D" w:rsidRDefault="00042034" w:rsidP="00042034">
      <w:pPr>
        <w:spacing w:after="0" w:line="240" w:lineRule="auto"/>
        <w:jc w:val="center"/>
        <w:rPr>
          <w:rFonts w:eastAsia="Times New Roman" w:cs="Arial"/>
          <w:b/>
          <w:bCs/>
          <w:color w:val="000000"/>
          <w:lang w:val="en-US" w:eastAsia="bg-BG"/>
        </w:rPr>
      </w:pPr>
      <w:r>
        <w:rPr>
          <w:rFonts w:eastAsia="Times New Roman" w:cs="Arial"/>
          <w:b/>
          <w:bCs/>
          <w:noProof/>
          <w:color w:val="000000"/>
          <w:lang w:eastAsia="bg-BG"/>
        </w:rPr>
        <w:drawing>
          <wp:inline distT="0" distB="0" distL="0" distR="0">
            <wp:extent cx="4992897" cy="2236476"/>
            <wp:effectExtent l="1905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0" cstate="print"/>
                    <a:srcRect/>
                    <a:stretch>
                      <a:fillRect/>
                    </a:stretch>
                  </pic:blipFill>
                  <pic:spPr bwMode="auto">
                    <a:xfrm>
                      <a:off x="0" y="0"/>
                      <a:ext cx="4999506" cy="2239436"/>
                    </a:xfrm>
                    <a:prstGeom prst="rect">
                      <a:avLst/>
                    </a:prstGeom>
                    <a:noFill/>
                  </pic:spPr>
                </pic:pic>
              </a:graphicData>
            </a:graphic>
          </wp:inline>
        </w:drawing>
      </w:r>
    </w:p>
    <w:p w:rsidR="00042034" w:rsidRPr="000E5D7D" w:rsidRDefault="00042034" w:rsidP="00042034">
      <w:pPr>
        <w:spacing w:after="0" w:line="240" w:lineRule="auto"/>
        <w:rPr>
          <w:rFonts w:eastAsia="Times New Roman" w:cs="Arial"/>
          <w:b/>
          <w:bCs/>
          <w:color w:val="000000"/>
          <w:lang w:val="en-US" w:eastAsia="bg-BG"/>
        </w:rPr>
      </w:pPr>
    </w:p>
    <w:p w:rsidR="00F15AC0" w:rsidRPr="00E51D2B" w:rsidRDefault="00F15AC0" w:rsidP="00F15AC0">
      <w:pPr>
        <w:pStyle w:val="Heading3"/>
        <w:spacing w:before="120" w:after="120"/>
        <w:rPr>
          <w:rFonts w:asciiTheme="minorHAnsi" w:eastAsia="Calibri" w:hAnsiTheme="minorHAnsi"/>
        </w:rPr>
      </w:pPr>
      <w:bookmarkStart w:id="32" w:name="_Toc399494513"/>
      <w:r w:rsidRPr="00E51D2B">
        <w:rPr>
          <w:rFonts w:asciiTheme="minorHAnsi" w:eastAsia="Calibri" w:hAnsiTheme="minorHAnsi"/>
        </w:rPr>
        <w:t>1.1.</w:t>
      </w:r>
      <w:r>
        <w:rPr>
          <w:rFonts w:asciiTheme="minorHAnsi" w:eastAsia="Calibri" w:hAnsiTheme="minorHAnsi"/>
        </w:rPr>
        <w:t>6</w:t>
      </w:r>
      <w:r w:rsidRPr="00E51D2B">
        <w:rPr>
          <w:rFonts w:asciiTheme="minorHAnsi" w:eastAsia="Calibri" w:hAnsiTheme="minorHAnsi"/>
        </w:rPr>
        <w:t xml:space="preserve">. </w:t>
      </w:r>
      <w:r>
        <w:rPr>
          <w:rFonts w:asciiTheme="minorHAnsi" w:eastAsia="Calibri" w:hAnsiTheme="minorHAnsi"/>
        </w:rPr>
        <w:t xml:space="preserve">Обобщение на неоптималната </w:t>
      </w:r>
      <w:r w:rsidR="00692155">
        <w:rPr>
          <w:rFonts w:asciiTheme="minorHAnsi" w:eastAsia="Calibri" w:hAnsiTheme="minorHAnsi"/>
        </w:rPr>
        <w:t>инвестиционна</w:t>
      </w:r>
      <w:r>
        <w:rPr>
          <w:rFonts w:asciiTheme="minorHAnsi" w:eastAsia="Calibri" w:hAnsiTheme="minorHAnsi"/>
        </w:rPr>
        <w:t xml:space="preserve"> ситуация</w:t>
      </w:r>
      <w:bookmarkEnd w:id="32"/>
    </w:p>
    <w:p w:rsidR="0026520F" w:rsidRDefault="0026520F" w:rsidP="009C60B0">
      <w:pPr>
        <w:spacing w:before="240"/>
        <w:jc w:val="both"/>
        <w:rPr>
          <w:rFonts w:cstheme="minorHAnsi"/>
          <w:color w:val="000000"/>
        </w:rPr>
      </w:pPr>
      <w:r>
        <w:rPr>
          <w:rFonts w:cstheme="minorHAnsi"/>
          <w:color w:val="000000"/>
        </w:rPr>
        <w:t xml:space="preserve">От всичко казано дотук, може да бъде направен изводът, че е налице неоптимална </w:t>
      </w:r>
      <w:r w:rsidR="006F4339">
        <w:rPr>
          <w:rFonts w:cstheme="minorHAnsi"/>
          <w:color w:val="000000"/>
        </w:rPr>
        <w:t>инвестиционна</w:t>
      </w:r>
      <w:r w:rsidR="00692155">
        <w:rPr>
          <w:rFonts w:cstheme="minorHAnsi"/>
          <w:color w:val="000000"/>
        </w:rPr>
        <w:t xml:space="preserve"> </w:t>
      </w:r>
      <w:r>
        <w:rPr>
          <w:rFonts w:cstheme="minorHAnsi"/>
          <w:color w:val="000000"/>
        </w:rPr>
        <w:t>ситуация в сектора, която е илюстрирана на следната схема:</w:t>
      </w:r>
    </w:p>
    <w:p w:rsidR="00107B8E" w:rsidRDefault="00107B8E" w:rsidP="00E010B7">
      <w:pPr>
        <w:pStyle w:val="Caption"/>
        <w:keepNext/>
        <w:spacing w:before="240"/>
        <w:rPr>
          <w:rFonts w:asciiTheme="minorHAnsi" w:hAnsiTheme="minorHAnsi" w:cstheme="minorHAnsi"/>
        </w:rPr>
      </w:pPr>
      <w:bookmarkStart w:id="33" w:name="_Toc399494593"/>
    </w:p>
    <w:p w:rsidR="00576C81" w:rsidRPr="00EF2447" w:rsidRDefault="00576C81" w:rsidP="00E010B7">
      <w:pPr>
        <w:pStyle w:val="Caption"/>
        <w:keepNext/>
        <w:spacing w:before="240"/>
        <w:rPr>
          <w:rFonts w:asciiTheme="minorHAnsi" w:hAnsiTheme="minorHAnsi" w:cstheme="minorHAnsi"/>
        </w:rPr>
      </w:pPr>
      <w:r w:rsidRPr="00EF2447">
        <w:rPr>
          <w:rFonts w:asciiTheme="minorHAnsi" w:hAnsiTheme="minorHAnsi" w:cstheme="minorHAnsi"/>
        </w:rPr>
        <w:t xml:space="preserve">Фигура </w:t>
      </w:r>
      <w:r w:rsidR="008E6461" w:rsidRPr="00EF2447">
        <w:rPr>
          <w:rFonts w:asciiTheme="minorHAnsi" w:hAnsiTheme="minorHAnsi" w:cstheme="minorHAnsi"/>
        </w:rPr>
        <w:fldChar w:fldCharType="begin"/>
      </w:r>
      <w:r w:rsidRPr="00EF2447">
        <w:rPr>
          <w:rFonts w:asciiTheme="minorHAnsi" w:hAnsiTheme="minorHAnsi" w:cstheme="minorHAnsi"/>
        </w:rPr>
        <w:instrText xml:space="preserve"> SEQ фигура \* ARABIC </w:instrText>
      </w:r>
      <w:r w:rsidR="008E6461" w:rsidRPr="00EF2447">
        <w:rPr>
          <w:rFonts w:asciiTheme="minorHAnsi" w:hAnsiTheme="minorHAnsi" w:cstheme="minorHAnsi"/>
        </w:rPr>
        <w:fldChar w:fldCharType="separate"/>
      </w:r>
      <w:r w:rsidR="003A69A7">
        <w:rPr>
          <w:rFonts w:asciiTheme="minorHAnsi" w:hAnsiTheme="minorHAnsi" w:cstheme="minorHAnsi"/>
          <w:noProof/>
        </w:rPr>
        <w:t>8</w:t>
      </w:r>
      <w:r w:rsidR="008E6461" w:rsidRPr="00EF2447">
        <w:rPr>
          <w:rFonts w:asciiTheme="minorHAnsi" w:hAnsiTheme="minorHAnsi" w:cstheme="minorHAnsi"/>
        </w:rPr>
        <w:fldChar w:fldCharType="end"/>
      </w:r>
      <w:r w:rsidRPr="00EF2447">
        <w:rPr>
          <w:rFonts w:asciiTheme="minorHAnsi" w:hAnsiTheme="minorHAnsi" w:cstheme="minorHAnsi"/>
        </w:rPr>
        <w:t>: Неоптимална инвестиционна ситуация във ВиК сектора</w:t>
      </w:r>
      <w:bookmarkEnd w:id="33"/>
    </w:p>
    <w:p w:rsidR="00576C81" w:rsidRPr="00576C81" w:rsidRDefault="00576C81" w:rsidP="00E010B7">
      <w:pPr>
        <w:keepNext/>
        <w:rPr>
          <w:lang w:eastAsia="bg-BG"/>
        </w:rPr>
      </w:pPr>
    </w:p>
    <w:p w:rsidR="0026520F" w:rsidRDefault="0026520F" w:rsidP="00392731">
      <w:pPr>
        <w:jc w:val="both"/>
        <w:rPr>
          <w:rFonts w:cs="Times New Roman"/>
        </w:rPr>
      </w:pPr>
      <w:r w:rsidRPr="0026520F">
        <w:rPr>
          <w:rFonts w:cs="Times New Roman"/>
          <w:noProof/>
          <w:lang w:eastAsia="bg-BG"/>
        </w:rPr>
        <w:drawing>
          <wp:inline distT="0" distB="0" distL="0" distR="0">
            <wp:extent cx="5784591" cy="5824647"/>
            <wp:effectExtent l="0" t="0" r="26035" b="24130"/>
            <wp:docPr id="15"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rsidR="0083165D" w:rsidRDefault="0083165D" w:rsidP="0026520F">
      <w:pPr>
        <w:spacing w:after="200" w:line="276" w:lineRule="auto"/>
        <w:jc w:val="both"/>
        <w:rPr>
          <w:rFonts w:ascii="Calibri" w:eastAsia="Calibri" w:hAnsi="Calibri" w:cs="Calibri"/>
          <w:color w:val="000000"/>
        </w:rPr>
      </w:pPr>
    </w:p>
    <w:p w:rsidR="00174C6A" w:rsidRDefault="00174C6A" w:rsidP="0026520F">
      <w:pPr>
        <w:spacing w:after="200" w:line="276" w:lineRule="auto"/>
        <w:jc w:val="both"/>
        <w:rPr>
          <w:rFonts w:ascii="Calibri" w:eastAsia="Calibri" w:hAnsi="Calibri" w:cs="Calibri"/>
          <w:color w:val="000000"/>
        </w:rPr>
      </w:pPr>
    </w:p>
    <w:p w:rsidR="00FA0C25" w:rsidRPr="003A704B" w:rsidRDefault="00FA0C25" w:rsidP="00181C9C">
      <w:pPr>
        <w:pStyle w:val="Heading2"/>
        <w:rPr>
          <w:rFonts w:asciiTheme="minorHAnsi" w:hAnsiTheme="minorHAnsi" w:cs="Times New Roman"/>
        </w:rPr>
      </w:pPr>
      <w:bookmarkStart w:id="34" w:name="_Toc399494514"/>
      <w:r w:rsidRPr="003A704B">
        <w:rPr>
          <w:rFonts w:asciiTheme="minorHAnsi" w:hAnsiTheme="minorHAnsi" w:cs="Times New Roman"/>
        </w:rPr>
        <w:lastRenderedPageBreak/>
        <w:t>1.2. Ефективно управление на отпадъците - изграждане на инсталации, съгласно йерархията за управление на отпадъците, нужни за подобряване управлението на битовите отпадъци в изпълнение на законодателните изисквания.</w:t>
      </w:r>
      <w:bookmarkEnd w:id="34"/>
    </w:p>
    <w:p w:rsidR="00F2533C" w:rsidRPr="007C07BE" w:rsidRDefault="007C07BE" w:rsidP="007C07BE">
      <w:pPr>
        <w:pStyle w:val="Heading3"/>
        <w:spacing w:before="120" w:after="120"/>
        <w:rPr>
          <w:rFonts w:asciiTheme="minorHAnsi" w:eastAsia="Calibri" w:hAnsiTheme="minorHAnsi"/>
        </w:rPr>
      </w:pPr>
      <w:bookmarkStart w:id="35" w:name="_Toc399494515"/>
      <w:r>
        <w:rPr>
          <w:rFonts w:asciiTheme="minorHAnsi" w:eastAsia="Calibri" w:hAnsiTheme="minorHAnsi"/>
        </w:rPr>
        <w:t xml:space="preserve">1.2.1. </w:t>
      </w:r>
      <w:r w:rsidR="00F2533C" w:rsidRPr="007C07BE">
        <w:rPr>
          <w:rFonts w:asciiTheme="minorHAnsi" w:eastAsia="Calibri" w:hAnsiTheme="minorHAnsi"/>
        </w:rPr>
        <w:t>Основни характеристики на сектор Отпадъци в България</w:t>
      </w:r>
      <w:bookmarkEnd w:id="35"/>
    </w:p>
    <w:p w:rsidR="00F2533C" w:rsidRPr="00F2533C" w:rsidRDefault="00F2533C" w:rsidP="00F2533C">
      <w:pPr>
        <w:widowControl w:val="0"/>
        <w:autoSpaceDE w:val="0"/>
        <w:autoSpaceDN w:val="0"/>
        <w:adjustRightInd w:val="0"/>
        <w:spacing w:before="240" w:after="0" w:line="240" w:lineRule="auto"/>
        <w:ind w:right="67"/>
        <w:jc w:val="both"/>
        <w:rPr>
          <w:rFonts w:ascii="Calibri" w:eastAsia="Calibri" w:hAnsi="Calibri" w:cs="Calibri"/>
          <w:bCs/>
        </w:rPr>
      </w:pPr>
      <w:r w:rsidRPr="00F2533C">
        <w:rPr>
          <w:rFonts w:ascii="Calibri" w:eastAsia="Calibri" w:hAnsi="Calibri" w:cs="Calibri"/>
          <w:bCs/>
        </w:rPr>
        <w:t>До приемането през септември 1997 г. на Закон за ограничаване на вредното въздействие на отпадъците върху околната среда в България липсва специална правна уредба в тази област</w:t>
      </w:r>
      <w:r w:rsidRPr="00F2533C">
        <w:rPr>
          <w:rFonts w:ascii="Calibri" w:eastAsia="Calibri" w:hAnsi="Calibri" w:cs="Times New Roman"/>
          <w:vertAlign w:val="superscript"/>
        </w:rPr>
        <w:footnoteReference w:id="17"/>
      </w:r>
      <w:r w:rsidRPr="00F2533C">
        <w:rPr>
          <w:rFonts w:ascii="Calibri" w:eastAsia="Calibri" w:hAnsi="Calibri" w:cs="Calibri"/>
          <w:bCs/>
        </w:rPr>
        <w:t xml:space="preserve">. Законът за първи път урежда обществените отношения в сектор „Управление на отпадъците” и въвежда редица основополагащи изисквания на рамкова Директива за отпадъците 75/442/ЕЕС (РДО). Законът за управление на отпадъците, приет през септември </w:t>
      </w:r>
      <w:smartTag w:uri="urn:schemas-microsoft-com:office:smarttags" w:element="metricconverter">
        <w:smartTagPr>
          <w:attr w:name="ProductID" w:val="2003 г"/>
        </w:smartTagPr>
        <w:r w:rsidRPr="00F2533C">
          <w:rPr>
            <w:rFonts w:ascii="Calibri" w:eastAsia="Calibri" w:hAnsi="Calibri" w:cs="Calibri"/>
            <w:bCs/>
          </w:rPr>
          <w:t>2003 г</w:t>
        </w:r>
      </w:smartTag>
      <w:r w:rsidRPr="00F2533C">
        <w:rPr>
          <w:rFonts w:ascii="Calibri" w:eastAsia="Calibri" w:hAnsi="Calibri" w:cs="Calibri"/>
          <w:bCs/>
        </w:rPr>
        <w:t>., доразвива философията на закона от 1997 г. и транспонира напълно РДО 75/442/ЕЕС и заедно с наредбите към закона се въвеждат изискванията на всички европейски директиви в сектор “Управление на отпадъците”. Към момента на приемане на България като страна член на ЕС през 2007 г., законодателството в сектора е хармонизирано с европейското право. С допълненията в закона през 2010 г. се въвеждат икономически стимули за предприемане на реални действия от местните власти за намаляване на депонираните отпадъци, както и за преминаване към регионален принцип на управление на битовите отпадъци. ЗУО, в сила от юли 2012 г. въвежда изискванията на РДО 2008/98/ЕО, включително принципите „замърсителят плаща”, „разширена отговорност на производителя” и йерархията на управление на отпадъците.</w:t>
      </w:r>
    </w:p>
    <w:p w:rsidR="00F2533C" w:rsidRPr="00F2533C" w:rsidRDefault="00F2533C" w:rsidP="00F2533C">
      <w:pPr>
        <w:widowControl w:val="0"/>
        <w:autoSpaceDE w:val="0"/>
        <w:autoSpaceDN w:val="0"/>
        <w:adjustRightInd w:val="0"/>
        <w:spacing w:before="240" w:after="0" w:line="240" w:lineRule="auto"/>
        <w:ind w:right="67"/>
        <w:jc w:val="both"/>
        <w:rPr>
          <w:rFonts w:ascii="Calibri" w:eastAsia="Calibri" w:hAnsi="Calibri" w:cs="Calibri"/>
          <w:bCs/>
        </w:rPr>
      </w:pPr>
      <w:r w:rsidRPr="00F2533C">
        <w:rPr>
          <w:rFonts w:ascii="Calibri" w:eastAsia="Calibri" w:hAnsi="Calibri" w:cs="Calibri"/>
          <w:bCs/>
        </w:rPr>
        <w:t>Ключови разпоредби, произтичащи от ЗУО, са:</w:t>
      </w:r>
    </w:p>
    <w:p w:rsidR="00F2533C" w:rsidRPr="00F2533C" w:rsidRDefault="00F2533C" w:rsidP="009C1CFD">
      <w:pPr>
        <w:widowControl w:val="0"/>
        <w:numPr>
          <w:ilvl w:val="3"/>
          <w:numId w:val="4"/>
        </w:numPr>
        <w:autoSpaceDE w:val="0"/>
        <w:autoSpaceDN w:val="0"/>
        <w:adjustRightInd w:val="0"/>
        <w:spacing w:before="240" w:after="0" w:line="240" w:lineRule="auto"/>
        <w:ind w:left="851" w:right="64"/>
        <w:jc w:val="both"/>
        <w:rPr>
          <w:rFonts w:ascii="Calibri" w:eastAsia="Calibri" w:hAnsi="Calibri" w:cs="Calibri"/>
          <w:spacing w:val="1"/>
        </w:rPr>
      </w:pPr>
      <w:r w:rsidRPr="00F2533C">
        <w:rPr>
          <w:rFonts w:ascii="Calibri" w:eastAsia="Calibri" w:hAnsi="Calibri" w:cs="Calibri"/>
          <w:spacing w:val="1"/>
        </w:rPr>
        <w:t>Количествени цели за подготовка за повторна употреба и рециклиране на отпадъчни материали, включващи най-малко хартия и картон, метал, пластмаса и стъкло от домакинствата и подобни отпадъци от други източници, които да достигнат общините, в следните срокове и количества:</w:t>
      </w:r>
    </w:p>
    <w:p w:rsidR="00F2533C" w:rsidRPr="00F2533C" w:rsidRDefault="00F2533C" w:rsidP="009C1CFD">
      <w:pPr>
        <w:widowControl w:val="0"/>
        <w:numPr>
          <w:ilvl w:val="0"/>
          <w:numId w:val="9"/>
        </w:numPr>
        <w:autoSpaceDE w:val="0"/>
        <w:autoSpaceDN w:val="0"/>
        <w:adjustRightInd w:val="0"/>
        <w:spacing w:before="240" w:after="0" w:line="240" w:lineRule="auto"/>
        <w:ind w:right="64"/>
        <w:jc w:val="both"/>
        <w:rPr>
          <w:rFonts w:ascii="Calibri" w:eastAsia="Calibri" w:hAnsi="Calibri" w:cs="Calibri"/>
          <w:spacing w:val="1"/>
        </w:rPr>
      </w:pPr>
      <w:r w:rsidRPr="00F2533C">
        <w:rPr>
          <w:rFonts w:ascii="Calibri" w:eastAsia="Calibri" w:hAnsi="Calibri" w:cs="Calibri"/>
          <w:spacing w:val="1"/>
        </w:rPr>
        <w:t xml:space="preserve">до 1 януари 2016 г. - най-малко 25 на сто от общото им тегло </w:t>
      </w:r>
    </w:p>
    <w:p w:rsidR="00F2533C" w:rsidRPr="00F2533C" w:rsidRDefault="00F2533C" w:rsidP="009C1CFD">
      <w:pPr>
        <w:widowControl w:val="0"/>
        <w:numPr>
          <w:ilvl w:val="0"/>
          <w:numId w:val="9"/>
        </w:numPr>
        <w:autoSpaceDE w:val="0"/>
        <w:autoSpaceDN w:val="0"/>
        <w:adjustRightInd w:val="0"/>
        <w:spacing w:after="0" w:line="240" w:lineRule="auto"/>
        <w:ind w:right="64"/>
        <w:jc w:val="both"/>
        <w:rPr>
          <w:rFonts w:ascii="Calibri" w:eastAsia="Calibri" w:hAnsi="Calibri" w:cs="Calibri"/>
          <w:spacing w:val="1"/>
        </w:rPr>
      </w:pPr>
      <w:r w:rsidRPr="00F2533C">
        <w:rPr>
          <w:rFonts w:ascii="Calibri" w:eastAsia="Calibri" w:hAnsi="Calibri" w:cs="Calibri"/>
          <w:spacing w:val="1"/>
        </w:rPr>
        <w:t xml:space="preserve">до 1 януари 2018 г. - най-малко 40 на сто от общото им тегло </w:t>
      </w:r>
    </w:p>
    <w:p w:rsidR="00F2533C" w:rsidRPr="00F2533C" w:rsidRDefault="00F2533C" w:rsidP="009C1CFD">
      <w:pPr>
        <w:widowControl w:val="0"/>
        <w:numPr>
          <w:ilvl w:val="0"/>
          <w:numId w:val="9"/>
        </w:numPr>
        <w:autoSpaceDE w:val="0"/>
        <w:autoSpaceDN w:val="0"/>
        <w:adjustRightInd w:val="0"/>
        <w:spacing w:after="0" w:line="240" w:lineRule="auto"/>
        <w:ind w:right="64"/>
        <w:jc w:val="both"/>
        <w:rPr>
          <w:rFonts w:ascii="Calibri" w:eastAsia="Calibri" w:hAnsi="Calibri" w:cs="Calibri"/>
          <w:spacing w:val="1"/>
        </w:rPr>
      </w:pPr>
      <w:r w:rsidRPr="00F2533C">
        <w:rPr>
          <w:rFonts w:ascii="Calibri" w:eastAsia="Calibri" w:hAnsi="Calibri" w:cs="Calibri"/>
          <w:spacing w:val="1"/>
        </w:rPr>
        <w:t>до 1 януари 2020 г. - най-малко 50 на сто от общото им тегло.</w:t>
      </w:r>
    </w:p>
    <w:p w:rsidR="00F2533C" w:rsidRPr="005513DA" w:rsidRDefault="00F2533C" w:rsidP="009C1CFD">
      <w:pPr>
        <w:widowControl w:val="0"/>
        <w:numPr>
          <w:ilvl w:val="3"/>
          <w:numId w:val="4"/>
        </w:numPr>
        <w:autoSpaceDE w:val="0"/>
        <w:autoSpaceDN w:val="0"/>
        <w:adjustRightInd w:val="0"/>
        <w:spacing w:before="240" w:after="0" w:line="240" w:lineRule="auto"/>
        <w:ind w:left="851" w:right="64"/>
        <w:jc w:val="both"/>
        <w:rPr>
          <w:rFonts w:ascii="Calibri" w:eastAsia="Calibri" w:hAnsi="Calibri" w:cs="Calibri"/>
          <w:spacing w:val="1"/>
        </w:rPr>
      </w:pPr>
      <w:r w:rsidRPr="00F2533C">
        <w:rPr>
          <w:rFonts w:ascii="Calibri" w:eastAsia="Calibri" w:hAnsi="Calibri" w:cs="Calibri"/>
          <w:spacing w:val="1"/>
        </w:rPr>
        <w:t xml:space="preserve">Въвежда изисквания най-късно до края на 2020 г. общините да ограничат количеството депонирани биоразградими битови отпадъци до 35 на сто от общото количество на същите отпадъци, образувани в България през 1995 г. </w:t>
      </w:r>
    </w:p>
    <w:p w:rsidR="00F2533C" w:rsidRDefault="00F2533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F2533C">
        <w:rPr>
          <w:rFonts w:ascii="Calibri" w:eastAsia="Calibri" w:hAnsi="Calibri" w:cs="Calibri"/>
          <w:spacing w:val="1"/>
        </w:rPr>
        <w:t>Кметовете на общини да организират системи за разделно събиране на битовите отпадъци от хартия и картон, метали, пластмаси и стъкло и да осигурят условия  за разделно събиране на отпадъци от опаковки за всички населени места с население, по-голямо от 5000 жители и за курортните населени места.</w:t>
      </w:r>
    </w:p>
    <w:p w:rsidR="00F2533C" w:rsidRPr="00F2533C" w:rsidRDefault="00F2533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F2533C">
        <w:rPr>
          <w:rFonts w:ascii="Calibri" w:eastAsia="Calibri" w:hAnsi="Calibri" w:cs="Calibri"/>
          <w:spacing w:val="1"/>
        </w:rPr>
        <w:t>Кметовете на общини да осигурят до средата на 2014 г. площадки за безвъзмездно предаване на разделно събрани отпадъци от домакинствата, в т.ч. едрогабаритни отпадъци, опасни отпадъци и други във всички населени места с население, по-голямо от 10 000 жители и при необходимост в други населени места.</w:t>
      </w:r>
    </w:p>
    <w:p w:rsidR="00F2533C" w:rsidRPr="00F2533C" w:rsidRDefault="00F2533C" w:rsidP="009C1CFD">
      <w:pPr>
        <w:widowControl w:val="0"/>
        <w:numPr>
          <w:ilvl w:val="3"/>
          <w:numId w:val="4"/>
        </w:numPr>
        <w:autoSpaceDE w:val="0"/>
        <w:autoSpaceDN w:val="0"/>
        <w:adjustRightInd w:val="0"/>
        <w:spacing w:before="240" w:after="0" w:line="240" w:lineRule="auto"/>
        <w:ind w:left="851" w:right="64"/>
        <w:jc w:val="both"/>
        <w:rPr>
          <w:rFonts w:ascii="Calibri" w:eastAsia="Calibri" w:hAnsi="Calibri" w:cs="Calibri"/>
          <w:spacing w:val="1"/>
        </w:rPr>
      </w:pPr>
      <w:r w:rsidRPr="00F2533C">
        <w:rPr>
          <w:rFonts w:ascii="Calibri" w:eastAsia="Calibri" w:hAnsi="Calibri" w:cs="Calibri"/>
          <w:spacing w:val="1"/>
        </w:rPr>
        <w:t xml:space="preserve">Ползвателите на търговски обекти, производствени, стопански и административни </w:t>
      </w:r>
      <w:r w:rsidRPr="00F2533C">
        <w:rPr>
          <w:rFonts w:ascii="Calibri" w:eastAsia="Calibri" w:hAnsi="Calibri" w:cs="Calibri"/>
          <w:spacing w:val="1"/>
        </w:rPr>
        <w:lastRenderedPageBreak/>
        <w:t xml:space="preserve">сгради в населените места с над 5000 жители и в курортните населени места са задължени от началото на 2013 г. да събират разделно отпадъците от хартия и картон, стъкло, пластмаси и метали в съответствие с наредбите на общините по чл. 22 от ЗУО. </w:t>
      </w:r>
    </w:p>
    <w:p w:rsidR="00F2533C" w:rsidRPr="00F2533C" w:rsidRDefault="00F2533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F2533C">
        <w:rPr>
          <w:rFonts w:ascii="Calibri" w:eastAsia="Calibri" w:hAnsi="Calibri" w:cs="Calibri"/>
          <w:spacing w:val="1"/>
        </w:rPr>
        <w:t>Въвежда детайлни правила и изисквания за сдружаване на общините в регионални сдружения за решаване управлението на битовите отпадъци на регионално ниво чрез регионални съоръжения и организация.</w:t>
      </w:r>
    </w:p>
    <w:p w:rsidR="00F2533C" w:rsidRPr="00F2533C" w:rsidRDefault="00F2533C" w:rsidP="009C1CFD">
      <w:pPr>
        <w:widowControl w:val="0"/>
        <w:numPr>
          <w:ilvl w:val="3"/>
          <w:numId w:val="4"/>
        </w:numPr>
        <w:autoSpaceDE w:val="0"/>
        <w:autoSpaceDN w:val="0"/>
        <w:adjustRightInd w:val="0"/>
        <w:spacing w:after="0" w:line="240" w:lineRule="auto"/>
        <w:ind w:left="851" w:right="64"/>
        <w:jc w:val="both"/>
        <w:rPr>
          <w:rFonts w:ascii="Calibri" w:eastAsia="Calibri" w:hAnsi="Calibri" w:cs="Calibri"/>
          <w:spacing w:val="1"/>
        </w:rPr>
      </w:pPr>
      <w:r w:rsidRPr="00F2533C">
        <w:rPr>
          <w:rFonts w:ascii="Calibri" w:eastAsia="Calibri" w:hAnsi="Calibri" w:cs="Calibri"/>
          <w:spacing w:val="1"/>
        </w:rPr>
        <w:t>Въвежда икономически инструменти за покриване на бъдещи разходи за закриване и следексплоатационни грижи на площадката на депото и за стимулиране на превенцията и оползотворяването на отпадъци преди депонирането.</w:t>
      </w:r>
    </w:p>
    <w:p w:rsidR="005513DA" w:rsidRPr="005513DA" w:rsidRDefault="005513DA" w:rsidP="005513DA">
      <w:pPr>
        <w:spacing w:before="240"/>
        <w:jc w:val="both"/>
        <w:rPr>
          <w:rFonts w:ascii="Calibri" w:eastAsia="Calibri" w:hAnsi="Calibri" w:cs="Calibri"/>
          <w:bCs/>
        </w:rPr>
      </w:pPr>
      <w:r>
        <w:rPr>
          <w:rFonts w:ascii="Calibri" w:eastAsia="Calibri" w:hAnsi="Calibri" w:cs="Calibri"/>
          <w:bCs/>
        </w:rPr>
        <w:t xml:space="preserve">В допълнение </w:t>
      </w:r>
      <w:r w:rsidRPr="005513DA">
        <w:rPr>
          <w:rFonts w:ascii="Calibri" w:eastAsia="Calibri" w:hAnsi="Calibri" w:cs="Calibri"/>
          <w:bCs/>
        </w:rPr>
        <w:t>Наредба за разделно събиране на биоотпадъците (обн. ДВ 107, 13.12.2013 г.) задължава кметовете на общини във всеки от регионите за управление на отпадъци по чл. 49, ал.</w:t>
      </w:r>
      <w:r>
        <w:rPr>
          <w:rFonts w:ascii="Calibri" w:eastAsia="Calibri" w:hAnsi="Calibri" w:cs="Calibri"/>
          <w:bCs/>
        </w:rPr>
        <w:t xml:space="preserve"> </w:t>
      </w:r>
      <w:r w:rsidRPr="005513DA">
        <w:rPr>
          <w:rFonts w:ascii="Calibri" w:eastAsia="Calibri" w:hAnsi="Calibri" w:cs="Calibri"/>
          <w:bCs/>
        </w:rPr>
        <w:t>9 от ЗУО да постигат следните регионални цели за разделно събиране и оползотворяване на битови биоотпадъци:</w:t>
      </w:r>
    </w:p>
    <w:p w:rsidR="005513DA" w:rsidRPr="005513DA" w:rsidRDefault="005513DA" w:rsidP="009C1CFD">
      <w:pPr>
        <w:widowControl w:val="0"/>
        <w:numPr>
          <w:ilvl w:val="0"/>
          <w:numId w:val="9"/>
        </w:numPr>
        <w:autoSpaceDE w:val="0"/>
        <w:autoSpaceDN w:val="0"/>
        <w:adjustRightInd w:val="0"/>
        <w:spacing w:after="0" w:line="240" w:lineRule="auto"/>
        <w:ind w:right="64"/>
        <w:jc w:val="both"/>
        <w:rPr>
          <w:rFonts w:ascii="Calibri" w:eastAsia="Calibri" w:hAnsi="Calibri" w:cs="Calibri"/>
          <w:spacing w:val="1"/>
        </w:rPr>
      </w:pPr>
      <w:r w:rsidRPr="005513DA">
        <w:rPr>
          <w:rFonts w:ascii="Calibri" w:eastAsia="Calibri" w:hAnsi="Calibri" w:cs="Calibri"/>
          <w:spacing w:val="1"/>
        </w:rPr>
        <w:t xml:space="preserve">до 31 декември 2016 г. - не по-малко от 25 на сто от количеството на битовите биоотпадъци, образувани в региона през 2014 г.; </w:t>
      </w:r>
    </w:p>
    <w:p w:rsidR="005513DA" w:rsidRPr="005513DA" w:rsidRDefault="005513DA" w:rsidP="009C1CFD">
      <w:pPr>
        <w:widowControl w:val="0"/>
        <w:numPr>
          <w:ilvl w:val="0"/>
          <w:numId w:val="9"/>
        </w:numPr>
        <w:autoSpaceDE w:val="0"/>
        <w:autoSpaceDN w:val="0"/>
        <w:adjustRightInd w:val="0"/>
        <w:spacing w:after="0" w:line="240" w:lineRule="auto"/>
        <w:ind w:right="64"/>
        <w:jc w:val="both"/>
        <w:rPr>
          <w:rFonts w:ascii="Calibri" w:eastAsia="Calibri" w:hAnsi="Calibri" w:cs="Calibri"/>
          <w:spacing w:val="1"/>
        </w:rPr>
      </w:pPr>
      <w:r w:rsidRPr="005513DA">
        <w:rPr>
          <w:rFonts w:ascii="Calibri" w:eastAsia="Calibri" w:hAnsi="Calibri" w:cs="Calibri"/>
          <w:spacing w:val="1"/>
        </w:rPr>
        <w:t>до 31 декември 2020 г. - не по-малко от 50 на сто от количеството на битовите биоотпадъци, образувани в региона през 2014 г.;</w:t>
      </w:r>
    </w:p>
    <w:p w:rsidR="005513DA" w:rsidRPr="005513DA" w:rsidRDefault="005513DA" w:rsidP="009C1CFD">
      <w:pPr>
        <w:widowControl w:val="0"/>
        <w:numPr>
          <w:ilvl w:val="0"/>
          <w:numId w:val="9"/>
        </w:numPr>
        <w:autoSpaceDE w:val="0"/>
        <w:autoSpaceDN w:val="0"/>
        <w:adjustRightInd w:val="0"/>
        <w:spacing w:after="0" w:line="240" w:lineRule="auto"/>
        <w:ind w:right="64"/>
        <w:jc w:val="both"/>
        <w:rPr>
          <w:rFonts w:ascii="Calibri" w:eastAsia="Calibri" w:hAnsi="Calibri" w:cs="Calibri"/>
          <w:spacing w:val="1"/>
        </w:rPr>
      </w:pPr>
      <w:r w:rsidRPr="005513DA">
        <w:rPr>
          <w:rFonts w:ascii="Calibri" w:eastAsia="Calibri" w:hAnsi="Calibri" w:cs="Calibri"/>
          <w:spacing w:val="1"/>
        </w:rPr>
        <w:t>до 31 декември 2025 г. - не по-малко от 70 на сто от количеството на битовите биоотпадъци, образувани в региона през 2014 г.</w:t>
      </w:r>
    </w:p>
    <w:p w:rsidR="00F2533C" w:rsidRPr="00F2533C" w:rsidRDefault="00F2533C" w:rsidP="00F2533C">
      <w:pPr>
        <w:widowControl w:val="0"/>
        <w:autoSpaceDE w:val="0"/>
        <w:autoSpaceDN w:val="0"/>
        <w:adjustRightInd w:val="0"/>
        <w:spacing w:before="240" w:after="0" w:line="240" w:lineRule="auto"/>
        <w:ind w:right="64"/>
        <w:jc w:val="both"/>
        <w:rPr>
          <w:rFonts w:ascii="Calibri" w:eastAsia="Calibri" w:hAnsi="Calibri" w:cs="Calibri"/>
        </w:rPr>
      </w:pPr>
      <w:r w:rsidRPr="00F2533C">
        <w:rPr>
          <w:rFonts w:ascii="Calibri" w:eastAsia="Calibri" w:hAnsi="Calibri" w:cs="Calibri"/>
        </w:rPr>
        <w:t xml:space="preserve">Местните власти традиционно са натоварени да осъществяват дейностите и да осигуряват услугите, свързани със събиране, извозване и третиране на битовите отпадъци. Кметът на общината организира управлението на битовите и строителните отпадъци, образувани на територията на общината. Задължението на кметовете на общините във връзка с управлението на тези отпадъци обхваща редица конкретни, практически дейности, като например: осигуряване на инсталации и съоръжения за третиране на битовите отпадъци, осигуряване на съдове за битови отпадъци; осигуряване на разделно събиране на отпадъци от пластмаси, стъкло, хартия и </w:t>
      </w:r>
      <w:r w:rsidR="003929C5" w:rsidRPr="00F2533C">
        <w:rPr>
          <w:rFonts w:ascii="Calibri" w:eastAsia="Calibri" w:hAnsi="Calibri" w:cs="Calibri"/>
        </w:rPr>
        <w:t>картон, /но</w:t>
      </w:r>
      <w:r w:rsidRPr="00F2533C">
        <w:rPr>
          <w:rFonts w:ascii="Calibri" w:eastAsia="Calibri" w:hAnsi="Calibri" w:cs="Calibri"/>
        </w:rPr>
        <w:t xml:space="preserve"> извън отпадъците от опаковки/ на територията на съответната община и на битовите био-отпадъци; осигуряване на площадки за безвъзмездно предаване на събрани от домакинствата отпадъци, в това число едрогабаритни и опасни отпадъци; почистването на уличните платна, площадите, алеите, парковите и другите територии от населените места, предназначени за обществено ползване; предотвратяването на изхвърлянето на отпадъци на неразрешени за това места и/или създаването на незаконни сметища и организиране на почистването им, ако такива се допуснат.</w:t>
      </w:r>
    </w:p>
    <w:p w:rsidR="00F2533C" w:rsidRPr="00F2533C" w:rsidRDefault="00F2533C" w:rsidP="00F2533C">
      <w:pPr>
        <w:widowControl w:val="0"/>
        <w:autoSpaceDE w:val="0"/>
        <w:autoSpaceDN w:val="0"/>
        <w:adjustRightInd w:val="0"/>
        <w:spacing w:before="240" w:after="0" w:line="240" w:lineRule="auto"/>
        <w:ind w:right="64"/>
        <w:jc w:val="both"/>
        <w:rPr>
          <w:rFonts w:ascii="Calibri" w:eastAsia="Calibri" w:hAnsi="Calibri" w:cs="Calibri"/>
        </w:rPr>
      </w:pPr>
      <w:r w:rsidRPr="00F2533C">
        <w:rPr>
          <w:rFonts w:ascii="Calibri" w:eastAsia="Calibri" w:hAnsi="Calibri" w:cs="Calibri"/>
        </w:rPr>
        <w:t>По отношение на изградената инфраструктура за управление на отпадъците, настоящото състояние е следното</w:t>
      </w:r>
      <w:r w:rsidRPr="00F2533C">
        <w:rPr>
          <w:rFonts w:ascii="Calibri" w:eastAsia="Calibri" w:hAnsi="Calibri" w:cs="Calibri"/>
          <w:vertAlign w:val="superscript"/>
        </w:rPr>
        <w:footnoteReference w:id="18"/>
      </w:r>
      <w:r w:rsidRPr="00F2533C">
        <w:rPr>
          <w:rFonts w:ascii="Calibri" w:eastAsia="Calibri" w:hAnsi="Calibri" w:cs="Calibri"/>
        </w:rPr>
        <w:t>:</w:t>
      </w:r>
    </w:p>
    <w:p w:rsidR="00F2533C" w:rsidRPr="00F2533C" w:rsidRDefault="00F2533C" w:rsidP="009C1CFD">
      <w:pPr>
        <w:widowControl w:val="0"/>
        <w:numPr>
          <w:ilvl w:val="3"/>
          <w:numId w:val="4"/>
        </w:numPr>
        <w:autoSpaceDE w:val="0"/>
        <w:autoSpaceDN w:val="0"/>
        <w:adjustRightInd w:val="0"/>
        <w:spacing w:before="120" w:after="120" w:line="240" w:lineRule="auto"/>
        <w:ind w:left="426" w:right="62" w:hanging="357"/>
        <w:jc w:val="both"/>
        <w:rPr>
          <w:rFonts w:ascii="Calibri" w:eastAsia="Calibri" w:hAnsi="Calibri" w:cs="Calibri"/>
          <w:spacing w:val="1"/>
        </w:rPr>
      </w:pPr>
      <w:r w:rsidRPr="00F2533C">
        <w:rPr>
          <w:rFonts w:ascii="Calibri" w:eastAsia="Calibri" w:hAnsi="Calibri" w:cs="Calibri"/>
          <w:spacing w:val="1"/>
        </w:rPr>
        <w:t>Общините в България използват голям набор от различни съдове (по вид, материал, обем) за събиране на смесени битови отпадъци, като голяма част от тях са добре обезпечени със съдове;</w:t>
      </w:r>
    </w:p>
    <w:p w:rsidR="00F2533C" w:rsidRPr="00487B66" w:rsidRDefault="00F2533C" w:rsidP="009C1CFD">
      <w:pPr>
        <w:widowControl w:val="0"/>
        <w:numPr>
          <w:ilvl w:val="3"/>
          <w:numId w:val="4"/>
        </w:numPr>
        <w:autoSpaceDE w:val="0"/>
        <w:autoSpaceDN w:val="0"/>
        <w:adjustRightInd w:val="0"/>
        <w:spacing w:before="120" w:after="120" w:line="240" w:lineRule="auto"/>
        <w:ind w:left="426" w:right="62" w:hanging="357"/>
        <w:jc w:val="both"/>
        <w:rPr>
          <w:rFonts w:ascii="Calibri" w:eastAsia="Calibri" w:hAnsi="Calibri" w:cs="Calibri"/>
          <w:spacing w:val="1"/>
        </w:rPr>
      </w:pPr>
      <w:r w:rsidRPr="00F2533C">
        <w:rPr>
          <w:rFonts w:ascii="Calibri" w:eastAsia="Calibri" w:hAnsi="Calibri" w:cs="Calibri"/>
          <w:spacing w:val="1"/>
        </w:rPr>
        <w:t>Съдовете за разделно събиране на отпадъци почти изцяло са собственост на организациите по оползотворяване и към момента липсва информация за техния брой и обем;</w:t>
      </w:r>
    </w:p>
    <w:p w:rsidR="00F2533C" w:rsidRPr="00F2533C" w:rsidRDefault="00F2533C" w:rsidP="009C1CFD">
      <w:pPr>
        <w:widowControl w:val="0"/>
        <w:numPr>
          <w:ilvl w:val="3"/>
          <w:numId w:val="4"/>
        </w:numPr>
        <w:autoSpaceDE w:val="0"/>
        <w:autoSpaceDN w:val="0"/>
        <w:adjustRightInd w:val="0"/>
        <w:spacing w:before="120" w:after="120" w:line="240" w:lineRule="auto"/>
        <w:ind w:left="426" w:right="62" w:hanging="357"/>
        <w:jc w:val="both"/>
        <w:rPr>
          <w:rFonts w:ascii="Calibri" w:eastAsia="Calibri" w:hAnsi="Calibri" w:cs="Calibri"/>
          <w:spacing w:val="1"/>
        </w:rPr>
      </w:pPr>
      <w:r w:rsidRPr="00F2533C">
        <w:rPr>
          <w:rFonts w:ascii="Calibri" w:eastAsia="Calibri" w:hAnsi="Calibri" w:cs="Calibri"/>
          <w:spacing w:val="1"/>
        </w:rPr>
        <w:lastRenderedPageBreak/>
        <w:t>В 220 общини се използват 1035 транспортни средства за транспортиране на битови отпадъци. Около 90% от тях са специализирани сметосъбиращи автомобили (вариопреси, ротопреси, мултилифтове, контейнеровози и др.), а останалите са помощни транспортни средства (автоматични метачки, челни товарачи, трактори с ремаркета, шасита, цистерни и др.).</w:t>
      </w:r>
    </w:p>
    <w:p w:rsidR="00F2533C" w:rsidRPr="00F2533C" w:rsidRDefault="00F2533C" w:rsidP="009C1CFD">
      <w:pPr>
        <w:widowControl w:val="0"/>
        <w:numPr>
          <w:ilvl w:val="3"/>
          <w:numId w:val="4"/>
        </w:numPr>
        <w:autoSpaceDE w:val="0"/>
        <w:autoSpaceDN w:val="0"/>
        <w:adjustRightInd w:val="0"/>
        <w:spacing w:before="120" w:after="120" w:line="240" w:lineRule="auto"/>
        <w:ind w:left="426" w:right="62" w:hanging="357"/>
        <w:jc w:val="both"/>
        <w:rPr>
          <w:rFonts w:ascii="Calibri" w:eastAsia="Calibri" w:hAnsi="Calibri" w:cs="Calibri"/>
          <w:spacing w:val="1"/>
        </w:rPr>
      </w:pPr>
      <w:r w:rsidRPr="00F2533C">
        <w:rPr>
          <w:rFonts w:ascii="Calibri" w:eastAsia="Calibri" w:hAnsi="Calibri" w:cs="Calibri"/>
          <w:spacing w:val="1"/>
        </w:rPr>
        <w:t>Към момента в страната функционира само една претоварна станция за битови отпадъци в Китен, която обслужва и общините Приморско и Царево. Освен нея, по ОПОС 2007-2013 г. са предвидени за изграждане още претоварни станции като част от съответните регионални системи.</w:t>
      </w:r>
    </w:p>
    <w:p w:rsidR="00F2533C" w:rsidRPr="00F2533C" w:rsidRDefault="00F2533C" w:rsidP="009C1CFD">
      <w:pPr>
        <w:widowControl w:val="0"/>
        <w:numPr>
          <w:ilvl w:val="3"/>
          <w:numId w:val="4"/>
        </w:numPr>
        <w:autoSpaceDE w:val="0"/>
        <w:autoSpaceDN w:val="0"/>
        <w:adjustRightInd w:val="0"/>
        <w:spacing w:before="120" w:after="120" w:line="240" w:lineRule="auto"/>
        <w:ind w:left="426" w:right="62" w:hanging="357"/>
        <w:jc w:val="both"/>
        <w:rPr>
          <w:rFonts w:ascii="Calibri" w:eastAsia="Calibri" w:hAnsi="Calibri" w:cs="Calibri"/>
          <w:spacing w:val="1"/>
        </w:rPr>
      </w:pPr>
      <w:r w:rsidRPr="00F2533C">
        <w:rPr>
          <w:rFonts w:ascii="Calibri" w:eastAsia="Calibri" w:hAnsi="Calibri" w:cs="Calibri"/>
          <w:spacing w:val="1"/>
        </w:rPr>
        <w:t xml:space="preserve">Към момента от 55 Регионални системи за управление на отпадъците (РСУО) в 32 има функциониращи и отговарящи на изискванията съоръжения и инсталации </w:t>
      </w:r>
      <w:r w:rsidR="002367B1">
        <w:rPr>
          <w:rFonts w:ascii="Calibri" w:eastAsia="Calibri" w:hAnsi="Calibri" w:cs="Calibri"/>
          <w:spacing w:val="1"/>
        </w:rPr>
        <w:t>за третиране на битови отпадъци.</w:t>
      </w:r>
    </w:p>
    <w:p w:rsidR="00F2533C" w:rsidRPr="00F2533C" w:rsidRDefault="00F2533C" w:rsidP="009C1CFD">
      <w:pPr>
        <w:widowControl w:val="0"/>
        <w:numPr>
          <w:ilvl w:val="3"/>
          <w:numId w:val="4"/>
        </w:numPr>
        <w:autoSpaceDE w:val="0"/>
        <w:autoSpaceDN w:val="0"/>
        <w:adjustRightInd w:val="0"/>
        <w:spacing w:before="120" w:after="120" w:line="240" w:lineRule="auto"/>
        <w:ind w:left="426" w:right="62" w:hanging="357"/>
        <w:jc w:val="both"/>
        <w:rPr>
          <w:rFonts w:ascii="Calibri" w:eastAsia="Calibri" w:hAnsi="Calibri" w:cs="Calibri"/>
          <w:spacing w:val="1"/>
        </w:rPr>
      </w:pPr>
      <w:r w:rsidRPr="00F2533C">
        <w:rPr>
          <w:rFonts w:ascii="Calibri" w:eastAsia="Calibri" w:hAnsi="Calibri" w:cs="Calibri"/>
          <w:spacing w:val="1"/>
        </w:rPr>
        <w:t xml:space="preserve">В страната функционират съоръжения за третиране на биоразградими битови отпадъци на територията на РСУО Варна и РСУО Пловдив, а в началото на 2014 г. е въведена в пробна експлоатация и инсталацията за оползотворяване на зелени и хранителни отпадъци на територията на Столична община.  </w:t>
      </w:r>
    </w:p>
    <w:p w:rsidR="00F2533C" w:rsidRPr="00F2533C" w:rsidRDefault="00F2533C" w:rsidP="009C1CFD">
      <w:pPr>
        <w:widowControl w:val="0"/>
        <w:numPr>
          <w:ilvl w:val="3"/>
          <w:numId w:val="4"/>
        </w:numPr>
        <w:autoSpaceDE w:val="0"/>
        <w:autoSpaceDN w:val="0"/>
        <w:adjustRightInd w:val="0"/>
        <w:spacing w:before="120" w:after="120" w:line="240" w:lineRule="auto"/>
        <w:ind w:left="426" w:right="62" w:hanging="357"/>
        <w:jc w:val="both"/>
        <w:rPr>
          <w:rFonts w:ascii="Calibri" w:eastAsia="Calibri" w:hAnsi="Calibri" w:cs="Calibri"/>
          <w:spacing w:val="1"/>
        </w:rPr>
      </w:pPr>
      <w:r w:rsidRPr="00F2533C">
        <w:rPr>
          <w:rFonts w:ascii="Calibri" w:eastAsia="Calibri" w:hAnsi="Calibri" w:cs="Calibri"/>
          <w:spacing w:val="1"/>
        </w:rPr>
        <w:t>През последните няколко години са изградени и инсталации за сепариране на полезни компоненти от потоците отпадъци. На територията на някои от РСУО функционират сортиращи инсталации за отделяне на рециклируеми отпадъци – хартия и картон, пластмаса, стъкло и метал.</w:t>
      </w:r>
    </w:p>
    <w:p w:rsidR="00F2533C" w:rsidRPr="00F2533C" w:rsidRDefault="00F2533C" w:rsidP="009C1CFD">
      <w:pPr>
        <w:widowControl w:val="0"/>
        <w:numPr>
          <w:ilvl w:val="3"/>
          <w:numId w:val="4"/>
        </w:numPr>
        <w:autoSpaceDE w:val="0"/>
        <w:autoSpaceDN w:val="0"/>
        <w:adjustRightInd w:val="0"/>
        <w:spacing w:before="120" w:after="120" w:line="240" w:lineRule="auto"/>
        <w:ind w:left="426" w:right="62" w:hanging="357"/>
        <w:jc w:val="both"/>
        <w:rPr>
          <w:rFonts w:ascii="Calibri" w:eastAsia="Calibri" w:hAnsi="Calibri" w:cs="Calibri"/>
          <w:spacing w:val="1"/>
        </w:rPr>
      </w:pPr>
      <w:r w:rsidRPr="00F2533C">
        <w:rPr>
          <w:rFonts w:ascii="Calibri" w:eastAsia="Calibri" w:hAnsi="Calibri" w:cs="Calibri"/>
          <w:spacing w:val="1"/>
        </w:rPr>
        <w:t>В 32 РСУО функционират регионални депа за битови отпадъци, които отговарят на националните и европейските изисквания за депа за отпадъци.</w:t>
      </w:r>
    </w:p>
    <w:p w:rsidR="00487B66" w:rsidRPr="001F1A5A" w:rsidRDefault="00F2336B" w:rsidP="00487B66">
      <w:pPr>
        <w:spacing w:after="200" w:line="276" w:lineRule="auto"/>
        <w:jc w:val="both"/>
        <w:rPr>
          <w:rFonts w:ascii="Calibri" w:eastAsia="Calibri" w:hAnsi="Calibri" w:cs="Times New Roman"/>
        </w:rPr>
      </w:pPr>
      <w:r>
        <w:rPr>
          <w:rFonts w:ascii="Calibri" w:eastAsia="Calibri" w:hAnsi="Calibri" w:cs="Times New Roman"/>
        </w:rPr>
        <w:t>В</w:t>
      </w:r>
      <w:r w:rsidRPr="001F1A5A">
        <w:rPr>
          <w:rFonts w:ascii="Calibri" w:eastAsia="Calibri" w:hAnsi="Calibri" w:cs="Times New Roman"/>
        </w:rPr>
        <w:t xml:space="preserve"> сектора за управление на отпадъците </w:t>
      </w:r>
      <w:r>
        <w:rPr>
          <w:rFonts w:ascii="Calibri" w:eastAsia="Calibri" w:hAnsi="Calibri" w:cs="Times New Roman"/>
        </w:rPr>
        <w:t xml:space="preserve">са въведени и различни икономически инструменти и стимули. </w:t>
      </w:r>
      <w:r w:rsidR="00487B66" w:rsidRPr="001F1A5A">
        <w:rPr>
          <w:rFonts w:ascii="Calibri" w:eastAsia="Calibri" w:hAnsi="Calibri" w:cs="Times New Roman"/>
        </w:rPr>
        <w:t>Икономическите инструменти са механизми, въведени от държавата, които правят по-изгодно за населението и бизнеса да рециклират и оползотворяват отпадъците, вместо да ги депонират</w:t>
      </w:r>
      <w:r w:rsidR="00487B66" w:rsidRPr="001F1A5A">
        <w:rPr>
          <w:rFonts w:ascii="Calibri" w:eastAsia="Calibri" w:hAnsi="Calibri" w:cs="Times New Roman"/>
          <w:vertAlign w:val="superscript"/>
        </w:rPr>
        <w:footnoteReference w:id="19"/>
      </w:r>
      <w:r w:rsidR="00487B66" w:rsidRPr="001F1A5A">
        <w:rPr>
          <w:rFonts w:ascii="Calibri" w:eastAsia="Calibri" w:hAnsi="Calibri" w:cs="Times New Roman"/>
        </w:rPr>
        <w:t>. Към днешна дата в България съществуват следните икономически инструменти и стимули:</w:t>
      </w:r>
    </w:p>
    <w:p w:rsidR="00487B66" w:rsidRDefault="00487B66" w:rsidP="00DF6FCF">
      <w:pPr>
        <w:numPr>
          <w:ilvl w:val="0"/>
          <w:numId w:val="19"/>
        </w:numPr>
        <w:spacing w:after="200" w:line="276" w:lineRule="auto"/>
        <w:jc w:val="both"/>
        <w:rPr>
          <w:rFonts w:ascii="Calibri" w:eastAsia="Calibri" w:hAnsi="Calibri" w:cs="Times New Roman"/>
          <w:b/>
          <w:color w:val="4F81BD"/>
        </w:rPr>
      </w:pPr>
      <w:r w:rsidRPr="001F1A5A">
        <w:rPr>
          <w:rFonts w:ascii="Calibri" w:eastAsia="Calibri" w:hAnsi="Calibri" w:cs="Times New Roman"/>
          <w:b/>
          <w:color w:val="4F81BD"/>
        </w:rPr>
        <w:t>Такси за депониране и третиране</w:t>
      </w:r>
    </w:p>
    <w:p w:rsidR="00487B66" w:rsidRPr="001F1A5A" w:rsidRDefault="00487B66" w:rsidP="009C1CFD">
      <w:pPr>
        <w:numPr>
          <w:ilvl w:val="1"/>
          <w:numId w:val="11"/>
        </w:numPr>
        <w:spacing w:after="200" w:line="276" w:lineRule="auto"/>
        <w:jc w:val="both"/>
        <w:rPr>
          <w:rFonts w:ascii="Calibri" w:eastAsia="Calibri" w:hAnsi="Calibri" w:cs="Times New Roman"/>
        </w:rPr>
      </w:pPr>
      <w:r w:rsidRPr="00487B66">
        <w:rPr>
          <w:rFonts w:ascii="Calibri" w:eastAsia="Calibri" w:hAnsi="Calibri" w:cs="Times New Roman"/>
          <w:b/>
          <w:i/>
        </w:rPr>
        <w:t>Обезпечения за покриване на последващи разходи за затваряне на депата и отчисления за депониране на отпадъци</w:t>
      </w:r>
      <w:r w:rsidRPr="001F1A5A">
        <w:rPr>
          <w:rFonts w:ascii="Calibri" w:eastAsia="Calibri" w:hAnsi="Calibri" w:cs="Times New Roman"/>
        </w:rPr>
        <w:t>, които включват:</w:t>
      </w:r>
    </w:p>
    <w:p w:rsidR="00487B66" w:rsidRPr="001F1A5A" w:rsidRDefault="00487B66" w:rsidP="00487B66">
      <w:pPr>
        <w:spacing w:after="120" w:line="240" w:lineRule="auto"/>
        <w:ind w:left="1418"/>
        <w:jc w:val="both"/>
        <w:rPr>
          <w:rFonts w:ascii="Calibri" w:eastAsia="Calibri" w:hAnsi="Calibri" w:cs="Times New Roman"/>
        </w:rPr>
      </w:pPr>
      <w:r w:rsidRPr="001F1A5A">
        <w:rPr>
          <w:rFonts w:ascii="Calibri" w:eastAsia="Calibri" w:hAnsi="Calibri" w:cs="Times New Roman"/>
          <w:i/>
        </w:rPr>
        <w:t>Обезпечения по чл. 60 от ЗУО</w:t>
      </w:r>
      <w:r w:rsidRPr="001F1A5A">
        <w:rPr>
          <w:rFonts w:ascii="Calibri" w:eastAsia="Calibri" w:hAnsi="Calibri" w:cs="Times New Roman"/>
        </w:rPr>
        <w:t xml:space="preserve"> - за всеки тон депониран отпадък. Целта на обезпеченията е в периода на експлоатация на съответното депо да се акумулира финансов ресурс, който собственикът на депото да използва за неговото закриване и рекултивация, след изчерпване на капацитета му. Обезпеченията могат да бъдат под формата на: 1) месечни отчисления в банкова сметка за чужди средства на РИОСВ; 2) месечни отчисления със специално предназначение, блокирани за периода до приключване и приемане на мерките по закриване и следексплоатационни грижи на площадката на депото, с изключение на случаите, когато е разрешено тяхното ползване от директора на РИОСВ; или 3) банкова </w:t>
      </w:r>
      <w:r w:rsidRPr="001F1A5A">
        <w:rPr>
          <w:rFonts w:ascii="Calibri" w:eastAsia="Calibri" w:hAnsi="Calibri" w:cs="Times New Roman"/>
        </w:rPr>
        <w:lastRenderedPageBreak/>
        <w:t>гаранция в полза на съответната РИОСВ на територията, на която се намира депото.</w:t>
      </w:r>
    </w:p>
    <w:p w:rsidR="00487B66" w:rsidRDefault="00487B66" w:rsidP="00487B66">
      <w:pPr>
        <w:spacing w:after="120" w:line="240" w:lineRule="auto"/>
        <w:ind w:left="1418"/>
        <w:jc w:val="both"/>
        <w:rPr>
          <w:rFonts w:ascii="Calibri" w:eastAsia="Calibri" w:hAnsi="Calibri" w:cs="Times New Roman"/>
          <w:lang w:val="en-US"/>
        </w:rPr>
      </w:pPr>
      <w:r w:rsidRPr="001F1A5A">
        <w:rPr>
          <w:rFonts w:ascii="Calibri" w:eastAsia="Calibri" w:hAnsi="Calibri" w:cs="Times New Roman"/>
          <w:i/>
        </w:rPr>
        <w:t xml:space="preserve">Отчисления по чл. 64 от ЗУО (екотакса за депониране) - </w:t>
      </w:r>
      <w:r w:rsidRPr="001F1A5A">
        <w:rPr>
          <w:rFonts w:ascii="Calibri" w:eastAsia="Calibri" w:hAnsi="Calibri" w:cs="Times New Roman"/>
        </w:rPr>
        <w:t>тези отчисления се правят за всеки тон депонирани отпадъци с цел натрупване на средства както за изграждане на нови съоръжения за третиране на битови и строителни отпадъци, осигуряващи изпълнение от общините на нормативните изисквания, така и за извършването на последващи експлоатационни разходи, свързани с изградените съоръжения и инсталации за рециклиране и оползотворяване на битови отпадъци.</w:t>
      </w:r>
    </w:p>
    <w:p w:rsidR="00487B66" w:rsidRPr="00487B66" w:rsidRDefault="00487B66" w:rsidP="00487B66">
      <w:pPr>
        <w:spacing w:after="0" w:line="240" w:lineRule="auto"/>
        <w:ind w:left="1418"/>
        <w:jc w:val="both"/>
        <w:rPr>
          <w:rFonts w:ascii="Calibri" w:eastAsia="Calibri" w:hAnsi="Calibri" w:cs="Times New Roman"/>
          <w:i/>
          <w:lang w:val="en-US"/>
        </w:rPr>
      </w:pPr>
    </w:p>
    <w:p w:rsidR="00487B66" w:rsidRPr="00487B66" w:rsidRDefault="00487B66" w:rsidP="009C1CFD">
      <w:pPr>
        <w:numPr>
          <w:ilvl w:val="1"/>
          <w:numId w:val="11"/>
        </w:numPr>
        <w:spacing w:after="200" w:line="276" w:lineRule="auto"/>
        <w:jc w:val="both"/>
        <w:rPr>
          <w:rFonts w:ascii="Calibri" w:eastAsia="Calibri" w:hAnsi="Calibri" w:cs="Times New Roman"/>
          <w:b/>
          <w:i/>
        </w:rPr>
      </w:pPr>
      <w:r w:rsidRPr="00487B66">
        <w:rPr>
          <w:rFonts w:ascii="Calibri" w:eastAsia="Calibri" w:hAnsi="Calibri" w:cs="Times New Roman"/>
          <w:b/>
          <w:i/>
        </w:rPr>
        <w:t>Такса битови отпадъци и разходи за управление на битовите отпадъци на общините</w:t>
      </w:r>
    </w:p>
    <w:p w:rsidR="00487B66" w:rsidRPr="001F1A5A" w:rsidRDefault="00487B66" w:rsidP="00487B66">
      <w:pPr>
        <w:widowControl w:val="0"/>
        <w:autoSpaceDE w:val="0"/>
        <w:autoSpaceDN w:val="0"/>
        <w:adjustRightInd w:val="0"/>
        <w:spacing w:before="240" w:after="0" w:line="240" w:lineRule="auto"/>
        <w:ind w:left="1418" w:right="64"/>
        <w:jc w:val="both"/>
        <w:rPr>
          <w:rFonts w:ascii="Calibri" w:eastAsia="Calibri" w:hAnsi="Calibri" w:cs="Calibri"/>
        </w:rPr>
      </w:pPr>
      <w:r w:rsidRPr="001F1A5A">
        <w:rPr>
          <w:rFonts w:ascii="Calibri" w:eastAsia="Calibri" w:hAnsi="Calibri" w:cs="Calibri"/>
        </w:rPr>
        <w:t xml:space="preserve">Със Закона за местните данъци и такси е въведена такса “битови отпадъци”, която се заплаща за услугите по събиране, транспортиране и обезвреждане в депа или оползотворяване в други съоръжения на битовите отпадъци, както и за поддържане на чистотата на териториите за обществено ползване в населените места. Таксата се определя в годишен размер за всяко населено място с решение на общинския съвет въз основа на одобрена план-сметка за всяка дейност, включваща необходимите разходи за осигуряване на услугите. Размерът на таксата се определя за всяка услуга поотделно. </w:t>
      </w:r>
    </w:p>
    <w:p w:rsidR="00487B66" w:rsidRPr="001F1A5A" w:rsidRDefault="00487B66" w:rsidP="00487B66">
      <w:pPr>
        <w:widowControl w:val="0"/>
        <w:autoSpaceDE w:val="0"/>
        <w:autoSpaceDN w:val="0"/>
        <w:adjustRightInd w:val="0"/>
        <w:spacing w:before="240" w:after="0" w:line="240" w:lineRule="auto"/>
        <w:ind w:left="1418" w:right="64"/>
        <w:jc w:val="both"/>
        <w:rPr>
          <w:rFonts w:ascii="Calibri" w:eastAsia="Calibri" w:hAnsi="Calibri" w:cs="Calibri"/>
        </w:rPr>
      </w:pPr>
      <w:r w:rsidRPr="001F1A5A">
        <w:rPr>
          <w:rFonts w:ascii="Calibri" w:eastAsia="Calibri" w:hAnsi="Calibri" w:cs="Calibri"/>
        </w:rPr>
        <w:t>Съгласно промените в ЗМДТ от месец ноември 2013 г. размерът на таксата се определя в левове според количеството на битовите отпадъци. Когато не може да се установи количеството на битовите отпадъци, размерът на таксата се определя в левове на ползвател или пропорционално върху основа, определена от общинския съвет, която не може да бъде данъчната оценка на недвижимите имоти</w:t>
      </w:r>
      <w:r>
        <w:rPr>
          <w:rFonts w:ascii="Calibri" w:eastAsia="Calibri" w:hAnsi="Calibri" w:cs="Calibri"/>
          <w:lang w:val="en-US"/>
        </w:rPr>
        <w:t xml:space="preserve"> </w:t>
      </w:r>
      <w:r>
        <w:rPr>
          <w:rFonts w:ascii="Calibri" w:eastAsia="Calibri" w:hAnsi="Calibri" w:cs="Calibri"/>
        </w:rPr>
        <w:t>(както е в момента)</w:t>
      </w:r>
      <w:r w:rsidRPr="001F1A5A">
        <w:rPr>
          <w:rFonts w:ascii="Calibri" w:eastAsia="Calibri" w:hAnsi="Calibri" w:cs="Calibri"/>
        </w:rPr>
        <w:t xml:space="preserve">, тяхната балансова стойност или пазарната им цена (чл. 67, ал. 2 от ЗМДТ). Това изискване ще влезе в сила от началото на 2015 г. Във връзка с новите промени Министерството на финансите </w:t>
      </w:r>
      <w:r w:rsidR="002C34ED">
        <w:rPr>
          <w:rFonts w:ascii="Calibri" w:eastAsia="Calibri" w:hAnsi="Calibri" w:cs="Calibri"/>
        </w:rPr>
        <w:t>вече е</w:t>
      </w:r>
      <w:r w:rsidRPr="001F1A5A">
        <w:rPr>
          <w:rFonts w:ascii="Calibri" w:eastAsia="Calibri" w:hAnsi="Calibri" w:cs="Calibri"/>
        </w:rPr>
        <w:t xml:space="preserve"> разработи</w:t>
      </w:r>
      <w:r w:rsidR="002C34ED">
        <w:rPr>
          <w:rFonts w:ascii="Calibri" w:eastAsia="Calibri" w:hAnsi="Calibri" w:cs="Calibri"/>
        </w:rPr>
        <w:t>ло нова</w:t>
      </w:r>
      <w:r w:rsidRPr="001F1A5A">
        <w:rPr>
          <w:rFonts w:ascii="Calibri" w:eastAsia="Calibri" w:hAnsi="Calibri" w:cs="Calibri"/>
        </w:rPr>
        <w:t xml:space="preserve"> методика за определяне на такса битови отпадъци</w:t>
      </w:r>
      <w:r w:rsidR="002C34ED">
        <w:rPr>
          <w:rFonts w:ascii="Calibri" w:eastAsia="Calibri" w:hAnsi="Calibri" w:cs="Calibri"/>
        </w:rPr>
        <w:t>, която предстои да бъде приета до края на м. октомври 2014 г</w:t>
      </w:r>
      <w:r w:rsidRPr="001F1A5A">
        <w:rPr>
          <w:rFonts w:ascii="Calibri" w:eastAsia="Calibri" w:hAnsi="Calibri" w:cs="Calibri"/>
        </w:rPr>
        <w:t>.</w:t>
      </w:r>
    </w:p>
    <w:p w:rsidR="00487B66" w:rsidRPr="001F1A5A" w:rsidRDefault="00487B66" w:rsidP="00487B66">
      <w:pPr>
        <w:widowControl w:val="0"/>
        <w:autoSpaceDE w:val="0"/>
        <w:autoSpaceDN w:val="0"/>
        <w:adjustRightInd w:val="0"/>
        <w:spacing w:before="240" w:after="0" w:line="240" w:lineRule="auto"/>
        <w:ind w:left="1418" w:right="64"/>
        <w:jc w:val="both"/>
        <w:rPr>
          <w:rFonts w:ascii="Calibri" w:eastAsia="Calibri" w:hAnsi="Calibri" w:cs="Calibri"/>
        </w:rPr>
      </w:pPr>
      <w:r w:rsidRPr="001F1A5A">
        <w:rPr>
          <w:rFonts w:ascii="Calibri" w:eastAsia="Calibri" w:hAnsi="Calibri" w:cs="Calibri"/>
        </w:rPr>
        <w:t xml:space="preserve">До м. ноември 2013 г. ЗМДТ изисква размерът на таксата да се определя според количеството на битовите отпадъци, а когато то не може да се установи, размерът на таксата да се определя върху основа, определена от общинския съвет. Тази формулировка е довела до практиката към момента в страната размерът на такса битови отпадъци да се определя на база данъчната оценка на недвижимите имоти. Много общини са предвидили в наредбите си за определяне размера на такса битови отпадъци и възможност за заплащане на контейнер при определена честота на извозване на отпадъците, но това реално се практикува в ограничен брой случаи. Поради тази причина не може да се твърди, че в България има система „плащане при изхвърляне”, тъй като потребителите на услугата свързана с управлението на битовите отпадъци не плащат на база количество на изхвърлените от тях отпадъци.  </w:t>
      </w:r>
    </w:p>
    <w:p w:rsidR="00487B66" w:rsidRDefault="00487B66" w:rsidP="00487B66">
      <w:pPr>
        <w:widowControl w:val="0"/>
        <w:autoSpaceDE w:val="0"/>
        <w:autoSpaceDN w:val="0"/>
        <w:adjustRightInd w:val="0"/>
        <w:spacing w:before="240" w:after="120" w:line="240" w:lineRule="auto"/>
        <w:ind w:left="1418" w:right="62"/>
        <w:jc w:val="both"/>
        <w:rPr>
          <w:rFonts w:ascii="Calibri" w:eastAsia="Calibri" w:hAnsi="Calibri" w:cs="Calibri"/>
        </w:rPr>
      </w:pPr>
      <w:r w:rsidRPr="001F1A5A">
        <w:rPr>
          <w:rFonts w:ascii="Calibri" w:eastAsia="Calibri" w:hAnsi="Calibri" w:cs="Calibri"/>
        </w:rPr>
        <w:t xml:space="preserve">Друга важна характеристика е поносимостта на такса битови отпадъци за </w:t>
      </w:r>
      <w:r w:rsidRPr="001F1A5A">
        <w:rPr>
          <w:rFonts w:ascii="Calibri" w:eastAsia="Calibri" w:hAnsi="Calibri" w:cs="Calibri"/>
        </w:rPr>
        <w:lastRenderedPageBreak/>
        <w:t>населението на страната. За разлика от отрасъл „ВиК”, където в Закона за регулиране на водоснабдителните и канализационни услуги се регламентира равнището на поносимост на разходите, които населението трябва да заплаща за ВиК услуги, българското законодателство не съдържа подобна регламентация по отношение на поносимост на разходите за населението, свързани с управлението на отпадъците. По правило критерий за способността за плащане (платежоспособността) е някакъв обществено приет праг на дела на разходите за такса битови отпадъци в домакинския бюджет. По отношение прага за определяне на социалната поносимост на такса битови отпадъци в ЕС се приема, че такава е налице, когато стойността на таксата не надхвърля 1% от средния годишен доход на домакинство в съответния регион.</w:t>
      </w:r>
    </w:p>
    <w:p w:rsidR="00487B66" w:rsidRDefault="00487B66" w:rsidP="00DF6FCF">
      <w:pPr>
        <w:numPr>
          <w:ilvl w:val="0"/>
          <w:numId w:val="19"/>
        </w:numPr>
        <w:spacing w:before="240" w:after="200" w:line="276" w:lineRule="auto"/>
        <w:jc w:val="both"/>
        <w:rPr>
          <w:rFonts w:ascii="Calibri" w:eastAsia="Calibri" w:hAnsi="Calibri" w:cs="Times New Roman"/>
          <w:b/>
          <w:color w:val="4F81BD"/>
        </w:rPr>
      </w:pPr>
      <w:r w:rsidRPr="001F1A5A">
        <w:rPr>
          <w:rFonts w:ascii="Calibri" w:eastAsia="Calibri" w:hAnsi="Calibri" w:cs="Times New Roman"/>
          <w:b/>
          <w:color w:val="4F81BD"/>
        </w:rPr>
        <w:t>Екологични данъци и такси</w:t>
      </w:r>
    </w:p>
    <w:p w:rsidR="00487B66" w:rsidRPr="001F1A5A" w:rsidRDefault="00487B66" w:rsidP="00487B66">
      <w:pPr>
        <w:widowControl w:val="0"/>
        <w:autoSpaceDE w:val="0"/>
        <w:autoSpaceDN w:val="0"/>
        <w:adjustRightInd w:val="0"/>
        <w:spacing w:before="240" w:after="0" w:line="240" w:lineRule="auto"/>
        <w:ind w:right="64"/>
        <w:jc w:val="both"/>
        <w:rPr>
          <w:rFonts w:ascii="Calibri" w:eastAsia="Calibri" w:hAnsi="Calibri" w:cs="Calibri"/>
        </w:rPr>
      </w:pPr>
      <w:r w:rsidRPr="001F1A5A">
        <w:rPr>
          <w:rFonts w:ascii="Calibri" w:eastAsia="Calibri" w:hAnsi="Calibri" w:cs="Calibri"/>
        </w:rPr>
        <w:t>Екотаксата за полимерни торбички е една от първите целенасочени мерки за предотвратяване на образуването на отпадъци в България и до приемането на НПУО 2014-2020г. – единствена в страната. Целта й е да се ограничи максимално употребата на пластмасови торбички за еднократна употреба. Тя се заплаща за всички размери торбички, произведени от полимери, чиято дебелина е под 25 микрона (µm) и размери по-малки от 390/490 мм. Размерът на таксата нараства в годините и през 2014г. достига 0,55 лв. за една торбичка. Размерът на таксите за следващите години трябва ад се определи от Правителството.</w:t>
      </w:r>
    </w:p>
    <w:p w:rsidR="00487B66" w:rsidRDefault="00487B66" w:rsidP="00DF6FCF">
      <w:pPr>
        <w:numPr>
          <w:ilvl w:val="0"/>
          <w:numId w:val="19"/>
        </w:numPr>
        <w:spacing w:before="240" w:after="200" w:line="276" w:lineRule="auto"/>
        <w:jc w:val="both"/>
        <w:rPr>
          <w:rFonts w:ascii="Calibri" w:eastAsia="Calibri" w:hAnsi="Calibri" w:cs="Times New Roman"/>
          <w:b/>
          <w:color w:val="4F81BD"/>
        </w:rPr>
      </w:pPr>
      <w:r w:rsidRPr="001F1A5A">
        <w:rPr>
          <w:rFonts w:ascii="Calibri" w:eastAsia="Calibri" w:hAnsi="Calibri" w:cs="Times New Roman"/>
          <w:b/>
          <w:color w:val="4F81BD"/>
        </w:rPr>
        <w:t>Схеми за отговорност на производителя</w:t>
      </w:r>
    </w:p>
    <w:p w:rsidR="00487B66" w:rsidRPr="001F1A5A" w:rsidRDefault="00487B66" w:rsidP="00487B66">
      <w:pPr>
        <w:widowControl w:val="0"/>
        <w:autoSpaceDE w:val="0"/>
        <w:autoSpaceDN w:val="0"/>
        <w:adjustRightInd w:val="0"/>
        <w:spacing w:before="240" w:after="0" w:line="240" w:lineRule="auto"/>
        <w:ind w:right="64"/>
        <w:jc w:val="both"/>
        <w:rPr>
          <w:rFonts w:ascii="Calibri" w:eastAsia="Calibri" w:hAnsi="Calibri" w:cs="Calibri"/>
        </w:rPr>
      </w:pPr>
      <w:r w:rsidRPr="001F1A5A">
        <w:rPr>
          <w:rFonts w:ascii="Calibri" w:eastAsia="Calibri" w:hAnsi="Calibri" w:cs="Calibri"/>
        </w:rPr>
        <w:t>В България са въведени и работят с много добри резултати 6 схеми за РОП. Въведената висока продуктова държавна такса върху МРО, които не са включени в схеми за РОП, имат за цел преминаване към схеми за РОП и рециклиране и друго оползотворяване на отпадъците, които се образуват след употребата на тези продукти.</w:t>
      </w:r>
    </w:p>
    <w:p w:rsidR="00487B66" w:rsidRDefault="00487B66" w:rsidP="00DF6FCF">
      <w:pPr>
        <w:numPr>
          <w:ilvl w:val="0"/>
          <w:numId w:val="19"/>
        </w:numPr>
        <w:spacing w:before="240" w:after="200" w:line="276" w:lineRule="auto"/>
        <w:jc w:val="both"/>
        <w:rPr>
          <w:rFonts w:ascii="Calibri" w:eastAsia="Calibri" w:hAnsi="Calibri" w:cs="Times New Roman"/>
          <w:b/>
          <w:color w:val="4F81BD"/>
        </w:rPr>
      </w:pPr>
      <w:r w:rsidRPr="001F1A5A">
        <w:rPr>
          <w:rFonts w:ascii="Calibri" w:eastAsia="Calibri" w:hAnsi="Calibri" w:cs="Times New Roman"/>
          <w:b/>
          <w:color w:val="4F81BD"/>
        </w:rPr>
        <w:t>Финансови гаранции и застраховки</w:t>
      </w:r>
    </w:p>
    <w:p w:rsidR="005513DA" w:rsidRPr="00107B8E" w:rsidRDefault="00487B66" w:rsidP="00107B8E">
      <w:pPr>
        <w:widowControl w:val="0"/>
        <w:autoSpaceDE w:val="0"/>
        <w:autoSpaceDN w:val="0"/>
        <w:adjustRightInd w:val="0"/>
        <w:spacing w:before="240" w:after="200" w:line="240" w:lineRule="auto"/>
        <w:ind w:right="64"/>
        <w:jc w:val="both"/>
        <w:rPr>
          <w:rFonts w:ascii="Calibri" w:eastAsia="Calibri" w:hAnsi="Calibri" w:cs="Calibri"/>
        </w:rPr>
      </w:pPr>
      <w:r w:rsidRPr="001F1A5A">
        <w:rPr>
          <w:rFonts w:ascii="Calibri" w:eastAsia="Calibri" w:hAnsi="Calibri" w:cs="Calibri"/>
        </w:rPr>
        <w:t>Те включват гаранции при трансграничен превоз на отпадъци и Банкови гаранции за получаване на разрешение за организациите по оползотворяване.</w:t>
      </w:r>
      <w:r w:rsidR="00107B8E">
        <w:rPr>
          <w:rFonts w:ascii="Calibri" w:eastAsia="Calibri" w:hAnsi="Calibri" w:cs="Calibri"/>
        </w:rPr>
        <w:t xml:space="preserve"> </w:t>
      </w:r>
      <w:r w:rsidR="005513DA" w:rsidRPr="005513DA">
        <w:rPr>
          <w:rFonts w:ascii="Calibri" w:eastAsia="Calibri" w:hAnsi="Calibri" w:cs="Calibri"/>
          <w:bCs/>
        </w:rPr>
        <w:t>Въз основа на нормативни изисквания са формулирани следните сценарии за  бъдещото развитие на политиката по управление на отпадъците:</w:t>
      </w:r>
    </w:p>
    <w:p w:rsidR="005513DA" w:rsidRPr="005513DA" w:rsidRDefault="005513DA" w:rsidP="005513DA">
      <w:pPr>
        <w:jc w:val="both"/>
        <w:rPr>
          <w:rFonts w:ascii="Calibri" w:eastAsia="Calibri" w:hAnsi="Calibri" w:cs="Calibri"/>
          <w:bCs/>
        </w:rPr>
      </w:pPr>
      <w:r w:rsidRPr="005513DA">
        <w:rPr>
          <w:rFonts w:ascii="Calibri" w:eastAsia="Calibri" w:hAnsi="Calibri" w:cs="Calibri"/>
          <w:b/>
          <w:bCs/>
        </w:rPr>
        <w:t xml:space="preserve">Сценарий 1. "Нулев сценарий". </w:t>
      </w:r>
      <w:r w:rsidRPr="005513DA">
        <w:rPr>
          <w:rFonts w:ascii="Calibri" w:eastAsia="Calibri" w:hAnsi="Calibri" w:cs="Calibri"/>
          <w:bCs/>
        </w:rPr>
        <w:t>При този сценарий се приема, че:</w:t>
      </w:r>
    </w:p>
    <w:p w:rsidR="005513DA" w:rsidRPr="005513DA" w:rsidRDefault="005513DA" w:rsidP="00107B8E">
      <w:pPr>
        <w:widowControl w:val="0"/>
        <w:numPr>
          <w:ilvl w:val="0"/>
          <w:numId w:val="9"/>
        </w:numPr>
        <w:autoSpaceDE w:val="0"/>
        <w:autoSpaceDN w:val="0"/>
        <w:adjustRightInd w:val="0"/>
        <w:spacing w:after="0" w:line="240" w:lineRule="auto"/>
        <w:ind w:left="567" w:right="64"/>
        <w:jc w:val="both"/>
        <w:rPr>
          <w:rFonts w:ascii="Calibri" w:eastAsia="Calibri" w:hAnsi="Calibri" w:cs="Calibri"/>
          <w:spacing w:val="1"/>
        </w:rPr>
      </w:pPr>
      <w:r w:rsidRPr="005513DA">
        <w:rPr>
          <w:rFonts w:ascii="Calibri" w:eastAsia="Calibri" w:hAnsi="Calibri" w:cs="Calibri"/>
          <w:spacing w:val="1"/>
        </w:rPr>
        <w:t>за 20-те регионални сдружения за управление на отпадъците (РСУО), които имат вече сключени договори по ОПОС за изграждане на инфраструктура за управление на отпадъците - ще бъдат изпълнени тези проекти, независимо до каква степен се достигат целите за оползотворяване на биоотпадъци;</w:t>
      </w:r>
    </w:p>
    <w:p w:rsidR="005513DA" w:rsidRPr="005513DA" w:rsidRDefault="005513DA" w:rsidP="00107B8E">
      <w:pPr>
        <w:widowControl w:val="0"/>
        <w:numPr>
          <w:ilvl w:val="0"/>
          <w:numId w:val="9"/>
        </w:numPr>
        <w:autoSpaceDE w:val="0"/>
        <w:autoSpaceDN w:val="0"/>
        <w:adjustRightInd w:val="0"/>
        <w:spacing w:after="0" w:line="240" w:lineRule="auto"/>
        <w:ind w:left="567" w:right="64"/>
        <w:jc w:val="both"/>
        <w:rPr>
          <w:rFonts w:ascii="Calibri" w:eastAsia="Calibri" w:hAnsi="Calibri" w:cs="Calibri"/>
          <w:spacing w:val="1"/>
        </w:rPr>
      </w:pPr>
      <w:r w:rsidRPr="005513DA">
        <w:rPr>
          <w:rFonts w:ascii="Calibri" w:eastAsia="Calibri" w:hAnsi="Calibri" w:cs="Calibri"/>
          <w:spacing w:val="1"/>
        </w:rPr>
        <w:t>за останалите РСУО без проекти по ОПОС - ще се запази текущата ситуация за управление на отпадъците без да се правят допълнителни инвестиции в изграждането на инфраструктура за управлението на отпадъците.</w:t>
      </w:r>
    </w:p>
    <w:p w:rsidR="005513DA" w:rsidRPr="005513DA" w:rsidRDefault="005513DA" w:rsidP="005513DA">
      <w:pPr>
        <w:spacing w:before="240"/>
        <w:jc w:val="both"/>
        <w:rPr>
          <w:rFonts w:ascii="Calibri" w:eastAsia="Calibri" w:hAnsi="Calibri" w:cs="Calibri"/>
          <w:bCs/>
        </w:rPr>
      </w:pPr>
      <w:r w:rsidRPr="005513DA">
        <w:rPr>
          <w:rFonts w:ascii="Calibri" w:eastAsia="Calibri" w:hAnsi="Calibri" w:cs="Calibri"/>
          <w:b/>
          <w:bCs/>
        </w:rPr>
        <w:t xml:space="preserve">Сценарий 2. "Централизирано компостиране на разделно събрани биоотпадъци". </w:t>
      </w:r>
      <w:r w:rsidRPr="005513DA">
        <w:rPr>
          <w:rFonts w:ascii="Calibri" w:eastAsia="Calibri" w:hAnsi="Calibri" w:cs="Calibri"/>
          <w:bCs/>
        </w:rPr>
        <w:t xml:space="preserve">Този сценарий се характеризира с достигане на целите за оползотворяване на биотпадъците за всяко РСУО според Член 8, ал. 1 от Наредба за разделно събиране на биоотпадъците (обн. ДВ 107, </w:t>
      </w:r>
      <w:r w:rsidRPr="005513DA">
        <w:rPr>
          <w:rFonts w:ascii="Calibri" w:eastAsia="Calibri" w:hAnsi="Calibri" w:cs="Calibri"/>
          <w:bCs/>
        </w:rPr>
        <w:lastRenderedPageBreak/>
        <w:t xml:space="preserve">13.12.2013 г.), като количествата биоотпадъци третирани чрез домашно компостиране са изключени като предотвратени отпадъци. Целта се постига чрез изграждането на една централна инсталация за компостиране/анаеробно разграждане в общината, която е център на РСУО. </w:t>
      </w:r>
    </w:p>
    <w:p w:rsidR="005513DA" w:rsidRPr="005513DA" w:rsidRDefault="005513DA" w:rsidP="005513DA">
      <w:pPr>
        <w:jc w:val="both"/>
        <w:rPr>
          <w:rFonts w:ascii="Calibri" w:eastAsia="Calibri" w:hAnsi="Calibri" w:cs="Calibri"/>
          <w:bCs/>
        </w:rPr>
      </w:pPr>
      <w:r w:rsidRPr="005513DA">
        <w:rPr>
          <w:rFonts w:ascii="Calibri" w:eastAsia="Calibri" w:hAnsi="Calibri" w:cs="Calibri"/>
          <w:b/>
          <w:bCs/>
        </w:rPr>
        <w:t>Сценарий 3. "Децентрализирано компостиране на разделно събрани биоотпадъци".</w:t>
      </w:r>
      <w:r w:rsidRPr="005513DA">
        <w:rPr>
          <w:rFonts w:ascii="Calibri" w:eastAsia="Calibri" w:hAnsi="Calibri" w:cs="Calibri"/>
          <w:bCs/>
        </w:rPr>
        <w:t xml:space="preserve"> Този сценарий както и Сценарий 2 се характеризира с достигане на целите за оползотворяване на биотпадъците за всяко РСУО според Член 8, ал. 1 от Наредба за разделно събиране на биоотпадъците (обн. ДВ 107, 13.12.2013 г.), като количествата биоотпадъци третирани чрез домашно компостиране са изключени като предотвратени отпадъци. Този сценарий се различава от Сценарий 2 по избора на инсталации за компостиране/анаеробно разграждане като тук е възприет подхода да се изграждат няколко по-малки инсталации, което при изчисленията се отразява както върху инвестициите, които са относително по–големи, така и върху оперативните разходи, които се намаляват поради намаляване на превоза на биотпадъци до компостиращите инсталации. </w:t>
      </w:r>
    </w:p>
    <w:p w:rsidR="00487B66" w:rsidRPr="001B3021" w:rsidRDefault="001B3021" w:rsidP="00F2533C">
      <w:pPr>
        <w:spacing w:after="120" w:line="240" w:lineRule="auto"/>
        <w:jc w:val="both"/>
        <w:rPr>
          <w:rFonts w:ascii="Calibri" w:eastAsia="Calibri" w:hAnsi="Calibri" w:cs="Calibri"/>
          <w:bCs/>
        </w:rPr>
      </w:pPr>
      <w:r w:rsidRPr="001B3021">
        <w:rPr>
          <w:rFonts w:ascii="Calibri" w:eastAsia="Calibri" w:hAnsi="Calibri" w:cs="Calibri"/>
          <w:bCs/>
        </w:rPr>
        <w:t xml:space="preserve">На база </w:t>
      </w:r>
      <w:r>
        <w:rPr>
          <w:rFonts w:ascii="Calibri" w:eastAsia="Calibri" w:hAnsi="Calibri" w:cs="Calibri"/>
          <w:bCs/>
        </w:rPr>
        <w:t xml:space="preserve">финансова оценка на сценариите, </w:t>
      </w:r>
      <w:r w:rsidRPr="001B3021">
        <w:rPr>
          <w:rFonts w:ascii="Calibri" w:eastAsia="Calibri" w:hAnsi="Calibri" w:cs="Calibri"/>
          <w:bCs/>
        </w:rPr>
        <w:t>Анализът на политиката и техническата инфраструктура в областта на управление на отпадъците в Република България</w:t>
      </w:r>
      <w:r>
        <w:rPr>
          <w:rFonts w:ascii="Calibri" w:eastAsia="Calibri" w:hAnsi="Calibri" w:cs="Calibri"/>
          <w:bCs/>
        </w:rPr>
        <w:t xml:space="preserve"> препоръчва </w:t>
      </w:r>
      <w:r w:rsidRPr="001B3021">
        <w:rPr>
          <w:rFonts w:ascii="Calibri" w:eastAsia="Calibri" w:hAnsi="Calibri" w:cs="Calibri"/>
          <w:bCs/>
        </w:rPr>
        <w:t>за бъдещото развитие на политиката по управление на отпадъците в следващия програмен период да бъде избран Сценарий 3</w:t>
      </w:r>
      <w:r>
        <w:rPr>
          <w:rFonts w:ascii="Calibri" w:eastAsia="Calibri" w:hAnsi="Calibri" w:cs="Calibri"/>
          <w:bCs/>
        </w:rPr>
        <w:t>.</w:t>
      </w:r>
    </w:p>
    <w:p w:rsidR="001B3021" w:rsidRDefault="001B3021" w:rsidP="00F2533C">
      <w:pPr>
        <w:spacing w:after="120" w:line="240" w:lineRule="auto"/>
        <w:jc w:val="both"/>
        <w:rPr>
          <w:rFonts w:ascii="Times New Roman" w:eastAsia="Calibri" w:hAnsi="Times New Roman" w:cs="Times New Roman"/>
          <w:sz w:val="24"/>
          <w:szCs w:val="24"/>
        </w:rPr>
      </w:pPr>
    </w:p>
    <w:p w:rsidR="00F2533C" w:rsidRPr="00D366B8" w:rsidRDefault="00D366B8" w:rsidP="00D366B8">
      <w:pPr>
        <w:pStyle w:val="Heading3"/>
        <w:spacing w:before="120" w:after="120"/>
        <w:rPr>
          <w:rFonts w:asciiTheme="minorHAnsi" w:eastAsia="Calibri" w:hAnsiTheme="minorHAnsi"/>
        </w:rPr>
      </w:pPr>
      <w:bookmarkStart w:id="36" w:name="_Toc399494516"/>
      <w:r>
        <w:rPr>
          <w:rFonts w:asciiTheme="minorHAnsi" w:eastAsia="Calibri" w:hAnsiTheme="minorHAnsi"/>
        </w:rPr>
        <w:t xml:space="preserve">1.2.2. </w:t>
      </w:r>
      <w:r w:rsidR="00F2533C" w:rsidRPr="00D366B8">
        <w:rPr>
          <w:rFonts w:asciiTheme="minorHAnsi" w:eastAsia="Calibri" w:hAnsiTheme="minorHAnsi"/>
        </w:rPr>
        <w:t>Идентифициране на съществуващите проблеми на пазара в сектор Отпадъци в България</w:t>
      </w:r>
      <w:bookmarkEnd w:id="36"/>
    </w:p>
    <w:p w:rsid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Проблемите в сектор Отпадъци могат да се отнесат към няколко категории, както следва:</w:t>
      </w:r>
    </w:p>
    <w:p w:rsidR="00487B66" w:rsidRPr="00F2533C" w:rsidRDefault="00487B66" w:rsidP="00F2533C">
      <w:pPr>
        <w:spacing w:before="120" w:after="120" w:line="240" w:lineRule="auto"/>
        <w:jc w:val="both"/>
        <w:rPr>
          <w:rFonts w:ascii="Calibri" w:eastAsia="Calibri" w:hAnsi="Calibri" w:cs="Calibri"/>
          <w:bCs/>
          <w:lang w:eastAsia="bg-BG"/>
        </w:rPr>
      </w:pPr>
      <w:bookmarkStart w:id="37" w:name="_Toc399494893"/>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13</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Проблеми в сектор Отпадъци</w:t>
      </w:r>
      <w:bookmarkEnd w:id="37"/>
    </w:p>
    <w:tbl>
      <w:tblPr>
        <w:tblStyle w:val="MediumShading1-Accent51"/>
        <w:tblW w:w="0" w:type="auto"/>
        <w:jc w:val="center"/>
        <w:tblLook w:val="04A0" w:firstRow="1" w:lastRow="0" w:firstColumn="1" w:lastColumn="0" w:noHBand="0" w:noVBand="1"/>
      </w:tblPr>
      <w:tblGrid>
        <w:gridCol w:w="2458"/>
        <w:gridCol w:w="6400"/>
      </w:tblGrid>
      <w:tr w:rsidR="00F2533C" w:rsidRPr="00F2533C" w:rsidTr="001F1A5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58" w:type="dxa"/>
          </w:tcPr>
          <w:p w:rsidR="00F2533C" w:rsidRPr="00F2533C" w:rsidRDefault="00F2533C" w:rsidP="00F2533C">
            <w:pPr>
              <w:spacing w:before="120"/>
              <w:jc w:val="center"/>
              <w:rPr>
                <w:rFonts w:ascii="Calibri" w:eastAsia="Calibri" w:hAnsi="Calibri" w:cs="Calibri"/>
                <w:lang w:eastAsia="bg-BG"/>
              </w:rPr>
            </w:pPr>
            <w:r w:rsidRPr="00F2533C">
              <w:rPr>
                <w:rFonts w:ascii="Calibri" w:eastAsia="Calibri" w:hAnsi="Calibri" w:cs="Calibri"/>
                <w:lang w:eastAsia="bg-BG"/>
              </w:rPr>
              <w:t>Категория</w:t>
            </w:r>
          </w:p>
        </w:tc>
        <w:tc>
          <w:tcPr>
            <w:tcW w:w="6400" w:type="dxa"/>
          </w:tcPr>
          <w:p w:rsidR="00F2533C" w:rsidRPr="00F2533C" w:rsidRDefault="00F2533C" w:rsidP="00F2533C">
            <w:pPr>
              <w:spacing w:before="12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lang w:eastAsia="bg-BG"/>
              </w:rPr>
            </w:pPr>
            <w:r w:rsidRPr="00F2533C">
              <w:rPr>
                <w:rFonts w:ascii="Calibri" w:eastAsia="Calibri" w:hAnsi="Calibri" w:cs="Calibri"/>
                <w:lang w:eastAsia="bg-BG"/>
              </w:rPr>
              <w:t>Проблеми</w:t>
            </w:r>
          </w:p>
        </w:tc>
      </w:tr>
      <w:tr w:rsidR="00F2533C" w:rsidRPr="00F2533C" w:rsidTr="001F1A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58" w:type="dxa"/>
          </w:tcPr>
          <w:p w:rsidR="00F2533C" w:rsidRPr="00F2533C" w:rsidRDefault="00F2533C" w:rsidP="00F2533C">
            <w:pPr>
              <w:spacing w:before="120"/>
              <w:ind w:left="-5"/>
              <w:jc w:val="both"/>
              <w:rPr>
                <w:rFonts w:ascii="Calibri" w:eastAsia="Calibri" w:hAnsi="Calibri" w:cs="Calibri"/>
                <w:lang w:eastAsia="bg-BG"/>
              </w:rPr>
            </w:pPr>
            <w:r w:rsidRPr="00F2533C">
              <w:rPr>
                <w:rFonts w:ascii="Calibri" w:eastAsia="Calibri" w:hAnsi="Calibri" w:cs="Calibri"/>
                <w:lang w:eastAsia="bg-BG"/>
              </w:rPr>
              <w:t>Институционален капацитет</w:t>
            </w:r>
          </w:p>
        </w:tc>
        <w:tc>
          <w:tcPr>
            <w:tcW w:w="6400" w:type="dxa"/>
          </w:tcPr>
          <w:p w:rsidR="00F2533C" w:rsidRPr="00F2533C" w:rsidRDefault="00F2533C" w:rsidP="009C1CFD">
            <w:pPr>
              <w:numPr>
                <w:ilvl w:val="0"/>
                <w:numId w:val="10"/>
              </w:numPr>
              <w:spacing w:before="120"/>
              <w:ind w:left="355"/>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П</w:t>
            </w:r>
            <w:r w:rsidRPr="00F2533C">
              <w:rPr>
                <w:rFonts w:ascii="Calibri" w:hAnsi="Calibri" w:cs="Calibri"/>
                <w:bCs/>
                <w:lang w:eastAsia="bg-BG"/>
              </w:rPr>
              <w:t xml:space="preserve">о-голямата част от общините </w:t>
            </w:r>
            <w:r w:rsidRPr="00F2533C">
              <w:rPr>
                <w:rFonts w:ascii="Calibri" w:eastAsia="Calibri" w:hAnsi="Calibri" w:cs="Calibri"/>
                <w:bCs/>
                <w:lang w:eastAsia="bg-BG"/>
              </w:rPr>
              <w:t>все още не са актуализирали</w:t>
            </w:r>
            <w:r w:rsidRPr="00F2533C">
              <w:rPr>
                <w:rFonts w:ascii="Calibri" w:hAnsi="Calibri" w:cs="Calibri"/>
                <w:bCs/>
                <w:lang w:eastAsia="bg-BG"/>
              </w:rPr>
              <w:t xml:space="preserve"> общинските си наредби и програми за управление на отпадъците в съответствие с изискванията на ЗУО от 2012 г.</w:t>
            </w:r>
          </w:p>
          <w:p w:rsidR="00F2533C" w:rsidRPr="00F2533C" w:rsidRDefault="00F2533C" w:rsidP="009C1CFD">
            <w:pPr>
              <w:numPr>
                <w:ilvl w:val="0"/>
                <w:numId w:val="10"/>
              </w:numPr>
              <w:spacing w:before="120"/>
              <w:ind w:left="355"/>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 xml:space="preserve">Към момента не са </w:t>
            </w:r>
            <w:r w:rsidRPr="00F2533C">
              <w:rPr>
                <w:rFonts w:ascii="Calibri" w:hAnsi="Calibri" w:cs="Calibri"/>
                <w:bCs/>
                <w:lang w:eastAsia="bg-BG"/>
              </w:rPr>
              <w:t>разработ</w:t>
            </w:r>
            <w:r w:rsidRPr="00F2533C">
              <w:rPr>
                <w:rFonts w:ascii="Calibri" w:eastAsia="Calibri" w:hAnsi="Calibri" w:cs="Calibri"/>
                <w:bCs/>
                <w:lang w:eastAsia="bg-BG"/>
              </w:rPr>
              <w:t>ени</w:t>
            </w:r>
            <w:r w:rsidRPr="00F2533C">
              <w:rPr>
                <w:rFonts w:ascii="Calibri" w:hAnsi="Calibri" w:cs="Calibri"/>
                <w:bCs/>
                <w:lang w:eastAsia="bg-BG"/>
              </w:rPr>
              <w:t xml:space="preserve"> програми за управление на битовите отпадъци на регионално ниво (ниво РСУО)</w:t>
            </w:r>
          </w:p>
          <w:p w:rsidR="00F2533C" w:rsidRPr="00F2533C" w:rsidRDefault="00F2533C" w:rsidP="009C1CFD">
            <w:pPr>
              <w:numPr>
                <w:ilvl w:val="0"/>
                <w:numId w:val="10"/>
              </w:numPr>
              <w:spacing w:before="120"/>
              <w:ind w:left="355"/>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О</w:t>
            </w:r>
            <w:r w:rsidRPr="00F2533C">
              <w:rPr>
                <w:rFonts w:ascii="Calibri" w:hAnsi="Calibri" w:cs="Calibri"/>
                <w:bCs/>
                <w:lang w:eastAsia="bg-BG"/>
              </w:rPr>
              <w:t>бщините нямат опит</w:t>
            </w:r>
            <w:r w:rsidRPr="00F2533C">
              <w:rPr>
                <w:rFonts w:ascii="Calibri" w:eastAsia="Calibri" w:hAnsi="Calibri" w:cs="Calibri"/>
                <w:bCs/>
                <w:lang w:eastAsia="bg-BG"/>
              </w:rPr>
              <w:t xml:space="preserve"> и познания за</w:t>
            </w:r>
            <w:r w:rsidRPr="00F2533C">
              <w:rPr>
                <w:rFonts w:ascii="Calibri" w:hAnsi="Calibri" w:cs="Calibri"/>
                <w:bCs/>
                <w:lang w:eastAsia="bg-BG"/>
              </w:rPr>
              <w:t xml:space="preserve"> въвеждане на мерки за предотвратяване на отпадъците</w:t>
            </w:r>
          </w:p>
          <w:p w:rsidR="00F2533C" w:rsidRPr="00F2533C" w:rsidRDefault="00F2533C" w:rsidP="009C1CFD">
            <w:pPr>
              <w:numPr>
                <w:ilvl w:val="0"/>
                <w:numId w:val="10"/>
              </w:numPr>
              <w:spacing w:before="120"/>
              <w:ind w:left="355"/>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lang w:eastAsia="bg-BG"/>
              </w:rPr>
            </w:pPr>
            <w:r w:rsidRPr="00F2533C">
              <w:rPr>
                <w:rFonts w:ascii="Calibri" w:hAnsi="Calibri" w:cs="Calibri"/>
                <w:bCs/>
                <w:lang w:eastAsia="bg-BG"/>
              </w:rPr>
              <w:t>Информационните кампании на национално и общинско ниво се провеждат ограничено и по-конкретни поводи, а не на основата на дългосрочни комуникационни национална и общински стратегии по предотвратяване, разделно събиране на отпадъците и ефективно използване на ресурсите</w:t>
            </w:r>
          </w:p>
          <w:p w:rsidR="00F2533C" w:rsidRPr="00F2533C" w:rsidRDefault="00F2533C" w:rsidP="009C1CFD">
            <w:pPr>
              <w:numPr>
                <w:ilvl w:val="0"/>
                <w:numId w:val="10"/>
              </w:numPr>
              <w:spacing w:before="120"/>
              <w:ind w:left="355"/>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Налице са големи</w:t>
            </w:r>
            <w:r w:rsidRPr="00F2533C">
              <w:rPr>
                <w:rFonts w:ascii="Calibri" w:hAnsi="Calibri" w:cs="Calibri"/>
                <w:bCs/>
                <w:lang w:eastAsia="bg-BG"/>
              </w:rPr>
              <w:t xml:space="preserve"> предизвикателства пред местните власти  относно целите за рециклиране на битовите отпадъци и за оползотворяване на биоразградимите отпадъци</w:t>
            </w:r>
          </w:p>
          <w:p w:rsidR="00F2533C" w:rsidRPr="00F2533C" w:rsidRDefault="00F2533C" w:rsidP="009C1CFD">
            <w:pPr>
              <w:numPr>
                <w:ilvl w:val="0"/>
                <w:numId w:val="10"/>
              </w:numPr>
              <w:spacing w:before="120"/>
              <w:ind w:left="355"/>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lastRenderedPageBreak/>
              <w:t>Съществува необходимост</w:t>
            </w:r>
            <w:r w:rsidRPr="00F2533C">
              <w:rPr>
                <w:rFonts w:ascii="Calibri" w:hAnsi="Calibri" w:cs="Calibri"/>
                <w:bCs/>
                <w:lang w:eastAsia="bg-BG"/>
              </w:rPr>
              <w:t xml:space="preserve"> от обучителни програми за подобряване на общинския капацитет по управление на отпадъците от голяма част от общините</w:t>
            </w:r>
          </w:p>
        </w:tc>
      </w:tr>
      <w:tr w:rsidR="00F2533C" w:rsidRPr="00F2533C" w:rsidTr="001F1A5A">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58" w:type="dxa"/>
          </w:tcPr>
          <w:p w:rsidR="00F2533C" w:rsidRPr="00F2533C" w:rsidRDefault="00F2533C" w:rsidP="00F2533C">
            <w:pPr>
              <w:spacing w:before="120"/>
              <w:jc w:val="both"/>
              <w:rPr>
                <w:rFonts w:ascii="Calibri" w:eastAsia="Calibri" w:hAnsi="Calibri" w:cs="Calibri"/>
                <w:lang w:eastAsia="bg-BG"/>
              </w:rPr>
            </w:pPr>
            <w:r w:rsidRPr="00F2533C">
              <w:rPr>
                <w:rFonts w:ascii="Calibri" w:eastAsia="Calibri" w:hAnsi="Calibri" w:cs="Calibri"/>
                <w:lang w:eastAsia="bg-BG"/>
              </w:rPr>
              <w:lastRenderedPageBreak/>
              <w:t>Инфраструктура за управление на отпадъците</w:t>
            </w:r>
          </w:p>
        </w:tc>
        <w:tc>
          <w:tcPr>
            <w:tcW w:w="6400" w:type="dxa"/>
          </w:tcPr>
          <w:p w:rsidR="00F2533C" w:rsidRPr="00F2533C" w:rsidRDefault="00F2533C" w:rsidP="009C1CFD">
            <w:pPr>
              <w:numPr>
                <w:ilvl w:val="0"/>
                <w:numId w:val="10"/>
              </w:numPr>
              <w:spacing w:before="120"/>
              <w:ind w:left="355"/>
              <w:jc w:val="both"/>
              <w:cnfStyle w:val="000000010000" w:firstRow="0" w:lastRow="0" w:firstColumn="0" w:lastColumn="0" w:oddVBand="0" w:evenVBand="0" w:oddHBand="0" w:evenHBand="1" w:firstRowFirstColumn="0" w:firstRowLastColumn="0" w:lastRowFirstColumn="0" w:lastRowLastColumn="0"/>
              <w:rPr>
                <w:rFonts w:eastAsia="Calibri"/>
                <w:sz w:val="24"/>
                <w:szCs w:val="24"/>
                <w:lang w:eastAsia="bg-BG"/>
              </w:rPr>
            </w:pPr>
            <w:r w:rsidRPr="00F2533C">
              <w:rPr>
                <w:rFonts w:ascii="Calibri" w:eastAsia="Calibri" w:hAnsi="Calibri" w:cs="Calibri"/>
                <w:bCs/>
                <w:lang w:eastAsia="bg-BG"/>
              </w:rPr>
              <w:t>Общините не са обезпечени със съдове за разделното събиране на биоотпадъци. Приоритетно такива съдове трябва да осигурят общините, за които през 2013 г., 2014 г. и 2015 г. ще се въведат в експлоатация изгражданите в момента съоръжения за оползотворяване на биоотпадъци.</w:t>
            </w:r>
          </w:p>
          <w:p w:rsidR="00F2533C" w:rsidRPr="00F2533C" w:rsidRDefault="00F2533C" w:rsidP="009C1CFD">
            <w:pPr>
              <w:numPr>
                <w:ilvl w:val="0"/>
                <w:numId w:val="10"/>
              </w:numPr>
              <w:spacing w:before="120"/>
              <w:ind w:left="355"/>
              <w:jc w:val="both"/>
              <w:cnfStyle w:val="000000010000" w:firstRow="0" w:lastRow="0" w:firstColumn="0" w:lastColumn="0" w:oddVBand="0" w:evenVBand="0" w:oddHBand="0" w:evenHBand="1"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 xml:space="preserve">Паркът на транспортни средства за транспортиране на битови отпадъци е остарял, като делът на новите специализирани сметосъбиращи автомобили, закупени през последните 2-10 години, е малък. Наложителна е бърза подмяна на амортизираните транспортни средства, които са в експлоатация над 20 години, представляващи около 31% от използваната техника. </w:t>
            </w:r>
          </w:p>
          <w:p w:rsidR="00F2533C" w:rsidRPr="00F2533C" w:rsidRDefault="00F2533C" w:rsidP="009C1CFD">
            <w:pPr>
              <w:numPr>
                <w:ilvl w:val="0"/>
                <w:numId w:val="10"/>
              </w:numPr>
              <w:spacing w:before="120"/>
              <w:ind w:left="355"/>
              <w:jc w:val="both"/>
              <w:cnfStyle w:val="000000010000" w:firstRow="0" w:lastRow="0" w:firstColumn="0" w:lastColumn="0" w:oddVBand="0" w:evenVBand="0" w:oddHBand="0" w:evenHBand="1"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 xml:space="preserve">Налага се подмяна на контейнеровозите (около 10% от всички превозни средства) със специализирани машини, поради преминаване от 4 м³ контейнери към по-малки по обем съдове. </w:t>
            </w:r>
          </w:p>
          <w:p w:rsidR="00F2533C" w:rsidRPr="00F2533C" w:rsidRDefault="00F2533C" w:rsidP="009C1CFD">
            <w:pPr>
              <w:numPr>
                <w:ilvl w:val="0"/>
                <w:numId w:val="10"/>
              </w:numPr>
              <w:spacing w:before="120"/>
              <w:ind w:left="355"/>
              <w:jc w:val="both"/>
              <w:cnfStyle w:val="000000010000" w:firstRow="0" w:lastRow="0" w:firstColumn="0" w:lastColumn="0" w:oddVBand="0" w:evenVBand="0" w:oddHBand="0" w:evenHBand="1"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В някои общини се налага закупуването на допълнителни специализирани машини, които да осъществяват транспортирането на дълги разстояния до регионалното депо.</w:t>
            </w:r>
          </w:p>
          <w:p w:rsidR="00F2533C" w:rsidRPr="00F2533C" w:rsidRDefault="00F2533C" w:rsidP="009C1CFD">
            <w:pPr>
              <w:numPr>
                <w:ilvl w:val="0"/>
                <w:numId w:val="10"/>
              </w:numPr>
              <w:spacing w:before="120"/>
              <w:ind w:left="355"/>
              <w:jc w:val="both"/>
              <w:cnfStyle w:val="000000010000" w:firstRow="0" w:lastRow="0" w:firstColumn="0" w:lastColumn="0" w:oddVBand="0" w:evenVBand="0" w:oddHBand="0" w:evenHBand="1"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 xml:space="preserve">Над 60% от състава на битовите отпадъци са биоразградими отпадъци, а само </w:t>
            </w:r>
            <w:r w:rsidRPr="00F2533C">
              <w:rPr>
                <w:rFonts w:ascii="Calibri" w:eastAsia="Calibri" w:hAnsi="Calibri" w:cs="Calibri"/>
                <w:bCs/>
                <w:u w:val="single"/>
                <w:lang w:eastAsia="bg-BG"/>
              </w:rPr>
              <w:t>три</w:t>
            </w:r>
            <w:r w:rsidRPr="00F2533C">
              <w:rPr>
                <w:rFonts w:ascii="Calibri" w:eastAsia="Calibri" w:hAnsi="Calibri" w:cs="Calibri"/>
                <w:bCs/>
                <w:lang w:eastAsia="bg-BG"/>
              </w:rPr>
              <w:t xml:space="preserve"> РУСО са обезпечени със съоръжения за оползотворяване на такива отпадъци.</w:t>
            </w:r>
          </w:p>
          <w:p w:rsidR="00F2533C" w:rsidRPr="00F2533C" w:rsidRDefault="00F2533C" w:rsidP="009C1CFD">
            <w:pPr>
              <w:numPr>
                <w:ilvl w:val="0"/>
                <w:numId w:val="10"/>
              </w:numPr>
              <w:spacing w:before="120"/>
              <w:ind w:left="355"/>
              <w:jc w:val="both"/>
              <w:cnfStyle w:val="000000010000" w:firstRow="0" w:lastRow="0" w:firstColumn="0" w:lastColumn="0" w:oddVBand="0" w:evenVBand="0" w:oddHBand="0" w:evenHBand="1"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 xml:space="preserve">Липса на достатъчен брой прединвестиционни проучвания на ниво РСУО за осигуряване на системи и съоръжения за сепариране и сортиране на рециклируемите отпадъци от хартия и картон, метал, пластмаса и стъкло и на битовите отпадъци, подходящи за изгаряне предвид създадените системи за разделно събиране на такива отпадъци при източниците на образуване.  </w:t>
            </w:r>
          </w:p>
          <w:p w:rsidR="00F2533C" w:rsidRPr="00F2533C" w:rsidRDefault="00F2533C" w:rsidP="009C1CFD">
            <w:pPr>
              <w:numPr>
                <w:ilvl w:val="0"/>
                <w:numId w:val="10"/>
              </w:numPr>
              <w:spacing w:before="120"/>
              <w:ind w:left="355"/>
              <w:jc w:val="both"/>
              <w:cnfStyle w:val="000000010000" w:firstRow="0" w:lastRow="0" w:firstColumn="0" w:lastColumn="0" w:oddVBand="0" w:evenVBand="0" w:oddHBand="0" w:evenHBand="1"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Недостатъчна проектна готовност за закриване и рекултивация на останалите общински депа за битови отпадъци с прекратена експлоатация или чиято експлоатация предстои да се преустанови в следващите три години.</w:t>
            </w:r>
          </w:p>
        </w:tc>
      </w:tr>
      <w:tr w:rsidR="00F2533C" w:rsidRPr="00F2533C" w:rsidTr="001F1A5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58" w:type="dxa"/>
          </w:tcPr>
          <w:p w:rsidR="00F2533C" w:rsidRPr="00F2533C" w:rsidRDefault="00F2533C" w:rsidP="00F2533C">
            <w:pPr>
              <w:spacing w:before="120"/>
              <w:jc w:val="both"/>
              <w:rPr>
                <w:rFonts w:ascii="Calibri" w:eastAsia="Calibri" w:hAnsi="Calibri" w:cs="Calibri"/>
                <w:lang w:eastAsia="bg-BG"/>
              </w:rPr>
            </w:pPr>
            <w:r w:rsidRPr="00F2533C">
              <w:rPr>
                <w:rFonts w:ascii="Calibri" w:eastAsia="Calibri" w:hAnsi="Calibri" w:cs="Calibri"/>
                <w:lang w:eastAsia="bg-BG"/>
              </w:rPr>
              <w:t>Законодателство</w:t>
            </w:r>
          </w:p>
        </w:tc>
        <w:tc>
          <w:tcPr>
            <w:tcW w:w="6400" w:type="dxa"/>
          </w:tcPr>
          <w:p w:rsidR="00F2533C" w:rsidRPr="00F2533C" w:rsidRDefault="00F2533C" w:rsidP="009C1CFD">
            <w:pPr>
              <w:numPr>
                <w:ilvl w:val="0"/>
                <w:numId w:val="10"/>
              </w:numPr>
              <w:spacing w:before="120"/>
              <w:ind w:left="355"/>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lang w:eastAsia="bg-BG"/>
              </w:rPr>
            </w:pPr>
            <w:r w:rsidRPr="00F2533C">
              <w:rPr>
                <w:rFonts w:ascii="Calibri" w:hAnsi="Calibri" w:cs="Calibri"/>
                <w:bCs/>
                <w:lang w:eastAsia="bg-BG"/>
              </w:rPr>
              <w:t>Съществуват някои недостатъци в няколко текста на Закона за устройство на територията, които трябва да бъдат отстранени, тъй като представляват, макар и формална, бариера за предприемане на инвестиционни инициативи от страна на общините и бизнеса за инсталации и съоръжения за рециклиране и оползотворяване на отпадъци.</w:t>
            </w:r>
          </w:p>
          <w:p w:rsidR="00F2533C" w:rsidRPr="00F2533C" w:rsidRDefault="00F2533C" w:rsidP="009C1CFD">
            <w:pPr>
              <w:numPr>
                <w:ilvl w:val="0"/>
                <w:numId w:val="10"/>
              </w:numPr>
              <w:spacing w:before="120"/>
              <w:ind w:left="355"/>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lastRenderedPageBreak/>
              <w:t xml:space="preserve">Все още не е приета </w:t>
            </w:r>
            <w:r w:rsidRPr="00F2533C">
              <w:rPr>
                <w:rFonts w:ascii="Calibri" w:eastAsia="Calibri" w:hAnsi="Calibri" w:cs="Calibri"/>
                <w:lang w:eastAsia="bg-BG"/>
              </w:rPr>
              <w:t>методика за определяне на такса битови отпадъци в съответствие с чл.</w:t>
            </w:r>
            <w:r w:rsidRPr="00F2533C">
              <w:rPr>
                <w:rFonts w:eastAsia="Calibri" w:cs="Calibri"/>
                <w:sz w:val="24"/>
                <w:lang w:eastAsia="bg-BG"/>
              </w:rPr>
              <w:t xml:space="preserve"> </w:t>
            </w:r>
            <w:r w:rsidRPr="00F2533C">
              <w:rPr>
                <w:rFonts w:ascii="Calibri" w:eastAsia="Calibri" w:hAnsi="Calibri" w:cs="Calibri"/>
                <w:lang w:eastAsia="bg-BG"/>
              </w:rPr>
              <w:t>67, ал.</w:t>
            </w:r>
            <w:r w:rsidRPr="00F2533C">
              <w:rPr>
                <w:rFonts w:eastAsia="Calibri" w:cs="Calibri"/>
                <w:sz w:val="24"/>
                <w:lang w:eastAsia="bg-BG"/>
              </w:rPr>
              <w:t xml:space="preserve"> </w:t>
            </w:r>
            <w:r w:rsidRPr="00F2533C">
              <w:rPr>
                <w:rFonts w:ascii="Calibri" w:eastAsia="Calibri" w:hAnsi="Calibri" w:cs="Calibri"/>
                <w:lang w:eastAsia="bg-BG"/>
              </w:rPr>
              <w:t>2 от ЗМДТ</w:t>
            </w:r>
          </w:p>
        </w:tc>
      </w:tr>
    </w:tbl>
    <w:p w:rsidR="00F2533C" w:rsidRPr="00F2533C" w:rsidRDefault="00F2533C" w:rsidP="00F2533C">
      <w:pPr>
        <w:spacing w:before="120" w:after="120" w:line="240" w:lineRule="auto"/>
        <w:jc w:val="both"/>
        <w:rPr>
          <w:rFonts w:ascii="Calibri" w:eastAsia="Calibri" w:hAnsi="Calibri" w:cs="Calibri"/>
          <w:bCs/>
          <w:lang w:eastAsia="bg-BG"/>
        </w:rPr>
      </w:pP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Преди да се премине към по-конкретното дефиниране на пазарните проблеми и причините за тях в сектора, е необходимо да се разгледат схемите за управление на отпадъците в България, за да се направи оценка дали във всички схеми за управление са налице пазарни неуспехи.</w:t>
      </w:r>
    </w:p>
    <w:p w:rsidR="00F2336B" w:rsidRDefault="00F2336B" w:rsidP="00F2533C">
      <w:pPr>
        <w:spacing w:before="120" w:after="120" w:line="240" w:lineRule="auto"/>
        <w:jc w:val="both"/>
        <w:rPr>
          <w:rFonts w:ascii="Calibri" w:eastAsia="Calibri" w:hAnsi="Calibri" w:cs="Calibri"/>
          <w:bCs/>
          <w:lang w:eastAsia="bg-BG"/>
        </w:rPr>
      </w:pP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Схемите, които се прилагат в страната са няколко, а именно</w:t>
      </w:r>
      <w:r w:rsidRPr="00F2533C">
        <w:rPr>
          <w:rFonts w:ascii="Calibri" w:eastAsia="Calibri" w:hAnsi="Calibri" w:cs="Calibri"/>
          <w:bCs/>
          <w:vertAlign w:val="superscript"/>
          <w:lang w:eastAsia="bg-BG"/>
        </w:rPr>
        <w:footnoteReference w:id="20"/>
      </w:r>
      <w:r w:rsidRPr="00F2533C">
        <w:rPr>
          <w:rFonts w:ascii="Calibri" w:eastAsia="Calibri" w:hAnsi="Calibri" w:cs="Calibri"/>
          <w:bCs/>
          <w:lang w:eastAsia="bg-BG"/>
        </w:rPr>
        <w:t>:</w:t>
      </w:r>
    </w:p>
    <w:p w:rsidR="00F2533C" w:rsidRPr="00F2533C" w:rsidRDefault="00F2533C" w:rsidP="009C1CFD">
      <w:pPr>
        <w:widowControl w:val="0"/>
        <w:numPr>
          <w:ilvl w:val="3"/>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351" w:right="64"/>
        <w:jc w:val="both"/>
        <w:rPr>
          <w:rFonts w:ascii="Calibri" w:eastAsia="Calibri" w:hAnsi="Calibri" w:cs="Calibri"/>
          <w:b/>
          <w:bCs/>
          <w:lang w:eastAsia="bg-BG"/>
        </w:rPr>
      </w:pPr>
      <w:r w:rsidRPr="00F2533C">
        <w:rPr>
          <w:rFonts w:ascii="Calibri" w:eastAsia="Calibri" w:hAnsi="Calibri" w:cs="Calibri"/>
          <w:b/>
          <w:bCs/>
          <w:lang w:eastAsia="bg-BG"/>
        </w:rPr>
        <w:t>Отговорност на причинителя и притежателя за образуваните отпадъци при производството на стоки и услуги</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Потоците отпадъци, за които се прилага тази схема в страната са: производствени отпадъци, включително производствени опасни отпадъци; болнични отпадъци; ПСБ/ПСТ; утайки от ПСОВ, отпадъци от строителството и от разрушаване на сгради (с изключение на строителните отпадъци от ремонтни дейности на домакинствата и разрушаване на сгради в малки количества по критерии, определени в ЗУО).</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При тази схема производителят на определена стока или доставчикът на дадена услуга е задълженото лице и носи отговорност за съхраняване, транспортиране и третиране на отпадъците, генерирани при производството на съответните стоки и услуги, в съответствие с нормативните изисквания.</w:t>
      </w:r>
    </w:p>
    <w:p w:rsidR="00F2533C" w:rsidRDefault="00F2533C" w:rsidP="00F2533C">
      <w:pPr>
        <w:spacing w:before="120" w:after="120" w:line="240" w:lineRule="auto"/>
        <w:jc w:val="both"/>
        <w:rPr>
          <w:rFonts w:ascii="Calibri" w:eastAsia="Calibri" w:hAnsi="Calibri" w:cs="Calibri"/>
          <w:bCs/>
          <w:i/>
          <w:lang w:eastAsia="bg-BG"/>
        </w:rPr>
      </w:pPr>
      <w:r w:rsidRPr="00F2533C">
        <w:rPr>
          <w:rFonts w:ascii="Calibri" w:eastAsia="Calibri" w:hAnsi="Calibri" w:cs="Calibri"/>
          <w:bCs/>
          <w:lang w:eastAsia="bg-BG"/>
        </w:rPr>
        <w:t xml:space="preserve">Цените на услугите, свързани със съхранение, транспортиране и третиране на отпадъци, се формират изцяло на пазарен принцип при наличната конкуренция на национално ниво, в рамките на ЕС и Световната търговска организация (СТО), </w:t>
      </w:r>
      <w:r w:rsidRPr="00F2533C">
        <w:rPr>
          <w:rFonts w:ascii="Calibri" w:eastAsia="Calibri" w:hAnsi="Calibri" w:cs="Calibri"/>
          <w:bCs/>
          <w:i/>
          <w:lang w:eastAsia="bg-BG"/>
        </w:rPr>
        <w:t>респективно при тази схема за управление на отпадъците не може да се говори за пазарни неуспехи от гледна точка на постигане на целите на ОПОС 2014-2020 г.</w:t>
      </w:r>
    </w:p>
    <w:p w:rsidR="00487B66" w:rsidRPr="00F2533C" w:rsidRDefault="00487B66" w:rsidP="00F2533C">
      <w:pPr>
        <w:spacing w:before="120" w:after="120" w:line="240" w:lineRule="auto"/>
        <w:jc w:val="both"/>
        <w:rPr>
          <w:rFonts w:ascii="Calibri" w:eastAsia="Calibri" w:hAnsi="Calibri" w:cs="Calibri"/>
          <w:bCs/>
          <w:lang w:eastAsia="bg-BG"/>
        </w:rPr>
      </w:pPr>
    </w:p>
    <w:p w:rsidR="00F2533C" w:rsidRPr="00F2533C" w:rsidRDefault="00F2533C" w:rsidP="009C1CFD">
      <w:pPr>
        <w:widowControl w:val="0"/>
        <w:numPr>
          <w:ilvl w:val="3"/>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351" w:right="64"/>
        <w:jc w:val="both"/>
        <w:rPr>
          <w:rFonts w:ascii="Calibri" w:eastAsia="Calibri" w:hAnsi="Calibri" w:cs="Calibri"/>
          <w:b/>
          <w:bCs/>
          <w:lang w:eastAsia="bg-BG"/>
        </w:rPr>
      </w:pPr>
      <w:r w:rsidRPr="00F2533C">
        <w:rPr>
          <w:rFonts w:ascii="Calibri" w:eastAsia="Calibri" w:hAnsi="Calibri" w:cs="Calibri"/>
          <w:b/>
          <w:bCs/>
          <w:lang w:eastAsia="bg-BG"/>
        </w:rPr>
        <w:t>Разширена отговорност на производителя (РОП) относно 6 групи масово</w:t>
      </w:r>
      <w:r w:rsidR="00187165">
        <w:rPr>
          <w:rFonts w:ascii="Calibri" w:eastAsia="Calibri" w:hAnsi="Calibri" w:cs="Calibri"/>
          <w:b/>
          <w:bCs/>
          <w:lang w:eastAsia="bg-BG"/>
        </w:rPr>
        <w:t xml:space="preserve"> </w:t>
      </w:r>
      <w:r w:rsidRPr="00F2533C">
        <w:rPr>
          <w:rFonts w:ascii="Calibri" w:eastAsia="Calibri" w:hAnsi="Calibri" w:cs="Calibri"/>
          <w:b/>
          <w:bCs/>
          <w:lang w:eastAsia="bg-BG"/>
        </w:rPr>
        <w:t>разпространени отпадъци (МРО)</w:t>
      </w:r>
    </w:p>
    <w:p w:rsidR="00F2533C" w:rsidRDefault="00F2533C" w:rsidP="00F2533C">
      <w:pPr>
        <w:spacing w:before="120" w:after="120" w:line="240" w:lineRule="auto"/>
        <w:jc w:val="both"/>
        <w:rPr>
          <w:rFonts w:ascii="Calibri" w:eastAsia="Calibri" w:hAnsi="Calibri" w:cs="Calibri"/>
          <w:bCs/>
          <w:vertAlign w:val="superscript"/>
          <w:lang w:eastAsia="bg-BG"/>
        </w:rPr>
      </w:pPr>
      <w:r w:rsidRPr="00F2533C">
        <w:rPr>
          <w:rFonts w:ascii="Calibri" w:eastAsia="Calibri" w:hAnsi="Calibri" w:cs="Calibri"/>
          <w:bCs/>
          <w:lang w:eastAsia="bg-BG"/>
        </w:rPr>
        <w:t>Съгласно националното законодателство в схемата поетапно са включени следните масово разпространени отпадъци</w:t>
      </w:r>
      <w:r w:rsidRPr="00F2533C">
        <w:rPr>
          <w:rFonts w:ascii="Calibri" w:eastAsia="Calibri" w:hAnsi="Calibri" w:cs="Calibri"/>
          <w:vertAlign w:val="superscript"/>
          <w:lang w:eastAsia="bg-BG"/>
        </w:rPr>
        <w:footnoteReference w:id="21"/>
      </w:r>
      <w:r w:rsidRPr="00F2533C">
        <w:rPr>
          <w:rFonts w:ascii="Calibri" w:eastAsia="Calibri" w:hAnsi="Calibri" w:cs="Calibri"/>
          <w:bCs/>
          <w:vertAlign w:val="superscript"/>
          <w:lang w:eastAsia="bg-BG"/>
        </w:rPr>
        <w:t>:</w:t>
      </w:r>
    </w:p>
    <w:p w:rsidR="007241C2" w:rsidRPr="00F2533C" w:rsidRDefault="007241C2" w:rsidP="00F2533C">
      <w:pPr>
        <w:spacing w:before="120" w:after="120" w:line="240" w:lineRule="auto"/>
        <w:jc w:val="both"/>
        <w:rPr>
          <w:rFonts w:ascii="Calibri" w:eastAsia="Calibri" w:hAnsi="Calibri" w:cs="Calibri"/>
          <w:bCs/>
          <w:lang w:eastAsia="bg-BG"/>
        </w:rPr>
      </w:pPr>
    </w:p>
    <w:p w:rsidR="00F2533C" w:rsidRPr="00F2533C" w:rsidRDefault="00F2533C" w:rsidP="00DF6FCF">
      <w:pPr>
        <w:numPr>
          <w:ilvl w:val="0"/>
          <w:numId w:val="21"/>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Отпадъци от опаковки - от 2004 г.</w:t>
      </w:r>
    </w:p>
    <w:p w:rsidR="00F2533C" w:rsidRPr="00F2533C" w:rsidRDefault="00F2533C" w:rsidP="00DF6FCF">
      <w:pPr>
        <w:numPr>
          <w:ilvl w:val="0"/>
          <w:numId w:val="21"/>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Отпадъци от ИУМПС - от 2005 г.</w:t>
      </w:r>
    </w:p>
    <w:p w:rsidR="00F2533C" w:rsidRPr="00F2533C" w:rsidRDefault="00F2533C" w:rsidP="00DF6FCF">
      <w:pPr>
        <w:numPr>
          <w:ilvl w:val="0"/>
          <w:numId w:val="21"/>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Отпадъци от ИУЕЕО - от 2006 г.</w:t>
      </w:r>
    </w:p>
    <w:p w:rsidR="00F2533C" w:rsidRPr="00F2533C" w:rsidRDefault="00F2533C" w:rsidP="00DF6FCF">
      <w:pPr>
        <w:numPr>
          <w:ilvl w:val="0"/>
          <w:numId w:val="21"/>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Отпадъчни масла и нефтопродукти - от 2006 г.</w:t>
      </w:r>
    </w:p>
    <w:p w:rsidR="00F2533C" w:rsidRPr="00F2533C" w:rsidRDefault="00F2533C" w:rsidP="00DF6FCF">
      <w:pPr>
        <w:numPr>
          <w:ilvl w:val="0"/>
          <w:numId w:val="21"/>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Отпадъци от негодни за употреба батерии и акумулатори - от 2006 г.</w:t>
      </w:r>
    </w:p>
    <w:p w:rsidR="00F2533C" w:rsidRPr="00F2533C" w:rsidRDefault="00F2533C" w:rsidP="00DF6FCF">
      <w:pPr>
        <w:numPr>
          <w:ilvl w:val="0"/>
          <w:numId w:val="21"/>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lastRenderedPageBreak/>
        <w:t>Отпадъци от гуми - от 2011 г.</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При тази схема за РОП лицата, пускащи на пазара продукти, които след тяхната употреба се превръщат в МРО, са задължените по схемата лица и носят отговорност в съответствие с изискванията на ЗУО и специфичните наредби за всеки вид МРО.</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Домакинствата и различните организации, предприятия и институции, които в резултат на употребата на продукти образуват МРО, са длъжни да спазват правилата за разделно събиране и изхвърляне на определените за това места МРО.</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 xml:space="preserve">Цените на услугите, свързани с подготовка за повторна употреба, рециклиране и оползотворяване на МРО се формират изцяло на пазарен принцип при наличната конкуренция на национално ниво, в рамките на ЕС и СТО за предоставяне на такива услуги, </w:t>
      </w:r>
      <w:r w:rsidRPr="00F2533C">
        <w:rPr>
          <w:rFonts w:ascii="Calibri" w:eastAsia="Calibri" w:hAnsi="Calibri" w:cs="Calibri"/>
          <w:bCs/>
          <w:i/>
          <w:lang w:eastAsia="bg-BG"/>
        </w:rPr>
        <w:t>респективно при тази схема за управление на отпадъците не може да се говори за пазарни неуспехи от гледна точка на постигане на целите на ОПОС 2014-2020 г.</w:t>
      </w:r>
    </w:p>
    <w:p w:rsidR="00F2533C" w:rsidRPr="00F2533C" w:rsidRDefault="00F2533C" w:rsidP="00F2533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right="64"/>
        <w:jc w:val="both"/>
        <w:rPr>
          <w:rFonts w:ascii="Calibri" w:eastAsia="Calibri" w:hAnsi="Calibri" w:cs="Calibri"/>
          <w:b/>
          <w:bCs/>
          <w:lang w:eastAsia="bg-BG"/>
        </w:rPr>
      </w:pPr>
    </w:p>
    <w:p w:rsidR="00F2533C" w:rsidRPr="00F2533C" w:rsidRDefault="00F2533C" w:rsidP="009C1CFD">
      <w:pPr>
        <w:widowControl w:val="0"/>
        <w:numPr>
          <w:ilvl w:val="3"/>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351" w:right="64"/>
        <w:jc w:val="both"/>
        <w:rPr>
          <w:rFonts w:ascii="Calibri" w:eastAsia="Calibri" w:hAnsi="Calibri" w:cs="Calibri"/>
          <w:b/>
          <w:bCs/>
          <w:lang w:eastAsia="bg-BG"/>
        </w:rPr>
      </w:pPr>
      <w:r w:rsidRPr="00F2533C">
        <w:rPr>
          <w:rFonts w:ascii="Calibri" w:eastAsia="Calibri" w:hAnsi="Calibri" w:cs="Calibri"/>
          <w:b/>
          <w:bCs/>
          <w:lang w:eastAsia="bg-BG"/>
        </w:rPr>
        <w:t>Схема за отговорност на домакинствата и на другите лица, които генерират битови отпадъци и отпадъци, подобни на битовите отпадъци</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Схемата се прилага за битовите отпадъци от домакинствата (с изключение на 6 групи масово разпространени отпадъци) и за отпадъци, подобни на битовите, които по своя характер и състав са сравними с отпадъците от домакинствата, но образувани от други източници. Подобни на битовите отпадъци се образуват най-вече от административни сгради, образователни институции, социални организации, пазари, търговски обекти, хотели и ресторанти, ателиета за услуги. Битови отпадъци се образуват и от производствени предприятия, но от жизнената дейност на служителите и работниците в тези предприятия.  В схемата попадат и строителните отпадъци от ремонтни дейности и от разрушаване на сгради, генерирани от домакинствата и други обекти в малки количества.</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При тази схема задължени лица са домакинствата и лицата, които образуват битови отпадъци и подобни на битовите отпадъци. Тези лица са отговорни за изхвърлянето, включително разделното събиране и изхвърляне на битовите отпадъци в определените за целта съдове и места и за заплащане на разходите за услугите по временно съхраняване, събиране, транспортиране и третиране на отпадъците в съответствие със Закона за местните данъци и такси, ЗУО и наредбите на общините за управление на отпадъците. Задължените в схемата лица заплащат ежегодна такса за битови отпадъци, в размер определен от общинския съвет за всяко населено място поотделно. Целта на таксата битови отпадъци е прилагане на принципа «замърсителят плаща». Тъй като общините имат затруднения в определянето на размера на таксата за домакинствата и другите задължени лица в схемата да включват точното количество изхвърляни отпадъци, принципът «замърсителят плаща» не се прилага напълно.</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 xml:space="preserve">Другите лица, които участват в схемата, са общините, регионалните сдружения на общини за управление на отпадъците (РУСО) и фирмите или общински предприятия, на които общините възлагат една или повече дейности, свързани със събиране, транспортиране и третиране на битовите отпадъци. </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Основни предизвикателства на схемата са следните:</w:t>
      </w:r>
    </w:p>
    <w:p w:rsidR="00F2533C" w:rsidRPr="00F2533C" w:rsidRDefault="00F2533C" w:rsidP="00DF6FCF">
      <w:pPr>
        <w:numPr>
          <w:ilvl w:val="0"/>
          <w:numId w:val="22"/>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 xml:space="preserve">Има изоставане по отношение на изграждането на съвременни съоръжения и инсталации за третиране на битови отпадъци, които да осигурят по-високо ниво в йерархията на управление на отпадъците, а за остатъчните отпадъци, които се депонират </w:t>
      </w:r>
      <w:r w:rsidRPr="00F2533C">
        <w:rPr>
          <w:rFonts w:ascii="Calibri" w:eastAsia="Calibri" w:hAnsi="Calibri" w:cs="Calibri"/>
          <w:bCs/>
          <w:lang w:eastAsia="bg-BG"/>
        </w:rPr>
        <w:lastRenderedPageBreak/>
        <w:t xml:space="preserve">– да се достигне 100% обезвреждане в депа, които отговарят на нормативните изисквания. </w:t>
      </w:r>
    </w:p>
    <w:p w:rsidR="00F2533C" w:rsidRPr="00F2533C" w:rsidRDefault="00F2533C" w:rsidP="00DF6FCF">
      <w:pPr>
        <w:numPr>
          <w:ilvl w:val="0"/>
          <w:numId w:val="22"/>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 xml:space="preserve">РСУО, които нямат или частично са осигурени с инсталации и съоръжения за сепариране на рециклируеми отпадъци, оползотворяване на биоразградимите отпадъци трябва да предприемат бързи действия за тяхното осигуряване. </w:t>
      </w:r>
    </w:p>
    <w:p w:rsidR="00F2533C" w:rsidRPr="00F2533C" w:rsidRDefault="00F2533C" w:rsidP="00DF6FCF">
      <w:pPr>
        <w:numPr>
          <w:ilvl w:val="0"/>
          <w:numId w:val="22"/>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Съществен недостатък е и непълното прилагане на принципа „замърсителят плаща“ поради начина на формиране на таксата „битови отпадъци“.</w:t>
      </w:r>
    </w:p>
    <w:p w:rsidR="00F2533C" w:rsidRPr="00F2533C" w:rsidRDefault="00F2533C" w:rsidP="00DF6FCF">
      <w:pPr>
        <w:numPr>
          <w:ilvl w:val="0"/>
          <w:numId w:val="22"/>
        </w:num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 xml:space="preserve">Загубата на вторични ресурси поради закриването и рекултивацията на стари общински депа без оползотворяване на поне част от отпадъците е също слаба страна на управлението на отпадъците в схемата. </w:t>
      </w:r>
    </w:p>
    <w:p w:rsidR="001833D6" w:rsidRDefault="001833D6" w:rsidP="001833D6">
      <w:pPr>
        <w:jc w:val="both"/>
        <w:rPr>
          <w:lang w:eastAsia="bg-BG"/>
        </w:rPr>
      </w:pPr>
      <w:r>
        <w:rPr>
          <w:lang w:eastAsia="bg-BG"/>
        </w:rPr>
        <w:t xml:space="preserve">Като причини за посочените предизвикателства, както и за малкия брой на </w:t>
      </w:r>
      <w:r w:rsidRPr="00CC6358">
        <w:rPr>
          <w:rFonts w:ascii="Calibri" w:eastAsia="Times New Roman" w:hAnsi="Calibri" w:cs="Arial"/>
          <w:color w:val="000000"/>
          <w:lang w:eastAsia="bg-BG"/>
        </w:rPr>
        <w:t>съоръженията за повторно третиране и оползотворяване на отпадъците</w:t>
      </w:r>
      <w:r w:rsidRPr="00AD1E8E">
        <w:rPr>
          <w:lang w:eastAsia="bg-BG"/>
        </w:rPr>
        <w:t xml:space="preserve"> </w:t>
      </w:r>
      <w:r>
        <w:rPr>
          <w:lang w:eastAsia="bg-BG"/>
        </w:rPr>
        <w:t>в страната, общините посочват няколко отговора:</w:t>
      </w:r>
    </w:p>
    <w:p w:rsidR="001833D6" w:rsidRPr="00F2533C" w:rsidRDefault="001833D6" w:rsidP="001833D6">
      <w:pPr>
        <w:spacing w:before="120" w:after="120" w:line="240" w:lineRule="auto"/>
        <w:jc w:val="both"/>
        <w:rPr>
          <w:rFonts w:ascii="Calibri" w:eastAsia="Calibri" w:hAnsi="Calibri" w:cs="Calibri"/>
          <w:bCs/>
          <w:lang w:eastAsia="bg-BG"/>
        </w:rPr>
      </w:pPr>
      <w:bookmarkStart w:id="38" w:name="_Toc399494894"/>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14</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Причини за </w:t>
      </w:r>
      <w:r w:rsidRPr="001833D6">
        <w:rPr>
          <w:rFonts w:eastAsia="Times New Roman" w:cstheme="minorHAnsi"/>
          <w:b/>
          <w:bCs/>
          <w:sz w:val="20"/>
          <w:szCs w:val="20"/>
          <w:lang w:eastAsia="bg-BG"/>
        </w:rPr>
        <w:t>малкия брой на съоръженията за повторно третиране и оползотворяване на отпадъците в страната</w:t>
      </w:r>
      <w:bookmarkEnd w:id="38"/>
    </w:p>
    <w:tbl>
      <w:tblPr>
        <w:tblStyle w:val="LightGrid-Accent5"/>
        <w:tblW w:w="7593" w:type="dxa"/>
        <w:jc w:val="center"/>
        <w:tblLook w:val="0660" w:firstRow="1" w:lastRow="1" w:firstColumn="0" w:lastColumn="0" w:noHBand="1" w:noVBand="1"/>
      </w:tblPr>
      <w:tblGrid>
        <w:gridCol w:w="6379"/>
        <w:gridCol w:w="1214"/>
      </w:tblGrid>
      <w:tr w:rsidR="001833D6" w:rsidRPr="00AD1E8E" w:rsidTr="001833D6">
        <w:trPr>
          <w:cnfStyle w:val="100000000000" w:firstRow="1" w:lastRow="0" w:firstColumn="0" w:lastColumn="0" w:oddVBand="0" w:evenVBand="0" w:oddHBand="0" w:evenHBand="0" w:firstRowFirstColumn="0" w:firstRowLastColumn="0" w:lastRowFirstColumn="0" w:lastRowLastColumn="0"/>
          <w:trHeight w:val="284"/>
          <w:jc w:val="center"/>
        </w:trPr>
        <w:tc>
          <w:tcPr>
            <w:tcW w:w="6379" w:type="dxa"/>
            <w:vAlign w:val="center"/>
            <w:hideMark/>
          </w:tcPr>
          <w:p w:rsidR="001833D6" w:rsidRPr="00AD1E8E" w:rsidRDefault="001833D6" w:rsidP="00BB1FC9">
            <w:pPr>
              <w:rPr>
                <w:rFonts w:ascii="Calibri" w:eastAsia="Times New Roman" w:hAnsi="Calibri" w:cs="Arial"/>
                <w:color w:val="000000"/>
                <w:lang w:eastAsia="bg-BG"/>
              </w:rPr>
            </w:pPr>
            <w:r>
              <w:rPr>
                <w:rFonts w:ascii="Calibri" w:eastAsia="Times New Roman" w:hAnsi="Calibri" w:cs="Arial"/>
                <w:color w:val="000000"/>
                <w:lang w:eastAsia="bg-BG"/>
              </w:rPr>
              <w:t>Причина</w:t>
            </w:r>
          </w:p>
        </w:tc>
        <w:tc>
          <w:tcPr>
            <w:tcW w:w="1214" w:type="dxa"/>
            <w:vAlign w:val="center"/>
            <w:hideMark/>
          </w:tcPr>
          <w:p w:rsidR="001833D6" w:rsidRPr="00AD1E8E" w:rsidRDefault="001833D6" w:rsidP="00BB1FC9">
            <w:pPr>
              <w:jc w:val="center"/>
              <w:rPr>
                <w:rFonts w:ascii="Calibri" w:eastAsia="Times New Roman" w:hAnsi="Calibri" w:cs="Arial"/>
                <w:color w:val="000000"/>
                <w:lang w:eastAsia="bg-BG"/>
              </w:rPr>
            </w:pPr>
            <w:r w:rsidRPr="00AD1E8E">
              <w:rPr>
                <w:rFonts w:ascii="Calibri" w:eastAsia="Times New Roman" w:hAnsi="Calibri" w:cs="Arial"/>
                <w:color w:val="000000"/>
                <w:lang w:eastAsia="bg-BG"/>
              </w:rPr>
              <w:t>Процент</w:t>
            </w:r>
            <w:r>
              <w:rPr>
                <w:rFonts w:ascii="Calibri" w:eastAsia="Times New Roman" w:hAnsi="Calibri" w:cs="Arial"/>
                <w:color w:val="000000"/>
                <w:lang w:eastAsia="bg-BG"/>
              </w:rPr>
              <w:t>*</w:t>
            </w:r>
          </w:p>
        </w:tc>
      </w:tr>
      <w:tr w:rsidR="001833D6" w:rsidRPr="00AD1E8E" w:rsidTr="001833D6">
        <w:trPr>
          <w:trHeight w:val="284"/>
          <w:jc w:val="center"/>
        </w:trPr>
        <w:tc>
          <w:tcPr>
            <w:tcW w:w="6379" w:type="dxa"/>
            <w:vAlign w:val="center"/>
            <w:hideMark/>
          </w:tcPr>
          <w:p w:rsidR="001833D6" w:rsidRPr="0074657F" w:rsidRDefault="001833D6" w:rsidP="00BB1FC9">
            <w:pPr>
              <w:rPr>
                <w:rFonts w:ascii="Calibri" w:eastAsia="Times New Roman" w:hAnsi="Calibri" w:cs="Arial"/>
                <w:b/>
                <w:i/>
                <w:color w:val="000000"/>
                <w:lang w:eastAsia="bg-BG"/>
              </w:rPr>
            </w:pPr>
            <w:r w:rsidRPr="0074657F">
              <w:rPr>
                <w:rFonts w:ascii="Calibri" w:eastAsia="Times New Roman" w:hAnsi="Calibri" w:cs="Arial"/>
                <w:b/>
                <w:i/>
                <w:color w:val="000000"/>
                <w:lang w:eastAsia="bg-BG"/>
              </w:rPr>
              <w:t>Липса на финансови средства за закупуване и монтаж на машини и съоръжения</w:t>
            </w:r>
          </w:p>
        </w:tc>
        <w:tc>
          <w:tcPr>
            <w:tcW w:w="1214" w:type="dxa"/>
            <w:noWrap/>
            <w:vAlign w:val="center"/>
            <w:hideMark/>
          </w:tcPr>
          <w:p w:rsidR="001833D6" w:rsidRPr="0074657F" w:rsidRDefault="001833D6" w:rsidP="00BB1FC9">
            <w:pPr>
              <w:jc w:val="center"/>
              <w:rPr>
                <w:rFonts w:ascii="Calibri" w:eastAsia="Times New Roman" w:hAnsi="Calibri" w:cs="Arial"/>
                <w:b/>
                <w:i/>
                <w:color w:val="000000"/>
                <w:lang w:eastAsia="bg-BG"/>
              </w:rPr>
            </w:pPr>
            <w:r w:rsidRPr="0074657F">
              <w:rPr>
                <w:rFonts w:ascii="Calibri" w:eastAsia="Times New Roman" w:hAnsi="Calibri" w:cs="Arial"/>
                <w:b/>
                <w:i/>
                <w:color w:val="000000"/>
                <w:lang w:eastAsia="bg-BG"/>
              </w:rPr>
              <w:t>60.6%</w:t>
            </w:r>
          </w:p>
        </w:tc>
      </w:tr>
      <w:tr w:rsidR="001833D6" w:rsidRPr="00AD1E8E" w:rsidTr="001833D6">
        <w:trPr>
          <w:trHeight w:val="284"/>
          <w:jc w:val="center"/>
        </w:trPr>
        <w:tc>
          <w:tcPr>
            <w:tcW w:w="6379" w:type="dxa"/>
            <w:vAlign w:val="center"/>
            <w:hideMark/>
          </w:tcPr>
          <w:p w:rsidR="001833D6" w:rsidRPr="00AD1E8E" w:rsidRDefault="001833D6" w:rsidP="00BB1FC9">
            <w:pPr>
              <w:rPr>
                <w:rFonts w:ascii="Calibri" w:eastAsia="Times New Roman" w:hAnsi="Calibri" w:cs="Arial"/>
                <w:color w:val="000000"/>
                <w:lang w:eastAsia="bg-BG"/>
              </w:rPr>
            </w:pPr>
            <w:r w:rsidRPr="00AD1E8E">
              <w:rPr>
                <w:rFonts w:ascii="Calibri" w:eastAsia="Times New Roman" w:hAnsi="Calibri" w:cs="Arial"/>
                <w:color w:val="000000"/>
                <w:lang w:eastAsia="bg-BG"/>
              </w:rPr>
              <w:t>Липса на ефективна регулация по управление на отпадъците</w:t>
            </w:r>
          </w:p>
        </w:tc>
        <w:tc>
          <w:tcPr>
            <w:tcW w:w="1214" w:type="dxa"/>
            <w:noWrap/>
            <w:vAlign w:val="center"/>
            <w:hideMark/>
          </w:tcPr>
          <w:p w:rsidR="001833D6" w:rsidRPr="00AD1E8E" w:rsidRDefault="001833D6" w:rsidP="00BB1FC9">
            <w:pPr>
              <w:jc w:val="center"/>
              <w:rPr>
                <w:rFonts w:ascii="Calibri" w:eastAsia="Times New Roman" w:hAnsi="Calibri" w:cs="Arial"/>
                <w:color w:val="000000"/>
                <w:lang w:eastAsia="bg-BG"/>
              </w:rPr>
            </w:pPr>
            <w:r w:rsidRPr="00AD1E8E">
              <w:rPr>
                <w:rFonts w:ascii="Calibri" w:eastAsia="Times New Roman" w:hAnsi="Calibri" w:cs="Arial"/>
                <w:color w:val="000000"/>
                <w:lang w:eastAsia="bg-BG"/>
              </w:rPr>
              <w:t>47.7%</w:t>
            </w:r>
          </w:p>
        </w:tc>
      </w:tr>
      <w:tr w:rsidR="001833D6" w:rsidRPr="00AD1E8E" w:rsidTr="001833D6">
        <w:trPr>
          <w:trHeight w:val="284"/>
          <w:jc w:val="center"/>
        </w:trPr>
        <w:tc>
          <w:tcPr>
            <w:tcW w:w="6379" w:type="dxa"/>
            <w:vAlign w:val="center"/>
            <w:hideMark/>
          </w:tcPr>
          <w:p w:rsidR="001833D6" w:rsidRPr="00AD1E8E" w:rsidRDefault="001833D6" w:rsidP="00BB1FC9">
            <w:pPr>
              <w:rPr>
                <w:rFonts w:ascii="Calibri" w:eastAsia="Times New Roman" w:hAnsi="Calibri" w:cs="Arial"/>
                <w:color w:val="000000"/>
                <w:lang w:eastAsia="bg-BG"/>
              </w:rPr>
            </w:pPr>
            <w:r w:rsidRPr="00AD1E8E">
              <w:rPr>
                <w:rFonts w:ascii="Calibri" w:eastAsia="Times New Roman" w:hAnsi="Calibri" w:cs="Arial"/>
                <w:color w:val="000000"/>
                <w:lang w:eastAsia="bg-BG"/>
              </w:rPr>
              <w:t>Недостатъчно средства за закупуване на инсталации за депата за отпадъци</w:t>
            </w:r>
          </w:p>
        </w:tc>
        <w:tc>
          <w:tcPr>
            <w:tcW w:w="1214" w:type="dxa"/>
            <w:noWrap/>
            <w:vAlign w:val="center"/>
            <w:hideMark/>
          </w:tcPr>
          <w:p w:rsidR="001833D6" w:rsidRPr="00AD1E8E" w:rsidRDefault="001833D6" w:rsidP="00BB1FC9">
            <w:pPr>
              <w:jc w:val="center"/>
              <w:rPr>
                <w:rFonts w:ascii="Calibri" w:eastAsia="Times New Roman" w:hAnsi="Calibri" w:cs="Arial"/>
                <w:color w:val="000000"/>
                <w:lang w:eastAsia="bg-BG"/>
              </w:rPr>
            </w:pPr>
            <w:r w:rsidRPr="00AD1E8E">
              <w:rPr>
                <w:rFonts w:ascii="Calibri" w:eastAsia="Times New Roman" w:hAnsi="Calibri" w:cs="Arial"/>
                <w:color w:val="000000"/>
                <w:lang w:eastAsia="bg-BG"/>
              </w:rPr>
              <w:t>46.8%</w:t>
            </w:r>
          </w:p>
        </w:tc>
      </w:tr>
      <w:tr w:rsidR="001833D6" w:rsidRPr="00AD1E8E" w:rsidTr="001833D6">
        <w:trPr>
          <w:trHeight w:val="284"/>
          <w:jc w:val="center"/>
        </w:trPr>
        <w:tc>
          <w:tcPr>
            <w:tcW w:w="6379" w:type="dxa"/>
            <w:vAlign w:val="center"/>
            <w:hideMark/>
          </w:tcPr>
          <w:p w:rsidR="001833D6" w:rsidRPr="00AD1E8E" w:rsidRDefault="001833D6" w:rsidP="00BB1FC9">
            <w:pPr>
              <w:rPr>
                <w:rFonts w:ascii="Calibri" w:eastAsia="Times New Roman" w:hAnsi="Calibri" w:cs="Arial"/>
                <w:color w:val="000000"/>
                <w:lang w:eastAsia="bg-BG"/>
              </w:rPr>
            </w:pPr>
            <w:r w:rsidRPr="00AD1E8E">
              <w:rPr>
                <w:rFonts w:ascii="Calibri" w:eastAsia="Times New Roman" w:hAnsi="Calibri" w:cs="Arial"/>
                <w:color w:val="000000"/>
                <w:lang w:eastAsia="bg-BG"/>
              </w:rPr>
              <w:t>Липса на достатъчен обем разделно събрани (сепарирани) отпадъци (суровини)</w:t>
            </w:r>
          </w:p>
        </w:tc>
        <w:tc>
          <w:tcPr>
            <w:tcW w:w="1214" w:type="dxa"/>
            <w:noWrap/>
            <w:vAlign w:val="center"/>
            <w:hideMark/>
          </w:tcPr>
          <w:p w:rsidR="001833D6" w:rsidRPr="00AD1E8E" w:rsidRDefault="001833D6" w:rsidP="00BB1FC9">
            <w:pPr>
              <w:jc w:val="center"/>
              <w:rPr>
                <w:rFonts w:ascii="Calibri" w:eastAsia="Times New Roman" w:hAnsi="Calibri" w:cs="Arial"/>
                <w:color w:val="000000"/>
                <w:lang w:eastAsia="bg-BG"/>
              </w:rPr>
            </w:pPr>
            <w:r w:rsidRPr="00AD1E8E">
              <w:rPr>
                <w:rFonts w:ascii="Calibri" w:eastAsia="Times New Roman" w:hAnsi="Calibri" w:cs="Arial"/>
                <w:color w:val="000000"/>
                <w:lang w:eastAsia="bg-BG"/>
              </w:rPr>
              <w:t>45.9%</w:t>
            </w:r>
          </w:p>
        </w:tc>
      </w:tr>
      <w:tr w:rsidR="001833D6" w:rsidRPr="00AD1E8E" w:rsidTr="001833D6">
        <w:trPr>
          <w:trHeight w:val="284"/>
          <w:jc w:val="center"/>
        </w:trPr>
        <w:tc>
          <w:tcPr>
            <w:tcW w:w="6379" w:type="dxa"/>
            <w:vAlign w:val="center"/>
            <w:hideMark/>
          </w:tcPr>
          <w:p w:rsidR="001833D6" w:rsidRPr="00AD1E8E" w:rsidRDefault="001833D6" w:rsidP="00BB1FC9">
            <w:pPr>
              <w:rPr>
                <w:rFonts w:ascii="Calibri" w:eastAsia="Times New Roman" w:hAnsi="Calibri" w:cs="Arial"/>
                <w:color w:val="000000"/>
                <w:lang w:eastAsia="bg-BG"/>
              </w:rPr>
            </w:pPr>
            <w:r w:rsidRPr="00AD1E8E">
              <w:rPr>
                <w:rFonts w:ascii="Calibri" w:eastAsia="Times New Roman" w:hAnsi="Calibri" w:cs="Arial"/>
                <w:color w:val="000000"/>
                <w:lang w:eastAsia="bg-BG"/>
              </w:rPr>
              <w:t>Липса на пазар за продукта от процеса на рециклиране и компониране</w:t>
            </w:r>
          </w:p>
        </w:tc>
        <w:tc>
          <w:tcPr>
            <w:tcW w:w="1214" w:type="dxa"/>
            <w:noWrap/>
            <w:vAlign w:val="center"/>
            <w:hideMark/>
          </w:tcPr>
          <w:p w:rsidR="001833D6" w:rsidRPr="00AD1E8E" w:rsidRDefault="001833D6" w:rsidP="00BB1FC9">
            <w:pPr>
              <w:jc w:val="center"/>
              <w:rPr>
                <w:rFonts w:ascii="Calibri" w:eastAsia="Times New Roman" w:hAnsi="Calibri" w:cs="Arial"/>
                <w:color w:val="000000"/>
                <w:lang w:eastAsia="bg-BG"/>
              </w:rPr>
            </w:pPr>
            <w:r w:rsidRPr="00AD1E8E">
              <w:rPr>
                <w:rFonts w:ascii="Calibri" w:eastAsia="Times New Roman" w:hAnsi="Calibri" w:cs="Arial"/>
                <w:color w:val="000000"/>
                <w:lang w:eastAsia="bg-BG"/>
              </w:rPr>
              <w:t>13.8%</w:t>
            </w:r>
          </w:p>
        </w:tc>
      </w:tr>
      <w:tr w:rsidR="001833D6" w:rsidRPr="00AD1E8E" w:rsidTr="001833D6">
        <w:trPr>
          <w:cnfStyle w:val="010000000000" w:firstRow="0" w:lastRow="1" w:firstColumn="0" w:lastColumn="0" w:oddVBand="0" w:evenVBand="0" w:oddHBand="0" w:evenHBand="0" w:firstRowFirstColumn="0" w:firstRowLastColumn="0" w:lastRowFirstColumn="0" w:lastRowLastColumn="0"/>
          <w:trHeight w:val="284"/>
          <w:jc w:val="center"/>
        </w:trPr>
        <w:tc>
          <w:tcPr>
            <w:tcW w:w="6379" w:type="dxa"/>
            <w:vAlign w:val="center"/>
            <w:hideMark/>
          </w:tcPr>
          <w:p w:rsidR="001833D6" w:rsidRPr="00AD1E8E" w:rsidRDefault="001833D6" w:rsidP="00BB1FC9">
            <w:pPr>
              <w:rPr>
                <w:rFonts w:ascii="Calibri" w:eastAsia="Times New Roman" w:hAnsi="Calibri" w:cs="Arial"/>
                <w:color w:val="000000"/>
                <w:lang w:eastAsia="bg-BG"/>
              </w:rPr>
            </w:pPr>
            <w:r w:rsidRPr="00AD1E8E">
              <w:rPr>
                <w:rFonts w:ascii="Calibri" w:eastAsia="Times New Roman" w:hAnsi="Calibri" w:cs="Arial"/>
                <w:color w:val="000000"/>
                <w:lang w:eastAsia="bg-BG"/>
              </w:rPr>
              <w:t>Други</w:t>
            </w:r>
          </w:p>
        </w:tc>
        <w:tc>
          <w:tcPr>
            <w:tcW w:w="1214" w:type="dxa"/>
            <w:noWrap/>
            <w:vAlign w:val="center"/>
            <w:hideMark/>
          </w:tcPr>
          <w:p w:rsidR="001833D6" w:rsidRPr="00AD1E8E" w:rsidRDefault="001833D6" w:rsidP="00BB1FC9">
            <w:pPr>
              <w:jc w:val="center"/>
              <w:rPr>
                <w:rFonts w:ascii="Calibri" w:eastAsia="Times New Roman" w:hAnsi="Calibri" w:cs="Arial"/>
                <w:color w:val="000000"/>
                <w:lang w:eastAsia="bg-BG"/>
              </w:rPr>
            </w:pPr>
            <w:r w:rsidRPr="00AD1E8E">
              <w:rPr>
                <w:rFonts w:ascii="Calibri" w:eastAsia="Times New Roman" w:hAnsi="Calibri" w:cs="Arial"/>
                <w:color w:val="000000"/>
                <w:lang w:eastAsia="bg-BG"/>
              </w:rPr>
              <w:t>3.7%</w:t>
            </w:r>
          </w:p>
        </w:tc>
      </w:tr>
    </w:tbl>
    <w:p w:rsidR="001833D6" w:rsidRPr="00AD1E8E" w:rsidRDefault="001833D6" w:rsidP="001833D6">
      <w:pPr>
        <w:spacing w:after="0" w:line="240" w:lineRule="auto"/>
        <w:ind w:left="720"/>
        <w:rPr>
          <w:rFonts w:ascii="Calibri" w:hAnsi="Calibri"/>
          <w:i/>
        </w:rPr>
      </w:pPr>
      <w:r>
        <w:rPr>
          <w:rFonts w:ascii="Calibri" w:eastAsia="Times New Roman" w:hAnsi="Calibri" w:cs="Arial"/>
          <w:i/>
          <w:color w:val="000000"/>
          <w:lang w:eastAsia="bg-BG"/>
        </w:rPr>
        <w:t>Б</w:t>
      </w:r>
      <w:r w:rsidRPr="00AD1E8E">
        <w:rPr>
          <w:rFonts w:ascii="Calibri" w:eastAsia="Times New Roman" w:hAnsi="Calibri" w:cs="Arial"/>
          <w:i/>
          <w:color w:val="000000"/>
          <w:lang w:eastAsia="bg-BG"/>
        </w:rPr>
        <w:t xml:space="preserve">аза: 109, </w:t>
      </w:r>
      <w:r>
        <w:rPr>
          <w:rFonts w:ascii="Calibri" w:eastAsia="Times New Roman" w:hAnsi="Calibri" w:cs="Arial"/>
          <w:i/>
          <w:color w:val="000000"/>
          <w:lang w:eastAsia="bg-BG"/>
        </w:rPr>
        <w:t>*</w:t>
      </w:r>
      <w:r w:rsidRPr="00AD1E8E">
        <w:rPr>
          <w:rFonts w:ascii="Calibri" w:eastAsia="Times New Roman" w:hAnsi="Calibri" w:cs="Arial"/>
          <w:i/>
          <w:color w:val="000000"/>
          <w:lang w:eastAsia="bg-BG"/>
        </w:rPr>
        <w:t xml:space="preserve"> възможност за повече отговори</w:t>
      </w:r>
    </w:p>
    <w:p w:rsidR="00F2533C" w:rsidRPr="00F2533C"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 xml:space="preserve">От казаното до тук, може да се направи изводът, че </w:t>
      </w:r>
      <w:r w:rsidRPr="00F2533C">
        <w:rPr>
          <w:rFonts w:ascii="Calibri" w:eastAsia="Calibri" w:hAnsi="Calibri" w:cs="Calibri"/>
          <w:bCs/>
          <w:i/>
          <w:lang w:eastAsia="bg-BG"/>
        </w:rPr>
        <w:t>при тази схема за управление на отпадъците са налице пазарни неуспехи от гледна точка на постигане на целите на ОПОС 2014-2020 г.</w:t>
      </w:r>
      <w:r w:rsidRPr="00F2533C">
        <w:rPr>
          <w:rFonts w:ascii="Calibri" w:eastAsia="Calibri" w:hAnsi="Calibri" w:cs="Calibri"/>
          <w:bCs/>
          <w:lang w:eastAsia="bg-BG"/>
        </w:rPr>
        <w:t>, причините за които ще бъдат разгледани по-долу.</w:t>
      </w:r>
    </w:p>
    <w:p w:rsidR="00DE3358" w:rsidRDefault="00F2533C" w:rsidP="00F2533C">
      <w:pPr>
        <w:spacing w:before="120" w:after="120" w:line="240" w:lineRule="auto"/>
        <w:jc w:val="both"/>
        <w:rPr>
          <w:rFonts w:ascii="Calibri" w:eastAsia="Calibri" w:hAnsi="Calibri" w:cs="Calibri"/>
          <w:bCs/>
          <w:lang w:eastAsia="bg-BG"/>
        </w:rPr>
      </w:pPr>
      <w:r w:rsidRPr="00F2533C">
        <w:rPr>
          <w:rFonts w:ascii="Calibri" w:eastAsia="Calibri" w:hAnsi="Calibri" w:cs="Calibri"/>
          <w:bCs/>
          <w:lang w:eastAsia="bg-BG"/>
        </w:rPr>
        <w:t>Съгласно методология за предварителна оценка на финансовите инструменти, причините за пазарните неуспехи могат да бъдат различни. Базирайки се на примерите, дадени в методологически документи, основните причини за по-горе изброените проблеми могат да бъдат дефинирани както следва:</w:t>
      </w:r>
    </w:p>
    <w:p w:rsidR="00DE3358" w:rsidRDefault="00DE3358" w:rsidP="00F2533C">
      <w:pPr>
        <w:spacing w:before="120" w:after="120" w:line="240" w:lineRule="auto"/>
        <w:jc w:val="both"/>
        <w:rPr>
          <w:rFonts w:ascii="Calibri" w:eastAsia="Calibri" w:hAnsi="Calibri" w:cs="Calibri"/>
          <w:bCs/>
          <w:lang w:eastAsia="bg-BG"/>
        </w:rPr>
        <w:sectPr w:rsidR="00DE3358" w:rsidSect="006E39EC">
          <w:pgSz w:w="11906" w:h="16838"/>
          <w:pgMar w:top="1560" w:right="1417" w:bottom="1134" w:left="1417" w:header="708" w:footer="247" w:gutter="0"/>
          <w:cols w:space="708"/>
          <w:titlePg/>
          <w:docGrid w:linePitch="360"/>
        </w:sectPr>
      </w:pPr>
    </w:p>
    <w:p w:rsidR="00F2533C" w:rsidRDefault="00F2533C" w:rsidP="00F2533C">
      <w:pPr>
        <w:spacing w:before="120" w:after="120" w:line="240" w:lineRule="auto"/>
        <w:jc w:val="both"/>
        <w:rPr>
          <w:rFonts w:ascii="Calibri" w:eastAsia="Calibri" w:hAnsi="Calibri" w:cs="Calibri"/>
          <w:bCs/>
          <w:lang w:eastAsia="bg-BG"/>
        </w:rPr>
      </w:pPr>
    </w:p>
    <w:tbl>
      <w:tblPr>
        <w:tblStyle w:val="MediumGrid3-Accent51"/>
        <w:tblW w:w="14283" w:type="dxa"/>
        <w:tblLook w:val="04A0" w:firstRow="1" w:lastRow="0" w:firstColumn="1" w:lastColumn="0" w:noHBand="0" w:noVBand="1"/>
      </w:tblPr>
      <w:tblGrid>
        <w:gridCol w:w="2497"/>
        <w:gridCol w:w="3707"/>
        <w:gridCol w:w="4131"/>
        <w:gridCol w:w="3948"/>
      </w:tblGrid>
      <w:tr w:rsidR="00B26F4B" w:rsidRPr="00487D88" w:rsidTr="00346C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center"/>
              <w:rPr>
                <w:rFonts w:eastAsia="Calibri" w:cstheme="minorHAnsi"/>
                <w:lang w:eastAsia="bg-BG"/>
              </w:rPr>
            </w:pPr>
            <w:r w:rsidRPr="00487D88">
              <w:rPr>
                <w:rFonts w:eastAsia="Calibri" w:cstheme="minorHAnsi"/>
                <w:lang w:eastAsia="bg-BG"/>
              </w:rPr>
              <w:t>Пазарен неуспех</w:t>
            </w:r>
          </w:p>
        </w:tc>
        <w:tc>
          <w:tcPr>
            <w:tcW w:w="3707" w:type="dxa"/>
          </w:tcPr>
          <w:p w:rsidR="00B26F4B" w:rsidRPr="00487D88" w:rsidRDefault="00B26F4B" w:rsidP="00177CC3">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Дефиниция</w:t>
            </w:r>
          </w:p>
        </w:tc>
        <w:tc>
          <w:tcPr>
            <w:tcW w:w="4131" w:type="dxa"/>
          </w:tcPr>
          <w:p w:rsidR="00B26F4B" w:rsidRPr="00487D88" w:rsidRDefault="00B26F4B" w:rsidP="00177CC3">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Обосновка</w:t>
            </w:r>
          </w:p>
        </w:tc>
        <w:tc>
          <w:tcPr>
            <w:tcW w:w="3948" w:type="dxa"/>
          </w:tcPr>
          <w:p w:rsidR="00B26F4B" w:rsidRPr="00487D88" w:rsidRDefault="00B26F4B" w:rsidP="00177CC3">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Резултат</w:t>
            </w:r>
          </w:p>
        </w:tc>
      </w:tr>
      <w:tr w:rsidR="00B26F4B" w:rsidRPr="00487D88" w:rsidTr="00346C03">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4283" w:type="dxa"/>
            <w:gridSpan w:val="4"/>
          </w:tcPr>
          <w:p w:rsidR="00B26F4B" w:rsidRPr="00487D88" w:rsidRDefault="00B26F4B" w:rsidP="00177CC3">
            <w:pPr>
              <w:widowControl w:val="0"/>
              <w:autoSpaceDE w:val="0"/>
              <w:autoSpaceDN w:val="0"/>
              <w:adjustRightInd w:val="0"/>
              <w:spacing w:before="240"/>
              <w:ind w:right="64"/>
              <w:jc w:val="center"/>
              <w:rPr>
                <w:rFonts w:eastAsia="Calibri" w:cstheme="minorHAnsi"/>
                <w:spacing w:val="1"/>
              </w:rPr>
            </w:pPr>
            <w:r>
              <w:rPr>
                <w:rFonts w:eastAsia="Calibri" w:cstheme="minorHAnsi"/>
                <w:spacing w:val="1"/>
              </w:rPr>
              <w:t>Структурни неуспехи на икономиката</w:t>
            </w:r>
          </w:p>
        </w:tc>
      </w:tr>
      <w:tr w:rsidR="00B26F4B" w:rsidRPr="00487D88" w:rsidTr="00346C03">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lang w:eastAsia="bg-BG"/>
              </w:rPr>
            </w:pPr>
            <w:r w:rsidRPr="00487D88">
              <w:rPr>
                <w:rFonts w:eastAsia="Calibri" w:cstheme="minorHAnsi"/>
                <w:lang w:eastAsia="bg-BG"/>
              </w:rPr>
              <w:t>Отрицателни външни ефекти</w:t>
            </w:r>
          </w:p>
        </w:tc>
        <w:tc>
          <w:tcPr>
            <w:tcW w:w="3707" w:type="dxa"/>
          </w:tcPr>
          <w:p w:rsidR="00B26F4B" w:rsidRPr="00487D88" w:rsidRDefault="00B26F4B" w:rsidP="00177CC3">
            <w:pPr>
              <w:spacing w:before="120" w:after="120"/>
              <w:jc w:val="both"/>
              <w:cnfStyle w:val="000000000000" w:firstRow="0" w:lastRow="0" w:firstColumn="0" w:lastColumn="0" w:oddVBand="0" w:evenVBand="0" w:oddHBand="0" w:evenHBand="0" w:firstRowFirstColumn="0" w:firstRowLastColumn="0" w:lastRowFirstColumn="0" w:lastRowLastColumn="0"/>
              <w:rPr>
                <w:rFonts w:cstheme="minorHAnsi"/>
              </w:rPr>
            </w:pPr>
            <w:r w:rsidRPr="00487D88">
              <w:rPr>
                <w:rFonts w:cstheme="minorHAnsi"/>
              </w:rPr>
              <w:t xml:space="preserve">Отрицателният външен ефект е цената, която се понася от трета страна в резултат от икономическа сделка. Външният ефект се дължи на това, че участниците в сделката не асоциират всички свързани разходи. </w:t>
            </w:r>
          </w:p>
          <w:p w:rsidR="00B26F4B" w:rsidRPr="00487D88" w:rsidRDefault="00B26F4B" w:rsidP="00177CC3">
            <w:pPr>
              <w:spacing w:before="120" w:after="120"/>
              <w:jc w:val="both"/>
              <w:cnfStyle w:val="000000000000" w:firstRow="0" w:lastRow="0" w:firstColumn="0" w:lastColumn="0" w:oddVBand="0" w:evenVBand="0" w:oddHBand="0" w:evenHBand="0" w:firstRowFirstColumn="0" w:firstRowLastColumn="0" w:lastRowFirstColumn="0" w:lastRowLastColumn="0"/>
              <w:rPr>
                <w:rFonts w:cstheme="minorHAnsi"/>
              </w:rPr>
            </w:pPr>
            <w:r w:rsidRPr="00487D88">
              <w:rPr>
                <w:rFonts w:cstheme="minorHAnsi"/>
              </w:rPr>
              <w:t>Наличието на отрицателен външен фактор означава, че частният сектор/участник/ползвател не е особено заинтересован да инвестира, за да намали негативния ефект, тъй като не понася пълната цена. Това означава, че е налице пазарен неуспех и съществува публична подкрепа.</w:t>
            </w:r>
          </w:p>
        </w:tc>
        <w:tc>
          <w:tcPr>
            <w:tcW w:w="4131" w:type="dxa"/>
          </w:tcPr>
          <w:p w:rsidR="00B26F4B" w:rsidRPr="00A52789" w:rsidRDefault="00B26F4B"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lang w:eastAsia="bg-BG"/>
              </w:rPr>
            </w:pPr>
            <w:r w:rsidRPr="00F2533C">
              <w:rPr>
                <w:rFonts w:ascii="Calibri" w:eastAsia="Calibri" w:hAnsi="Calibri" w:cs="Calibri"/>
                <w:bCs/>
                <w:lang w:eastAsia="bg-BG"/>
              </w:rPr>
              <w:t>Непълното прилагане на принципа „замърсителят плаща“ поради начина на формиране на таксата „битови отпадъци“</w:t>
            </w:r>
            <w:r>
              <w:rPr>
                <w:rFonts w:ascii="Calibri" w:eastAsia="Calibri" w:hAnsi="Calibri" w:cs="Calibri"/>
                <w:bCs/>
                <w:lang w:eastAsia="bg-BG"/>
              </w:rPr>
              <w:t xml:space="preserve"> поражда ситуация, в която субектите, които генерират битови и подобни на тях отпадъци не понасят пълната цена за замърсяването на околната среда. А</w:t>
            </w:r>
            <w:r w:rsidRPr="00F2533C">
              <w:rPr>
                <w:rFonts w:ascii="Calibri" w:eastAsia="Calibri" w:hAnsi="Calibri" w:cs="Calibri"/>
                <w:bCs/>
                <w:lang w:eastAsia="bg-BG"/>
              </w:rPr>
              <w:t>дминистративни сгради, образователни институции, социални организации, пазари, търговски обекти, хотели и ресторанти, ателиета за услуги</w:t>
            </w:r>
            <w:r>
              <w:rPr>
                <w:rFonts w:ascii="Calibri" w:eastAsia="Calibri" w:hAnsi="Calibri" w:cs="Calibri"/>
                <w:bCs/>
                <w:lang w:eastAsia="bg-BG"/>
              </w:rPr>
              <w:t xml:space="preserve"> и др. не са заинтересовани да инвестират, тъй като считат, че това е задължение единствено и само на общините.</w:t>
            </w:r>
          </w:p>
        </w:tc>
        <w:tc>
          <w:tcPr>
            <w:tcW w:w="3948" w:type="dxa"/>
          </w:tcPr>
          <w:p w:rsidR="00B26F4B" w:rsidRPr="00487D88" w:rsidRDefault="00B26F4B"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eastAsia="Calibri" w:cstheme="minorHAnsi"/>
                <w:spacing w:val="1"/>
              </w:rPr>
            </w:pPr>
            <w:r w:rsidRPr="00F2533C">
              <w:rPr>
                <w:rFonts w:ascii="Calibri" w:eastAsia="Calibri" w:hAnsi="Calibri" w:cs="Calibri"/>
                <w:bCs/>
                <w:lang w:eastAsia="bg-BG"/>
              </w:rPr>
              <w:t>Налице са големи</w:t>
            </w:r>
            <w:r w:rsidRPr="00F2533C">
              <w:rPr>
                <w:rFonts w:ascii="Calibri" w:hAnsi="Calibri" w:cs="Calibri"/>
                <w:bCs/>
                <w:lang w:eastAsia="bg-BG"/>
              </w:rPr>
              <w:t xml:space="preserve"> предизвикателства пред местните власти относно целите за рециклиране на битовите отпадъци и за оползотворяване на биоразградимите отпадъци</w:t>
            </w:r>
          </w:p>
        </w:tc>
      </w:tr>
      <w:tr w:rsidR="00B26F4B" w:rsidRPr="00487D88" w:rsidTr="00346C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lang w:eastAsia="bg-BG"/>
              </w:rPr>
            </w:pPr>
            <w:r w:rsidRPr="00487D88">
              <w:rPr>
                <w:rFonts w:eastAsia="Calibri" w:cstheme="minorHAnsi"/>
                <w:lang w:eastAsia="bg-BG"/>
              </w:rPr>
              <w:t>Публични услуги</w:t>
            </w:r>
          </w:p>
        </w:tc>
        <w:tc>
          <w:tcPr>
            <w:tcW w:w="3707" w:type="dxa"/>
          </w:tcPr>
          <w:p w:rsidR="00B26F4B" w:rsidRPr="00487D88" w:rsidRDefault="00B26F4B" w:rsidP="00177CC3">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lang w:eastAsia="bg-BG"/>
              </w:rPr>
            </w:pPr>
            <w:r w:rsidRPr="00487D88">
              <w:rPr>
                <w:rFonts w:eastAsia="Times New Roman" w:cstheme="minorHAnsi"/>
                <w:bCs/>
                <w:lang w:eastAsia="bg-BG"/>
              </w:rPr>
              <w:t xml:space="preserve">Тези услуги не изключват </w:t>
            </w:r>
            <w:r>
              <w:rPr>
                <w:rFonts w:eastAsia="Times New Roman" w:cstheme="minorHAnsi"/>
                <w:bCs/>
                <w:lang w:eastAsia="bg-BG"/>
              </w:rPr>
              <w:t xml:space="preserve">взаимно </w:t>
            </w:r>
            <w:r w:rsidRPr="00487D88">
              <w:rPr>
                <w:rFonts w:eastAsia="Times New Roman" w:cstheme="minorHAnsi"/>
                <w:bCs/>
                <w:lang w:eastAsia="bg-BG"/>
              </w:rPr>
              <w:t xml:space="preserve">и не са конкурентни. Дори ако някой не допринася за производството на обществено благо, разходите за ограничаване на неговото право да се възползва от услугата са забранени. </w:t>
            </w:r>
          </w:p>
        </w:tc>
        <w:tc>
          <w:tcPr>
            <w:tcW w:w="4131" w:type="dxa"/>
          </w:tcPr>
          <w:p w:rsidR="00B26F4B" w:rsidRDefault="00B26F4B" w:rsidP="009C1CFD">
            <w:pPr>
              <w:numPr>
                <w:ilvl w:val="0"/>
                <w:numId w:val="12"/>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Pr>
                <w:rFonts w:eastAsia="Calibri" w:cstheme="minorHAnsi"/>
                <w:bCs/>
                <w:lang w:eastAsia="bg-BG"/>
              </w:rPr>
              <w:t>Съгласно чл. 19, ал. 1 от ЗУО к</w:t>
            </w:r>
            <w:r w:rsidRPr="00A52789">
              <w:rPr>
                <w:rFonts w:eastAsia="Calibri" w:cstheme="minorHAnsi"/>
                <w:bCs/>
                <w:lang w:eastAsia="bg-BG"/>
              </w:rPr>
              <w:t xml:space="preserve">метът на </w:t>
            </w:r>
            <w:r>
              <w:rPr>
                <w:rFonts w:eastAsia="Calibri" w:cstheme="minorHAnsi"/>
                <w:bCs/>
                <w:lang w:eastAsia="bg-BG"/>
              </w:rPr>
              <w:t>съответната община</w:t>
            </w:r>
            <w:r w:rsidRPr="00A52789">
              <w:rPr>
                <w:rFonts w:eastAsia="Calibri" w:cstheme="minorHAnsi"/>
                <w:bCs/>
                <w:lang w:eastAsia="bg-BG"/>
              </w:rPr>
              <w:t xml:space="preserve"> организира управлението на битовите и строителните отпадъци, образувани</w:t>
            </w:r>
            <w:r>
              <w:rPr>
                <w:rFonts w:eastAsia="Calibri" w:cstheme="minorHAnsi"/>
                <w:bCs/>
                <w:lang w:eastAsia="bg-BG"/>
              </w:rPr>
              <w:t xml:space="preserve"> </w:t>
            </w:r>
            <w:r w:rsidRPr="00A52789">
              <w:rPr>
                <w:rFonts w:eastAsia="Calibri" w:cstheme="minorHAnsi"/>
                <w:bCs/>
                <w:lang w:eastAsia="bg-BG"/>
              </w:rPr>
              <w:t>на нейна територия</w:t>
            </w:r>
            <w:r>
              <w:rPr>
                <w:rFonts w:eastAsia="Calibri" w:cstheme="minorHAnsi"/>
                <w:bCs/>
                <w:lang w:eastAsia="bg-BG"/>
              </w:rPr>
              <w:t xml:space="preserve">. </w:t>
            </w:r>
          </w:p>
          <w:p w:rsidR="00B26F4B" w:rsidRPr="0021141C" w:rsidRDefault="00B26F4B" w:rsidP="009C1CFD">
            <w:pPr>
              <w:numPr>
                <w:ilvl w:val="0"/>
                <w:numId w:val="12"/>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Pr>
                <w:rFonts w:eastAsia="Calibri" w:cstheme="minorHAnsi"/>
                <w:bCs/>
                <w:lang w:eastAsia="bg-BG"/>
              </w:rPr>
              <w:t xml:space="preserve"> </w:t>
            </w:r>
            <w:r w:rsidR="007241C2">
              <w:rPr>
                <w:rFonts w:eastAsia="Calibri" w:cstheme="minorHAnsi"/>
                <w:bCs/>
                <w:lang w:eastAsia="bg-BG"/>
              </w:rPr>
              <w:t>Същевременно н</w:t>
            </w:r>
            <w:r w:rsidRPr="00F2533C">
              <w:rPr>
                <w:rFonts w:ascii="Calibri" w:eastAsia="Calibri" w:hAnsi="Calibri" w:cs="Calibri"/>
                <w:bCs/>
                <w:lang w:eastAsia="bg-BG"/>
              </w:rPr>
              <w:t>епълното прилагане на принципа „замърсителят плаща“ поради начина на формиране на таксата „битови отпадъци“</w:t>
            </w:r>
            <w:r>
              <w:rPr>
                <w:rFonts w:ascii="Calibri" w:eastAsia="Calibri" w:hAnsi="Calibri" w:cs="Calibri"/>
                <w:bCs/>
                <w:lang w:eastAsia="bg-BG"/>
              </w:rPr>
              <w:t xml:space="preserve"> и слабото </w:t>
            </w:r>
            <w:r>
              <w:rPr>
                <w:rFonts w:ascii="Calibri" w:eastAsia="Calibri" w:hAnsi="Calibri" w:cs="Calibri"/>
                <w:bCs/>
                <w:lang w:eastAsia="bg-BG"/>
              </w:rPr>
              <w:lastRenderedPageBreak/>
              <w:t>участие на бизнеса ограничават възможностите за инвестиции в сектора.</w:t>
            </w:r>
          </w:p>
        </w:tc>
        <w:tc>
          <w:tcPr>
            <w:tcW w:w="3948" w:type="dxa"/>
          </w:tcPr>
          <w:p w:rsidR="00B26F4B" w:rsidRPr="00487D88" w:rsidRDefault="00B26F4B" w:rsidP="009C1CFD">
            <w:pPr>
              <w:numPr>
                <w:ilvl w:val="0"/>
                <w:numId w:val="12"/>
              </w:numPr>
              <w:spacing w:before="120" w:after="120"/>
              <w:ind w:left="29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F2533C">
              <w:rPr>
                <w:rFonts w:ascii="Calibri" w:eastAsia="Calibri" w:hAnsi="Calibri" w:cs="Calibri"/>
                <w:bCs/>
              </w:rPr>
              <w:lastRenderedPageBreak/>
              <w:t>Изоставане по отношение на изграждането на съвременни съоръжения и инсталации за третиране на битови отпадъци, които да осигурят по-високо ниво в йерархията на управление на отпадъците</w:t>
            </w:r>
          </w:p>
        </w:tc>
      </w:tr>
      <w:tr w:rsidR="00B26F4B" w:rsidRPr="00487D88" w:rsidTr="00346C03">
        <w:trPr>
          <w:trHeight w:val="2108"/>
        </w:trPr>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lang w:eastAsia="bg-BG"/>
              </w:rPr>
            </w:pPr>
            <w:r w:rsidRPr="00487D88">
              <w:rPr>
                <w:rFonts w:eastAsia="Calibri" w:cstheme="minorHAnsi"/>
                <w:lang w:eastAsia="bg-BG"/>
              </w:rPr>
              <w:lastRenderedPageBreak/>
              <w:t>Неуспешно регулиране на пазара</w:t>
            </w:r>
          </w:p>
        </w:tc>
        <w:tc>
          <w:tcPr>
            <w:tcW w:w="3707" w:type="dxa"/>
          </w:tcPr>
          <w:p w:rsidR="00B26F4B" w:rsidRPr="00487D88" w:rsidRDefault="00B26F4B" w:rsidP="00177CC3">
            <w:pPr>
              <w:spacing w:before="120" w:after="120"/>
              <w:jc w:val="both"/>
              <w:cnfStyle w:val="000000000000" w:firstRow="0" w:lastRow="0" w:firstColumn="0" w:lastColumn="0" w:oddVBand="0" w:evenVBand="0" w:oddHBand="0" w:evenHBand="0" w:firstRowFirstColumn="0" w:firstRowLastColumn="0" w:lastRowFirstColumn="0" w:lastRowLastColumn="0"/>
              <w:rPr>
                <w:rFonts w:eastAsia="Times New Roman" w:cstheme="minorHAnsi"/>
                <w:bCs/>
                <w:lang w:eastAsia="bg-BG"/>
              </w:rPr>
            </w:pPr>
            <w:r w:rsidRPr="00487D88">
              <w:rPr>
                <w:rFonts w:eastAsia="Calibri" w:cstheme="minorHAnsi"/>
                <w:bCs/>
                <w:lang w:eastAsia="bg-BG"/>
              </w:rPr>
              <w:t>Възниква, когато политическите решения не отчитат факта, че пазарът може сам да коригира някои от своите неуспехи. В такива случаи регулационните мерки пораждат неефективност</w:t>
            </w:r>
          </w:p>
        </w:tc>
        <w:tc>
          <w:tcPr>
            <w:tcW w:w="4131" w:type="dxa"/>
          </w:tcPr>
          <w:p w:rsidR="00B26F4B" w:rsidRDefault="00B26F4B"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08778D">
              <w:rPr>
                <w:rFonts w:eastAsia="Calibri" w:cstheme="minorHAnsi"/>
              </w:rPr>
              <w:t>Все още не е приета методика за определяне на такса битови отпадъци в съответствие с чл. 67, ал. 2 от ЗМДТ</w:t>
            </w:r>
          </w:p>
          <w:p w:rsidR="00B26F4B" w:rsidRPr="0008778D" w:rsidRDefault="00B26F4B"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F2533C">
              <w:rPr>
                <w:rFonts w:ascii="Calibri" w:hAnsi="Calibri" w:cs="Calibri"/>
                <w:bCs/>
                <w:lang w:eastAsia="bg-BG"/>
              </w:rPr>
              <w:t>Съществуват някои недостатъци в няколко текста на Закона за устройство на територията, които трябва да бъдат отстранени, тъй като представляват, макар и формална, бариера за предприемане на инвестиционни инициативи от страна на общините и бизнеса</w:t>
            </w:r>
          </w:p>
        </w:tc>
        <w:tc>
          <w:tcPr>
            <w:tcW w:w="3948" w:type="dxa"/>
          </w:tcPr>
          <w:p w:rsidR="00B26F4B" w:rsidRPr="00045E8B" w:rsidRDefault="00B26F4B"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F2533C">
              <w:rPr>
                <w:rFonts w:ascii="Calibri" w:eastAsia="Calibri" w:hAnsi="Calibri" w:cs="Calibri"/>
                <w:bCs/>
              </w:rPr>
              <w:t>Изоставане по отношение на изграждането на съвременни съоръжения и инсталации за третиране на битови отпадъци, които да осигурят по-високо ниво в йерархията на управление на отпадъците</w:t>
            </w:r>
            <w:r w:rsidRPr="00045E8B">
              <w:rPr>
                <w:rFonts w:ascii="Calibri" w:eastAsia="Calibri" w:hAnsi="Calibri" w:cs="Calibri"/>
                <w:bCs/>
              </w:rPr>
              <w:t xml:space="preserve"> </w:t>
            </w:r>
          </w:p>
        </w:tc>
      </w:tr>
      <w:tr w:rsidR="00B26F4B" w:rsidRPr="00487D88" w:rsidTr="00A55F89">
        <w:trPr>
          <w:cnfStyle w:val="000000100000" w:firstRow="0" w:lastRow="0" w:firstColumn="0" w:lastColumn="0" w:oddVBand="0" w:evenVBand="0" w:oddHBand="1" w:evenHBand="0" w:firstRowFirstColumn="0" w:firstRowLastColumn="0" w:lastRowFirstColumn="0" w:lastRowLastColumn="0"/>
          <w:trHeight w:val="706"/>
        </w:trPr>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lang w:eastAsia="bg-BG"/>
              </w:rPr>
            </w:pPr>
            <w:r w:rsidRPr="00487D88">
              <w:rPr>
                <w:rFonts w:eastAsia="Calibri" w:cstheme="minorHAnsi"/>
                <w:lang w:eastAsia="bg-BG"/>
              </w:rPr>
              <w:t>Непълни права върху собствеността или трудности при прехвърлянето им</w:t>
            </w:r>
          </w:p>
        </w:tc>
        <w:tc>
          <w:tcPr>
            <w:tcW w:w="3707" w:type="dxa"/>
          </w:tcPr>
          <w:p w:rsidR="00B26F4B" w:rsidRPr="00487D88" w:rsidRDefault="00B26F4B" w:rsidP="00177CC3">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487D88">
              <w:rPr>
                <w:rFonts w:eastAsia="Calibri" w:cstheme="minorHAnsi"/>
                <w:bCs/>
                <w:lang w:eastAsia="bg-BG"/>
              </w:rPr>
              <w:t>Отнася се до ситуация, в която е трудно да се установят или прехвърлят правата на собственост върху ресурс или продукт/услуга</w:t>
            </w:r>
          </w:p>
        </w:tc>
        <w:tc>
          <w:tcPr>
            <w:tcW w:w="4131" w:type="dxa"/>
          </w:tcPr>
          <w:p w:rsidR="00B26F4B" w:rsidRPr="00B26F4B"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eastAsia="Calibri" w:cstheme="minorHAnsi"/>
              </w:rPr>
              <w:t xml:space="preserve">Битовите и подобните на тях отпадъци са собственост на общините, тъй като те са натоварени със задължението да създадат подходяща организация за тяхното събиране и третиране. При отсъствие на дългосрочни договори с частните субекти, които оперират в сектора, липсват стимули за извършване на инвестиции, тъй като при отсъствието на регулярни количества отпадъци, направените инвестиции не биха могли да се </w:t>
            </w:r>
            <w:r>
              <w:rPr>
                <w:rFonts w:eastAsia="Calibri" w:cstheme="minorHAnsi"/>
              </w:rPr>
              <w:lastRenderedPageBreak/>
              <w:t>изплатят и да донесат очакваната печалба на частния сектор</w:t>
            </w:r>
          </w:p>
        </w:tc>
        <w:tc>
          <w:tcPr>
            <w:tcW w:w="3948" w:type="dxa"/>
          </w:tcPr>
          <w:p w:rsidR="00B26F4B" w:rsidRPr="0001242A"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F2533C">
              <w:rPr>
                <w:rFonts w:ascii="Calibri" w:eastAsia="Calibri" w:hAnsi="Calibri" w:cs="Calibri"/>
                <w:bCs/>
              </w:rPr>
              <w:lastRenderedPageBreak/>
              <w:t>Изоставане по отношение на изграждането на съвременни съоръжения и инсталации за третиране на битови отпадъци, които да осигурят по-високо ниво в йерархията на управление на отпадъците</w:t>
            </w:r>
          </w:p>
        </w:tc>
      </w:tr>
      <w:tr w:rsidR="00B26F4B" w:rsidRPr="00487D88" w:rsidTr="00346C03">
        <w:tc>
          <w:tcPr>
            <w:cnfStyle w:val="001000000000" w:firstRow="0" w:lastRow="0" w:firstColumn="1" w:lastColumn="0" w:oddVBand="0" w:evenVBand="0" w:oddHBand="0" w:evenHBand="0" w:firstRowFirstColumn="0" w:firstRowLastColumn="0" w:lastRowFirstColumn="0" w:lastRowLastColumn="0"/>
            <w:tcW w:w="14283" w:type="dxa"/>
            <w:gridSpan w:val="4"/>
          </w:tcPr>
          <w:p w:rsidR="00B26F4B" w:rsidRPr="00487D88" w:rsidRDefault="00B26F4B" w:rsidP="00177CC3">
            <w:pPr>
              <w:widowControl w:val="0"/>
              <w:autoSpaceDE w:val="0"/>
              <w:autoSpaceDN w:val="0"/>
              <w:adjustRightInd w:val="0"/>
              <w:ind w:right="64"/>
              <w:jc w:val="center"/>
              <w:rPr>
                <w:rFonts w:eastAsia="Calibri" w:cstheme="minorHAnsi"/>
                <w:spacing w:val="1"/>
              </w:rPr>
            </w:pPr>
            <w:r>
              <w:rPr>
                <w:rFonts w:eastAsia="Calibri" w:cstheme="minorHAnsi"/>
                <w:spacing w:val="1"/>
              </w:rPr>
              <w:lastRenderedPageBreak/>
              <w:t>Неуспехи от страна на търсенето</w:t>
            </w:r>
          </w:p>
        </w:tc>
      </w:tr>
      <w:tr w:rsidR="00B26F4B" w:rsidRPr="00487D88" w:rsidTr="007241C2">
        <w:trPr>
          <w:cnfStyle w:val="000000100000" w:firstRow="0" w:lastRow="0" w:firstColumn="0" w:lastColumn="0" w:oddVBand="0" w:evenVBand="0" w:oddHBand="1" w:evenHBand="0" w:firstRowFirstColumn="0" w:firstRowLastColumn="0" w:lastRowFirstColumn="0" w:lastRowLastColumn="0"/>
          <w:trHeight w:val="3094"/>
        </w:trPr>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lang w:eastAsia="bg-BG"/>
              </w:rPr>
            </w:pPr>
            <w:r w:rsidRPr="00487D88">
              <w:rPr>
                <w:rFonts w:eastAsia="Calibri" w:cstheme="minorHAnsi"/>
                <w:lang w:eastAsia="bg-BG"/>
              </w:rPr>
              <w:t>Информационна асиметрия</w:t>
            </w:r>
          </w:p>
        </w:tc>
        <w:tc>
          <w:tcPr>
            <w:tcW w:w="3707" w:type="dxa"/>
          </w:tcPr>
          <w:p w:rsidR="00B26F4B" w:rsidRPr="00487D88" w:rsidRDefault="00B26F4B" w:rsidP="00177CC3">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lang w:eastAsia="bg-BG"/>
              </w:rPr>
            </w:pPr>
            <w:r w:rsidRPr="00487D88">
              <w:rPr>
                <w:rFonts w:eastAsia="Calibri" w:cstheme="minorHAnsi"/>
                <w:bCs/>
                <w:lang w:eastAsia="bg-BG"/>
              </w:rPr>
              <w:t>Възниква, когато две страни, които искат да влязат в договорни отношения имат различно ниво на информираност, което засяга способността им да вземат решения</w:t>
            </w:r>
          </w:p>
        </w:tc>
        <w:tc>
          <w:tcPr>
            <w:tcW w:w="4131" w:type="dxa"/>
          </w:tcPr>
          <w:p w:rsidR="00B26F4B" w:rsidRPr="00B26F4B"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eastAsia="Calibri" w:cstheme="minorHAnsi"/>
              </w:rPr>
              <w:t>Анализът на количествата отпадъци, който се извършва от страна на частния сектор често се разминава с този на общините. Причина за това е, че бизнесът използва статистически данни, които са обработени и осреднени въз основа на определена методика и са валидни за страната като цяло, а не за съответната територия</w:t>
            </w:r>
          </w:p>
        </w:tc>
        <w:tc>
          <w:tcPr>
            <w:tcW w:w="3948" w:type="dxa"/>
          </w:tcPr>
          <w:p w:rsidR="00B26F4B" w:rsidRPr="0001242A"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01242A">
              <w:rPr>
                <w:rFonts w:eastAsia="Calibri" w:cstheme="minorHAnsi"/>
              </w:rPr>
              <w:t>Неефективно планиране на необходимите инвестиции</w:t>
            </w:r>
            <w:r>
              <w:rPr>
                <w:rFonts w:eastAsia="Calibri" w:cstheme="minorHAnsi"/>
              </w:rPr>
              <w:t xml:space="preserve"> и риск от успеваемост на проектите</w:t>
            </w:r>
          </w:p>
        </w:tc>
      </w:tr>
      <w:tr w:rsidR="00B26F4B" w:rsidRPr="00487D88" w:rsidTr="00346C03">
        <w:trPr>
          <w:trHeight w:val="1124"/>
        </w:trPr>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lang w:eastAsia="bg-BG"/>
              </w:rPr>
            </w:pPr>
            <w:r w:rsidRPr="00487D88">
              <w:rPr>
                <w:rFonts w:eastAsia="Calibri" w:cstheme="minorHAnsi"/>
                <w:lang w:eastAsia="bg-BG"/>
              </w:rPr>
              <w:t>Различни стимули</w:t>
            </w:r>
          </w:p>
        </w:tc>
        <w:tc>
          <w:tcPr>
            <w:tcW w:w="3707" w:type="dxa"/>
          </w:tcPr>
          <w:p w:rsidR="00B26F4B" w:rsidRPr="005A2223" w:rsidRDefault="00B26F4B" w:rsidP="00177CC3">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sidRPr="005A2223">
              <w:rPr>
                <w:rFonts w:eastAsia="Calibri" w:cstheme="minorHAnsi"/>
                <w:bCs/>
                <w:lang w:eastAsia="bg-BG"/>
              </w:rPr>
              <w:t>Възникват когато две страни , които искат да влязат в договорни отношения имат различна цел и стимули, което засяга способността им да вземат решения</w:t>
            </w:r>
          </w:p>
          <w:p w:rsidR="00B26F4B" w:rsidRPr="005A2223" w:rsidRDefault="00B26F4B" w:rsidP="00177CC3">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p>
        </w:tc>
        <w:tc>
          <w:tcPr>
            <w:tcW w:w="4131" w:type="dxa"/>
          </w:tcPr>
          <w:p w:rsidR="00B26F4B" w:rsidRDefault="00B26F4B"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F7457F">
              <w:rPr>
                <w:rFonts w:eastAsia="Calibri" w:cstheme="minorHAnsi"/>
              </w:rPr>
              <w:t>Реализирането на проектите в сектора са свързани с допълнителни инвестиционни и експлоатационни разходи. Основните източници за финансиране на оперативните разходи за управление на отпадъците са собствените средства на организациите за оползотворяване на отпадъците и постъпления от такса битови от</w:t>
            </w:r>
            <w:r>
              <w:rPr>
                <w:rFonts w:eastAsia="Calibri" w:cstheme="minorHAnsi"/>
              </w:rPr>
              <w:t>падъци, реализирани от общините</w:t>
            </w:r>
          </w:p>
          <w:p w:rsidR="00B26F4B" w:rsidRPr="00346C03" w:rsidRDefault="00B26F4B"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1F1A5A">
              <w:rPr>
                <w:rFonts w:ascii="Calibri" w:eastAsia="Calibri" w:hAnsi="Calibri" w:cs="Times New Roman"/>
              </w:rPr>
              <w:t xml:space="preserve">Заплащането на такса, чийто размер е определен на база, различна от </w:t>
            </w:r>
            <w:r w:rsidRPr="001F1A5A">
              <w:rPr>
                <w:rFonts w:ascii="Calibri" w:eastAsia="Calibri" w:hAnsi="Calibri" w:cs="Times New Roman"/>
              </w:rPr>
              <w:lastRenderedPageBreak/>
              <w:t>количеството на изхвърлените отпадъци, на практика не създава стимул на населението да изхвърля по-малко количество отпадъци</w:t>
            </w:r>
          </w:p>
        </w:tc>
        <w:tc>
          <w:tcPr>
            <w:tcW w:w="3948" w:type="dxa"/>
          </w:tcPr>
          <w:p w:rsidR="00B26F4B" w:rsidRPr="0001242A" w:rsidRDefault="00B26F4B"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Pr>
                <w:rFonts w:ascii="Calibri" w:eastAsia="Calibri" w:hAnsi="Calibri" w:cs="Calibri"/>
              </w:rPr>
              <w:lastRenderedPageBreak/>
              <w:t>О</w:t>
            </w:r>
            <w:r w:rsidRPr="001F1A5A">
              <w:rPr>
                <w:rFonts w:ascii="Calibri" w:eastAsia="Calibri" w:hAnsi="Calibri" w:cs="Calibri"/>
              </w:rPr>
              <w:t>гранич</w:t>
            </w:r>
            <w:r>
              <w:rPr>
                <w:rFonts w:ascii="Calibri" w:eastAsia="Calibri" w:hAnsi="Calibri" w:cs="Calibri"/>
              </w:rPr>
              <w:t>ения пред</w:t>
            </w:r>
            <w:r w:rsidRPr="001F1A5A">
              <w:rPr>
                <w:rFonts w:ascii="Calibri" w:eastAsia="Calibri" w:hAnsi="Calibri" w:cs="Calibri"/>
              </w:rPr>
              <w:t xml:space="preserve"> общините самостоятелно да осигурят необходимия финансов ресурс за инвестиции в сектора</w:t>
            </w:r>
          </w:p>
        </w:tc>
      </w:tr>
      <w:tr w:rsidR="00B26F4B" w:rsidRPr="00487D88" w:rsidTr="00346C03">
        <w:trPr>
          <w:cnfStyle w:val="000000100000" w:firstRow="0" w:lastRow="0" w:firstColumn="0" w:lastColumn="0" w:oddVBand="0" w:evenVBand="0" w:oddHBand="1" w:evenHBand="0" w:firstRowFirstColumn="0" w:firstRowLastColumn="0" w:lastRowFirstColumn="0" w:lastRowLastColumn="0"/>
          <w:trHeight w:val="3818"/>
        </w:trPr>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lang w:eastAsia="bg-BG"/>
              </w:rPr>
            </w:pPr>
            <w:r w:rsidRPr="00487D88">
              <w:rPr>
                <w:rFonts w:eastAsia="Calibri" w:cstheme="minorHAnsi"/>
              </w:rPr>
              <w:lastRenderedPageBreak/>
              <w:t>Недостатъчно готови инвестиционни проекти</w:t>
            </w:r>
          </w:p>
        </w:tc>
        <w:tc>
          <w:tcPr>
            <w:tcW w:w="3707" w:type="dxa"/>
          </w:tcPr>
          <w:p w:rsidR="00B26F4B" w:rsidRPr="00487D88" w:rsidRDefault="00B26F4B" w:rsidP="00177CC3">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lang w:eastAsia="bg-BG"/>
              </w:rPr>
            </w:pPr>
            <w:r w:rsidRPr="00D27DCE">
              <w:rPr>
                <w:rFonts w:eastAsia="Times New Roman" w:cstheme="minorHAnsi"/>
                <w:bCs/>
                <w:lang w:eastAsia="bg-BG"/>
              </w:rPr>
              <w:t>Това означава, че дори да има достъп до финансиране, страната на предлагането може да остане по-скоро пасивна, отколкото активна</w:t>
            </w:r>
          </w:p>
        </w:tc>
        <w:tc>
          <w:tcPr>
            <w:tcW w:w="4131" w:type="dxa"/>
          </w:tcPr>
          <w:p w:rsidR="00B26F4B" w:rsidRPr="0001242A"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B776DB">
              <w:rPr>
                <w:rFonts w:eastAsia="Calibri" w:cstheme="minorHAnsi"/>
              </w:rPr>
              <w:t>Това се дължи основно на факта, че за подготовката на проекти са отговорни общините, които не разполагат с достатъчно финансов ресурс за инвестиционно проектиране, а приходите от ТБО не са достатъчни за покриването на тези разходи. На практика към момента няма пазарен стимул за общините да инвестират самостоятелно в необходимата инфраструктура.</w:t>
            </w:r>
          </w:p>
        </w:tc>
        <w:tc>
          <w:tcPr>
            <w:tcW w:w="3948" w:type="dxa"/>
          </w:tcPr>
          <w:p w:rsidR="00B26F4B"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831031">
              <w:rPr>
                <w:rFonts w:eastAsia="Calibri" w:cstheme="minorHAnsi"/>
              </w:rPr>
              <w:t>В 34 РСУО не са осъществявани прединвестиционни проучвания за оползотворяване на б</w:t>
            </w:r>
            <w:r>
              <w:rPr>
                <w:rFonts w:eastAsia="Calibri" w:cstheme="minorHAnsi"/>
              </w:rPr>
              <w:t>иоразградимите битови отпадъци</w:t>
            </w:r>
          </w:p>
          <w:p w:rsidR="00B26F4B" w:rsidRPr="00831031"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831031">
              <w:rPr>
                <w:rFonts w:eastAsia="Calibri" w:cstheme="minorHAnsi"/>
              </w:rPr>
              <w:t>В 32 РУСО не са предприети действия за изграждане на се</w:t>
            </w:r>
            <w:r>
              <w:rPr>
                <w:rFonts w:eastAsia="Calibri" w:cstheme="minorHAnsi"/>
              </w:rPr>
              <w:t>париращи и сортиращи инсталации</w:t>
            </w:r>
          </w:p>
          <w:p w:rsidR="00B26F4B" w:rsidRPr="00346C03"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01242A">
              <w:rPr>
                <w:rFonts w:eastAsia="Calibri" w:cstheme="minorHAnsi"/>
              </w:rPr>
              <w:t>Липса на стимули за подготовка и на инвестиционни проекти и реализиране на инвестиции в сектор</w:t>
            </w:r>
            <w:r w:rsidR="00346C03">
              <w:rPr>
                <w:rFonts w:eastAsia="Calibri" w:cstheme="minorHAnsi"/>
              </w:rPr>
              <w:t>а</w:t>
            </w:r>
          </w:p>
        </w:tc>
      </w:tr>
      <w:tr w:rsidR="00B26F4B" w:rsidRPr="00487D88" w:rsidTr="00346C03">
        <w:tc>
          <w:tcPr>
            <w:cnfStyle w:val="001000000000" w:firstRow="0" w:lastRow="0" w:firstColumn="1" w:lastColumn="0" w:oddVBand="0" w:evenVBand="0" w:oddHBand="0" w:evenHBand="0" w:firstRowFirstColumn="0" w:firstRowLastColumn="0" w:lastRowFirstColumn="0" w:lastRowLastColumn="0"/>
            <w:tcW w:w="14283" w:type="dxa"/>
            <w:gridSpan w:val="4"/>
          </w:tcPr>
          <w:p w:rsidR="00B26F4B" w:rsidRPr="00487D88" w:rsidRDefault="00B26F4B" w:rsidP="00177CC3">
            <w:pPr>
              <w:widowControl w:val="0"/>
              <w:autoSpaceDE w:val="0"/>
              <w:autoSpaceDN w:val="0"/>
              <w:adjustRightInd w:val="0"/>
              <w:spacing w:line="239" w:lineRule="auto"/>
              <w:ind w:right="66"/>
              <w:jc w:val="center"/>
              <w:rPr>
                <w:rFonts w:eastAsia="Calibri" w:cstheme="minorHAnsi"/>
              </w:rPr>
            </w:pPr>
            <w:r>
              <w:rPr>
                <w:rFonts w:eastAsia="Calibri" w:cstheme="minorHAnsi"/>
              </w:rPr>
              <w:t>Неуспехи от страна на предлагането</w:t>
            </w:r>
          </w:p>
        </w:tc>
      </w:tr>
      <w:tr w:rsidR="00B26F4B" w:rsidRPr="00487D88" w:rsidTr="00346C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lang w:eastAsia="bg-BG"/>
              </w:rPr>
            </w:pPr>
            <w:r w:rsidRPr="00487D88">
              <w:rPr>
                <w:rFonts w:eastAsia="Calibri" w:cstheme="minorHAnsi"/>
              </w:rPr>
              <w:t>Ограничен достъп до подходящо финансиране</w:t>
            </w:r>
          </w:p>
        </w:tc>
        <w:tc>
          <w:tcPr>
            <w:tcW w:w="3707" w:type="dxa"/>
          </w:tcPr>
          <w:p w:rsidR="00B26F4B" w:rsidRPr="00487D88" w:rsidRDefault="00B26F4B" w:rsidP="00177CC3">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Pr>
                <w:rFonts w:eastAsia="Times New Roman" w:cstheme="minorHAnsi"/>
                <w:bCs/>
                <w:lang w:eastAsia="bg-BG"/>
              </w:rPr>
              <w:t>Много от инвестициите изискват микс от публично (безвъзмездно) финансиране и частно финансиране, тъй като имат големи първоначални (инвестиционни) разходи и дълъг период на изплащане/откупуване на инвестицията</w:t>
            </w:r>
          </w:p>
        </w:tc>
        <w:tc>
          <w:tcPr>
            <w:tcW w:w="4131" w:type="dxa"/>
          </w:tcPr>
          <w:p w:rsidR="00B26F4B" w:rsidRPr="00F7457F"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F7457F">
              <w:rPr>
                <w:rFonts w:eastAsia="Calibri" w:cstheme="minorHAnsi"/>
              </w:rPr>
              <w:t xml:space="preserve">Реализирането на проектите в сектора са свързани с допълнителни инвестиционни и експлоатационни разходи. Основните източници за финансиране на оперативните разходи за управление на отпадъците са собствените средства на организациите за оползотворяване на отпадъците и постъпления от такса </w:t>
            </w:r>
            <w:r w:rsidRPr="00F7457F">
              <w:rPr>
                <w:rFonts w:eastAsia="Calibri" w:cstheme="minorHAnsi"/>
              </w:rPr>
              <w:lastRenderedPageBreak/>
              <w:t>битови отпадъци, реализирани от общините.</w:t>
            </w:r>
          </w:p>
          <w:p w:rsidR="00B26F4B" w:rsidRPr="00487D88"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1F1A5A">
              <w:rPr>
                <w:rFonts w:ascii="Calibri" w:eastAsia="Calibri" w:hAnsi="Calibri" w:cs="Times New Roman"/>
              </w:rPr>
              <w:t xml:space="preserve">Заплащането на такса, чийто размер е определен на база, различна от количеството на изхвърлените отпадъци, на практика не създава стимул на населението да изхвърля по-малко количество отпадъци. Този факт, заедно с обстоятелството, че към днешна дата все още да няма приета </w:t>
            </w:r>
            <w:r w:rsidRPr="001F1A5A">
              <w:rPr>
                <w:rFonts w:ascii="Calibri" w:eastAsia="Calibri" w:hAnsi="Calibri" w:cs="Calibri"/>
              </w:rPr>
              <w:t>методика за определяне на такса битови отпадъци в съответствие с чл. 67, ал. 2 от ЗМДТ ограничава общините да могат самостоятелно да осигурят необходимия финансов ресурс за инвестиции в сектора.</w:t>
            </w:r>
          </w:p>
        </w:tc>
        <w:tc>
          <w:tcPr>
            <w:tcW w:w="3948" w:type="dxa"/>
          </w:tcPr>
          <w:p w:rsidR="00B26F4B" w:rsidRPr="0001242A" w:rsidRDefault="00B26F4B"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eastAsia="Calibri" w:cstheme="minorHAnsi"/>
              </w:rPr>
              <w:lastRenderedPageBreak/>
              <w:t>Липса на адекватно портфолио от финансови ресурси</w:t>
            </w:r>
          </w:p>
        </w:tc>
      </w:tr>
      <w:tr w:rsidR="00B26F4B" w:rsidRPr="00487D88" w:rsidTr="00346C03">
        <w:tc>
          <w:tcPr>
            <w:cnfStyle w:val="001000000000" w:firstRow="0" w:lastRow="0" w:firstColumn="1" w:lastColumn="0" w:oddVBand="0" w:evenVBand="0" w:oddHBand="0" w:evenHBand="0" w:firstRowFirstColumn="0" w:firstRowLastColumn="0" w:lastRowFirstColumn="0" w:lastRowLastColumn="0"/>
            <w:tcW w:w="2497" w:type="dxa"/>
          </w:tcPr>
          <w:p w:rsidR="00B26F4B" w:rsidRPr="00487D88" w:rsidRDefault="00B26F4B" w:rsidP="00177CC3">
            <w:pPr>
              <w:spacing w:before="120" w:after="120"/>
              <w:jc w:val="both"/>
              <w:rPr>
                <w:rFonts w:eastAsia="Calibri" w:cstheme="minorHAnsi"/>
              </w:rPr>
            </w:pPr>
            <w:r w:rsidRPr="00487D88">
              <w:rPr>
                <w:rFonts w:eastAsia="Calibri" w:cstheme="minorHAnsi"/>
              </w:rPr>
              <w:lastRenderedPageBreak/>
              <w:t>Липса на капацитет или недостатъчно опит при управление на проектно финансиране</w:t>
            </w:r>
          </w:p>
        </w:tc>
        <w:tc>
          <w:tcPr>
            <w:tcW w:w="3707" w:type="dxa"/>
          </w:tcPr>
          <w:p w:rsidR="00B26F4B" w:rsidRPr="00487D88" w:rsidRDefault="00B26F4B" w:rsidP="00177CC3">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cstheme="minorHAnsi"/>
                <w:bCs/>
                <w:lang w:eastAsia="bg-BG"/>
              </w:rPr>
            </w:pPr>
            <w:r>
              <w:rPr>
                <w:rFonts w:eastAsia="Calibri" w:cstheme="minorHAnsi"/>
              </w:rPr>
              <w:t xml:space="preserve">Липсата на капацитет/опит в проектното финансиране </w:t>
            </w:r>
            <w:r w:rsidRPr="00487D88">
              <w:rPr>
                <w:rFonts w:eastAsia="Calibri" w:cstheme="minorHAnsi"/>
              </w:rPr>
              <w:t>предполагат ниска или недостатъчна успеваемост на инвестициите и завишен риск при реализиране на проектите</w:t>
            </w:r>
          </w:p>
        </w:tc>
        <w:tc>
          <w:tcPr>
            <w:tcW w:w="4131" w:type="dxa"/>
          </w:tcPr>
          <w:p w:rsidR="00B26F4B" w:rsidRPr="0001242A" w:rsidRDefault="00B26F4B"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1F1A5A">
              <w:rPr>
                <w:rFonts w:ascii="Calibri" w:eastAsia="Calibri" w:hAnsi="Calibri" w:cs="Times New Roman"/>
              </w:rPr>
              <w:t xml:space="preserve">Въпреки, че през изминалия програмен период, общините натрупаха известен капацитет за изпълнение на проекти, като цяло проблемите при управлението на инвестиционни намерения са значителни. Навлизането на бизнеса в сектора е частично ограничено чрез нормативни рестрикции в ЗУТ, което прави инвестиционните схеми недостатъчно ефективни. Тези обстоятелства предполагат ниска </w:t>
            </w:r>
            <w:r w:rsidRPr="001F1A5A">
              <w:rPr>
                <w:rFonts w:ascii="Calibri" w:eastAsia="Calibri" w:hAnsi="Calibri" w:cs="Times New Roman"/>
              </w:rPr>
              <w:lastRenderedPageBreak/>
              <w:t>успеваемост на инвестициите и завишен риск при реализиране на проектите.</w:t>
            </w:r>
          </w:p>
        </w:tc>
        <w:tc>
          <w:tcPr>
            <w:tcW w:w="3948" w:type="dxa"/>
          </w:tcPr>
          <w:p w:rsidR="00B26F4B" w:rsidRPr="0083165D" w:rsidRDefault="00B26F4B"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E010B7">
              <w:rPr>
                <w:rFonts w:eastAsia="Calibri" w:cstheme="minorHAnsi"/>
              </w:rPr>
              <w:lastRenderedPageBreak/>
              <w:t xml:space="preserve">Занижен интерес от страна на финансовите институции за предлагане на адекватни форми на ФИ, поради високия риск от </w:t>
            </w:r>
            <w:r w:rsidR="004562E3" w:rsidRPr="00E010B7">
              <w:rPr>
                <w:rFonts w:eastAsia="Calibri" w:cstheme="minorHAnsi"/>
              </w:rPr>
              <w:t>неуспешно изпълнение</w:t>
            </w:r>
            <w:r w:rsidRPr="00E010B7">
              <w:rPr>
                <w:rFonts w:eastAsia="Calibri" w:cstheme="minorHAnsi"/>
              </w:rPr>
              <w:t xml:space="preserve"> на проектите</w:t>
            </w:r>
            <w:r w:rsidR="00E010B7">
              <w:rPr>
                <w:rFonts w:eastAsia="Calibri" w:cstheme="minorHAnsi"/>
              </w:rPr>
              <w:t>.</w:t>
            </w:r>
          </w:p>
        </w:tc>
      </w:tr>
    </w:tbl>
    <w:p w:rsidR="00F2336B" w:rsidRDefault="00F2336B" w:rsidP="00F2533C">
      <w:pPr>
        <w:spacing w:before="120" w:after="120" w:line="240" w:lineRule="auto"/>
        <w:jc w:val="both"/>
        <w:rPr>
          <w:rFonts w:ascii="Calibri" w:eastAsia="Calibri" w:hAnsi="Calibri" w:cs="Calibri"/>
          <w:bCs/>
          <w:lang w:eastAsia="bg-BG"/>
        </w:rPr>
      </w:pPr>
    </w:p>
    <w:p w:rsidR="00F2336B" w:rsidRPr="00F2533C" w:rsidRDefault="00F2336B" w:rsidP="00F2533C">
      <w:pPr>
        <w:spacing w:before="120" w:after="120" w:line="240" w:lineRule="auto"/>
        <w:jc w:val="both"/>
        <w:rPr>
          <w:rFonts w:ascii="Calibri" w:eastAsia="Calibri" w:hAnsi="Calibri" w:cs="Calibri"/>
          <w:bCs/>
          <w:lang w:eastAsia="bg-BG"/>
        </w:rPr>
      </w:pPr>
    </w:p>
    <w:p w:rsidR="00F2533C" w:rsidRPr="00F2533C" w:rsidRDefault="00F2533C" w:rsidP="00F2533C">
      <w:pPr>
        <w:widowControl w:val="0"/>
        <w:autoSpaceDE w:val="0"/>
        <w:autoSpaceDN w:val="0"/>
        <w:adjustRightInd w:val="0"/>
        <w:spacing w:after="0" w:line="253" w:lineRule="auto"/>
        <w:ind w:right="110"/>
        <w:jc w:val="both"/>
        <w:rPr>
          <w:rFonts w:ascii="Georgia" w:eastAsia="Calibri" w:hAnsi="Georgia" w:cs="Georgia"/>
          <w:sz w:val="20"/>
          <w:szCs w:val="20"/>
        </w:rPr>
      </w:pPr>
    </w:p>
    <w:p w:rsidR="00DE3358" w:rsidRDefault="00DE3358" w:rsidP="00F2533C">
      <w:pPr>
        <w:spacing w:before="240" w:after="120" w:line="240" w:lineRule="auto"/>
        <w:jc w:val="both"/>
        <w:rPr>
          <w:rFonts w:ascii="Calibri" w:eastAsia="Calibri" w:hAnsi="Calibri" w:cs="Calibri"/>
          <w:bCs/>
          <w:lang w:eastAsia="bg-BG"/>
        </w:rPr>
        <w:sectPr w:rsidR="00DE3358" w:rsidSect="006E39EC">
          <w:pgSz w:w="16838" w:h="11906" w:orient="landscape"/>
          <w:pgMar w:top="1417" w:right="1560" w:bottom="1417" w:left="1134" w:header="708" w:footer="247" w:gutter="0"/>
          <w:cols w:space="708"/>
          <w:titlePg/>
          <w:docGrid w:linePitch="360"/>
        </w:sectPr>
      </w:pPr>
    </w:p>
    <w:p w:rsidR="00F2533C" w:rsidRPr="00F2533C" w:rsidRDefault="00F2533C" w:rsidP="00F2533C">
      <w:pPr>
        <w:spacing w:before="240" w:after="120" w:line="240" w:lineRule="auto"/>
        <w:jc w:val="both"/>
        <w:rPr>
          <w:rFonts w:ascii="Calibri" w:eastAsia="Calibri" w:hAnsi="Calibri" w:cs="Calibri"/>
          <w:bCs/>
          <w:lang w:eastAsia="bg-BG"/>
        </w:rPr>
      </w:pPr>
      <w:r w:rsidRPr="00F2533C">
        <w:rPr>
          <w:rFonts w:ascii="Calibri" w:eastAsia="Calibri" w:hAnsi="Calibri" w:cs="Calibri"/>
          <w:bCs/>
          <w:lang w:eastAsia="bg-BG"/>
        </w:rPr>
        <w:lastRenderedPageBreak/>
        <w:t>Съвкупността от гореизброените причини за идентифицираните пазарни неуспехи води до един основен недостига на пазара в сектор Отпадъци, а именно:</w:t>
      </w:r>
    </w:p>
    <w:p w:rsidR="00F2533C" w:rsidRDefault="00F2533C" w:rsidP="009C1CFD">
      <w:pPr>
        <w:numPr>
          <w:ilvl w:val="3"/>
          <w:numId w:val="4"/>
        </w:numPr>
        <w:spacing w:before="240" w:after="120" w:line="240" w:lineRule="auto"/>
        <w:ind w:left="851"/>
        <w:jc w:val="both"/>
        <w:rPr>
          <w:rFonts w:ascii="Calibri" w:eastAsia="Calibri" w:hAnsi="Calibri" w:cs="Calibri"/>
          <w:bCs/>
          <w:lang w:eastAsia="bg-BG"/>
        </w:rPr>
      </w:pPr>
      <w:r w:rsidRPr="00F2533C">
        <w:rPr>
          <w:rFonts w:ascii="Calibri" w:eastAsia="Calibri" w:hAnsi="Calibri" w:cs="Calibri"/>
          <w:b/>
          <w:bCs/>
          <w:lang w:eastAsia="bg-BG"/>
        </w:rPr>
        <w:t xml:space="preserve">Финансов </w:t>
      </w:r>
      <w:r w:rsidRPr="00F2533C">
        <w:rPr>
          <w:rFonts w:ascii="Calibri" w:eastAsia="Calibri" w:hAnsi="Calibri" w:cs="Calibri"/>
          <w:bCs/>
          <w:lang w:eastAsia="bg-BG"/>
        </w:rPr>
        <w:t xml:space="preserve">– </w:t>
      </w:r>
      <w:r w:rsidR="00FE7881">
        <w:rPr>
          <w:rFonts w:ascii="Calibri" w:eastAsia="Calibri" w:hAnsi="Calibri" w:cs="Calibri"/>
          <w:bCs/>
          <w:lang w:eastAsia="bg-BG"/>
        </w:rPr>
        <w:t>налице е необходимост от значителен финансов ресурс, който обаче не може да бъде запълнен от пазарното предлагане във финансовия сектор.</w:t>
      </w:r>
    </w:p>
    <w:p w:rsidR="001833D6" w:rsidRPr="00AD1E8E" w:rsidRDefault="001833D6" w:rsidP="001833D6">
      <w:pPr>
        <w:jc w:val="both"/>
        <w:rPr>
          <w:rFonts w:ascii="Calibri" w:eastAsia="Times New Roman" w:hAnsi="Calibri" w:cs="Arial"/>
          <w:b/>
          <w:bCs/>
          <w:color w:val="000000"/>
          <w:lang w:eastAsia="bg-BG"/>
        </w:rPr>
      </w:pPr>
      <w:r w:rsidRPr="00AD1E8E">
        <w:rPr>
          <w:rFonts w:ascii="Calibri" w:hAnsi="Calibri"/>
          <w:lang w:eastAsia="bg-BG"/>
        </w:rPr>
        <w:t>Т</w:t>
      </w:r>
      <w:r>
        <w:rPr>
          <w:rFonts w:ascii="Calibri" w:hAnsi="Calibri"/>
          <w:lang w:eastAsia="bg-BG"/>
        </w:rPr>
        <w:t xml:space="preserve">ази констатация </w:t>
      </w:r>
      <w:r w:rsidRPr="00AD1E8E">
        <w:rPr>
          <w:rFonts w:ascii="Calibri" w:hAnsi="Calibri"/>
          <w:lang w:eastAsia="bg-BG"/>
        </w:rPr>
        <w:t xml:space="preserve">се </w:t>
      </w:r>
      <w:r>
        <w:rPr>
          <w:rFonts w:ascii="Calibri" w:hAnsi="Calibri"/>
          <w:lang w:eastAsia="bg-BG"/>
        </w:rPr>
        <w:t>потвърждава</w:t>
      </w:r>
      <w:r w:rsidRPr="00AD1E8E">
        <w:rPr>
          <w:rFonts w:ascii="Calibri" w:hAnsi="Calibri"/>
          <w:lang w:eastAsia="bg-BG"/>
        </w:rPr>
        <w:t xml:space="preserve"> и от споделените от общините</w:t>
      </w:r>
      <w:r>
        <w:rPr>
          <w:rFonts w:ascii="Calibri" w:hAnsi="Calibri"/>
          <w:lang w:eastAsia="bg-BG"/>
        </w:rPr>
        <w:t xml:space="preserve"> в анкетното проучване</w:t>
      </w:r>
      <w:r>
        <w:rPr>
          <w:rStyle w:val="FootnoteReference"/>
          <w:rFonts w:ascii="Calibri" w:hAnsi="Calibri"/>
          <w:lang w:eastAsia="bg-BG"/>
        </w:rPr>
        <w:footnoteReference w:id="22"/>
      </w:r>
      <w:r w:rsidRPr="00AD1E8E">
        <w:rPr>
          <w:rFonts w:ascii="Calibri" w:hAnsi="Calibri"/>
          <w:lang w:eastAsia="bg-BG"/>
        </w:rPr>
        <w:t xml:space="preserve"> трудности при получаване или обезпечаване на инвестиционно финансиране – 64% посочват, че имат такива трудности (17% не считат, че имат такива затруднения). Запитани относно причините за тези трудности с най-голям дял е „</w:t>
      </w:r>
      <w:r w:rsidRPr="00AD1E8E">
        <w:rPr>
          <w:rFonts w:ascii="Calibri" w:eastAsia="Times New Roman" w:hAnsi="Calibri" w:cs="Arial"/>
          <w:color w:val="000000"/>
          <w:lang w:eastAsia="bg-BG"/>
        </w:rPr>
        <w:t>Недостатъчно приходи за покриване разходите по финансирането</w:t>
      </w:r>
      <w:r w:rsidRPr="00AD1E8E">
        <w:rPr>
          <w:rFonts w:ascii="Calibri" w:hAnsi="Calibri"/>
          <w:lang w:eastAsia="bg-BG"/>
        </w:rPr>
        <w:t>“ – 90% от отговорилите, следван от „</w:t>
      </w:r>
      <w:r w:rsidRPr="00AD1E8E">
        <w:rPr>
          <w:rFonts w:ascii="Calibri" w:eastAsia="Times New Roman" w:hAnsi="Calibri" w:cs="Arial"/>
          <w:color w:val="000000"/>
          <w:lang w:eastAsia="bg-BG"/>
        </w:rPr>
        <w:t xml:space="preserve">Невъзможност за осигуряване на исканото от финансиращата банка/институция обезпечение“ </w:t>
      </w:r>
      <w:r w:rsidRPr="00AD1E8E">
        <w:rPr>
          <w:rFonts w:ascii="Calibri" w:hAnsi="Calibri"/>
          <w:lang w:eastAsia="bg-BG"/>
        </w:rPr>
        <w:t xml:space="preserve"> - 33%. </w:t>
      </w:r>
    </w:p>
    <w:p w:rsidR="003F4EAE" w:rsidRPr="00D366B8" w:rsidRDefault="00D366B8" w:rsidP="00D366B8">
      <w:pPr>
        <w:pStyle w:val="Heading3"/>
        <w:spacing w:before="120" w:after="120"/>
        <w:rPr>
          <w:rFonts w:asciiTheme="minorHAnsi" w:eastAsia="Calibri" w:hAnsiTheme="minorHAnsi"/>
        </w:rPr>
      </w:pPr>
      <w:bookmarkStart w:id="39" w:name="_Toc399494517"/>
      <w:r>
        <w:rPr>
          <w:rFonts w:asciiTheme="minorHAnsi" w:eastAsia="Calibri" w:hAnsiTheme="minorHAnsi"/>
        </w:rPr>
        <w:t xml:space="preserve">1.2.3. </w:t>
      </w:r>
      <w:r w:rsidR="003F4EAE" w:rsidRPr="00D366B8">
        <w:rPr>
          <w:rFonts w:asciiTheme="minorHAnsi" w:eastAsia="Calibri" w:hAnsiTheme="minorHAnsi"/>
        </w:rPr>
        <w:t>Анализ на търсенето и предлагането</w:t>
      </w:r>
      <w:r w:rsidR="00DE3358">
        <w:rPr>
          <w:rFonts w:asciiTheme="minorHAnsi" w:eastAsia="Calibri" w:hAnsiTheme="minorHAnsi"/>
        </w:rPr>
        <w:t xml:space="preserve"> в сектор Отпадъци</w:t>
      </w:r>
      <w:bookmarkEnd w:id="39"/>
    </w:p>
    <w:p w:rsidR="003F4EAE" w:rsidRPr="003F4EAE" w:rsidRDefault="003F4EAE" w:rsidP="003F4EAE">
      <w:pPr>
        <w:spacing w:after="200" w:line="276" w:lineRule="auto"/>
        <w:jc w:val="both"/>
        <w:rPr>
          <w:rFonts w:ascii="Calibri" w:eastAsia="Calibri" w:hAnsi="Calibri" w:cs="Times New Roman"/>
        </w:rPr>
      </w:pPr>
      <w:r w:rsidRPr="003F4EAE">
        <w:rPr>
          <w:rFonts w:ascii="Calibri" w:eastAsia="Calibri" w:hAnsi="Calibri" w:cs="Times New Roman"/>
          <w:b/>
          <w:i/>
        </w:rPr>
        <w:t>Анализът на търсенето</w:t>
      </w:r>
      <w:r w:rsidRPr="003F4EAE">
        <w:rPr>
          <w:rFonts w:ascii="Calibri" w:eastAsia="Calibri" w:hAnsi="Calibri" w:cs="Times New Roman"/>
        </w:rPr>
        <w:t xml:space="preserve"> в сектор Отпадъци в страната в голяма степен се обуславя от изискванията на европейското законодателство в областта на отпадъците, в т.ч.:</w:t>
      </w:r>
    </w:p>
    <w:p w:rsidR="003F4EAE" w:rsidRPr="003F4EAE" w:rsidRDefault="003F4EAE"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3F4EAE">
        <w:rPr>
          <w:rFonts w:ascii="Calibri" w:eastAsia="Calibri" w:hAnsi="Calibri" w:cs="Calibri"/>
          <w:bCs/>
        </w:rPr>
        <w:t xml:space="preserve">Съответствие  с  </w:t>
      </w:r>
      <w:hyperlink r:id="rId36" w:tgtFrame="_blank" w:history="1">
        <w:r w:rsidRPr="003F4EAE">
          <w:rPr>
            <w:rFonts w:ascii="Calibri" w:eastAsia="Calibri" w:hAnsi="Calibri" w:cs="Calibri"/>
            <w:bCs/>
          </w:rPr>
          <w:t>Директива 1999/31/EО на Съвета от 26 април 1999 година относно депонирането на отпадъци</w:t>
        </w:r>
      </w:hyperlink>
    </w:p>
    <w:p w:rsidR="003F4EAE" w:rsidRPr="003F4EAE" w:rsidRDefault="003F4EAE"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3F4EAE">
        <w:rPr>
          <w:rFonts w:ascii="Calibri" w:eastAsia="Calibri" w:hAnsi="Calibri" w:cs="Calibri"/>
          <w:bCs/>
        </w:rPr>
        <w:t xml:space="preserve">Съответствие с </w:t>
      </w:r>
      <w:hyperlink r:id="rId37" w:tgtFrame="_blank" w:history="1">
        <w:r w:rsidRPr="003F4EAE">
          <w:rPr>
            <w:rFonts w:ascii="Calibri" w:eastAsia="Calibri" w:hAnsi="Calibri" w:cs="Calibri"/>
            <w:bCs/>
          </w:rPr>
          <w:t>Директива 2008/98/ЕО на Европейския парламент и на Съвета от 19 ноември 2008 година относно отпадъците и за отмяна на определени директиви</w:t>
        </w:r>
      </w:hyperlink>
      <w:r w:rsidRPr="003F4EAE">
        <w:rPr>
          <w:rFonts w:ascii="Calibri" w:eastAsia="Calibri" w:hAnsi="Calibri" w:cs="Calibri"/>
          <w:bCs/>
        </w:rPr>
        <w:t>.</w:t>
      </w:r>
    </w:p>
    <w:p w:rsidR="003F4EAE" w:rsidRP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rPr>
      </w:pPr>
      <w:r w:rsidRPr="003F4EAE">
        <w:rPr>
          <w:rFonts w:ascii="Calibri" w:eastAsia="Calibri" w:hAnsi="Calibri" w:cs="Times New Roman"/>
        </w:rPr>
        <w:t xml:space="preserve">За да постигне съответствие с тези директиви, е необходимо адресиране на значителните нужди от инвестиции в сектора, които са залегнали и в ОП „Околна среда 2014 – 2020 г.”, а именно: </w:t>
      </w:r>
    </w:p>
    <w:p w:rsidR="003F4EAE" w:rsidRPr="003F4EAE" w:rsidRDefault="003F4EAE"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3F4EAE">
        <w:rPr>
          <w:rFonts w:ascii="Calibri" w:eastAsia="Calibri" w:hAnsi="Calibri" w:cs="Calibri"/>
          <w:bCs/>
        </w:rPr>
        <w:t>Мерки за подобряване управлението на битовите отпадъци;</w:t>
      </w:r>
    </w:p>
    <w:p w:rsidR="003F4EAE" w:rsidRPr="003F4EAE" w:rsidRDefault="003F4EAE"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3F4EAE">
        <w:rPr>
          <w:rFonts w:ascii="Calibri" w:eastAsia="Calibri" w:hAnsi="Calibri" w:cs="Calibri"/>
          <w:bCs/>
        </w:rPr>
        <w:t>Дейности, свързани с изпълнение на демонстрационни/пилотни проекти с цел събиране, синтезиране, разпространение и прилагане на нови, нетрадиционни успешни мерки, добри практики и/или управленски подходи в областта на управлението на отпадъците, както и въвеждане на нови технологии</w:t>
      </w:r>
    </w:p>
    <w:p w:rsidR="003F4EAE" w:rsidRP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rPr>
      </w:pPr>
      <w:r w:rsidRPr="003F4EAE">
        <w:rPr>
          <w:rFonts w:ascii="Calibri" w:eastAsia="Calibri" w:hAnsi="Calibri" w:cs="Times New Roman"/>
        </w:rPr>
        <w:t>Конкретните мерки, които изискват инвестиции в инфраструктура съгласно Националния план за управление на отпадъците за периода 2014-2020 г. и които могат да получат финансиране в рамките на ОПОС през новия програмен период включват:</w:t>
      </w:r>
    </w:p>
    <w:p w:rsidR="003F4EAE" w:rsidRPr="003F4EAE" w:rsidRDefault="003F4EAE"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3F4EAE">
        <w:rPr>
          <w:rFonts w:ascii="Calibri" w:eastAsia="Calibri" w:hAnsi="Calibri" w:cs="Calibri"/>
          <w:bCs/>
        </w:rPr>
        <w:t>Изграждане на инсталации за оползотворяване на биоразградимите битови отпадъци в 34 РСУО;</w:t>
      </w:r>
    </w:p>
    <w:p w:rsidR="003F4EAE" w:rsidRPr="003F4EAE" w:rsidRDefault="003F4EAE"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3F4EAE">
        <w:rPr>
          <w:rFonts w:ascii="Calibri" w:eastAsia="Calibri" w:hAnsi="Calibri" w:cs="Calibri"/>
          <w:bCs/>
        </w:rPr>
        <w:t>Оползотворяване на RDF-горивото, произведено от МВТ инсталацията в завода за битовите отпадъци на град София;</w:t>
      </w:r>
    </w:p>
    <w:p w:rsidR="003F4EAE" w:rsidRPr="003F4EAE" w:rsidRDefault="003F4EAE"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3F4EAE">
        <w:rPr>
          <w:rFonts w:ascii="Calibri" w:eastAsia="Calibri" w:hAnsi="Calibri" w:cs="Calibri"/>
          <w:bCs/>
        </w:rPr>
        <w:t>Изграждане на сепариращи и сортиращи инсталации за битови отпадъци в 32 РУСО.</w:t>
      </w:r>
    </w:p>
    <w:p w:rsidR="003F4EAE" w:rsidRP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rPr>
      </w:pPr>
      <w:r w:rsidRPr="003F4EAE">
        <w:rPr>
          <w:rFonts w:ascii="Calibri" w:eastAsia="Calibri" w:hAnsi="Calibri" w:cs="Times New Roman"/>
        </w:rPr>
        <w:t>НПУО 2014-2020 г. съдържа 9 програми, за чиято реализация е изчислено, че ще бъдат необходими 1,698 млрд. лв. Конкретно, за инвестициите в инфраструктура за подобряване управлението на битовите и биоразградимите отпадъци необходимият финансов ресурс е на стойност 1,254 млрд. лв., като за мерките, които могат конкретно да бъдат финансирани от ОПОС, необходимото финансиране е в размер на 623,9 млн. лв.</w:t>
      </w:r>
    </w:p>
    <w:p w:rsidR="003F4EAE" w:rsidRDefault="003F4EAE" w:rsidP="003F4EAE">
      <w:pPr>
        <w:widowControl w:val="0"/>
        <w:autoSpaceDE w:val="0"/>
        <w:autoSpaceDN w:val="0"/>
        <w:adjustRightInd w:val="0"/>
        <w:spacing w:before="240" w:after="200" w:line="239" w:lineRule="auto"/>
        <w:ind w:right="66"/>
        <w:jc w:val="both"/>
        <w:rPr>
          <w:rFonts w:ascii="Calibri" w:eastAsia="Calibri" w:hAnsi="Calibri" w:cs="Times New Roman"/>
        </w:rPr>
      </w:pPr>
      <w:r w:rsidRPr="003F4EAE">
        <w:rPr>
          <w:rFonts w:ascii="Calibri" w:eastAsia="Calibri" w:hAnsi="Calibri" w:cs="Times New Roman"/>
        </w:rPr>
        <w:t>Друг стратегически документ, който предвижда мерки в областта на управлението на отпадъците е Третият национален план за действие по изменение на климата за периода 2013-</w:t>
      </w:r>
      <w:r w:rsidRPr="003F4EAE">
        <w:rPr>
          <w:rFonts w:ascii="Calibri" w:eastAsia="Calibri" w:hAnsi="Calibri" w:cs="Times New Roman"/>
        </w:rPr>
        <w:lastRenderedPageBreak/>
        <w:t>2020 г. Част от тези мерки включват:</w:t>
      </w:r>
    </w:p>
    <w:p w:rsidR="00DE3358" w:rsidRPr="003F4EAE" w:rsidRDefault="00B26F4B" w:rsidP="001E30F0">
      <w:pPr>
        <w:keepNext/>
        <w:widowControl w:val="0"/>
        <w:autoSpaceDE w:val="0"/>
        <w:autoSpaceDN w:val="0"/>
        <w:adjustRightInd w:val="0"/>
        <w:spacing w:before="240" w:after="200" w:line="240" w:lineRule="auto"/>
        <w:ind w:right="68"/>
        <w:jc w:val="both"/>
        <w:rPr>
          <w:rFonts w:ascii="Calibri" w:eastAsia="Calibri" w:hAnsi="Calibri" w:cs="Times New Roman"/>
        </w:rPr>
      </w:pPr>
      <w:bookmarkStart w:id="40" w:name="_Toc399494895"/>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15</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Мерки </w:t>
      </w:r>
      <w:r w:rsidRPr="00B26F4B">
        <w:rPr>
          <w:rFonts w:eastAsia="Times New Roman" w:cstheme="minorHAnsi"/>
          <w:b/>
          <w:bCs/>
          <w:sz w:val="20"/>
          <w:szCs w:val="20"/>
          <w:lang w:eastAsia="bg-BG"/>
        </w:rPr>
        <w:t>в областта на управлението на отпадъците е Третият национален план за действие по изменение на климата</w:t>
      </w:r>
      <w:r>
        <w:rPr>
          <w:rFonts w:eastAsia="Times New Roman" w:cstheme="minorHAnsi"/>
          <w:b/>
          <w:bCs/>
          <w:sz w:val="20"/>
          <w:szCs w:val="20"/>
          <w:lang w:eastAsia="bg-BG"/>
        </w:rPr>
        <w:t xml:space="preserve"> (2013-2020)</w:t>
      </w:r>
      <w:bookmarkEnd w:id="40"/>
    </w:p>
    <w:tbl>
      <w:tblPr>
        <w:tblStyle w:val="LightShading-Accent111"/>
        <w:tblW w:w="0" w:type="auto"/>
        <w:tblLook w:val="04A0" w:firstRow="1" w:lastRow="0" w:firstColumn="1" w:lastColumn="0" w:noHBand="0" w:noVBand="1"/>
      </w:tblPr>
      <w:tblGrid>
        <w:gridCol w:w="6790"/>
        <w:gridCol w:w="2282"/>
      </w:tblGrid>
      <w:tr w:rsidR="003F4EAE" w:rsidRPr="003F4EAE" w:rsidTr="001F1A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12" w:type="dxa"/>
            <w:vAlign w:val="center"/>
          </w:tcPr>
          <w:p w:rsidR="003F4EAE" w:rsidRPr="003F4EAE" w:rsidRDefault="003F4EAE" w:rsidP="003F4EAE">
            <w:pPr>
              <w:widowControl w:val="0"/>
              <w:autoSpaceDE w:val="0"/>
              <w:autoSpaceDN w:val="0"/>
              <w:adjustRightInd w:val="0"/>
              <w:spacing w:before="240" w:line="239" w:lineRule="auto"/>
              <w:ind w:right="66"/>
              <w:jc w:val="center"/>
              <w:rPr>
                <w:rFonts w:ascii="Calibri" w:hAnsi="Calibri"/>
              </w:rPr>
            </w:pPr>
            <w:r w:rsidRPr="003F4EAE">
              <w:rPr>
                <w:rFonts w:ascii="Calibri" w:hAnsi="Calibri"/>
              </w:rPr>
              <w:t>Мярка</w:t>
            </w:r>
          </w:p>
        </w:tc>
        <w:tc>
          <w:tcPr>
            <w:tcW w:w="2300" w:type="dxa"/>
            <w:vAlign w:val="center"/>
          </w:tcPr>
          <w:p w:rsidR="003F4EAE" w:rsidRPr="003F4EAE" w:rsidRDefault="003F4EAE" w:rsidP="003F4EAE">
            <w:pPr>
              <w:widowControl w:val="0"/>
              <w:autoSpaceDE w:val="0"/>
              <w:autoSpaceDN w:val="0"/>
              <w:adjustRightInd w:val="0"/>
              <w:spacing w:before="240" w:line="239" w:lineRule="auto"/>
              <w:ind w:right="66"/>
              <w:jc w:val="center"/>
              <w:cnfStyle w:val="100000000000" w:firstRow="1" w:lastRow="0" w:firstColumn="0" w:lastColumn="0" w:oddVBand="0" w:evenVBand="0" w:oddHBand="0" w:evenHBand="0" w:firstRowFirstColumn="0" w:firstRowLastColumn="0" w:lastRowFirstColumn="0" w:lastRowLastColumn="0"/>
              <w:rPr>
                <w:rFonts w:ascii="Calibri" w:hAnsi="Calibri"/>
              </w:rPr>
            </w:pPr>
            <w:r w:rsidRPr="003F4EAE">
              <w:rPr>
                <w:rFonts w:ascii="Calibri" w:hAnsi="Calibri"/>
              </w:rPr>
              <w:t>Необходимо финансиране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12" w:type="dxa"/>
          </w:tcPr>
          <w:p w:rsidR="003F4EAE" w:rsidRPr="003F4EAE" w:rsidRDefault="003F4EAE" w:rsidP="003F4EAE">
            <w:pPr>
              <w:widowControl w:val="0"/>
              <w:autoSpaceDE w:val="0"/>
              <w:autoSpaceDN w:val="0"/>
              <w:adjustRightInd w:val="0"/>
              <w:spacing w:line="239" w:lineRule="auto"/>
              <w:ind w:right="66"/>
              <w:jc w:val="both"/>
              <w:rPr>
                <w:rFonts w:ascii="Calibri" w:hAnsi="Calibri"/>
              </w:rPr>
            </w:pPr>
            <w:r w:rsidRPr="003F4EAE">
              <w:rPr>
                <w:rFonts w:ascii="Calibri" w:eastAsia="Calibri" w:hAnsi="Calibri"/>
              </w:rPr>
              <w:t>Изграждане на инсталации за механично и биологично третиране (мМБТ) и инсталации за третиране с оползотворяване на компоста и биогаза</w:t>
            </w:r>
          </w:p>
        </w:tc>
        <w:tc>
          <w:tcPr>
            <w:tcW w:w="2300" w:type="dxa"/>
            <w:vAlign w:val="center"/>
          </w:tcPr>
          <w:p w:rsidR="003F4EAE" w:rsidRPr="003F4EAE" w:rsidRDefault="003F4EAE" w:rsidP="003F4EAE">
            <w:pPr>
              <w:widowControl w:val="0"/>
              <w:autoSpaceDE w:val="0"/>
              <w:autoSpaceDN w:val="0"/>
              <w:adjustRightInd w:val="0"/>
              <w:spacing w:line="239" w:lineRule="auto"/>
              <w:ind w:right="66"/>
              <w:jc w:val="center"/>
              <w:cnfStyle w:val="000000100000" w:firstRow="0" w:lastRow="0" w:firstColumn="0" w:lastColumn="0" w:oddVBand="0" w:evenVBand="0" w:oddHBand="1" w:evenHBand="0" w:firstRowFirstColumn="0" w:firstRowLastColumn="0" w:lastRowFirstColumn="0" w:lastRowLastColumn="0"/>
              <w:rPr>
                <w:rFonts w:ascii="Calibri" w:hAnsi="Calibri"/>
              </w:rPr>
            </w:pPr>
            <w:r w:rsidRPr="003F4EAE">
              <w:rPr>
                <w:rFonts w:ascii="Calibri" w:hAnsi="Calibri"/>
              </w:rPr>
              <w:t>221 млн. лв.</w:t>
            </w:r>
          </w:p>
        </w:tc>
      </w:tr>
      <w:tr w:rsidR="003F4EAE" w:rsidRPr="003F4EAE" w:rsidTr="001F1A5A">
        <w:tc>
          <w:tcPr>
            <w:cnfStyle w:val="001000000000" w:firstRow="0" w:lastRow="0" w:firstColumn="1" w:lastColumn="0" w:oddVBand="0" w:evenVBand="0" w:oddHBand="0" w:evenHBand="0" w:firstRowFirstColumn="0" w:firstRowLastColumn="0" w:lastRowFirstColumn="0" w:lastRowLastColumn="0"/>
            <w:tcW w:w="6912" w:type="dxa"/>
          </w:tcPr>
          <w:p w:rsidR="003F4EAE" w:rsidRPr="003F4EAE" w:rsidRDefault="003F4EAE" w:rsidP="003F4EAE">
            <w:pPr>
              <w:rPr>
                <w:rFonts w:ascii="Calibri" w:eastAsia="Calibri" w:hAnsi="Calibri"/>
              </w:rPr>
            </w:pPr>
            <w:r w:rsidRPr="003F4EAE">
              <w:rPr>
                <w:rFonts w:ascii="Calibri" w:hAnsi="Calibri"/>
              </w:rPr>
              <w:t>Д</w:t>
            </w:r>
            <w:r w:rsidRPr="003F4EAE">
              <w:rPr>
                <w:rFonts w:ascii="Calibri" w:eastAsia="Calibri" w:hAnsi="Calibri"/>
              </w:rPr>
              <w:t xml:space="preserve">оразвиване на колективните системи за разделно събиране на отпадъците от населението </w:t>
            </w:r>
          </w:p>
        </w:tc>
        <w:tc>
          <w:tcPr>
            <w:tcW w:w="2300" w:type="dxa"/>
            <w:vAlign w:val="center"/>
          </w:tcPr>
          <w:p w:rsidR="003F4EAE" w:rsidRPr="003F4EAE" w:rsidRDefault="003F4EAE" w:rsidP="003F4EAE">
            <w:pPr>
              <w:widowControl w:val="0"/>
              <w:autoSpaceDE w:val="0"/>
              <w:autoSpaceDN w:val="0"/>
              <w:adjustRightInd w:val="0"/>
              <w:spacing w:line="239" w:lineRule="auto"/>
              <w:ind w:right="66"/>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rPr>
            </w:pPr>
            <w:r w:rsidRPr="003F4EAE">
              <w:rPr>
                <w:rFonts w:ascii="Calibri" w:hAnsi="Calibri"/>
              </w:rPr>
              <w:t>80 млн. лв.</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12" w:type="dxa"/>
          </w:tcPr>
          <w:p w:rsidR="003F4EAE" w:rsidRPr="005A4EAF" w:rsidRDefault="003F4EAE" w:rsidP="003F4EAE">
            <w:pPr>
              <w:widowControl w:val="0"/>
              <w:autoSpaceDE w:val="0"/>
              <w:autoSpaceDN w:val="0"/>
              <w:adjustRightInd w:val="0"/>
              <w:spacing w:line="239" w:lineRule="auto"/>
              <w:ind w:right="66"/>
              <w:jc w:val="both"/>
              <w:rPr>
                <w:rFonts w:ascii="Calibri" w:hAnsi="Calibri"/>
                <w:lang w:val="en-US"/>
              </w:rPr>
            </w:pPr>
            <w:r w:rsidRPr="003F4EAE">
              <w:rPr>
                <w:rFonts w:ascii="Calibri" w:hAnsi="Calibri"/>
              </w:rPr>
              <w:t>У</w:t>
            </w:r>
            <w:r w:rsidRPr="003F4EAE">
              <w:rPr>
                <w:rFonts w:ascii="Calibri" w:eastAsia="Calibri" w:hAnsi="Calibri"/>
              </w:rPr>
              <w:t>лавяне и изгаряне на биогаза във всички нови и действащи регионални депа за отпадъци</w:t>
            </w:r>
            <w:r w:rsidR="005A4EAF">
              <w:rPr>
                <w:rFonts w:ascii="Calibri" w:eastAsia="Calibri" w:hAnsi="Calibri"/>
                <w:lang w:val="en-US"/>
              </w:rPr>
              <w:t>*</w:t>
            </w:r>
          </w:p>
        </w:tc>
        <w:tc>
          <w:tcPr>
            <w:tcW w:w="2300" w:type="dxa"/>
            <w:vAlign w:val="center"/>
          </w:tcPr>
          <w:p w:rsidR="003F4EAE" w:rsidRPr="003F4EAE" w:rsidRDefault="003F4EAE" w:rsidP="003F4EAE">
            <w:pPr>
              <w:widowControl w:val="0"/>
              <w:autoSpaceDE w:val="0"/>
              <w:autoSpaceDN w:val="0"/>
              <w:adjustRightInd w:val="0"/>
              <w:spacing w:before="240" w:line="239" w:lineRule="auto"/>
              <w:ind w:right="66"/>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rPr>
            </w:pPr>
            <w:r w:rsidRPr="003F4EAE">
              <w:rPr>
                <w:rFonts w:ascii="Calibri" w:hAnsi="Calibri"/>
              </w:rPr>
              <w:t>24 млн. лв.</w:t>
            </w:r>
          </w:p>
        </w:tc>
      </w:tr>
      <w:tr w:rsidR="003F4EAE" w:rsidRPr="003F4EAE" w:rsidTr="001F1A5A">
        <w:tc>
          <w:tcPr>
            <w:cnfStyle w:val="001000000000" w:firstRow="0" w:lastRow="0" w:firstColumn="1" w:lastColumn="0" w:oddVBand="0" w:evenVBand="0" w:oddHBand="0" w:evenHBand="0" w:firstRowFirstColumn="0" w:firstRowLastColumn="0" w:lastRowFirstColumn="0" w:lastRowLastColumn="0"/>
            <w:tcW w:w="6912" w:type="dxa"/>
          </w:tcPr>
          <w:p w:rsidR="003F4EAE" w:rsidRPr="003F4EAE" w:rsidRDefault="003F4EAE" w:rsidP="003F4EAE">
            <w:pPr>
              <w:widowControl w:val="0"/>
              <w:autoSpaceDE w:val="0"/>
              <w:autoSpaceDN w:val="0"/>
              <w:adjustRightInd w:val="0"/>
              <w:spacing w:before="240" w:line="239" w:lineRule="auto"/>
              <w:ind w:right="66"/>
              <w:jc w:val="right"/>
              <w:rPr>
                <w:rFonts w:ascii="Calibri" w:eastAsia="Calibri" w:hAnsi="Calibri"/>
              </w:rPr>
            </w:pPr>
            <w:r w:rsidRPr="003F4EAE">
              <w:rPr>
                <w:rFonts w:ascii="Calibri" w:eastAsia="Calibri" w:hAnsi="Calibri"/>
              </w:rPr>
              <w:t>ОБЩО</w:t>
            </w:r>
          </w:p>
        </w:tc>
        <w:tc>
          <w:tcPr>
            <w:tcW w:w="2300" w:type="dxa"/>
            <w:vAlign w:val="center"/>
          </w:tcPr>
          <w:p w:rsidR="003F4EAE" w:rsidRPr="003F4EAE" w:rsidRDefault="003F4EAE" w:rsidP="003F4EAE">
            <w:pPr>
              <w:widowControl w:val="0"/>
              <w:autoSpaceDE w:val="0"/>
              <w:autoSpaceDN w:val="0"/>
              <w:adjustRightInd w:val="0"/>
              <w:spacing w:before="240" w:line="239" w:lineRule="auto"/>
              <w:ind w:right="66"/>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b/>
              </w:rPr>
            </w:pPr>
            <w:r w:rsidRPr="003F4EAE">
              <w:rPr>
                <w:rFonts w:ascii="Calibri" w:eastAsia="Calibri" w:hAnsi="Calibri"/>
                <w:b/>
              </w:rPr>
              <w:t>325 млн. лв.</w:t>
            </w:r>
          </w:p>
        </w:tc>
      </w:tr>
    </w:tbl>
    <w:p w:rsidR="005A4EAF" w:rsidRPr="005A4EAF" w:rsidRDefault="005A4EAF" w:rsidP="003F4EAE">
      <w:pPr>
        <w:widowControl w:val="0"/>
        <w:autoSpaceDE w:val="0"/>
        <w:autoSpaceDN w:val="0"/>
        <w:adjustRightInd w:val="0"/>
        <w:spacing w:before="240" w:after="0" w:line="239" w:lineRule="auto"/>
        <w:ind w:right="66"/>
        <w:jc w:val="both"/>
        <w:rPr>
          <w:rFonts w:ascii="Calibri" w:eastAsia="Calibri" w:hAnsi="Calibri" w:cs="Times New Roman"/>
          <w:i/>
          <w:sz w:val="20"/>
          <w:szCs w:val="20"/>
        </w:rPr>
      </w:pPr>
      <w:r w:rsidRPr="005A4EAF">
        <w:rPr>
          <w:rFonts w:ascii="Calibri" w:eastAsia="Calibri" w:hAnsi="Calibri" w:cs="Times New Roman"/>
          <w:i/>
          <w:sz w:val="20"/>
          <w:szCs w:val="20"/>
          <w:lang w:val="en-US"/>
        </w:rPr>
        <w:t>*</w:t>
      </w:r>
      <w:r w:rsidRPr="005A4EAF">
        <w:rPr>
          <w:rFonts w:ascii="Calibri" w:eastAsia="Calibri" w:hAnsi="Calibri" w:cs="Times New Roman"/>
          <w:i/>
          <w:sz w:val="20"/>
          <w:szCs w:val="20"/>
          <w:u w:val="single"/>
        </w:rPr>
        <w:t>Забележка</w:t>
      </w:r>
      <w:r w:rsidRPr="005A4EAF">
        <w:rPr>
          <w:rFonts w:ascii="Calibri" w:eastAsia="Calibri" w:hAnsi="Calibri" w:cs="Times New Roman"/>
          <w:i/>
          <w:sz w:val="20"/>
          <w:szCs w:val="20"/>
        </w:rPr>
        <w:t>: Такива мерки не са включени в обхвата на ОПОС 2014-2020</w:t>
      </w:r>
    </w:p>
    <w:p w:rsidR="003F4EAE" w:rsidRP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rPr>
      </w:pPr>
      <w:r w:rsidRPr="003F4EAE">
        <w:rPr>
          <w:rFonts w:ascii="Calibri" w:eastAsia="Calibri" w:hAnsi="Calibri" w:cs="Times New Roman"/>
        </w:rPr>
        <w:t>Като източник на финансиране този стратегически документ определя както общинските бюджети, така и ОПОС 2014-2020 г.</w:t>
      </w:r>
    </w:p>
    <w:p w:rsidR="003F4EAE" w:rsidRP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rPr>
      </w:pPr>
      <w:r w:rsidRPr="003F4EAE">
        <w:rPr>
          <w:rFonts w:ascii="Calibri" w:eastAsia="Calibri" w:hAnsi="Calibri" w:cs="Times New Roman"/>
          <w:b/>
          <w:i/>
        </w:rPr>
        <w:t>Анализът на предлагането</w:t>
      </w:r>
      <w:r w:rsidRPr="003F4EAE">
        <w:rPr>
          <w:rFonts w:ascii="Calibri" w:eastAsia="Calibri" w:hAnsi="Calibri" w:cs="Times New Roman"/>
        </w:rPr>
        <w:t xml:space="preserve"> на услуги в сектор Отпадъци в страната и особено тяхното качество в значителна степен зависи от наличното финансиране за инвестиции в инфраструктура. През изминалия програмен период Оперативна програма “Околна среда” 2007-2013 г. е един от основните инструменти за изграждането на инфраструктура свързана с управлението и оползотворяването на отпадъци. По ОПОС 2007-2013 г. предвидените средства за сектора са в размер на близо 367 млн. евро. Тяхното предназначение е да се постигане съответствие с Директива 75/442/ЕИО относно отпадъците и Директива 1999/31/ЕИО относно депониране на отпадъци. </w:t>
      </w:r>
    </w:p>
    <w:p w:rsidR="003F4EAE" w:rsidRP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rPr>
      </w:pPr>
      <w:r w:rsidRPr="003F4EAE">
        <w:rPr>
          <w:rFonts w:ascii="Calibri" w:eastAsia="Calibri" w:hAnsi="Calibri" w:cs="Times New Roman"/>
        </w:rPr>
        <w:t xml:space="preserve">Реалното усвояване на средствата по ОПОС 2007-2013 г. стартира през 2010 г. Към настоящия момент вече са изпълнени 24 договора за техническа помощ и се изпълняват още 4 договора. В рамките на програмата през 2013 г. стартира изпълнението и на 19 договора с инвестиционна насоченост за изграждане на регионални системи за управление на отпадъците и 1 договор за изпълнение на дейности по закриване и рекултивиране на общински депа за битови отпадъци, които не отговарят на нормативните изисквания. </w:t>
      </w:r>
    </w:p>
    <w:p w:rsidR="003F4EAE" w:rsidRPr="003F4EAE" w:rsidRDefault="00B26F4B" w:rsidP="003F4EAE">
      <w:pPr>
        <w:widowControl w:val="0"/>
        <w:autoSpaceDE w:val="0"/>
        <w:autoSpaceDN w:val="0"/>
        <w:adjustRightInd w:val="0"/>
        <w:spacing w:before="240" w:after="200" w:line="239" w:lineRule="auto"/>
        <w:ind w:right="66"/>
        <w:jc w:val="both"/>
        <w:rPr>
          <w:rFonts w:ascii="Calibri" w:eastAsia="Calibri" w:hAnsi="Calibri" w:cs="Times New Roman"/>
          <w:i/>
        </w:rPr>
      </w:pPr>
      <w:bookmarkStart w:id="41" w:name="_Toc399494896"/>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16</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w:t>
      </w:r>
      <w:r w:rsidRPr="00B26F4B">
        <w:rPr>
          <w:rFonts w:eastAsia="Times New Roman" w:cstheme="minorHAnsi"/>
          <w:b/>
          <w:bCs/>
          <w:sz w:val="20"/>
          <w:szCs w:val="20"/>
          <w:lang w:eastAsia="bg-BG"/>
        </w:rPr>
        <w:t xml:space="preserve">Процедура </w:t>
      </w:r>
      <w:r w:rsidR="003F4EAE" w:rsidRPr="00B26F4B">
        <w:rPr>
          <w:rFonts w:eastAsia="Times New Roman" w:cstheme="minorHAnsi"/>
          <w:b/>
          <w:bCs/>
          <w:sz w:val="20"/>
          <w:szCs w:val="20"/>
          <w:lang w:eastAsia="bg-BG"/>
        </w:rPr>
        <w:t>BG161PO005-2.0.08 Изграждане на регионални системи за управление на отпадъците</w:t>
      </w:r>
      <w:bookmarkEnd w:id="41"/>
    </w:p>
    <w:tbl>
      <w:tblPr>
        <w:tblStyle w:val="LightShading-Accent111"/>
        <w:tblW w:w="9067" w:type="dxa"/>
        <w:tblLook w:val="04A0" w:firstRow="1" w:lastRow="0" w:firstColumn="1" w:lastColumn="0" w:noHBand="0" w:noVBand="1"/>
      </w:tblPr>
      <w:tblGrid>
        <w:gridCol w:w="2254"/>
        <w:gridCol w:w="6"/>
        <w:gridCol w:w="1719"/>
        <w:gridCol w:w="1984"/>
        <w:gridCol w:w="1545"/>
        <w:gridCol w:w="1559"/>
      </w:tblGrid>
      <w:tr w:rsidR="003F4EAE" w:rsidRPr="003F4EAE" w:rsidTr="001F1A5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jc w:val="center"/>
              <w:rPr>
                <w:rFonts w:ascii="Calibri" w:hAnsi="Calibri" w:cs="Calibri"/>
                <w:lang w:eastAsia="bg-BG"/>
              </w:rPr>
            </w:pPr>
            <w:r w:rsidRPr="003F4EAE">
              <w:rPr>
                <w:rFonts w:ascii="Calibri" w:hAnsi="Calibri" w:cs="Calibri"/>
                <w:lang w:eastAsia="bg-BG"/>
              </w:rPr>
              <w:t>Бенефициент</w:t>
            </w:r>
          </w:p>
        </w:tc>
        <w:tc>
          <w:tcPr>
            <w:tcW w:w="1719" w:type="dxa"/>
            <w:hideMark/>
          </w:tcPr>
          <w:p w:rsidR="003F4EAE" w:rsidRPr="003F4EAE" w:rsidRDefault="003F4EAE" w:rsidP="003F4EA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lang w:eastAsia="bg-BG"/>
              </w:rPr>
            </w:pPr>
            <w:r w:rsidRPr="003F4EAE">
              <w:rPr>
                <w:rFonts w:ascii="Calibri" w:hAnsi="Calibri" w:cs="Calibri"/>
                <w:lang w:eastAsia="bg-BG"/>
              </w:rPr>
              <w:t>Обща стойност (лева)</w:t>
            </w:r>
          </w:p>
        </w:tc>
        <w:tc>
          <w:tcPr>
            <w:tcW w:w="1984" w:type="dxa"/>
            <w:hideMark/>
          </w:tcPr>
          <w:p w:rsidR="003F4EAE" w:rsidRPr="003F4EAE" w:rsidRDefault="003F4EAE" w:rsidP="003F4EA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lang w:eastAsia="bg-BG"/>
              </w:rPr>
            </w:pPr>
            <w:r w:rsidRPr="003F4EAE">
              <w:rPr>
                <w:rFonts w:ascii="Calibri" w:hAnsi="Calibri" w:cs="Calibri"/>
                <w:lang w:eastAsia="bg-BG"/>
              </w:rPr>
              <w:t>Реално изплатени суми (лева)</w:t>
            </w:r>
          </w:p>
        </w:tc>
        <w:tc>
          <w:tcPr>
            <w:tcW w:w="1545" w:type="dxa"/>
            <w:hideMark/>
          </w:tcPr>
          <w:p w:rsidR="003F4EAE" w:rsidRPr="003F4EAE" w:rsidRDefault="003F4EAE" w:rsidP="003F4EA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lang w:eastAsia="bg-BG"/>
              </w:rPr>
            </w:pPr>
            <w:r w:rsidRPr="003F4EAE">
              <w:rPr>
                <w:rFonts w:ascii="Calibri" w:hAnsi="Calibri" w:cs="Calibri"/>
                <w:lang w:eastAsia="bg-BG"/>
              </w:rPr>
              <w:t>Продълж.</w:t>
            </w:r>
          </w:p>
          <w:p w:rsidR="003F4EAE" w:rsidRPr="003F4EAE" w:rsidRDefault="003F4EAE" w:rsidP="003F4EA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lang w:eastAsia="bg-BG"/>
              </w:rPr>
            </w:pPr>
            <w:r w:rsidRPr="003F4EAE">
              <w:rPr>
                <w:rFonts w:ascii="Calibri" w:hAnsi="Calibri" w:cs="Calibri"/>
                <w:lang w:eastAsia="bg-BG"/>
              </w:rPr>
              <w:t>(месеци)</w:t>
            </w:r>
          </w:p>
        </w:tc>
        <w:tc>
          <w:tcPr>
            <w:tcW w:w="1559" w:type="dxa"/>
            <w:hideMark/>
          </w:tcPr>
          <w:p w:rsidR="003F4EAE" w:rsidRPr="003F4EAE" w:rsidRDefault="003F4EAE" w:rsidP="003F4EA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lang w:eastAsia="bg-BG"/>
              </w:rPr>
            </w:pPr>
            <w:r w:rsidRPr="003F4EAE">
              <w:rPr>
                <w:rFonts w:ascii="Calibri" w:hAnsi="Calibri" w:cs="Calibri"/>
                <w:lang w:eastAsia="bg-BG"/>
              </w:rPr>
              <w:t>Статус</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Oбщина Разлог</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12 899 179,51</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2 588 080,81</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42,03</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Луковит</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16 309 111,60</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4 795 083,10</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32,00</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Габрово</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26 235 646,29</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10 591 620,26</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38,00</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lastRenderedPageBreak/>
              <w:t>Община Аксаково</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29 846 833,39</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0,00</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34,00</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Самоков</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9 478 365,18</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0,00</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31,00</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Никопол</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42 848 567,83</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14 186 995,65</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39,03</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Стара Загора</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52 017 747,21</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9 883 371,97</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39,00</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Ямбол</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31 324 460,67</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0,00</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33,00</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ПЛЕВЕН</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27 478 394,82</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9 821 251,59</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33,00</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Панагюрище</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18 299 654,65</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0,00</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33,00</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БЯЛА</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25 362 330,82</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1 102 710,04</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34,00</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Временно спрян</w:t>
            </w:r>
          </w:p>
        </w:tc>
      </w:tr>
      <w:tr w:rsidR="003F4EAE" w:rsidRPr="003F4EAE" w:rsidTr="001F1A5A">
        <w:trPr>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град Добрич</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38 877 375,67</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7 386 701,38</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33,00</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Перник</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21 147 974,26</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5 354 480,70</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37,00</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trHeight w:val="315"/>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Столична Община</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344 268 693,54</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132 474 679,91</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49,00</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Ботевград</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13 708 899,29</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13 925 768,20</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31,00</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p>
        </w:tc>
      </w:tr>
      <w:tr w:rsidR="003F4EAE" w:rsidRPr="003F4EAE" w:rsidTr="001F1A5A">
        <w:trPr>
          <w:trHeight w:val="315"/>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Видин</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20 515 302,00</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5 949 360,02</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46,00</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Бургас</w:t>
            </w:r>
          </w:p>
        </w:tc>
        <w:tc>
          <w:tcPr>
            <w:tcW w:w="1719"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43 231 121,10</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13 330 176,89</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44,63</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trHeight w:val="315"/>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3399"/>
                <w:lang w:eastAsia="bg-BG"/>
              </w:rPr>
            </w:pPr>
            <w:r w:rsidRPr="003F4EAE">
              <w:rPr>
                <w:rFonts w:ascii="Calibri" w:hAnsi="Calibri" w:cs="Calibri"/>
                <w:color w:val="003399"/>
                <w:lang w:eastAsia="bg-BG"/>
              </w:rPr>
              <w:t>Община Малко Търново</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6 482 815,95</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1 348 782,35</w:t>
            </w:r>
          </w:p>
        </w:tc>
        <w:tc>
          <w:tcPr>
            <w:tcW w:w="1545"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31,00</w:t>
            </w:r>
          </w:p>
        </w:tc>
        <w:tc>
          <w:tcPr>
            <w:tcW w:w="1559" w:type="dxa"/>
            <w:hideMark/>
          </w:tcPr>
          <w:p w:rsidR="003F4EAE" w:rsidRPr="003F4EAE" w:rsidRDefault="003F4EAE" w:rsidP="003F4EAE">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3399"/>
                <w:lang w:eastAsia="bg-BG"/>
              </w:rPr>
            </w:pPr>
            <w:r w:rsidRPr="003F4EAE">
              <w:rPr>
                <w:rFonts w:ascii="Calibri" w:hAnsi="Calibri" w:cs="Calibri"/>
                <w:color w:val="003399"/>
                <w:lang w:eastAsia="bg-BG"/>
              </w:rPr>
              <w:t>В процес на изпълнение</w:t>
            </w:r>
          </w:p>
        </w:tc>
      </w:tr>
      <w:tr w:rsidR="003F4EAE" w:rsidRPr="003F4EAE" w:rsidTr="001F1A5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54" w:type="dxa"/>
            <w:hideMark/>
          </w:tcPr>
          <w:p w:rsidR="003F4EAE" w:rsidRPr="003F4EAE" w:rsidRDefault="003F4EAE" w:rsidP="003F4EAE">
            <w:pPr>
              <w:rPr>
                <w:rFonts w:ascii="Calibri" w:eastAsia="Calibri" w:hAnsi="Calibri" w:cs="Calibri"/>
                <w:color w:val="003399"/>
                <w:sz w:val="20"/>
                <w:szCs w:val="20"/>
              </w:rPr>
            </w:pPr>
            <w:r w:rsidRPr="003F4EAE">
              <w:rPr>
                <w:rFonts w:ascii="Calibri" w:eastAsia="Calibri" w:hAnsi="Calibri" w:cs="Calibri"/>
                <w:color w:val="003399"/>
                <w:sz w:val="20"/>
                <w:szCs w:val="20"/>
              </w:rPr>
              <w:t>Община Хасково</w:t>
            </w:r>
          </w:p>
        </w:tc>
        <w:tc>
          <w:tcPr>
            <w:tcW w:w="1725" w:type="dxa"/>
            <w:gridSpan w:val="2"/>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3399"/>
                <w:sz w:val="20"/>
                <w:szCs w:val="20"/>
              </w:rPr>
            </w:pPr>
            <w:r w:rsidRPr="003F4EAE">
              <w:rPr>
                <w:rFonts w:ascii="Calibri" w:eastAsia="Calibri" w:hAnsi="Calibri" w:cs="Calibri"/>
                <w:color w:val="003399"/>
                <w:sz w:val="20"/>
                <w:szCs w:val="20"/>
              </w:rPr>
              <w:t>28 454 919,25</w:t>
            </w:r>
          </w:p>
        </w:tc>
        <w:tc>
          <w:tcPr>
            <w:tcW w:w="1984" w:type="dxa"/>
            <w:noWrap/>
            <w:hideMark/>
          </w:tcPr>
          <w:p w:rsidR="003F4EAE" w:rsidRPr="003F4EAE" w:rsidRDefault="003F4EAE" w:rsidP="003F4EAE">
            <w:pPr>
              <w:jc w:val="right"/>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3399"/>
                <w:sz w:val="20"/>
                <w:szCs w:val="20"/>
              </w:rPr>
            </w:pPr>
            <w:r w:rsidRPr="003F4EAE">
              <w:rPr>
                <w:rFonts w:ascii="Calibri" w:eastAsia="Calibri" w:hAnsi="Calibri" w:cs="Calibri"/>
                <w:color w:val="003399"/>
                <w:sz w:val="20"/>
                <w:szCs w:val="20"/>
              </w:rPr>
              <w:t>0,00</w:t>
            </w:r>
          </w:p>
        </w:tc>
        <w:tc>
          <w:tcPr>
            <w:tcW w:w="1545"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3399"/>
                <w:sz w:val="20"/>
                <w:szCs w:val="20"/>
              </w:rPr>
            </w:pPr>
            <w:r w:rsidRPr="003F4EAE">
              <w:rPr>
                <w:rFonts w:ascii="Calibri" w:eastAsia="Calibri" w:hAnsi="Calibri" w:cs="Calibri"/>
                <w:color w:val="003399"/>
                <w:sz w:val="20"/>
                <w:szCs w:val="20"/>
              </w:rPr>
              <w:t>32,00</w:t>
            </w:r>
          </w:p>
        </w:tc>
        <w:tc>
          <w:tcPr>
            <w:tcW w:w="1559" w:type="dxa"/>
            <w:hideMark/>
          </w:tcPr>
          <w:p w:rsidR="003F4EAE" w:rsidRPr="003F4EAE" w:rsidRDefault="003F4EAE" w:rsidP="003F4EAE">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3399"/>
                <w:sz w:val="20"/>
                <w:szCs w:val="20"/>
              </w:rPr>
            </w:pPr>
            <w:r w:rsidRPr="003F4EAE">
              <w:rPr>
                <w:rFonts w:ascii="Calibri" w:eastAsia="Calibri" w:hAnsi="Calibri" w:cs="Calibri"/>
                <w:color w:val="003399"/>
                <w:sz w:val="20"/>
                <w:szCs w:val="20"/>
              </w:rPr>
              <w:t>Временно спрян</w:t>
            </w:r>
          </w:p>
        </w:tc>
      </w:tr>
      <w:tr w:rsidR="003F4EAE" w:rsidRPr="003F4EAE" w:rsidTr="001F1A5A">
        <w:trPr>
          <w:trHeight w:val="300"/>
        </w:trPr>
        <w:tc>
          <w:tcPr>
            <w:cnfStyle w:val="001000000000" w:firstRow="0" w:lastRow="0" w:firstColumn="1" w:lastColumn="0" w:oddVBand="0" w:evenVBand="0" w:oddHBand="0" w:evenHBand="0" w:firstRowFirstColumn="0" w:firstRowLastColumn="0" w:lastRowFirstColumn="0" w:lastRowLastColumn="0"/>
            <w:tcW w:w="2260" w:type="dxa"/>
            <w:gridSpan w:val="2"/>
            <w:hideMark/>
          </w:tcPr>
          <w:p w:rsidR="003F4EAE" w:rsidRPr="003F4EAE" w:rsidRDefault="003F4EAE" w:rsidP="003F4EAE">
            <w:pPr>
              <w:rPr>
                <w:rFonts w:ascii="Calibri" w:hAnsi="Calibri" w:cs="Calibri"/>
                <w:color w:val="002060"/>
                <w:lang w:eastAsia="bg-BG"/>
              </w:rPr>
            </w:pPr>
            <w:r w:rsidRPr="003F4EAE">
              <w:rPr>
                <w:rFonts w:ascii="Calibri" w:hAnsi="Calibri" w:cs="Calibri"/>
                <w:color w:val="002060"/>
                <w:lang w:eastAsia="bg-BG"/>
              </w:rPr>
              <w:t>ОБЩО</w:t>
            </w:r>
          </w:p>
        </w:tc>
        <w:tc>
          <w:tcPr>
            <w:tcW w:w="1719"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b/>
                <w:color w:val="002060"/>
                <w:lang w:eastAsia="bg-BG"/>
              </w:rPr>
            </w:pPr>
            <w:r w:rsidRPr="003F4EAE">
              <w:rPr>
                <w:rFonts w:ascii="Calibri" w:hAnsi="Calibri" w:cs="Calibri"/>
                <w:b/>
                <w:color w:val="002060"/>
                <w:lang w:eastAsia="bg-BG"/>
              </w:rPr>
              <w:t>841 650 605,74</w:t>
            </w:r>
          </w:p>
        </w:tc>
        <w:tc>
          <w:tcPr>
            <w:tcW w:w="1984" w:type="dxa"/>
            <w:noWrap/>
            <w:hideMark/>
          </w:tcPr>
          <w:p w:rsidR="003F4EAE" w:rsidRPr="003F4EAE" w:rsidRDefault="003F4EAE" w:rsidP="003F4EAE">
            <w:pPr>
              <w:jc w:val="right"/>
              <w:cnfStyle w:val="000000000000" w:firstRow="0" w:lastRow="0" w:firstColumn="0" w:lastColumn="0" w:oddVBand="0" w:evenVBand="0" w:oddHBand="0" w:evenHBand="0" w:firstRowFirstColumn="0" w:firstRowLastColumn="0" w:lastRowFirstColumn="0" w:lastRowLastColumn="0"/>
              <w:rPr>
                <w:rFonts w:ascii="Calibri" w:hAnsi="Calibri" w:cs="Calibri"/>
                <w:b/>
                <w:color w:val="002060"/>
                <w:lang w:eastAsia="bg-BG"/>
              </w:rPr>
            </w:pPr>
            <w:r w:rsidRPr="003F4EAE">
              <w:rPr>
                <w:rFonts w:ascii="Calibri" w:hAnsi="Calibri" w:cs="Calibri"/>
                <w:b/>
                <w:color w:val="002060"/>
                <w:lang w:eastAsia="bg-BG"/>
              </w:rPr>
              <w:t>232 739 062,87</w:t>
            </w:r>
          </w:p>
        </w:tc>
        <w:tc>
          <w:tcPr>
            <w:tcW w:w="1545" w:type="dxa"/>
            <w:noWrap/>
            <w:hideMark/>
          </w:tcPr>
          <w:p w:rsidR="003F4EAE" w:rsidRPr="003F4EAE" w:rsidRDefault="003F4EAE" w:rsidP="003F4EAE">
            <w:pPr>
              <w:cnfStyle w:val="000000000000" w:firstRow="0" w:lastRow="0" w:firstColumn="0" w:lastColumn="0" w:oddVBand="0" w:evenVBand="0" w:oddHBand="0" w:evenHBand="0" w:firstRowFirstColumn="0" w:firstRowLastColumn="0" w:lastRowFirstColumn="0" w:lastRowLastColumn="0"/>
              <w:rPr>
                <w:rFonts w:ascii="Calibri" w:hAnsi="Calibri" w:cs="Calibri"/>
                <w:lang w:eastAsia="bg-BG"/>
              </w:rPr>
            </w:pPr>
          </w:p>
        </w:tc>
        <w:tc>
          <w:tcPr>
            <w:tcW w:w="1559" w:type="dxa"/>
            <w:noWrap/>
            <w:hideMark/>
          </w:tcPr>
          <w:p w:rsidR="003F4EAE" w:rsidRPr="003F4EAE" w:rsidRDefault="003F4EAE" w:rsidP="003F4EAE">
            <w:pPr>
              <w:cnfStyle w:val="000000000000" w:firstRow="0" w:lastRow="0" w:firstColumn="0" w:lastColumn="0" w:oddVBand="0" w:evenVBand="0" w:oddHBand="0" w:evenHBand="0" w:firstRowFirstColumn="0" w:firstRowLastColumn="0" w:lastRowFirstColumn="0" w:lastRowLastColumn="0"/>
              <w:rPr>
                <w:rFonts w:ascii="Calibri" w:hAnsi="Calibri" w:cs="Calibri"/>
                <w:lang w:eastAsia="bg-BG"/>
              </w:rPr>
            </w:pPr>
          </w:p>
        </w:tc>
      </w:tr>
    </w:tbl>
    <w:p w:rsidR="003F4EAE" w:rsidRPr="003F4EAE" w:rsidRDefault="003F4EAE" w:rsidP="003F4EAE">
      <w:pPr>
        <w:widowControl w:val="0"/>
        <w:autoSpaceDE w:val="0"/>
        <w:autoSpaceDN w:val="0"/>
        <w:adjustRightInd w:val="0"/>
        <w:spacing w:after="0" w:line="239" w:lineRule="auto"/>
        <w:ind w:right="66"/>
        <w:jc w:val="both"/>
        <w:rPr>
          <w:rFonts w:ascii="Calibri" w:eastAsia="Calibri" w:hAnsi="Calibri" w:cs="Times New Roman"/>
          <w:i/>
          <w:sz w:val="20"/>
          <w:szCs w:val="20"/>
        </w:rPr>
      </w:pPr>
      <w:r w:rsidRPr="003F4EAE">
        <w:rPr>
          <w:rFonts w:ascii="Calibri" w:eastAsia="Calibri" w:hAnsi="Calibri" w:cs="Times New Roman"/>
          <w:i/>
          <w:sz w:val="20"/>
          <w:szCs w:val="20"/>
        </w:rPr>
        <w:t xml:space="preserve">Източник: ИСУН </w:t>
      </w:r>
    </w:p>
    <w:p w:rsidR="00DE3358" w:rsidRDefault="00DE3358" w:rsidP="003F4EAE">
      <w:pPr>
        <w:widowControl w:val="0"/>
        <w:autoSpaceDE w:val="0"/>
        <w:autoSpaceDN w:val="0"/>
        <w:adjustRightInd w:val="0"/>
        <w:spacing w:before="240" w:after="0" w:line="239" w:lineRule="auto"/>
        <w:ind w:right="66"/>
        <w:jc w:val="both"/>
        <w:rPr>
          <w:rFonts w:ascii="Calibri" w:eastAsia="Calibri" w:hAnsi="Calibri" w:cs="Times New Roman"/>
        </w:rPr>
      </w:pPr>
    </w:p>
    <w:p w:rsid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rPr>
      </w:pPr>
      <w:r w:rsidRPr="003F4EAE">
        <w:rPr>
          <w:rFonts w:ascii="Calibri" w:eastAsia="Calibri" w:hAnsi="Calibri" w:cs="Times New Roman"/>
        </w:rPr>
        <w:t>Представената до тук информация може да бъде обобщена както следва:</w:t>
      </w:r>
    </w:p>
    <w:p w:rsidR="00DE3358" w:rsidRDefault="00DE3358" w:rsidP="003F4EAE">
      <w:pPr>
        <w:widowControl w:val="0"/>
        <w:autoSpaceDE w:val="0"/>
        <w:autoSpaceDN w:val="0"/>
        <w:adjustRightInd w:val="0"/>
        <w:spacing w:before="240" w:after="0" w:line="239" w:lineRule="auto"/>
        <w:ind w:right="66"/>
        <w:jc w:val="both"/>
        <w:rPr>
          <w:rFonts w:ascii="Calibri" w:eastAsia="Calibri" w:hAnsi="Calibri" w:cs="Times New Roman"/>
        </w:rPr>
      </w:pPr>
    </w:p>
    <w:p w:rsidR="00DE3358" w:rsidRDefault="00DE3358" w:rsidP="003F4EAE">
      <w:pPr>
        <w:widowControl w:val="0"/>
        <w:autoSpaceDE w:val="0"/>
        <w:autoSpaceDN w:val="0"/>
        <w:adjustRightInd w:val="0"/>
        <w:spacing w:before="240" w:after="0" w:line="239" w:lineRule="auto"/>
        <w:ind w:right="66"/>
        <w:jc w:val="both"/>
        <w:rPr>
          <w:rFonts w:ascii="Calibri" w:eastAsia="Calibri" w:hAnsi="Calibri" w:cs="Times New Roman"/>
          <w:lang w:val="en-US"/>
        </w:rPr>
      </w:pPr>
    </w:p>
    <w:p w:rsidR="00722616" w:rsidRPr="00722616" w:rsidRDefault="00722616" w:rsidP="003F4EAE">
      <w:pPr>
        <w:widowControl w:val="0"/>
        <w:autoSpaceDE w:val="0"/>
        <w:autoSpaceDN w:val="0"/>
        <w:adjustRightInd w:val="0"/>
        <w:spacing w:before="240" w:after="0" w:line="239" w:lineRule="auto"/>
        <w:ind w:right="66"/>
        <w:jc w:val="both"/>
        <w:rPr>
          <w:rFonts w:ascii="Calibri" w:eastAsia="Calibri" w:hAnsi="Calibri" w:cs="Times New Roman"/>
          <w:lang w:val="en-US"/>
        </w:rPr>
      </w:pPr>
    </w:p>
    <w:p w:rsidR="00DE3358" w:rsidRPr="00B26F4B" w:rsidRDefault="00B26F4B" w:rsidP="002D3BE2">
      <w:pPr>
        <w:pStyle w:val="Caption"/>
        <w:keepNext/>
        <w:ind w:left="709" w:firstLine="709"/>
        <w:rPr>
          <w:rFonts w:asciiTheme="minorHAnsi" w:hAnsiTheme="minorHAnsi" w:cstheme="minorHAnsi"/>
        </w:rPr>
      </w:pPr>
      <w:bookmarkStart w:id="42" w:name="_Toc399494594"/>
      <w:r w:rsidRPr="00B26F4B">
        <w:rPr>
          <w:rFonts w:asciiTheme="minorHAnsi" w:hAnsiTheme="minorHAnsi" w:cstheme="minorHAnsi"/>
        </w:rPr>
        <w:lastRenderedPageBreak/>
        <w:t xml:space="preserve">Фигура </w:t>
      </w:r>
      <w:r w:rsidR="008E6461" w:rsidRPr="00B26F4B">
        <w:rPr>
          <w:rFonts w:asciiTheme="minorHAnsi" w:hAnsiTheme="minorHAnsi" w:cstheme="minorHAnsi"/>
        </w:rPr>
        <w:fldChar w:fldCharType="begin"/>
      </w:r>
      <w:r w:rsidRPr="00B26F4B">
        <w:rPr>
          <w:rFonts w:asciiTheme="minorHAnsi" w:hAnsiTheme="minorHAnsi" w:cstheme="minorHAnsi"/>
        </w:rPr>
        <w:instrText xml:space="preserve"> SEQ фигура \* ARABIC </w:instrText>
      </w:r>
      <w:r w:rsidR="008E6461" w:rsidRPr="00B26F4B">
        <w:rPr>
          <w:rFonts w:asciiTheme="minorHAnsi" w:hAnsiTheme="minorHAnsi" w:cstheme="minorHAnsi"/>
        </w:rPr>
        <w:fldChar w:fldCharType="separate"/>
      </w:r>
      <w:r w:rsidR="003A69A7">
        <w:rPr>
          <w:rFonts w:asciiTheme="minorHAnsi" w:hAnsiTheme="minorHAnsi" w:cstheme="minorHAnsi"/>
          <w:noProof/>
        </w:rPr>
        <w:t>9</w:t>
      </w:r>
      <w:r w:rsidR="008E6461" w:rsidRPr="00B26F4B">
        <w:rPr>
          <w:rFonts w:asciiTheme="minorHAnsi" w:hAnsiTheme="minorHAnsi" w:cstheme="minorHAnsi"/>
        </w:rPr>
        <w:fldChar w:fldCharType="end"/>
      </w:r>
      <w:r>
        <w:rPr>
          <w:rFonts w:asciiTheme="minorHAnsi" w:hAnsiTheme="minorHAnsi" w:cstheme="minorHAnsi"/>
        </w:rPr>
        <w:t>: Финансиране от ОПОС 2007 – 2013 г.</w:t>
      </w:r>
      <w:bookmarkEnd w:id="42"/>
    </w:p>
    <w:p w:rsidR="00517F74" w:rsidRPr="003F4EAE" w:rsidRDefault="00517F74" w:rsidP="00517F74">
      <w:pPr>
        <w:widowControl w:val="0"/>
        <w:autoSpaceDE w:val="0"/>
        <w:autoSpaceDN w:val="0"/>
        <w:adjustRightInd w:val="0"/>
        <w:spacing w:before="240" w:after="0" w:line="239" w:lineRule="auto"/>
        <w:ind w:right="66"/>
        <w:jc w:val="center"/>
        <w:rPr>
          <w:rFonts w:ascii="Calibri" w:eastAsia="Calibri" w:hAnsi="Calibri" w:cs="Times New Roman"/>
        </w:rPr>
      </w:pPr>
      <w:r>
        <w:rPr>
          <w:rFonts w:ascii="Calibri" w:eastAsia="Calibri" w:hAnsi="Calibri" w:cs="Times New Roman"/>
          <w:noProof/>
          <w:lang w:eastAsia="bg-BG"/>
        </w:rPr>
        <w:drawing>
          <wp:inline distT="0" distB="0" distL="0" distR="0">
            <wp:extent cx="4429125" cy="2884422"/>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cstate="print"/>
                    <a:srcRect/>
                    <a:stretch>
                      <a:fillRect/>
                    </a:stretch>
                  </pic:blipFill>
                  <pic:spPr bwMode="auto">
                    <a:xfrm>
                      <a:off x="0" y="0"/>
                      <a:ext cx="4431937" cy="2886253"/>
                    </a:xfrm>
                    <a:prstGeom prst="rect">
                      <a:avLst/>
                    </a:prstGeom>
                    <a:noFill/>
                  </pic:spPr>
                </pic:pic>
              </a:graphicData>
            </a:graphic>
          </wp:inline>
        </w:drawing>
      </w:r>
    </w:p>
    <w:p w:rsidR="003F4EAE" w:rsidRPr="00B26F4B" w:rsidRDefault="00B26F4B" w:rsidP="00B26F4B">
      <w:pPr>
        <w:widowControl w:val="0"/>
        <w:autoSpaceDE w:val="0"/>
        <w:autoSpaceDN w:val="0"/>
        <w:adjustRightInd w:val="0"/>
        <w:spacing w:before="240" w:after="0" w:line="239" w:lineRule="auto"/>
        <w:ind w:left="708" w:right="66" w:firstLine="708"/>
        <w:jc w:val="both"/>
        <w:rPr>
          <w:rFonts w:ascii="Calibri" w:eastAsia="Calibri" w:hAnsi="Calibri" w:cs="Times New Roman"/>
          <w:i/>
          <w:sz w:val="20"/>
          <w:szCs w:val="20"/>
        </w:rPr>
      </w:pPr>
      <w:r w:rsidRPr="00B26F4B">
        <w:rPr>
          <w:rFonts w:ascii="Calibri" w:eastAsia="Calibri" w:hAnsi="Calibri" w:cs="Times New Roman"/>
          <w:i/>
          <w:sz w:val="20"/>
          <w:szCs w:val="20"/>
        </w:rPr>
        <w:t>Източник: ИСУН</w:t>
      </w:r>
    </w:p>
    <w:p w:rsidR="003F4EAE" w:rsidRP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bCs/>
        </w:rPr>
      </w:pPr>
      <w:r w:rsidRPr="003F4EAE">
        <w:rPr>
          <w:rFonts w:ascii="Calibri" w:eastAsia="Calibri" w:hAnsi="Calibri" w:cs="Times New Roman"/>
        </w:rPr>
        <w:t>Договореният ресурс по ОПОС 2007-2013 г. се равнява 117% от наличния, а изплатеното към края на м. май 2014 г. представлява 32% от общия размер на средствата по програмата за сектор Отпадъци</w:t>
      </w:r>
      <w:r w:rsidRPr="003F4EAE">
        <w:rPr>
          <w:rFonts w:ascii="Calibri" w:eastAsia="Calibri" w:hAnsi="Calibri" w:cs="Times New Roman"/>
          <w:bCs/>
        </w:rPr>
        <w:t>. Предвид факта, че след провеждането на обществени поръчки в рамките на отделните ДБФП реално договорената стойност е под първоначално заложената в бюджета, както и че част от разходите не се верифицират, се очаква финансовият ресурс да бъде достатъчен за реализирането на тези проекти.</w:t>
      </w:r>
    </w:p>
    <w:p w:rsidR="003F4EAE" w:rsidRPr="003F4EAE" w:rsidRDefault="003F4EAE" w:rsidP="003F4EAE">
      <w:pPr>
        <w:widowControl w:val="0"/>
        <w:autoSpaceDE w:val="0"/>
        <w:autoSpaceDN w:val="0"/>
        <w:adjustRightInd w:val="0"/>
        <w:spacing w:before="240" w:after="0" w:line="239" w:lineRule="auto"/>
        <w:ind w:right="66"/>
        <w:jc w:val="both"/>
        <w:rPr>
          <w:rFonts w:ascii="Calibri" w:eastAsia="Calibri" w:hAnsi="Calibri" w:cs="Times New Roman"/>
        </w:rPr>
      </w:pPr>
      <w:r w:rsidRPr="003F4EAE">
        <w:rPr>
          <w:rFonts w:ascii="Calibri" w:eastAsia="Calibri" w:hAnsi="Calibri" w:cs="Times New Roman"/>
          <w:bCs/>
        </w:rPr>
        <w:t>Не по същия начин стои въпросът с проектите, които трябва да се реализират в рамките на ОПОС 2014-2020 г.</w:t>
      </w:r>
    </w:p>
    <w:p w:rsidR="00820ED6" w:rsidRPr="00C370EC" w:rsidRDefault="00820ED6" w:rsidP="00B86157"/>
    <w:p w:rsidR="001F1A5A" w:rsidRPr="00D366B8" w:rsidRDefault="00D366B8" w:rsidP="00D366B8">
      <w:pPr>
        <w:pStyle w:val="Heading3"/>
        <w:spacing w:before="120" w:after="120"/>
        <w:rPr>
          <w:rFonts w:asciiTheme="minorHAnsi" w:eastAsia="Calibri" w:hAnsiTheme="minorHAnsi"/>
        </w:rPr>
      </w:pPr>
      <w:bookmarkStart w:id="43" w:name="_Toc399494518"/>
      <w:r>
        <w:rPr>
          <w:rFonts w:asciiTheme="minorHAnsi" w:eastAsia="Calibri" w:hAnsiTheme="minorHAnsi"/>
        </w:rPr>
        <w:t xml:space="preserve">1.2.4. </w:t>
      </w:r>
      <w:r w:rsidR="001F1A5A" w:rsidRPr="00D366B8">
        <w:rPr>
          <w:rFonts w:asciiTheme="minorHAnsi" w:eastAsia="Calibri" w:hAnsiTheme="minorHAnsi"/>
        </w:rPr>
        <w:t>Инвестиционен недостиг</w:t>
      </w:r>
      <w:bookmarkEnd w:id="43"/>
      <w:r w:rsidR="001F1A5A" w:rsidRPr="00D366B8">
        <w:rPr>
          <w:rFonts w:asciiTheme="minorHAnsi" w:eastAsia="Calibri" w:hAnsiTheme="minorHAnsi"/>
        </w:rPr>
        <w:t xml:space="preserve"> </w:t>
      </w:r>
    </w:p>
    <w:p w:rsidR="001F1A5A" w:rsidRPr="00274C1D" w:rsidRDefault="001F1A5A" w:rsidP="00274C1D">
      <w:pPr>
        <w:jc w:val="both"/>
        <w:rPr>
          <w:rFonts w:ascii="Calibri" w:eastAsia="Times New Roman" w:hAnsi="Calibri" w:cs="Calibri"/>
          <w:color w:val="000000"/>
          <w:lang w:eastAsia="bg-BG"/>
        </w:rPr>
      </w:pPr>
      <w:r w:rsidRPr="001F1A5A">
        <w:rPr>
          <w:rFonts w:ascii="Calibri" w:eastAsia="Calibri" w:hAnsi="Calibri" w:cs="Times New Roman"/>
        </w:rPr>
        <w:t xml:space="preserve">Към настоящия момент, в рамките на ОПОС 2014-2020 г. финансовият ресурс, предвиден по Приоритетна ос 2 „Отпадъци” е в размер на </w:t>
      </w:r>
      <w:r w:rsidR="005A4EAF" w:rsidRPr="001E621D">
        <w:rPr>
          <w:rFonts w:ascii="Calibri" w:eastAsia="Calibri" w:hAnsi="Calibri" w:cs="Times New Roman"/>
        </w:rPr>
        <w:t>268 078 420</w:t>
      </w:r>
      <w:r w:rsidRPr="001F1A5A">
        <w:rPr>
          <w:rFonts w:ascii="Calibri" w:eastAsia="Calibri" w:hAnsi="Calibri" w:cs="Times New Roman"/>
        </w:rPr>
        <w:t xml:space="preserve"> евро или </w:t>
      </w:r>
      <w:r w:rsidR="00274C1D" w:rsidRPr="00274C1D">
        <w:rPr>
          <w:rFonts w:ascii="Calibri" w:eastAsia="Times New Roman" w:hAnsi="Calibri" w:cs="Calibri"/>
          <w:color w:val="000000"/>
          <w:lang w:eastAsia="bg-BG"/>
        </w:rPr>
        <w:t>524</w:t>
      </w:r>
      <w:r w:rsidR="00274C1D">
        <w:rPr>
          <w:rFonts w:ascii="Calibri" w:eastAsia="Times New Roman" w:hAnsi="Calibri" w:cs="Calibri"/>
          <w:color w:val="000000"/>
          <w:lang w:eastAsia="bg-BG"/>
        </w:rPr>
        <w:t xml:space="preserve"> </w:t>
      </w:r>
      <w:r w:rsidR="00274C1D" w:rsidRPr="00274C1D">
        <w:rPr>
          <w:rFonts w:ascii="Calibri" w:eastAsia="Times New Roman" w:hAnsi="Calibri" w:cs="Calibri"/>
          <w:color w:val="000000"/>
          <w:lang w:eastAsia="bg-BG"/>
        </w:rPr>
        <w:t>315</w:t>
      </w:r>
      <w:r w:rsidR="00274C1D">
        <w:rPr>
          <w:rFonts w:ascii="Calibri" w:eastAsia="Times New Roman" w:hAnsi="Calibri" w:cs="Calibri"/>
          <w:color w:val="000000"/>
          <w:lang w:eastAsia="bg-BG"/>
        </w:rPr>
        <w:t xml:space="preserve"> </w:t>
      </w:r>
      <w:r w:rsidR="00274C1D" w:rsidRPr="00274C1D">
        <w:rPr>
          <w:rFonts w:ascii="Calibri" w:eastAsia="Times New Roman" w:hAnsi="Calibri" w:cs="Calibri"/>
          <w:color w:val="000000"/>
          <w:lang w:eastAsia="bg-BG"/>
        </w:rPr>
        <w:t>816,2</w:t>
      </w:r>
      <w:r w:rsidRPr="001F1A5A">
        <w:rPr>
          <w:rFonts w:ascii="Calibri" w:eastAsia="Calibri" w:hAnsi="Calibri" w:cs="Times New Roman"/>
        </w:rPr>
        <w:t xml:space="preserve"> лева, в т.ч. размера на националното </w:t>
      </w:r>
      <w:r w:rsidR="00672113" w:rsidRPr="001F1A5A">
        <w:rPr>
          <w:rFonts w:ascii="Calibri" w:eastAsia="Calibri" w:hAnsi="Calibri" w:cs="Times New Roman"/>
        </w:rPr>
        <w:t>съфинансиране</w:t>
      </w:r>
      <w:r w:rsidRPr="001F1A5A">
        <w:rPr>
          <w:rFonts w:ascii="Calibri" w:eastAsia="Calibri" w:hAnsi="Calibri" w:cs="Times New Roman"/>
        </w:rPr>
        <w:t xml:space="preserve">. </w:t>
      </w:r>
    </w:p>
    <w:p w:rsidR="001F1A5A" w:rsidRPr="001F1A5A" w:rsidRDefault="001F1A5A" w:rsidP="001F1A5A">
      <w:pPr>
        <w:widowControl w:val="0"/>
        <w:autoSpaceDE w:val="0"/>
        <w:autoSpaceDN w:val="0"/>
        <w:adjustRightInd w:val="0"/>
        <w:spacing w:before="240" w:after="0" w:line="239" w:lineRule="auto"/>
        <w:ind w:right="66"/>
        <w:jc w:val="both"/>
        <w:rPr>
          <w:rFonts w:ascii="Calibri" w:eastAsia="Calibri" w:hAnsi="Calibri" w:cs="Times New Roman"/>
        </w:rPr>
      </w:pPr>
      <w:r w:rsidRPr="001F1A5A">
        <w:rPr>
          <w:rFonts w:ascii="Calibri" w:eastAsia="Calibri" w:hAnsi="Calibri" w:cs="Times New Roman"/>
        </w:rPr>
        <w:t xml:space="preserve">Съгласно Националния план за управление на отпадъците 2014-2020 г. за инвестициите в инфраструктура за подобряване управлението на битовите и биоразградимите отпадъци необходимият финансов ресурс е на стойност 1,254 млрд. лв., като за мерките, които са предвидени за финансиране от ОПОС, необходимият ресурс е в размер на 623,9 млн. лв. </w:t>
      </w:r>
    </w:p>
    <w:p w:rsidR="001F1A5A" w:rsidRDefault="001F1A5A" w:rsidP="001F1A5A">
      <w:pPr>
        <w:widowControl w:val="0"/>
        <w:autoSpaceDE w:val="0"/>
        <w:autoSpaceDN w:val="0"/>
        <w:adjustRightInd w:val="0"/>
        <w:spacing w:before="240" w:after="0" w:line="239" w:lineRule="auto"/>
        <w:ind w:right="66"/>
        <w:jc w:val="both"/>
        <w:rPr>
          <w:rFonts w:ascii="Calibri" w:eastAsia="Calibri" w:hAnsi="Calibri" w:cs="Times New Roman"/>
        </w:rPr>
      </w:pPr>
      <w:r w:rsidRPr="001F1A5A">
        <w:rPr>
          <w:rFonts w:ascii="Calibri" w:eastAsia="Calibri" w:hAnsi="Calibri" w:cs="Times New Roman"/>
        </w:rPr>
        <w:t>Въз основа на информацията, обобщена по-горе, може да се направи изводът, че инвестиционният недостиг за постигане на специфичната цел по ОПОС 2014-2020 (Специфична цел 1 Намаляване на количеството депонирани отпадъци), както и за осигуряване на националния принос към Тематична цел 6 „Опазване на околната среда и насърчаване на ресурсната ефективност“ от Стратегията Европа 2020, е както следва:</w:t>
      </w:r>
    </w:p>
    <w:p w:rsidR="00177CC3" w:rsidRPr="00177CC3" w:rsidRDefault="00177CC3" w:rsidP="00897A0D">
      <w:pPr>
        <w:keepNext/>
        <w:autoSpaceDE w:val="0"/>
        <w:autoSpaceDN w:val="0"/>
        <w:adjustRightInd w:val="0"/>
        <w:spacing w:before="240" w:after="0" w:line="240" w:lineRule="auto"/>
        <w:ind w:left="851" w:right="851"/>
        <w:jc w:val="center"/>
        <w:rPr>
          <w:rFonts w:eastAsia="Times New Roman" w:cstheme="minorHAnsi"/>
          <w:b/>
          <w:bCs/>
          <w:sz w:val="20"/>
          <w:szCs w:val="20"/>
          <w:lang w:eastAsia="bg-BG"/>
        </w:rPr>
      </w:pPr>
      <w:bookmarkStart w:id="44" w:name="_Toc399494595"/>
      <w:r w:rsidRPr="00177CC3">
        <w:rPr>
          <w:rFonts w:eastAsia="Times New Roman" w:cstheme="minorHAnsi"/>
          <w:b/>
          <w:bCs/>
          <w:sz w:val="20"/>
          <w:szCs w:val="20"/>
          <w:lang w:eastAsia="bg-BG"/>
        </w:rPr>
        <w:lastRenderedPageBreak/>
        <w:t xml:space="preserve">Фигура </w:t>
      </w:r>
      <w:r w:rsidR="008E6461" w:rsidRPr="00177CC3">
        <w:rPr>
          <w:rFonts w:eastAsia="Times New Roman" w:cstheme="minorHAnsi"/>
          <w:b/>
          <w:bCs/>
          <w:sz w:val="20"/>
          <w:szCs w:val="20"/>
          <w:lang w:eastAsia="bg-BG"/>
        </w:rPr>
        <w:fldChar w:fldCharType="begin"/>
      </w:r>
      <w:r w:rsidRPr="00177CC3">
        <w:rPr>
          <w:rFonts w:eastAsia="Times New Roman" w:cstheme="minorHAnsi"/>
          <w:b/>
          <w:bCs/>
          <w:sz w:val="20"/>
          <w:szCs w:val="20"/>
          <w:lang w:eastAsia="bg-BG"/>
        </w:rPr>
        <w:instrText xml:space="preserve"> SEQ фигура \* ARABIC </w:instrText>
      </w:r>
      <w:r w:rsidR="008E6461" w:rsidRPr="00177CC3">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10</w:t>
      </w:r>
      <w:r w:rsidR="008E6461" w:rsidRPr="00177CC3">
        <w:rPr>
          <w:rFonts w:eastAsia="Times New Roman" w:cstheme="minorHAnsi"/>
          <w:b/>
          <w:bCs/>
          <w:sz w:val="20"/>
          <w:szCs w:val="20"/>
          <w:lang w:eastAsia="bg-BG"/>
        </w:rPr>
        <w:fldChar w:fldCharType="end"/>
      </w:r>
      <w:r w:rsidRPr="00177CC3">
        <w:rPr>
          <w:rFonts w:eastAsia="Times New Roman" w:cstheme="minorHAnsi"/>
          <w:b/>
          <w:bCs/>
          <w:sz w:val="20"/>
          <w:szCs w:val="20"/>
          <w:lang w:eastAsia="bg-BG"/>
        </w:rPr>
        <w:t>:</w:t>
      </w:r>
      <w:r>
        <w:rPr>
          <w:rFonts w:eastAsia="Times New Roman" w:cstheme="minorHAnsi"/>
          <w:b/>
          <w:bCs/>
          <w:sz w:val="20"/>
          <w:szCs w:val="20"/>
          <w:lang w:eastAsia="bg-BG"/>
        </w:rPr>
        <w:t xml:space="preserve"> Финансов недостиг за подобряване управлението на битовите и </w:t>
      </w:r>
      <w:r w:rsidR="00897A0D">
        <w:rPr>
          <w:rFonts w:eastAsia="Times New Roman" w:cstheme="minorHAnsi"/>
          <w:b/>
          <w:bCs/>
          <w:sz w:val="20"/>
          <w:szCs w:val="20"/>
          <w:lang w:eastAsia="bg-BG"/>
        </w:rPr>
        <w:t>биоразградимите</w:t>
      </w:r>
      <w:r>
        <w:rPr>
          <w:rFonts w:eastAsia="Times New Roman" w:cstheme="minorHAnsi"/>
          <w:b/>
          <w:bCs/>
          <w:sz w:val="20"/>
          <w:szCs w:val="20"/>
          <w:lang w:eastAsia="bg-BG"/>
        </w:rPr>
        <w:t xml:space="preserve"> отпадъци</w:t>
      </w:r>
      <w:bookmarkEnd w:id="44"/>
    </w:p>
    <w:p w:rsidR="001F1A5A" w:rsidRDefault="00441B0A" w:rsidP="001F1A5A">
      <w:pPr>
        <w:widowControl w:val="0"/>
        <w:autoSpaceDE w:val="0"/>
        <w:autoSpaceDN w:val="0"/>
        <w:adjustRightInd w:val="0"/>
        <w:spacing w:before="240" w:after="0" w:line="239" w:lineRule="auto"/>
        <w:ind w:right="66"/>
        <w:jc w:val="center"/>
        <w:rPr>
          <w:rFonts w:ascii="Calibri" w:eastAsia="Calibri" w:hAnsi="Calibri" w:cs="Times New Roman"/>
          <w:noProof/>
          <w:lang w:eastAsia="bg-BG"/>
        </w:rPr>
      </w:pPr>
      <w:r>
        <w:rPr>
          <w:rFonts w:ascii="Calibri" w:eastAsia="Calibri" w:hAnsi="Calibri" w:cs="Times New Roman"/>
          <w:noProof/>
          <w:lang w:eastAsia="bg-BG"/>
        </w:rPr>
        <w:drawing>
          <wp:inline distT="0" distB="0" distL="0" distR="0">
            <wp:extent cx="4594860" cy="2758440"/>
            <wp:effectExtent l="19050" t="0" r="0" b="0"/>
            <wp:docPr id="225"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9" cstate="print"/>
                    <a:srcRect/>
                    <a:stretch>
                      <a:fillRect/>
                    </a:stretch>
                  </pic:blipFill>
                  <pic:spPr bwMode="auto">
                    <a:xfrm>
                      <a:off x="0" y="0"/>
                      <a:ext cx="4594860" cy="2758440"/>
                    </a:xfrm>
                    <a:prstGeom prst="rect">
                      <a:avLst/>
                    </a:prstGeom>
                    <a:noFill/>
                  </pic:spPr>
                </pic:pic>
              </a:graphicData>
            </a:graphic>
          </wp:inline>
        </w:drawing>
      </w: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301CA" w:rsidRDefault="00D301CA" w:rsidP="001F1A5A">
      <w:pPr>
        <w:widowControl w:val="0"/>
        <w:autoSpaceDE w:val="0"/>
        <w:autoSpaceDN w:val="0"/>
        <w:adjustRightInd w:val="0"/>
        <w:spacing w:before="240" w:after="0" w:line="239" w:lineRule="auto"/>
        <w:ind w:right="66"/>
        <w:jc w:val="center"/>
        <w:rPr>
          <w:rFonts w:ascii="Calibri" w:eastAsia="Calibri" w:hAnsi="Calibri" w:cs="Times New Roman"/>
        </w:rPr>
      </w:pPr>
    </w:p>
    <w:p w:rsidR="00DE3358" w:rsidRPr="00D366B8" w:rsidRDefault="00DE3358" w:rsidP="00DE3358">
      <w:pPr>
        <w:pStyle w:val="Heading3"/>
        <w:spacing w:before="120" w:after="120"/>
        <w:rPr>
          <w:rFonts w:asciiTheme="minorHAnsi" w:eastAsia="Calibri" w:hAnsiTheme="minorHAnsi"/>
        </w:rPr>
      </w:pPr>
      <w:bookmarkStart w:id="45" w:name="_Toc399494519"/>
      <w:r>
        <w:rPr>
          <w:rFonts w:asciiTheme="minorHAnsi" w:eastAsia="Calibri" w:hAnsiTheme="minorHAnsi"/>
        </w:rPr>
        <w:lastRenderedPageBreak/>
        <w:t>1.2.5. Анализ на търсенето и предлагането на финансиране</w:t>
      </w:r>
      <w:bookmarkEnd w:id="45"/>
      <w:r w:rsidRPr="00D366B8">
        <w:rPr>
          <w:rFonts w:asciiTheme="minorHAnsi" w:eastAsia="Calibri" w:hAnsiTheme="minorHAnsi"/>
        </w:rPr>
        <w:t xml:space="preserve"> </w:t>
      </w:r>
    </w:p>
    <w:p w:rsidR="00FC75F0" w:rsidRDefault="001F1A5A" w:rsidP="00DF6FCF">
      <w:pPr>
        <w:numPr>
          <w:ilvl w:val="0"/>
          <w:numId w:val="20"/>
        </w:numPr>
        <w:spacing w:after="200" w:line="276" w:lineRule="auto"/>
        <w:jc w:val="both"/>
        <w:rPr>
          <w:rFonts w:ascii="Calibri" w:eastAsia="Calibri" w:hAnsi="Calibri" w:cs="Times New Roman"/>
          <w:b/>
          <w:color w:val="4F81BD"/>
        </w:rPr>
      </w:pPr>
      <w:r w:rsidRPr="001F1A5A">
        <w:rPr>
          <w:rFonts w:ascii="Calibri" w:eastAsia="Calibri" w:hAnsi="Calibri" w:cs="Times New Roman"/>
          <w:b/>
          <w:color w:val="4F81BD"/>
        </w:rPr>
        <w:t>Схеми на финансиране на проектите в сектор Отпадъци в пред-присъединителния период</w:t>
      </w:r>
      <w:r w:rsidR="00C947EC">
        <w:rPr>
          <w:rFonts w:ascii="Calibri" w:eastAsia="Calibri" w:hAnsi="Calibri" w:cs="Times New Roman"/>
          <w:b/>
          <w:color w:val="4F81BD"/>
        </w:rPr>
        <w:t xml:space="preserve"> </w:t>
      </w:r>
    </w:p>
    <w:p w:rsidR="00C947EC" w:rsidRDefault="001F1A5A" w:rsidP="00C947EC">
      <w:pPr>
        <w:spacing w:after="200" w:line="276" w:lineRule="auto"/>
        <w:jc w:val="both"/>
        <w:rPr>
          <w:rFonts w:ascii="Calibri" w:eastAsia="Calibri" w:hAnsi="Calibri" w:cs="Times New Roman"/>
        </w:rPr>
      </w:pPr>
      <w:r w:rsidRPr="001F1A5A">
        <w:rPr>
          <w:rFonts w:ascii="Calibri" w:eastAsia="Calibri" w:hAnsi="Calibri" w:cs="Times New Roman"/>
        </w:rPr>
        <w:t>В периода до 2007 г., когато България стана страна-членка на ЕС са подписани следните Финансови меморандуми в сектор Околна среда по програма ИСПА:</w:t>
      </w:r>
      <w:r w:rsidR="00C947EC">
        <w:rPr>
          <w:rFonts w:ascii="Calibri" w:eastAsia="Calibri" w:hAnsi="Calibri" w:cs="Times New Roman"/>
        </w:rPr>
        <w:t xml:space="preserve"> </w:t>
      </w:r>
    </w:p>
    <w:p w:rsidR="00177CC3" w:rsidRDefault="00177CC3" w:rsidP="00177CC3">
      <w:pPr>
        <w:spacing w:after="200" w:line="276" w:lineRule="auto"/>
        <w:ind w:firstLine="708"/>
        <w:jc w:val="both"/>
        <w:rPr>
          <w:rFonts w:ascii="Calibri" w:eastAsia="Calibri" w:hAnsi="Calibri" w:cs="Times New Roman"/>
        </w:rPr>
      </w:pPr>
      <w:bookmarkStart w:id="46" w:name="_Toc399494897"/>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17</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Одобрени проекти по програма ИСПА до 2007 г.</w:t>
      </w:r>
      <w:bookmarkEnd w:id="46"/>
    </w:p>
    <w:p w:rsidR="001F1A5A" w:rsidRPr="001F1A5A" w:rsidRDefault="001F1A5A" w:rsidP="00C947EC">
      <w:pPr>
        <w:spacing w:after="200" w:line="276" w:lineRule="auto"/>
        <w:jc w:val="both"/>
        <w:rPr>
          <w:rFonts w:ascii="Calibri" w:eastAsia="Calibri" w:hAnsi="Calibri" w:cs="Times New Roman"/>
        </w:rPr>
      </w:pPr>
      <w:r w:rsidRPr="001F1A5A">
        <w:rPr>
          <w:rFonts w:ascii="Calibri" w:eastAsia="Calibri" w:hAnsi="Calibri" w:cs="Times New Roman"/>
          <w:noProof/>
          <w:lang w:eastAsia="bg-BG"/>
        </w:rPr>
        <w:drawing>
          <wp:inline distT="0" distB="0" distL="0" distR="0">
            <wp:extent cx="5760720" cy="5346700"/>
            <wp:effectExtent l="19050" t="0" r="0" b="0"/>
            <wp:docPr id="18" name="Picture 6" descr="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4.gif"/>
                    <pic:cNvPicPr/>
                  </pic:nvPicPr>
                  <pic:blipFill>
                    <a:blip r:embed="rId26" cstate="print"/>
                    <a:stretch>
                      <a:fillRect/>
                    </a:stretch>
                  </pic:blipFill>
                  <pic:spPr>
                    <a:xfrm>
                      <a:off x="0" y="0"/>
                      <a:ext cx="5760720" cy="5346700"/>
                    </a:xfrm>
                    <a:prstGeom prst="rect">
                      <a:avLst/>
                    </a:prstGeom>
                  </pic:spPr>
                </pic:pic>
              </a:graphicData>
            </a:graphic>
          </wp:inline>
        </w:drawing>
      </w:r>
    </w:p>
    <w:p w:rsidR="001F1A5A" w:rsidRPr="001F1A5A" w:rsidRDefault="001F1A5A" w:rsidP="001F1A5A">
      <w:pPr>
        <w:spacing w:after="200" w:line="276" w:lineRule="auto"/>
        <w:jc w:val="both"/>
        <w:rPr>
          <w:rFonts w:ascii="Calibri" w:eastAsia="Calibri" w:hAnsi="Calibri" w:cs="Times New Roman"/>
        </w:rPr>
      </w:pPr>
      <w:r w:rsidRPr="001F1A5A">
        <w:rPr>
          <w:rFonts w:ascii="Calibri" w:eastAsia="Calibri" w:hAnsi="Calibri" w:cs="Times New Roman"/>
        </w:rPr>
        <w:t>Видно, от информацията представена по-горе е, че за проектите в сектор Отпадъци не е използвана възможността за осигуряване на финансиране от МФИ, а са използвани само средства от националния бюджет.</w:t>
      </w:r>
    </w:p>
    <w:p w:rsidR="001F1A5A" w:rsidRPr="001F1A5A" w:rsidRDefault="001F1A5A" w:rsidP="001F1A5A">
      <w:pPr>
        <w:spacing w:after="200" w:line="276" w:lineRule="auto"/>
        <w:jc w:val="both"/>
        <w:rPr>
          <w:rFonts w:ascii="Calibri" w:eastAsia="Calibri" w:hAnsi="Calibri" w:cs="Times New Roman"/>
        </w:rPr>
      </w:pPr>
      <w:r w:rsidRPr="001F1A5A">
        <w:rPr>
          <w:rFonts w:ascii="Calibri" w:eastAsia="Calibri" w:hAnsi="Calibri" w:cs="Times New Roman"/>
        </w:rPr>
        <w:t xml:space="preserve">В пред-присъединителния период е създадено и Предприятието за управление на дейностите по опазване на околната среда (ПУДООС). То е юридическо лице, създадено със Закона за </w:t>
      </w:r>
      <w:r w:rsidRPr="001F1A5A">
        <w:rPr>
          <w:rFonts w:ascii="Calibri" w:eastAsia="Calibri" w:hAnsi="Calibri" w:cs="Times New Roman"/>
        </w:rPr>
        <w:lastRenderedPageBreak/>
        <w:t>опазване на околната среда - чл. 60, ал. 1 (ДВ бр. 91 от 25.09.2002 г.). ПУДООС е държавно предприятие по смисъла на чл. 62, ал. 3 от ТЗ и не е търговско дружество, не формира и не разпределя печалба. Съгласно Правилника за устройството и дейността на ПУДООС</w:t>
      </w:r>
      <w:r w:rsidRPr="001F1A5A">
        <w:rPr>
          <w:rFonts w:ascii="Calibri" w:eastAsia="Calibri" w:hAnsi="Calibri" w:cs="Times New Roman"/>
          <w:vertAlign w:val="superscript"/>
        </w:rPr>
        <w:footnoteReference w:id="23"/>
      </w:r>
      <w:r w:rsidRPr="001F1A5A">
        <w:rPr>
          <w:rFonts w:ascii="Calibri" w:eastAsia="Calibri" w:hAnsi="Calibri" w:cs="Times New Roman"/>
        </w:rPr>
        <w:t xml:space="preserve">, дейностите на предприятието се финансират с постъпленията от: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таксите, определени със специалните закони в областта на околната среда;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целево предоставени средства от държавния бюджет за екологични програми, когато за това има решение на компетентните органи;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дарения от местни и чуждестранни физически и юридически лица;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постъпления от лихви по депозити;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глоби и имуществени санкции за административни нарушения по Закона за опазване на околната среда и всички специални закони в областта на околната среда, наложени от министъра на околната среда и водите или от упълномощени от него длъжностни лица;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постъпления от възстановени кредити и платените лихви по тях;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приходи от портфейлни инвестиции с краткосрочни държавни ценни книжа и облигации;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приходи от услуги и дейности, свързани с дейността на предприятието;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други постъпления, определени с нормативен акт. </w:t>
      </w:r>
    </w:p>
    <w:p w:rsidR="00177CC3" w:rsidRDefault="00177CC3" w:rsidP="00866AD8">
      <w:pPr>
        <w:spacing w:after="0" w:line="276" w:lineRule="auto"/>
        <w:jc w:val="both"/>
        <w:rPr>
          <w:rFonts w:ascii="Calibri" w:eastAsia="Calibri" w:hAnsi="Calibri" w:cs="Times New Roman"/>
        </w:rPr>
      </w:pPr>
    </w:p>
    <w:p w:rsidR="001F1A5A" w:rsidRPr="001F1A5A" w:rsidRDefault="001F1A5A" w:rsidP="00866AD8">
      <w:pPr>
        <w:spacing w:after="0" w:line="276" w:lineRule="auto"/>
        <w:jc w:val="both"/>
        <w:rPr>
          <w:rFonts w:ascii="Calibri" w:eastAsia="Calibri" w:hAnsi="Calibri" w:cs="Times New Roman"/>
        </w:rPr>
      </w:pPr>
      <w:r w:rsidRPr="001F1A5A">
        <w:rPr>
          <w:rFonts w:ascii="Calibri" w:eastAsia="Calibri" w:hAnsi="Calibri" w:cs="Times New Roman"/>
        </w:rPr>
        <w:t xml:space="preserve"> Предприятието предоставя средствата под формата на: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безвъзмездни помощи; </w:t>
      </w:r>
    </w:p>
    <w:p w:rsidR="001F1A5A" w:rsidRP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безлихвени или нисколихвени заеми; </w:t>
      </w:r>
    </w:p>
    <w:p w:rsidR="001F1A5A" w:rsidRDefault="001F1A5A" w:rsidP="009C1CFD">
      <w:pPr>
        <w:numPr>
          <w:ilvl w:val="0"/>
          <w:numId w:val="6"/>
        </w:numPr>
        <w:spacing w:after="0" w:line="276" w:lineRule="auto"/>
        <w:jc w:val="both"/>
        <w:rPr>
          <w:rFonts w:ascii="Calibri" w:eastAsia="Calibri" w:hAnsi="Calibri" w:cs="Times New Roman"/>
        </w:rPr>
      </w:pPr>
      <w:r w:rsidRPr="001F1A5A">
        <w:rPr>
          <w:rFonts w:ascii="Calibri" w:eastAsia="Calibri" w:hAnsi="Calibri" w:cs="Times New Roman"/>
        </w:rPr>
        <w:t xml:space="preserve"> субсидии за покриване на част или пълния размер на дължими лихви по банкови кредити, отпуснати за реализация на екологични проекти и обекти.</w:t>
      </w:r>
    </w:p>
    <w:p w:rsidR="00DE3358" w:rsidRDefault="00DE3358" w:rsidP="00177CC3">
      <w:pPr>
        <w:spacing w:after="0" w:line="276" w:lineRule="auto"/>
        <w:ind w:left="720"/>
        <w:jc w:val="both"/>
        <w:rPr>
          <w:rFonts w:ascii="Calibri" w:eastAsia="Calibri" w:hAnsi="Calibri" w:cs="Times New Roman"/>
        </w:rPr>
      </w:pPr>
    </w:p>
    <w:p w:rsidR="00441B0A" w:rsidRDefault="00441B0A" w:rsidP="00177CC3">
      <w:pPr>
        <w:spacing w:after="0" w:line="276" w:lineRule="auto"/>
        <w:ind w:left="720"/>
        <w:jc w:val="both"/>
        <w:rPr>
          <w:rFonts w:ascii="Calibri" w:eastAsia="Calibri" w:hAnsi="Calibri" w:cs="Times New Roman"/>
        </w:rPr>
      </w:pPr>
    </w:p>
    <w:p w:rsidR="00FC75F0" w:rsidRDefault="001F1A5A" w:rsidP="00DF6FCF">
      <w:pPr>
        <w:numPr>
          <w:ilvl w:val="0"/>
          <w:numId w:val="20"/>
        </w:numPr>
        <w:spacing w:after="200" w:line="276" w:lineRule="auto"/>
        <w:jc w:val="both"/>
        <w:rPr>
          <w:rFonts w:ascii="Calibri" w:eastAsia="Calibri" w:hAnsi="Calibri" w:cs="Times New Roman"/>
          <w:b/>
          <w:color w:val="4F81BD"/>
        </w:rPr>
      </w:pPr>
      <w:r w:rsidRPr="001F1A5A">
        <w:rPr>
          <w:rFonts w:ascii="Calibri" w:eastAsia="Calibri" w:hAnsi="Calibri" w:cs="Times New Roman"/>
          <w:b/>
          <w:color w:val="4F81BD"/>
        </w:rPr>
        <w:t>Схеми на финансиране на проектите в сектор Отпадъци в периода 2007-2013 г.</w:t>
      </w:r>
    </w:p>
    <w:p w:rsidR="001F1A5A" w:rsidRDefault="001F1A5A" w:rsidP="001F1A5A">
      <w:pPr>
        <w:spacing w:after="200" w:line="276" w:lineRule="auto"/>
        <w:jc w:val="both"/>
        <w:rPr>
          <w:rFonts w:ascii="Calibri" w:eastAsia="Calibri" w:hAnsi="Calibri" w:cs="Times New Roman"/>
        </w:rPr>
      </w:pPr>
      <w:r w:rsidRPr="001F1A5A">
        <w:rPr>
          <w:rFonts w:ascii="Calibri" w:eastAsia="Calibri" w:hAnsi="Calibri" w:cs="Times New Roman"/>
        </w:rPr>
        <w:t>В периода 2007-2013 г. структурата на финансиране на проектите в сектор Отпадъци е както следва:</w:t>
      </w:r>
    </w:p>
    <w:p w:rsidR="00D301CA" w:rsidRDefault="00D301CA" w:rsidP="001F1A5A">
      <w:pPr>
        <w:spacing w:after="200" w:line="276" w:lineRule="auto"/>
        <w:jc w:val="both"/>
        <w:rPr>
          <w:rFonts w:ascii="Calibri" w:eastAsia="Calibri" w:hAnsi="Calibri" w:cs="Times New Roman"/>
        </w:rPr>
      </w:pPr>
    </w:p>
    <w:p w:rsidR="00D301CA" w:rsidRDefault="00D301CA" w:rsidP="001F1A5A">
      <w:pPr>
        <w:spacing w:after="200" w:line="276" w:lineRule="auto"/>
        <w:jc w:val="both"/>
        <w:rPr>
          <w:rFonts w:ascii="Calibri" w:eastAsia="Calibri" w:hAnsi="Calibri" w:cs="Times New Roman"/>
        </w:rPr>
      </w:pPr>
    </w:p>
    <w:p w:rsidR="00441B0A" w:rsidRDefault="00441B0A" w:rsidP="001F1A5A">
      <w:pPr>
        <w:spacing w:after="200" w:line="276" w:lineRule="auto"/>
        <w:jc w:val="both"/>
        <w:rPr>
          <w:rFonts w:ascii="Calibri" w:eastAsia="Calibri" w:hAnsi="Calibri" w:cs="Times New Roman"/>
        </w:rPr>
      </w:pPr>
    </w:p>
    <w:p w:rsidR="00441B0A" w:rsidRDefault="00441B0A" w:rsidP="001F1A5A">
      <w:pPr>
        <w:spacing w:after="200" w:line="276" w:lineRule="auto"/>
        <w:jc w:val="both"/>
        <w:rPr>
          <w:rFonts w:ascii="Calibri" w:eastAsia="Calibri" w:hAnsi="Calibri" w:cs="Times New Roman"/>
        </w:rPr>
      </w:pPr>
    </w:p>
    <w:p w:rsidR="00177CC3" w:rsidRPr="001F1A5A" w:rsidRDefault="00177CC3" w:rsidP="001F1A5A">
      <w:pPr>
        <w:spacing w:after="200" w:line="276" w:lineRule="auto"/>
        <w:jc w:val="both"/>
        <w:rPr>
          <w:rFonts w:ascii="Calibri" w:eastAsia="Calibri" w:hAnsi="Calibri" w:cs="Times New Roman"/>
        </w:rPr>
      </w:pPr>
      <w:bookmarkStart w:id="47" w:name="_Toc399494898"/>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18</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Структура на финансиране на проектите в сектор Отпадъци (2007-2013)</w:t>
      </w:r>
      <w:bookmarkEnd w:id="47"/>
    </w:p>
    <w:tbl>
      <w:tblPr>
        <w:tblStyle w:val="LightShading-Accent112"/>
        <w:tblW w:w="9338" w:type="dxa"/>
        <w:tblLook w:val="04A0" w:firstRow="1" w:lastRow="0" w:firstColumn="1" w:lastColumn="0" w:noHBand="0" w:noVBand="1"/>
      </w:tblPr>
      <w:tblGrid>
        <w:gridCol w:w="3369"/>
        <w:gridCol w:w="600"/>
        <w:gridCol w:w="1825"/>
        <w:gridCol w:w="1808"/>
        <w:gridCol w:w="1736"/>
      </w:tblGrid>
      <w:tr w:rsidR="001F1A5A" w:rsidRPr="001F1A5A" w:rsidTr="001F1A5A">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3369" w:type="dxa"/>
            <w:vMerge w:val="restart"/>
            <w:hideMark/>
          </w:tcPr>
          <w:p w:rsidR="001F1A5A" w:rsidRPr="001F1A5A" w:rsidRDefault="001F1A5A" w:rsidP="001F1A5A">
            <w:pPr>
              <w:jc w:val="center"/>
              <w:rPr>
                <w:rFonts w:ascii="Calibri" w:hAnsi="Calibri" w:cs="Calibri"/>
                <w:color w:val="333399"/>
                <w:lang w:eastAsia="bg-BG"/>
              </w:rPr>
            </w:pPr>
            <w:r w:rsidRPr="001F1A5A">
              <w:rPr>
                <w:rFonts w:ascii="Calibri" w:hAnsi="Calibri" w:cs="Calibri"/>
                <w:color w:val="333399"/>
                <w:lang w:eastAsia="bg-BG"/>
              </w:rPr>
              <w:t>Приоритетна ос</w:t>
            </w:r>
          </w:p>
        </w:tc>
        <w:tc>
          <w:tcPr>
            <w:tcW w:w="600" w:type="dxa"/>
            <w:hideMark/>
          </w:tcPr>
          <w:p w:rsidR="001F1A5A" w:rsidRPr="001F1A5A" w:rsidRDefault="001F1A5A" w:rsidP="001F1A5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333399"/>
                <w:lang w:eastAsia="bg-BG"/>
              </w:rPr>
            </w:pPr>
            <w:r w:rsidRPr="001F1A5A">
              <w:rPr>
                <w:rFonts w:ascii="Calibri" w:hAnsi="Calibri" w:cs="Calibri"/>
                <w:color w:val="333399"/>
                <w:lang w:eastAsia="bg-BG"/>
              </w:rPr>
              <w:t>Бр.</w:t>
            </w:r>
          </w:p>
        </w:tc>
        <w:tc>
          <w:tcPr>
            <w:tcW w:w="5369" w:type="dxa"/>
            <w:gridSpan w:val="3"/>
            <w:hideMark/>
          </w:tcPr>
          <w:p w:rsidR="001F1A5A" w:rsidRPr="001F1A5A" w:rsidRDefault="001F1A5A" w:rsidP="001F1A5A">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333399"/>
                <w:lang w:eastAsia="bg-BG"/>
              </w:rPr>
            </w:pPr>
            <w:r w:rsidRPr="001F1A5A">
              <w:rPr>
                <w:rFonts w:ascii="Calibri" w:hAnsi="Calibri" w:cs="Calibri"/>
                <w:color w:val="333399"/>
                <w:lang w:eastAsia="bg-BG"/>
              </w:rPr>
              <w:t>Бюджет (лева)</w:t>
            </w:r>
          </w:p>
        </w:tc>
      </w:tr>
      <w:tr w:rsidR="001F1A5A" w:rsidRPr="001F1A5A" w:rsidTr="001F1A5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69" w:type="dxa"/>
            <w:vMerge/>
            <w:hideMark/>
          </w:tcPr>
          <w:p w:rsidR="001F1A5A" w:rsidRPr="001F1A5A" w:rsidRDefault="001F1A5A" w:rsidP="001F1A5A">
            <w:pPr>
              <w:rPr>
                <w:rFonts w:ascii="Calibri" w:hAnsi="Calibri" w:cs="Calibri"/>
                <w:color w:val="333399"/>
                <w:lang w:eastAsia="bg-BG"/>
              </w:rPr>
            </w:pPr>
          </w:p>
        </w:tc>
        <w:tc>
          <w:tcPr>
            <w:tcW w:w="600" w:type="dxa"/>
            <w:hideMark/>
          </w:tcPr>
          <w:p w:rsidR="001F1A5A" w:rsidRPr="001F1A5A" w:rsidRDefault="001F1A5A" w:rsidP="001F1A5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333399"/>
                <w:lang w:eastAsia="bg-BG"/>
              </w:rPr>
            </w:pPr>
            <w:r w:rsidRPr="001F1A5A">
              <w:rPr>
                <w:rFonts w:ascii="Calibri" w:hAnsi="Calibri" w:cs="Calibri"/>
                <w:b/>
                <w:bCs/>
                <w:color w:val="333399"/>
                <w:lang w:eastAsia="bg-BG"/>
              </w:rPr>
              <w:t>дог.</w:t>
            </w:r>
          </w:p>
        </w:tc>
        <w:tc>
          <w:tcPr>
            <w:tcW w:w="1825" w:type="dxa"/>
            <w:vMerge w:val="restart"/>
            <w:hideMark/>
          </w:tcPr>
          <w:p w:rsidR="001F1A5A" w:rsidRPr="001F1A5A" w:rsidRDefault="001F1A5A" w:rsidP="001F1A5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333399"/>
                <w:lang w:eastAsia="bg-BG"/>
              </w:rPr>
            </w:pPr>
            <w:r w:rsidRPr="001F1A5A">
              <w:rPr>
                <w:rFonts w:ascii="Calibri" w:hAnsi="Calibri" w:cs="Calibri"/>
                <w:b/>
                <w:bCs/>
                <w:color w:val="333399"/>
                <w:lang w:eastAsia="bg-BG"/>
              </w:rPr>
              <w:t>Общо</w:t>
            </w:r>
          </w:p>
        </w:tc>
        <w:tc>
          <w:tcPr>
            <w:tcW w:w="1808" w:type="dxa"/>
            <w:vMerge w:val="restart"/>
            <w:hideMark/>
          </w:tcPr>
          <w:p w:rsidR="001F1A5A" w:rsidRPr="001F1A5A" w:rsidRDefault="001F1A5A" w:rsidP="001F1A5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333399"/>
                <w:lang w:eastAsia="bg-BG"/>
              </w:rPr>
            </w:pPr>
            <w:r w:rsidRPr="001F1A5A">
              <w:rPr>
                <w:rFonts w:ascii="Calibri" w:hAnsi="Calibri" w:cs="Calibri"/>
                <w:b/>
                <w:bCs/>
                <w:color w:val="333399"/>
                <w:lang w:eastAsia="bg-BG"/>
              </w:rPr>
              <w:t>Финансиране от ЕС</w:t>
            </w:r>
          </w:p>
        </w:tc>
        <w:tc>
          <w:tcPr>
            <w:tcW w:w="1736" w:type="dxa"/>
            <w:vMerge w:val="restart"/>
            <w:hideMark/>
          </w:tcPr>
          <w:p w:rsidR="001F1A5A" w:rsidRPr="001F1A5A" w:rsidRDefault="001F1A5A" w:rsidP="001F1A5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333399"/>
                <w:lang w:eastAsia="bg-BG"/>
              </w:rPr>
            </w:pPr>
            <w:r w:rsidRPr="001F1A5A">
              <w:rPr>
                <w:rFonts w:ascii="Calibri" w:hAnsi="Calibri" w:cs="Calibri"/>
                <w:b/>
                <w:bCs/>
                <w:color w:val="333399"/>
                <w:lang w:eastAsia="bg-BG"/>
              </w:rPr>
              <w:t>Национално финансиране</w:t>
            </w:r>
          </w:p>
        </w:tc>
      </w:tr>
      <w:tr w:rsidR="001F1A5A" w:rsidRPr="001F1A5A" w:rsidTr="001F1A5A">
        <w:trPr>
          <w:trHeight w:val="300"/>
        </w:trPr>
        <w:tc>
          <w:tcPr>
            <w:cnfStyle w:val="001000000000" w:firstRow="0" w:lastRow="0" w:firstColumn="1" w:lastColumn="0" w:oddVBand="0" w:evenVBand="0" w:oddHBand="0" w:evenHBand="0" w:firstRowFirstColumn="0" w:firstRowLastColumn="0" w:lastRowFirstColumn="0" w:lastRowLastColumn="0"/>
            <w:tcW w:w="3369" w:type="dxa"/>
            <w:vMerge/>
            <w:hideMark/>
          </w:tcPr>
          <w:p w:rsidR="001F1A5A" w:rsidRPr="001F1A5A" w:rsidRDefault="001F1A5A" w:rsidP="001F1A5A">
            <w:pPr>
              <w:rPr>
                <w:rFonts w:ascii="Calibri" w:hAnsi="Calibri" w:cs="Calibri"/>
                <w:color w:val="333399"/>
                <w:lang w:eastAsia="bg-BG"/>
              </w:rPr>
            </w:pPr>
          </w:p>
        </w:tc>
        <w:tc>
          <w:tcPr>
            <w:tcW w:w="600" w:type="dxa"/>
            <w:hideMark/>
          </w:tcPr>
          <w:p w:rsidR="001F1A5A" w:rsidRPr="001F1A5A" w:rsidRDefault="001F1A5A" w:rsidP="001F1A5A">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333399"/>
                <w:lang w:eastAsia="bg-BG"/>
              </w:rPr>
            </w:pPr>
            <w:r w:rsidRPr="001F1A5A">
              <w:rPr>
                <w:rFonts w:ascii="Calibri" w:hAnsi="Calibri" w:cs="Calibri"/>
                <w:b/>
                <w:bCs/>
                <w:color w:val="333399"/>
                <w:lang w:eastAsia="bg-BG"/>
              </w:rPr>
              <w:t> </w:t>
            </w:r>
          </w:p>
        </w:tc>
        <w:tc>
          <w:tcPr>
            <w:tcW w:w="1825" w:type="dxa"/>
            <w:vMerge/>
            <w:hideMark/>
          </w:tcPr>
          <w:p w:rsidR="001F1A5A" w:rsidRPr="001F1A5A" w:rsidRDefault="001F1A5A" w:rsidP="001F1A5A">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333399"/>
                <w:lang w:eastAsia="bg-BG"/>
              </w:rPr>
            </w:pPr>
          </w:p>
        </w:tc>
        <w:tc>
          <w:tcPr>
            <w:tcW w:w="1808" w:type="dxa"/>
            <w:vMerge/>
            <w:hideMark/>
          </w:tcPr>
          <w:p w:rsidR="001F1A5A" w:rsidRPr="001F1A5A" w:rsidRDefault="001F1A5A" w:rsidP="001F1A5A">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333399"/>
                <w:lang w:eastAsia="bg-BG"/>
              </w:rPr>
            </w:pPr>
          </w:p>
        </w:tc>
        <w:tc>
          <w:tcPr>
            <w:tcW w:w="1736" w:type="dxa"/>
            <w:vMerge/>
            <w:hideMark/>
          </w:tcPr>
          <w:p w:rsidR="001F1A5A" w:rsidRPr="001F1A5A" w:rsidRDefault="001F1A5A" w:rsidP="001F1A5A">
            <w:pPr>
              <w:cnfStyle w:val="000000000000" w:firstRow="0" w:lastRow="0" w:firstColumn="0" w:lastColumn="0" w:oddVBand="0" w:evenVBand="0" w:oddHBand="0" w:evenHBand="0" w:firstRowFirstColumn="0" w:firstRowLastColumn="0" w:lastRowFirstColumn="0" w:lastRowLastColumn="0"/>
              <w:rPr>
                <w:rFonts w:ascii="Calibri" w:hAnsi="Calibri" w:cs="Calibri"/>
                <w:b/>
                <w:bCs/>
                <w:color w:val="333399"/>
                <w:lang w:eastAsia="bg-BG"/>
              </w:rPr>
            </w:pPr>
          </w:p>
        </w:tc>
      </w:tr>
      <w:tr w:rsidR="001F1A5A" w:rsidRPr="001F1A5A" w:rsidTr="001F1A5A">
        <w:trPr>
          <w:cnfStyle w:val="000000100000" w:firstRow="0" w:lastRow="0" w:firstColumn="0" w:lastColumn="0" w:oddVBand="0" w:evenVBand="0" w:oddHBand="1" w:evenHBand="0" w:firstRowFirstColumn="0" w:firstRowLastColumn="0" w:lastRowFirstColumn="0" w:lastRowLastColumn="0"/>
          <w:trHeight w:val="1440"/>
        </w:trPr>
        <w:tc>
          <w:tcPr>
            <w:cnfStyle w:val="001000000000" w:firstRow="0" w:lastRow="0" w:firstColumn="1" w:lastColumn="0" w:oddVBand="0" w:evenVBand="0" w:oddHBand="0" w:evenHBand="0" w:firstRowFirstColumn="0" w:firstRowLastColumn="0" w:lastRowFirstColumn="0" w:lastRowLastColumn="0"/>
            <w:tcW w:w="3369" w:type="dxa"/>
            <w:hideMark/>
          </w:tcPr>
          <w:p w:rsidR="001F1A5A" w:rsidRPr="001F1A5A" w:rsidRDefault="001F1A5A" w:rsidP="001F1A5A">
            <w:pPr>
              <w:jc w:val="center"/>
              <w:rPr>
                <w:rFonts w:ascii="Calibri" w:hAnsi="Calibri" w:cs="Calibri"/>
                <w:color w:val="333399"/>
                <w:lang w:eastAsia="bg-BG"/>
              </w:rPr>
            </w:pPr>
            <w:r w:rsidRPr="001F1A5A">
              <w:rPr>
                <w:rFonts w:ascii="Calibri" w:hAnsi="Calibri" w:cs="Calibri"/>
                <w:color w:val="333399"/>
                <w:lang w:eastAsia="bg-BG"/>
              </w:rPr>
              <w:lastRenderedPageBreak/>
              <w:t>Подобряване и развитие на инфраструктурата за третиране на отпадъци</w:t>
            </w:r>
          </w:p>
        </w:tc>
        <w:tc>
          <w:tcPr>
            <w:tcW w:w="600" w:type="dxa"/>
            <w:hideMark/>
          </w:tcPr>
          <w:p w:rsidR="001F1A5A" w:rsidRPr="001F1A5A" w:rsidRDefault="001F1A5A" w:rsidP="001F1A5A">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333399"/>
                <w:lang w:eastAsia="bg-BG"/>
              </w:rPr>
            </w:pPr>
            <w:r w:rsidRPr="001F1A5A">
              <w:rPr>
                <w:rFonts w:ascii="Calibri" w:hAnsi="Calibri" w:cs="Calibri"/>
                <w:color w:val="333399"/>
                <w:lang w:eastAsia="bg-BG"/>
              </w:rPr>
              <w:t>56</w:t>
            </w:r>
          </w:p>
        </w:tc>
        <w:tc>
          <w:tcPr>
            <w:tcW w:w="1825" w:type="dxa"/>
            <w:hideMark/>
          </w:tcPr>
          <w:p w:rsidR="001F1A5A" w:rsidRPr="001F1A5A" w:rsidRDefault="001F1A5A" w:rsidP="001F1A5A">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333399"/>
                <w:lang w:eastAsia="bg-BG"/>
              </w:rPr>
            </w:pPr>
            <w:r w:rsidRPr="001F1A5A">
              <w:rPr>
                <w:rFonts w:ascii="Calibri" w:hAnsi="Calibri" w:cs="Calibri"/>
                <w:color w:val="333399"/>
                <w:lang w:eastAsia="bg-BG"/>
              </w:rPr>
              <w:t>717 288 084</w:t>
            </w:r>
          </w:p>
          <w:p w:rsidR="001F1A5A" w:rsidRPr="001F1A5A" w:rsidRDefault="001F1A5A" w:rsidP="001F1A5A">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333399"/>
                <w:lang w:eastAsia="bg-BG"/>
              </w:rPr>
            </w:pPr>
          </w:p>
        </w:tc>
        <w:tc>
          <w:tcPr>
            <w:tcW w:w="1808" w:type="dxa"/>
            <w:hideMark/>
          </w:tcPr>
          <w:p w:rsidR="001F1A5A" w:rsidRPr="001F1A5A" w:rsidRDefault="001F1A5A" w:rsidP="001F1A5A">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333399"/>
                <w:lang w:eastAsia="bg-BG"/>
              </w:rPr>
            </w:pPr>
            <w:r w:rsidRPr="001F1A5A">
              <w:rPr>
                <w:rFonts w:ascii="Calibri" w:hAnsi="Calibri" w:cs="Calibri"/>
                <w:color w:val="333399"/>
                <w:lang w:eastAsia="bg-BG"/>
              </w:rPr>
              <w:t>609 694 872</w:t>
            </w:r>
          </w:p>
          <w:p w:rsidR="001F1A5A" w:rsidRPr="001F1A5A" w:rsidRDefault="001F1A5A" w:rsidP="001F1A5A">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333399"/>
                <w:lang w:eastAsia="bg-BG"/>
              </w:rPr>
            </w:pPr>
            <w:r w:rsidRPr="001F1A5A">
              <w:rPr>
                <w:rFonts w:ascii="Calibri" w:hAnsi="Calibri" w:cs="Calibri"/>
                <w:color w:val="333399"/>
                <w:lang w:eastAsia="bg-BG"/>
              </w:rPr>
              <w:t>(85%)</w:t>
            </w:r>
          </w:p>
        </w:tc>
        <w:tc>
          <w:tcPr>
            <w:tcW w:w="1736" w:type="dxa"/>
            <w:hideMark/>
          </w:tcPr>
          <w:p w:rsidR="001F1A5A" w:rsidRPr="001F1A5A" w:rsidRDefault="001F1A5A" w:rsidP="001F1A5A">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333399"/>
                <w:lang w:eastAsia="bg-BG"/>
              </w:rPr>
            </w:pPr>
            <w:r w:rsidRPr="001F1A5A">
              <w:rPr>
                <w:rFonts w:ascii="Calibri" w:hAnsi="Calibri" w:cs="Calibri"/>
                <w:color w:val="333399"/>
                <w:lang w:eastAsia="bg-BG"/>
              </w:rPr>
              <w:t>107 593 212</w:t>
            </w:r>
          </w:p>
          <w:p w:rsidR="001F1A5A" w:rsidRPr="001F1A5A" w:rsidRDefault="001F1A5A" w:rsidP="001F1A5A">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333399"/>
                <w:lang w:eastAsia="bg-BG"/>
              </w:rPr>
            </w:pPr>
            <w:r w:rsidRPr="001F1A5A">
              <w:rPr>
                <w:rFonts w:ascii="Calibri" w:hAnsi="Calibri" w:cs="Calibri"/>
                <w:color w:val="333399"/>
                <w:lang w:eastAsia="bg-BG"/>
              </w:rPr>
              <w:t>(15%)</w:t>
            </w:r>
          </w:p>
        </w:tc>
      </w:tr>
    </w:tbl>
    <w:p w:rsidR="001F1A5A" w:rsidRPr="001F1A5A" w:rsidRDefault="001F1A5A" w:rsidP="001F1A5A">
      <w:pPr>
        <w:widowControl w:val="0"/>
        <w:autoSpaceDE w:val="0"/>
        <w:autoSpaceDN w:val="0"/>
        <w:adjustRightInd w:val="0"/>
        <w:spacing w:after="0" w:line="239" w:lineRule="auto"/>
        <w:ind w:right="66"/>
        <w:jc w:val="both"/>
        <w:rPr>
          <w:rFonts w:ascii="Calibri" w:eastAsia="Calibri" w:hAnsi="Calibri" w:cs="Times New Roman"/>
          <w:i/>
          <w:sz w:val="20"/>
          <w:szCs w:val="20"/>
        </w:rPr>
      </w:pPr>
      <w:r w:rsidRPr="001F1A5A">
        <w:rPr>
          <w:rFonts w:ascii="Calibri" w:eastAsia="Calibri" w:hAnsi="Calibri" w:cs="Times New Roman"/>
          <w:i/>
          <w:sz w:val="20"/>
          <w:szCs w:val="20"/>
        </w:rPr>
        <w:t xml:space="preserve">Източник: ИСУН </w:t>
      </w:r>
    </w:p>
    <w:p w:rsidR="001F1A5A" w:rsidRPr="001F1A5A" w:rsidRDefault="001F1A5A" w:rsidP="001F1A5A">
      <w:pPr>
        <w:widowControl w:val="0"/>
        <w:autoSpaceDE w:val="0"/>
        <w:autoSpaceDN w:val="0"/>
        <w:adjustRightInd w:val="0"/>
        <w:spacing w:before="240" w:after="200" w:line="239" w:lineRule="auto"/>
        <w:ind w:right="66"/>
        <w:jc w:val="both"/>
        <w:rPr>
          <w:rFonts w:ascii="Calibri" w:eastAsia="Calibri" w:hAnsi="Calibri" w:cs="Times New Roman"/>
          <w:i/>
        </w:rPr>
      </w:pPr>
      <w:r w:rsidRPr="001F1A5A">
        <w:rPr>
          <w:rFonts w:ascii="Calibri" w:eastAsia="Calibri" w:hAnsi="Calibri" w:cs="Times New Roman"/>
        </w:rPr>
        <w:t xml:space="preserve">Националното финансиране включва финансиране от държавния бюджет и общинско </w:t>
      </w:r>
      <w:r w:rsidR="00672113">
        <w:rPr>
          <w:rFonts w:ascii="Calibri" w:eastAsia="Calibri" w:hAnsi="Calibri" w:cs="Times New Roman"/>
        </w:rPr>
        <w:t>съфинансиране</w:t>
      </w:r>
      <w:r w:rsidRPr="001F1A5A">
        <w:rPr>
          <w:rFonts w:ascii="Calibri" w:eastAsia="Calibri" w:hAnsi="Calibri" w:cs="Times New Roman"/>
        </w:rPr>
        <w:t xml:space="preserve">, което се определя въз основа на резултатите от финансовите анализи, изготвени за съответните проекти. Съгласно поканата за представяне на проектни предложения по Процедура: BG161PO005-2.0.08 Изграждане на регионални системи за управление на отпадъците, минималният размер на общинското </w:t>
      </w:r>
      <w:r w:rsidR="00672113">
        <w:rPr>
          <w:rFonts w:ascii="Calibri" w:eastAsia="Calibri" w:hAnsi="Calibri" w:cs="Times New Roman"/>
        </w:rPr>
        <w:t>съфинансиране</w:t>
      </w:r>
      <w:r w:rsidRPr="001F1A5A">
        <w:rPr>
          <w:rFonts w:ascii="Calibri" w:eastAsia="Calibri" w:hAnsi="Calibri" w:cs="Times New Roman"/>
        </w:rPr>
        <w:t xml:space="preserve"> е определен на стойност 5%. В резултат от предварително дефинирания минимален размер на общинско </w:t>
      </w:r>
      <w:r w:rsidR="00672113">
        <w:rPr>
          <w:rFonts w:ascii="Calibri" w:eastAsia="Calibri" w:hAnsi="Calibri" w:cs="Times New Roman"/>
        </w:rPr>
        <w:t>съфинансиране</w:t>
      </w:r>
      <w:r w:rsidRPr="001F1A5A">
        <w:rPr>
          <w:rFonts w:ascii="Calibri" w:eastAsia="Calibri" w:hAnsi="Calibri" w:cs="Times New Roman"/>
        </w:rPr>
        <w:t>, при повечето проекти финансирани в рамките на тази процедура, собствените средства, осигурени от общините се равняват на между 5% и 10% от общия бюджет на проектите. Част от тези средства са осигурени от общинския бюджет на съответната община, а друга част чрез заемно финансиране от Фонд ФЛАГ.</w:t>
      </w:r>
    </w:p>
    <w:p w:rsidR="001F1A5A" w:rsidRPr="001F1A5A" w:rsidRDefault="001F1A5A" w:rsidP="001F1A5A">
      <w:pPr>
        <w:spacing w:after="200" w:line="276" w:lineRule="auto"/>
        <w:jc w:val="both"/>
        <w:rPr>
          <w:rFonts w:ascii="Calibri" w:eastAsia="Calibri" w:hAnsi="Calibri" w:cs="Times New Roman"/>
        </w:rPr>
      </w:pPr>
      <w:r w:rsidRPr="001F1A5A">
        <w:rPr>
          <w:rFonts w:ascii="Calibri" w:eastAsia="Calibri" w:hAnsi="Calibri" w:cs="Times New Roman"/>
        </w:rPr>
        <w:t>Съгласно информацията, предоставена от фонда, в периода 2007-2013 г. ФЛАГ е финансирал 69 проекта по ОПОС, от които 6 в сектор Отпадъци на обща стойност 47,5 млн. лв. и стойност на отпуснатите кредити 4,1 млн. лв. Към края н м. май 2014 г. във фонда е подаден още 1 проекта на стойност 21,8 млн. лв. с искане за кредитно финансиране в размер на над 6 млн. лв.</w:t>
      </w:r>
    </w:p>
    <w:p w:rsidR="001F1A5A" w:rsidRPr="001F1A5A" w:rsidRDefault="001F1A5A" w:rsidP="001F1A5A">
      <w:pPr>
        <w:spacing w:after="200" w:line="276" w:lineRule="auto"/>
        <w:jc w:val="both"/>
        <w:rPr>
          <w:rFonts w:ascii="Calibri" w:eastAsia="Calibri" w:hAnsi="Calibri" w:cs="Times New Roman"/>
        </w:rPr>
      </w:pPr>
      <w:r w:rsidRPr="001F1A5A">
        <w:rPr>
          <w:rFonts w:ascii="Calibri" w:eastAsia="Calibri" w:hAnsi="Calibri" w:cs="Times New Roman"/>
        </w:rPr>
        <w:t>По-голямата част от кредитите, отпуснати от фонд ФЛАГ се използват като мостово финансиране за проектите, т.е. за покриване на разходите преди тяхното възстановяване от ОПОС.</w:t>
      </w:r>
    </w:p>
    <w:p w:rsidR="001F1A5A" w:rsidRDefault="001F1A5A" w:rsidP="00AE41A6">
      <w:pPr>
        <w:spacing w:after="200" w:line="276" w:lineRule="auto"/>
        <w:jc w:val="both"/>
        <w:rPr>
          <w:rFonts w:ascii="Calibri" w:eastAsia="Calibri" w:hAnsi="Calibri" w:cs="Times New Roman"/>
        </w:rPr>
      </w:pPr>
      <w:r w:rsidRPr="001F1A5A">
        <w:rPr>
          <w:rFonts w:ascii="Calibri" w:eastAsia="Calibri" w:hAnsi="Calibri" w:cs="Times New Roman"/>
        </w:rPr>
        <w:t xml:space="preserve">Другият източник на финансиране за проектите по ОПОС е </w:t>
      </w:r>
      <w:r w:rsidRPr="001F1A5A">
        <w:rPr>
          <w:rFonts w:ascii="Calibri" w:eastAsia="Calibri" w:hAnsi="Calibri" w:cs="Times New Roman"/>
          <w:b/>
        </w:rPr>
        <w:t>Предприятието за управление на дейностите по опазване на околната среда (ПУДООС)</w:t>
      </w:r>
      <w:r w:rsidRPr="001F1A5A">
        <w:rPr>
          <w:rFonts w:ascii="Calibri" w:eastAsia="Calibri" w:hAnsi="Calibri" w:cs="Times New Roman"/>
        </w:rPr>
        <w:t xml:space="preserve"> с </w:t>
      </w:r>
      <w:r w:rsidR="00672113" w:rsidRPr="001F1A5A">
        <w:rPr>
          <w:rFonts w:ascii="Calibri" w:eastAsia="Calibri" w:hAnsi="Calibri" w:cs="Times New Roman"/>
        </w:rPr>
        <w:t>принципал</w:t>
      </w:r>
      <w:r w:rsidRPr="001F1A5A">
        <w:rPr>
          <w:rFonts w:ascii="Calibri" w:eastAsia="Calibri" w:hAnsi="Calibri" w:cs="Times New Roman"/>
        </w:rPr>
        <w:t xml:space="preserve"> Министерство на околната среда и водите. </w:t>
      </w:r>
    </w:p>
    <w:p w:rsidR="00FC75F0" w:rsidRDefault="001F1A5A" w:rsidP="00DF6FCF">
      <w:pPr>
        <w:numPr>
          <w:ilvl w:val="0"/>
          <w:numId w:val="20"/>
        </w:numPr>
        <w:spacing w:after="200" w:line="276" w:lineRule="auto"/>
        <w:jc w:val="both"/>
        <w:rPr>
          <w:rFonts w:ascii="Calibri" w:eastAsia="Calibri" w:hAnsi="Calibri" w:cs="Times New Roman"/>
          <w:b/>
          <w:color w:val="4F81BD"/>
        </w:rPr>
      </w:pPr>
      <w:r w:rsidRPr="001F1A5A">
        <w:rPr>
          <w:rFonts w:ascii="Calibri" w:eastAsia="Calibri" w:hAnsi="Calibri" w:cs="Times New Roman"/>
          <w:b/>
          <w:color w:val="4F81BD"/>
        </w:rPr>
        <w:t xml:space="preserve">Възможни </w:t>
      </w:r>
      <w:r w:rsidR="001D3EA6">
        <w:rPr>
          <w:rFonts w:ascii="Calibri" w:eastAsia="Calibri" w:hAnsi="Calibri" w:cs="Times New Roman"/>
          <w:b/>
          <w:color w:val="4F81BD"/>
        </w:rPr>
        <w:t>форми</w:t>
      </w:r>
      <w:r w:rsidRPr="001F1A5A">
        <w:rPr>
          <w:rFonts w:ascii="Calibri" w:eastAsia="Calibri" w:hAnsi="Calibri" w:cs="Times New Roman"/>
          <w:b/>
          <w:color w:val="4F81BD"/>
        </w:rPr>
        <w:t xml:space="preserve"> на финансиране на проектите в сектор Отпадъци по ОПОС в периода 2014-2020 г.</w:t>
      </w:r>
    </w:p>
    <w:p w:rsidR="001F1A5A" w:rsidRPr="001F1A5A" w:rsidRDefault="001F1A5A" w:rsidP="001F1A5A">
      <w:pPr>
        <w:spacing w:after="200" w:line="276" w:lineRule="auto"/>
        <w:jc w:val="both"/>
        <w:rPr>
          <w:rFonts w:ascii="Calibri" w:eastAsia="Calibri" w:hAnsi="Calibri" w:cs="Times New Roman"/>
        </w:rPr>
      </w:pPr>
      <w:r w:rsidRPr="001F1A5A">
        <w:rPr>
          <w:rFonts w:ascii="Calibri" w:eastAsia="Calibri" w:hAnsi="Calibri" w:cs="Times New Roman"/>
        </w:rPr>
        <w:t xml:space="preserve">Съгласно чл. 120 от Регламент (ЕС) № 1303/2013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(Общия Регламент), ставката на </w:t>
      </w:r>
      <w:r w:rsidR="00672113">
        <w:rPr>
          <w:rFonts w:ascii="Calibri" w:eastAsia="Calibri" w:hAnsi="Calibri" w:cs="Times New Roman"/>
        </w:rPr>
        <w:t>съфинансиране</w:t>
      </w:r>
      <w:r w:rsidRPr="001F1A5A">
        <w:rPr>
          <w:rFonts w:ascii="Calibri" w:eastAsia="Calibri" w:hAnsi="Calibri" w:cs="Times New Roman"/>
        </w:rPr>
        <w:t xml:space="preserve"> за всяка приоритетна ос, и когато е приложимо, по категория регион и фонд, на оперативните програми по целта „Инвестиции за растеж и работни места“ не може да надвишава 85 % за Кохезионния фонд и ЕФРР.</w:t>
      </w:r>
    </w:p>
    <w:p w:rsidR="001F1A5A" w:rsidRPr="001F1A5A" w:rsidRDefault="001F1A5A" w:rsidP="001F1A5A">
      <w:pPr>
        <w:spacing w:after="200" w:line="276" w:lineRule="auto"/>
        <w:jc w:val="both"/>
        <w:rPr>
          <w:rFonts w:ascii="Calibri" w:eastAsia="Calibri" w:hAnsi="Calibri" w:cs="Times New Roman"/>
        </w:rPr>
      </w:pPr>
      <w:r w:rsidRPr="001F1A5A">
        <w:rPr>
          <w:rFonts w:ascii="Calibri" w:eastAsia="Calibri" w:hAnsi="Calibri" w:cs="Times New Roman"/>
        </w:rPr>
        <w:lastRenderedPageBreak/>
        <w:t>Съгласно чл. 37 от същия Регламент, Европейските структурни и инвестиционни фондове (ЕСИФ) могат да бъдат използвани за подкрепа на финансови инструменти с цел да допринесат за постигането на специфичните цели, определени по даден приоритет. Финансовите инструменти се използват за подкрепа на инвестиции, които се очаква да бъдат финансово жизнеспособни, но не могат да генерират достатъчно финансиране от пазарни източници.</w:t>
      </w:r>
    </w:p>
    <w:p w:rsidR="001F1A5A" w:rsidRDefault="001F1A5A" w:rsidP="001F1A5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right="64"/>
        <w:jc w:val="both"/>
        <w:rPr>
          <w:rFonts w:ascii="Calibri" w:eastAsia="Calibri" w:hAnsi="Calibri" w:cs="Times New Roman"/>
        </w:rPr>
      </w:pPr>
      <w:r w:rsidRPr="001F1A5A">
        <w:rPr>
          <w:rFonts w:ascii="Calibri" w:eastAsia="Calibri" w:hAnsi="Calibri" w:cs="Times New Roman"/>
        </w:rPr>
        <w:t>В сектор Отпадъци, проектите по схемата за отговорност на домакинствата и на другите лица, които генерират битови отпадъци и отпадъци, подобни на битовите отпадъци не могат да генерират достатъчно финансиране от пазарни източници поради следните причини:</w:t>
      </w:r>
    </w:p>
    <w:p w:rsidR="001F1A5A" w:rsidRPr="001F1A5A" w:rsidRDefault="001F1A5A" w:rsidP="001F1A5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right="64"/>
        <w:jc w:val="both"/>
        <w:rPr>
          <w:rFonts w:ascii="Calibri" w:eastAsia="Calibri" w:hAnsi="Calibri" w:cs="Times New Roman"/>
        </w:rPr>
      </w:pPr>
    </w:p>
    <w:p w:rsidR="00FC75F0" w:rsidRDefault="001F1A5A" w:rsidP="00DF6FCF">
      <w:pPr>
        <w:numPr>
          <w:ilvl w:val="0"/>
          <w:numId w:val="23"/>
        </w:numPr>
        <w:spacing w:after="0" w:line="276" w:lineRule="auto"/>
        <w:jc w:val="both"/>
        <w:rPr>
          <w:rFonts w:ascii="Calibri" w:eastAsia="Calibri" w:hAnsi="Calibri" w:cs="Times New Roman"/>
        </w:rPr>
      </w:pPr>
      <w:r w:rsidRPr="001F1A5A">
        <w:rPr>
          <w:rFonts w:ascii="Calibri" w:eastAsia="Calibri" w:hAnsi="Calibri" w:cs="Calibri"/>
        </w:rPr>
        <w:t>Към настоящия момент в България няма система „плащане при изхвърляне”, тъй като потребителите на услугата свързана с управлението на битовите отпадъци не плащат на база количество на изхвърлените от тях отпадъци;</w:t>
      </w:r>
    </w:p>
    <w:p w:rsidR="00FC75F0" w:rsidRDefault="001F1A5A" w:rsidP="00DF6FCF">
      <w:pPr>
        <w:numPr>
          <w:ilvl w:val="0"/>
          <w:numId w:val="23"/>
        </w:numPr>
        <w:spacing w:after="0" w:line="276" w:lineRule="auto"/>
        <w:jc w:val="both"/>
        <w:rPr>
          <w:rFonts w:ascii="Calibri" w:eastAsia="Calibri" w:hAnsi="Calibri" w:cs="Calibri"/>
        </w:rPr>
      </w:pPr>
      <w:r w:rsidRPr="001F1A5A">
        <w:rPr>
          <w:rFonts w:ascii="Calibri" w:eastAsia="Calibri" w:hAnsi="Calibri" w:cs="Calibri"/>
        </w:rPr>
        <w:t>Процентът на събираемост на отчисленията по чл. 64 от ЗУО е все още сравнително нисък (около 70%), а неизпълнение на задълженията от страна на общините води до сериозен недостиг на финансови средства;</w:t>
      </w:r>
    </w:p>
    <w:p w:rsidR="00FC75F0" w:rsidRDefault="001F1A5A" w:rsidP="00DF6FCF">
      <w:pPr>
        <w:numPr>
          <w:ilvl w:val="0"/>
          <w:numId w:val="23"/>
        </w:numPr>
        <w:spacing w:after="0" w:line="276" w:lineRule="auto"/>
        <w:jc w:val="both"/>
        <w:rPr>
          <w:rFonts w:ascii="Calibri" w:eastAsia="Calibri" w:hAnsi="Calibri" w:cs="Calibri"/>
        </w:rPr>
      </w:pPr>
      <w:r w:rsidRPr="001F1A5A">
        <w:rPr>
          <w:rFonts w:ascii="Calibri" w:eastAsia="Calibri" w:hAnsi="Calibri" w:cs="Calibri"/>
        </w:rPr>
        <w:t xml:space="preserve">По-високият дял на постъпленията в общата структура на приходите от таксата БО е от юридически лица, за които обаче липсват стимули за по-активно участие в проектите за управление на отпадъците. </w:t>
      </w:r>
    </w:p>
    <w:p w:rsidR="00F2336B" w:rsidRPr="001F1A5A" w:rsidRDefault="00F2336B" w:rsidP="00177CC3">
      <w:pPr>
        <w:spacing w:before="240" w:after="200" w:line="276" w:lineRule="auto"/>
        <w:jc w:val="both"/>
        <w:rPr>
          <w:rFonts w:ascii="Calibri" w:eastAsia="Calibri" w:hAnsi="Calibri" w:cs="Calibri"/>
          <w:lang w:eastAsia="ar-SA"/>
        </w:rPr>
      </w:pPr>
      <w:r w:rsidRPr="001F1A5A">
        <w:rPr>
          <w:rFonts w:ascii="Calibri" w:eastAsia="Calibri" w:hAnsi="Calibri" w:cs="Calibri"/>
          <w:color w:val="000000"/>
        </w:rPr>
        <w:t xml:space="preserve">При определяне на възможните източници на финансиране </w:t>
      </w:r>
      <w:r w:rsidRPr="001F1A5A">
        <w:rPr>
          <w:rFonts w:ascii="Calibri" w:eastAsia="Calibri" w:hAnsi="Calibri" w:cs="Calibri"/>
          <w:lang w:eastAsia="ar-SA"/>
        </w:rPr>
        <w:t>на проектите в сектора следва да се вземат предвид и следните обстоятелства:</w:t>
      </w:r>
    </w:p>
    <w:p w:rsidR="00F2336B" w:rsidRPr="001F1A5A" w:rsidRDefault="00F2336B" w:rsidP="009C1CFD">
      <w:pPr>
        <w:numPr>
          <w:ilvl w:val="0"/>
          <w:numId w:val="8"/>
        </w:numPr>
        <w:spacing w:after="200" w:line="276" w:lineRule="auto"/>
        <w:jc w:val="both"/>
        <w:rPr>
          <w:rFonts w:ascii="Calibri" w:eastAsia="Calibri" w:hAnsi="Calibri" w:cs="Calibri"/>
          <w:color w:val="000000"/>
        </w:rPr>
      </w:pPr>
      <w:r w:rsidRPr="001F1A5A">
        <w:rPr>
          <w:rFonts w:ascii="Calibri" w:eastAsia="Calibri" w:hAnsi="Calibri" w:cs="Calibri"/>
          <w:color w:val="000000"/>
        </w:rPr>
        <w:t>Р</w:t>
      </w:r>
      <w:r w:rsidRPr="001F1A5A">
        <w:rPr>
          <w:rFonts w:ascii="Calibri" w:eastAsia="Calibri" w:hAnsi="Calibri" w:cs="Calibri"/>
          <w:lang w:eastAsia="ar-SA"/>
        </w:rPr>
        <w:t>амковата политика на ЕСИФ подчертава нуждата от използване на повече финансови инструменти в периода 2014-2020, особено в контекста на финансови рестрикции;</w:t>
      </w:r>
    </w:p>
    <w:p w:rsidR="00F2336B" w:rsidRPr="001F1A5A" w:rsidRDefault="00F2336B" w:rsidP="009C1CFD">
      <w:pPr>
        <w:numPr>
          <w:ilvl w:val="0"/>
          <w:numId w:val="8"/>
        </w:numPr>
        <w:spacing w:after="200" w:line="276" w:lineRule="auto"/>
        <w:jc w:val="both"/>
        <w:rPr>
          <w:rFonts w:ascii="Calibri" w:eastAsia="Calibri" w:hAnsi="Calibri" w:cs="Calibri"/>
          <w:color w:val="000000"/>
        </w:rPr>
      </w:pPr>
      <w:r w:rsidRPr="001F1A5A">
        <w:rPr>
          <w:rFonts w:ascii="Calibri" w:eastAsia="Calibri" w:hAnsi="Calibri" w:cs="Calibri"/>
          <w:color w:val="000000"/>
        </w:rPr>
        <w:t>През новия програмен период финансовите инструменти не могат да се използват за предварително финансиране на безвъзмездни средства (мостово финансиране);</w:t>
      </w:r>
    </w:p>
    <w:p w:rsidR="00F2336B" w:rsidRPr="001F1A5A" w:rsidRDefault="00F2336B" w:rsidP="009C1CFD">
      <w:pPr>
        <w:numPr>
          <w:ilvl w:val="0"/>
          <w:numId w:val="8"/>
        </w:numPr>
        <w:spacing w:after="200" w:line="276" w:lineRule="auto"/>
        <w:jc w:val="both"/>
        <w:rPr>
          <w:rFonts w:ascii="Calibri" w:eastAsia="Calibri" w:hAnsi="Calibri" w:cs="Calibri"/>
          <w:color w:val="000000"/>
        </w:rPr>
      </w:pPr>
      <w:r w:rsidRPr="001F1A5A">
        <w:rPr>
          <w:rFonts w:ascii="Calibri" w:eastAsia="Calibri" w:hAnsi="Calibri" w:cs="Calibri"/>
          <w:color w:val="000000"/>
        </w:rPr>
        <w:t>Към настоящия момент в страната в сектор Отпадъци като инструмент на финансовия инженеринг е прилагано само публично-частното партньорство</w:t>
      </w:r>
      <w:r w:rsidRPr="001F1A5A">
        <w:rPr>
          <w:rFonts w:ascii="Calibri" w:eastAsia="Calibri" w:hAnsi="Calibri" w:cs="Calibri"/>
          <w:color w:val="000000"/>
          <w:vertAlign w:val="superscript"/>
        </w:rPr>
        <w:footnoteReference w:id="24"/>
      </w:r>
      <w:r w:rsidRPr="001F1A5A">
        <w:rPr>
          <w:rFonts w:ascii="Calibri" w:eastAsia="Calibri" w:hAnsi="Calibri" w:cs="Calibri"/>
          <w:color w:val="000000"/>
        </w:rPr>
        <w:t>;</w:t>
      </w:r>
    </w:p>
    <w:p w:rsidR="00F2336B" w:rsidRDefault="00F2336B" w:rsidP="009C1CFD">
      <w:pPr>
        <w:numPr>
          <w:ilvl w:val="0"/>
          <w:numId w:val="8"/>
        </w:numPr>
        <w:spacing w:after="200" w:line="276" w:lineRule="auto"/>
        <w:jc w:val="both"/>
        <w:rPr>
          <w:rFonts w:ascii="Calibri" w:eastAsia="Calibri" w:hAnsi="Calibri" w:cs="Calibri"/>
          <w:color w:val="000000"/>
        </w:rPr>
      </w:pPr>
      <w:r w:rsidRPr="001F1A5A">
        <w:rPr>
          <w:rFonts w:ascii="Calibri" w:eastAsia="Calibri" w:hAnsi="Calibri" w:cs="Calibri"/>
          <w:color w:val="000000"/>
        </w:rPr>
        <w:t>На този етап от оценката ще бъдат изброени всички възможни форми на финансиране, приложими за сектора, а по-задълбочен анализ ще бъде направен в следващите раздели от настоящия документ.</w:t>
      </w:r>
    </w:p>
    <w:p w:rsidR="00177CC3" w:rsidRPr="001F1A5A" w:rsidRDefault="00177CC3" w:rsidP="00177CC3">
      <w:pPr>
        <w:spacing w:after="200" w:line="276" w:lineRule="auto"/>
        <w:ind w:left="720"/>
        <w:jc w:val="both"/>
        <w:rPr>
          <w:rFonts w:ascii="Calibri" w:eastAsia="Calibri" w:hAnsi="Calibri" w:cs="Calibri"/>
          <w:color w:val="000000"/>
        </w:rPr>
      </w:pPr>
      <w:bookmarkStart w:id="48" w:name="_Toc399494899"/>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19</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Възможни форми на проектно финансиране в сектор Отпадъци</w:t>
      </w:r>
      <w:bookmarkEnd w:id="48"/>
    </w:p>
    <w:tbl>
      <w:tblPr>
        <w:tblStyle w:val="LightShading-Accent55"/>
        <w:tblW w:w="0" w:type="auto"/>
        <w:jc w:val="center"/>
        <w:tblLook w:val="04A0" w:firstRow="1" w:lastRow="0" w:firstColumn="1" w:lastColumn="0" w:noHBand="0" w:noVBand="1"/>
      </w:tblPr>
      <w:tblGrid>
        <w:gridCol w:w="3876"/>
        <w:gridCol w:w="5003"/>
      </w:tblGrid>
      <w:tr w:rsidR="00F2336B" w:rsidRPr="001F1A5A" w:rsidTr="00177CC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76" w:type="dxa"/>
          </w:tcPr>
          <w:p w:rsidR="00F2336B" w:rsidRPr="001F1A5A" w:rsidRDefault="00F2336B" w:rsidP="00177CC3">
            <w:pPr>
              <w:jc w:val="center"/>
              <w:rPr>
                <w:rFonts w:ascii="Calibri" w:eastAsia="Calibri" w:hAnsi="Calibri" w:cs="Calibri"/>
                <w:color w:val="000000"/>
              </w:rPr>
            </w:pPr>
            <w:r w:rsidRPr="001F1A5A">
              <w:rPr>
                <w:rFonts w:ascii="Calibri" w:eastAsia="Calibri" w:hAnsi="Calibri" w:cs="Calibri"/>
                <w:color w:val="000000"/>
              </w:rPr>
              <w:t>Възможни форми на финансиране на проекти в сектор Отпадъци</w:t>
            </w:r>
          </w:p>
        </w:tc>
        <w:tc>
          <w:tcPr>
            <w:tcW w:w="5003" w:type="dxa"/>
          </w:tcPr>
          <w:p w:rsidR="00F2336B" w:rsidRPr="001F1A5A" w:rsidRDefault="00F2336B" w:rsidP="00177CC3">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rPr>
            </w:pPr>
            <w:r w:rsidRPr="001F1A5A">
              <w:rPr>
                <w:rFonts w:ascii="Calibri" w:eastAsia="Calibri" w:hAnsi="Calibri" w:cs="Calibri"/>
                <w:color w:val="000000"/>
              </w:rPr>
              <w:t>Обосновка</w:t>
            </w:r>
          </w:p>
        </w:tc>
      </w:tr>
      <w:tr w:rsidR="00F2336B" w:rsidRPr="001F1A5A" w:rsidTr="00177CC3">
        <w:trPr>
          <w:cnfStyle w:val="000000100000" w:firstRow="0" w:lastRow="0" w:firstColumn="0" w:lastColumn="0" w:oddVBand="0" w:evenVBand="0" w:oddHBand="1" w:evenHBand="0" w:firstRowFirstColumn="0" w:firstRowLastColumn="0" w:lastRowFirstColumn="0" w:lastRowLastColumn="0"/>
          <w:trHeight w:val="1239"/>
          <w:jc w:val="center"/>
        </w:trPr>
        <w:tc>
          <w:tcPr>
            <w:cnfStyle w:val="001000000000" w:firstRow="0" w:lastRow="0" w:firstColumn="1" w:lastColumn="0" w:oddVBand="0" w:evenVBand="0" w:oddHBand="0" w:evenHBand="0" w:firstRowFirstColumn="0" w:firstRowLastColumn="0" w:lastRowFirstColumn="0" w:lastRowLastColumn="0"/>
            <w:tcW w:w="3876" w:type="dxa"/>
          </w:tcPr>
          <w:p w:rsidR="00F2336B" w:rsidRPr="001F1A5A" w:rsidRDefault="00F2336B" w:rsidP="00177CC3">
            <w:pPr>
              <w:rPr>
                <w:rFonts w:ascii="Calibri" w:eastAsia="Calibri" w:hAnsi="Calibri" w:cs="Calibri"/>
                <w:color w:val="000000"/>
              </w:rPr>
            </w:pPr>
            <w:r w:rsidRPr="001F1A5A">
              <w:rPr>
                <w:rFonts w:ascii="Calibri" w:eastAsia="Calibri" w:hAnsi="Calibri" w:cs="Calibri"/>
                <w:color w:val="000000"/>
              </w:rPr>
              <w:lastRenderedPageBreak/>
              <w:t>Такса битови отпадъци</w:t>
            </w:r>
          </w:p>
        </w:tc>
        <w:tc>
          <w:tcPr>
            <w:tcW w:w="5003" w:type="dxa"/>
          </w:tcPr>
          <w:p w:rsidR="00F2336B" w:rsidRPr="001F1A5A" w:rsidRDefault="00F2336B" w:rsidP="00177CC3">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rPr>
            </w:pPr>
            <w:r w:rsidRPr="001F1A5A">
              <w:rPr>
                <w:rFonts w:ascii="Calibri" w:eastAsia="Calibri" w:hAnsi="Calibri" w:cs="Calibri"/>
                <w:color w:val="000000"/>
              </w:rPr>
              <w:t>Въведена е със Закона за местните данъци и такси. Предстои приемане на методика за определяне на такса битови отпадъци според количеството отпадъци</w:t>
            </w:r>
          </w:p>
        </w:tc>
      </w:tr>
      <w:tr w:rsidR="00F2336B" w:rsidRPr="001F1A5A" w:rsidTr="00177CC3">
        <w:trPr>
          <w:jc w:val="center"/>
        </w:trPr>
        <w:tc>
          <w:tcPr>
            <w:cnfStyle w:val="001000000000" w:firstRow="0" w:lastRow="0" w:firstColumn="1" w:lastColumn="0" w:oddVBand="0" w:evenVBand="0" w:oddHBand="0" w:evenHBand="0" w:firstRowFirstColumn="0" w:firstRowLastColumn="0" w:lastRowFirstColumn="0" w:lastRowLastColumn="0"/>
            <w:tcW w:w="3876" w:type="dxa"/>
          </w:tcPr>
          <w:p w:rsidR="00F2336B" w:rsidRPr="001F1A5A" w:rsidRDefault="00F2336B" w:rsidP="00177CC3">
            <w:pPr>
              <w:rPr>
                <w:rFonts w:ascii="Calibri" w:eastAsia="Calibri" w:hAnsi="Calibri" w:cs="Calibri"/>
                <w:color w:val="000000"/>
              </w:rPr>
            </w:pPr>
            <w:r w:rsidRPr="001F1A5A">
              <w:rPr>
                <w:rFonts w:ascii="Calibri" w:eastAsia="Calibri" w:hAnsi="Calibri" w:cs="Calibri"/>
                <w:color w:val="000000"/>
              </w:rPr>
              <w:t>Отчисления по чл. 60 и чл. 64 от ЗУО</w:t>
            </w:r>
          </w:p>
        </w:tc>
        <w:tc>
          <w:tcPr>
            <w:tcW w:w="5003" w:type="dxa"/>
          </w:tcPr>
          <w:p w:rsidR="00F2336B" w:rsidRPr="001F1A5A" w:rsidRDefault="00F2336B" w:rsidP="00177CC3">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1F1A5A">
              <w:rPr>
                <w:rFonts w:ascii="Calibri" w:eastAsia="Calibri" w:hAnsi="Calibri" w:cs="Calibri"/>
                <w:color w:val="000000"/>
              </w:rPr>
              <w:t>За закриване и рекултивация на изградените ДТБО; за натрупване на средства за изграждане на нови съоръжения и за извършването на последващи експлоатационни разходи, свързани с изградените съоръжения</w:t>
            </w:r>
          </w:p>
        </w:tc>
      </w:tr>
      <w:tr w:rsidR="00F2336B" w:rsidRPr="001F1A5A" w:rsidTr="00177CC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76" w:type="dxa"/>
          </w:tcPr>
          <w:p w:rsidR="00F2336B" w:rsidRPr="001F1A5A" w:rsidRDefault="00F2336B" w:rsidP="00177CC3">
            <w:pPr>
              <w:jc w:val="both"/>
              <w:rPr>
                <w:rFonts w:ascii="Calibri" w:eastAsia="Calibri" w:hAnsi="Calibri" w:cs="Calibri"/>
                <w:color w:val="000000"/>
              </w:rPr>
            </w:pPr>
            <w:r w:rsidRPr="001F1A5A">
              <w:rPr>
                <w:rFonts w:ascii="Calibri" w:eastAsia="Calibri" w:hAnsi="Calibri" w:cs="Calibri"/>
                <w:color w:val="000000"/>
              </w:rPr>
              <w:t>Безвъзмездна финансова помощ</w:t>
            </w:r>
          </w:p>
        </w:tc>
        <w:tc>
          <w:tcPr>
            <w:tcW w:w="5003" w:type="dxa"/>
          </w:tcPr>
          <w:p w:rsidR="00F2336B" w:rsidRPr="001F1A5A" w:rsidRDefault="00F2336B" w:rsidP="00177CC3">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rPr>
            </w:pPr>
            <w:r w:rsidRPr="001F1A5A">
              <w:rPr>
                <w:rFonts w:ascii="Calibri" w:eastAsia="Calibri" w:hAnsi="Calibri" w:cs="Calibri"/>
                <w:color w:val="000000"/>
              </w:rPr>
              <w:t>Високи първоначални разходи и дълъг период на изплащане на инвестициите в сектора</w:t>
            </w:r>
          </w:p>
        </w:tc>
      </w:tr>
      <w:tr w:rsidR="00F2336B" w:rsidRPr="001F1A5A" w:rsidTr="00177CC3">
        <w:trPr>
          <w:jc w:val="center"/>
        </w:trPr>
        <w:tc>
          <w:tcPr>
            <w:cnfStyle w:val="001000000000" w:firstRow="0" w:lastRow="0" w:firstColumn="1" w:lastColumn="0" w:oddVBand="0" w:evenVBand="0" w:oddHBand="0" w:evenHBand="0" w:firstRowFirstColumn="0" w:firstRowLastColumn="0" w:lastRowFirstColumn="0" w:lastRowLastColumn="0"/>
            <w:tcW w:w="3876" w:type="dxa"/>
          </w:tcPr>
          <w:p w:rsidR="00F2336B" w:rsidRPr="001F1A5A" w:rsidRDefault="00F2336B" w:rsidP="00177CC3">
            <w:pPr>
              <w:jc w:val="both"/>
              <w:rPr>
                <w:rFonts w:ascii="Calibri" w:eastAsia="Calibri" w:hAnsi="Calibri" w:cs="Calibri"/>
                <w:color w:val="000000"/>
              </w:rPr>
            </w:pPr>
            <w:r w:rsidRPr="001F1A5A">
              <w:rPr>
                <w:rFonts w:ascii="Calibri" w:eastAsia="Calibri" w:hAnsi="Calibri" w:cs="Calibri"/>
                <w:color w:val="000000"/>
              </w:rPr>
              <w:t xml:space="preserve">Заемно финансиране при облекчени условия и гаранции </w:t>
            </w:r>
          </w:p>
        </w:tc>
        <w:tc>
          <w:tcPr>
            <w:tcW w:w="5003" w:type="dxa"/>
          </w:tcPr>
          <w:p w:rsidR="00F2336B" w:rsidRPr="001F1A5A" w:rsidRDefault="00F2336B" w:rsidP="00177CC3">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000000"/>
              </w:rPr>
            </w:pPr>
            <w:r w:rsidRPr="001F1A5A">
              <w:rPr>
                <w:rFonts w:ascii="Calibri" w:eastAsia="Calibri" w:hAnsi="Calibri" w:cs="Calibri"/>
                <w:color w:val="000000"/>
              </w:rPr>
              <w:t>С цел осигуряване на необходимите стимули и възможности за частния сектор да инвестира в инфраструктура, е необходимо на юридическите лица със стопанска цел да се предоставят облекчени условия за заемно финансиране.</w:t>
            </w:r>
          </w:p>
        </w:tc>
      </w:tr>
      <w:tr w:rsidR="00F2336B" w:rsidRPr="001F1A5A" w:rsidTr="00177CC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76" w:type="dxa"/>
          </w:tcPr>
          <w:p w:rsidR="00F2336B" w:rsidRPr="001F1A5A" w:rsidRDefault="00F2336B" w:rsidP="00177CC3">
            <w:pPr>
              <w:jc w:val="both"/>
              <w:rPr>
                <w:rFonts w:ascii="Calibri" w:eastAsia="Calibri" w:hAnsi="Calibri" w:cs="Calibri"/>
                <w:color w:val="000000"/>
              </w:rPr>
            </w:pPr>
            <w:r w:rsidRPr="001F1A5A">
              <w:rPr>
                <w:rFonts w:ascii="Calibri" w:eastAsia="Calibri" w:hAnsi="Calibri" w:cs="Calibri"/>
                <w:color w:val="000000"/>
              </w:rPr>
              <w:t>Публично-частно партньорство</w:t>
            </w:r>
          </w:p>
        </w:tc>
        <w:tc>
          <w:tcPr>
            <w:tcW w:w="5003" w:type="dxa"/>
          </w:tcPr>
          <w:p w:rsidR="00F2336B" w:rsidRPr="001F1A5A" w:rsidRDefault="00F2336B" w:rsidP="00177CC3">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rPr>
            </w:pPr>
            <w:r w:rsidRPr="001F1A5A">
              <w:rPr>
                <w:rFonts w:ascii="Calibri" w:eastAsia="Calibri" w:hAnsi="Calibri" w:cs="Calibri"/>
                <w:color w:val="000000"/>
              </w:rPr>
              <w:t>Продължаване на успешните практики в сектора, създаване на условия за инвестиции в нови технологии и повишаване на капацитета за реа</w:t>
            </w:r>
            <w:r w:rsidR="00177CC3">
              <w:rPr>
                <w:rFonts w:ascii="Calibri" w:eastAsia="Calibri" w:hAnsi="Calibri" w:cs="Calibri"/>
                <w:color w:val="000000"/>
              </w:rPr>
              <w:t>лизиране на проектни инвестиции, в т.ч. концесии, дялово участие и др.</w:t>
            </w:r>
          </w:p>
        </w:tc>
      </w:tr>
    </w:tbl>
    <w:p w:rsidR="00CB2543" w:rsidRDefault="00CB2543" w:rsidP="00CB2543">
      <w:pPr>
        <w:spacing w:before="240"/>
        <w:jc w:val="both"/>
        <w:rPr>
          <w:rFonts w:cs="Times New Roman"/>
        </w:rPr>
      </w:pPr>
    </w:p>
    <w:p w:rsidR="00CB2543" w:rsidRDefault="00CB2543" w:rsidP="00CB2543">
      <w:pPr>
        <w:spacing w:before="240"/>
        <w:jc w:val="both"/>
        <w:rPr>
          <w:rFonts w:cs="Times New Roman"/>
        </w:rPr>
      </w:pPr>
      <w:r>
        <w:rPr>
          <w:rFonts w:cs="Times New Roman"/>
        </w:rPr>
        <w:t>В допълнение, следва да се отбележи, че субектите, опериращи в сектора биха използвали финансови инструменти за инвестиции</w:t>
      </w:r>
      <w:r w:rsidR="00F21C68">
        <w:rPr>
          <w:rFonts w:cs="Times New Roman"/>
        </w:rPr>
        <w:t xml:space="preserve"> (предимно заеми и гаранции)</w:t>
      </w:r>
      <w:r>
        <w:rPr>
          <w:rFonts w:cs="Times New Roman"/>
        </w:rPr>
        <w:t>, което се потвърждава и от направеното анкетно проучване сред потенциални бенефициенти</w:t>
      </w:r>
      <w:r>
        <w:rPr>
          <w:rStyle w:val="FootnoteReference"/>
          <w:rFonts w:cs="Times New Roman"/>
        </w:rPr>
        <w:footnoteReference w:id="25"/>
      </w:r>
      <w:r w:rsidR="00F21C68">
        <w:rPr>
          <w:rFonts w:cs="Times New Roman"/>
        </w:rPr>
        <w:t>, както е видно от следващата фигура</w:t>
      </w:r>
      <w:r>
        <w:rPr>
          <w:rFonts w:cs="Times New Roman"/>
        </w:rPr>
        <w:t>:</w:t>
      </w:r>
    </w:p>
    <w:p w:rsidR="002D3BE2" w:rsidRDefault="002D3BE2" w:rsidP="00CB2543">
      <w:pPr>
        <w:spacing w:before="240"/>
        <w:jc w:val="both"/>
        <w:rPr>
          <w:rFonts w:cs="Times New Roman"/>
        </w:rPr>
      </w:pPr>
    </w:p>
    <w:p w:rsidR="00441B0A" w:rsidRDefault="00441B0A" w:rsidP="00CB2543">
      <w:pPr>
        <w:spacing w:before="240"/>
        <w:jc w:val="both"/>
        <w:rPr>
          <w:rFonts w:cs="Times New Roman"/>
        </w:rPr>
      </w:pPr>
    </w:p>
    <w:p w:rsidR="00441B0A" w:rsidRDefault="00441B0A" w:rsidP="00CB2543">
      <w:pPr>
        <w:spacing w:before="240"/>
        <w:jc w:val="both"/>
        <w:rPr>
          <w:rFonts w:cs="Times New Roman"/>
        </w:rPr>
      </w:pPr>
    </w:p>
    <w:p w:rsidR="00441B0A" w:rsidRDefault="00441B0A" w:rsidP="00CB2543">
      <w:pPr>
        <w:spacing w:before="240"/>
        <w:jc w:val="both"/>
        <w:rPr>
          <w:rFonts w:cs="Times New Roman"/>
        </w:rPr>
      </w:pPr>
    </w:p>
    <w:p w:rsidR="00441B0A" w:rsidRDefault="00441B0A" w:rsidP="00CB2543">
      <w:pPr>
        <w:spacing w:before="240"/>
        <w:jc w:val="both"/>
        <w:rPr>
          <w:rFonts w:cs="Times New Roman"/>
        </w:rPr>
      </w:pPr>
    </w:p>
    <w:p w:rsidR="00441B0A" w:rsidRDefault="00441B0A" w:rsidP="00CB2543">
      <w:pPr>
        <w:spacing w:before="240"/>
        <w:jc w:val="both"/>
        <w:rPr>
          <w:rFonts w:cs="Times New Roman"/>
        </w:rPr>
      </w:pPr>
    </w:p>
    <w:p w:rsidR="00F21C68" w:rsidRDefault="00F21C68" w:rsidP="00CB2543">
      <w:pPr>
        <w:spacing w:before="240"/>
        <w:jc w:val="both"/>
        <w:rPr>
          <w:rFonts w:cs="Times New Roman"/>
        </w:rPr>
      </w:pPr>
      <w:bookmarkStart w:id="49" w:name="_Toc399494596"/>
      <w:r w:rsidRPr="00177CC3">
        <w:rPr>
          <w:rFonts w:eastAsia="Times New Roman" w:cstheme="minorHAnsi"/>
          <w:b/>
          <w:bCs/>
          <w:sz w:val="20"/>
          <w:szCs w:val="20"/>
          <w:lang w:eastAsia="bg-BG"/>
        </w:rPr>
        <w:t xml:space="preserve">Фигура </w:t>
      </w:r>
      <w:r w:rsidR="008E6461" w:rsidRPr="00177CC3">
        <w:rPr>
          <w:rFonts w:eastAsia="Times New Roman" w:cstheme="minorHAnsi"/>
          <w:b/>
          <w:bCs/>
          <w:sz w:val="20"/>
          <w:szCs w:val="20"/>
          <w:lang w:eastAsia="bg-BG"/>
        </w:rPr>
        <w:fldChar w:fldCharType="begin"/>
      </w:r>
      <w:r w:rsidRPr="00177CC3">
        <w:rPr>
          <w:rFonts w:eastAsia="Times New Roman" w:cstheme="minorHAnsi"/>
          <w:b/>
          <w:bCs/>
          <w:sz w:val="20"/>
          <w:szCs w:val="20"/>
          <w:lang w:eastAsia="bg-BG"/>
        </w:rPr>
        <w:instrText xml:space="preserve"> SEQ фигура \* ARABIC </w:instrText>
      </w:r>
      <w:r w:rsidR="008E6461" w:rsidRPr="00177CC3">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11</w:t>
      </w:r>
      <w:r w:rsidR="008E6461" w:rsidRPr="00177CC3">
        <w:rPr>
          <w:rFonts w:eastAsia="Times New Roman" w:cstheme="minorHAnsi"/>
          <w:b/>
          <w:bCs/>
          <w:sz w:val="20"/>
          <w:szCs w:val="20"/>
          <w:lang w:eastAsia="bg-BG"/>
        </w:rPr>
        <w:fldChar w:fldCharType="end"/>
      </w:r>
      <w:r w:rsidRPr="00177CC3">
        <w:rPr>
          <w:rFonts w:eastAsia="Times New Roman" w:cstheme="minorHAnsi"/>
          <w:b/>
          <w:bCs/>
          <w:sz w:val="20"/>
          <w:szCs w:val="20"/>
          <w:lang w:eastAsia="bg-BG"/>
        </w:rPr>
        <w:t>:</w:t>
      </w:r>
      <w:r w:rsidRPr="00F21C68">
        <w:rPr>
          <w:rFonts w:eastAsia="Times New Roman" w:cs="Arial"/>
          <w:b/>
          <w:bCs/>
          <w:color w:val="000000"/>
          <w:lang w:eastAsia="bg-BG"/>
        </w:rPr>
        <w:t xml:space="preserve"> </w:t>
      </w:r>
      <w:r w:rsidRPr="00F21C68">
        <w:rPr>
          <w:rFonts w:eastAsia="Times New Roman" w:cstheme="minorHAnsi"/>
          <w:b/>
          <w:bCs/>
          <w:sz w:val="20"/>
          <w:szCs w:val="20"/>
          <w:lang w:eastAsia="bg-BG"/>
        </w:rPr>
        <w:t>Организацията, която представлявате, би ли използвала финансови инструменти с цел реализиране на дейности по оползотворяване на отпадъците?</w:t>
      </w:r>
      <w:bookmarkEnd w:id="49"/>
    </w:p>
    <w:p w:rsidR="00CB2543" w:rsidRDefault="00CB2543" w:rsidP="00CB2543">
      <w:pPr>
        <w:spacing w:after="200" w:line="276" w:lineRule="auto"/>
        <w:jc w:val="center"/>
        <w:rPr>
          <w:rFonts w:ascii="Calibri" w:eastAsia="Calibri" w:hAnsi="Calibri" w:cs="Calibri"/>
          <w:color w:val="000000"/>
        </w:rPr>
      </w:pPr>
      <w:r>
        <w:rPr>
          <w:rFonts w:ascii="Calibri" w:eastAsia="Calibri" w:hAnsi="Calibri" w:cs="Calibri"/>
          <w:noProof/>
          <w:color w:val="000000"/>
          <w:lang w:eastAsia="bg-BG"/>
        </w:rPr>
        <w:lastRenderedPageBreak/>
        <w:drawing>
          <wp:inline distT="0" distB="0" distL="0" distR="0">
            <wp:extent cx="4725806" cy="2027207"/>
            <wp:effectExtent l="19050" t="0" r="0" b="0"/>
            <wp:docPr id="37"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0" cstate="print"/>
                    <a:srcRect/>
                    <a:stretch>
                      <a:fillRect/>
                    </a:stretch>
                  </pic:blipFill>
                  <pic:spPr bwMode="auto">
                    <a:xfrm>
                      <a:off x="0" y="0"/>
                      <a:ext cx="4728670" cy="2028436"/>
                    </a:xfrm>
                    <a:prstGeom prst="rect">
                      <a:avLst/>
                    </a:prstGeom>
                    <a:noFill/>
                  </pic:spPr>
                </pic:pic>
              </a:graphicData>
            </a:graphic>
          </wp:inline>
        </w:drawing>
      </w:r>
    </w:p>
    <w:p w:rsidR="00F21C68" w:rsidRDefault="00F21C68" w:rsidP="00CB2543">
      <w:pPr>
        <w:spacing w:after="200" w:line="276" w:lineRule="auto"/>
        <w:jc w:val="center"/>
        <w:rPr>
          <w:rFonts w:ascii="Calibri" w:eastAsia="Calibri" w:hAnsi="Calibri" w:cs="Calibri"/>
          <w:color w:val="000000"/>
        </w:rPr>
      </w:pPr>
    </w:p>
    <w:p w:rsidR="00F21C68" w:rsidRDefault="00F21C68" w:rsidP="002D3BE2">
      <w:pPr>
        <w:keepNext/>
        <w:tabs>
          <w:tab w:val="left" w:pos="8505"/>
        </w:tabs>
        <w:spacing w:after="0" w:line="240" w:lineRule="auto"/>
        <w:rPr>
          <w:rFonts w:eastAsia="Times New Roman" w:cstheme="minorHAnsi"/>
          <w:b/>
          <w:bCs/>
          <w:sz w:val="20"/>
          <w:szCs w:val="20"/>
          <w:lang w:eastAsia="bg-BG"/>
        </w:rPr>
      </w:pPr>
      <w:bookmarkStart w:id="50" w:name="_Toc399494597"/>
      <w:r w:rsidRPr="00177CC3">
        <w:rPr>
          <w:rFonts w:eastAsia="Times New Roman" w:cstheme="minorHAnsi"/>
          <w:b/>
          <w:bCs/>
          <w:sz w:val="20"/>
          <w:szCs w:val="20"/>
          <w:lang w:eastAsia="bg-BG"/>
        </w:rPr>
        <w:t xml:space="preserve">Фигура </w:t>
      </w:r>
      <w:r w:rsidR="008E6461" w:rsidRPr="00177CC3">
        <w:rPr>
          <w:rFonts w:eastAsia="Times New Roman" w:cstheme="minorHAnsi"/>
          <w:b/>
          <w:bCs/>
          <w:sz w:val="20"/>
          <w:szCs w:val="20"/>
          <w:lang w:eastAsia="bg-BG"/>
        </w:rPr>
        <w:fldChar w:fldCharType="begin"/>
      </w:r>
      <w:r w:rsidRPr="00177CC3">
        <w:rPr>
          <w:rFonts w:eastAsia="Times New Roman" w:cstheme="minorHAnsi"/>
          <w:b/>
          <w:bCs/>
          <w:sz w:val="20"/>
          <w:szCs w:val="20"/>
          <w:lang w:eastAsia="bg-BG"/>
        </w:rPr>
        <w:instrText xml:space="preserve"> SEQ фигура \* ARABIC </w:instrText>
      </w:r>
      <w:r w:rsidR="008E6461" w:rsidRPr="00177CC3">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12</w:t>
      </w:r>
      <w:r w:rsidR="008E6461" w:rsidRPr="00177CC3">
        <w:rPr>
          <w:rFonts w:eastAsia="Times New Roman" w:cstheme="minorHAnsi"/>
          <w:b/>
          <w:bCs/>
          <w:sz w:val="20"/>
          <w:szCs w:val="20"/>
          <w:lang w:eastAsia="bg-BG"/>
        </w:rPr>
        <w:fldChar w:fldCharType="end"/>
      </w:r>
      <w:r w:rsidRPr="00177CC3">
        <w:rPr>
          <w:rFonts w:eastAsia="Times New Roman" w:cstheme="minorHAnsi"/>
          <w:b/>
          <w:bCs/>
          <w:sz w:val="20"/>
          <w:szCs w:val="20"/>
          <w:lang w:eastAsia="bg-BG"/>
        </w:rPr>
        <w:t>:</w:t>
      </w:r>
      <w:r w:rsidRPr="00F21C68">
        <w:rPr>
          <w:rFonts w:eastAsia="Times New Roman" w:cs="Arial"/>
          <w:b/>
          <w:bCs/>
          <w:color w:val="000000"/>
          <w:lang w:eastAsia="bg-BG"/>
        </w:rPr>
        <w:t xml:space="preserve"> </w:t>
      </w:r>
      <w:r w:rsidRPr="00F21C68">
        <w:rPr>
          <w:rFonts w:eastAsia="Times New Roman" w:cstheme="minorHAnsi"/>
          <w:b/>
          <w:bCs/>
          <w:sz w:val="20"/>
          <w:szCs w:val="20"/>
          <w:lang w:eastAsia="bg-BG"/>
        </w:rPr>
        <w:t>Моля, посочете кои от изброените финансови инструменти бихте използвали за финансиране на инвестиции?</w:t>
      </w:r>
      <w:bookmarkEnd w:id="50"/>
    </w:p>
    <w:p w:rsidR="00F21C68" w:rsidRPr="00706B25" w:rsidRDefault="00F21C68" w:rsidP="002D3BE2">
      <w:pPr>
        <w:keepNext/>
        <w:tabs>
          <w:tab w:val="left" w:pos="8505"/>
        </w:tabs>
        <w:spacing w:after="0" w:line="240" w:lineRule="auto"/>
        <w:rPr>
          <w:rFonts w:eastAsia="Times New Roman" w:cs="Arial"/>
          <w:b/>
          <w:color w:val="000000"/>
          <w:lang w:eastAsia="bg-BG"/>
        </w:rPr>
      </w:pPr>
    </w:p>
    <w:p w:rsidR="00F21C68" w:rsidRDefault="00F21C68" w:rsidP="00F21C68">
      <w:pPr>
        <w:spacing w:after="0" w:line="240" w:lineRule="auto"/>
        <w:rPr>
          <w:rFonts w:eastAsia="Times New Roman" w:cs="Arial"/>
          <w:b/>
          <w:bCs/>
          <w:color w:val="000000"/>
          <w:lang w:val="en-US" w:eastAsia="bg-BG"/>
        </w:rPr>
      </w:pPr>
      <w:r>
        <w:rPr>
          <w:rFonts w:eastAsia="Times New Roman" w:cs="Arial"/>
          <w:b/>
          <w:bCs/>
          <w:noProof/>
          <w:color w:val="000000"/>
          <w:lang w:eastAsia="bg-BG"/>
        </w:rPr>
        <w:drawing>
          <wp:inline distT="0" distB="0" distL="0" distR="0">
            <wp:extent cx="5524500" cy="2263140"/>
            <wp:effectExtent l="1905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1" cstate="print"/>
                    <a:srcRect/>
                    <a:stretch>
                      <a:fillRect/>
                    </a:stretch>
                  </pic:blipFill>
                  <pic:spPr bwMode="auto">
                    <a:xfrm>
                      <a:off x="0" y="0"/>
                      <a:ext cx="5524500" cy="2263140"/>
                    </a:xfrm>
                    <a:prstGeom prst="rect">
                      <a:avLst/>
                    </a:prstGeom>
                    <a:noFill/>
                  </pic:spPr>
                </pic:pic>
              </a:graphicData>
            </a:graphic>
          </wp:inline>
        </w:drawing>
      </w:r>
    </w:p>
    <w:p w:rsidR="00F21C68" w:rsidRPr="00706B25" w:rsidRDefault="00F21C68" w:rsidP="00F21C68">
      <w:pPr>
        <w:spacing w:after="0" w:line="240" w:lineRule="auto"/>
        <w:rPr>
          <w:i/>
        </w:rPr>
      </w:pPr>
      <w:r>
        <w:rPr>
          <w:rFonts w:eastAsia="Times New Roman" w:cs="Arial"/>
          <w:i/>
          <w:color w:val="000000"/>
          <w:lang w:val="en-US" w:eastAsia="bg-BG"/>
        </w:rPr>
        <w:t xml:space="preserve">* </w:t>
      </w:r>
      <w:r>
        <w:rPr>
          <w:rFonts w:eastAsia="Times New Roman" w:cs="Arial"/>
          <w:i/>
          <w:color w:val="000000"/>
          <w:lang w:eastAsia="bg-BG"/>
        </w:rPr>
        <w:t>В</w:t>
      </w:r>
      <w:r w:rsidRPr="00706B25">
        <w:rPr>
          <w:rFonts w:eastAsia="Times New Roman" w:cs="Arial"/>
          <w:i/>
          <w:color w:val="000000"/>
          <w:lang w:eastAsia="bg-BG"/>
        </w:rPr>
        <w:t>ъпрос с възможност за повече отговори</w:t>
      </w:r>
    </w:p>
    <w:p w:rsidR="00F21C68" w:rsidRDefault="00F21C68" w:rsidP="00F21C68">
      <w:pPr>
        <w:spacing w:after="0" w:line="240" w:lineRule="auto"/>
        <w:rPr>
          <w:rFonts w:eastAsia="Times New Roman" w:cs="Arial"/>
          <w:b/>
          <w:bCs/>
          <w:color w:val="000000"/>
          <w:lang w:eastAsia="bg-BG"/>
        </w:rPr>
      </w:pPr>
    </w:p>
    <w:p w:rsidR="00F21C68" w:rsidRDefault="00F21C68" w:rsidP="00CB2543">
      <w:pPr>
        <w:spacing w:after="200" w:line="276" w:lineRule="auto"/>
        <w:jc w:val="center"/>
        <w:rPr>
          <w:rFonts w:ascii="Calibri" w:eastAsia="Calibri" w:hAnsi="Calibri" w:cs="Calibri"/>
          <w:color w:val="000000"/>
        </w:rPr>
      </w:pPr>
    </w:p>
    <w:p w:rsidR="00DE3358" w:rsidRPr="00D366B8" w:rsidRDefault="00DE3358" w:rsidP="00DE3358">
      <w:pPr>
        <w:pStyle w:val="Heading3"/>
        <w:spacing w:before="120" w:after="120"/>
        <w:rPr>
          <w:rFonts w:asciiTheme="minorHAnsi" w:eastAsia="Calibri" w:hAnsiTheme="minorHAnsi"/>
        </w:rPr>
      </w:pPr>
      <w:bookmarkStart w:id="51" w:name="_Toc399494520"/>
      <w:r>
        <w:rPr>
          <w:rFonts w:asciiTheme="minorHAnsi" w:eastAsia="Calibri" w:hAnsiTheme="minorHAnsi"/>
        </w:rPr>
        <w:t>1.2.6. Обобщение на неоптималната инвестиционна ситуация</w:t>
      </w:r>
      <w:bookmarkEnd w:id="51"/>
      <w:r w:rsidRPr="00D366B8">
        <w:rPr>
          <w:rFonts w:asciiTheme="minorHAnsi" w:eastAsia="Calibri" w:hAnsiTheme="minorHAnsi"/>
        </w:rPr>
        <w:t xml:space="preserve"> </w:t>
      </w:r>
    </w:p>
    <w:p w:rsidR="001F1A5A" w:rsidRDefault="001F1A5A" w:rsidP="001F1A5A">
      <w:pPr>
        <w:spacing w:after="200" w:line="276" w:lineRule="auto"/>
        <w:jc w:val="both"/>
        <w:rPr>
          <w:rFonts w:ascii="Calibri" w:eastAsia="Calibri" w:hAnsi="Calibri" w:cs="Calibri"/>
          <w:color w:val="000000"/>
        </w:rPr>
      </w:pPr>
      <w:r w:rsidRPr="001F1A5A">
        <w:rPr>
          <w:rFonts w:ascii="Calibri" w:eastAsia="Calibri" w:hAnsi="Calibri" w:cs="Calibri"/>
          <w:color w:val="000000"/>
        </w:rPr>
        <w:t xml:space="preserve">От всичко казано дотук, може да бъде направен изводът, че е налице неоптимална пазарна ситуация в сектора </w:t>
      </w:r>
      <w:r w:rsidRPr="001F1A5A">
        <w:rPr>
          <w:rFonts w:ascii="Calibri" w:eastAsia="Calibri" w:hAnsi="Calibri" w:cs="Times New Roman"/>
        </w:rPr>
        <w:t>по схемата за отговорност на домакинствата и на другите лица, които генерират битови отпадъци и отпадъци, подобни на битовите отпадъци</w:t>
      </w:r>
      <w:r w:rsidRPr="001F1A5A">
        <w:rPr>
          <w:rFonts w:ascii="Calibri" w:eastAsia="Calibri" w:hAnsi="Calibri" w:cs="Calibri"/>
          <w:color w:val="000000"/>
        </w:rPr>
        <w:t>, която е илюстрирана на следната схема:</w:t>
      </w:r>
    </w:p>
    <w:p w:rsidR="00177CC3" w:rsidRPr="001F1A5A" w:rsidRDefault="00177CC3" w:rsidP="001E30F0">
      <w:pPr>
        <w:keepNext/>
        <w:spacing w:after="200" w:line="276" w:lineRule="auto"/>
        <w:jc w:val="both"/>
        <w:rPr>
          <w:rFonts w:ascii="Calibri" w:eastAsia="Calibri" w:hAnsi="Calibri" w:cs="Calibri"/>
          <w:color w:val="000000"/>
        </w:rPr>
      </w:pPr>
      <w:bookmarkStart w:id="52" w:name="_Toc399494598"/>
      <w:r w:rsidRPr="00177CC3">
        <w:rPr>
          <w:rFonts w:eastAsia="Times New Roman" w:cstheme="minorHAnsi"/>
          <w:b/>
          <w:bCs/>
          <w:sz w:val="20"/>
          <w:szCs w:val="20"/>
          <w:lang w:eastAsia="bg-BG"/>
        </w:rPr>
        <w:lastRenderedPageBreak/>
        <w:t xml:space="preserve">Фигура </w:t>
      </w:r>
      <w:r w:rsidR="008E6461" w:rsidRPr="00177CC3">
        <w:rPr>
          <w:rFonts w:eastAsia="Times New Roman" w:cstheme="minorHAnsi"/>
          <w:b/>
          <w:bCs/>
          <w:sz w:val="20"/>
          <w:szCs w:val="20"/>
          <w:lang w:eastAsia="bg-BG"/>
        </w:rPr>
        <w:fldChar w:fldCharType="begin"/>
      </w:r>
      <w:r w:rsidRPr="00177CC3">
        <w:rPr>
          <w:rFonts w:eastAsia="Times New Roman" w:cstheme="minorHAnsi"/>
          <w:b/>
          <w:bCs/>
          <w:sz w:val="20"/>
          <w:szCs w:val="20"/>
          <w:lang w:eastAsia="bg-BG"/>
        </w:rPr>
        <w:instrText xml:space="preserve"> SEQ фигура \* ARABIC </w:instrText>
      </w:r>
      <w:r w:rsidR="008E6461" w:rsidRPr="00177CC3">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13</w:t>
      </w:r>
      <w:r w:rsidR="008E6461" w:rsidRPr="00177CC3">
        <w:rPr>
          <w:rFonts w:eastAsia="Times New Roman" w:cstheme="minorHAnsi"/>
          <w:b/>
          <w:bCs/>
          <w:sz w:val="20"/>
          <w:szCs w:val="20"/>
          <w:lang w:eastAsia="bg-BG"/>
        </w:rPr>
        <w:fldChar w:fldCharType="end"/>
      </w:r>
      <w:r w:rsidRPr="00177CC3">
        <w:rPr>
          <w:rFonts w:eastAsia="Times New Roman" w:cstheme="minorHAnsi"/>
          <w:b/>
          <w:bCs/>
          <w:sz w:val="20"/>
          <w:szCs w:val="20"/>
          <w:lang w:eastAsia="bg-BG"/>
        </w:rPr>
        <w:t>:</w:t>
      </w:r>
      <w:r>
        <w:rPr>
          <w:rFonts w:eastAsia="Times New Roman" w:cstheme="minorHAnsi"/>
          <w:b/>
          <w:bCs/>
          <w:sz w:val="20"/>
          <w:szCs w:val="20"/>
          <w:lang w:eastAsia="bg-BG"/>
        </w:rPr>
        <w:t xml:space="preserve"> Неоптимална инвестиционна ситуация в сектор Отпадъци</w:t>
      </w:r>
      <w:bookmarkEnd w:id="52"/>
    </w:p>
    <w:p w:rsidR="001F1A5A" w:rsidRPr="001F1A5A" w:rsidRDefault="001F1A5A" w:rsidP="001F1A5A">
      <w:pPr>
        <w:spacing w:after="200" w:line="276" w:lineRule="auto"/>
        <w:jc w:val="both"/>
        <w:rPr>
          <w:rFonts w:ascii="Calibri" w:eastAsia="Calibri" w:hAnsi="Calibri" w:cs="Calibri"/>
          <w:color w:val="000000"/>
        </w:rPr>
      </w:pPr>
      <w:r w:rsidRPr="001F1A5A">
        <w:rPr>
          <w:rFonts w:ascii="Calibri" w:eastAsia="Calibri" w:hAnsi="Calibri" w:cs="Calibri"/>
          <w:noProof/>
          <w:color w:val="000000"/>
          <w:lang w:eastAsia="bg-BG"/>
        </w:rPr>
        <w:drawing>
          <wp:inline distT="0" distB="0" distL="0" distR="0">
            <wp:extent cx="5784591" cy="5824647"/>
            <wp:effectExtent l="0" t="0" r="26035" b="24130"/>
            <wp:docPr id="19"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rsidR="001F1A5A" w:rsidRDefault="001F1A5A" w:rsidP="001F1A5A">
      <w:pPr>
        <w:spacing w:after="200" w:line="276" w:lineRule="auto"/>
        <w:jc w:val="both"/>
        <w:rPr>
          <w:rFonts w:ascii="Calibri" w:eastAsia="Calibri" w:hAnsi="Calibri" w:cs="Calibri"/>
          <w:color w:val="000000"/>
        </w:rPr>
      </w:pPr>
    </w:p>
    <w:p w:rsidR="00107B8E" w:rsidRDefault="00107B8E" w:rsidP="001F1A5A">
      <w:pPr>
        <w:spacing w:after="200" w:line="276" w:lineRule="auto"/>
        <w:jc w:val="both"/>
        <w:rPr>
          <w:rFonts w:ascii="Calibri" w:eastAsia="Calibri" w:hAnsi="Calibri" w:cs="Calibri"/>
          <w:color w:val="000000"/>
        </w:rPr>
      </w:pPr>
    </w:p>
    <w:p w:rsidR="00107B8E" w:rsidRDefault="00107B8E" w:rsidP="001F1A5A">
      <w:pPr>
        <w:spacing w:after="200" w:line="276" w:lineRule="auto"/>
        <w:jc w:val="both"/>
        <w:rPr>
          <w:rFonts w:ascii="Calibri" w:eastAsia="Calibri" w:hAnsi="Calibri" w:cs="Calibri"/>
          <w:color w:val="000000"/>
        </w:rPr>
      </w:pPr>
    </w:p>
    <w:p w:rsidR="00107B8E" w:rsidRDefault="00107B8E" w:rsidP="001F1A5A">
      <w:pPr>
        <w:spacing w:after="200" w:line="276" w:lineRule="auto"/>
        <w:jc w:val="both"/>
        <w:rPr>
          <w:rFonts w:ascii="Calibri" w:eastAsia="Calibri" w:hAnsi="Calibri" w:cs="Calibri"/>
          <w:color w:val="000000"/>
        </w:rPr>
      </w:pPr>
    </w:p>
    <w:p w:rsidR="00107B8E" w:rsidRDefault="00107B8E" w:rsidP="001F1A5A">
      <w:pPr>
        <w:spacing w:after="200" w:line="276" w:lineRule="auto"/>
        <w:jc w:val="both"/>
        <w:rPr>
          <w:rFonts w:ascii="Calibri" w:eastAsia="Calibri" w:hAnsi="Calibri" w:cs="Calibri"/>
          <w:color w:val="000000"/>
        </w:rPr>
      </w:pPr>
    </w:p>
    <w:p w:rsidR="00FA0C25" w:rsidRPr="005E5949" w:rsidRDefault="008311B3" w:rsidP="00181C9C">
      <w:pPr>
        <w:pStyle w:val="Heading2"/>
        <w:rPr>
          <w:rFonts w:asciiTheme="minorHAnsi" w:hAnsiTheme="minorHAnsi" w:cs="Times New Roman"/>
        </w:rPr>
      </w:pPr>
      <w:bookmarkStart w:id="53" w:name="_Toc399494521"/>
      <w:r w:rsidRPr="005E5949">
        <w:rPr>
          <w:rFonts w:asciiTheme="minorHAnsi" w:hAnsiTheme="minorHAnsi" w:cs="Times New Roman"/>
        </w:rPr>
        <w:lastRenderedPageBreak/>
        <w:t>1.3.</w:t>
      </w:r>
      <w:r w:rsidR="00FA0C25" w:rsidRPr="005E5949">
        <w:rPr>
          <w:rFonts w:asciiTheme="minorHAnsi" w:hAnsiTheme="minorHAnsi" w:cs="Times New Roman"/>
        </w:rPr>
        <w:t xml:space="preserve"> Дейности за подобряване качеството на въздуха</w:t>
      </w:r>
      <w:bookmarkEnd w:id="53"/>
    </w:p>
    <w:p w:rsidR="00A17302" w:rsidRPr="00A17302" w:rsidRDefault="00A17302" w:rsidP="00A17302">
      <w:pPr>
        <w:keepNext/>
        <w:keepLines/>
        <w:spacing w:before="120" w:after="120"/>
        <w:outlineLvl w:val="2"/>
        <w:rPr>
          <w:rFonts w:ascii="Calibri" w:eastAsia="Calibri" w:hAnsi="Calibri" w:cs="Times New Roman"/>
          <w:color w:val="243F60"/>
          <w:sz w:val="24"/>
          <w:szCs w:val="24"/>
        </w:rPr>
      </w:pPr>
      <w:bookmarkStart w:id="54" w:name="_Toc399494522"/>
      <w:r w:rsidRPr="00A17302">
        <w:rPr>
          <w:rFonts w:ascii="Calibri" w:eastAsia="Calibri" w:hAnsi="Calibri" w:cs="Times New Roman"/>
          <w:color w:val="243F60"/>
          <w:sz w:val="24"/>
          <w:szCs w:val="24"/>
        </w:rPr>
        <w:t>1.3.1. Основни характеристики на сектор Въздух в България</w:t>
      </w:r>
      <w:bookmarkEnd w:id="54"/>
    </w:p>
    <w:p w:rsidR="00A17302" w:rsidRPr="002D3BE2" w:rsidRDefault="00A17302" w:rsidP="00A17302">
      <w:pPr>
        <w:spacing w:after="120" w:line="240" w:lineRule="auto"/>
        <w:jc w:val="both"/>
        <w:rPr>
          <w:rFonts w:eastAsia="Calibri" w:cs="Times New Roman"/>
          <w:color w:val="000000"/>
          <w:shd w:val="clear" w:color="auto" w:fill="FFFFFF"/>
        </w:rPr>
      </w:pPr>
      <w:r w:rsidRPr="002D3BE2">
        <w:rPr>
          <w:rFonts w:eastAsia="Calibri" w:cs="Times New Roman"/>
          <w:color w:val="000000"/>
          <w:shd w:val="clear" w:color="auto" w:fill="FFFFFF"/>
        </w:rPr>
        <w:t xml:space="preserve">Задълженията на България в сектор Въздух </w:t>
      </w:r>
      <w:r w:rsidR="00441B0A">
        <w:rPr>
          <w:rFonts w:eastAsia="Calibri" w:cs="Times New Roman"/>
          <w:color w:val="000000"/>
          <w:shd w:val="clear" w:color="auto" w:fill="FFFFFF"/>
        </w:rPr>
        <w:t xml:space="preserve">по отношение на качеството на атмосферния въздух (КАВ) </w:t>
      </w:r>
      <w:r w:rsidRPr="002D3BE2">
        <w:rPr>
          <w:rFonts w:eastAsia="Calibri" w:cs="Times New Roman"/>
          <w:color w:val="000000"/>
          <w:shd w:val="clear" w:color="auto" w:fill="FFFFFF"/>
        </w:rPr>
        <w:t>произтичат от следните основни европейски и български нормативни документи:</w:t>
      </w:r>
    </w:p>
    <w:p w:rsidR="00A17302" w:rsidRPr="002D3BE2" w:rsidRDefault="00A17302" w:rsidP="009C1CFD">
      <w:pPr>
        <w:numPr>
          <w:ilvl w:val="0"/>
          <w:numId w:val="15"/>
        </w:numPr>
        <w:spacing w:after="120" w:line="240" w:lineRule="auto"/>
        <w:jc w:val="both"/>
        <w:rPr>
          <w:rFonts w:eastAsia="Calibri" w:cs="Times New Roman"/>
        </w:rPr>
      </w:pPr>
      <w:r w:rsidRPr="002D3BE2">
        <w:rPr>
          <w:rFonts w:eastAsia="Calibri" w:cs="Times New Roman"/>
          <w:color w:val="000000"/>
          <w:shd w:val="clear" w:color="auto" w:fill="FFFFFF"/>
        </w:rPr>
        <w:t>Директива 2008/50/ЕО относно качеството на атмосферния въздух и за по-чист въздух за Европа</w:t>
      </w:r>
    </w:p>
    <w:p w:rsidR="00A17302" w:rsidRPr="002D3BE2" w:rsidRDefault="00A17302" w:rsidP="009C1CFD">
      <w:pPr>
        <w:numPr>
          <w:ilvl w:val="0"/>
          <w:numId w:val="15"/>
        </w:numPr>
        <w:spacing w:after="120" w:line="240" w:lineRule="auto"/>
        <w:jc w:val="both"/>
        <w:rPr>
          <w:rFonts w:eastAsia="Calibri" w:cs="Times New Roman"/>
          <w:color w:val="000000"/>
          <w:shd w:val="clear" w:color="auto" w:fill="FFFFFF"/>
        </w:rPr>
      </w:pPr>
      <w:r w:rsidRPr="002D3BE2">
        <w:rPr>
          <w:rFonts w:eastAsia="Calibri" w:cs="Times New Roman"/>
          <w:color w:val="000000"/>
          <w:shd w:val="clear" w:color="auto" w:fill="FFFFFF"/>
        </w:rPr>
        <w:t>Закона за чистотата на атмосферния въздух (Обн. ДВ. бр. 45 от 28 Май 1996 г., посл. изм. и доп. ДВ. бр. 102 от 21 Декември 2012 г.)</w:t>
      </w:r>
    </w:p>
    <w:p w:rsidR="00A17302" w:rsidRPr="002D3BE2" w:rsidRDefault="00A17302" w:rsidP="009C1CFD">
      <w:pPr>
        <w:numPr>
          <w:ilvl w:val="0"/>
          <w:numId w:val="15"/>
        </w:numPr>
        <w:spacing w:after="120" w:line="240" w:lineRule="auto"/>
        <w:jc w:val="both"/>
        <w:rPr>
          <w:rFonts w:eastAsia="Calibri" w:cs="Times New Roman"/>
          <w:color w:val="000000"/>
          <w:shd w:val="clear" w:color="auto" w:fill="FFFFFF"/>
        </w:rPr>
      </w:pPr>
      <w:r w:rsidRPr="002D3BE2">
        <w:rPr>
          <w:rFonts w:eastAsia="Calibri" w:cs="Times New Roman"/>
          <w:color w:val="000000"/>
          <w:shd w:val="clear" w:color="auto" w:fill="FFFFFF"/>
        </w:rPr>
        <w:t>Наредба № 7 за оценка и управление качеството на атмосферния въздух (ДВ бр. 45/1999год., в сила от 1.01.2000 г.)</w:t>
      </w:r>
    </w:p>
    <w:p w:rsidR="00A17302" w:rsidRPr="00A17302" w:rsidRDefault="00A17302" w:rsidP="00A17302">
      <w:pPr>
        <w:spacing w:before="120" w:after="120" w:line="240" w:lineRule="auto"/>
        <w:jc w:val="both"/>
        <w:rPr>
          <w:rFonts w:ascii="Calibri" w:eastAsia="Calibri" w:hAnsi="Calibri" w:cs="Calibri"/>
          <w:bCs/>
          <w:lang w:eastAsia="bg-BG"/>
        </w:rPr>
      </w:pPr>
      <w:r w:rsidRPr="00A17302">
        <w:rPr>
          <w:rFonts w:ascii="Calibri" w:eastAsia="Calibri" w:hAnsi="Calibri" w:cs="Calibri"/>
          <w:bCs/>
          <w:lang w:eastAsia="bg-BG"/>
        </w:rPr>
        <w:t xml:space="preserve">Съгласно чл. 27 от Закона за чистотата на атмосферния въздух районите (населените места), в които има превишаване на нормите за вредни вещества в атмосферния въздух, подлежат на оценка и управление на КАВ и за тях се разработват от кметовете на съответните общини и приемат от общинските съвети, Програми за намаляване нивата на замърсителите на атмосферния въздух и за достигане на утвърдените норми по чл. 6 от ЗЧАВ. Към настоящия момент са разработени и приети </w:t>
      </w:r>
      <w:r w:rsidR="00441B0A">
        <w:rPr>
          <w:rFonts w:ascii="Calibri" w:eastAsia="Calibri" w:hAnsi="Calibri" w:cs="Calibri"/>
          <w:bCs/>
          <w:lang w:eastAsia="bg-BG"/>
        </w:rPr>
        <w:t>29</w:t>
      </w:r>
      <w:r w:rsidRPr="00A17302">
        <w:rPr>
          <w:rFonts w:ascii="Calibri" w:eastAsia="Calibri" w:hAnsi="Calibri" w:cs="Calibri"/>
          <w:bCs/>
          <w:lang w:eastAsia="bg-BG"/>
        </w:rPr>
        <w:t xml:space="preserve"> общински програми. Основните мерки за подобряване на КАВ в тези райони са определени в Плана за действие, който е неразделна част от всяка програма.</w:t>
      </w:r>
    </w:p>
    <w:p w:rsidR="00A17302" w:rsidRDefault="00A17302" w:rsidP="00A17302">
      <w:pPr>
        <w:spacing w:before="120" w:after="120" w:line="240" w:lineRule="auto"/>
        <w:jc w:val="both"/>
        <w:rPr>
          <w:rFonts w:ascii="Calibri" w:eastAsia="Calibri" w:hAnsi="Calibri" w:cs="Calibri"/>
          <w:bCs/>
          <w:lang w:eastAsia="bg-BG"/>
        </w:rPr>
      </w:pPr>
      <w:r w:rsidRPr="00A17302">
        <w:rPr>
          <w:rFonts w:ascii="Calibri" w:eastAsia="Calibri" w:hAnsi="Calibri" w:cs="Calibri"/>
          <w:bCs/>
          <w:lang w:eastAsia="bg-BG"/>
        </w:rPr>
        <w:t>Качеството на атмосферния въздух ежедневно се наблюдава в цялата страна, в т.ч. в по-големите градове и в населени места класифицирани като райони за оценка и управление на КАВ, в които нивата на един или няколко замърсители превишават установените норми, в които съществува потенциален здравен риск за експонираното население. Наблюдението и контролът върху състоянието на атмосферния въздух се осъществяват от Националната система за контрол качеството на атмосферния въздух, която в края на 2007</w:t>
      </w:r>
      <w:r w:rsidR="00B52559">
        <w:rPr>
          <w:rFonts w:ascii="Calibri" w:eastAsia="Calibri" w:hAnsi="Calibri" w:cs="Calibri"/>
          <w:bCs/>
          <w:lang w:eastAsia="bg-BG"/>
        </w:rPr>
        <w:t xml:space="preserve"> </w:t>
      </w:r>
      <w:r w:rsidRPr="00A17302">
        <w:rPr>
          <w:rFonts w:ascii="Calibri" w:eastAsia="Calibri" w:hAnsi="Calibri" w:cs="Calibri"/>
          <w:bCs/>
          <w:lang w:eastAsia="bg-BG"/>
        </w:rPr>
        <w:t xml:space="preserve">г. се състои от 22 автоматични измервателни станции, 11 диференциално оптични абсорбционни системи, 4 автоматични измервателни станции в горски екосистеми и 19 с ръчно пробовземане и последващ анализ.. Допълнително, в определени населени места наблюдение на качеството на атмосферния въздух се осъществява с 6 мобилни автоматични </w:t>
      </w:r>
      <w:r w:rsidR="006D4B24" w:rsidRPr="00A17302">
        <w:rPr>
          <w:rFonts w:ascii="Calibri" w:eastAsia="Calibri" w:hAnsi="Calibri" w:cs="Calibri"/>
          <w:bCs/>
          <w:lang w:eastAsia="bg-BG"/>
        </w:rPr>
        <w:t>емисионни</w:t>
      </w:r>
      <w:r w:rsidRPr="00A17302">
        <w:rPr>
          <w:rFonts w:ascii="Calibri" w:eastAsia="Calibri" w:hAnsi="Calibri" w:cs="Calibri"/>
          <w:bCs/>
          <w:lang w:eastAsia="bg-BG"/>
        </w:rPr>
        <w:t xml:space="preserve"> станции, съгласно утвърден годишен график. През 2008 г. са инсталирани 7 нови автоматични измервателни станции</w:t>
      </w:r>
      <w:r w:rsidRPr="00A17302">
        <w:rPr>
          <w:rFonts w:ascii="Calibri" w:eastAsia="Calibri" w:hAnsi="Calibri" w:cs="Calibri"/>
          <w:bCs/>
          <w:vertAlign w:val="superscript"/>
          <w:lang w:eastAsia="bg-BG"/>
        </w:rPr>
        <w:footnoteReference w:id="26"/>
      </w:r>
      <w:r w:rsidRPr="00A17302">
        <w:rPr>
          <w:rFonts w:ascii="Calibri" w:eastAsia="Calibri" w:hAnsi="Calibri" w:cs="Calibri"/>
          <w:bCs/>
          <w:lang w:eastAsia="bg-BG"/>
        </w:rPr>
        <w:t>.</w:t>
      </w:r>
    </w:p>
    <w:p w:rsidR="00BA6C4D" w:rsidRPr="00BA6C4D" w:rsidRDefault="00BA6C4D" w:rsidP="00BA6C4D">
      <w:pPr>
        <w:jc w:val="both"/>
        <w:rPr>
          <w:rFonts w:ascii="Calibri" w:eastAsia="Calibri" w:hAnsi="Calibri" w:cs="Calibri"/>
          <w:bCs/>
          <w:lang w:eastAsia="bg-BG"/>
        </w:rPr>
      </w:pPr>
      <w:r>
        <w:rPr>
          <w:rFonts w:ascii="Calibri" w:eastAsia="Calibri" w:hAnsi="Calibri" w:cs="Calibri"/>
          <w:bCs/>
          <w:lang w:eastAsia="bg-BG"/>
        </w:rPr>
        <w:t xml:space="preserve">Основните проблеми в сектор Въздух съгласно </w:t>
      </w:r>
      <w:r w:rsidRPr="00BA6C4D">
        <w:rPr>
          <w:rFonts w:ascii="Calibri" w:eastAsia="Calibri" w:hAnsi="Calibri" w:cs="Calibri"/>
          <w:bCs/>
          <w:lang w:eastAsia="bg-BG"/>
        </w:rPr>
        <w:t>Националната стратегия за околна среда  2009 – 2018 г.</w:t>
      </w:r>
      <w:r>
        <w:rPr>
          <w:rFonts w:ascii="Calibri" w:eastAsia="Calibri" w:hAnsi="Calibri" w:cs="Calibri"/>
          <w:bCs/>
          <w:lang w:eastAsia="bg-BG"/>
        </w:rPr>
        <w:t xml:space="preserve"> се дължат на </w:t>
      </w:r>
      <w:r w:rsidRPr="00A17302">
        <w:rPr>
          <w:rFonts w:ascii="Calibri" w:eastAsia="Calibri" w:hAnsi="Calibri" w:cs="Calibri"/>
          <w:bCs/>
          <w:lang w:eastAsia="bg-BG"/>
        </w:rPr>
        <w:t>интензивен автомобилен трафик</w:t>
      </w:r>
      <w:r>
        <w:rPr>
          <w:rFonts w:ascii="Calibri" w:eastAsia="Calibri" w:hAnsi="Calibri" w:cs="Calibri"/>
          <w:bCs/>
          <w:lang w:eastAsia="bg-BG"/>
        </w:rPr>
        <w:t xml:space="preserve">. </w:t>
      </w:r>
      <w:r w:rsidRPr="00A17302">
        <w:rPr>
          <w:rFonts w:ascii="Calibri" w:eastAsia="Calibri" w:hAnsi="Calibri" w:cs="Calibri"/>
          <w:bCs/>
          <w:lang w:eastAsia="bg-BG"/>
        </w:rPr>
        <w:t>Към приноса на транспорта, в повечето случаи, освен емисиите от двигателите на моторни</w:t>
      </w:r>
      <w:r>
        <w:rPr>
          <w:rFonts w:ascii="Calibri" w:eastAsia="Calibri" w:hAnsi="Calibri" w:cs="Calibri"/>
          <w:bCs/>
          <w:lang w:eastAsia="bg-BG"/>
        </w:rPr>
        <w:t>те превозни средства се отчитат</w:t>
      </w:r>
      <w:r w:rsidRPr="00A17302">
        <w:rPr>
          <w:rFonts w:ascii="Calibri" w:eastAsia="Calibri" w:hAnsi="Calibri" w:cs="Calibri"/>
          <w:bCs/>
          <w:lang w:eastAsia="bg-BG"/>
        </w:rPr>
        <w:t xml:space="preserve"> и емисиите на ФПЧ</w:t>
      </w:r>
      <w:r w:rsidRPr="00BA6C4D">
        <w:rPr>
          <w:rFonts w:ascii="Calibri" w:eastAsia="Calibri" w:hAnsi="Calibri" w:cs="Calibri"/>
          <w:bCs/>
          <w:vertAlign w:val="subscript"/>
          <w:lang w:eastAsia="bg-BG"/>
        </w:rPr>
        <w:t>10</w:t>
      </w:r>
      <w:r w:rsidRPr="00A17302">
        <w:rPr>
          <w:rFonts w:ascii="Calibri" w:eastAsia="Calibri" w:hAnsi="Calibri" w:cs="Calibri"/>
          <w:bCs/>
          <w:lang w:eastAsia="bg-BG"/>
        </w:rPr>
        <w:t xml:space="preserve"> от унос на прахови частици от пътните насти</w:t>
      </w:r>
      <w:r>
        <w:rPr>
          <w:rFonts w:ascii="Calibri" w:eastAsia="Calibri" w:hAnsi="Calibri" w:cs="Calibri"/>
          <w:bCs/>
          <w:lang w:eastAsia="bg-BG"/>
        </w:rPr>
        <w:t xml:space="preserve">лки (т.н. вторично разпрашаване.). </w:t>
      </w:r>
      <w:r w:rsidRPr="00A17302">
        <w:rPr>
          <w:rFonts w:ascii="Calibri" w:eastAsia="Calibri" w:hAnsi="Calibri" w:cs="Calibri"/>
          <w:bCs/>
          <w:lang w:eastAsia="bg-BG"/>
        </w:rPr>
        <w:t>Друг източник на замърсяване на въздуха с ФЧП е битовото отопление на дърва и въглища през зимата</w:t>
      </w:r>
      <w:r>
        <w:rPr>
          <w:rFonts w:ascii="Calibri" w:eastAsia="Calibri" w:hAnsi="Calibri" w:cs="Calibri"/>
          <w:bCs/>
          <w:lang w:eastAsia="bg-BG"/>
        </w:rPr>
        <w:t xml:space="preserve">. </w:t>
      </w:r>
    </w:p>
    <w:p w:rsidR="00691CF9" w:rsidRDefault="00441B0A" w:rsidP="00691CF9">
      <w:pPr>
        <w:spacing w:after="200" w:line="276" w:lineRule="auto"/>
        <w:jc w:val="both"/>
        <w:rPr>
          <w:rFonts w:ascii="Verdana" w:eastAsia="Calibri" w:hAnsi="Verdana" w:cs="Times New Roman"/>
          <w:color w:val="000000"/>
          <w:sz w:val="18"/>
          <w:szCs w:val="18"/>
          <w:shd w:val="clear" w:color="auto" w:fill="FFFFFF"/>
        </w:rPr>
      </w:pPr>
      <w:r>
        <w:rPr>
          <w:rFonts w:ascii="Calibri" w:eastAsia="Calibri" w:hAnsi="Calibri" w:cs="Calibri"/>
          <w:bCs/>
          <w:lang w:eastAsia="bg-BG"/>
        </w:rPr>
        <w:t>В</w:t>
      </w:r>
      <w:r w:rsidRPr="00BA6C4D">
        <w:rPr>
          <w:rFonts w:ascii="Calibri" w:eastAsia="Calibri" w:hAnsi="Calibri" w:cs="Calibri"/>
          <w:bCs/>
          <w:lang w:eastAsia="bg-BG"/>
        </w:rPr>
        <w:t xml:space="preserve"> сектор Въздух </w:t>
      </w:r>
      <w:r w:rsidR="00691CF9" w:rsidRPr="00BA6C4D">
        <w:rPr>
          <w:rFonts w:ascii="Calibri" w:eastAsia="Calibri" w:hAnsi="Calibri" w:cs="Calibri"/>
          <w:bCs/>
          <w:lang w:eastAsia="bg-BG"/>
        </w:rPr>
        <w:t xml:space="preserve">ОПОС 2014-2020 г. </w:t>
      </w:r>
      <w:r w:rsidR="00691CF9" w:rsidRPr="00691CF9">
        <w:rPr>
          <w:rFonts w:ascii="Calibri" w:eastAsia="Calibri" w:hAnsi="Calibri" w:cs="Calibri"/>
          <w:bCs/>
          <w:lang w:eastAsia="bg-BG"/>
        </w:rPr>
        <w:t xml:space="preserve">предвижда </w:t>
      </w:r>
      <w:r w:rsidR="00691CF9">
        <w:rPr>
          <w:rFonts w:ascii="Calibri" w:eastAsia="Calibri" w:hAnsi="Calibri" w:cs="Calibri"/>
          <w:bCs/>
          <w:lang w:eastAsia="bg-BG"/>
        </w:rPr>
        <w:t>мерки</w:t>
      </w:r>
      <w:r>
        <w:rPr>
          <w:rFonts w:ascii="Calibri" w:eastAsia="Calibri" w:hAnsi="Calibri" w:cs="Calibri"/>
          <w:bCs/>
          <w:lang w:eastAsia="bg-BG"/>
        </w:rPr>
        <w:t xml:space="preserve"> за</w:t>
      </w:r>
      <w:r w:rsidR="00691CF9" w:rsidRPr="00BA6C4D">
        <w:rPr>
          <w:rFonts w:ascii="Calibri" w:eastAsia="Calibri" w:hAnsi="Calibri" w:cs="Calibri"/>
          <w:bCs/>
          <w:lang w:eastAsia="bg-BG"/>
        </w:rPr>
        <w:t xml:space="preserve"> намаляване замърсяването от транспортния сектор</w:t>
      </w:r>
      <w:r w:rsidR="00691CF9">
        <w:rPr>
          <w:rStyle w:val="FootnoteReference"/>
          <w:rFonts w:ascii="Calibri" w:eastAsia="Calibri" w:hAnsi="Calibri" w:cs="Calibri"/>
          <w:bCs/>
          <w:lang w:eastAsia="bg-BG"/>
        </w:rPr>
        <w:footnoteReference w:id="27"/>
      </w:r>
      <w:r w:rsidR="00691CF9">
        <w:rPr>
          <w:rFonts w:ascii="Calibri" w:eastAsia="Calibri" w:hAnsi="Calibri" w:cs="Calibri"/>
          <w:bCs/>
          <w:lang w:eastAsia="bg-BG"/>
        </w:rPr>
        <w:t>, поради което представеният анализ се фокусира именно върху КАВ, свързани със сектор Транспорт, в т.ч. вторичното разпрашаване от пътните настилки в резултат от трафика.</w:t>
      </w:r>
    </w:p>
    <w:p w:rsidR="00B52559" w:rsidRDefault="00B52559" w:rsidP="00B52559">
      <w:pPr>
        <w:spacing w:after="200" w:line="276" w:lineRule="auto"/>
        <w:jc w:val="both"/>
        <w:rPr>
          <w:rFonts w:ascii="Calibri" w:eastAsia="Calibri" w:hAnsi="Calibri" w:cs="Times New Roman"/>
        </w:rPr>
      </w:pPr>
      <w:r>
        <w:rPr>
          <w:rFonts w:ascii="Calibri" w:eastAsia="Calibri" w:hAnsi="Calibri" w:cs="Times New Roman"/>
        </w:rPr>
        <w:lastRenderedPageBreak/>
        <w:t>Източниците на финансиране на дейностите, свързани с качеството на атмосферния въздух</w:t>
      </w:r>
      <w:r w:rsidR="00435416">
        <w:rPr>
          <w:rFonts w:ascii="Calibri" w:eastAsia="Calibri" w:hAnsi="Calibri" w:cs="Times New Roman"/>
        </w:rPr>
        <w:t xml:space="preserve"> от гледна точка на транспортния сектор</w:t>
      </w:r>
      <w:r>
        <w:rPr>
          <w:rFonts w:ascii="Calibri" w:eastAsia="Calibri" w:hAnsi="Calibri" w:cs="Times New Roman"/>
        </w:rPr>
        <w:t xml:space="preserve"> са общинските бюджети, както и тези на транспортните оператори на територията на всяка община</w:t>
      </w:r>
      <w:r w:rsidR="0074378F">
        <w:rPr>
          <w:rStyle w:val="FootnoteReference"/>
          <w:rFonts w:ascii="Calibri" w:eastAsia="Calibri" w:hAnsi="Calibri" w:cs="Times New Roman"/>
        </w:rPr>
        <w:footnoteReference w:id="28"/>
      </w:r>
      <w:r>
        <w:rPr>
          <w:rFonts w:ascii="Calibri" w:eastAsia="Calibri" w:hAnsi="Calibri" w:cs="Times New Roman"/>
        </w:rPr>
        <w:t>.</w:t>
      </w:r>
    </w:p>
    <w:p w:rsidR="00B52559" w:rsidRPr="00A17302" w:rsidRDefault="00B52559" w:rsidP="00B52559">
      <w:pPr>
        <w:spacing w:after="200" w:line="276" w:lineRule="auto"/>
        <w:jc w:val="both"/>
        <w:rPr>
          <w:rFonts w:ascii="Calibri" w:eastAsia="Calibri" w:hAnsi="Calibri" w:cs="Times New Roman"/>
        </w:rPr>
      </w:pPr>
      <w:r>
        <w:rPr>
          <w:rFonts w:ascii="Calibri" w:eastAsia="Calibri" w:hAnsi="Calibri" w:cs="Times New Roman"/>
        </w:rPr>
        <w:t>Основните приходи</w:t>
      </w:r>
      <w:r w:rsidRPr="00A17302">
        <w:rPr>
          <w:rFonts w:ascii="Calibri" w:eastAsia="Calibri" w:hAnsi="Calibri" w:cs="Times New Roman"/>
        </w:rPr>
        <w:t xml:space="preserve"> на общините се формират от местните данъци и такси, които се събират съгласно Закона за местните данъци. Местните данъци са:</w:t>
      </w:r>
    </w:p>
    <w:p w:rsidR="00B52559" w:rsidRPr="00A17302" w:rsidRDefault="00B52559"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A17302">
        <w:rPr>
          <w:rFonts w:ascii="Calibri" w:eastAsia="Calibri" w:hAnsi="Calibri" w:cs="Calibri"/>
          <w:bCs/>
        </w:rPr>
        <w:t>Данък върху недвижимите имоти;</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Данък върху наследствата;</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Данък върху даренията;</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Данък при възмездно придобиване на имущество;</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Данък върху превозните средства;</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Патентен данък;</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Туристически данък;</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Други местни данъци, определени със закон.</w:t>
      </w:r>
    </w:p>
    <w:p w:rsidR="00B52559" w:rsidRPr="00A17302" w:rsidRDefault="00B52559" w:rsidP="009C459F">
      <w:pPr>
        <w:shd w:val="clear" w:color="auto" w:fill="FEFEFE"/>
        <w:spacing w:before="240" w:after="0" w:line="240" w:lineRule="auto"/>
        <w:rPr>
          <w:rFonts w:ascii="Verdana" w:eastAsia="Times New Roman" w:hAnsi="Verdana" w:cs="Times New Roman"/>
          <w:color w:val="000000"/>
          <w:sz w:val="18"/>
          <w:szCs w:val="18"/>
          <w:lang w:eastAsia="bg-BG"/>
        </w:rPr>
      </w:pPr>
      <w:r w:rsidRPr="00A17302">
        <w:rPr>
          <w:rFonts w:ascii="Verdana" w:eastAsia="Times New Roman" w:hAnsi="Verdana" w:cs="Times New Roman"/>
          <w:color w:val="000000"/>
          <w:sz w:val="18"/>
          <w:szCs w:val="18"/>
          <w:lang w:eastAsia="bg-BG"/>
        </w:rPr>
        <w:t>Общините събират и следните местни такси:</w:t>
      </w:r>
    </w:p>
    <w:p w:rsidR="00B52559" w:rsidRPr="00A17302" w:rsidRDefault="00B52559"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A17302">
        <w:rPr>
          <w:rFonts w:ascii="Calibri" w:eastAsia="Calibri" w:hAnsi="Calibri" w:cs="Calibri"/>
          <w:bCs/>
        </w:rPr>
        <w:t>за битови отпадъци;</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за ползване на пазари, тържища, панаири, тротоари, площади и улични платна;</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за ползване на детски ясли, детски кухни, детски градини, специализирани институции за предоставяне на социални услуги, лагери, общежития и други общински социални услуги;</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за технически услуги;</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за административни услуги;</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за откупуване на гробни места;</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за притежаване на куче;</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други местни такси, определени със закон</w:t>
      </w:r>
    </w:p>
    <w:p w:rsidR="00B52559" w:rsidRPr="00A17302" w:rsidRDefault="00B52559" w:rsidP="00B52559">
      <w:pPr>
        <w:widowControl w:val="0"/>
        <w:autoSpaceDE w:val="0"/>
        <w:autoSpaceDN w:val="0"/>
        <w:adjustRightInd w:val="0"/>
        <w:spacing w:before="240" w:after="0" w:line="239" w:lineRule="auto"/>
        <w:ind w:right="66"/>
        <w:jc w:val="both"/>
        <w:rPr>
          <w:rFonts w:ascii="Calibri" w:eastAsia="Calibri" w:hAnsi="Calibri" w:cs="Calibri"/>
        </w:rPr>
      </w:pPr>
      <w:r w:rsidRPr="00A17302">
        <w:rPr>
          <w:rFonts w:ascii="Calibri" w:eastAsia="Calibri" w:hAnsi="Calibri" w:cs="Calibri"/>
        </w:rPr>
        <w:t>Приходите от такса “битови отпадъци” се използва целево за услугите по събиране, транспортиране и обезвреждане в депа или оползотворяване в други съоръжения на битовите отпадъци, както и за поддържане на чистотата на териториите за обществе</w:t>
      </w:r>
      <w:r w:rsidR="0074378F">
        <w:rPr>
          <w:rFonts w:ascii="Calibri" w:eastAsia="Calibri" w:hAnsi="Calibri" w:cs="Calibri"/>
        </w:rPr>
        <w:t>но ползване в населените места</w:t>
      </w:r>
      <w:r w:rsidR="00435416">
        <w:rPr>
          <w:rFonts w:ascii="Calibri" w:eastAsia="Calibri" w:hAnsi="Calibri" w:cs="Calibri"/>
        </w:rPr>
        <w:t>, в т.ч. улици и тротоари</w:t>
      </w:r>
      <w:r w:rsidR="0074378F">
        <w:rPr>
          <w:rFonts w:ascii="Calibri" w:eastAsia="Calibri" w:hAnsi="Calibri" w:cs="Calibri"/>
        </w:rPr>
        <w:t>.</w:t>
      </w:r>
    </w:p>
    <w:p w:rsidR="00B52559" w:rsidRPr="00A17302" w:rsidRDefault="00B52559" w:rsidP="00B52559">
      <w:pPr>
        <w:widowControl w:val="0"/>
        <w:autoSpaceDE w:val="0"/>
        <w:autoSpaceDN w:val="0"/>
        <w:adjustRightInd w:val="0"/>
        <w:spacing w:before="240" w:after="0" w:line="239" w:lineRule="auto"/>
        <w:ind w:right="66"/>
        <w:jc w:val="both"/>
        <w:rPr>
          <w:rFonts w:ascii="Calibri" w:eastAsia="Calibri" w:hAnsi="Calibri" w:cs="Calibri"/>
        </w:rPr>
      </w:pPr>
      <w:r w:rsidRPr="00A17302">
        <w:rPr>
          <w:rFonts w:ascii="Calibri" w:eastAsia="Calibri" w:hAnsi="Calibri" w:cs="Calibri"/>
        </w:rPr>
        <w:t>Тези услуги се извършват или от общински предприятия по чистота и озеленяване или от частни фирми по силата на концесионен договор. Концесионният договор задължава концесионерите да предоставят услуги и по сметопочистване, като тези услуги могат да включват:</w:t>
      </w:r>
    </w:p>
    <w:p w:rsidR="00B52559" w:rsidRPr="00A17302" w:rsidRDefault="00B52559"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A17302">
        <w:rPr>
          <w:rFonts w:ascii="Calibri" w:eastAsia="Calibri" w:hAnsi="Calibri" w:cs="Calibri"/>
          <w:bCs/>
        </w:rPr>
        <w:t>машинно метене на уличните платна по приложен график;</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машинно метена на уличните платна и тротоари по приложен график;</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ръчно /машинно метене на тротоари и пешеходни алеи;</w:t>
      </w:r>
    </w:p>
    <w:p w:rsidR="00B52559" w:rsidRPr="00A17302"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A17302">
        <w:rPr>
          <w:rFonts w:ascii="Calibri" w:eastAsia="Calibri" w:hAnsi="Calibri" w:cs="Calibri"/>
          <w:bCs/>
        </w:rPr>
        <w:t>почистване на улични платна и тротоари от земни наноси.</w:t>
      </w:r>
    </w:p>
    <w:p w:rsidR="00B52559" w:rsidRDefault="00B52559" w:rsidP="00B52559">
      <w:pPr>
        <w:widowControl w:val="0"/>
        <w:autoSpaceDE w:val="0"/>
        <w:autoSpaceDN w:val="0"/>
        <w:adjustRightInd w:val="0"/>
        <w:spacing w:before="240" w:after="0" w:line="239" w:lineRule="auto"/>
        <w:ind w:right="66"/>
        <w:jc w:val="both"/>
        <w:rPr>
          <w:rFonts w:ascii="Calibri" w:eastAsia="Calibri" w:hAnsi="Calibri" w:cs="Calibri"/>
        </w:rPr>
      </w:pPr>
      <w:r w:rsidRPr="00A17302">
        <w:rPr>
          <w:rFonts w:ascii="Calibri" w:eastAsia="Calibri" w:hAnsi="Calibri" w:cs="Calibri"/>
        </w:rPr>
        <w:t xml:space="preserve">Техниката, чрез която се извършват тези дейности може да е собственост на концесионера, на общината или на общинското предприятие, респективно източник на финансиране на мерки за намаляване на ФПЧ във въздуха в тези случаи се явява </w:t>
      </w:r>
      <w:r w:rsidR="0074378F" w:rsidRPr="0074378F">
        <w:rPr>
          <w:rFonts w:ascii="Calibri" w:eastAsia="Calibri" w:hAnsi="Calibri" w:cs="Calibri"/>
          <w:b/>
        </w:rPr>
        <w:t xml:space="preserve">косвено </w:t>
      </w:r>
      <w:r w:rsidRPr="00A17302">
        <w:rPr>
          <w:rFonts w:ascii="Calibri" w:eastAsia="Calibri" w:hAnsi="Calibri" w:cs="Calibri"/>
        </w:rPr>
        <w:t>такса “битови отпадъци”.</w:t>
      </w:r>
    </w:p>
    <w:p w:rsidR="00B52559" w:rsidRDefault="00B52559" w:rsidP="00B52559">
      <w:pPr>
        <w:widowControl w:val="0"/>
        <w:autoSpaceDE w:val="0"/>
        <w:autoSpaceDN w:val="0"/>
        <w:adjustRightInd w:val="0"/>
        <w:spacing w:before="240" w:after="0" w:line="239" w:lineRule="auto"/>
        <w:ind w:right="66"/>
        <w:jc w:val="both"/>
        <w:rPr>
          <w:rFonts w:ascii="Calibri" w:eastAsia="Calibri" w:hAnsi="Calibri" w:cs="Calibri"/>
        </w:rPr>
      </w:pPr>
      <w:r>
        <w:rPr>
          <w:rFonts w:ascii="Calibri" w:eastAsia="Calibri" w:hAnsi="Calibri" w:cs="Calibri"/>
        </w:rPr>
        <w:lastRenderedPageBreak/>
        <w:t>Друг източник на приходи в общинските бюджети са приходите от глоби и санкции съгласно чл. 65 от ЗООС. Според този член от закона:</w:t>
      </w:r>
    </w:p>
    <w:p w:rsidR="00B52559" w:rsidRPr="00B52559" w:rsidRDefault="00B52559"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B52559">
        <w:rPr>
          <w:rFonts w:ascii="Calibri" w:eastAsia="Calibri" w:hAnsi="Calibri" w:cs="Calibri"/>
          <w:bCs/>
        </w:rPr>
        <w:t>Осемдесет на сто от санкциите за увреждане или замърсяване на околната среда над допустимите норми постъпват по бюджета на общината, на чиято територия с</w:t>
      </w:r>
      <w:r>
        <w:rPr>
          <w:rFonts w:ascii="Calibri" w:eastAsia="Calibri" w:hAnsi="Calibri" w:cs="Calibri"/>
          <w:bCs/>
        </w:rPr>
        <w:t>е намира санкционираният субект;</w:t>
      </w:r>
    </w:p>
    <w:p w:rsidR="00B52559" w:rsidRPr="00B52559"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B52559">
        <w:rPr>
          <w:rFonts w:ascii="Calibri" w:eastAsia="Calibri" w:hAnsi="Calibri" w:cs="Calibri"/>
          <w:bCs/>
        </w:rPr>
        <w:t>Приходите от глоби и санкции по закона, налагани от кметовете на общини, постъпват п</w:t>
      </w:r>
      <w:r>
        <w:rPr>
          <w:rFonts w:ascii="Calibri" w:eastAsia="Calibri" w:hAnsi="Calibri" w:cs="Calibri"/>
          <w:bCs/>
        </w:rPr>
        <w:t>о бюджета на съответната община;</w:t>
      </w:r>
    </w:p>
    <w:p w:rsidR="00B52559" w:rsidRPr="00B52559" w:rsidRDefault="00B52559" w:rsidP="009C1CFD">
      <w:pPr>
        <w:widowControl w:val="0"/>
        <w:numPr>
          <w:ilvl w:val="0"/>
          <w:numId w:val="3"/>
        </w:numPr>
        <w:autoSpaceDE w:val="0"/>
        <w:autoSpaceDN w:val="0"/>
        <w:adjustRightInd w:val="0"/>
        <w:spacing w:after="0" w:line="239" w:lineRule="auto"/>
        <w:ind w:right="66"/>
        <w:jc w:val="both"/>
        <w:rPr>
          <w:rFonts w:ascii="Calibri" w:eastAsia="Calibri" w:hAnsi="Calibri" w:cs="Calibri"/>
          <w:bCs/>
        </w:rPr>
      </w:pPr>
      <w:r w:rsidRPr="00B52559">
        <w:rPr>
          <w:rFonts w:ascii="Calibri" w:eastAsia="Calibri" w:hAnsi="Calibri" w:cs="Calibri"/>
          <w:bCs/>
        </w:rPr>
        <w:t xml:space="preserve">Приходите </w:t>
      </w:r>
      <w:r>
        <w:rPr>
          <w:rFonts w:ascii="Calibri" w:eastAsia="Calibri" w:hAnsi="Calibri" w:cs="Calibri"/>
          <w:bCs/>
        </w:rPr>
        <w:t>от глоби и санкции</w:t>
      </w:r>
      <w:r w:rsidRPr="00B52559">
        <w:rPr>
          <w:rFonts w:ascii="Calibri" w:eastAsia="Calibri" w:hAnsi="Calibri" w:cs="Calibri"/>
          <w:bCs/>
        </w:rPr>
        <w:t>, както и приходите от глоби за нарушаване на наредбите, приемани от общинските съвети във връзка с опазването на околната среда, се изразходват за екологични проекти и дейности по приоритети, определени в общинските програми за околна среда.</w:t>
      </w:r>
    </w:p>
    <w:p w:rsidR="00B52559" w:rsidRPr="00A17302" w:rsidRDefault="00435416" w:rsidP="00B52559">
      <w:pPr>
        <w:widowControl w:val="0"/>
        <w:autoSpaceDE w:val="0"/>
        <w:autoSpaceDN w:val="0"/>
        <w:adjustRightInd w:val="0"/>
        <w:spacing w:before="240" w:after="200" w:line="240" w:lineRule="auto"/>
        <w:ind w:right="64"/>
        <w:jc w:val="both"/>
        <w:rPr>
          <w:rFonts w:ascii="Calibri" w:eastAsia="Calibri" w:hAnsi="Calibri" w:cs="Calibri"/>
        </w:rPr>
      </w:pPr>
      <w:r>
        <w:rPr>
          <w:rFonts w:ascii="Calibri" w:eastAsia="Calibri" w:hAnsi="Calibri" w:cs="Calibri"/>
        </w:rPr>
        <w:t xml:space="preserve">Другият източник на приходи в сектора – приходите на </w:t>
      </w:r>
      <w:r w:rsidR="009C459F">
        <w:rPr>
          <w:rFonts w:ascii="Calibri" w:eastAsia="Calibri" w:hAnsi="Calibri" w:cs="Calibri"/>
        </w:rPr>
        <w:t>транспортните оператори</w:t>
      </w:r>
      <w:r>
        <w:rPr>
          <w:rFonts w:ascii="Calibri" w:eastAsia="Calibri" w:hAnsi="Calibri" w:cs="Calibri"/>
        </w:rPr>
        <w:t xml:space="preserve"> - </w:t>
      </w:r>
      <w:r w:rsidR="009C459F">
        <w:rPr>
          <w:rFonts w:ascii="Calibri" w:eastAsia="Calibri" w:hAnsi="Calibri" w:cs="Calibri"/>
        </w:rPr>
        <w:t xml:space="preserve"> се формира от услугите по обществен транспорт. </w:t>
      </w:r>
      <w:r w:rsidR="00B52559" w:rsidRPr="00A17302">
        <w:rPr>
          <w:rFonts w:ascii="Calibri" w:eastAsia="Calibri" w:hAnsi="Calibri" w:cs="Calibri"/>
        </w:rPr>
        <w:t xml:space="preserve">Услугите по обществен транспорт се възлагат от страна на общините по силата на договор за публична услуга (ДПУ) на общински дружества. </w:t>
      </w:r>
    </w:p>
    <w:p w:rsidR="00B52559" w:rsidRDefault="00B52559" w:rsidP="00B52559">
      <w:pPr>
        <w:spacing w:after="60" w:line="276" w:lineRule="auto"/>
        <w:jc w:val="both"/>
        <w:rPr>
          <w:rFonts w:ascii="Calibri" w:eastAsia="Calibri" w:hAnsi="Calibri" w:cs="Calibri"/>
        </w:rPr>
      </w:pPr>
      <w:r w:rsidRPr="00A17302">
        <w:rPr>
          <w:rFonts w:ascii="Calibri" w:eastAsia="Calibri" w:hAnsi="Calibri" w:cs="Calibri"/>
        </w:rPr>
        <w:t>През последните години съгласно Регламент 1370/2007 на Европейския пар</w:t>
      </w:r>
      <w:r w:rsidRPr="00A17302">
        <w:rPr>
          <w:rFonts w:ascii="Calibri" w:eastAsia="Calibri" w:hAnsi="Calibri" w:cs="Calibri"/>
        </w:rPr>
        <w:softHyphen/>
        <w:t>ла</w:t>
      </w:r>
      <w:r w:rsidRPr="00A17302">
        <w:rPr>
          <w:rFonts w:ascii="Calibri" w:eastAsia="Calibri" w:hAnsi="Calibri" w:cs="Calibri"/>
        </w:rPr>
        <w:softHyphen/>
        <w:t>мент и Съвета на Европа, българското законодателство се адаптира в посока масово прилагане на ДПУ от местните власти в България. Основните промени са както следва:</w:t>
      </w:r>
    </w:p>
    <w:p w:rsidR="009C459F" w:rsidRPr="00A17302" w:rsidRDefault="009C459F" w:rsidP="00435416">
      <w:pPr>
        <w:spacing w:before="240" w:after="60" w:line="276" w:lineRule="auto"/>
        <w:jc w:val="both"/>
        <w:rPr>
          <w:rFonts w:ascii="Calibri" w:eastAsia="Calibri" w:hAnsi="Calibri" w:cs="Calibri"/>
        </w:rPr>
      </w:pPr>
      <w:bookmarkStart w:id="55" w:name="_Toc399494900"/>
      <w:r w:rsidRPr="0000262E">
        <w:rPr>
          <w:rFonts w:eastAsia="Times New Roman" w:cstheme="minorHAnsi"/>
          <w:b/>
          <w:bCs/>
          <w:sz w:val="20"/>
          <w:szCs w:val="20"/>
          <w:lang w:eastAsia="bg-BG"/>
        </w:rPr>
        <w:t xml:space="preserve">Таблица </w:t>
      </w:r>
      <w:r w:rsidR="008E6461" w:rsidRPr="0000262E">
        <w:rPr>
          <w:rFonts w:eastAsia="Times New Roman" w:cstheme="minorHAnsi"/>
          <w:b/>
          <w:bCs/>
          <w:sz w:val="20"/>
          <w:szCs w:val="20"/>
          <w:lang w:eastAsia="bg-BG"/>
        </w:rPr>
        <w:fldChar w:fldCharType="begin"/>
      </w:r>
      <w:r w:rsidRPr="0000262E">
        <w:rPr>
          <w:rFonts w:eastAsia="Times New Roman" w:cstheme="minorHAnsi"/>
          <w:b/>
          <w:bCs/>
          <w:sz w:val="20"/>
          <w:szCs w:val="20"/>
          <w:lang w:eastAsia="bg-BG"/>
        </w:rPr>
        <w:instrText xml:space="preserve"> SEQ таблица \* ARABIC </w:instrText>
      </w:r>
      <w:r w:rsidR="008E6461" w:rsidRPr="0000262E">
        <w:rPr>
          <w:rFonts w:eastAsia="Times New Roman" w:cstheme="minorHAnsi"/>
          <w:b/>
          <w:bCs/>
          <w:sz w:val="20"/>
          <w:szCs w:val="20"/>
          <w:lang w:eastAsia="bg-BG"/>
        </w:rPr>
        <w:fldChar w:fldCharType="separate"/>
      </w:r>
      <w:r w:rsidR="003A69A7">
        <w:rPr>
          <w:rFonts w:eastAsia="Times New Roman" w:cstheme="minorHAnsi"/>
          <w:b/>
          <w:bCs/>
          <w:noProof/>
          <w:sz w:val="20"/>
          <w:szCs w:val="20"/>
          <w:lang w:eastAsia="bg-BG"/>
        </w:rPr>
        <w:t>20</w:t>
      </w:r>
      <w:r w:rsidR="008E6461" w:rsidRPr="0000262E">
        <w:rPr>
          <w:rFonts w:eastAsia="Times New Roman" w:cstheme="minorHAnsi"/>
          <w:b/>
          <w:bCs/>
          <w:sz w:val="20"/>
          <w:szCs w:val="20"/>
          <w:lang w:eastAsia="bg-BG"/>
        </w:rPr>
        <w:fldChar w:fldCharType="end"/>
      </w:r>
      <w:r w:rsidRPr="0000262E">
        <w:rPr>
          <w:rFonts w:eastAsia="Times New Roman" w:cstheme="minorHAnsi"/>
          <w:b/>
          <w:bCs/>
          <w:sz w:val="20"/>
          <w:szCs w:val="20"/>
          <w:lang w:eastAsia="bg-BG"/>
        </w:rPr>
        <w:t>:</w:t>
      </w:r>
      <w:r>
        <w:rPr>
          <w:rFonts w:eastAsia="Times New Roman" w:cstheme="minorHAnsi"/>
          <w:b/>
          <w:bCs/>
          <w:sz w:val="20"/>
          <w:szCs w:val="20"/>
          <w:lang w:eastAsia="bg-BG"/>
        </w:rPr>
        <w:t xml:space="preserve"> </w:t>
      </w:r>
      <w:r w:rsidR="00D73AB3">
        <w:rPr>
          <w:rFonts w:eastAsia="Times New Roman" w:cstheme="minorHAnsi"/>
          <w:b/>
          <w:bCs/>
          <w:sz w:val="20"/>
          <w:szCs w:val="20"/>
          <w:lang w:eastAsia="bg-BG"/>
        </w:rPr>
        <w:t>Промени след въвеждане на Регламент 1370</w:t>
      </w:r>
      <w:bookmarkEnd w:id="55"/>
    </w:p>
    <w:tbl>
      <w:tblPr>
        <w:tblW w:w="9522" w:type="dxa"/>
        <w:tblInd w:w="-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4A0" w:firstRow="1" w:lastRow="0" w:firstColumn="1" w:lastColumn="0" w:noHBand="0" w:noVBand="1"/>
      </w:tblPr>
      <w:tblGrid>
        <w:gridCol w:w="2802"/>
        <w:gridCol w:w="3260"/>
        <w:gridCol w:w="3460"/>
      </w:tblGrid>
      <w:tr w:rsidR="00B52559" w:rsidRPr="00A17302" w:rsidTr="0009491A">
        <w:tc>
          <w:tcPr>
            <w:tcW w:w="2802" w:type="dxa"/>
            <w:shd w:val="clear" w:color="auto" w:fill="0070C0"/>
          </w:tcPr>
          <w:p w:rsidR="00B52559" w:rsidRPr="00A17302" w:rsidRDefault="00B52559" w:rsidP="0009491A">
            <w:pPr>
              <w:spacing w:after="200" w:line="276" w:lineRule="auto"/>
              <w:rPr>
                <w:rFonts w:ascii="Calibri" w:eastAsia="Calibri" w:hAnsi="Calibri" w:cs="Calibri"/>
                <w:color w:val="EEECE1"/>
              </w:rPr>
            </w:pPr>
          </w:p>
        </w:tc>
        <w:tc>
          <w:tcPr>
            <w:tcW w:w="3260" w:type="dxa"/>
            <w:shd w:val="clear" w:color="auto" w:fill="0070C0"/>
          </w:tcPr>
          <w:p w:rsidR="00B52559" w:rsidRPr="00A17302" w:rsidRDefault="00B52559" w:rsidP="0009491A">
            <w:pPr>
              <w:spacing w:after="200" w:line="276" w:lineRule="auto"/>
              <w:jc w:val="center"/>
              <w:rPr>
                <w:rFonts w:ascii="Calibri" w:eastAsia="Calibri" w:hAnsi="Calibri" w:cs="Calibri"/>
                <w:b/>
                <w:color w:val="EEECE1"/>
              </w:rPr>
            </w:pPr>
            <w:r w:rsidRPr="00A17302">
              <w:rPr>
                <w:rFonts w:ascii="Calibri" w:eastAsia="Calibri" w:hAnsi="Calibri" w:cs="Calibri"/>
                <w:b/>
                <w:color w:val="EEECE1"/>
              </w:rPr>
              <w:t>България преди въвеждане на Регламент 1370</w:t>
            </w:r>
          </w:p>
        </w:tc>
        <w:tc>
          <w:tcPr>
            <w:tcW w:w="3460" w:type="dxa"/>
            <w:shd w:val="clear" w:color="auto" w:fill="0070C0"/>
          </w:tcPr>
          <w:p w:rsidR="00B52559" w:rsidRPr="00A17302" w:rsidRDefault="00B52559" w:rsidP="0009491A">
            <w:pPr>
              <w:spacing w:after="200" w:line="276" w:lineRule="auto"/>
              <w:jc w:val="center"/>
              <w:rPr>
                <w:rFonts w:ascii="Calibri" w:eastAsia="Calibri" w:hAnsi="Calibri" w:cs="Calibri"/>
                <w:b/>
                <w:color w:val="EEECE1"/>
              </w:rPr>
            </w:pPr>
            <w:r w:rsidRPr="00A17302">
              <w:rPr>
                <w:rFonts w:ascii="Calibri" w:eastAsia="Calibri" w:hAnsi="Calibri" w:cs="Calibri"/>
                <w:b/>
                <w:color w:val="EEECE1"/>
              </w:rPr>
              <w:t>ЕС</w:t>
            </w:r>
          </w:p>
        </w:tc>
      </w:tr>
      <w:tr w:rsidR="00B52559" w:rsidRPr="00A17302" w:rsidTr="0009491A">
        <w:tc>
          <w:tcPr>
            <w:tcW w:w="2802" w:type="dxa"/>
          </w:tcPr>
          <w:p w:rsidR="00B52559" w:rsidRPr="00A17302" w:rsidRDefault="00B52559" w:rsidP="0009491A">
            <w:pPr>
              <w:spacing w:after="200" w:line="276" w:lineRule="auto"/>
              <w:rPr>
                <w:rFonts w:ascii="Calibri" w:eastAsia="Calibri" w:hAnsi="Calibri" w:cs="Calibri"/>
                <w:b/>
              </w:rPr>
            </w:pPr>
            <w:r w:rsidRPr="00A17302">
              <w:rPr>
                <w:rFonts w:ascii="Calibri" w:eastAsia="Calibri" w:hAnsi="Calibri" w:cs="Calibri"/>
                <w:b/>
              </w:rPr>
              <w:t>Законова рамка</w:t>
            </w:r>
          </w:p>
        </w:tc>
        <w:tc>
          <w:tcPr>
            <w:tcW w:w="3260" w:type="dxa"/>
          </w:tcPr>
          <w:p w:rsidR="00B52559" w:rsidRPr="00A17302" w:rsidRDefault="00B52559" w:rsidP="0009491A">
            <w:pPr>
              <w:spacing w:after="200" w:line="276" w:lineRule="auto"/>
              <w:rPr>
                <w:rFonts w:ascii="Calibri" w:eastAsia="Calibri" w:hAnsi="Calibri" w:cs="Calibri"/>
              </w:rPr>
            </w:pPr>
            <w:r w:rsidRPr="00A17302">
              <w:rPr>
                <w:rFonts w:ascii="Calibri" w:eastAsia="Calibri" w:hAnsi="Calibri" w:cs="Calibri"/>
              </w:rPr>
              <w:t xml:space="preserve">Наредби 2, 3, 33 на МФ и МТИТС </w:t>
            </w:r>
          </w:p>
        </w:tc>
        <w:tc>
          <w:tcPr>
            <w:tcW w:w="3460" w:type="dxa"/>
          </w:tcPr>
          <w:p w:rsidR="00B52559" w:rsidRPr="00A17302" w:rsidRDefault="00B52559" w:rsidP="0009491A">
            <w:pPr>
              <w:spacing w:after="200" w:line="276" w:lineRule="auto"/>
              <w:rPr>
                <w:rFonts w:ascii="Calibri" w:eastAsia="Calibri" w:hAnsi="Calibri" w:cs="Calibri"/>
              </w:rPr>
            </w:pPr>
            <w:r w:rsidRPr="00A17302">
              <w:rPr>
                <w:rFonts w:ascii="Calibri" w:eastAsia="Calibri" w:hAnsi="Calibri" w:cs="Calibri"/>
              </w:rPr>
              <w:t>Регламент 1370/2007</w:t>
            </w:r>
          </w:p>
        </w:tc>
      </w:tr>
      <w:tr w:rsidR="00B52559" w:rsidRPr="00A17302" w:rsidTr="0009491A">
        <w:tc>
          <w:tcPr>
            <w:tcW w:w="2802" w:type="dxa"/>
          </w:tcPr>
          <w:p w:rsidR="00B52559" w:rsidRPr="00A17302" w:rsidRDefault="00B52559" w:rsidP="0009491A">
            <w:pPr>
              <w:spacing w:after="200" w:line="276" w:lineRule="auto"/>
              <w:rPr>
                <w:rFonts w:ascii="Calibri" w:eastAsia="Calibri" w:hAnsi="Calibri" w:cs="Calibri"/>
                <w:b/>
              </w:rPr>
            </w:pPr>
            <w:r w:rsidRPr="00A17302">
              <w:rPr>
                <w:rFonts w:ascii="Calibri" w:eastAsia="Calibri" w:hAnsi="Calibri" w:cs="Calibri"/>
                <w:b/>
              </w:rPr>
              <w:t xml:space="preserve">Конкуренция </w:t>
            </w:r>
          </w:p>
        </w:tc>
        <w:tc>
          <w:tcPr>
            <w:tcW w:w="3260" w:type="dxa"/>
          </w:tcPr>
          <w:p w:rsidR="00B52559" w:rsidRPr="00A17302" w:rsidRDefault="00B52559" w:rsidP="0009491A">
            <w:pPr>
              <w:spacing w:after="200" w:line="276" w:lineRule="auto"/>
              <w:rPr>
                <w:rFonts w:ascii="Calibri" w:eastAsia="Calibri" w:hAnsi="Calibri" w:cs="Calibri"/>
              </w:rPr>
            </w:pPr>
            <w:r w:rsidRPr="00A17302">
              <w:rPr>
                <w:rFonts w:ascii="Calibri" w:eastAsia="Calibri" w:hAnsi="Calibri" w:cs="Calibri"/>
              </w:rPr>
              <w:t>Конкурс</w:t>
            </w:r>
          </w:p>
        </w:tc>
        <w:tc>
          <w:tcPr>
            <w:tcW w:w="3460" w:type="dxa"/>
          </w:tcPr>
          <w:p w:rsidR="00B52559" w:rsidRPr="00A17302" w:rsidRDefault="00B52559" w:rsidP="0009491A">
            <w:pPr>
              <w:spacing w:after="200" w:line="276" w:lineRule="auto"/>
              <w:rPr>
                <w:rFonts w:ascii="Calibri" w:eastAsia="Calibri" w:hAnsi="Calibri" w:cs="Calibri"/>
              </w:rPr>
            </w:pPr>
            <w:r w:rsidRPr="00A17302">
              <w:rPr>
                <w:rFonts w:ascii="Calibri" w:eastAsia="Calibri" w:hAnsi="Calibri" w:cs="Calibri"/>
              </w:rPr>
              <w:t>ДПУ</w:t>
            </w:r>
          </w:p>
        </w:tc>
      </w:tr>
      <w:tr w:rsidR="00B52559" w:rsidRPr="00A17302" w:rsidTr="0009491A">
        <w:tc>
          <w:tcPr>
            <w:tcW w:w="2802" w:type="dxa"/>
          </w:tcPr>
          <w:p w:rsidR="00B52559" w:rsidRPr="00A17302" w:rsidRDefault="00B52559" w:rsidP="0009491A">
            <w:pPr>
              <w:spacing w:after="200" w:line="276" w:lineRule="auto"/>
              <w:rPr>
                <w:rFonts w:ascii="Calibri" w:eastAsia="Calibri" w:hAnsi="Calibri" w:cs="Calibri"/>
                <w:b/>
              </w:rPr>
            </w:pPr>
            <w:r w:rsidRPr="00A17302">
              <w:rPr>
                <w:rFonts w:ascii="Calibri" w:eastAsia="Calibri" w:hAnsi="Calibri" w:cs="Calibri"/>
                <w:b/>
              </w:rPr>
              <w:t>Формиране на приходите</w:t>
            </w:r>
          </w:p>
        </w:tc>
        <w:tc>
          <w:tcPr>
            <w:tcW w:w="3260" w:type="dxa"/>
          </w:tcPr>
          <w:p w:rsidR="00B52559" w:rsidRPr="00A17302" w:rsidRDefault="00B52559" w:rsidP="0009491A">
            <w:pPr>
              <w:spacing w:after="200" w:line="276" w:lineRule="auto"/>
              <w:rPr>
                <w:rFonts w:ascii="Calibri" w:eastAsia="Calibri" w:hAnsi="Calibri" w:cs="Calibri"/>
              </w:rPr>
            </w:pPr>
            <w:r w:rsidRPr="00A17302">
              <w:rPr>
                <w:rFonts w:ascii="Calibri" w:eastAsia="Calibri" w:hAnsi="Calibri" w:cs="Calibri"/>
              </w:rPr>
              <w:t>=Продажба на билети + компенсации &amp; субсидии</w:t>
            </w:r>
          </w:p>
        </w:tc>
        <w:tc>
          <w:tcPr>
            <w:tcW w:w="3460" w:type="dxa"/>
          </w:tcPr>
          <w:p w:rsidR="00B52559" w:rsidRPr="00A17302" w:rsidRDefault="00B52559" w:rsidP="0009491A">
            <w:pPr>
              <w:spacing w:after="200" w:line="276" w:lineRule="auto"/>
              <w:rPr>
                <w:rFonts w:ascii="Calibri" w:eastAsia="Calibri" w:hAnsi="Calibri" w:cs="Calibri"/>
              </w:rPr>
            </w:pPr>
            <w:r w:rsidRPr="00A17302">
              <w:rPr>
                <w:rFonts w:ascii="Calibri" w:eastAsia="Calibri" w:hAnsi="Calibri" w:cs="Calibri"/>
              </w:rPr>
              <w:t>Ставка за км пробег</w:t>
            </w:r>
          </w:p>
        </w:tc>
      </w:tr>
      <w:tr w:rsidR="00B52559" w:rsidRPr="00A17302" w:rsidTr="0009491A">
        <w:tc>
          <w:tcPr>
            <w:tcW w:w="2802" w:type="dxa"/>
          </w:tcPr>
          <w:p w:rsidR="00B52559" w:rsidRPr="00A17302" w:rsidRDefault="00B52559" w:rsidP="0009491A">
            <w:pPr>
              <w:spacing w:after="200" w:line="276" w:lineRule="auto"/>
              <w:rPr>
                <w:rFonts w:ascii="Calibri" w:eastAsia="Calibri" w:hAnsi="Calibri" w:cs="Calibri"/>
                <w:b/>
              </w:rPr>
            </w:pPr>
            <w:r w:rsidRPr="00A17302">
              <w:rPr>
                <w:rFonts w:ascii="Calibri" w:eastAsia="Calibri" w:hAnsi="Calibri" w:cs="Calibri"/>
                <w:b/>
              </w:rPr>
              <w:t>Качество на услугите</w:t>
            </w:r>
          </w:p>
        </w:tc>
        <w:tc>
          <w:tcPr>
            <w:tcW w:w="3260" w:type="dxa"/>
          </w:tcPr>
          <w:p w:rsidR="00B52559" w:rsidRPr="00A17302" w:rsidRDefault="00B52559" w:rsidP="0009491A">
            <w:pPr>
              <w:spacing w:after="200" w:line="276" w:lineRule="auto"/>
              <w:rPr>
                <w:rFonts w:ascii="Calibri" w:eastAsia="Calibri" w:hAnsi="Calibri" w:cs="Calibri"/>
              </w:rPr>
            </w:pPr>
            <w:r w:rsidRPr="00A17302">
              <w:rPr>
                <w:rFonts w:ascii="Calibri" w:eastAsia="Calibri" w:hAnsi="Calibri" w:cs="Calibri"/>
              </w:rPr>
              <w:t>Предимство при конкурсите</w:t>
            </w:r>
          </w:p>
        </w:tc>
        <w:tc>
          <w:tcPr>
            <w:tcW w:w="3460" w:type="dxa"/>
          </w:tcPr>
          <w:p w:rsidR="00B52559" w:rsidRPr="00A17302" w:rsidRDefault="00B52559" w:rsidP="0009491A">
            <w:pPr>
              <w:spacing w:after="200" w:line="276" w:lineRule="auto"/>
              <w:rPr>
                <w:rFonts w:ascii="Calibri" w:eastAsia="Calibri" w:hAnsi="Calibri" w:cs="Calibri"/>
              </w:rPr>
            </w:pPr>
            <w:r w:rsidRPr="00A17302">
              <w:rPr>
                <w:rFonts w:ascii="Calibri" w:eastAsia="Calibri" w:hAnsi="Calibri" w:cs="Calibri"/>
              </w:rPr>
              <w:t>Минимални стандарти за качество</w:t>
            </w:r>
          </w:p>
        </w:tc>
      </w:tr>
    </w:tbl>
    <w:p w:rsidR="00B52559" w:rsidRPr="00A17302" w:rsidRDefault="00B52559" w:rsidP="00B52559">
      <w:pPr>
        <w:spacing w:before="120" w:after="120" w:line="240" w:lineRule="auto"/>
        <w:jc w:val="both"/>
        <w:rPr>
          <w:rFonts w:ascii="Calibri" w:eastAsia="Times New Roman" w:hAnsi="Calibri" w:cs="Calibri"/>
          <w:lang w:eastAsia="fr-FR"/>
        </w:rPr>
      </w:pPr>
      <w:r w:rsidRPr="00A17302">
        <w:rPr>
          <w:rFonts w:ascii="Calibri" w:eastAsia="Times New Roman" w:hAnsi="Calibri" w:cs="Calibri"/>
          <w:lang w:eastAsia="fr-FR"/>
        </w:rPr>
        <w:t>Цената на билета за градския транспорт е основният източник на приходи за транспортните оператори, чрез който те осъществяват своята дейност, в т.ч. извършване на инвестиции в нов подвижен състав или замяна на изпускателните устройства на превозните средства за градски транспорт</w:t>
      </w:r>
      <w:r w:rsidR="00435416">
        <w:rPr>
          <w:rStyle w:val="FootnoteReference"/>
          <w:rFonts w:ascii="Calibri" w:eastAsia="Times New Roman" w:hAnsi="Calibri" w:cs="Calibri"/>
          <w:lang w:eastAsia="fr-FR"/>
        </w:rPr>
        <w:footnoteReference w:id="29"/>
      </w:r>
      <w:r w:rsidRPr="00A17302">
        <w:rPr>
          <w:rFonts w:ascii="Calibri" w:eastAsia="Times New Roman" w:hAnsi="Calibri" w:cs="Calibri"/>
          <w:lang w:eastAsia="fr-FR"/>
        </w:rPr>
        <w:t>.</w:t>
      </w:r>
    </w:p>
    <w:p w:rsidR="00B52559" w:rsidRPr="00A17302" w:rsidRDefault="00B52559" w:rsidP="00B52559">
      <w:pPr>
        <w:spacing w:before="120" w:after="120" w:line="240" w:lineRule="auto"/>
        <w:jc w:val="both"/>
        <w:rPr>
          <w:rFonts w:ascii="Calibri" w:eastAsia="Times New Roman" w:hAnsi="Calibri" w:cs="Calibri"/>
          <w:lang w:eastAsia="fr-FR"/>
        </w:rPr>
      </w:pPr>
      <w:r w:rsidRPr="00A17302">
        <w:rPr>
          <w:rFonts w:ascii="Calibri" w:eastAsia="Times New Roman" w:hAnsi="Calibri" w:cs="Calibri"/>
          <w:lang w:eastAsia="fr-FR"/>
        </w:rPr>
        <w:t>Цената на билета се регулира от общинската админист</w:t>
      </w:r>
      <w:r w:rsidRPr="00A17302">
        <w:rPr>
          <w:rFonts w:ascii="Calibri" w:eastAsia="Times New Roman" w:hAnsi="Calibri" w:cs="Calibri"/>
          <w:lang w:eastAsia="fr-FR"/>
        </w:rPr>
        <w:softHyphen/>
        <w:t>рация. Най-общото цената се променя въз основа на отправено искане от страна на дружеството-оператор, което се разглежда от Общинския съвет, като се взема под внимание и нивото на „социалната поносимост” и възможността за осигуряване на възвръщаемост на средствата на дружеството-превозва</w:t>
      </w:r>
      <w:r w:rsidRPr="00A17302">
        <w:rPr>
          <w:rFonts w:ascii="Calibri" w:eastAsia="Times New Roman" w:hAnsi="Calibri" w:cs="Calibri"/>
          <w:lang w:eastAsia="fr-FR"/>
        </w:rPr>
        <w:softHyphen/>
        <w:t>ч.</w:t>
      </w:r>
    </w:p>
    <w:p w:rsidR="00B52559" w:rsidRPr="00A17302" w:rsidRDefault="00B52559" w:rsidP="00B52559">
      <w:pPr>
        <w:spacing w:before="120" w:after="120" w:line="240" w:lineRule="auto"/>
        <w:jc w:val="both"/>
        <w:rPr>
          <w:rFonts w:ascii="Calibri" w:eastAsia="Times New Roman" w:hAnsi="Calibri" w:cs="Tahoma"/>
          <w:lang w:eastAsia="fr-FR"/>
        </w:rPr>
      </w:pPr>
      <w:r w:rsidRPr="00A17302">
        <w:rPr>
          <w:rFonts w:ascii="Calibri" w:eastAsia="Times New Roman" w:hAnsi="Calibri" w:cs="Calibri"/>
          <w:lang w:eastAsia="fr-FR"/>
        </w:rPr>
        <w:t xml:space="preserve">Всеки оператор следва да генерира приходи, </w:t>
      </w:r>
      <w:r w:rsidRPr="00435416">
        <w:rPr>
          <w:rFonts w:ascii="Calibri" w:eastAsia="Times New Roman" w:hAnsi="Calibri" w:cs="Calibri"/>
          <w:i/>
          <w:lang w:eastAsia="fr-FR"/>
        </w:rPr>
        <w:t xml:space="preserve">в т.ч. </w:t>
      </w:r>
      <w:r w:rsidR="009C459F" w:rsidRPr="00435416">
        <w:rPr>
          <w:rFonts w:ascii="Calibri" w:eastAsia="Times New Roman" w:hAnsi="Calibri" w:cs="Calibri"/>
          <w:i/>
          <w:lang w:eastAsia="fr-FR"/>
        </w:rPr>
        <w:t xml:space="preserve">от реклама и </w:t>
      </w:r>
      <w:r w:rsidRPr="00435416">
        <w:rPr>
          <w:rFonts w:ascii="Calibri" w:eastAsia="Times New Roman" w:hAnsi="Calibri" w:cs="Calibri"/>
          <w:i/>
          <w:lang w:eastAsia="fr-FR"/>
        </w:rPr>
        <w:t>компенсации</w:t>
      </w:r>
      <w:r w:rsidR="00435416">
        <w:rPr>
          <w:rFonts w:ascii="Calibri" w:eastAsia="Times New Roman" w:hAnsi="Calibri" w:cs="Calibri"/>
          <w:lang w:eastAsia="fr-FR"/>
        </w:rPr>
        <w:t>,</w:t>
      </w:r>
      <w:r w:rsidRPr="00A17302">
        <w:rPr>
          <w:rFonts w:ascii="Calibri" w:eastAsia="Times New Roman" w:hAnsi="Calibri" w:cs="Calibri"/>
          <w:lang w:eastAsia="fr-FR"/>
        </w:rPr>
        <w:t xml:space="preserve"> в рамките на разумното ниво на печалба. </w:t>
      </w:r>
      <w:r w:rsidRPr="00A17302">
        <w:rPr>
          <w:rFonts w:ascii="Calibri" w:eastAsia="Times New Roman" w:hAnsi="Calibri" w:cs="Calibri"/>
          <w:bCs/>
          <w:lang w:eastAsia="fr-FR"/>
        </w:rPr>
        <w:t xml:space="preserve">Под „разумна печалба“ трябва да се разбира степен на възвръщаемост на капитала, която е нормална за сектора в дадена държава-членка и отчита </w:t>
      </w:r>
      <w:r w:rsidRPr="00A17302">
        <w:rPr>
          <w:rFonts w:ascii="Calibri" w:eastAsia="Times New Roman" w:hAnsi="Calibri" w:cs="Calibri"/>
          <w:bCs/>
          <w:lang w:eastAsia="fr-FR"/>
        </w:rPr>
        <w:lastRenderedPageBreak/>
        <w:t xml:space="preserve">риска, или липсата на риск, на който е изложен операторът на обществени услуги вследствие намесата на обществения орган. </w:t>
      </w:r>
      <w:r w:rsidRPr="00A17302">
        <w:rPr>
          <w:rFonts w:ascii="Calibri" w:eastAsia="Times New Roman" w:hAnsi="Calibri" w:cs="Tahoma"/>
          <w:lang w:eastAsia="fr-FR"/>
        </w:rPr>
        <w:t>В България за степен на възвращаемост на капитала, която е нормална за сектора се считат 5% в съответствие с разпоредбите на Наредба № 3/04.04.2005 г. на Министерство на финансите за условията и реда за предоставяне на средства за субсидиране на превоза на пътниците по нерентабилни автобусни линии във вътрешноградския транспорт и транспорта в планински и други райони.</w:t>
      </w:r>
    </w:p>
    <w:p w:rsidR="00B52559" w:rsidRDefault="00B52559" w:rsidP="00B52559">
      <w:pPr>
        <w:spacing w:before="120" w:after="120" w:line="240" w:lineRule="auto"/>
        <w:jc w:val="both"/>
        <w:rPr>
          <w:rFonts w:ascii="Calibri" w:eastAsia="Times New Roman" w:hAnsi="Calibri" w:cs="Tahoma"/>
          <w:lang w:eastAsia="fr-FR"/>
        </w:rPr>
      </w:pPr>
      <w:r w:rsidRPr="00A17302">
        <w:rPr>
          <w:rFonts w:ascii="Calibri" w:eastAsia="Times New Roman" w:hAnsi="Calibri" w:cs="Tahoma"/>
          <w:lang w:eastAsia="fr-FR"/>
        </w:rPr>
        <w:t>Тази регулация на пазара води до ограничен финансов ресурс за инвестиции от страна на обществените превозвачи.</w:t>
      </w:r>
    </w:p>
    <w:p w:rsidR="00435416" w:rsidRDefault="00435416" w:rsidP="00B52559">
      <w:pPr>
        <w:spacing w:before="120" w:after="120" w:line="240" w:lineRule="auto"/>
        <w:jc w:val="both"/>
        <w:rPr>
          <w:rFonts w:ascii="Calibri" w:eastAsia="Times New Roman" w:hAnsi="Calibri" w:cs="Tahoma"/>
          <w:lang w:eastAsia="fr-FR"/>
        </w:rPr>
      </w:pPr>
      <w:r>
        <w:rPr>
          <w:rFonts w:ascii="Calibri" w:eastAsia="Times New Roman" w:hAnsi="Calibri" w:cs="Tahoma"/>
          <w:lang w:eastAsia="fr-FR"/>
        </w:rPr>
        <w:t>В допълнение към описаното до тук, следва да бъде отбелязано, че за сектор Въздух като цяло липсват задълбочени анализи и информация</w:t>
      </w:r>
      <w:r w:rsidR="00441B0A">
        <w:rPr>
          <w:rFonts w:ascii="Calibri" w:eastAsia="Times New Roman" w:hAnsi="Calibri" w:cs="Tahoma"/>
          <w:lang w:eastAsia="fr-FR"/>
        </w:rPr>
        <w:t xml:space="preserve"> като част от националните планове и програми</w:t>
      </w:r>
      <w:r>
        <w:rPr>
          <w:rFonts w:ascii="Calibri" w:eastAsia="Times New Roman" w:hAnsi="Calibri" w:cs="Tahoma"/>
          <w:lang w:eastAsia="fr-FR"/>
        </w:rPr>
        <w:t>, въз основа на които да се направи адекватна оценка на проблемите и пазара. Това е една съществена слабост, която следва да бъде отчетена през новия програмен период</w:t>
      </w:r>
      <w:r w:rsidR="00B47554">
        <w:rPr>
          <w:rFonts w:ascii="Calibri" w:eastAsia="Times New Roman" w:hAnsi="Calibri" w:cs="Tahoma"/>
          <w:lang w:eastAsia="fr-FR"/>
        </w:rPr>
        <w:t xml:space="preserve"> и която би могла да се адресира по подходящ начин чрез изпълнението на мерки с акцент върху информираността и създаване и насърчаване на поведение у институциите и обществото за опазване качеството на атмосферния въздух</w:t>
      </w:r>
      <w:r w:rsidR="00B47554">
        <w:rPr>
          <w:rStyle w:val="FootnoteReference"/>
          <w:rFonts w:ascii="Calibri" w:eastAsia="Times New Roman" w:hAnsi="Calibri" w:cs="Tahoma"/>
          <w:lang w:eastAsia="fr-FR"/>
        </w:rPr>
        <w:footnoteReference w:id="30"/>
      </w:r>
      <w:r w:rsidR="00B47554">
        <w:rPr>
          <w:rFonts w:ascii="Calibri" w:eastAsia="Times New Roman" w:hAnsi="Calibri" w:cs="Tahoma"/>
          <w:lang w:eastAsia="fr-FR"/>
        </w:rPr>
        <w:t>.</w:t>
      </w:r>
    </w:p>
    <w:p w:rsidR="00435416" w:rsidRPr="00A17302" w:rsidRDefault="00435416" w:rsidP="00B52559">
      <w:pPr>
        <w:spacing w:before="120" w:after="120" w:line="240" w:lineRule="auto"/>
        <w:jc w:val="both"/>
        <w:rPr>
          <w:rFonts w:ascii="Calibri" w:eastAsia="Times New Roman" w:hAnsi="Calibri" w:cs="Tahoma"/>
          <w:lang w:eastAsia="fr-FR"/>
        </w:rPr>
      </w:pPr>
    </w:p>
    <w:p w:rsidR="00A17302" w:rsidRPr="00A17302" w:rsidRDefault="00A17302" w:rsidP="0074378F">
      <w:pPr>
        <w:keepNext/>
        <w:keepLines/>
        <w:spacing w:before="120" w:after="120"/>
        <w:jc w:val="both"/>
        <w:outlineLvl w:val="2"/>
        <w:rPr>
          <w:rFonts w:ascii="Calibri" w:eastAsia="Calibri" w:hAnsi="Calibri" w:cs="Times New Roman"/>
          <w:color w:val="243F60"/>
          <w:sz w:val="24"/>
          <w:szCs w:val="24"/>
        </w:rPr>
      </w:pPr>
      <w:bookmarkStart w:id="56" w:name="_Toc399494523"/>
      <w:r w:rsidRPr="00A17302">
        <w:rPr>
          <w:rFonts w:ascii="Calibri" w:eastAsia="Calibri" w:hAnsi="Calibri" w:cs="Times New Roman"/>
          <w:color w:val="243F60"/>
          <w:sz w:val="24"/>
          <w:szCs w:val="24"/>
        </w:rPr>
        <w:t>1.3.2. Идентифициране на съществуващите проблеми на пазара в сектор Въздух в България</w:t>
      </w:r>
      <w:bookmarkEnd w:id="56"/>
    </w:p>
    <w:p w:rsidR="00A17302" w:rsidRPr="00A17302" w:rsidRDefault="00B47554" w:rsidP="00A17302">
      <w:pPr>
        <w:spacing w:before="120" w:after="120" w:line="240" w:lineRule="auto"/>
        <w:jc w:val="both"/>
        <w:rPr>
          <w:rFonts w:ascii="Calibri" w:eastAsia="Calibri" w:hAnsi="Calibri" w:cs="Calibri"/>
          <w:bCs/>
          <w:lang w:eastAsia="bg-BG"/>
        </w:rPr>
      </w:pPr>
      <w:r>
        <w:rPr>
          <w:rFonts w:ascii="Calibri" w:eastAsia="Calibri" w:hAnsi="Calibri" w:cs="Calibri"/>
          <w:bCs/>
          <w:lang w:eastAsia="bg-BG"/>
        </w:rPr>
        <w:t>Както бе споменато и по-горе, п</w:t>
      </w:r>
      <w:r w:rsidR="00A17302" w:rsidRPr="00A17302">
        <w:rPr>
          <w:rFonts w:ascii="Calibri" w:eastAsia="Calibri" w:hAnsi="Calibri" w:cs="Calibri"/>
          <w:bCs/>
          <w:lang w:eastAsia="bg-BG"/>
        </w:rPr>
        <w:t xml:space="preserve">роблемите в големите градове свързани с недобро качество на атмосферния въздух се дължат на интензивен автомобилен трафик и задръствания, </w:t>
      </w:r>
      <w:r w:rsidR="00217A8F">
        <w:rPr>
          <w:rFonts w:ascii="Calibri" w:eastAsia="Calibri" w:hAnsi="Calibri" w:cs="Calibri"/>
          <w:bCs/>
          <w:lang w:eastAsia="bg-BG"/>
        </w:rPr>
        <w:t>които причиняват и вторично разпрашаване и повишаване нивото на ФПЧ във въздуха</w:t>
      </w:r>
      <w:r w:rsidR="00A17302" w:rsidRPr="00A17302">
        <w:rPr>
          <w:rFonts w:ascii="Calibri" w:eastAsia="Calibri" w:hAnsi="Calibri" w:cs="Calibri"/>
          <w:bCs/>
          <w:lang w:eastAsia="bg-BG"/>
        </w:rPr>
        <w:t>. Това е посочено като едно от големите предизвикателства, пред които са изправени големите градове в Националната стратегия за околна среда</w:t>
      </w:r>
      <w:r w:rsidR="00A17302" w:rsidRPr="00A17302">
        <w:rPr>
          <w:rFonts w:ascii="Calibri" w:eastAsia="Calibri" w:hAnsi="Calibri" w:cs="Calibri"/>
          <w:bCs/>
          <w:vertAlign w:val="superscript"/>
          <w:lang w:eastAsia="bg-BG"/>
        </w:rPr>
        <w:footnoteReference w:id="31"/>
      </w:r>
      <w:r w:rsidR="00A17302" w:rsidRPr="00A17302">
        <w:rPr>
          <w:rFonts w:ascii="Calibri" w:eastAsia="Calibri" w:hAnsi="Calibri" w:cs="Calibri"/>
          <w:bCs/>
          <w:lang w:eastAsia="bg-BG"/>
        </w:rPr>
        <w:t xml:space="preserve">. Тези проблеми са свързани с начина на живот, бита, навика да се ползват лични автомобили, засиленото консумиране на ресурси и др. Те са пряко свързани и с индустриалната дейност и транспорта като цяло. </w:t>
      </w:r>
    </w:p>
    <w:p w:rsidR="000B5443" w:rsidRDefault="00A17302" w:rsidP="00A17302">
      <w:pPr>
        <w:spacing w:before="120" w:after="120" w:line="240" w:lineRule="auto"/>
        <w:jc w:val="both"/>
        <w:rPr>
          <w:rFonts w:ascii="Calibri" w:eastAsia="Calibri" w:hAnsi="Calibri" w:cs="Calibri"/>
          <w:bCs/>
          <w:vertAlign w:val="superscript"/>
          <w:lang w:eastAsia="bg-BG"/>
        </w:rPr>
      </w:pPr>
      <w:r w:rsidRPr="00A17302">
        <w:rPr>
          <w:rFonts w:ascii="Calibri" w:eastAsia="Calibri" w:hAnsi="Calibri" w:cs="Calibri"/>
          <w:bCs/>
          <w:lang w:eastAsia="bg-BG"/>
        </w:rPr>
        <w:t>Според Националната програма за действие по околна среда 2008 – 2013 г., проблем за цялата страна все още е замърсяването с общ суспендиран прах и фини прахови частици (ФПЧ), нивата на които в повечето населени места са около или над установените норми, съответно за пределно допустими концентрации на общ прах и за съдържание на ФПЧ в атмосферния въздух</w:t>
      </w:r>
      <w:r w:rsidRPr="00A17302">
        <w:rPr>
          <w:rFonts w:ascii="Calibri" w:eastAsia="Calibri" w:hAnsi="Calibri" w:cs="Calibri"/>
          <w:bCs/>
          <w:sz w:val="24"/>
          <w:vertAlign w:val="superscript"/>
          <w:lang w:eastAsia="bg-BG"/>
        </w:rPr>
        <w:footnoteReference w:id="32"/>
      </w:r>
      <w:r w:rsidRPr="00A17302">
        <w:rPr>
          <w:rFonts w:ascii="Calibri" w:eastAsia="Calibri" w:hAnsi="Calibri" w:cs="Calibri"/>
          <w:bCs/>
          <w:lang w:eastAsia="bg-BG"/>
        </w:rPr>
        <w:t>.</w:t>
      </w:r>
      <w:r w:rsidRPr="00A17302">
        <w:rPr>
          <w:rFonts w:ascii="Calibri" w:eastAsia="Calibri" w:hAnsi="Calibri" w:cs="Calibri"/>
          <w:bCs/>
          <w:vertAlign w:val="superscript"/>
          <w:lang w:eastAsia="bg-BG"/>
        </w:rPr>
        <w:t xml:space="preserve"> </w:t>
      </w:r>
      <w:r w:rsidR="000B5443">
        <w:rPr>
          <w:rFonts w:ascii="Calibri" w:eastAsia="Calibri" w:hAnsi="Calibri" w:cs="Calibri"/>
          <w:bCs/>
          <w:vertAlign w:val="superscript"/>
          <w:lang w:eastAsia="bg-BG"/>
        </w:rPr>
        <w:t xml:space="preserve"> </w:t>
      </w:r>
    </w:p>
    <w:p w:rsidR="000B5443" w:rsidRDefault="00A17302" w:rsidP="00A17302">
      <w:pPr>
        <w:spacing w:before="120" w:after="120" w:line="240" w:lineRule="auto"/>
        <w:jc w:val="both"/>
        <w:rPr>
          <w:rFonts w:ascii="Calibri" w:eastAsia="Calibri" w:hAnsi="Calibri" w:cs="Calibri"/>
          <w:bCs/>
          <w:vertAlign w:val="superscript"/>
          <w:lang w:eastAsia="bg-BG"/>
        </w:rPr>
      </w:pPr>
      <w:r w:rsidRPr="00A17302">
        <w:rPr>
          <w:rFonts w:ascii="Calibri" w:eastAsia="Calibri" w:hAnsi="Calibri" w:cs="Calibri"/>
          <w:bCs/>
          <w:lang w:eastAsia="bg-BG"/>
        </w:rPr>
        <w:t>Програмата отчита</w:t>
      </w:r>
      <w:r w:rsidR="00B47554">
        <w:rPr>
          <w:rFonts w:ascii="Calibri" w:eastAsia="Calibri" w:hAnsi="Calibri" w:cs="Calibri"/>
          <w:bCs/>
          <w:lang w:eastAsia="bg-BG"/>
        </w:rPr>
        <w:t xml:space="preserve"> също</w:t>
      </w:r>
      <w:r w:rsidRPr="00A17302">
        <w:rPr>
          <w:rFonts w:ascii="Calibri" w:eastAsia="Calibri" w:hAnsi="Calibri" w:cs="Calibri"/>
          <w:bCs/>
          <w:lang w:eastAsia="bg-BG"/>
        </w:rPr>
        <w:t>, че през последните години съществено намалява съдържанието на серен диоксид в атмосферния въздух особено след 2000</w:t>
      </w:r>
      <w:r w:rsidR="000F1B8D">
        <w:rPr>
          <w:rFonts w:ascii="Calibri" w:eastAsia="Calibri" w:hAnsi="Calibri" w:cs="Calibri"/>
          <w:bCs/>
          <w:lang w:eastAsia="bg-BG"/>
        </w:rPr>
        <w:t xml:space="preserve">-та </w:t>
      </w:r>
      <w:r w:rsidRPr="00A17302">
        <w:rPr>
          <w:rFonts w:ascii="Calibri" w:eastAsia="Calibri" w:hAnsi="Calibri" w:cs="Calibri"/>
          <w:bCs/>
          <w:lang w:eastAsia="bg-BG"/>
        </w:rPr>
        <w:t>г., но не са изключени случаи на превишаване на допустимите норми в отделни райони</w:t>
      </w:r>
      <w:r w:rsidRPr="00A17302">
        <w:rPr>
          <w:rFonts w:ascii="Calibri" w:eastAsia="Calibri" w:hAnsi="Calibri" w:cs="Calibri"/>
          <w:bCs/>
          <w:sz w:val="24"/>
          <w:vertAlign w:val="superscript"/>
          <w:lang w:eastAsia="bg-BG"/>
        </w:rPr>
        <w:footnoteReference w:id="33"/>
      </w:r>
      <w:r w:rsidRPr="00A17302">
        <w:rPr>
          <w:rFonts w:ascii="Calibri" w:eastAsia="Calibri" w:hAnsi="Calibri" w:cs="Calibri"/>
          <w:bCs/>
          <w:lang w:eastAsia="bg-BG"/>
        </w:rPr>
        <w:t>.</w:t>
      </w:r>
      <w:r w:rsidRPr="00A17302">
        <w:rPr>
          <w:rFonts w:ascii="Calibri" w:eastAsia="Calibri" w:hAnsi="Calibri" w:cs="Calibri"/>
          <w:bCs/>
          <w:vertAlign w:val="superscript"/>
          <w:lang w:eastAsia="bg-BG"/>
        </w:rPr>
        <w:t xml:space="preserve"> </w:t>
      </w:r>
    </w:p>
    <w:p w:rsidR="00A17302" w:rsidRPr="00A17302" w:rsidRDefault="00A17302" w:rsidP="00A17302">
      <w:pPr>
        <w:spacing w:before="120" w:after="120" w:line="240" w:lineRule="auto"/>
        <w:jc w:val="both"/>
        <w:rPr>
          <w:rFonts w:ascii="Calibri" w:eastAsia="Calibri" w:hAnsi="Calibri" w:cs="Calibri"/>
          <w:bCs/>
          <w:lang w:eastAsia="bg-BG"/>
        </w:rPr>
      </w:pPr>
      <w:r w:rsidRPr="00A17302">
        <w:rPr>
          <w:rFonts w:ascii="Calibri" w:eastAsia="Calibri" w:hAnsi="Calibri" w:cs="Calibri"/>
          <w:bCs/>
          <w:lang w:eastAsia="bg-BG"/>
        </w:rPr>
        <w:t>Конкретен посочен проблем е тенденцията към увеличаване съдържанието на азотен диоксид в атмосферния въздух на големите населени места, което е свързано с нарастване броя и ползването на личните моторни превозни средства. Към приноса на транспорта, в повечето случаи, освен емисиите от двигателите на моторни</w:t>
      </w:r>
      <w:r w:rsidR="006D4B24">
        <w:rPr>
          <w:rFonts w:ascii="Calibri" w:eastAsia="Calibri" w:hAnsi="Calibri" w:cs="Calibri"/>
          <w:bCs/>
          <w:lang w:eastAsia="bg-BG"/>
        </w:rPr>
        <w:t>те превозни средства се отчитат</w:t>
      </w:r>
      <w:r w:rsidRPr="00A17302">
        <w:rPr>
          <w:rFonts w:ascii="Calibri" w:eastAsia="Calibri" w:hAnsi="Calibri" w:cs="Calibri"/>
          <w:bCs/>
          <w:lang w:eastAsia="bg-BG"/>
        </w:rPr>
        <w:t xml:space="preserve"> и емисиите на ФПЧ</w:t>
      </w:r>
      <w:r w:rsidRPr="00A17302">
        <w:rPr>
          <w:rFonts w:ascii="Calibri" w:eastAsia="Calibri" w:hAnsi="Calibri" w:cs="Calibri"/>
          <w:bCs/>
          <w:vertAlign w:val="subscript"/>
          <w:lang w:eastAsia="bg-BG"/>
        </w:rPr>
        <w:t>10</w:t>
      </w:r>
      <w:r w:rsidRPr="00A17302">
        <w:rPr>
          <w:rFonts w:ascii="Calibri" w:eastAsia="Calibri" w:hAnsi="Calibri" w:cs="Calibri"/>
          <w:bCs/>
          <w:lang w:eastAsia="bg-BG"/>
        </w:rPr>
        <w:t xml:space="preserve"> от унос на прахови частици от пътните настилки (т.н. вторично разпрашаване).</w:t>
      </w:r>
    </w:p>
    <w:p w:rsidR="00A17302" w:rsidRPr="00A17302" w:rsidRDefault="00A17302" w:rsidP="00A17302">
      <w:pPr>
        <w:spacing w:before="120" w:after="120" w:line="240" w:lineRule="auto"/>
        <w:jc w:val="both"/>
        <w:rPr>
          <w:rFonts w:ascii="Calibri" w:eastAsia="Calibri" w:hAnsi="Calibri" w:cs="Calibri"/>
          <w:bCs/>
          <w:lang w:eastAsia="bg-BG"/>
        </w:rPr>
      </w:pPr>
      <w:r w:rsidRPr="00A17302">
        <w:rPr>
          <w:rFonts w:ascii="Calibri" w:eastAsia="Calibri" w:hAnsi="Calibri" w:cs="Calibri"/>
          <w:bCs/>
          <w:lang w:eastAsia="bg-BG"/>
        </w:rPr>
        <w:lastRenderedPageBreak/>
        <w:t>Предвид посочените проблеми, намаляването на емисиите на парникови газове, емисиите на озонови прекурсори и прахови частици от транспортна дейност са едно от големите предизвикателства пред градовете.</w:t>
      </w:r>
    </w:p>
    <w:p w:rsidR="00A17302" w:rsidRPr="00A17302" w:rsidRDefault="00A17302" w:rsidP="00A17302">
      <w:pPr>
        <w:spacing w:before="120" w:after="120" w:line="240" w:lineRule="auto"/>
        <w:jc w:val="both"/>
        <w:rPr>
          <w:rFonts w:ascii="Calibri" w:eastAsia="Calibri" w:hAnsi="Calibri" w:cs="Calibri"/>
          <w:bCs/>
          <w:lang w:eastAsia="bg-BG"/>
        </w:rPr>
      </w:pPr>
      <w:r w:rsidRPr="00A17302">
        <w:rPr>
          <w:rFonts w:ascii="Calibri" w:eastAsia="Calibri" w:hAnsi="Calibri" w:cs="Calibri"/>
          <w:bCs/>
          <w:lang w:eastAsia="bg-BG"/>
        </w:rPr>
        <w:t>Друг източник на замърсяване на въздуха с ФЧП е битовото отопление на дърва и въглища през зимата. Данните от пунктовете за измерване съдържанието на въздуха показват, че при еднакви други условия, като се включат транспорта и индустрията, през шестте летни месеци замърсяването е в нормите, но през зимата надвишават понякога многократно допустимите стойности.</w:t>
      </w:r>
    </w:p>
    <w:p w:rsidR="00A17302" w:rsidRPr="00A17302" w:rsidRDefault="00A17302" w:rsidP="00A17302">
      <w:pPr>
        <w:spacing w:before="120" w:after="120" w:line="240" w:lineRule="auto"/>
        <w:jc w:val="both"/>
        <w:rPr>
          <w:rFonts w:ascii="Calibri" w:eastAsia="Calibri" w:hAnsi="Calibri" w:cs="Calibri"/>
          <w:bCs/>
          <w:lang w:eastAsia="bg-BG"/>
        </w:rPr>
      </w:pPr>
      <w:r w:rsidRPr="00A17302">
        <w:rPr>
          <w:rFonts w:ascii="Calibri" w:eastAsia="Calibri" w:hAnsi="Calibri" w:cs="Calibri"/>
          <w:bCs/>
          <w:lang w:eastAsia="bg-BG"/>
        </w:rPr>
        <w:t>Със справянето на посочените проблеми в сектора са натоварени общините, които не разполагат с достатъчно финансов ресурс за инвестиции в опазването на околната среда и в частност повишаване КАВ, а тяхната роля към момента се свежда основно до разработване на Програми за намаляване нивата на замърсителите на атмосферния въздух (задължение, произтичащо от закона).</w:t>
      </w:r>
    </w:p>
    <w:p w:rsidR="00A17302" w:rsidRPr="00A17302" w:rsidRDefault="0066481F" w:rsidP="0066481F">
      <w:pPr>
        <w:spacing w:after="200" w:line="276" w:lineRule="auto"/>
        <w:jc w:val="both"/>
        <w:rPr>
          <w:rFonts w:ascii="Calibri" w:eastAsia="Calibri" w:hAnsi="Calibri" w:cs="Calibri"/>
          <w:bCs/>
          <w:lang w:eastAsia="bg-BG"/>
        </w:rPr>
      </w:pPr>
      <w:r>
        <w:rPr>
          <w:rFonts w:ascii="Calibri" w:eastAsia="Calibri" w:hAnsi="Calibri" w:cs="Calibri"/>
          <w:bCs/>
          <w:lang w:eastAsia="bg-BG"/>
        </w:rPr>
        <w:t>В</w:t>
      </w:r>
      <w:r w:rsidRPr="00BA6C4D">
        <w:rPr>
          <w:rFonts w:ascii="Calibri" w:eastAsia="Calibri" w:hAnsi="Calibri" w:cs="Calibri"/>
          <w:bCs/>
          <w:lang w:eastAsia="bg-BG"/>
        </w:rPr>
        <w:t xml:space="preserve"> сектор Въздух ОПОС 2014-2020 г. </w:t>
      </w:r>
      <w:r w:rsidRPr="00691CF9">
        <w:rPr>
          <w:rFonts w:ascii="Calibri" w:eastAsia="Calibri" w:hAnsi="Calibri" w:cs="Calibri"/>
          <w:bCs/>
          <w:lang w:eastAsia="bg-BG"/>
        </w:rPr>
        <w:t xml:space="preserve">предвижда </w:t>
      </w:r>
      <w:r>
        <w:rPr>
          <w:rFonts w:ascii="Calibri" w:eastAsia="Calibri" w:hAnsi="Calibri" w:cs="Calibri"/>
          <w:bCs/>
          <w:lang w:eastAsia="bg-BG"/>
        </w:rPr>
        <w:t>мерки за</w:t>
      </w:r>
      <w:r w:rsidRPr="00BA6C4D">
        <w:rPr>
          <w:rFonts w:ascii="Calibri" w:eastAsia="Calibri" w:hAnsi="Calibri" w:cs="Calibri"/>
          <w:bCs/>
          <w:lang w:eastAsia="bg-BG"/>
        </w:rPr>
        <w:t xml:space="preserve"> намаляване замърсяването от транспортния сектор</w:t>
      </w:r>
      <w:r>
        <w:rPr>
          <w:rFonts w:ascii="Calibri" w:eastAsia="Calibri" w:hAnsi="Calibri" w:cs="Calibri"/>
          <w:bCs/>
          <w:lang w:eastAsia="bg-BG"/>
        </w:rPr>
        <w:t xml:space="preserve">, поради което </w:t>
      </w:r>
      <w:r w:rsidR="00A17302" w:rsidRPr="00A17302">
        <w:rPr>
          <w:rFonts w:ascii="Calibri" w:eastAsia="Calibri" w:hAnsi="Calibri" w:cs="Calibri"/>
          <w:bCs/>
          <w:lang w:eastAsia="bg-BG"/>
        </w:rPr>
        <w:t xml:space="preserve">по-долу анализът </w:t>
      </w:r>
      <w:r w:rsidR="00B47554">
        <w:rPr>
          <w:rFonts w:ascii="Calibri" w:eastAsia="Calibri" w:hAnsi="Calibri" w:cs="Calibri"/>
          <w:bCs/>
          <w:lang w:eastAsia="bg-BG"/>
        </w:rPr>
        <w:t xml:space="preserve">на пазарните неуспехи </w:t>
      </w:r>
      <w:r w:rsidR="00A17302" w:rsidRPr="00A17302">
        <w:rPr>
          <w:rFonts w:ascii="Calibri" w:eastAsia="Calibri" w:hAnsi="Calibri" w:cs="Calibri"/>
          <w:bCs/>
          <w:lang w:eastAsia="bg-BG"/>
        </w:rPr>
        <w:t>разглежда само връзката на сектор Въздух с Транспортния сектор</w:t>
      </w:r>
      <w:r>
        <w:rPr>
          <w:rFonts w:ascii="Calibri" w:eastAsia="Calibri" w:hAnsi="Calibri" w:cs="Calibri"/>
          <w:bCs/>
          <w:lang w:eastAsia="bg-BG"/>
        </w:rPr>
        <w:t xml:space="preserve"> и по-специално, приложимостта на финансовите инструменти за мерките, включени в ПО5 на ОПОС.</w:t>
      </w:r>
    </w:p>
    <w:p w:rsidR="00A17302" w:rsidRPr="00A17302" w:rsidRDefault="00A17302" w:rsidP="00A17302">
      <w:pPr>
        <w:spacing w:before="120" w:after="120" w:line="240" w:lineRule="auto"/>
        <w:jc w:val="both"/>
        <w:rPr>
          <w:rFonts w:ascii="Calibri" w:eastAsia="Calibri" w:hAnsi="Calibri" w:cs="Calibri"/>
          <w:bCs/>
          <w:lang w:eastAsia="bg-BG"/>
        </w:rPr>
      </w:pPr>
      <w:r w:rsidRPr="00A17302">
        <w:rPr>
          <w:rFonts w:ascii="Calibri" w:eastAsia="Calibri" w:hAnsi="Calibri" w:cs="Calibri"/>
          <w:bCs/>
          <w:lang w:eastAsia="bg-BG"/>
        </w:rPr>
        <w:t>Съгласно методология за предварителна оценка на финансовите инструменти, причините за пазарните неуспехи могат да бъдат различни. Базирайки се на примерите, дадени в методологически документи, проблемите и основните причини за тяхното възникване могат да бъдат дефинирани както следва:</w:t>
      </w:r>
    </w:p>
    <w:p w:rsidR="00A17302" w:rsidRPr="00A17302" w:rsidRDefault="00A17302" w:rsidP="00A17302">
      <w:pPr>
        <w:spacing w:before="120" w:after="120" w:line="240" w:lineRule="auto"/>
        <w:jc w:val="both"/>
        <w:rPr>
          <w:rFonts w:ascii="Calibri" w:eastAsia="Calibri" w:hAnsi="Calibri" w:cs="Calibri"/>
          <w:bCs/>
          <w:lang w:eastAsia="bg-BG"/>
        </w:rPr>
        <w:sectPr w:rsidR="00A17302" w:rsidRPr="00A17302" w:rsidSect="006E39EC">
          <w:pgSz w:w="11906" w:h="16838"/>
          <w:pgMar w:top="1985" w:right="1417" w:bottom="1134" w:left="1417" w:header="284" w:footer="247" w:gutter="0"/>
          <w:cols w:space="708"/>
          <w:titlePg/>
          <w:docGrid w:linePitch="360"/>
        </w:sectPr>
      </w:pPr>
    </w:p>
    <w:p w:rsidR="00A17302" w:rsidRDefault="00A17302" w:rsidP="00A17302">
      <w:pPr>
        <w:spacing w:before="120" w:after="120" w:line="240" w:lineRule="auto"/>
        <w:jc w:val="both"/>
        <w:rPr>
          <w:rFonts w:ascii="Calibri" w:eastAsia="Calibri" w:hAnsi="Calibri" w:cs="Calibri"/>
          <w:bCs/>
          <w:lang w:eastAsia="bg-BG"/>
        </w:rPr>
      </w:pPr>
    </w:p>
    <w:tbl>
      <w:tblPr>
        <w:tblStyle w:val="MediumGrid3-Accent51"/>
        <w:tblW w:w="14829" w:type="dxa"/>
        <w:tblLook w:val="04A0" w:firstRow="1" w:lastRow="0" w:firstColumn="1" w:lastColumn="0" w:noHBand="0" w:noVBand="1"/>
      </w:tblPr>
      <w:tblGrid>
        <w:gridCol w:w="2497"/>
        <w:gridCol w:w="3423"/>
        <w:gridCol w:w="4961"/>
        <w:gridCol w:w="3948"/>
      </w:tblGrid>
      <w:tr w:rsidR="00A517A8" w:rsidRPr="00487D88" w:rsidTr="00B4755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497" w:type="dxa"/>
          </w:tcPr>
          <w:p w:rsidR="00A517A8" w:rsidRPr="00487D88" w:rsidRDefault="00A517A8" w:rsidP="002336AD">
            <w:pPr>
              <w:spacing w:before="120" w:after="120"/>
              <w:jc w:val="center"/>
              <w:rPr>
                <w:rFonts w:eastAsia="Calibri" w:cstheme="minorHAnsi"/>
                <w:lang w:eastAsia="bg-BG"/>
              </w:rPr>
            </w:pPr>
            <w:r w:rsidRPr="00487D88">
              <w:rPr>
                <w:rFonts w:eastAsia="Calibri" w:cstheme="minorHAnsi"/>
                <w:lang w:eastAsia="bg-BG"/>
              </w:rPr>
              <w:t>Пазарен неуспех</w:t>
            </w:r>
          </w:p>
        </w:tc>
        <w:tc>
          <w:tcPr>
            <w:tcW w:w="3423" w:type="dxa"/>
          </w:tcPr>
          <w:p w:rsidR="00A517A8" w:rsidRPr="00487D88" w:rsidRDefault="00A517A8" w:rsidP="002336AD">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Дефиниция</w:t>
            </w:r>
          </w:p>
        </w:tc>
        <w:tc>
          <w:tcPr>
            <w:tcW w:w="4961" w:type="dxa"/>
          </w:tcPr>
          <w:p w:rsidR="00A517A8" w:rsidRPr="00487D88" w:rsidRDefault="00A517A8" w:rsidP="002336AD">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Обосновка</w:t>
            </w:r>
          </w:p>
        </w:tc>
        <w:tc>
          <w:tcPr>
            <w:tcW w:w="3948" w:type="dxa"/>
          </w:tcPr>
          <w:p w:rsidR="00A517A8" w:rsidRPr="00487D88" w:rsidRDefault="00A517A8" w:rsidP="002336AD">
            <w:pPr>
              <w:spacing w:before="120"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lang w:eastAsia="bg-BG"/>
              </w:rPr>
            </w:pPr>
            <w:r w:rsidRPr="00487D88">
              <w:rPr>
                <w:rFonts w:eastAsia="Calibri" w:cstheme="minorHAnsi"/>
                <w:lang w:eastAsia="bg-BG"/>
              </w:rPr>
              <w:t>Резултат</w:t>
            </w:r>
          </w:p>
        </w:tc>
      </w:tr>
      <w:tr w:rsidR="00A517A8" w:rsidRPr="00487D88" w:rsidTr="00B47554">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14829" w:type="dxa"/>
            <w:gridSpan w:val="4"/>
          </w:tcPr>
          <w:p w:rsidR="00A517A8" w:rsidRPr="00487D88" w:rsidRDefault="00A517A8" w:rsidP="002336AD">
            <w:pPr>
              <w:widowControl w:val="0"/>
              <w:autoSpaceDE w:val="0"/>
              <w:autoSpaceDN w:val="0"/>
              <w:adjustRightInd w:val="0"/>
              <w:spacing w:before="240"/>
              <w:ind w:right="64"/>
              <w:jc w:val="center"/>
              <w:rPr>
                <w:rFonts w:eastAsia="Calibri" w:cstheme="minorHAnsi"/>
                <w:spacing w:val="1"/>
              </w:rPr>
            </w:pPr>
            <w:r>
              <w:rPr>
                <w:rFonts w:eastAsia="Calibri" w:cstheme="minorHAnsi"/>
                <w:spacing w:val="1"/>
              </w:rPr>
              <w:t>Структурни неуспехи на икономиката</w:t>
            </w:r>
          </w:p>
        </w:tc>
      </w:tr>
      <w:tr w:rsidR="00A517A8" w:rsidRPr="00487D88" w:rsidTr="00B47554">
        <w:tc>
          <w:tcPr>
            <w:cnfStyle w:val="001000000000" w:firstRow="0" w:lastRow="0" w:firstColumn="1" w:lastColumn="0" w:oddVBand="0" w:evenVBand="0" w:oddHBand="0" w:evenHBand="0" w:firstRowFirstColumn="0" w:firstRowLastColumn="0" w:lastRowFirstColumn="0" w:lastRowLastColumn="0"/>
            <w:tcW w:w="2497" w:type="dxa"/>
          </w:tcPr>
          <w:p w:rsidR="00A517A8" w:rsidRPr="00487D88" w:rsidRDefault="00A517A8" w:rsidP="002336AD">
            <w:pPr>
              <w:spacing w:before="120" w:after="120"/>
              <w:jc w:val="both"/>
              <w:rPr>
                <w:rFonts w:eastAsia="Calibri" w:cstheme="minorHAnsi"/>
                <w:lang w:eastAsia="bg-BG"/>
              </w:rPr>
            </w:pPr>
            <w:r w:rsidRPr="00487D88">
              <w:rPr>
                <w:rFonts w:eastAsia="Calibri" w:cstheme="minorHAnsi"/>
                <w:lang w:eastAsia="bg-BG"/>
              </w:rPr>
              <w:t>Отрицателни външни ефекти</w:t>
            </w:r>
          </w:p>
        </w:tc>
        <w:tc>
          <w:tcPr>
            <w:tcW w:w="3423" w:type="dxa"/>
          </w:tcPr>
          <w:p w:rsidR="00A517A8" w:rsidRPr="00487D88" w:rsidRDefault="00A517A8" w:rsidP="002336AD">
            <w:pPr>
              <w:spacing w:before="120" w:after="120"/>
              <w:jc w:val="both"/>
              <w:cnfStyle w:val="000000000000" w:firstRow="0" w:lastRow="0" w:firstColumn="0" w:lastColumn="0" w:oddVBand="0" w:evenVBand="0" w:oddHBand="0" w:evenHBand="0" w:firstRowFirstColumn="0" w:firstRowLastColumn="0" w:lastRowFirstColumn="0" w:lastRowLastColumn="0"/>
              <w:rPr>
                <w:rFonts w:cstheme="minorHAnsi"/>
              </w:rPr>
            </w:pPr>
            <w:r w:rsidRPr="00487D88">
              <w:rPr>
                <w:rFonts w:cstheme="minorHAnsi"/>
              </w:rPr>
              <w:t xml:space="preserve">Отрицателният външен ефект е цената, която се понася от трета страна в резултат от икономическа сделка. Външният ефект се дължи на това, че участниците в сделката не асоциират всички свързани разходи. </w:t>
            </w:r>
          </w:p>
          <w:p w:rsidR="00A517A8" w:rsidRPr="00487D88" w:rsidRDefault="00A517A8" w:rsidP="002336AD">
            <w:pPr>
              <w:spacing w:before="120" w:after="120"/>
              <w:jc w:val="both"/>
              <w:cnfStyle w:val="000000000000" w:firstRow="0" w:lastRow="0" w:firstColumn="0" w:lastColumn="0" w:oddVBand="0" w:evenVBand="0" w:oddHBand="0" w:evenHBand="0" w:firstRowFirstColumn="0" w:firstRowLastColumn="0" w:lastRowFirstColumn="0" w:lastRowLastColumn="0"/>
              <w:rPr>
                <w:rFonts w:cstheme="minorHAnsi"/>
              </w:rPr>
            </w:pPr>
            <w:r w:rsidRPr="00487D88">
              <w:rPr>
                <w:rFonts w:cstheme="minorHAnsi"/>
              </w:rPr>
              <w:t>Наличието на отрицателен външен фактор означава, че частният сектор/участник/ползвател не е особено заинтересован да инвестира, за да намали негативния ефект, тъй като не понася пълната цена. Това означава, че е налице пазарен неуспех и съществува публична подкрепа.</w:t>
            </w:r>
          </w:p>
        </w:tc>
        <w:tc>
          <w:tcPr>
            <w:tcW w:w="4961" w:type="dxa"/>
          </w:tcPr>
          <w:p w:rsidR="00A517A8" w:rsidRPr="004C0A99" w:rsidRDefault="00A517A8"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ascii="Calibri" w:hAnsi="Calibri" w:cs="Calibri"/>
                <w:lang w:eastAsia="bg-BG"/>
              </w:rPr>
            </w:pPr>
            <w:r w:rsidRPr="00A17302">
              <w:rPr>
                <w:rFonts w:ascii="Calibri" w:hAnsi="Calibri" w:cs="Calibri"/>
                <w:lang w:eastAsia="bg-BG"/>
              </w:rPr>
              <w:t>Програмите за намаляване нивата на замърсителите на атмосферния въздух включват комплексни мерки, които не могат да се изпълнят само от общините, а изискват по-широко партньорство с други страни</w:t>
            </w:r>
            <w:r>
              <w:rPr>
                <w:rFonts w:ascii="Calibri" w:hAnsi="Calibri" w:cs="Calibri"/>
                <w:lang w:eastAsia="bg-BG"/>
              </w:rPr>
              <w:t>, а транспортните оператори/причинителите на вторично разпрашаване не понасят пълната цена за замърсяването на въздуха</w:t>
            </w:r>
          </w:p>
          <w:p w:rsidR="00A517A8" w:rsidRPr="00A52789" w:rsidRDefault="00A517A8"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lang w:eastAsia="bg-BG"/>
              </w:rPr>
            </w:pPr>
            <w:r w:rsidRPr="00A17302">
              <w:rPr>
                <w:rFonts w:ascii="Calibri" w:hAnsi="Calibri" w:cs="Calibri"/>
                <w:lang w:eastAsia="bg-BG"/>
              </w:rPr>
              <w:t xml:space="preserve">Замърсяването на въздуха е предизвикано от различни източници, върху които общините нямат правомощията да оказват директно въздействие </w:t>
            </w:r>
          </w:p>
        </w:tc>
        <w:tc>
          <w:tcPr>
            <w:tcW w:w="3948" w:type="dxa"/>
          </w:tcPr>
          <w:p w:rsidR="00A517A8" w:rsidRPr="004C0A99" w:rsidRDefault="00A517A8"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ascii="Calibri" w:hAnsi="Calibri" w:cs="Calibri"/>
                <w:lang w:eastAsia="bg-BG"/>
              </w:rPr>
            </w:pPr>
            <w:r w:rsidRPr="004C0A99">
              <w:rPr>
                <w:rFonts w:ascii="Calibri" w:hAnsi="Calibri" w:cs="Calibri"/>
                <w:lang w:eastAsia="bg-BG"/>
              </w:rPr>
              <w:t xml:space="preserve">Непълното прилагане на принципа „замърсителят плаща“ </w:t>
            </w:r>
          </w:p>
          <w:p w:rsidR="00A517A8" w:rsidRPr="00487D88" w:rsidRDefault="00A517A8" w:rsidP="009C1CFD">
            <w:pPr>
              <w:numPr>
                <w:ilvl w:val="0"/>
                <w:numId w:val="12"/>
              </w:numPr>
              <w:spacing w:before="120" w:after="120"/>
              <w:ind w:left="297"/>
              <w:jc w:val="both"/>
              <w:cnfStyle w:val="000000000000" w:firstRow="0" w:lastRow="0" w:firstColumn="0" w:lastColumn="0" w:oddVBand="0" w:evenVBand="0" w:oddHBand="0" w:evenHBand="0" w:firstRowFirstColumn="0" w:firstRowLastColumn="0" w:lastRowFirstColumn="0" w:lastRowLastColumn="0"/>
              <w:rPr>
                <w:rFonts w:eastAsia="Calibri" w:cstheme="minorHAnsi"/>
                <w:spacing w:val="1"/>
              </w:rPr>
            </w:pPr>
            <w:r w:rsidRPr="004C0A99">
              <w:rPr>
                <w:rFonts w:ascii="Calibri" w:hAnsi="Calibri" w:cs="Calibri"/>
                <w:lang w:eastAsia="bg-BG"/>
              </w:rPr>
              <w:t>Налице са големи предизвикателс</w:t>
            </w:r>
            <w:r w:rsidRPr="00A17302">
              <w:rPr>
                <w:rFonts w:ascii="Calibri" w:hAnsi="Calibri" w:cs="Calibri"/>
                <w:lang w:eastAsia="bg-BG"/>
              </w:rPr>
              <w:t>тва пред местните власти</w:t>
            </w:r>
            <w:r w:rsidRPr="004C0A99">
              <w:rPr>
                <w:rFonts w:ascii="Calibri" w:hAnsi="Calibri" w:cs="Calibri"/>
                <w:lang w:eastAsia="bg-BG"/>
              </w:rPr>
              <w:t xml:space="preserve"> относно целите </w:t>
            </w:r>
            <w:r w:rsidRPr="00A17302">
              <w:rPr>
                <w:rFonts w:ascii="Calibri" w:hAnsi="Calibri" w:cs="Calibri"/>
                <w:lang w:eastAsia="bg-BG"/>
              </w:rPr>
              <w:t>за подобряване КАВ</w:t>
            </w:r>
          </w:p>
        </w:tc>
      </w:tr>
      <w:tr w:rsidR="00A517A8" w:rsidRPr="00487D88" w:rsidTr="00B475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A517A8" w:rsidRPr="00487D88" w:rsidRDefault="00A517A8" w:rsidP="002336AD">
            <w:pPr>
              <w:spacing w:before="120" w:after="120"/>
              <w:jc w:val="both"/>
              <w:rPr>
                <w:rFonts w:eastAsia="Calibri" w:cstheme="minorHAnsi"/>
                <w:lang w:eastAsia="bg-BG"/>
              </w:rPr>
            </w:pPr>
            <w:r w:rsidRPr="00487D88">
              <w:rPr>
                <w:rFonts w:eastAsia="Calibri" w:cstheme="minorHAnsi"/>
                <w:lang w:eastAsia="bg-BG"/>
              </w:rPr>
              <w:t>Публични услуги</w:t>
            </w:r>
          </w:p>
        </w:tc>
        <w:tc>
          <w:tcPr>
            <w:tcW w:w="3423" w:type="dxa"/>
          </w:tcPr>
          <w:p w:rsidR="00A517A8" w:rsidRPr="00487D88" w:rsidRDefault="00A517A8" w:rsidP="002336AD">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lang w:eastAsia="bg-BG"/>
              </w:rPr>
            </w:pPr>
            <w:r w:rsidRPr="00487D88">
              <w:rPr>
                <w:rFonts w:eastAsia="Times New Roman" w:cstheme="minorHAnsi"/>
                <w:bCs/>
                <w:lang w:eastAsia="bg-BG"/>
              </w:rPr>
              <w:t xml:space="preserve">Тези услуги не изключват </w:t>
            </w:r>
            <w:r>
              <w:rPr>
                <w:rFonts w:eastAsia="Times New Roman" w:cstheme="minorHAnsi"/>
                <w:bCs/>
                <w:lang w:eastAsia="bg-BG"/>
              </w:rPr>
              <w:t xml:space="preserve">взаимно </w:t>
            </w:r>
            <w:r w:rsidRPr="00487D88">
              <w:rPr>
                <w:rFonts w:eastAsia="Times New Roman" w:cstheme="minorHAnsi"/>
                <w:bCs/>
                <w:lang w:eastAsia="bg-BG"/>
              </w:rPr>
              <w:t xml:space="preserve">и не са конкурентни. Дори ако някой не допринася за производството на обществено благо, разходите за ограничаване </w:t>
            </w:r>
            <w:r w:rsidRPr="00487D88">
              <w:rPr>
                <w:rFonts w:eastAsia="Times New Roman" w:cstheme="minorHAnsi"/>
                <w:bCs/>
                <w:lang w:eastAsia="bg-BG"/>
              </w:rPr>
              <w:lastRenderedPageBreak/>
              <w:t xml:space="preserve">на неговото право да се възползва от услугата са забранени. </w:t>
            </w:r>
          </w:p>
        </w:tc>
        <w:tc>
          <w:tcPr>
            <w:tcW w:w="4961" w:type="dxa"/>
          </w:tcPr>
          <w:p w:rsidR="00A517A8" w:rsidRPr="0021141C" w:rsidRDefault="00A517A8" w:rsidP="009C1CFD">
            <w:pPr>
              <w:numPr>
                <w:ilvl w:val="0"/>
                <w:numId w:val="12"/>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A17302">
              <w:rPr>
                <w:rFonts w:ascii="Calibri" w:eastAsia="Calibri" w:hAnsi="Calibri" w:cs="Calibri"/>
                <w:lang w:eastAsia="bg-BG"/>
              </w:rPr>
              <w:lastRenderedPageBreak/>
              <w:t xml:space="preserve">Общественият транспорт, както и сметопочистването и измиването на улиците са публични услуги (основни причинители на ФПЧ във въздуха в градската среда), за които няма конкуренция на пазара, тъй като същите </w:t>
            </w:r>
            <w:r w:rsidRPr="00A17302">
              <w:rPr>
                <w:rFonts w:ascii="Calibri" w:eastAsia="Calibri" w:hAnsi="Calibri" w:cs="Calibri"/>
                <w:lang w:eastAsia="bg-BG"/>
              </w:rPr>
              <w:lastRenderedPageBreak/>
              <w:t xml:space="preserve">се възлагат чрез дългосрочни договори на определени юридически лица. Цените на тези услуги не се формират на конкурентен принцип, </w:t>
            </w:r>
            <w:r w:rsidR="00EB6D72">
              <w:rPr>
                <w:rFonts w:ascii="Calibri" w:eastAsia="Calibri" w:hAnsi="Calibri" w:cs="Calibri"/>
                <w:lang w:eastAsia="bg-BG"/>
              </w:rPr>
              <w:t>а същевременно липсват достатъчно регулаторни санкции за ограничаване на замърсяването.</w:t>
            </w:r>
          </w:p>
        </w:tc>
        <w:tc>
          <w:tcPr>
            <w:tcW w:w="3948" w:type="dxa"/>
          </w:tcPr>
          <w:p w:rsidR="00A517A8" w:rsidRPr="004C0A99" w:rsidRDefault="00A517A8" w:rsidP="009C1CFD">
            <w:pPr>
              <w:numPr>
                <w:ilvl w:val="0"/>
                <w:numId w:val="12"/>
              </w:numPr>
              <w:spacing w:before="120" w:after="120"/>
              <w:ind w:left="29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Pr>
                <w:rFonts w:ascii="Calibri" w:eastAsia="Calibri" w:hAnsi="Calibri" w:cs="Calibri"/>
                <w:bCs/>
              </w:rPr>
              <w:lastRenderedPageBreak/>
              <w:t>Липса на стимули за инвестиции в мерки за КАВ</w:t>
            </w:r>
          </w:p>
        </w:tc>
      </w:tr>
      <w:tr w:rsidR="00A517A8" w:rsidRPr="00487D88" w:rsidTr="00B47554">
        <w:trPr>
          <w:trHeight w:val="2108"/>
        </w:trPr>
        <w:tc>
          <w:tcPr>
            <w:cnfStyle w:val="001000000000" w:firstRow="0" w:lastRow="0" w:firstColumn="1" w:lastColumn="0" w:oddVBand="0" w:evenVBand="0" w:oddHBand="0" w:evenHBand="0" w:firstRowFirstColumn="0" w:firstRowLastColumn="0" w:lastRowFirstColumn="0" w:lastRowLastColumn="0"/>
            <w:tcW w:w="2497" w:type="dxa"/>
          </w:tcPr>
          <w:p w:rsidR="00A517A8" w:rsidRPr="00487D88" w:rsidRDefault="00A517A8" w:rsidP="002336AD">
            <w:pPr>
              <w:spacing w:before="120" w:after="120"/>
              <w:jc w:val="both"/>
              <w:rPr>
                <w:rFonts w:eastAsia="Calibri" w:cstheme="minorHAnsi"/>
                <w:lang w:eastAsia="bg-BG"/>
              </w:rPr>
            </w:pPr>
            <w:r w:rsidRPr="00487D88">
              <w:rPr>
                <w:rFonts w:eastAsia="Calibri" w:cstheme="minorHAnsi"/>
                <w:lang w:eastAsia="bg-BG"/>
              </w:rPr>
              <w:lastRenderedPageBreak/>
              <w:t>Неуспешно регулиране на пазара</w:t>
            </w:r>
          </w:p>
        </w:tc>
        <w:tc>
          <w:tcPr>
            <w:tcW w:w="3423" w:type="dxa"/>
          </w:tcPr>
          <w:p w:rsidR="00A517A8" w:rsidRPr="00487D88" w:rsidRDefault="00A517A8" w:rsidP="002336AD">
            <w:pPr>
              <w:spacing w:before="120" w:after="120"/>
              <w:jc w:val="both"/>
              <w:cnfStyle w:val="000000000000" w:firstRow="0" w:lastRow="0" w:firstColumn="0" w:lastColumn="0" w:oddVBand="0" w:evenVBand="0" w:oddHBand="0" w:evenHBand="0" w:firstRowFirstColumn="0" w:firstRowLastColumn="0" w:lastRowFirstColumn="0" w:lastRowLastColumn="0"/>
              <w:rPr>
                <w:rFonts w:eastAsia="Times New Roman" w:cstheme="minorHAnsi"/>
                <w:bCs/>
                <w:lang w:eastAsia="bg-BG"/>
              </w:rPr>
            </w:pPr>
            <w:r w:rsidRPr="00487D88">
              <w:rPr>
                <w:rFonts w:eastAsia="Calibri" w:cstheme="minorHAnsi"/>
                <w:bCs/>
                <w:lang w:eastAsia="bg-BG"/>
              </w:rPr>
              <w:t>Възниква, когато политическите решения не отчитат факта, че пазарът може сам да коригира някои от своите неуспехи. В такива случаи регулационните мерки пораждат неефективност</w:t>
            </w:r>
          </w:p>
        </w:tc>
        <w:tc>
          <w:tcPr>
            <w:tcW w:w="4961" w:type="dxa"/>
          </w:tcPr>
          <w:p w:rsidR="00A517A8" w:rsidRPr="0008778D" w:rsidRDefault="00A517A8"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eastAsia="Calibri" w:cstheme="minorHAnsi"/>
              </w:rPr>
            </w:pPr>
            <w:r w:rsidRPr="00A17302">
              <w:rPr>
                <w:rFonts w:ascii="Calibri" w:eastAsia="Calibri" w:hAnsi="Calibri" w:cs="Calibri"/>
                <w:lang w:eastAsia="bg-BG"/>
              </w:rPr>
              <w:t>Общественият транспорт, както и сметопочистването и измиването на улиците са публични услуги, за които е въведен принципът „социална поносимост на цените” съгласно действащи нормативни актове.</w:t>
            </w:r>
          </w:p>
        </w:tc>
        <w:tc>
          <w:tcPr>
            <w:tcW w:w="3948" w:type="dxa"/>
          </w:tcPr>
          <w:p w:rsidR="00A517A8" w:rsidRPr="00045E8B" w:rsidRDefault="00A517A8" w:rsidP="00DF6FCF">
            <w:pPr>
              <w:numPr>
                <w:ilvl w:val="0"/>
                <w:numId w:val="18"/>
              </w:numPr>
              <w:spacing w:before="120" w:after="120"/>
              <w:ind w:left="317"/>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Cs/>
              </w:rPr>
            </w:pPr>
            <w:r w:rsidRPr="00A17302">
              <w:rPr>
                <w:rFonts w:ascii="Calibri" w:eastAsia="Calibri" w:hAnsi="Calibri" w:cs="Calibri"/>
                <w:bCs/>
              </w:rPr>
              <w:t>Законодателни ограничения, които водят до ограничаване на финансовия ресурс за инвестиции в сектора</w:t>
            </w:r>
          </w:p>
        </w:tc>
      </w:tr>
      <w:tr w:rsidR="00A517A8" w:rsidRPr="00487D88" w:rsidTr="00B47554">
        <w:trPr>
          <w:cnfStyle w:val="000000100000" w:firstRow="0" w:lastRow="0" w:firstColumn="0" w:lastColumn="0" w:oddVBand="0" w:evenVBand="0" w:oddHBand="1" w:evenHBand="0" w:firstRowFirstColumn="0" w:firstRowLastColumn="0" w:lastRowFirstColumn="0" w:lastRowLastColumn="0"/>
          <w:trHeight w:val="1047"/>
        </w:trPr>
        <w:tc>
          <w:tcPr>
            <w:cnfStyle w:val="001000000000" w:firstRow="0" w:lastRow="0" w:firstColumn="1" w:lastColumn="0" w:oddVBand="0" w:evenVBand="0" w:oddHBand="0" w:evenHBand="0" w:firstRowFirstColumn="0" w:firstRowLastColumn="0" w:lastRowFirstColumn="0" w:lastRowLastColumn="0"/>
            <w:tcW w:w="2497" w:type="dxa"/>
          </w:tcPr>
          <w:p w:rsidR="00A517A8" w:rsidRPr="00487D88" w:rsidRDefault="00A517A8" w:rsidP="002336AD">
            <w:pPr>
              <w:spacing w:before="120" w:after="120"/>
              <w:jc w:val="both"/>
              <w:rPr>
                <w:rFonts w:eastAsia="Calibri" w:cstheme="minorHAnsi"/>
                <w:lang w:eastAsia="bg-BG"/>
              </w:rPr>
            </w:pPr>
            <w:r w:rsidRPr="00487D88">
              <w:rPr>
                <w:rFonts w:eastAsia="Calibri" w:cstheme="minorHAnsi"/>
                <w:lang w:eastAsia="bg-BG"/>
              </w:rPr>
              <w:t>Непълни права върху собствеността или трудности при прехвърлянето им</w:t>
            </w:r>
          </w:p>
        </w:tc>
        <w:tc>
          <w:tcPr>
            <w:tcW w:w="3423" w:type="dxa"/>
          </w:tcPr>
          <w:p w:rsidR="00A517A8" w:rsidRPr="00487D88" w:rsidRDefault="00A517A8" w:rsidP="002336AD">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487D88">
              <w:rPr>
                <w:rFonts w:eastAsia="Calibri" w:cstheme="minorHAnsi"/>
                <w:bCs/>
                <w:lang w:eastAsia="bg-BG"/>
              </w:rPr>
              <w:t>Отнася се до ситуация, в която е трудно да се установят или прехвърлят правата на собственост върху ресурс или продукт/услуга</w:t>
            </w:r>
          </w:p>
        </w:tc>
        <w:tc>
          <w:tcPr>
            <w:tcW w:w="4961" w:type="dxa"/>
          </w:tcPr>
          <w:p w:rsidR="00A517A8" w:rsidRPr="005919F5" w:rsidRDefault="00A517A8"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eastAsia="Calibri" w:cstheme="minorHAnsi"/>
              </w:rPr>
              <w:t>В случаите на концесионни договори, сметопочистващата техника е собственост на концесионерите, които са дългосрочни и не подлежат на изменение. В случай, че в тях не са предвидени задължения за осигуряване на такъв вид техника, е невъзможно да бъдат наложени такива изисквания по вече сключени договори, а същевременно липсва правно и икономическо основание общините да предоставят необходимата техника за предотвратяване на вторичното разпрашаване на въздуха</w:t>
            </w:r>
          </w:p>
        </w:tc>
        <w:tc>
          <w:tcPr>
            <w:tcW w:w="3948" w:type="dxa"/>
          </w:tcPr>
          <w:p w:rsidR="00A517A8" w:rsidRPr="0001242A" w:rsidRDefault="00A517A8"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ascii="Calibri" w:eastAsia="Calibri" w:hAnsi="Calibri" w:cs="Calibri"/>
                <w:bCs/>
              </w:rPr>
              <w:t>Липса на сметопочистваща техника у всички предприятия, които осъществяват услуги по почистване и измиване на улици</w:t>
            </w:r>
          </w:p>
        </w:tc>
      </w:tr>
      <w:tr w:rsidR="00A517A8" w:rsidRPr="00487D88" w:rsidTr="00B47554">
        <w:tc>
          <w:tcPr>
            <w:cnfStyle w:val="001000000000" w:firstRow="0" w:lastRow="0" w:firstColumn="1" w:lastColumn="0" w:oddVBand="0" w:evenVBand="0" w:oddHBand="0" w:evenHBand="0" w:firstRowFirstColumn="0" w:firstRowLastColumn="0" w:lastRowFirstColumn="0" w:lastRowLastColumn="0"/>
            <w:tcW w:w="14829" w:type="dxa"/>
            <w:gridSpan w:val="4"/>
          </w:tcPr>
          <w:p w:rsidR="00A517A8" w:rsidRPr="00487D88" w:rsidRDefault="00A517A8" w:rsidP="002336AD">
            <w:pPr>
              <w:widowControl w:val="0"/>
              <w:autoSpaceDE w:val="0"/>
              <w:autoSpaceDN w:val="0"/>
              <w:adjustRightInd w:val="0"/>
              <w:ind w:right="64"/>
              <w:jc w:val="center"/>
              <w:rPr>
                <w:rFonts w:eastAsia="Calibri" w:cstheme="minorHAnsi"/>
                <w:spacing w:val="1"/>
              </w:rPr>
            </w:pPr>
            <w:r>
              <w:rPr>
                <w:rFonts w:eastAsia="Calibri" w:cstheme="minorHAnsi"/>
                <w:spacing w:val="1"/>
              </w:rPr>
              <w:t>Неуспехи от страна на търсенето</w:t>
            </w:r>
          </w:p>
        </w:tc>
      </w:tr>
      <w:tr w:rsidR="00A517A8" w:rsidRPr="00487D88" w:rsidTr="00B47554">
        <w:trPr>
          <w:cnfStyle w:val="000000100000" w:firstRow="0" w:lastRow="0" w:firstColumn="0" w:lastColumn="0" w:oddVBand="0" w:evenVBand="0" w:oddHBand="1" w:evenHBand="0" w:firstRowFirstColumn="0" w:firstRowLastColumn="0" w:lastRowFirstColumn="0" w:lastRowLastColumn="0"/>
          <w:trHeight w:val="1124"/>
        </w:trPr>
        <w:tc>
          <w:tcPr>
            <w:cnfStyle w:val="001000000000" w:firstRow="0" w:lastRow="0" w:firstColumn="1" w:lastColumn="0" w:oddVBand="0" w:evenVBand="0" w:oddHBand="0" w:evenHBand="0" w:firstRowFirstColumn="0" w:firstRowLastColumn="0" w:lastRowFirstColumn="0" w:lastRowLastColumn="0"/>
            <w:tcW w:w="2497" w:type="dxa"/>
          </w:tcPr>
          <w:p w:rsidR="00A517A8" w:rsidRPr="00487D88" w:rsidRDefault="00A517A8" w:rsidP="002336AD">
            <w:pPr>
              <w:spacing w:before="120" w:after="120"/>
              <w:jc w:val="both"/>
              <w:rPr>
                <w:rFonts w:eastAsia="Calibri" w:cstheme="minorHAnsi"/>
                <w:lang w:eastAsia="bg-BG"/>
              </w:rPr>
            </w:pPr>
            <w:r w:rsidRPr="00487D88">
              <w:rPr>
                <w:rFonts w:eastAsia="Calibri" w:cstheme="minorHAnsi"/>
                <w:lang w:eastAsia="bg-BG"/>
              </w:rPr>
              <w:lastRenderedPageBreak/>
              <w:t>Различни стимули</w:t>
            </w:r>
          </w:p>
        </w:tc>
        <w:tc>
          <w:tcPr>
            <w:tcW w:w="3423" w:type="dxa"/>
          </w:tcPr>
          <w:p w:rsidR="00A517A8" w:rsidRPr="005A2223" w:rsidRDefault="00A517A8" w:rsidP="002336AD">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5A2223">
              <w:rPr>
                <w:rFonts w:eastAsia="Calibri" w:cstheme="minorHAnsi"/>
                <w:bCs/>
                <w:lang w:eastAsia="bg-BG"/>
              </w:rPr>
              <w:t>Възникват когато две страни , които искат да влязат в договорни отношения имат различна цел и стимули, което засяга способността им да вземат решения</w:t>
            </w:r>
          </w:p>
          <w:p w:rsidR="00A517A8" w:rsidRPr="005A2223" w:rsidRDefault="00A517A8" w:rsidP="002336AD">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p>
        </w:tc>
        <w:tc>
          <w:tcPr>
            <w:tcW w:w="4961" w:type="dxa"/>
          </w:tcPr>
          <w:p w:rsidR="00A517A8" w:rsidRPr="005919F5" w:rsidRDefault="00A517A8" w:rsidP="00DF6FCF">
            <w:pPr>
              <w:numPr>
                <w:ilvl w:val="0"/>
                <w:numId w:val="18"/>
              </w:numPr>
              <w:spacing w:before="120" w:after="120"/>
              <w:ind w:left="312" w:hanging="35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5919F5">
              <w:rPr>
                <w:rFonts w:eastAsia="Calibri" w:cstheme="minorHAnsi"/>
              </w:rPr>
              <w:t>Доставчиците на публични услуги искат да максимизират своята печалба и да съкратят разходите, поради което не са склонни да инвестират в дейности, които не им носят добавена стойност.</w:t>
            </w:r>
          </w:p>
          <w:p w:rsidR="00A517A8" w:rsidRPr="005919F5" w:rsidRDefault="00A517A8"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5919F5">
              <w:rPr>
                <w:rFonts w:eastAsia="Calibri" w:cstheme="minorHAnsi"/>
              </w:rPr>
              <w:t xml:space="preserve"> Транспортните оператори не понасят глоби за замърсяване на въздуха, респективно нямат стимули да инвестират в мерки за повишаване на КАВ.</w:t>
            </w:r>
          </w:p>
          <w:p w:rsidR="00A517A8" w:rsidRPr="00346C03" w:rsidRDefault="00A517A8"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5919F5">
              <w:rPr>
                <w:rFonts w:eastAsia="Calibri" w:cstheme="minorHAnsi"/>
              </w:rPr>
              <w:t>В повечето концесионни договори за сметопочистване не фигурират задължения за изпълнение на мерки за повишаване на КАВ.</w:t>
            </w:r>
          </w:p>
        </w:tc>
        <w:tc>
          <w:tcPr>
            <w:tcW w:w="3948" w:type="dxa"/>
          </w:tcPr>
          <w:p w:rsidR="00A517A8" w:rsidRPr="0001242A" w:rsidRDefault="00A517A8"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ascii="Calibri" w:eastAsia="Calibri" w:hAnsi="Calibri" w:cs="Calibri"/>
                <w:bCs/>
              </w:rPr>
              <w:t>Липса на стимули за инвестиции в мерки за КАВ</w:t>
            </w:r>
          </w:p>
        </w:tc>
      </w:tr>
      <w:tr w:rsidR="00A517A8" w:rsidRPr="00487D88" w:rsidTr="00B47554">
        <w:tc>
          <w:tcPr>
            <w:cnfStyle w:val="001000000000" w:firstRow="0" w:lastRow="0" w:firstColumn="1" w:lastColumn="0" w:oddVBand="0" w:evenVBand="0" w:oddHBand="0" w:evenHBand="0" w:firstRowFirstColumn="0" w:firstRowLastColumn="0" w:lastRowFirstColumn="0" w:lastRowLastColumn="0"/>
            <w:tcW w:w="14829" w:type="dxa"/>
            <w:gridSpan w:val="4"/>
          </w:tcPr>
          <w:p w:rsidR="00A517A8" w:rsidRPr="00487D88" w:rsidRDefault="00A517A8" w:rsidP="002336AD">
            <w:pPr>
              <w:widowControl w:val="0"/>
              <w:autoSpaceDE w:val="0"/>
              <w:autoSpaceDN w:val="0"/>
              <w:adjustRightInd w:val="0"/>
              <w:spacing w:line="239" w:lineRule="auto"/>
              <w:ind w:right="66"/>
              <w:jc w:val="center"/>
              <w:rPr>
                <w:rFonts w:eastAsia="Calibri" w:cstheme="minorHAnsi"/>
              </w:rPr>
            </w:pPr>
            <w:r>
              <w:rPr>
                <w:rFonts w:eastAsia="Calibri" w:cstheme="minorHAnsi"/>
              </w:rPr>
              <w:t>Неуспехи от страна на предлагането</w:t>
            </w:r>
          </w:p>
        </w:tc>
      </w:tr>
      <w:tr w:rsidR="00A517A8" w:rsidRPr="00487D88" w:rsidTr="00B475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7" w:type="dxa"/>
          </w:tcPr>
          <w:p w:rsidR="00A517A8" w:rsidRPr="00487D88" w:rsidRDefault="00A517A8" w:rsidP="002336AD">
            <w:pPr>
              <w:spacing w:before="120" w:after="120"/>
              <w:jc w:val="both"/>
              <w:rPr>
                <w:rFonts w:eastAsia="Calibri" w:cstheme="minorHAnsi"/>
                <w:lang w:eastAsia="bg-BG"/>
              </w:rPr>
            </w:pPr>
            <w:r w:rsidRPr="00487D88">
              <w:rPr>
                <w:rFonts w:eastAsia="Calibri" w:cstheme="minorHAnsi"/>
              </w:rPr>
              <w:t>Ограничен достъп до финансиране</w:t>
            </w:r>
          </w:p>
        </w:tc>
        <w:tc>
          <w:tcPr>
            <w:tcW w:w="3423" w:type="dxa"/>
          </w:tcPr>
          <w:p w:rsidR="00A517A8" w:rsidRPr="00487D88" w:rsidRDefault="00A517A8" w:rsidP="002336AD">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Pr>
                <w:rFonts w:eastAsia="Times New Roman" w:cstheme="minorHAnsi"/>
                <w:bCs/>
                <w:lang w:eastAsia="bg-BG"/>
              </w:rPr>
              <w:t>Инвестициите изискват подходящо финансиране, което не може да се осигури поради регулаторни ограничения и липса на достатъчно стимули</w:t>
            </w:r>
          </w:p>
        </w:tc>
        <w:tc>
          <w:tcPr>
            <w:tcW w:w="4961" w:type="dxa"/>
          </w:tcPr>
          <w:p w:rsidR="00A517A8" w:rsidRPr="00487D88" w:rsidRDefault="00A517A8"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bCs/>
                <w:lang w:eastAsia="bg-BG"/>
              </w:rPr>
            </w:pPr>
            <w:r w:rsidRPr="00A17302">
              <w:rPr>
                <w:rFonts w:ascii="Calibri" w:eastAsia="Calibri" w:hAnsi="Calibri" w:cs="Calibri"/>
                <w:lang w:eastAsia="bg-BG"/>
              </w:rPr>
              <w:t>Общественият транспорт, както и сметопочистването и измиването на улиците са публични услуги, за които е въведен принципът „социална поносимост на цените” съгла</w:t>
            </w:r>
            <w:r>
              <w:rPr>
                <w:rFonts w:ascii="Calibri" w:eastAsia="Calibri" w:hAnsi="Calibri" w:cs="Calibri"/>
                <w:lang w:eastAsia="bg-BG"/>
              </w:rPr>
              <w:t>сно действащи нормативни актове.</w:t>
            </w:r>
          </w:p>
        </w:tc>
        <w:tc>
          <w:tcPr>
            <w:tcW w:w="3948" w:type="dxa"/>
          </w:tcPr>
          <w:p w:rsidR="00A517A8" w:rsidRPr="0001242A" w:rsidRDefault="00A517A8" w:rsidP="00DF6FCF">
            <w:pPr>
              <w:numPr>
                <w:ilvl w:val="0"/>
                <w:numId w:val="18"/>
              </w:numPr>
              <w:spacing w:before="120" w:after="120"/>
              <w:ind w:left="317"/>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Pr>
                <w:rFonts w:ascii="Calibri" w:eastAsia="Calibri" w:hAnsi="Calibri" w:cs="Calibri"/>
                <w:bCs/>
              </w:rPr>
              <w:t>Недостиг на финансиране за инвестиции в мерки за КАВ</w:t>
            </w:r>
          </w:p>
        </w:tc>
      </w:tr>
    </w:tbl>
    <w:p w:rsidR="00A517A8" w:rsidRDefault="00A517A8" w:rsidP="00A17302">
      <w:pPr>
        <w:spacing w:before="120" w:after="120" w:line="240" w:lineRule="auto"/>
        <w:jc w:val="both"/>
        <w:rPr>
          <w:rFonts w:ascii="Calibri" w:eastAsia="Calibri" w:hAnsi="Calibri" w:cs="Calibri"/>
          <w:bCs/>
          <w:lang w:eastAsia="bg-BG"/>
        </w:rPr>
      </w:pPr>
    </w:p>
    <w:p w:rsidR="00A517A8" w:rsidRPr="00A17302" w:rsidRDefault="00A517A8" w:rsidP="00A17302">
      <w:pPr>
        <w:spacing w:before="120" w:after="120" w:line="240" w:lineRule="auto"/>
        <w:jc w:val="both"/>
        <w:rPr>
          <w:rFonts w:ascii="Calibri" w:eastAsia="Calibri" w:hAnsi="Calibri" w:cs="Calibri"/>
          <w:bCs/>
          <w:lang w:eastAsia="bg-BG"/>
        </w:rPr>
      </w:pPr>
    </w:p>
    <w:p w:rsidR="00A17302" w:rsidRPr="00A17302" w:rsidRDefault="00A17302" w:rsidP="00A17302">
      <w:pPr>
        <w:widowControl w:val="0"/>
        <w:autoSpaceDE w:val="0"/>
        <w:autoSpaceDN w:val="0"/>
        <w:adjustRightInd w:val="0"/>
        <w:spacing w:after="0" w:line="253" w:lineRule="auto"/>
        <w:ind w:right="110"/>
        <w:jc w:val="both"/>
        <w:rPr>
          <w:rFonts w:ascii="Georgia" w:eastAsia="Calibri" w:hAnsi="Georgia" w:cs="Georgia"/>
          <w:sz w:val="20"/>
          <w:szCs w:val="20"/>
        </w:rPr>
      </w:pPr>
    </w:p>
    <w:p w:rsidR="00A17302" w:rsidRPr="00A17302" w:rsidRDefault="00A17302" w:rsidP="00A17302">
      <w:pPr>
        <w:spacing w:before="240" w:after="120" w:line="240" w:lineRule="auto"/>
        <w:jc w:val="both"/>
        <w:rPr>
          <w:rFonts w:ascii="Calibri" w:eastAsia="Calibri" w:hAnsi="Calibri" w:cs="Calibri"/>
          <w:bCs/>
          <w:lang w:eastAsia="bg-BG"/>
        </w:rPr>
        <w:sectPr w:rsidR="00A17302" w:rsidRPr="00A17302" w:rsidSect="006E39EC">
          <w:headerReference w:type="default" r:id="rId47"/>
          <w:pgSz w:w="16838" w:h="11906" w:orient="landscape"/>
          <w:pgMar w:top="1417" w:right="1560" w:bottom="1417" w:left="1134" w:header="708" w:footer="708" w:gutter="0"/>
          <w:cols w:space="708"/>
          <w:titlePg/>
          <w:docGrid w:linePitch="360"/>
        </w:sectPr>
      </w:pPr>
    </w:p>
    <w:p w:rsidR="00A17302" w:rsidRPr="00A17302" w:rsidRDefault="00A17302" w:rsidP="00A17302">
      <w:pPr>
        <w:keepNext/>
        <w:keepLines/>
        <w:spacing w:before="120" w:after="120"/>
        <w:outlineLvl w:val="2"/>
        <w:rPr>
          <w:rFonts w:ascii="Calibri" w:eastAsia="Calibri" w:hAnsi="Calibri" w:cs="Times New Roman"/>
          <w:color w:val="243F60"/>
          <w:sz w:val="24"/>
          <w:szCs w:val="24"/>
        </w:rPr>
      </w:pPr>
      <w:bookmarkStart w:id="57" w:name="_Toc399494524"/>
      <w:r w:rsidRPr="00A17302">
        <w:rPr>
          <w:rFonts w:ascii="Calibri" w:eastAsia="Calibri" w:hAnsi="Calibri" w:cs="Times New Roman"/>
          <w:color w:val="243F60"/>
          <w:sz w:val="24"/>
          <w:szCs w:val="24"/>
        </w:rPr>
        <w:lastRenderedPageBreak/>
        <w:t>1.3.3. Анализ на търсенето и предлагането</w:t>
      </w:r>
      <w:r w:rsidR="00D73AB3">
        <w:rPr>
          <w:rFonts w:ascii="Calibri" w:eastAsia="Calibri" w:hAnsi="Calibri" w:cs="Times New Roman"/>
          <w:color w:val="243F60"/>
          <w:sz w:val="24"/>
          <w:szCs w:val="24"/>
        </w:rPr>
        <w:t xml:space="preserve"> в сектор Въздух</w:t>
      </w:r>
      <w:bookmarkEnd w:id="57"/>
    </w:p>
    <w:p w:rsidR="00A17302" w:rsidRPr="00A17302" w:rsidRDefault="00A17302" w:rsidP="0066481F">
      <w:pPr>
        <w:spacing w:after="200" w:line="276" w:lineRule="auto"/>
        <w:jc w:val="both"/>
        <w:rPr>
          <w:rFonts w:ascii="Calibri" w:eastAsia="Calibri" w:hAnsi="Calibri" w:cs="Calibri"/>
          <w:bCs/>
        </w:rPr>
      </w:pPr>
      <w:r w:rsidRPr="00A17302">
        <w:rPr>
          <w:rFonts w:ascii="Calibri" w:eastAsia="Calibri" w:hAnsi="Calibri" w:cs="Times New Roman"/>
          <w:b/>
          <w:i/>
        </w:rPr>
        <w:t>Анализът на търсенето</w:t>
      </w:r>
      <w:r w:rsidRPr="00A17302">
        <w:rPr>
          <w:rFonts w:ascii="Calibri" w:eastAsia="Calibri" w:hAnsi="Calibri" w:cs="Times New Roman"/>
        </w:rPr>
        <w:t xml:space="preserve"> в сектор Въздух в страната в голяма степен се обуславя от изискванията на европейското законодателство в областта на качеството и опазване чистотата на въздуха</w:t>
      </w:r>
      <w:r w:rsidR="0066481F">
        <w:rPr>
          <w:rFonts w:ascii="Calibri" w:eastAsia="Calibri" w:hAnsi="Calibri" w:cs="Times New Roman"/>
        </w:rPr>
        <w:t>.</w:t>
      </w:r>
    </w:p>
    <w:p w:rsidR="00A17302" w:rsidRPr="00A17302" w:rsidRDefault="00A17302" w:rsidP="00A17302">
      <w:pPr>
        <w:widowControl w:val="0"/>
        <w:autoSpaceDE w:val="0"/>
        <w:autoSpaceDN w:val="0"/>
        <w:adjustRightInd w:val="0"/>
        <w:spacing w:before="240" w:after="0" w:line="239" w:lineRule="auto"/>
        <w:ind w:right="66"/>
        <w:jc w:val="both"/>
        <w:rPr>
          <w:rFonts w:ascii="Calibri" w:eastAsia="Calibri" w:hAnsi="Calibri" w:cs="Times New Roman"/>
        </w:rPr>
      </w:pPr>
      <w:r w:rsidRPr="00A17302">
        <w:rPr>
          <w:rFonts w:ascii="Calibri" w:eastAsia="Calibri" w:hAnsi="Calibri" w:cs="Times New Roman"/>
        </w:rPr>
        <w:t xml:space="preserve">За да постигне съответствие с тези директиви, е необходимо адресиране на значителните нужди от инвестиции в сектора, които са залегнали и в ОП „Околна среда 2014 – 2020 г.”, а именно: </w:t>
      </w:r>
    </w:p>
    <w:p w:rsidR="0066481F" w:rsidRPr="0066481F" w:rsidRDefault="0066481F" w:rsidP="0066481F">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66481F">
        <w:rPr>
          <w:rFonts w:ascii="Calibri" w:eastAsia="Calibri" w:hAnsi="Calibri" w:cs="Calibri"/>
          <w:bCs/>
        </w:rPr>
        <w:t>Мерки за подобряване качеството на атмосферния въздух (КАВ) посредством осигуряване на многофункционална почистваща техника за трайно и постоянно отнемане на праховите частици и посредством намаляване на емисиите на замърсители от превозните средства на обществения градски транспорт;</w:t>
      </w:r>
    </w:p>
    <w:p w:rsidR="0066481F" w:rsidRPr="0066481F" w:rsidRDefault="0066481F" w:rsidP="0066481F">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66481F">
        <w:rPr>
          <w:rFonts w:ascii="Calibri" w:eastAsia="Calibri" w:hAnsi="Calibri" w:cs="Calibri"/>
          <w:bCs/>
        </w:rPr>
        <w:t xml:space="preserve">мерки, свързани с намаляване на емисиите на замърсители от превозните средства на обществения градски транспорт в т.ч. намаляване използването на конвенционалните горива в обществения транспорт; замяна на изпускателните устройства (retrofitting) на превозните средства за градски транспорт; </w:t>
      </w:r>
    </w:p>
    <w:p w:rsidR="0066481F" w:rsidRPr="0066481F" w:rsidRDefault="0066481F" w:rsidP="0066481F">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66481F">
        <w:rPr>
          <w:rFonts w:ascii="Calibri" w:eastAsia="Calibri" w:hAnsi="Calibri" w:cs="Calibri"/>
          <w:bCs/>
        </w:rPr>
        <w:t>Демонстрационни/пилотни проекти за подобряване качеството на атмосферния въздух.</w:t>
      </w:r>
    </w:p>
    <w:p w:rsidR="00A17302" w:rsidRPr="00A17302" w:rsidRDefault="00217A8F" w:rsidP="0066481F">
      <w:pPr>
        <w:widowControl w:val="0"/>
        <w:autoSpaceDE w:val="0"/>
        <w:autoSpaceDN w:val="0"/>
        <w:adjustRightInd w:val="0"/>
        <w:spacing w:before="240" w:after="0" w:line="239" w:lineRule="auto"/>
        <w:ind w:right="66"/>
        <w:jc w:val="both"/>
        <w:rPr>
          <w:rFonts w:ascii="Calibri" w:eastAsia="Calibri" w:hAnsi="Calibri" w:cs="Times New Roman"/>
        </w:rPr>
      </w:pPr>
      <w:r>
        <w:rPr>
          <w:rFonts w:ascii="Calibri" w:eastAsia="Calibri" w:hAnsi="Calibri" w:cs="Times New Roman"/>
        </w:rPr>
        <w:t xml:space="preserve">Мерки, които ще окажат положителен ефект върху </w:t>
      </w:r>
      <w:r w:rsidR="00EB6D72" w:rsidRPr="00A17302">
        <w:rPr>
          <w:rFonts w:ascii="Calibri" w:eastAsia="Calibri" w:hAnsi="Calibri" w:cs="Times New Roman"/>
        </w:rPr>
        <w:t xml:space="preserve">КАВ са предвидени и в трети национален план за действие по изменение на климата </w:t>
      </w:r>
      <w:r w:rsidR="00A17302" w:rsidRPr="00A17302">
        <w:rPr>
          <w:rFonts w:ascii="Calibri" w:eastAsia="Calibri" w:hAnsi="Calibri" w:cs="Times New Roman"/>
        </w:rPr>
        <w:t>за периода 2013-2020 г. Част от тях са както следва:</w:t>
      </w:r>
    </w:p>
    <w:p w:rsidR="00A17302" w:rsidRPr="00A17302" w:rsidRDefault="00A17302"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A17302">
        <w:rPr>
          <w:rFonts w:ascii="Calibri" w:eastAsia="Calibri" w:hAnsi="Calibri" w:cs="Calibri"/>
          <w:bCs/>
        </w:rPr>
        <w:t>Намаляване относителния дял на пътуванията с лични моторни превозни средства чрез подобряване и развитие на обществения градски транспорт и чрез развитие на немоторизирания транспорт.</w:t>
      </w:r>
    </w:p>
    <w:p w:rsidR="00A17302" w:rsidRPr="00A17302" w:rsidRDefault="00A17302" w:rsidP="009C1CFD">
      <w:pPr>
        <w:widowControl w:val="0"/>
        <w:numPr>
          <w:ilvl w:val="0"/>
          <w:numId w:val="3"/>
        </w:numPr>
        <w:autoSpaceDE w:val="0"/>
        <w:autoSpaceDN w:val="0"/>
        <w:adjustRightInd w:val="0"/>
        <w:spacing w:before="240" w:after="0" w:line="239" w:lineRule="auto"/>
        <w:ind w:right="66"/>
        <w:jc w:val="both"/>
        <w:rPr>
          <w:rFonts w:ascii="Calibri" w:eastAsia="Calibri" w:hAnsi="Calibri" w:cs="Calibri"/>
          <w:bCs/>
        </w:rPr>
      </w:pPr>
      <w:r w:rsidRPr="00A17302">
        <w:rPr>
          <w:rFonts w:ascii="Calibri" w:eastAsia="Calibri" w:hAnsi="Calibri" w:cs="Calibri"/>
          <w:bCs/>
        </w:rPr>
        <w:t>Намаляване наполовина (50%) на МПС, използващи конвенционални горива в градския транспорт.</w:t>
      </w:r>
    </w:p>
    <w:p w:rsidR="00A17302" w:rsidRPr="00A17302" w:rsidRDefault="00A17302" w:rsidP="00A17302">
      <w:pPr>
        <w:widowControl w:val="0"/>
        <w:autoSpaceDE w:val="0"/>
        <w:autoSpaceDN w:val="0"/>
        <w:adjustRightInd w:val="0"/>
        <w:spacing w:before="240" w:after="0" w:line="239" w:lineRule="auto"/>
        <w:ind w:right="66"/>
        <w:jc w:val="both"/>
        <w:rPr>
          <w:rFonts w:ascii="Calibri" w:eastAsia="Calibri" w:hAnsi="Calibri" w:cs="Times New Roman"/>
          <w:b/>
          <w:i/>
          <w:smallCaps/>
          <w:u w:val="single"/>
        </w:rPr>
      </w:pPr>
      <w:r w:rsidRPr="00A17302">
        <w:rPr>
          <w:rFonts w:ascii="Calibri" w:eastAsia="Calibri" w:hAnsi="Calibri" w:cs="Times New Roman"/>
        </w:rPr>
        <w:t>В допълнение Плана за действие към Националната стратегия за околна среда 2009 – 2018 г. предвижда изпълнение на мерките от общинските програми по чл. 27 от ЗЧАВ за управление на КАВ в райони с нарушено качество на въздуха, в т.ч. актуализация на мерки от програмите при доказана необходимост.</w:t>
      </w:r>
    </w:p>
    <w:p w:rsidR="00A17302" w:rsidRPr="00A17302" w:rsidRDefault="0066481F" w:rsidP="00A17302">
      <w:pPr>
        <w:widowControl w:val="0"/>
        <w:autoSpaceDE w:val="0"/>
        <w:autoSpaceDN w:val="0"/>
        <w:adjustRightInd w:val="0"/>
        <w:spacing w:before="240" w:after="0" w:line="239" w:lineRule="auto"/>
        <w:ind w:right="66"/>
        <w:jc w:val="both"/>
        <w:rPr>
          <w:rFonts w:ascii="Calibri" w:eastAsia="Calibri" w:hAnsi="Calibri" w:cs="Times New Roman"/>
        </w:rPr>
      </w:pPr>
      <w:r w:rsidRPr="00BD60EC">
        <w:rPr>
          <w:rFonts w:ascii="Calibri" w:eastAsia="Calibri" w:hAnsi="Calibri" w:cs="Times New Roman"/>
          <w:b/>
          <w:i/>
        </w:rPr>
        <w:t>Анализът на предлагането</w:t>
      </w:r>
      <w:r w:rsidRPr="00BD60EC">
        <w:rPr>
          <w:rFonts w:ascii="Calibri" w:eastAsia="Calibri" w:hAnsi="Calibri" w:cs="Times New Roman"/>
        </w:rPr>
        <w:t xml:space="preserve"> на услуги в сектор Въздух в значителна степен зависи от наличното финансиране за инвестиции в мерки за подобряване качеството на атмосферния въздух. През изминалия програмен период ОП „Регионално развитие”  2007-2013 г. е финансира обновяване на подвижния състав на обществените превозвачи в големите градове. След разширяване обхвата на ОП „Околна среда 2007-2013 г.“, бяха предприети мерки за подобрява качеството на въздуха чрез закупуване на екологични превозни средства“.</w:t>
      </w:r>
    </w:p>
    <w:p w:rsidR="00A17302" w:rsidRPr="00A17302" w:rsidRDefault="00A17302" w:rsidP="00A17302">
      <w:pPr>
        <w:widowControl w:val="0"/>
        <w:autoSpaceDE w:val="0"/>
        <w:autoSpaceDN w:val="0"/>
        <w:adjustRightInd w:val="0"/>
        <w:spacing w:before="240" w:after="0" w:line="239" w:lineRule="auto"/>
        <w:ind w:right="66"/>
        <w:jc w:val="both"/>
        <w:rPr>
          <w:rFonts w:ascii="Calibri" w:eastAsia="Calibri" w:hAnsi="Calibri" w:cs="Times New Roman"/>
        </w:rPr>
      </w:pPr>
      <w:r w:rsidRPr="00A17302">
        <w:rPr>
          <w:rFonts w:ascii="Calibri" w:eastAsia="Calibri" w:hAnsi="Calibri" w:cs="Times New Roman"/>
        </w:rPr>
        <w:t xml:space="preserve">През новия програмен период 2014-2020 г. ОПОС ще финансира мерки, насочени към подобряване качеството на атмосферния въздух, в т.ч.: </w:t>
      </w:r>
    </w:p>
    <w:p w:rsidR="00A17302" w:rsidRPr="00A17302" w:rsidRDefault="00A17302" w:rsidP="009C1CFD">
      <w:pPr>
        <w:widowControl w:val="0"/>
        <w:numPr>
          <w:ilvl w:val="0"/>
          <w:numId w:val="3"/>
        </w:numPr>
        <w:autoSpaceDE w:val="0"/>
        <w:autoSpaceDN w:val="0"/>
        <w:adjustRightInd w:val="0"/>
        <w:spacing w:before="240" w:line="239" w:lineRule="auto"/>
        <w:ind w:right="66"/>
        <w:jc w:val="both"/>
        <w:rPr>
          <w:rFonts w:ascii="Calibri" w:eastAsia="Calibri" w:hAnsi="Calibri" w:cs="Calibri"/>
          <w:bCs/>
        </w:rPr>
      </w:pPr>
      <w:r w:rsidRPr="00A17302">
        <w:rPr>
          <w:rFonts w:ascii="Calibri" w:eastAsia="Calibri" w:hAnsi="Calibri" w:cs="Calibri"/>
          <w:bCs/>
        </w:rPr>
        <w:t xml:space="preserve">преглед и анализ на общинските програми за качеството на атмосферния въздух – определяне на източниците на емисии, инвентаризация на емисиите на замърсители от тези източници, моделна оценка, мерки за постигане на съответствие и пр.; </w:t>
      </w:r>
    </w:p>
    <w:p w:rsidR="00A17302" w:rsidRPr="00A17302" w:rsidRDefault="00A17302" w:rsidP="009C1CFD">
      <w:pPr>
        <w:widowControl w:val="0"/>
        <w:numPr>
          <w:ilvl w:val="0"/>
          <w:numId w:val="3"/>
        </w:numPr>
        <w:autoSpaceDE w:val="0"/>
        <w:autoSpaceDN w:val="0"/>
        <w:adjustRightInd w:val="0"/>
        <w:spacing w:line="239" w:lineRule="auto"/>
        <w:ind w:right="66"/>
        <w:jc w:val="both"/>
        <w:rPr>
          <w:rFonts w:ascii="Calibri" w:eastAsia="Calibri" w:hAnsi="Calibri" w:cs="Calibri"/>
          <w:bCs/>
        </w:rPr>
      </w:pPr>
      <w:r w:rsidRPr="00A17302">
        <w:rPr>
          <w:rFonts w:ascii="Calibri" w:eastAsia="Calibri" w:hAnsi="Calibri" w:cs="Calibri"/>
          <w:bCs/>
        </w:rPr>
        <w:t xml:space="preserve">подпомагане на компетентните органи при изготвянето/преработването, изпълнението и </w:t>
      </w:r>
      <w:r w:rsidRPr="00A17302">
        <w:rPr>
          <w:rFonts w:ascii="Calibri" w:eastAsia="Calibri" w:hAnsi="Calibri" w:cs="Calibri"/>
          <w:bCs/>
        </w:rPr>
        <w:lastRenderedPageBreak/>
        <w:t>контрола на общинските програми и мониторинга на качеството на атмосферния въздух, в т. ч. определяне на източниците на емисии, инвентаризация на емисиите на замърсители от тези източници, моделна оценка и прилагане на адекватни към местните условия мерки за подобряването на качеството на въздуха;</w:t>
      </w:r>
    </w:p>
    <w:p w:rsidR="00A17302" w:rsidRPr="00A17302" w:rsidRDefault="00A17302" w:rsidP="009C1CFD">
      <w:pPr>
        <w:widowControl w:val="0"/>
        <w:numPr>
          <w:ilvl w:val="0"/>
          <w:numId w:val="3"/>
        </w:numPr>
        <w:autoSpaceDE w:val="0"/>
        <w:autoSpaceDN w:val="0"/>
        <w:adjustRightInd w:val="0"/>
        <w:spacing w:line="239" w:lineRule="auto"/>
        <w:ind w:right="66"/>
        <w:jc w:val="both"/>
        <w:rPr>
          <w:rFonts w:ascii="Calibri" w:eastAsia="Calibri" w:hAnsi="Calibri" w:cs="Calibri"/>
          <w:bCs/>
        </w:rPr>
      </w:pPr>
      <w:r w:rsidRPr="00A17302">
        <w:rPr>
          <w:rFonts w:ascii="Calibri" w:eastAsia="Calibri" w:hAnsi="Calibri" w:cs="Calibri"/>
          <w:bCs/>
        </w:rPr>
        <w:t>осигуряване на многофункционална почистваща техника (вкл. за измиване на пътни платна, площади и тротоари) за  трайно и постоянно отнемане на праховите частици;</w:t>
      </w:r>
    </w:p>
    <w:p w:rsidR="00A17302" w:rsidRPr="00A17302" w:rsidRDefault="00A17302" w:rsidP="009C1CFD">
      <w:pPr>
        <w:widowControl w:val="0"/>
        <w:numPr>
          <w:ilvl w:val="0"/>
          <w:numId w:val="3"/>
        </w:numPr>
        <w:autoSpaceDE w:val="0"/>
        <w:autoSpaceDN w:val="0"/>
        <w:adjustRightInd w:val="0"/>
        <w:spacing w:line="239" w:lineRule="auto"/>
        <w:ind w:right="66"/>
        <w:jc w:val="both"/>
        <w:rPr>
          <w:rFonts w:ascii="Calibri" w:eastAsia="Calibri" w:hAnsi="Calibri" w:cs="Calibri"/>
          <w:bCs/>
        </w:rPr>
      </w:pPr>
      <w:r w:rsidRPr="00A17302">
        <w:rPr>
          <w:rFonts w:ascii="Calibri" w:eastAsia="Calibri" w:hAnsi="Calibri" w:cs="Calibri"/>
          <w:bCs/>
        </w:rPr>
        <w:t xml:space="preserve">мерки, свързани с намаляване на емисиите на замърсители от превозните средства на обществения градски транспорт в т.ч. намаляване използването на конвенционалните горива в обществения транспорт; замяна на изпускателните устройства (retrofitting) на превозните средства за градски транспорт; </w:t>
      </w:r>
    </w:p>
    <w:p w:rsidR="00A17302" w:rsidRPr="00A17302" w:rsidRDefault="00A17302" w:rsidP="009C1CFD">
      <w:pPr>
        <w:widowControl w:val="0"/>
        <w:numPr>
          <w:ilvl w:val="0"/>
          <w:numId w:val="3"/>
        </w:numPr>
        <w:autoSpaceDE w:val="0"/>
        <w:autoSpaceDN w:val="0"/>
        <w:adjustRightInd w:val="0"/>
        <w:spacing w:line="239" w:lineRule="auto"/>
        <w:ind w:right="66"/>
        <w:jc w:val="both"/>
        <w:rPr>
          <w:rFonts w:ascii="Calibri" w:eastAsia="Calibri" w:hAnsi="Calibri" w:cs="Calibri"/>
          <w:bCs/>
        </w:rPr>
      </w:pPr>
      <w:r w:rsidRPr="00A17302">
        <w:rPr>
          <w:rFonts w:ascii="Calibri" w:eastAsia="Calibri" w:hAnsi="Calibri" w:cs="Calibri"/>
          <w:bCs/>
        </w:rPr>
        <w:t>изграждане, при необходимост, на системи за ранно предупреждение за замърсяване на атмосферния въздух при неблагоприятни метеорологични условия в контекста на анализа на общинските програми;</w:t>
      </w:r>
    </w:p>
    <w:p w:rsidR="00A17302" w:rsidRPr="00A17302" w:rsidRDefault="00A17302" w:rsidP="009C1CFD">
      <w:pPr>
        <w:widowControl w:val="0"/>
        <w:numPr>
          <w:ilvl w:val="0"/>
          <w:numId w:val="3"/>
        </w:numPr>
        <w:autoSpaceDE w:val="0"/>
        <w:autoSpaceDN w:val="0"/>
        <w:adjustRightInd w:val="0"/>
        <w:spacing w:line="239" w:lineRule="auto"/>
        <w:ind w:right="66"/>
        <w:jc w:val="both"/>
        <w:rPr>
          <w:rFonts w:ascii="Calibri" w:eastAsia="Calibri" w:hAnsi="Calibri" w:cs="Calibri"/>
          <w:bCs/>
        </w:rPr>
      </w:pPr>
      <w:r w:rsidRPr="00A17302">
        <w:rPr>
          <w:rFonts w:ascii="Calibri" w:eastAsia="Calibri" w:hAnsi="Calibri" w:cs="Calibri"/>
          <w:bCs/>
        </w:rPr>
        <w:t>изпълнение на демонстрационни/пилотни проекти, свързани с мерки за подобряването на качеството на въздуха в т.ч. за развитие на алтернативни начини за придвижване.</w:t>
      </w:r>
    </w:p>
    <w:p w:rsidR="00A17302" w:rsidRPr="00A17302" w:rsidRDefault="00A17302" w:rsidP="00A17302">
      <w:pPr>
        <w:widowControl w:val="0"/>
        <w:autoSpaceDE w:val="0"/>
        <w:autoSpaceDN w:val="0"/>
        <w:adjustRightInd w:val="0"/>
        <w:spacing w:before="240" w:line="239" w:lineRule="auto"/>
        <w:ind w:right="66"/>
        <w:jc w:val="both"/>
        <w:rPr>
          <w:rFonts w:ascii="Calibri" w:eastAsia="Calibri" w:hAnsi="Calibri" w:cs="Calibri"/>
          <w:bCs/>
        </w:rPr>
      </w:pPr>
      <w:r w:rsidRPr="00A17302">
        <w:rPr>
          <w:rFonts w:ascii="Calibri" w:eastAsia="Calibri" w:hAnsi="Calibri" w:cs="Calibri"/>
          <w:bCs/>
        </w:rPr>
        <w:t>Предвиденият финансов ресурс за тези мерки е на обща стойност 58 823 529 евро.</w:t>
      </w:r>
    </w:p>
    <w:p w:rsidR="00A17302" w:rsidRDefault="00EB6D72" w:rsidP="00A17302">
      <w:pPr>
        <w:widowControl w:val="0"/>
        <w:autoSpaceDE w:val="0"/>
        <w:autoSpaceDN w:val="0"/>
        <w:adjustRightInd w:val="0"/>
        <w:spacing w:before="240" w:after="0" w:line="239" w:lineRule="auto"/>
        <w:ind w:right="66"/>
        <w:jc w:val="both"/>
        <w:rPr>
          <w:rFonts w:ascii="Calibri" w:eastAsia="Calibri" w:hAnsi="Calibri" w:cs="Calibri"/>
          <w:bCs/>
        </w:rPr>
      </w:pPr>
      <w:r>
        <w:rPr>
          <w:rFonts w:ascii="Calibri" w:eastAsia="Calibri" w:hAnsi="Calibri" w:cs="Calibri"/>
          <w:bCs/>
        </w:rPr>
        <w:t xml:space="preserve">Тук следва да се отбележи, обаче че </w:t>
      </w:r>
      <w:r w:rsidRPr="00EB6D72">
        <w:rPr>
          <w:rFonts w:ascii="Calibri" w:eastAsia="Calibri" w:hAnsi="Calibri" w:cs="Calibri"/>
          <w:b/>
          <w:bCs/>
          <w:i/>
        </w:rPr>
        <w:t>поради липса на достатъчно достоверна информация, към настоящия момент не може да бъде направен анализ на инвестиционния недостиг в сектор Въздух.</w:t>
      </w:r>
    </w:p>
    <w:p w:rsidR="00EB6D72" w:rsidRPr="00A17302" w:rsidRDefault="00EB6D72" w:rsidP="00A17302">
      <w:pPr>
        <w:widowControl w:val="0"/>
        <w:autoSpaceDE w:val="0"/>
        <w:autoSpaceDN w:val="0"/>
        <w:adjustRightInd w:val="0"/>
        <w:spacing w:before="240" w:after="0" w:line="239" w:lineRule="auto"/>
        <w:ind w:right="66"/>
        <w:jc w:val="both"/>
        <w:rPr>
          <w:rFonts w:ascii="Calibri" w:eastAsia="Calibri" w:hAnsi="Calibri" w:cs="Calibri"/>
          <w:bCs/>
        </w:rPr>
      </w:pPr>
    </w:p>
    <w:p w:rsidR="006003D1" w:rsidRDefault="006003D1" w:rsidP="006003D1">
      <w:pPr>
        <w:keepNext/>
        <w:keepLines/>
        <w:spacing w:before="120" w:after="120"/>
        <w:outlineLvl w:val="2"/>
        <w:rPr>
          <w:rFonts w:ascii="Calibri" w:eastAsia="Calibri" w:hAnsi="Calibri" w:cs="Times New Roman"/>
          <w:color w:val="243F60"/>
          <w:sz w:val="24"/>
          <w:szCs w:val="24"/>
        </w:rPr>
      </w:pPr>
      <w:bookmarkStart w:id="58" w:name="_Toc399494525"/>
      <w:r>
        <w:rPr>
          <w:rFonts w:ascii="Calibri" w:eastAsia="Calibri" w:hAnsi="Calibri" w:cs="Times New Roman"/>
          <w:color w:val="243F60"/>
          <w:sz w:val="24"/>
          <w:szCs w:val="24"/>
        </w:rPr>
        <w:t>1.3.</w:t>
      </w:r>
      <w:r w:rsidR="00714120">
        <w:rPr>
          <w:rFonts w:ascii="Calibri" w:eastAsia="Calibri" w:hAnsi="Calibri" w:cs="Times New Roman"/>
          <w:color w:val="243F60"/>
          <w:sz w:val="24"/>
          <w:szCs w:val="24"/>
        </w:rPr>
        <w:t>4</w:t>
      </w:r>
      <w:r w:rsidRPr="00A17302">
        <w:rPr>
          <w:rFonts w:ascii="Calibri" w:eastAsia="Calibri" w:hAnsi="Calibri" w:cs="Times New Roman"/>
          <w:color w:val="243F60"/>
          <w:sz w:val="24"/>
          <w:szCs w:val="24"/>
        </w:rPr>
        <w:t xml:space="preserve">. </w:t>
      </w:r>
      <w:r>
        <w:rPr>
          <w:rFonts w:ascii="Calibri" w:eastAsia="Calibri" w:hAnsi="Calibri" w:cs="Times New Roman"/>
          <w:color w:val="243F60"/>
          <w:sz w:val="24"/>
          <w:szCs w:val="24"/>
        </w:rPr>
        <w:t>Анализ на търсенето и предлагането на финансиране</w:t>
      </w:r>
      <w:bookmarkEnd w:id="58"/>
      <w:r w:rsidRPr="00A17302">
        <w:rPr>
          <w:rFonts w:ascii="Calibri" w:eastAsia="Calibri" w:hAnsi="Calibri" w:cs="Times New Roman"/>
          <w:color w:val="243F60"/>
          <w:sz w:val="24"/>
          <w:szCs w:val="24"/>
        </w:rPr>
        <w:t xml:space="preserve"> </w:t>
      </w:r>
    </w:p>
    <w:p w:rsidR="000347B7" w:rsidRPr="009811D3" w:rsidRDefault="000347B7" w:rsidP="00DF6FCF">
      <w:pPr>
        <w:numPr>
          <w:ilvl w:val="0"/>
          <w:numId w:val="24"/>
        </w:numPr>
        <w:spacing w:after="200" w:line="276" w:lineRule="auto"/>
        <w:ind w:left="1134"/>
        <w:jc w:val="both"/>
        <w:rPr>
          <w:rFonts w:ascii="Calibri" w:eastAsia="Calibri" w:hAnsi="Calibri" w:cs="Times New Roman"/>
          <w:b/>
          <w:color w:val="4F81BD"/>
        </w:rPr>
      </w:pPr>
      <w:r w:rsidRPr="009811D3">
        <w:rPr>
          <w:rFonts w:ascii="Calibri" w:eastAsia="Calibri" w:hAnsi="Calibri" w:cs="Times New Roman"/>
          <w:b/>
          <w:color w:val="4F81BD"/>
        </w:rPr>
        <w:t>Схем</w:t>
      </w:r>
      <w:r>
        <w:rPr>
          <w:rFonts w:ascii="Calibri" w:eastAsia="Calibri" w:hAnsi="Calibri" w:cs="Times New Roman"/>
          <w:b/>
          <w:color w:val="4F81BD"/>
        </w:rPr>
        <w:t xml:space="preserve">и на финансиране на проектите </w:t>
      </w:r>
      <w:r w:rsidRPr="009811D3">
        <w:rPr>
          <w:rFonts w:ascii="Calibri" w:eastAsia="Calibri" w:hAnsi="Calibri" w:cs="Times New Roman"/>
          <w:b/>
          <w:color w:val="4F81BD"/>
        </w:rPr>
        <w:t xml:space="preserve">в </w:t>
      </w:r>
      <w:r>
        <w:rPr>
          <w:rFonts w:ascii="Calibri" w:eastAsia="Calibri" w:hAnsi="Calibri" w:cs="Times New Roman"/>
          <w:b/>
          <w:color w:val="4F81BD"/>
        </w:rPr>
        <w:t>сектор Въздух</w:t>
      </w:r>
      <w:r w:rsidRPr="009811D3">
        <w:rPr>
          <w:rFonts w:ascii="Calibri" w:eastAsia="Calibri" w:hAnsi="Calibri" w:cs="Times New Roman"/>
          <w:b/>
          <w:color w:val="4F81BD"/>
        </w:rPr>
        <w:t xml:space="preserve"> в периода 2007-2013 г.</w:t>
      </w:r>
    </w:p>
    <w:p w:rsidR="0009491A" w:rsidRDefault="0009491A" w:rsidP="0009491A">
      <w:pPr>
        <w:widowControl w:val="0"/>
        <w:autoSpaceDE w:val="0"/>
        <w:autoSpaceDN w:val="0"/>
        <w:adjustRightInd w:val="0"/>
        <w:spacing w:before="240" w:after="0" w:line="239" w:lineRule="auto"/>
        <w:ind w:right="66"/>
        <w:jc w:val="both"/>
        <w:rPr>
          <w:rFonts w:ascii="Calibri" w:eastAsia="Calibri" w:hAnsi="Calibri" w:cs="Times New Roman"/>
        </w:rPr>
      </w:pPr>
      <w:r w:rsidRPr="00A17302">
        <w:rPr>
          <w:rFonts w:ascii="Calibri" w:eastAsia="Calibri" w:hAnsi="Calibri" w:cs="Times New Roman"/>
        </w:rPr>
        <w:t xml:space="preserve">На 14.02.2013 г. Европейската комисия одобрява изменението на Оперативна програма „Околна среда 2007 – 2013 г.”. Изменението цели разширяване обхвата на програмата, чрез включването на нови мерки, които отговарят на важни приоритети в сектор „Околна среда”. Те са насочени към подобряване качеството на атмосферния въздух в големите градове, предотвратяване и борба с наводненията и горските пожари, мониторинг и защита на водите.  След изменението на програмата е обявена процедура за БФП </w:t>
      </w:r>
      <w:r w:rsidRPr="00A17302">
        <w:rPr>
          <w:rFonts w:ascii="Calibri" w:eastAsia="Calibri" w:hAnsi="Calibri" w:cs="Times New Roman"/>
          <w:bCs/>
        </w:rPr>
        <w:t>BG161PO005/13/1.50/01/35</w:t>
      </w:r>
      <w:r w:rsidRPr="00A17302">
        <w:rPr>
          <w:rFonts w:ascii="Calibri" w:eastAsia="Calibri" w:hAnsi="Calibri" w:cs="Times New Roman"/>
          <w:b/>
          <w:bCs/>
        </w:rPr>
        <w:t xml:space="preserve"> </w:t>
      </w:r>
      <w:r w:rsidRPr="00A17302">
        <w:rPr>
          <w:rFonts w:ascii="Calibri" w:eastAsia="Calibri" w:hAnsi="Calibri" w:cs="Times New Roman"/>
        </w:rPr>
        <w:t>“Мерки за подобряване качеството на атмосферния въздух чрез осигуряване на екологични превозни средства на градския</w:t>
      </w:r>
      <w:r w:rsidRPr="00A17302">
        <w:rPr>
          <w:rFonts w:ascii="Calibri" w:eastAsia="Calibri" w:hAnsi="Calibri" w:cs="Times New Roman"/>
          <w:bCs/>
        </w:rPr>
        <w:t xml:space="preserve"> транспорт” с о</w:t>
      </w:r>
      <w:r w:rsidRPr="00A17302">
        <w:rPr>
          <w:rFonts w:ascii="Calibri" w:eastAsia="Calibri" w:hAnsi="Calibri" w:cs="Times New Roman"/>
        </w:rPr>
        <w:t>бщ размер на безвъзмездната финансова помощ от</w:t>
      </w:r>
      <w:r w:rsidRPr="00A17302">
        <w:rPr>
          <w:rFonts w:ascii="Calibri" w:eastAsia="Calibri" w:hAnsi="Calibri" w:cs="Times New Roman"/>
          <w:bCs/>
        </w:rPr>
        <w:t xml:space="preserve"> 389 983 958 лв.</w:t>
      </w:r>
      <w:r w:rsidRPr="00A17302">
        <w:rPr>
          <w:rFonts w:ascii="Arial" w:eastAsia="Calibri" w:hAnsi="Arial" w:cs="Arial"/>
          <w:color w:val="6A6A6A"/>
          <w:sz w:val="20"/>
          <w:szCs w:val="20"/>
          <w:shd w:val="clear" w:color="auto" w:fill="FFFFFF"/>
        </w:rPr>
        <w:t xml:space="preserve"> </w:t>
      </w:r>
      <w:r w:rsidRPr="00A17302">
        <w:rPr>
          <w:rFonts w:ascii="Calibri" w:eastAsia="Calibri" w:hAnsi="Calibri" w:cs="Times New Roman"/>
        </w:rPr>
        <w:t>Конкретната цел на тази процедура е да се обезпечи изпълнението на дейности за подобряване качеството на атмосферния въздух чрез закупуване и доставка на нови тролейбуси, трамваи, метровлакове и автобуси.</w:t>
      </w:r>
    </w:p>
    <w:p w:rsidR="00EB6D72" w:rsidRDefault="00EB6D72" w:rsidP="0009491A">
      <w:pPr>
        <w:widowControl w:val="0"/>
        <w:autoSpaceDE w:val="0"/>
        <w:autoSpaceDN w:val="0"/>
        <w:adjustRightInd w:val="0"/>
        <w:spacing w:before="240" w:after="0" w:line="239" w:lineRule="auto"/>
        <w:ind w:right="66"/>
        <w:jc w:val="both"/>
        <w:rPr>
          <w:rFonts w:ascii="Calibri" w:eastAsia="Calibri" w:hAnsi="Calibri" w:cs="Times New Roman"/>
        </w:rPr>
      </w:pPr>
    </w:p>
    <w:p w:rsidR="008E4057" w:rsidRDefault="008E4057" w:rsidP="0009491A">
      <w:pPr>
        <w:widowControl w:val="0"/>
        <w:autoSpaceDE w:val="0"/>
        <w:autoSpaceDN w:val="0"/>
        <w:adjustRightInd w:val="0"/>
        <w:spacing w:before="240" w:after="0" w:line="239" w:lineRule="auto"/>
        <w:ind w:right="66"/>
        <w:jc w:val="both"/>
        <w:rPr>
          <w:rFonts w:ascii="Calibri" w:eastAsia="Calibri" w:hAnsi="Calibri" w:cs="Times New Roman"/>
        </w:rPr>
      </w:pPr>
    </w:p>
    <w:p w:rsidR="008E4057" w:rsidRDefault="008E4057" w:rsidP="0009491A">
      <w:pPr>
        <w:widowControl w:val="0"/>
        <w:autoSpaceDE w:val="0"/>
        <w:autoSpaceDN w:val="0"/>
        <w:adjustRightInd w:val="0"/>
        <w:spacing w:before="240" w:after="0" w:line="239" w:lineRule="auto"/>
        <w:ind w:right="66"/>
        <w:jc w:val="both"/>
        <w:rPr>
          <w:rFonts w:ascii="Calibri" w:eastAsia="Calibri" w:hAnsi="Calibri" w:cs="Times New Roman"/>
          <w:lang w:val="en-US"/>
        </w:rPr>
      </w:pPr>
    </w:p>
    <w:p w:rsidR="00722616" w:rsidRPr="00722616" w:rsidRDefault="00722616" w:rsidP="0009491A">
      <w:pPr>
        <w:widowControl w:val="0"/>
        <w:autoSpaceDE w:val="0"/>
        <w:autoSpaceDN w:val="0"/>
        <w:adjustRightInd w:val="0"/>
        <w:spacing w:before="240" w:after="0" w:line="239" w:lineRule="auto"/>
        <w:ind w:right="66"/>
        <w:jc w:val="both"/>
        <w:rPr>
          <w:rFonts w:ascii="Calibri" w:eastAsia="Calibri" w:hAnsi="Calibri" w:cs="Times New Roman"/>
          <w:lang w:val="en-US"/>
        </w:rPr>
      </w:pPr>
    </w:p>
    <w:p w:rsidR="0009491A" w:rsidRPr="00A17302" w:rsidRDefault="0009491A" w:rsidP="0009491A">
      <w:pPr>
        <w:widowControl w:val="0"/>
        <w:autoSpaceDE w:val="0"/>
        <w:autoSpaceDN w:val="0"/>
        <w:adjustRightInd w:val="0"/>
        <w:spacing w:before="240" w:after="200" w:line="239" w:lineRule="auto"/>
        <w:ind w:right="66"/>
        <w:jc w:val="both"/>
        <w:rPr>
          <w:rFonts w:ascii="Calibri" w:eastAsia="Calibri" w:hAnsi="Calibri" w:cs="Times New Roman"/>
          <w:i/>
        </w:rPr>
      </w:pPr>
      <w:r w:rsidRPr="00A17302">
        <w:rPr>
          <w:rFonts w:ascii="Calibri" w:eastAsia="Calibri" w:hAnsi="Calibri" w:cs="Times New Roman"/>
          <w:i/>
        </w:rPr>
        <w:lastRenderedPageBreak/>
        <w:t>Процедура: BG161PO005-1.0.12 Мерки за подобряване качеството на атмосферния въздух чрез осигуряване на екологични превозни средства на градския транспорт</w:t>
      </w:r>
    </w:p>
    <w:tbl>
      <w:tblPr>
        <w:tblStyle w:val="LightList-Accent51"/>
        <w:tblW w:w="9303" w:type="dxa"/>
        <w:jc w:val="center"/>
        <w:tblLook w:val="04A0" w:firstRow="1" w:lastRow="0" w:firstColumn="1" w:lastColumn="0" w:noHBand="0" w:noVBand="1"/>
      </w:tblPr>
      <w:tblGrid>
        <w:gridCol w:w="3713"/>
        <w:gridCol w:w="1686"/>
        <w:gridCol w:w="2140"/>
        <w:gridCol w:w="1764"/>
      </w:tblGrid>
      <w:tr w:rsidR="0009491A" w:rsidRPr="00A17302" w:rsidTr="00EB6D72">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3713" w:type="dxa"/>
            <w:hideMark/>
          </w:tcPr>
          <w:p w:rsidR="0009491A" w:rsidRPr="00A17302" w:rsidRDefault="0009491A" w:rsidP="0009491A">
            <w:pPr>
              <w:jc w:val="center"/>
              <w:rPr>
                <w:rFonts w:ascii="Calibri" w:eastAsia="Times New Roman" w:hAnsi="Calibri" w:cs="Calibri"/>
                <w:color w:val="F1F0E1"/>
                <w:lang w:eastAsia="bg-BG"/>
              </w:rPr>
            </w:pPr>
            <w:r w:rsidRPr="00A17302">
              <w:rPr>
                <w:rFonts w:ascii="Calibri" w:eastAsia="Times New Roman" w:hAnsi="Calibri" w:cs="Calibri"/>
                <w:color w:val="F1F0E1"/>
                <w:lang w:eastAsia="bg-BG"/>
              </w:rPr>
              <w:t>~</w:t>
            </w:r>
            <w:r w:rsidRPr="00A17302">
              <w:rPr>
                <w:rFonts w:ascii="Calibri" w:eastAsia="Times New Roman" w:hAnsi="Calibri" w:cs="Calibri"/>
                <w:lang w:eastAsia="bg-BG"/>
              </w:rPr>
              <w:t xml:space="preserve"> Бенефициент</w:t>
            </w:r>
          </w:p>
        </w:tc>
        <w:tc>
          <w:tcPr>
            <w:tcW w:w="1686" w:type="dxa"/>
            <w:hideMark/>
          </w:tcPr>
          <w:p w:rsidR="0009491A" w:rsidRPr="00A17302" w:rsidRDefault="0009491A" w:rsidP="0009491A">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A17302">
              <w:rPr>
                <w:rFonts w:ascii="Calibri" w:eastAsia="Times New Roman" w:hAnsi="Calibri" w:cs="Calibri"/>
                <w:lang w:eastAsia="bg-BG"/>
              </w:rPr>
              <w:t>Обща стойност (лева)</w:t>
            </w:r>
          </w:p>
        </w:tc>
        <w:tc>
          <w:tcPr>
            <w:tcW w:w="2140" w:type="dxa"/>
            <w:hideMark/>
          </w:tcPr>
          <w:p w:rsidR="0009491A" w:rsidRPr="00A17302" w:rsidRDefault="0009491A" w:rsidP="0009491A">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A17302">
              <w:rPr>
                <w:rFonts w:ascii="Calibri" w:eastAsia="Times New Roman" w:hAnsi="Calibri" w:cs="Calibri"/>
                <w:lang w:eastAsia="bg-BG"/>
              </w:rPr>
              <w:t>Реално изплатени суми (лева)</w:t>
            </w:r>
          </w:p>
        </w:tc>
        <w:tc>
          <w:tcPr>
            <w:tcW w:w="1764" w:type="dxa"/>
            <w:hideMark/>
          </w:tcPr>
          <w:p w:rsidR="0009491A" w:rsidRPr="00A17302" w:rsidRDefault="0009491A" w:rsidP="0009491A">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A17302">
              <w:rPr>
                <w:rFonts w:ascii="Calibri" w:eastAsia="Times New Roman" w:hAnsi="Calibri" w:cs="Calibri"/>
                <w:lang w:eastAsia="bg-BG"/>
              </w:rPr>
              <w:t>Продълж. (месеци)</w:t>
            </w:r>
          </w:p>
        </w:tc>
      </w:tr>
      <w:tr w:rsidR="0009491A" w:rsidRPr="00A17302" w:rsidTr="00EB6D72">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713" w:type="dxa"/>
            <w:hideMark/>
          </w:tcPr>
          <w:p w:rsidR="0009491A" w:rsidRPr="00A17302" w:rsidRDefault="0009491A" w:rsidP="0009491A">
            <w:pPr>
              <w:rPr>
                <w:rFonts w:ascii="Calibri" w:eastAsia="Times New Roman" w:hAnsi="Calibri" w:cs="Calibri"/>
                <w:color w:val="003399"/>
                <w:lang w:eastAsia="bg-BG"/>
              </w:rPr>
            </w:pPr>
            <w:r w:rsidRPr="00A17302">
              <w:rPr>
                <w:rFonts w:ascii="Calibri" w:eastAsia="Times New Roman" w:hAnsi="Calibri" w:cs="Calibri"/>
                <w:color w:val="003399"/>
                <w:lang w:eastAsia="bg-BG"/>
              </w:rPr>
              <w:t>Столична община в партньорство със „Столичен автотранспорт” ЕАД</w:t>
            </w:r>
          </w:p>
        </w:tc>
        <w:tc>
          <w:tcPr>
            <w:tcW w:w="1686" w:type="dxa"/>
            <w:noWrap/>
            <w:hideMark/>
          </w:tcPr>
          <w:p w:rsidR="0009491A" w:rsidRPr="00A17302" w:rsidRDefault="0009491A" w:rsidP="0009491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66 283 581,60</w:t>
            </w:r>
          </w:p>
        </w:tc>
        <w:tc>
          <w:tcPr>
            <w:tcW w:w="2140" w:type="dxa"/>
            <w:noWrap/>
            <w:hideMark/>
          </w:tcPr>
          <w:p w:rsidR="0009491A" w:rsidRPr="00A17302" w:rsidRDefault="0009491A" w:rsidP="0009491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53 026 865,28</w:t>
            </w:r>
          </w:p>
        </w:tc>
        <w:tc>
          <w:tcPr>
            <w:tcW w:w="1764" w:type="dxa"/>
            <w:hideMark/>
          </w:tcPr>
          <w:p w:rsidR="0009491A" w:rsidRPr="00A17302" w:rsidRDefault="0009491A" w:rsidP="0009491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16,00</w:t>
            </w:r>
          </w:p>
        </w:tc>
      </w:tr>
      <w:tr w:rsidR="0009491A" w:rsidRPr="00A17302" w:rsidTr="00EB6D72">
        <w:trPr>
          <w:trHeight w:val="300"/>
          <w:jc w:val="center"/>
        </w:trPr>
        <w:tc>
          <w:tcPr>
            <w:cnfStyle w:val="001000000000" w:firstRow="0" w:lastRow="0" w:firstColumn="1" w:lastColumn="0" w:oddVBand="0" w:evenVBand="0" w:oddHBand="0" w:evenHBand="0" w:firstRowFirstColumn="0" w:firstRowLastColumn="0" w:lastRowFirstColumn="0" w:lastRowLastColumn="0"/>
            <w:tcW w:w="3713" w:type="dxa"/>
            <w:hideMark/>
          </w:tcPr>
          <w:p w:rsidR="0009491A" w:rsidRPr="00A17302" w:rsidRDefault="0009491A" w:rsidP="0009491A">
            <w:pPr>
              <w:rPr>
                <w:rFonts w:ascii="Calibri" w:eastAsia="Times New Roman" w:hAnsi="Calibri" w:cs="Calibri"/>
                <w:color w:val="003399"/>
                <w:lang w:eastAsia="bg-BG"/>
              </w:rPr>
            </w:pPr>
            <w:r w:rsidRPr="00A17302">
              <w:rPr>
                <w:rFonts w:ascii="Calibri" w:eastAsia="Times New Roman" w:hAnsi="Calibri" w:cs="Calibri"/>
                <w:color w:val="003399"/>
                <w:lang w:eastAsia="bg-BG"/>
              </w:rPr>
              <w:t>Столична община в партньорство с „Метрополитен” ЕАД</w:t>
            </w:r>
          </w:p>
        </w:tc>
        <w:tc>
          <w:tcPr>
            <w:tcW w:w="1686" w:type="dxa"/>
            <w:noWrap/>
            <w:hideMark/>
          </w:tcPr>
          <w:p w:rsidR="0009491A" w:rsidRPr="00A17302" w:rsidRDefault="0009491A" w:rsidP="0009491A">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80 173 250,15</w:t>
            </w:r>
          </w:p>
        </w:tc>
        <w:tc>
          <w:tcPr>
            <w:tcW w:w="2140" w:type="dxa"/>
            <w:noWrap/>
            <w:hideMark/>
          </w:tcPr>
          <w:p w:rsidR="0009491A" w:rsidRPr="00A17302" w:rsidRDefault="0009491A" w:rsidP="0009491A">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64 138 600,12</w:t>
            </w:r>
          </w:p>
        </w:tc>
        <w:tc>
          <w:tcPr>
            <w:tcW w:w="1764" w:type="dxa"/>
            <w:hideMark/>
          </w:tcPr>
          <w:p w:rsidR="0009491A" w:rsidRPr="00A17302" w:rsidRDefault="0009491A" w:rsidP="0009491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13,00</w:t>
            </w:r>
          </w:p>
        </w:tc>
      </w:tr>
      <w:tr w:rsidR="0009491A" w:rsidRPr="00A17302" w:rsidTr="00EB6D72">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713" w:type="dxa"/>
            <w:hideMark/>
          </w:tcPr>
          <w:p w:rsidR="0009491A" w:rsidRPr="00A17302" w:rsidRDefault="0009491A" w:rsidP="0009491A">
            <w:pPr>
              <w:rPr>
                <w:rFonts w:ascii="Calibri" w:eastAsia="Times New Roman" w:hAnsi="Calibri" w:cs="Calibri"/>
                <w:color w:val="003399"/>
                <w:lang w:eastAsia="bg-BG"/>
              </w:rPr>
            </w:pPr>
            <w:r w:rsidRPr="00A17302">
              <w:rPr>
                <w:rFonts w:ascii="Calibri" w:eastAsia="Times New Roman" w:hAnsi="Calibri" w:cs="Calibri"/>
                <w:color w:val="003399"/>
                <w:lang w:eastAsia="bg-BG"/>
              </w:rPr>
              <w:t>Столична община в партньорство със „Столичен електротранспорт” ЕАД</w:t>
            </w:r>
          </w:p>
        </w:tc>
        <w:tc>
          <w:tcPr>
            <w:tcW w:w="1686" w:type="dxa"/>
            <w:noWrap/>
            <w:hideMark/>
          </w:tcPr>
          <w:p w:rsidR="0009491A" w:rsidRPr="00A17302" w:rsidRDefault="0009491A" w:rsidP="0009491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81 505 912,87</w:t>
            </w:r>
          </w:p>
        </w:tc>
        <w:tc>
          <w:tcPr>
            <w:tcW w:w="2140" w:type="dxa"/>
            <w:noWrap/>
            <w:hideMark/>
          </w:tcPr>
          <w:p w:rsidR="0009491A" w:rsidRPr="00A17302" w:rsidRDefault="0009491A" w:rsidP="0009491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0,00</w:t>
            </w:r>
          </w:p>
        </w:tc>
        <w:tc>
          <w:tcPr>
            <w:tcW w:w="1764" w:type="dxa"/>
            <w:hideMark/>
          </w:tcPr>
          <w:p w:rsidR="0009491A" w:rsidRPr="00A17302" w:rsidRDefault="0009491A" w:rsidP="0009491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22,00</w:t>
            </w:r>
          </w:p>
        </w:tc>
      </w:tr>
      <w:tr w:rsidR="0009491A" w:rsidRPr="00A17302" w:rsidTr="00EB6D72">
        <w:trPr>
          <w:trHeight w:val="315"/>
          <w:jc w:val="center"/>
        </w:trPr>
        <w:tc>
          <w:tcPr>
            <w:cnfStyle w:val="001000000000" w:firstRow="0" w:lastRow="0" w:firstColumn="1" w:lastColumn="0" w:oddVBand="0" w:evenVBand="0" w:oddHBand="0" w:evenHBand="0" w:firstRowFirstColumn="0" w:firstRowLastColumn="0" w:lastRowFirstColumn="0" w:lastRowLastColumn="0"/>
            <w:tcW w:w="3713" w:type="dxa"/>
            <w:hideMark/>
          </w:tcPr>
          <w:p w:rsidR="0009491A" w:rsidRPr="00A17302" w:rsidRDefault="00107F7F" w:rsidP="0009491A">
            <w:pPr>
              <w:rPr>
                <w:rFonts w:ascii="Calibri" w:eastAsia="Times New Roman" w:hAnsi="Calibri" w:cs="Calibri"/>
                <w:color w:val="003399"/>
                <w:lang w:eastAsia="bg-BG"/>
              </w:rPr>
            </w:pPr>
            <w:r>
              <w:rPr>
                <w:rFonts w:ascii="Calibri" w:eastAsia="Times New Roman" w:hAnsi="Calibri" w:cs="Calibri"/>
                <w:color w:val="003399"/>
                <w:lang w:eastAsia="bg-BG"/>
              </w:rPr>
              <w:t>Об</w:t>
            </w:r>
            <w:r w:rsidR="0009491A" w:rsidRPr="00A17302">
              <w:rPr>
                <w:rFonts w:ascii="Calibri" w:eastAsia="Times New Roman" w:hAnsi="Calibri" w:cs="Calibri"/>
                <w:color w:val="003399"/>
                <w:lang w:eastAsia="bg-BG"/>
              </w:rPr>
              <w:t>щина Бургас в партньорство с дружество „Бургасбус” ЕООД - гр. Бургас; община Варна в партньорство с дружество „Градски транспорт” ЕАД - гр. Варна, община Плевен в партньорство с дружество „Тролейбусен транспорт” ЕООД - гр. Плевен и община Стара Загора в партньорство с дружество „Тролейбусни превози” ЕООД - гр. Стара Загора</w:t>
            </w:r>
          </w:p>
        </w:tc>
        <w:tc>
          <w:tcPr>
            <w:tcW w:w="1686" w:type="dxa"/>
            <w:noWrap/>
            <w:hideMark/>
          </w:tcPr>
          <w:p w:rsidR="0009491A" w:rsidRPr="00A17302" w:rsidRDefault="0009491A" w:rsidP="0009491A">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91 345 530,96</w:t>
            </w:r>
          </w:p>
        </w:tc>
        <w:tc>
          <w:tcPr>
            <w:tcW w:w="2140" w:type="dxa"/>
            <w:noWrap/>
            <w:hideMark/>
          </w:tcPr>
          <w:p w:rsidR="0009491A" w:rsidRPr="00A17302" w:rsidRDefault="0009491A" w:rsidP="0009491A">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62 420 625,87</w:t>
            </w:r>
          </w:p>
        </w:tc>
        <w:tc>
          <w:tcPr>
            <w:tcW w:w="1764" w:type="dxa"/>
            <w:hideMark/>
          </w:tcPr>
          <w:p w:rsidR="0009491A" w:rsidRPr="00A17302" w:rsidRDefault="0009491A" w:rsidP="0009491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3399"/>
                <w:lang w:eastAsia="bg-BG"/>
              </w:rPr>
            </w:pPr>
            <w:r w:rsidRPr="00A17302">
              <w:rPr>
                <w:rFonts w:ascii="Calibri" w:eastAsia="Times New Roman" w:hAnsi="Calibri" w:cs="Calibri"/>
                <w:color w:val="003399"/>
                <w:lang w:eastAsia="bg-BG"/>
              </w:rPr>
              <w:t>17,83</w:t>
            </w:r>
          </w:p>
        </w:tc>
      </w:tr>
      <w:tr w:rsidR="0009491A" w:rsidRPr="00A17302" w:rsidTr="00EB6D72">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713" w:type="dxa"/>
            <w:hideMark/>
          </w:tcPr>
          <w:p w:rsidR="0009491A" w:rsidRPr="00A17302" w:rsidRDefault="0009491A" w:rsidP="0009491A">
            <w:pPr>
              <w:rPr>
                <w:rFonts w:ascii="Calibri" w:eastAsia="Times New Roman" w:hAnsi="Calibri" w:cs="Calibri"/>
                <w:color w:val="003399"/>
                <w:lang w:eastAsia="bg-BG"/>
              </w:rPr>
            </w:pPr>
            <w:r w:rsidRPr="00A17302">
              <w:rPr>
                <w:rFonts w:ascii="Calibri" w:eastAsia="Times New Roman" w:hAnsi="Calibri" w:cs="Calibri"/>
                <w:color w:val="003399"/>
                <w:lang w:eastAsia="bg-BG"/>
              </w:rPr>
              <w:t>ОБЩО</w:t>
            </w:r>
          </w:p>
        </w:tc>
        <w:tc>
          <w:tcPr>
            <w:tcW w:w="1686" w:type="dxa"/>
            <w:noWrap/>
            <w:hideMark/>
          </w:tcPr>
          <w:p w:rsidR="0009491A" w:rsidRPr="00A17302" w:rsidRDefault="0009491A" w:rsidP="0009491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3399"/>
                <w:lang w:eastAsia="bg-BG"/>
              </w:rPr>
            </w:pPr>
            <w:r w:rsidRPr="00A17302">
              <w:rPr>
                <w:rFonts w:ascii="Calibri" w:eastAsia="Times New Roman" w:hAnsi="Calibri" w:cs="Calibri"/>
                <w:b/>
                <w:bCs/>
                <w:color w:val="003399"/>
                <w:lang w:eastAsia="bg-BG"/>
              </w:rPr>
              <w:t>319 308 275,58</w:t>
            </w:r>
          </w:p>
        </w:tc>
        <w:tc>
          <w:tcPr>
            <w:tcW w:w="2140" w:type="dxa"/>
            <w:noWrap/>
            <w:hideMark/>
          </w:tcPr>
          <w:p w:rsidR="0009491A" w:rsidRPr="00A17302" w:rsidRDefault="0009491A" w:rsidP="0009491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3399"/>
                <w:lang w:eastAsia="bg-BG"/>
              </w:rPr>
            </w:pPr>
            <w:r w:rsidRPr="00A17302">
              <w:rPr>
                <w:rFonts w:ascii="Calibri" w:eastAsia="Times New Roman" w:hAnsi="Calibri" w:cs="Calibri"/>
                <w:b/>
                <w:bCs/>
                <w:color w:val="003399"/>
                <w:lang w:eastAsia="bg-BG"/>
              </w:rPr>
              <w:t>179 586 091,27</w:t>
            </w:r>
          </w:p>
        </w:tc>
        <w:tc>
          <w:tcPr>
            <w:tcW w:w="1764" w:type="dxa"/>
            <w:noWrap/>
            <w:hideMark/>
          </w:tcPr>
          <w:p w:rsidR="0009491A" w:rsidRPr="00A17302" w:rsidRDefault="0009491A" w:rsidP="0009491A">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r>
    </w:tbl>
    <w:p w:rsidR="0009491A" w:rsidRPr="00A17302" w:rsidRDefault="0009491A" w:rsidP="0009491A">
      <w:pPr>
        <w:widowControl w:val="0"/>
        <w:autoSpaceDE w:val="0"/>
        <w:autoSpaceDN w:val="0"/>
        <w:adjustRightInd w:val="0"/>
        <w:spacing w:after="0" w:line="239" w:lineRule="auto"/>
        <w:ind w:left="708" w:right="66" w:firstLine="708"/>
        <w:jc w:val="both"/>
        <w:rPr>
          <w:rFonts w:ascii="Calibri" w:eastAsia="Calibri" w:hAnsi="Calibri" w:cs="Times New Roman"/>
          <w:i/>
          <w:sz w:val="20"/>
          <w:szCs w:val="20"/>
        </w:rPr>
      </w:pPr>
      <w:r w:rsidRPr="00A17302">
        <w:rPr>
          <w:rFonts w:ascii="Calibri" w:eastAsia="Calibri" w:hAnsi="Calibri" w:cs="Times New Roman"/>
          <w:i/>
          <w:sz w:val="20"/>
          <w:szCs w:val="20"/>
        </w:rPr>
        <w:t xml:space="preserve">Източник: ИСУН </w:t>
      </w:r>
    </w:p>
    <w:p w:rsidR="0009491A" w:rsidRDefault="00EB6D72" w:rsidP="0009491A">
      <w:pPr>
        <w:widowControl w:val="0"/>
        <w:autoSpaceDE w:val="0"/>
        <w:autoSpaceDN w:val="0"/>
        <w:adjustRightInd w:val="0"/>
        <w:spacing w:before="240" w:after="200" w:line="239" w:lineRule="auto"/>
        <w:ind w:right="66"/>
        <w:jc w:val="both"/>
        <w:rPr>
          <w:rFonts w:ascii="Verdana" w:eastAsia="Calibri" w:hAnsi="Verdana" w:cs="Times New Roman"/>
          <w:color w:val="111111"/>
          <w:sz w:val="18"/>
          <w:szCs w:val="18"/>
          <w:shd w:val="clear" w:color="auto" w:fill="FFFFFF"/>
        </w:rPr>
      </w:pPr>
      <w:r>
        <w:rPr>
          <w:rFonts w:ascii="Calibri" w:eastAsia="Calibri" w:hAnsi="Calibri" w:cs="Times New Roman"/>
        </w:rPr>
        <w:t xml:space="preserve">Друг източник, който </w:t>
      </w:r>
      <w:r w:rsidR="0009491A" w:rsidRPr="00A17302">
        <w:rPr>
          <w:rFonts w:ascii="Calibri" w:eastAsia="Calibri" w:hAnsi="Calibri" w:cs="Times New Roman"/>
        </w:rPr>
        <w:t xml:space="preserve">предлага финансиране </w:t>
      </w:r>
      <w:r>
        <w:rPr>
          <w:rFonts w:ascii="Calibri" w:eastAsia="Calibri" w:hAnsi="Calibri" w:cs="Times New Roman"/>
        </w:rPr>
        <w:t>н</w:t>
      </w:r>
      <w:r w:rsidR="0009491A" w:rsidRPr="00A17302">
        <w:rPr>
          <w:rFonts w:ascii="Calibri" w:eastAsia="Calibri" w:hAnsi="Calibri" w:cs="Times New Roman"/>
        </w:rPr>
        <w:t xml:space="preserve">а инвестиции за закупуване на сметопочистваща техника </w:t>
      </w:r>
      <w:r>
        <w:rPr>
          <w:rFonts w:ascii="Calibri" w:eastAsia="Calibri" w:hAnsi="Calibri" w:cs="Times New Roman"/>
        </w:rPr>
        <w:t xml:space="preserve">в периода 2007-2013 г. </w:t>
      </w:r>
      <w:r w:rsidR="0009491A" w:rsidRPr="00A17302">
        <w:rPr>
          <w:rFonts w:ascii="Calibri" w:eastAsia="Calibri" w:hAnsi="Calibri" w:cs="Times New Roman"/>
        </w:rPr>
        <w:t>е Програма</w:t>
      </w:r>
      <w:r>
        <w:rPr>
          <w:rFonts w:ascii="Calibri" w:eastAsia="Calibri" w:hAnsi="Calibri" w:cs="Times New Roman"/>
        </w:rPr>
        <w:t>та</w:t>
      </w:r>
      <w:r w:rsidR="0009491A" w:rsidRPr="00A17302">
        <w:rPr>
          <w:rFonts w:ascii="Calibri" w:eastAsia="Calibri" w:hAnsi="Calibri" w:cs="Times New Roman"/>
        </w:rPr>
        <w:t xml:space="preserve"> за общинско финансиране от Европейската инвестиционна банка</w:t>
      </w:r>
      <w:r w:rsidR="0009491A" w:rsidRPr="00A17302">
        <w:rPr>
          <w:rFonts w:ascii="Calibri" w:eastAsia="Calibri" w:hAnsi="Calibri" w:cs="Times New Roman"/>
          <w:vertAlign w:val="superscript"/>
        </w:rPr>
        <w:footnoteReference w:id="34"/>
      </w:r>
      <w:r w:rsidR="0009491A" w:rsidRPr="00A17302">
        <w:rPr>
          <w:rFonts w:ascii="Calibri" w:eastAsia="Calibri" w:hAnsi="Calibri" w:cs="Times New Roman"/>
        </w:rPr>
        <w:t>. Бенефициенти по тази програма са о</w:t>
      </w:r>
      <w:r w:rsidR="0009491A" w:rsidRPr="00A17302">
        <w:rPr>
          <w:rFonts w:ascii="Verdana" w:eastAsia="Calibri" w:hAnsi="Verdana" w:cs="Times New Roman"/>
          <w:color w:val="111111"/>
          <w:sz w:val="18"/>
          <w:szCs w:val="18"/>
          <w:shd w:val="clear" w:color="auto" w:fill="FFFFFF"/>
        </w:rPr>
        <w:t>бщини, публични или частни дружества, извършващи общински услуги в полза на местната общност. Параметрите на финансиране са:</w:t>
      </w:r>
    </w:p>
    <w:tbl>
      <w:tblPr>
        <w:tblStyle w:val="LightShading-Accent12"/>
        <w:tblW w:w="7035" w:type="dxa"/>
        <w:jc w:val="center"/>
        <w:tblLook w:val="04A0" w:firstRow="1" w:lastRow="0" w:firstColumn="1" w:lastColumn="0" w:noHBand="0" w:noVBand="1"/>
      </w:tblPr>
      <w:tblGrid>
        <w:gridCol w:w="4072"/>
        <w:gridCol w:w="2963"/>
      </w:tblGrid>
      <w:tr w:rsidR="0009491A" w:rsidRPr="00A17302" w:rsidTr="0009491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35" w:type="dxa"/>
            <w:gridSpan w:val="2"/>
            <w:hideMark/>
          </w:tcPr>
          <w:p w:rsidR="0009491A" w:rsidRPr="00A17302" w:rsidRDefault="0009491A" w:rsidP="0009491A">
            <w:pPr>
              <w:spacing w:after="132" w:line="264" w:lineRule="atLeast"/>
              <w:jc w:val="center"/>
              <w:rPr>
                <w:rFonts w:ascii="Calibri" w:eastAsia="Times New Roman" w:hAnsi="Calibri" w:cs="Calibri"/>
                <w:color w:val="111111"/>
                <w:lang w:eastAsia="bg-BG"/>
              </w:rPr>
            </w:pPr>
            <w:r w:rsidRPr="00A17302">
              <w:rPr>
                <w:rFonts w:ascii="Calibri" w:eastAsia="Times New Roman" w:hAnsi="Calibri" w:cs="Calibri"/>
                <w:color w:val="111111"/>
                <w:lang w:eastAsia="bg-BG"/>
              </w:rPr>
              <w:t>Кредити по Програмата за общинско финансиране</w:t>
            </w:r>
          </w:p>
        </w:tc>
      </w:tr>
      <w:tr w:rsidR="0009491A" w:rsidRPr="00A17302" w:rsidTr="0009491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72" w:type="dxa"/>
            <w:hideMark/>
          </w:tcPr>
          <w:p w:rsidR="0009491A" w:rsidRPr="00A17302" w:rsidRDefault="0009491A" w:rsidP="0009491A">
            <w:pPr>
              <w:spacing w:line="264" w:lineRule="atLeast"/>
              <w:rPr>
                <w:rFonts w:ascii="Calibri" w:eastAsia="Times New Roman" w:hAnsi="Calibri" w:cs="Calibri"/>
                <w:color w:val="111111"/>
                <w:lang w:eastAsia="bg-BG"/>
              </w:rPr>
            </w:pPr>
            <w:r w:rsidRPr="00A17302">
              <w:rPr>
                <w:rFonts w:ascii="Calibri" w:eastAsia="Times New Roman" w:hAnsi="Calibri" w:cs="Calibri"/>
                <w:color w:val="111111"/>
                <w:lang w:eastAsia="bg-BG"/>
              </w:rPr>
              <w:t>Минимален размер на кредита</w:t>
            </w:r>
          </w:p>
        </w:tc>
        <w:tc>
          <w:tcPr>
            <w:tcW w:w="2963" w:type="dxa"/>
            <w:hideMark/>
          </w:tcPr>
          <w:p w:rsidR="0009491A" w:rsidRPr="00A17302" w:rsidRDefault="0009491A" w:rsidP="0009491A">
            <w:pPr>
              <w:spacing w:line="264" w:lineRule="atLeas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111111"/>
                <w:lang w:eastAsia="bg-BG"/>
              </w:rPr>
            </w:pPr>
            <w:r w:rsidRPr="00A17302">
              <w:rPr>
                <w:rFonts w:ascii="Calibri" w:eastAsia="Times New Roman" w:hAnsi="Calibri" w:cs="Calibri"/>
                <w:color w:val="111111"/>
                <w:lang w:eastAsia="bg-BG"/>
              </w:rPr>
              <w:t>40 000 евро</w:t>
            </w:r>
          </w:p>
        </w:tc>
      </w:tr>
      <w:tr w:rsidR="0009491A" w:rsidRPr="00A17302" w:rsidTr="0009491A">
        <w:trPr>
          <w:jc w:val="center"/>
        </w:trPr>
        <w:tc>
          <w:tcPr>
            <w:cnfStyle w:val="001000000000" w:firstRow="0" w:lastRow="0" w:firstColumn="1" w:lastColumn="0" w:oddVBand="0" w:evenVBand="0" w:oddHBand="0" w:evenHBand="0" w:firstRowFirstColumn="0" w:firstRowLastColumn="0" w:lastRowFirstColumn="0" w:lastRowLastColumn="0"/>
            <w:tcW w:w="4072" w:type="dxa"/>
            <w:hideMark/>
          </w:tcPr>
          <w:p w:rsidR="0009491A" w:rsidRPr="00A17302" w:rsidRDefault="0009491A" w:rsidP="0009491A">
            <w:pPr>
              <w:spacing w:line="264" w:lineRule="atLeast"/>
              <w:rPr>
                <w:rFonts w:ascii="Calibri" w:eastAsia="Times New Roman" w:hAnsi="Calibri" w:cs="Calibri"/>
                <w:color w:val="111111"/>
                <w:lang w:eastAsia="bg-BG"/>
              </w:rPr>
            </w:pPr>
            <w:r w:rsidRPr="00A17302">
              <w:rPr>
                <w:rFonts w:ascii="Calibri" w:eastAsia="Times New Roman" w:hAnsi="Calibri" w:cs="Calibri"/>
                <w:color w:val="111111"/>
                <w:lang w:eastAsia="bg-BG"/>
              </w:rPr>
              <w:t>Безвъзмездна помощ (грант) – използва се за служебно погасяване на главницата по кредита</w:t>
            </w:r>
          </w:p>
        </w:tc>
        <w:tc>
          <w:tcPr>
            <w:tcW w:w="2963" w:type="dxa"/>
            <w:hideMark/>
          </w:tcPr>
          <w:p w:rsidR="0009491A" w:rsidRPr="00A17302" w:rsidRDefault="0009491A" w:rsidP="0009491A">
            <w:pPr>
              <w:spacing w:line="264" w:lineRule="atLeas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111111"/>
                <w:lang w:eastAsia="bg-BG"/>
              </w:rPr>
            </w:pPr>
            <w:r w:rsidRPr="00A17302">
              <w:rPr>
                <w:rFonts w:ascii="Calibri" w:eastAsia="Times New Roman" w:hAnsi="Calibri" w:cs="Calibri"/>
                <w:color w:val="111111"/>
                <w:lang w:eastAsia="bg-BG"/>
              </w:rPr>
              <w:t>до 2,5 % от стойността на проекта</w:t>
            </w:r>
          </w:p>
        </w:tc>
      </w:tr>
      <w:tr w:rsidR="0009491A" w:rsidRPr="00A17302" w:rsidTr="0009491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72" w:type="dxa"/>
            <w:hideMark/>
          </w:tcPr>
          <w:p w:rsidR="0009491A" w:rsidRPr="00A17302" w:rsidRDefault="0009491A" w:rsidP="0009491A">
            <w:pPr>
              <w:spacing w:line="264" w:lineRule="atLeast"/>
              <w:rPr>
                <w:rFonts w:ascii="Calibri" w:eastAsia="Times New Roman" w:hAnsi="Calibri" w:cs="Calibri"/>
                <w:color w:val="111111"/>
                <w:lang w:eastAsia="bg-BG"/>
              </w:rPr>
            </w:pPr>
            <w:r w:rsidRPr="00A17302">
              <w:rPr>
                <w:rFonts w:ascii="Calibri" w:eastAsia="Times New Roman" w:hAnsi="Calibri" w:cs="Calibri"/>
                <w:color w:val="111111"/>
                <w:lang w:eastAsia="bg-BG"/>
              </w:rPr>
              <w:t>Срок на кредита</w:t>
            </w:r>
          </w:p>
        </w:tc>
        <w:tc>
          <w:tcPr>
            <w:tcW w:w="2963" w:type="dxa"/>
            <w:hideMark/>
          </w:tcPr>
          <w:p w:rsidR="0009491A" w:rsidRPr="00A17302" w:rsidRDefault="0009491A" w:rsidP="0009491A">
            <w:pPr>
              <w:spacing w:line="264" w:lineRule="atLeas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111111"/>
                <w:lang w:eastAsia="bg-BG"/>
              </w:rPr>
            </w:pPr>
            <w:r w:rsidRPr="00A17302">
              <w:rPr>
                <w:rFonts w:ascii="Calibri" w:eastAsia="Times New Roman" w:hAnsi="Calibri" w:cs="Calibri"/>
                <w:color w:val="111111"/>
                <w:lang w:eastAsia="bg-BG"/>
              </w:rPr>
              <w:t>мин. 4 години</w:t>
            </w:r>
          </w:p>
        </w:tc>
      </w:tr>
      <w:tr w:rsidR="0009491A" w:rsidRPr="00A17302" w:rsidTr="0009491A">
        <w:trPr>
          <w:jc w:val="center"/>
        </w:trPr>
        <w:tc>
          <w:tcPr>
            <w:cnfStyle w:val="001000000000" w:firstRow="0" w:lastRow="0" w:firstColumn="1" w:lastColumn="0" w:oddVBand="0" w:evenVBand="0" w:oddHBand="0" w:evenHBand="0" w:firstRowFirstColumn="0" w:firstRowLastColumn="0" w:lastRowFirstColumn="0" w:lastRowLastColumn="0"/>
            <w:tcW w:w="4072" w:type="dxa"/>
            <w:hideMark/>
          </w:tcPr>
          <w:p w:rsidR="0009491A" w:rsidRPr="00A17302" w:rsidRDefault="0009491A" w:rsidP="0009491A">
            <w:pPr>
              <w:spacing w:line="264" w:lineRule="atLeast"/>
              <w:rPr>
                <w:rFonts w:ascii="Calibri" w:eastAsia="Times New Roman" w:hAnsi="Calibri" w:cs="Calibri"/>
                <w:color w:val="111111"/>
                <w:lang w:eastAsia="bg-BG"/>
              </w:rPr>
            </w:pPr>
            <w:r w:rsidRPr="00A17302">
              <w:rPr>
                <w:rFonts w:ascii="Calibri" w:eastAsia="Times New Roman" w:hAnsi="Calibri" w:cs="Calibri"/>
                <w:color w:val="111111"/>
                <w:lang w:eastAsia="bg-BG"/>
              </w:rPr>
              <w:t>Срок на изпълнение на проекта</w:t>
            </w:r>
          </w:p>
        </w:tc>
        <w:tc>
          <w:tcPr>
            <w:tcW w:w="2963" w:type="dxa"/>
            <w:hideMark/>
          </w:tcPr>
          <w:p w:rsidR="0009491A" w:rsidRPr="00A17302" w:rsidRDefault="0009491A" w:rsidP="0009491A">
            <w:pPr>
              <w:spacing w:line="264" w:lineRule="atLeas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111111"/>
                <w:lang w:eastAsia="bg-BG"/>
              </w:rPr>
            </w:pPr>
            <w:r w:rsidRPr="00A17302">
              <w:rPr>
                <w:rFonts w:ascii="Calibri" w:eastAsia="Times New Roman" w:hAnsi="Calibri" w:cs="Calibri"/>
                <w:color w:val="111111"/>
                <w:lang w:eastAsia="bg-BG"/>
              </w:rPr>
              <w:t>макс. 5 години</w:t>
            </w:r>
          </w:p>
        </w:tc>
      </w:tr>
      <w:tr w:rsidR="0009491A" w:rsidRPr="00A17302" w:rsidTr="0009491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72" w:type="dxa"/>
            <w:hideMark/>
          </w:tcPr>
          <w:p w:rsidR="0009491A" w:rsidRPr="00A17302" w:rsidRDefault="0009491A" w:rsidP="0009491A">
            <w:pPr>
              <w:spacing w:line="264" w:lineRule="atLeast"/>
              <w:rPr>
                <w:rFonts w:ascii="Calibri" w:eastAsia="Times New Roman" w:hAnsi="Calibri" w:cs="Calibri"/>
                <w:color w:val="111111"/>
                <w:lang w:eastAsia="bg-BG"/>
              </w:rPr>
            </w:pPr>
            <w:r w:rsidRPr="00A17302">
              <w:rPr>
                <w:rFonts w:ascii="Calibri" w:eastAsia="Times New Roman" w:hAnsi="Calibri" w:cs="Calibri"/>
                <w:color w:val="111111"/>
                <w:lang w:eastAsia="bg-BG"/>
              </w:rPr>
              <w:t>Погасяване</w:t>
            </w:r>
          </w:p>
        </w:tc>
        <w:tc>
          <w:tcPr>
            <w:tcW w:w="2963" w:type="dxa"/>
            <w:hideMark/>
          </w:tcPr>
          <w:p w:rsidR="0009491A" w:rsidRPr="00A17302" w:rsidRDefault="0009491A" w:rsidP="0009491A">
            <w:pPr>
              <w:spacing w:line="264" w:lineRule="atLeas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111111"/>
                <w:lang w:eastAsia="bg-BG"/>
              </w:rPr>
            </w:pPr>
            <w:r w:rsidRPr="00A17302">
              <w:rPr>
                <w:rFonts w:ascii="Calibri" w:eastAsia="Times New Roman" w:hAnsi="Calibri" w:cs="Calibri"/>
                <w:color w:val="111111"/>
                <w:lang w:eastAsia="bg-BG"/>
              </w:rPr>
              <w:t>по договаряне</w:t>
            </w:r>
          </w:p>
        </w:tc>
      </w:tr>
      <w:tr w:rsidR="0009491A" w:rsidRPr="00A17302" w:rsidTr="0009491A">
        <w:trPr>
          <w:jc w:val="center"/>
        </w:trPr>
        <w:tc>
          <w:tcPr>
            <w:cnfStyle w:val="001000000000" w:firstRow="0" w:lastRow="0" w:firstColumn="1" w:lastColumn="0" w:oddVBand="0" w:evenVBand="0" w:oddHBand="0" w:evenHBand="0" w:firstRowFirstColumn="0" w:firstRowLastColumn="0" w:lastRowFirstColumn="0" w:lastRowLastColumn="0"/>
            <w:tcW w:w="4072" w:type="dxa"/>
            <w:hideMark/>
          </w:tcPr>
          <w:p w:rsidR="0009491A" w:rsidRPr="00A17302" w:rsidRDefault="0009491A" w:rsidP="0009491A">
            <w:pPr>
              <w:spacing w:line="264" w:lineRule="atLeast"/>
              <w:rPr>
                <w:rFonts w:ascii="Calibri" w:eastAsia="Times New Roman" w:hAnsi="Calibri" w:cs="Calibri"/>
                <w:color w:val="111111"/>
                <w:lang w:eastAsia="bg-BG"/>
              </w:rPr>
            </w:pPr>
            <w:r w:rsidRPr="00A17302">
              <w:rPr>
                <w:rFonts w:ascii="Calibri" w:eastAsia="Times New Roman" w:hAnsi="Calibri" w:cs="Calibri"/>
                <w:color w:val="111111"/>
                <w:lang w:eastAsia="bg-BG"/>
              </w:rPr>
              <w:t>Лихва</w:t>
            </w:r>
          </w:p>
        </w:tc>
        <w:tc>
          <w:tcPr>
            <w:tcW w:w="2963" w:type="dxa"/>
            <w:hideMark/>
          </w:tcPr>
          <w:p w:rsidR="0009491A" w:rsidRPr="00A17302" w:rsidRDefault="0009491A" w:rsidP="0009491A">
            <w:pPr>
              <w:spacing w:line="264" w:lineRule="atLeas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111111"/>
                <w:lang w:eastAsia="bg-BG"/>
              </w:rPr>
            </w:pPr>
            <w:r w:rsidRPr="00A17302">
              <w:rPr>
                <w:rFonts w:ascii="Calibri" w:eastAsia="Times New Roman" w:hAnsi="Calibri" w:cs="Calibri"/>
                <w:color w:val="111111"/>
                <w:lang w:eastAsia="bg-BG"/>
              </w:rPr>
              <w:t>определя се индивидуално за всеки отделен проект</w:t>
            </w:r>
          </w:p>
        </w:tc>
      </w:tr>
      <w:tr w:rsidR="0009491A" w:rsidRPr="00A17302" w:rsidTr="0009491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72" w:type="dxa"/>
            <w:hideMark/>
          </w:tcPr>
          <w:p w:rsidR="0009491A" w:rsidRPr="00A17302" w:rsidRDefault="0009491A" w:rsidP="0009491A">
            <w:pPr>
              <w:spacing w:line="264" w:lineRule="atLeast"/>
              <w:rPr>
                <w:rFonts w:ascii="Calibri" w:eastAsia="Times New Roman" w:hAnsi="Calibri" w:cs="Calibri"/>
                <w:color w:val="111111"/>
                <w:lang w:eastAsia="bg-BG"/>
              </w:rPr>
            </w:pPr>
            <w:r w:rsidRPr="00A17302">
              <w:rPr>
                <w:rFonts w:ascii="Calibri" w:eastAsia="Times New Roman" w:hAnsi="Calibri" w:cs="Calibri"/>
                <w:color w:val="111111"/>
                <w:lang w:eastAsia="bg-BG"/>
              </w:rPr>
              <w:t>Обезпечение</w:t>
            </w:r>
          </w:p>
        </w:tc>
        <w:tc>
          <w:tcPr>
            <w:tcW w:w="2963" w:type="dxa"/>
            <w:hideMark/>
          </w:tcPr>
          <w:p w:rsidR="0009491A" w:rsidRPr="00A17302" w:rsidRDefault="0009491A" w:rsidP="0009491A">
            <w:pPr>
              <w:spacing w:line="264" w:lineRule="atLeas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111111"/>
                <w:lang w:eastAsia="bg-BG"/>
              </w:rPr>
            </w:pPr>
            <w:r w:rsidRPr="00A17302">
              <w:rPr>
                <w:rFonts w:ascii="Calibri" w:eastAsia="Times New Roman" w:hAnsi="Calibri" w:cs="Calibri"/>
                <w:color w:val="111111"/>
                <w:lang w:eastAsia="bg-BG"/>
              </w:rPr>
              <w:t>по договаряне</w:t>
            </w:r>
          </w:p>
        </w:tc>
      </w:tr>
    </w:tbl>
    <w:p w:rsidR="008E4057" w:rsidRDefault="008E4057" w:rsidP="0009491A">
      <w:pPr>
        <w:widowControl w:val="0"/>
        <w:autoSpaceDE w:val="0"/>
        <w:autoSpaceDN w:val="0"/>
        <w:adjustRightInd w:val="0"/>
        <w:spacing w:before="240" w:after="0" w:line="239" w:lineRule="auto"/>
        <w:ind w:right="66"/>
        <w:jc w:val="both"/>
        <w:rPr>
          <w:rFonts w:eastAsia="Calibri" w:cs="Times New Roman"/>
          <w:color w:val="111111"/>
          <w:shd w:val="clear" w:color="auto" w:fill="FFFFFF"/>
        </w:rPr>
      </w:pPr>
    </w:p>
    <w:p w:rsidR="0009491A" w:rsidRDefault="0009491A" w:rsidP="0009491A">
      <w:pPr>
        <w:widowControl w:val="0"/>
        <w:autoSpaceDE w:val="0"/>
        <w:autoSpaceDN w:val="0"/>
        <w:adjustRightInd w:val="0"/>
        <w:spacing w:before="240" w:after="0" w:line="239" w:lineRule="auto"/>
        <w:ind w:right="66"/>
        <w:jc w:val="both"/>
        <w:rPr>
          <w:rFonts w:eastAsia="Calibri" w:cs="Times New Roman"/>
          <w:color w:val="111111"/>
          <w:shd w:val="clear" w:color="auto" w:fill="FFFFFF"/>
        </w:rPr>
      </w:pPr>
      <w:r w:rsidRPr="00F16A9B">
        <w:rPr>
          <w:rFonts w:eastAsia="Calibri" w:cs="Times New Roman"/>
          <w:color w:val="111111"/>
          <w:shd w:val="clear" w:color="auto" w:fill="FFFFFF"/>
        </w:rPr>
        <w:lastRenderedPageBreak/>
        <w:t>Финансовият ресурс по програмата се осигурява чрез кредитната линия с ЕИБ, грантове от Европейската Комисия (ЕК) и от Международния Фонд за подкрепа извеждането от експлоатация на Козлодуй.</w:t>
      </w:r>
    </w:p>
    <w:p w:rsidR="00690F18" w:rsidRDefault="00690F18" w:rsidP="0009491A">
      <w:pPr>
        <w:widowControl w:val="0"/>
        <w:autoSpaceDE w:val="0"/>
        <w:autoSpaceDN w:val="0"/>
        <w:adjustRightInd w:val="0"/>
        <w:spacing w:before="240" w:after="0" w:line="239" w:lineRule="auto"/>
        <w:ind w:right="66"/>
        <w:jc w:val="both"/>
        <w:rPr>
          <w:rFonts w:ascii="Calibri" w:eastAsia="Calibri" w:hAnsi="Calibri" w:cs="Times New Roman"/>
        </w:rPr>
      </w:pPr>
      <w:r>
        <w:rPr>
          <w:rFonts w:eastAsia="Calibri" w:cs="Times New Roman"/>
          <w:color w:val="111111"/>
          <w:shd w:val="clear" w:color="auto" w:fill="FFFFFF"/>
        </w:rPr>
        <w:t>Във връзка с пазарното проучване на предлагането на финансови инструменти за изпълнение на мерки в сектор въздух, са п</w:t>
      </w:r>
      <w:r w:rsidR="00BB1FC9">
        <w:rPr>
          <w:rFonts w:eastAsia="Calibri" w:cs="Times New Roman"/>
          <w:color w:val="111111"/>
          <w:shd w:val="clear" w:color="auto" w:fill="FFFFFF"/>
        </w:rPr>
        <w:t xml:space="preserve">роведени интервюта с представители на банковите институции в страна, </w:t>
      </w:r>
      <w:r>
        <w:rPr>
          <w:rFonts w:eastAsia="Calibri" w:cs="Times New Roman"/>
          <w:color w:val="111111"/>
          <w:shd w:val="clear" w:color="auto" w:fill="FFFFFF"/>
        </w:rPr>
        <w:t xml:space="preserve">резултатите от които сочат </w:t>
      </w:r>
      <w:r w:rsidR="00BB1FC9">
        <w:rPr>
          <w:rFonts w:eastAsia="Calibri" w:cs="Times New Roman"/>
          <w:color w:val="111111"/>
          <w:shd w:val="clear" w:color="auto" w:fill="FFFFFF"/>
        </w:rPr>
        <w:t xml:space="preserve">обаче, че към </w:t>
      </w:r>
      <w:r w:rsidR="00BB1FC9" w:rsidRPr="00A17302">
        <w:rPr>
          <w:rFonts w:ascii="Calibri" w:eastAsia="Calibri" w:hAnsi="Calibri" w:cs="Times New Roman"/>
        </w:rPr>
        <w:t>Програма</w:t>
      </w:r>
      <w:r w:rsidR="00BB1FC9">
        <w:rPr>
          <w:rFonts w:ascii="Calibri" w:eastAsia="Calibri" w:hAnsi="Calibri" w:cs="Times New Roman"/>
        </w:rPr>
        <w:t>та</w:t>
      </w:r>
      <w:r w:rsidR="00BB1FC9" w:rsidRPr="00A17302">
        <w:rPr>
          <w:rFonts w:ascii="Calibri" w:eastAsia="Calibri" w:hAnsi="Calibri" w:cs="Times New Roman"/>
        </w:rPr>
        <w:t xml:space="preserve"> за общинско финансиране от </w:t>
      </w:r>
      <w:r w:rsidR="00BB1FC9">
        <w:rPr>
          <w:rFonts w:ascii="Calibri" w:eastAsia="Calibri" w:hAnsi="Calibri" w:cs="Times New Roman"/>
        </w:rPr>
        <w:t>ЕИБ няма интерес и не е подадено нито едно искане за отпускане на кредит.</w:t>
      </w:r>
      <w:r>
        <w:rPr>
          <w:rFonts w:ascii="Calibri" w:eastAsia="Calibri" w:hAnsi="Calibri" w:cs="Times New Roman"/>
        </w:rPr>
        <w:t xml:space="preserve"> Респективно може да бъде направен изводът, че към настоящият момент няма търсене на финансови инструменти за реализиране на мерки за подобряване на КАВ. </w:t>
      </w:r>
    </w:p>
    <w:p w:rsidR="00107F7F" w:rsidRDefault="00107F7F" w:rsidP="0009491A">
      <w:pPr>
        <w:widowControl w:val="0"/>
        <w:autoSpaceDE w:val="0"/>
        <w:autoSpaceDN w:val="0"/>
        <w:adjustRightInd w:val="0"/>
        <w:spacing w:before="240" w:after="0" w:line="239" w:lineRule="auto"/>
        <w:ind w:right="66"/>
        <w:jc w:val="both"/>
        <w:rPr>
          <w:rFonts w:ascii="Calibri" w:eastAsia="Calibri" w:hAnsi="Calibri" w:cs="Times New Roman"/>
        </w:rPr>
      </w:pPr>
    </w:p>
    <w:p w:rsidR="000347B7" w:rsidRDefault="000347B7" w:rsidP="00DF6FCF">
      <w:pPr>
        <w:numPr>
          <w:ilvl w:val="0"/>
          <w:numId w:val="24"/>
        </w:numPr>
        <w:spacing w:after="200" w:line="276" w:lineRule="auto"/>
        <w:ind w:left="1134"/>
        <w:jc w:val="both"/>
        <w:rPr>
          <w:rFonts w:ascii="Calibri" w:eastAsia="Calibri" w:hAnsi="Calibri" w:cs="Times New Roman"/>
          <w:b/>
          <w:color w:val="4F81BD"/>
        </w:rPr>
      </w:pPr>
      <w:r w:rsidRPr="0033112C">
        <w:rPr>
          <w:rFonts w:ascii="Calibri" w:eastAsia="Calibri" w:hAnsi="Calibri" w:cs="Times New Roman"/>
          <w:b/>
          <w:color w:val="4F81BD"/>
        </w:rPr>
        <w:t xml:space="preserve">Възможни </w:t>
      </w:r>
      <w:r>
        <w:rPr>
          <w:rFonts w:ascii="Calibri" w:eastAsia="Calibri" w:hAnsi="Calibri" w:cs="Times New Roman"/>
          <w:b/>
          <w:color w:val="4F81BD"/>
        </w:rPr>
        <w:t>форми</w:t>
      </w:r>
      <w:r w:rsidRPr="0033112C">
        <w:rPr>
          <w:rFonts w:ascii="Calibri" w:eastAsia="Calibri" w:hAnsi="Calibri" w:cs="Times New Roman"/>
          <w:b/>
          <w:color w:val="4F81BD"/>
        </w:rPr>
        <w:t xml:space="preserve"> на ф</w:t>
      </w:r>
      <w:r>
        <w:rPr>
          <w:rFonts w:ascii="Calibri" w:eastAsia="Calibri" w:hAnsi="Calibri" w:cs="Times New Roman"/>
          <w:b/>
          <w:color w:val="4F81BD"/>
        </w:rPr>
        <w:t>инансиране на проектите в сектор Въздух</w:t>
      </w:r>
      <w:r w:rsidRPr="0033112C">
        <w:rPr>
          <w:rFonts w:ascii="Calibri" w:eastAsia="Calibri" w:hAnsi="Calibri" w:cs="Times New Roman"/>
          <w:b/>
          <w:color w:val="4F81BD"/>
        </w:rPr>
        <w:t xml:space="preserve"> по ОПОС в периода 2014-2020 г.</w:t>
      </w:r>
    </w:p>
    <w:p w:rsidR="00690F18" w:rsidRDefault="00690F18" w:rsidP="00107F7F">
      <w:pPr>
        <w:widowControl w:val="0"/>
        <w:autoSpaceDE w:val="0"/>
        <w:autoSpaceDN w:val="0"/>
        <w:adjustRightInd w:val="0"/>
        <w:spacing w:before="240" w:line="239" w:lineRule="auto"/>
        <w:ind w:right="66"/>
        <w:jc w:val="both"/>
        <w:rPr>
          <w:rFonts w:ascii="Calibri" w:eastAsia="Calibri" w:hAnsi="Calibri" w:cs="Times New Roman"/>
          <w:lang w:val="en-US"/>
        </w:rPr>
      </w:pPr>
      <w:r>
        <w:rPr>
          <w:rFonts w:ascii="Calibri" w:eastAsia="Calibri" w:hAnsi="Calibri" w:cs="Times New Roman"/>
        </w:rPr>
        <w:t>Базирайки се на анализа по-горе, са изведени възможните форми на финансиране на проектите в сектор Въздух както следва:</w:t>
      </w:r>
    </w:p>
    <w:p w:rsidR="00722616" w:rsidRPr="00722616" w:rsidRDefault="00722616" w:rsidP="00107F7F">
      <w:pPr>
        <w:widowControl w:val="0"/>
        <w:autoSpaceDE w:val="0"/>
        <w:autoSpaceDN w:val="0"/>
        <w:adjustRightInd w:val="0"/>
        <w:spacing w:before="240" w:line="239" w:lineRule="auto"/>
        <w:ind w:right="66"/>
        <w:jc w:val="both"/>
        <w:rPr>
          <w:rFonts w:ascii="Calibri" w:eastAsia="Calibri" w:hAnsi="Calibri" w:cs="Times New Roman"/>
          <w:lang w:val="en-US"/>
        </w:rPr>
      </w:pPr>
    </w:p>
    <w:tbl>
      <w:tblPr>
        <w:tblStyle w:val="LightShading-Accent56"/>
        <w:tblW w:w="0" w:type="auto"/>
        <w:jc w:val="center"/>
        <w:tblLook w:val="04A0" w:firstRow="1" w:lastRow="0" w:firstColumn="1" w:lastColumn="0" w:noHBand="0" w:noVBand="1"/>
      </w:tblPr>
      <w:tblGrid>
        <w:gridCol w:w="3876"/>
        <w:gridCol w:w="5003"/>
      </w:tblGrid>
      <w:tr w:rsidR="00690F18" w:rsidRPr="00A17302" w:rsidTr="006B2F5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76" w:type="dxa"/>
          </w:tcPr>
          <w:p w:rsidR="00690F18" w:rsidRPr="00A17302" w:rsidRDefault="00690F18" w:rsidP="006B2F52">
            <w:pPr>
              <w:jc w:val="center"/>
              <w:rPr>
                <w:rFonts w:ascii="Calibri" w:eastAsia="Calibri" w:hAnsi="Calibri" w:cs="Calibri"/>
                <w:color w:val="000000"/>
              </w:rPr>
            </w:pPr>
            <w:r w:rsidRPr="00A17302">
              <w:rPr>
                <w:rFonts w:ascii="Calibri" w:eastAsia="Calibri" w:hAnsi="Calibri" w:cs="Calibri"/>
                <w:color w:val="000000"/>
              </w:rPr>
              <w:t>Възможни форми на финансиране на проекти в сектор Отпадъци</w:t>
            </w:r>
          </w:p>
        </w:tc>
        <w:tc>
          <w:tcPr>
            <w:tcW w:w="5003" w:type="dxa"/>
          </w:tcPr>
          <w:p w:rsidR="00690F18" w:rsidRPr="00A17302" w:rsidRDefault="00690F18" w:rsidP="006B2F52">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rPr>
            </w:pPr>
            <w:r w:rsidRPr="00A17302">
              <w:rPr>
                <w:rFonts w:ascii="Calibri" w:eastAsia="Calibri" w:hAnsi="Calibri" w:cs="Calibri"/>
                <w:color w:val="000000"/>
              </w:rPr>
              <w:t>Обосновка</w:t>
            </w:r>
          </w:p>
        </w:tc>
      </w:tr>
      <w:tr w:rsidR="00690F18" w:rsidRPr="00A17302" w:rsidTr="006B2F52">
        <w:trPr>
          <w:cnfStyle w:val="000000100000" w:firstRow="0" w:lastRow="0" w:firstColumn="0" w:lastColumn="0" w:oddVBand="0" w:evenVBand="0" w:oddHBand="1" w:evenHBand="0" w:firstRowFirstColumn="0" w:firstRowLastColumn="0" w:lastRowFirstColumn="0" w:lastRowLastColumn="0"/>
          <w:trHeight w:val="1239"/>
          <w:jc w:val="center"/>
        </w:trPr>
        <w:tc>
          <w:tcPr>
            <w:cnfStyle w:val="001000000000" w:firstRow="0" w:lastRow="0" w:firstColumn="1" w:lastColumn="0" w:oddVBand="0" w:evenVBand="0" w:oddHBand="0" w:evenHBand="0" w:firstRowFirstColumn="0" w:firstRowLastColumn="0" w:lastRowFirstColumn="0" w:lastRowLastColumn="0"/>
            <w:tcW w:w="3876" w:type="dxa"/>
          </w:tcPr>
          <w:p w:rsidR="00690F18" w:rsidRPr="00A17302" w:rsidRDefault="00690F18" w:rsidP="006B2F52">
            <w:pPr>
              <w:rPr>
                <w:rFonts w:ascii="Calibri" w:eastAsia="Calibri" w:hAnsi="Calibri" w:cs="Calibri"/>
                <w:color w:val="000000"/>
              </w:rPr>
            </w:pPr>
            <w:r w:rsidRPr="00A17302">
              <w:rPr>
                <w:rFonts w:ascii="Calibri" w:eastAsia="Calibri" w:hAnsi="Calibri" w:cs="Calibri"/>
                <w:color w:val="000000"/>
              </w:rPr>
              <w:t>Такса битови отпадъци</w:t>
            </w:r>
            <w:r>
              <w:rPr>
                <w:rFonts w:ascii="Calibri" w:eastAsia="Calibri" w:hAnsi="Calibri" w:cs="Calibri"/>
                <w:color w:val="000000"/>
              </w:rPr>
              <w:t xml:space="preserve"> (косвено</w:t>
            </w:r>
            <w:r>
              <w:rPr>
                <w:rStyle w:val="FootnoteReference"/>
                <w:rFonts w:ascii="Calibri" w:eastAsia="Calibri" w:hAnsi="Calibri" w:cs="Calibri"/>
                <w:color w:val="000000"/>
              </w:rPr>
              <w:footnoteReference w:id="35"/>
            </w:r>
            <w:r>
              <w:rPr>
                <w:rFonts w:ascii="Calibri" w:eastAsia="Calibri" w:hAnsi="Calibri" w:cs="Calibri"/>
                <w:color w:val="000000"/>
              </w:rPr>
              <w:t>)</w:t>
            </w:r>
          </w:p>
        </w:tc>
        <w:tc>
          <w:tcPr>
            <w:tcW w:w="5003" w:type="dxa"/>
          </w:tcPr>
          <w:p w:rsidR="00690F18" w:rsidRPr="00A17302" w:rsidRDefault="00690F18" w:rsidP="006B2F52">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rPr>
            </w:pPr>
            <w:r w:rsidRPr="00A17302">
              <w:rPr>
                <w:rFonts w:ascii="Calibri" w:eastAsia="Calibri" w:hAnsi="Calibri" w:cs="Calibri"/>
                <w:color w:val="000000"/>
              </w:rPr>
              <w:t>Въведена е със Закона за местните данъци и такси. Част от таксата се използва от концесионерите или общинските предприятия по чистота за закупуване на необходимата сметопочистваща техника, в т.ч. за измиване на пътни платна, площади и тротоари</w:t>
            </w:r>
          </w:p>
        </w:tc>
      </w:tr>
      <w:tr w:rsidR="00690F18" w:rsidRPr="00A17302" w:rsidTr="006B2F52">
        <w:trPr>
          <w:trHeight w:val="1239"/>
          <w:jc w:val="center"/>
        </w:trPr>
        <w:tc>
          <w:tcPr>
            <w:cnfStyle w:val="001000000000" w:firstRow="0" w:lastRow="0" w:firstColumn="1" w:lastColumn="0" w:oddVBand="0" w:evenVBand="0" w:oddHBand="0" w:evenHBand="0" w:firstRowFirstColumn="0" w:firstRowLastColumn="0" w:lastRowFirstColumn="0" w:lastRowLastColumn="0"/>
            <w:tcW w:w="3876" w:type="dxa"/>
          </w:tcPr>
          <w:p w:rsidR="00690F18" w:rsidRPr="00A17302" w:rsidRDefault="00690F18" w:rsidP="006B2F52">
            <w:pPr>
              <w:rPr>
                <w:rFonts w:ascii="Calibri" w:eastAsia="Calibri" w:hAnsi="Calibri" w:cs="Calibri"/>
                <w:color w:val="000000"/>
              </w:rPr>
            </w:pPr>
            <w:r w:rsidRPr="00A17302">
              <w:rPr>
                <w:rFonts w:ascii="Calibri" w:eastAsia="Calibri" w:hAnsi="Calibri" w:cs="Calibri"/>
                <w:color w:val="000000"/>
              </w:rPr>
              <w:t>Тарифи за градски транспорт</w:t>
            </w:r>
          </w:p>
        </w:tc>
        <w:tc>
          <w:tcPr>
            <w:tcW w:w="5003" w:type="dxa"/>
          </w:tcPr>
          <w:p w:rsidR="00690F18" w:rsidRPr="00A17302" w:rsidRDefault="00690F18" w:rsidP="006B2F52">
            <w:pPr>
              <w:spacing w:before="120" w:after="120"/>
              <w:jc w:val="both"/>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fr-FR"/>
              </w:rPr>
            </w:pPr>
            <w:r w:rsidRPr="00A17302">
              <w:rPr>
                <w:rFonts w:ascii="Calibri" w:eastAsia="Calibri" w:hAnsi="Calibri" w:cs="Calibri"/>
                <w:color w:val="000000"/>
              </w:rPr>
              <w:t>Цената на билета за градския транспорт е основният източник на приходи за транспортните оператори, чрез който те осъществяват своята дейност, в т.ч. извършване на инвестиции в нов подвижен състав или замяна на изпускателните устройства на превозните средства за градски транспорт</w:t>
            </w:r>
          </w:p>
        </w:tc>
      </w:tr>
      <w:tr w:rsidR="00690F18" w:rsidRPr="00A17302" w:rsidTr="006B2F5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876" w:type="dxa"/>
          </w:tcPr>
          <w:p w:rsidR="00690F18" w:rsidRPr="00A17302" w:rsidRDefault="00690F18" w:rsidP="006B2F52">
            <w:pPr>
              <w:jc w:val="both"/>
              <w:rPr>
                <w:rFonts w:ascii="Calibri" w:eastAsia="Calibri" w:hAnsi="Calibri" w:cs="Calibri"/>
                <w:color w:val="000000"/>
              </w:rPr>
            </w:pPr>
            <w:r w:rsidRPr="00A17302">
              <w:rPr>
                <w:rFonts w:ascii="Calibri" w:eastAsia="Calibri" w:hAnsi="Calibri" w:cs="Calibri"/>
                <w:color w:val="000000"/>
              </w:rPr>
              <w:t>Безвъзмездна финансова помощ</w:t>
            </w:r>
          </w:p>
        </w:tc>
        <w:tc>
          <w:tcPr>
            <w:tcW w:w="5003" w:type="dxa"/>
          </w:tcPr>
          <w:p w:rsidR="00690F18" w:rsidRPr="00A17302" w:rsidRDefault="00690F18" w:rsidP="006B2F52">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rPr>
            </w:pPr>
            <w:r w:rsidRPr="00A17302">
              <w:rPr>
                <w:rFonts w:ascii="Calibri" w:eastAsia="Calibri" w:hAnsi="Calibri" w:cs="Calibri"/>
                <w:color w:val="000000"/>
              </w:rPr>
              <w:t>БФП може да бъде използвана за финансиране на проекти, за които не се генерират достатъчно приходи или няма алтернативни източници на финансиране</w:t>
            </w:r>
          </w:p>
        </w:tc>
      </w:tr>
    </w:tbl>
    <w:p w:rsidR="00722616" w:rsidRDefault="00722616" w:rsidP="006B2F52">
      <w:pPr>
        <w:keepNext/>
        <w:keepLines/>
        <w:spacing w:before="120" w:after="120"/>
        <w:outlineLvl w:val="2"/>
        <w:rPr>
          <w:rFonts w:ascii="Calibri" w:eastAsia="Calibri" w:hAnsi="Calibri" w:cs="Times New Roman"/>
          <w:color w:val="243F60"/>
          <w:sz w:val="24"/>
          <w:szCs w:val="24"/>
          <w:lang w:val="en-US"/>
        </w:rPr>
        <w:sectPr w:rsidR="00722616" w:rsidSect="006E39EC">
          <w:headerReference w:type="default" r:id="rId48"/>
          <w:footerReference w:type="even" r:id="rId49"/>
          <w:headerReference w:type="first" r:id="rId50"/>
          <w:pgSz w:w="11906" w:h="16838"/>
          <w:pgMar w:top="851" w:right="991" w:bottom="1560" w:left="1417" w:header="708" w:footer="94" w:gutter="0"/>
          <w:cols w:space="708"/>
          <w:titlePg/>
          <w:docGrid w:linePitch="360"/>
        </w:sectPr>
      </w:pPr>
    </w:p>
    <w:p w:rsidR="006B2F52" w:rsidRDefault="006B2F52" w:rsidP="006B2F52">
      <w:pPr>
        <w:keepNext/>
        <w:keepLines/>
        <w:spacing w:before="120" w:after="120"/>
        <w:outlineLvl w:val="2"/>
        <w:rPr>
          <w:rFonts w:ascii="Calibri" w:eastAsia="Calibri" w:hAnsi="Calibri" w:cs="Times New Roman"/>
          <w:color w:val="243F60"/>
          <w:sz w:val="24"/>
          <w:szCs w:val="24"/>
        </w:rPr>
      </w:pPr>
      <w:bookmarkStart w:id="59" w:name="_Toc399494526"/>
      <w:r>
        <w:rPr>
          <w:rFonts w:ascii="Calibri" w:eastAsia="Calibri" w:hAnsi="Calibri" w:cs="Times New Roman"/>
          <w:color w:val="243F60"/>
          <w:sz w:val="24"/>
          <w:szCs w:val="24"/>
        </w:rPr>
        <w:lastRenderedPageBreak/>
        <w:t>1.3.</w:t>
      </w:r>
      <w:r>
        <w:rPr>
          <w:rFonts w:ascii="Calibri" w:eastAsia="Calibri" w:hAnsi="Calibri" w:cs="Times New Roman"/>
          <w:color w:val="243F60"/>
          <w:sz w:val="24"/>
          <w:szCs w:val="24"/>
          <w:lang w:val="en-US"/>
        </w:rPr>
        <w:t>5</w:t>
      </w:r>
      <w:r w:rsidRPr="00A17302">
        <w:rPr>
          <w:rFonts w:ascii="Calibri" w:eastAsia="Calibri" w:hAnsi="Calibri" w:cs="Times New Roman"/>
          <w:color w:val="243F60"/>
          <w:sz w:val="24"/>
          <w:szCs w:val="24"/>
        </w:rPr>
        <w:t xml:space="preserve">. </w:t>
      </w:r>
      <w:r>
        <w:rPr>
          <w:rFonts w:ascii="Calibri" w:eastAsia="Calibri" w:hAnsi="Calibri" w:cs="Times New Roman"/>
          <w:color w:val="243F60"/>
          <w:sz w:val="24"/>
          <w:szCs w:val="24"/>
        </w:rPr>
        <w:t>Обобщение на неоптималната инвестиционна ситуация в сектор Въздух</w:t>
      </w:r>
      <w:bookmarkEnd w:id="59"/>
      <w:r w:rsidRPr="00A17302">
        <w:rPr>
          <w:rFonts w:ascii="Calibri" w:eastAsia="Calibri" w:hAnsi="Calibri" w:cs="Times New Roman"/>
          <w:color w:val="243F60"/>
          <w:sz w:val="24"/>
          <w:szCs w:val="24"/>
        </w:rPr>
        <w:t xml:space="preserve"> </w:t>
      </w:r>
    </w:p>
    <w:p w:rsidR="00107F7F" w:rsidRDefault="00107F7F" w:rsidP="00107F7F">
      <w:pPr>
        <w:widowControl w:val="0"/>
        <w:autoSpaceDE w:val="0"/>
        <w:autoSpaceDN w:val="0"/>
        <w:adjustRightInd w:val="0"/>
        <w:spacing w:before="240" w:after="0" w:line="239" w:lineRule="auto"/>
        <w:ind w:right="66"/>
        <w:jc w:val="both"/>
        <w:rPr>
          <w:rFonts w:ascii="Calibri" w:eastAsia="Calibri" w:hAnsi="Calibri" w:cs="Times New Roman"/>
        </w:rPr>
      </w:pPr>
      <w:r>
        <w:rPr>
          <w:rFonts w:ascii="Calibri" w:eastAsia="Calibri" w:hAnsi="Calibri" w:cs="Times New Roman"/>
        </w:rPr>
        <w:t>Въз основа на представената по-горе информация за сектор Въздух, може да бъдат направени следните изводи</w:t>
      </w:r>
      <w:r w:rsidR="00B50AE0">
        <w:rPr>
          <w:rFonts w:ascii="Calibri" w:eastAsia="Calibri" w:hAnsi="Calibri" w:cs="Times New Roman"/>
        </w:rPr>
        <w:t xml:space="preserve"> </w:t>
      </w:r>
      <w:r w:rsidR="00B83A10">
        <w:rPr>
          <w:rFonts w:ascii="Calibri" w:eastAsia="Calibri" w:hAnsi="Calibri" w:cs="Times New Roman"/>
        </w:rPr>
        <w:t>във връзка с наличието на неоптимална инвестиционна ситуация</w:t>
      </w:r>
      <w:r>
        <w:rPr>
          <w:rFonts w:ascii="Calibri" w:eastAsia="Calibri" w:hAnsi="Calibri" w:cs="Times New Roman"/>
        </w:rPr>
        <w:t>:</w:t>
      </w:r>
    </w:p>
    <w:p w:rsidR="00107F7F" w:rsidRDefault="00896C88" w:rsidP="00107F7F">
      <w:pPr>
        <w:widowControl w:val="0"/>
        <w:autoSpaceDE w:val="0"/>
        <w:autoSpaceDN w:val="0"/>
        <w:adjustRightInd w:val="0"/>
        <w:spacing w:before="240" w:after="0" w:line="239" w:lineRule="auto"/>
        <w:ind w:right="66"/>
        <w:jc w:val="both"/>
        <w:rPr>
          <w:rFonts w:ascii="Calibri" w:eastAsia="Calibri" w:hAnsi="Calibri" w:cs="Times New Roman"/>
        </w:rPr>
      </w:pPr>
      <w:r>
        <w:rPr>
          <w:noProof/>
          <w:lang w:eastAsia="bg-BG"/>
        </w:rPr>
        <mc:AlternateContent>
          <mc:Choice Requires="wps">
            <w:drawing>
              <wp:anchor distT="0" distB="0" distL="114300" distR="114300" simplePos="0" relativeHeight="251673600" behindDoc="0" locked="0" layoutInCell="1" allowOverlap="1" wp14:anchorId="1282995B">
                <wp:simplePos x="0" y="0"/>
                <wp:positionH relativeFrom="column">
                  <wp:posOffset>-60325</wp:posOffset>
                </wp:positionH>
                <wp:positionV relativeFrom="paragraph">
                  <wp:posOffset>280035</wp:posOffset>
                </wp:positionV>
                <wp:extent cx="6043930" cy="3667760"/>
                <wp:effectExtent l="0" t="0" r="33020" b="59690"/>
                <wp:wrapSquare wrapText="bothSides"/>
                <wp:docPr id="203"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3930" cy="3667760"/>
                        </a:xfrm>
                        <a:prstGeom prst="rect">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EA2176" w:rsidRDefault="00EA2176" w:rsidP="001A036E">
                            <w:pPr>
                              <w:numPr>
                                <w:ilvl w:val="0"/>
                                <w:numId w:val="43"/>
                              </w:numPr>
                              <w:spacing w:after="200" w:line="276" w:lineRule="auto"/>
                              <w:jc w:val="both"/>
                              <w:rPr>
                                <w:i/>
                              </w:rPr>
                            </w:pPr>
                            <w:r>
                              <w:rPr>
                                <w:i/>
                              </w:rPr>
                              <w:t>В сектора е налице неоптимална инвестиционна ситуация, причините за които са представени в т. 1.3.2. по-горе.</w:t>
                            </w:r>
                          </w:p>
                          <w:p w:rsidR="00EA2176" w:rsidRPr="00107F7F" w:rsidRDefault="00EA2176" w:rsidP="001A036E">
                            <w:pPr>
                              <w:numPr>
                                <w:ilvl w:val="0"/>
                                <w:numId w:val="43"/>
                              </w:numPr>
                              <w:spacing w:after="200" w:line="276" w:lineRule="auto"/>
                              <w:jc w:val="both"/>
                              <w:rPr>
                                <w:i/>
                              </w:rPr>
                            </w:pPr>
                            <w:r>
                              <w:rPr>
                                <w:i/>
                              </w:rPr>
                              <w:t>Същевременно се констатира</w:t>
                            </w:r>
                            <w:r w:rsidRPr="00107F7F">
                              <w:rPr>
                                <w:i/>
                              </w:rPr>
                              <w:t xml:space="preserve"> липса на активност при изпълнение на мерки за </w:t>
                            </w:r>
                            <w:r>
                              <w:rPr>
                                <w:i/>
                              </w:rPr>
                              <w:t xml:space="preserve">намаляване замърсяването от трафика и подобряване </w:t>
                            </w:r>
                            <w:r w:rsidRPr="00107F7F">
                              <w:rPr>
                                <w:i/>
                              </w:rPr>
                              <w:t>КАВ, поради регулаторни</w:t>
                            </w:r>
                            <w:r>
                              <w:rPr>
                                <w:i/>
                              </w:rPr>
                              <w:t xml:space="preserve"> причини и липса на адеква</w:t>
                            </w:r>
                            <w:r w:rsidRPr="00107F7F">
                              <w:rPr>
                                <w:i/>
                              </w:rPr>
                              <w:t>т</w:t>
                            </w:r>
                            <w:r>
                              <w:rPr>
                                <w:i/>
                              </w:rPr>
                              <w:t>н</w:t>
                            </w:r>
                            <w:r w:rsidRPr="00107F7F">
                              <w:rPr>
                                <w:i/>
                              </w:rPr>
                              <w:t>и стимули</w:t>
                            </w:r>
                            <w:r>
                              <w:rPr>
                                <w:i/>
                              </w:rPr>
                              <w:t>.</w:t>
                            </w:r>
                          </w:p>
                          <w:p w:rsidR="00EA2176" w:rsidRDefault="00EA2176" w:rsidP="001A036E">
                            <w:pPr>
                              <w:numPr>
                                <w:ilvl w:val="0"/>
                                <w:numId w:val="43"/>
                              </w:numPr>
                              <w:jc w:val="both"/>
                              <w:rPr>
                                <w:i/>
                              </w:rPr>
                            </w:pPr>
                            <w:r>
                              <w:rPr>
                                <w:i/>
                              </w:rPr>
                              <w:t>Пазарът</w:t>
                            </w:r>
                            <w:r w:rsidRPr="00107F7F">
                              <w:rPr>
                                <w:i/>
                              </w:rPr>
                              <w:t xml:space="preserve"> </w:t>
                            </w:r>
                            <w:r>
                              <w:rPr>
                                <w:i/>
                              </w:rPr>
                              <w:t xml:space="preserve">за реализиране на инвестиционни проекти в сектора </w:t>
                            </w:r>
                            <w:r w:rsidRPr="00107F7F">
                              <w:rPr>
                                <w:i/>
                              </w:rPr>
                              <w:t>като цяло</w:t>
                            </w:r>
                            <w:r>
                              <w:rPr>
                                <w:i/>
                              </w:rPr>
                              <w:t xml:space="preserve"> е незрял</w:t>
                            </w:r>
                            <w:r w:rsidRPr="00107F7F">
                              <w:rPr>
                                <w:i/>
                              </w:rPr>
                              <w:t>, тъй като мерки за подобряване КАВ са все още спорадични и се възприемат като пилотни/демонстрационни.</w:t>
                            </w:r>
                          </w:p>
                          <w:p w:rsidR="00EA2176" w:rsidRDefault="00EA2176" w:rsidP="001A036E">
                            <w:pPr>
                              <w:numPr>
                                <w:ilvl w:val="0"/>
                                <w:numId w:val="43"/>
                              </w:numPr>
                              <w:jc w:val="both"/>
                              <w:rPr>
                                <w:i/>
                              </w:rPr>
                            </w:pPr>
                            <w:r w:rsidRPr="00B50AE0">
                              <w:rPr>
                                <w:rFonts w:ascii="Calibri" w:eastAsia="Calibri" w:hAnsi="Calibri" w:cs="Calibri"/>
                                <w:i/>
                                <w:color w:val="000000"/>
                              </w:rPr>
                              <w:t>Въпреки наличието на неоптимална инвестиционна ситуация,</w:t>
                            </w:r>
                            <w:r w:rsidRPr="00B83A10">
                              <w:rPr>
                                <w:rFonts w:ascii="Calibri" w:eastAsia="Calibri" w:hAnsi="Calibri" w:cs="Calibri"/>
                                <w:i/>
                                <w:color w:val="000000"/>
                              </w:rPr>
                              <w:t xml:space="preserve"> </w:t>
                            </w:r>
                            <w:r w:rsidRPr="00B83A10">
                              <w:rPr>
                                <w:i/>
                              </w:rPr>
                              <w:t xml:space="preserve">прилагането на </w:t>
                            </w:r>
                            <w:r>
                              <w:rPr>
                                <w:i/>
                              </w:rPr>
                              <w:t xml:space="preserve">финансови инструменти в сектор Въздух </w:t>
                            </w:r>
                            <w:r w:rsidRPr="00B83A10">
                              <w:rPr>
                                <w:i/>
                              </w:rPr>
                              <w:t xml:space="preserve">на този етап ще бъде по-скоро неуспешно, поради липса на интерес към тях и по-ниското ниво на </w:t>
                            </w:r>
                            <w:r>
                              <w:rPr>
                                <w:i/>
                              </w:rPr>
                              <w:t>КАВ</w:t>
                            </w:r>
                            <w:r w:rsidRPr="00B83A10">
                              <w:rPr>
                                <w:i/>
                              </w:rPr>
                              <w:t xml:space="preserve"> в йерархията на приоритети на общините в сферата на околната среда.</w:t>
                            </w:r>
                            <w:r w:rsidRPr="00B50AE0">
                              <w:rPr>
                                <w:i/>
                              </w:rPr>
                              <w:t xml:space="preserve"> </w:t>
                            </w:r>
                          </w:p>
                          <w:p w:rsidR="00EA2176" w:rsidRPr="00B50AE0" w:rsidRDefault="00EA2176" w:rsidP="001A036E">
                            <w:pPr>
                              <w:numPr>
                                <w:ilvl w:val="0"/>
                                <w:numId w:val="43"/>
                              </w:numPr>
                              <w:jc w:val="both"/>
                              <w:rPr>
                                <w:i/>
                              </w:rPr>
                            </w:pPr>
                            <w:r>
                              <w:rPr>
                                <w:i/>
                              </w:rPr>
                              <w:t xml:space="preserve">Препоръчително е първо </w:t>
                            </w:r>
                            <w:r w:rsidRPr="00B50AE0">
                              <w:rPr>
                                <w:i/>
                              </w:rPr>
                              <w:t>чрез проекти, финансирани изцяло с БФП да се създаде „култура” за опазване КАВ</w:t>
                            </w:r>
                            <w:r>
                              <w:rPr>
                                <w:i/>
                              </w:rPr>
                              <w:t xml:space="preserve"> в рамките на програмния период 2014-2020 г.</w:t>
                            </w:r>
                            <w:r w:rsidRPr="00B50AE0">
                              <w:rPr>
                                <w:i/>
                              </w:rPr>
                              <w:t xml:space="preserve">, </w:t>
                            </w:r>
                            <w:r>
                              <w:rPr>
                                <w:i/>
                              </w:rPr>
                              <w:t xml:space="preserve">а </w:t>
                            </w:r>
                            <w:r w:rsidRPr="00B50AE0">
                              <w:rPr>
                                <w:i/>
                              </w:rPr>
                              <w:t xml:space="preserve">след </w:t>
                            </w:r>
                            <w:r>
                              <w:rPr>
                                <w:i/>
                              </w:rPr>
                              <w:t>това</w:t>
                            </w:r>
                            <w:r w:rsidRPr="00B50AE0">
                              <w:rPr>
                                <w:i/>
                              </w:rPr>
                              <w:t xml:space="preserve"> да се мисли в посока разнообразяване/допълване на финансирането от други източници.</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282995B" id="Text Box 84" o:spid="_x0000_s1028" type="#_x0000_t202" style="position:absolute;left:0;text-align:left;margin-left:-4.75pt;margin-top:22.05pt;width:475.9pt;height:288.8pt;z-index:2516736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" fillcolor="#8eaadb [1944]" strokecolor="#8eaadb [1944]" strokeweight="1pt">
                <v:fill color2="#d9e2f3 [664]" angle="135" focus="50%" type="gradient"/>
                <v:shadow on="t" color="#1f3763 [1608]" opacity=".5" offset="1pt"/>
                <v:textbox style="mso-fit-shape-to-text:t">
                  <w:txbxContent>
                    <w:p w:rsidR="00EA2176" w:rsidRDefault="00EA2176" w:rsidP="001A036E">
                      <w:pPr>
                        <w:numPr>
                          <w:ilvl w:val="0"/>
                          <w:numId w:val="43"/>
                        </w:numPr>
                        <w:spacing w:after="200" w:line="276" w:lineRule="auto"/>
                        <w:jc w:val="both"/>
                        <w:rPr>
                          <w:i/>
                        </w:rPr>
                      </w:pPr>
                      <w:r>
                        <w:rPr>
                          <w:i/>
                        </w:rPr>
                        <w:t>В сектора е налице неоптимална инвестиционна ситуация, причините за които са представени в т. 1.3.2. по-горе.</w:t>
                      </w:r>
                    </w:p>
                    <w:p w:rsidR="00EA2176" w:rsidRPr="00107F7F" w:rsidRDefault="00EA2176" w:rsidP="001A036E">
                      <w:pPr>
                        <w:numPr>
                          <w:ilvl w:val="0"/>
                          <w:numId w:val="43"/>
                        </w:numPr>
                        <w:spacing w:after="200" w:line="276" w:lineRule="auto"/>
                        <w:jc w:val="both"/>
                        <w:rPr>
                          <w:i/>
                        </w:rPr>
                      </w:pPr>
                      <w:r>
                        <w:rPr>
                          <w:i/>
                        </w:rPr>
                        <w:t>Същевременно се констатира</w:t>
                      </w:r>
                      <w:r w:rsidRPr="00107F7F">
                        <w:rPr>
                          <w:i/>
                        </w:rPr>
                        <w:t xml:space="preserve"> липса на активност при изпълнение на мерки за </w:t>
                      </w:r>
                      <w:r>
                        <w:rPr>
                          <w:i/>
                        </w:rPr>
                        <w:t xml:space="preserve">намаляване замърсяването от трафика и подобряване </w:t>
                      </w:r>
                      <w:r w:rsidRPr="00107F7F">
                        <w:rPr>
                          <w:i/>
                        </w:rPr>
                        <w:t>КАВ, поради регулаторни</w:t>
                      </w:r>
                      <w:r>
                        <w:rPr>
                          <w:i/>
                        </w:rPr>
                        <w:t xml:space="preserve"> причини и липса на адеква</w:t>
                      </w:r>
                      <w:r w:rsidRPr="00107F7F">
                        <w:rPr>
                          <w:i/>
                        </w:rPr>
                        <w:t>т</w:t>
                      </w:r>
                      <w:r>
                        <w:rPr>
                          <w:i/>
                        </w:rPr>
                        <w:t>н</w:t>
                      </w:r>
                      <w:r w:rsidRPr="00107F7F">
                        <w:rPr>
                          <w:i/>
                        </w:rPr>
                        <w:t>и стимули</w:t>
                      </w:r>
                      <w:r>
                        <w:rPr>
                          <w:i/>
                        </w:rPr>
                        <w:t>.</w:t>
                      </w:r>
                    </w:p>
                    <w:p w:rsidR="00EA2176" w:rsidRDefault="00EA2176" w:rsidP="001A036E">
                      <w:pPr>
                        <w:numPr>
                          <w:ilvl w:val="0"/>
                          <w:numId w:val="43"/>
                        </w:numPr>
                        <w:jc w:val="both"/>
                        <w:rPr>
                          <w:i/>
                        </w:rPr>
                      </w:pPr>
                      <w:r>
                        <w:rPr>
                          <w:i/>
                        </w:rPr>
                        <w:t>Пазарът</w:t>
                      </w:r>
                      <w:r w:rsidRPr="00107F7F">
                        <w:rPr>
                          <w:i/>
                        </w:rPr>
                        <w:t xml:space="preserve"> </w:t>
                      </w:r>
                      <w:r>
                        <w:rPr>
                          <w:i/>
                        </w:rPr>
                        <w:t xml:space="preserve">за реализиране на инвестиционни проекти в сектора </w:t>
                      </w:r>
                      <w:r w:rsidRPr="00107F7F">
                        <w:rPr>
                          <w:i/>
                        </w:rPr>
                        <w:t>като цяло</w:t>
                      </w:r>
                      <w:r>
                        <w:rPr>
                          <w:i/>
                        </w:rPr>
                        <w:t xml:space="preserve"> е незрял</w:t>
                      </w:r>
                      <w:r w:rsidRPr="00107F7F">
                        <w:rPr>
                          <w:i/>
                        </w:rPr>
                        <w:t>, тъй като мерки за подобряване КАВ са все още спорадични и се възприемат като пилотни/демонстрационни.</w:t>
                      </w:r>
                    </w:p>
                    <w:p w:rsidR="00EA2176" w:rsidRDefault="00EA2176" w:rsidP="001A036E">
                      <w:pPr>
                        <w:numPr>
                          <w:ilvl w:val="0"/>
                          <w:numId w:val="43"/>
                        </w:numPr>
                        <w:jc w:val="both"/>
                        <w:rPr>
                          <w:i/>
                        </w:rPr>
                      </w:pPr>
                      <w:r w:rsidRPr="00B50AE0">
                        <w:rPr>
                          <w:rFonts w:ascii="Calibri" w:eastAsia="Calibri" w:hAnsi="Calibri" w:cs="Calibri"/>
                          <w:i/>
                          <w:color w:val="000000"/>
                        </w:rPr>
                        <w:t>Въпреки наличието на неоптимална инвестиционна ситуация,</w:t>
                      </w:r>
                      <w:r w:rsidRPr="00B83A10">
                        <w:rPr>
                          <w:rFonts w:ascii="Calibri" w:eastAsia="Calibri" w:hAnsi="Calibri" w:cs="Calibri"/>
                          <w:i/>
                          <w:color w:val="000000"/>
                        </w:rPr>
                        <w:t xml:space="preserve"> </w:t>
                      </w:r>
                      <w:r w:rsidRPr="00B83A10">
                        <w:rPr>
                          <w:i/>
                        </w:rPr>
                        <w:t xml:space="preserve">прилагането на </w:t>
                      </w:r>
                      <w:r>
                        <w:rPr>
                          <w:i/>
                        </w:rPr>
                        <w:t xml:space="preserve">финансови инструменти в сектор Въздух </w:t>
                      </w:r>
                      <w:r w:rsidRPr="00B83A10">
                        <w:rPr>
                          <w:i/>
                        </w:rPr>
                        <w:t xml:space="preserve">на този етап ще бъде по-скоро неуспешно, поради липса на интерес към тях и по-ниското ниво на </w:t>
                      </w:r>
                      <w:r>
                        <w:rPr>
                          <w:i/>
                        </w:rPr>
                        <w:t>КАВ</w:t>
                      </w:r>
                      <w:r w:rsidRPr="00B83A10">
                        <w:rPr>
                          <w:i/>
                        </w:rPr>
                        <w:t xml:space="preserve"> в йерархията на приоритети на общините в сферата на околната среда.</w:t>
                      </w:r>
                      <w:r w:rsidRPr="00B50AE0">
                        <w:rPr>
                          <w:i/>
                        </w:rPr>
                        <w:t xml:space="preserve"> </w:t>
                      </w:r>
                    </w:p>
                    <w:p w:rsidR="00EA2176" w:rsidRPr="00B50AE0" w:rsidRDefault="00EA2176" w:rsidP="001A036E">
                      <w:pPr>
                        <w:numPr>
                          <w:ilvl w:val="0"/>
                          <w:numId w:val="43"/>
                        </w:numPr>
                        <w:jc w:val="both"/>
                        <w:rPr>
                          <w:i/>
                        </w:rPr>
                      </w:pPr>
                      <w:r>
                        <w:rPr>
                          <w:i/>
                        </w:rPr>
                        <w:t xml:space="preserve">Препоръчително е първо </w:t>
                      </w:r>
                      <w:r w:rsidRPr="00B50AE0">
                        <w:rPr>
                          <w:i/>
                        </w:rPr>
                        <w:t>чрез проекти, финансирани изцяло с БФП да се създаде „култура” за опазване КАВ</w:t>
                      </w:r>
                      <w:r>
                        <w:rPr>
                          <w:i/>
                        </w:rPr>
                        <w:t xml:space="preserve"> в рамките на програмния период 2014-2020 г.</w:t>
                      </w:r>
                      <w:r w:rsidRPr="00B50AE0">
                        <w:rPr>
                          <w:i/>
                        </w:rPr>
                        <w:t xml:space="preserve">, </w:t>
                      </w:r>
                      <w:r>
                        <w:rPr>
                          <w:i/>
                        </w:rPr>
                        <w:t xml:space="preserve">а </w:t>
                      </w:r>
                      <w:r w:rsidRPr="00B50AE0">
                        <w:rPr>
                          <w:i/>
                        </w:rPr>
                        <w:t xml:space="preserve">след </w:t>
                      </w:r>
                      <w:r>
                        <w:rPr>
                          <w:i/>
                        </w:rPr>
                        <w:t>това</w:t>
                      </w:r>
                      <w:r w:rsidRPr="00B50AE0">
                        <w:rPr>
                          <w:i/>
                        </w:rPr>
                        <w:t xml:space="preserve"> да се мисли в посока разнообразяване/допълване на финансирането от други източници.</w:t>
                      </w:r>
                    </w:p>
                  </w:txbxContent>
                </v:textbox>
                <w10:wrap type="square"/>
              </v:shape>
            </w:pict>
          </mc:Fallback>
        </mc:AlternateContent>
      </w:r>
    </w:p>
    <w:p w:rsidR="00107F7F" w:rsidRDefault="00B83A10" w:rsidP="00107F7F">
      <w:pPr>
        <w:spacing w:after="200" w:line="276" w:lineRule="auto"/>
        <w:jc w:val="both"/>
        <w:rPr>
          <w:rFonts w:ascii="Calibri" w:eastAsia="Calibri" w:hAnsi="Calibri" w:cs="Times New Roman"/>
        </w:rPr>
      </w:pPr>
      <w:r>
        <w:rPr>
          <w:rFonts w:ascii="Calibri" w:eastAsia="Calibri" w:hAnsi="Calibri" w:cs="Times New Roman"/>
        </w:rPr>
        <w:t xml:space="preserve">На база </w:t>
      </w:r>
      <w:r w:rsidRPr="00B83A10">
        <w:rPr>
          <w:rFonts w:ascii="Calibri" w:eastAsia="Calibri" w:hAnsi="Calibri" w:cs="Times New Roman"/>
        </w:rPr>
        <w:t xml:space="preserve">горепосочените изводи, </w:t>
      </w:r>
      <w:r>
        <w:rPr>
          <w:rFonts w:ascii="Calibri" w:eastAsia="Calibri" w:hAnsi="Calibri" w:cs="Times New Roman"/>
        </w:rPr>
        <w:t xml:space="preserve">останалата част от анализа ще бъде фокусиран върху секторите Води и Отпадъци, тъй като </w:t>
      </w:r>
      <w:r w:rsidR="009B73A8">
        <w:rPr>
          <w:rFonts w:ascii="Calibri" w:eastAsia="Calibri" w:hAnsi="Calibri" w:cs="Times New Roman"/>
        </w:rPr>
        <w:t xml:space="preserve">предвид мерките за финансиране включени в ОПОС 2014-2020, се счита, че </w:t>
      </w:r>
      <w:r w:rsidR="003627F7">
        <w:rPr>
          <w:rFonts w:ascii="Calibri" w:eastAsia="Calibri" w:hAnsi="Calibri" w:cs="Times New Roman"/>
        </w:rPr>
        <w:t>сектор Въздух е все още „незрял” и има нужда от най-вече безвъзмездно финансиране</w:t>
      </w:r>
      <w:r w:rsidR="003627F7">
        <w:rPr>
          <w:rStyle w:val="FootnoteReference"/>
          <w:rFonts w:ascii="Calibri" w:eastAsia="Calibri" w:hAnsi="Calibri" w:cs="Times New Roman"/>
        </w:rPr>
        <w:footnoteReference w:id="36"/>
      </w:r>
      <w:r w:rsidR="003C49C2">
        <w:rPr>
          <w:rFonts w:ascii="Calibri" w:eastAsia="Calibri" w:hAnsi="Calibri" w:cs="Times New Roman"/>
        </w:rPr>
        <w:t>.</w:t>
      </w:r>
    </w:p>
    <w:p w:rsidR="009B73A8" w:rsidRPr="00B83A10" w:rsidRDefault="009B73A8" w:rsidP="00107F7F">
      <w:pPr>
        <w:spacing w:after="200" w:line="276" w:lineRule="auto"/>
        <w:jc w:val="both"/>
        <w:rPr>
          <w:rFonts w:ascii="Calibri" w:eastAsia="Calibri" w:hAnsi="Calibri" w:cs="Times New Roman"/>
        </w:rPr>
      </w:pPr>
      <w:r>
        <w:rPr>
          <w:rFonts w:ascii="Calibri" w:eastAsia="Calibri" w:hAnsi="Calibri" w:cs="Times New Roman"/>
        </w:rPr>
        <w:t>Въпреки това заключение, при бъдещо изменение на предвидените за финансиране дейности по програмата</w:t>
      </w:r>
      <w:r>
        <w:rPr>
          <w:rStyle w:val="FootnoteReference"/>
          <w:rFonts w:ascii="Calibri" w:eastAsia="Calibri" w:hAnsi="Calibri" w:cs="Times New Roman"/>
        </w:rPr>
        <w:footnoteReference w:id="37"/>
      </w:r>
      <w:r>
        <w:rPr>
          <w:rFonts w:ascii="Calibri" w:eastAsia="Calibri" w:hAnsi="Calibri" w:cs="Times New Roman"/>
        </w:rPr>
        <w:t>, е необходимо преразглеждане на оценката за приложимостта на финансови инструменти в този сектор.</w:t>
      </w:r>
    </w:p>
    <w:p w:rsidR="003C49C2" w:rsidRDefault="003C49C2" w:rsidP="00107F7F">
      <w:pPr>
        <w:spacing w:after="200" w:line="276" w:lineRule="auto"/>
        <w:jc w:val="both"/>
        <w:rPr>
          <w:rFonts w:ascii="Calibri" w:eastAsia="Calibri" w:hAnsi="Calibri" w:cs="Times New Roman"/>
          <w:b/>
          <w:color w:val="4F81BD"/>
        </w:rPr>
      </w:pPr>
    </w:p>
    <w:p w:rsidR="00A91295" w:rsidRDefault="00A91295" w:rsidP="00107F7F">
      <w:pPr>
        <w:spacing w:after="200" w:line="276" w:lineRule="auto"/>
        <w:jc w:val="both"/>
        <w:rPr>
          <w:rFonts w:ascii="Calibri" w:eastAsia="Calibri" w:hAnsi="Calibri" w:cs="Times New Roman"/>
          <w:b/>
          <w:color w:val="4F81BD"/>
        </w:rPr>
      </w:pPr>
    </w:p>
    <w:p w:rsidR="00A91295" w:rsidRDefault="00A91295" w:rsidP="00107F7F">
      <w:pPr>
        <w:spacing w:after="200" w:line="276" w:lineRule="auto"/>
        <w:jc w:val="both"/>
        <w:rPr>
          <w:rFonts w:ascii="Calibri" w:eastAsia="Calibri" w:hAnsi="Calibri" w:cs="Times New Roman"/>
          <w:b/>
          <w:color w:val="4F81BD"/>
        </w:rPr>
      </w:pPr>
    </w:p>
    <w:p w:rsidR="008311B3" w:rsidRDefault="008311B3" w:rsidP="008E4057">
      <w:pPr>
        <w:pStyle w:val="Heading3"/>
        <w:jc w:val="both"/>
        <w:rPr>
          <w:rFonts w:asciiTheme="minorHAnsi" w:hAnsiTheme="minorHAnsi" w:cs="Times New Roman"/>
        </w:rPr>
      </w:pPr>
      <w:bookmarkStart w:id="60" w:name="_Toc399494527"/>
      <w:r w:rsidRPr="00722616">
        <w:rPr>
          <w:rFonts w:asciiTheme="minorHAnsi" w:hAnsiTheme="minorHAnsi" w:cs="Times New Roman"/>
        </w:rPr>
        <w:lastRenderedPageBreak/>
        <w:t>Б. Недостиг на финансиране и нужди от инвестиции за постигане на съответствие с тематични цели и инвестиционните приоритети на ОПОС, които могат да бъдат подпомогнати чрез финансови инструменти</w:t>
      </w:r>
      <w:bookmarkEnd w:id="60"/>
    </w:p>
    <w:p w:rsidR="00A91295" w:rsidRDefault="00A91295" w:rsidP="00A91295"/>
    <w:p w:rsidR="008E4057" w:rsidRDefault="008E4057" w:rsidP="00421960">
      <w:pPr>
        <w:keepNext/>
        <w:keepLines/>
        <w:spacing w:before="120" w:after="120"/>
        <w:outlineLvl w:val="2"/>
        <w:rPr>
          <w:rFonts w:ascii="Calibri" w:eastAsia="Calibri" w:hAnsi="Calibri" w:cs="Times New Roman"/>
          <w:color w:val="243F60"/>
          <w:sz w:val="24"/>
          <w:szCs w:val="24"/>
        </w:rPr>
      </w:pPr>
      <w:bookmarkStart w:id="61" w:name="_Toc399494528"/>
      <w:r w:rsidRPr="00421960">
        <w:rPr>
          <w:rFonts w:ascii="Calibri" w:eastAsia="Calibri" w:hAnsi="Calibri" w:cs="Times New Roman"/>
          <w:color w:val="243F60"/>
          <w:sz w:val="24"/>
          <w:szCs w:val="24"/>
        </w:rPr>
        <w:t xml:space="preserve">1.3.6. </w:t>
      </w:r>
      <w:r w:rsidR="00421960">
        <w:rPr>
          <w:rFonts w:ascii="Calibri" w:eastAsia="Calibri" w:hAnsi="Calibri" w:cs="Times New Roman"/>
          <w:color w:val="243F60"/>
          <w:sz w:val="24"/>
          <w:szCs w:val="24"/>
        </w:rPr>
        <w:t>Инвестиционни приоритети, тематични цели и специфични цели на ОПОС 2014-2020, които могат да бъдат подпомогнати чрез финансови инструменти</w:t>
      </w:r>
      <w:bookmarkEnd w:id="61"/>
    </w:p>
    <w:p w:rsidR="00421960" w:rsidRDefault="00421960" w:rsidP="00421960">
      <w:pPr>
        <w:keepNext/>
        <w:keepLines/>
        <w:spacing w:before="120" w:after="120"/>
        <w:outlineLvl w:val="2"/>
        <w:rPr>
          <w:rFonts w:ascii="Calibri" w:eastAsia="Calibri" w:hAnsi="Calibri" w:cs="Times New Roman"/>
          <w:color w:val="243F60"/>
          <w:sz w:val="24"/>
          <w:szCs w:val="24"/>
        </w:rPr>
      </w:pPr>
    </w:p>
    <w:tbl>
      <w:tblPr>
        <w:tblStyle w:val="ColorfulGrid-Accent1"/>
        <w:tblW w:w="0" w:type="auto"/>
        <w:tblLook w:val="04A0" w:firstRow="1" w:lastRow="0" w:firstColumn="1" w:lastColumn="0" w:noHBand="0" w:noVBand="1"/>
      </w:tblPr>
      <w:tblGrid>
        <w:gridCol w:w="3175"/>
        <w:gridCol w:w="3162"/>
        <w:gridCol w:w="3161"/>
      </w:tblGrid>
      <w:tr w:rsidR="00421960" w:rsidRPr="00421960" w:rsidTr="004219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12" w:type="dxa"/>
          </w:tcPr>
          <w:p w:rsidR="00421960" w:rsidRPr="00421960" w:rsidRDefault="00421960" w:rsidP="001A3EBC">
            <w:pPr>
              <w:jc w:val="center"/>
              <w:rPr>
                <w:rFonts w:ascii="Calibri" w:eastAsia="Times New Roman" w:hAnsi="Calibri" w:cs="Arial"/>
                <w:bCs w:val="0"/>
                <w:color w:val="000000"/>
                <w:lang w:eastAsia="bg-BG"/>
              </w:rPr>
            </w:pPr>
            <w:r w:rsidRPr="00421960">
              <w:rPr>
                <w:rFonts w:ascii="Calibri" w:eastAsia="Times New Roman" w:hAnsi="Calibri" w:cs="Arial"/>
                <w:bCs w:val="0"/>
                <w:color w:val="000000"/>
                <w:lang w:eastAsia="bg-BG"/>
              </w:rPr>
              <w:t>Инвестиционен приоритет</w:t>
            </w:r>
          </w:p>
        </w:tc>
        <w:tc>
          <w:tcPr>
            <w:tcW w:w="3213" w:type="dxa"/>
          </w:tcPr>
          <w:p w:rsidR="00421960" w:rsidRPr="00421960" w:rsidRDefault="00421960" w:rsidP="001A3EB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bCs w:val="0"/>
                <w:color w:val="000000"/>
                <w:lang w:eastAsia="bg-BG"/>
              </w:rPr>
            </w:pPr>
            <w:r w:rsidRPr="00421960">
              <w:rPr>
                <w:rFonts w:ascii="Calibri" w:eastAsia="Times New Roman" w:hAnsi="Calibri" w:cs="Arial"/>
                <w:bCs w:val="0"/>
                <w:color w:val="000000"/>
                <w:lang w:eastAsia="bg-BG"/>
              </w:rPr>
              <w:t>Тематична цел</w:t>
            </w:r>
          </w:p>
        </w:tc>
        <w:tc>
          <w:tcPr>
            <w:tcW w:w="3213" w:type="dxa"/>
          </w:tcPr>
          <w:p w:rsidR="00421960" w:rsidRPr="00421960" w:rsidRDefault="00421960" w:rsidP="001A3EBC">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Arial"/>
                <w:bCs w:val="0"/>
                <w:color w:val="000000"/>
                <w:lang w:eastAsia="bg-BG"/>
              </w:rPr>
            </w:pPr>
            <w:r w:rsidRPr="00421960">
              <w:rPr>
                <w:rFonts w:ascii="Calibri" w:eastAsia="Times New Roman" w:hAnsi="Calibri" w:cs="Arial"/>
                <w:bCs w:val="0"/>
                <w:color w:val="000000"/>
                <w:lang w:eastAsia="bg-BG"/>
              </w:rPr>
              <w:t>Специфични цели</w:t>
            </w:r>
          </w:p>
        </w:tc>
      </w:tr>
      <w:tr w:rsidR="00421960" w:rsidRPr="00421960" w:rsidTr="001A3EBC">
        <w:trPr>
          <w:cnfStyle w:val="000000100000" w:firstRow="0" w:lastRow="0" w:firstColumn="0" w:lastColumn="0" w:oddVBand="0" w:evenVBand="0" w:oddHBand="1" w:evenHBand="0" w:firstRowFirstColumn="0" w:firstRowLastColumn="0" w:lastRowFirstColumn="0" w:lastRowLastColumn="0"/>
          <w:trHeight w:val="2758"/>
        </w:trPr>
        <w:tc>
          <w:tcPr>
            <w:cnfStyle w:val="001000000000" w:firstRow="0" w:lastRow="0" w:firstColumn="1" w:lastColumn="0" w:oddVBand="0" w:evenVBand="0" w:oddHBand="0" w:evenHBand="0" w:firstRowFirstColumn="0" w:firstRowLastColumn="0" w:lastRowFirstColumn="0" w:lastRowLastColumn="0"/>
            <w:tcW w:w="3212" w:type="dxa"/>
          </w:tcPr>
          <w:p w:rsidR="00421960" w:rsidRPr="00421960" w:rsidRDefault="00421960" w:rsidP="001A3EBC">
            <w:pPr>
              <w:rPr>
                <w:noProof/>
                <w:lang w:eastAsia="fr-BE"/>
              </w:rPr>
            </w:pPr>
            <w:r w:rsidRPr="00421960">
              <w:rPr>
                <w:noProof/>
                <w:lang w:eastAsia="fr-BE"/>
              </w:rPr>
              <w:t>„Инвестиране във водния</w:t>
            </w:r>
          </w:p>
          <w:p w:rsidR="00421960" w:rsidRPr="00421960" w:rsidRDefault="00421960" w:rsidP="001A3EBC">
            <w:pPr>
              <w:rPr>
                <w:noProof/>
                <w:lang w:eastAsia="fr-BE"/>
              </w:rPr>
            </w:pPr>
            <w:r w:rsidRPr="00421960">
              <w:rPr>
                <w:noProof/>
                <w:lang w:eastAsia="fr-BE"/>
              </w:rPr>
              <w:t>сектор за съобразяване с</w:t>
            </w:r>
          </w:p>
          <w:p w:rsidR="00421960" w:rsidRPr="00421960" w:rsidRDefault="00421960" w:rsidP="001A3EBC">
            <w:pPr>
              <w:rPr>
                <w:noProof/>
                <w:lang w:eastAsia="fr-BE"/>
              </w:rPr>
            </w:pPr>
            <w:r w:rsidRPr="00421960">
              <w:rPr>
                <w:noProof/>
                <w:lang w:eastAsia="fr-BE"/>
              </w:rPr>
              <w:t>изискванията на законодателството на Съюза в областта на околната среда и удовлетворяване на нуждите, идентифицирани от държавите-членки за инвестиции, които надхвърлят тези изисквания“</w:t>
            </w:r>
          </w:p>
        </w:tc>
        <w:tc>
          <w:tcPr>
            <w:tcW w:w="3213" w:type="dxa"/>
          </w:tcPr>
          <w:p w:rsidR="00421960" w:rsidRPr="00421960" w:rsidRDefault="00421960" w:rsidP="001A3EB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bCs/>
                <w:color w:val="000000"/>
                <w:lang w:eastAsia="bg-BG"/>
              </w:rPr>
            </w:pPr>
            <w:r w:rsidRPr="00421960">
              <w:rPr>
                <w:rFonts w:ascii="Calibri" w:eastAsia="Times New Roman" w:hAnsi="Calibri" w:cs="Arial"/>
                <w:bCs/>
                <w:color w:val="000000"/>
                <w:lang w:eastAsia="bg-BG"/>
              </w:rPr>
              <w:t>ТЦ 6 „Съхраняване и опазване на околната среда и насърчаване на ресурсната ефективност”</w:t>
            </w:r>
          </w:p>
        </w:tc>
        <w:tc>
          <w:tcPr>
            <w:tcW w:w="3213" w:type="dxa"/>
          </w:tcPr>
          <w:p w:rsidR="00421960" w:rsidRPr="00421960" w:rsidRDefault="00421960" w:rsidP="001A3EB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bCs/>
                <w:color w:val="000000"/>
              </w:rPr>
            </w:pPr>
            <w:r w:rsidRPr="00421960">
              <w:rPr>
                <w:rFonts w:ascii="Calibri" w:eastAsia="Times New Roman" w:hAnsi="Calibri" w:cs="Arial"/>
                <w:bCs/>
                <w:color w:val="000000"/>
              </w:rPr>
              <w:t>Специфична цел 1 Опазване и подобряване състоянието на водните ресурси</w:t>
            </w:r>
          </w:p>
          <w:p w:rsidR="00421960" w:rsidRPr="00421960" w:rsidRDefault="00421960" w:rsidP="001A3EB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bCs/>
                <w:color w:val="000000"/>
              </w:rPr>
            </w:pPr>
          </w:p>
          <w:p w:rsidR="00421960" w:rsidRPr="00421960" w:rsidRDefault="00421960" w:rsidP="001A3EB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Arial"/>
                <w:bCs/>
                <w:color w:val="000000"/>
                <w:lang w:eastAsia="bg-BG"/>
              </w:rPr>
            </w:pPr>
            <w:r w:rsidRPr="00421960">
              <w:rPr>
                <w:rFonts w:ascii="Calibri" w:eastAsia="Times New Roman" w:hAnsi="Calibri" w:cs="Arial"/>
                <w:bCs/>
                <w:color w:val="000000"/>
                <w:lang w:eastAsia="bg-BG"/>
              </w:rPr>
              <w:t>Специфична цел 2 Подобряване оценката на състоянието на водите</w:t>
            </w:r>
          </w:p>
        </w:tc>
      </w:tr>
      <w:tr w:rsidR="00421960" w:rsidRPr="00421960" w:rsidTr="001A3EBC">
        <w:trPr>
          <w:trHeight w:val="2840"/>
        </w:trPr>
        <w:tc>
          <w:tcPr>
            <w:cnfStyle w:val="001000000000" w:firstRow="0" w:lastRow="0" w:firstColumn="1" w:lastColumn="0" w:oddVBand="0" w:evenVBand="0" w:oddHBand="0" w:evenHBand="0" w:firstRowFirstColumn="0" w:firstRowLastColumn="0" w:lastRowFirstColumn="0" w:lastRowLastColumn="0"/>
            <w:tcW w:w="3212" w:type="dxa"/>
          </w:tcPr>
          <w:p w:rsidR="00421960" w:rsidRPr="00421960" w:rsidRDefault="00421960" w:rsidP="001A3EBC">
            <w:pPr>
              <w:rPr>
                <w:noProof/>
                <w:lang w:eastAsia="fr-BE"/>
              </w:rPr>
            </w:pPr>
            <w:r w:rsidRPr="00421960">
              <w:rPr>
                <w:noProof/>
                <w:lang w:eastAsia="fr-BE"/>
              </w:rPr>
              <w:t>„Инвестиране в сектора на отпадъците за съобразяване с изискванията на достиженията на правото на Съюза в областта на околната</w:t>
            </w:r>
          </w:p>
          <w:p w:rsidR="00421960" w:rsidRPr="00421960" w:rsidRDefault="00421960" w:rsidP="001A3EBC">
            <w:pPr>
              <w:rPr>
                <w:noProof/>
                <w:lang w:eastAsia="fr-BE"/>
              </w:rPr>
            </w:pPr>
            <w:r w:rsidRPr="00421960">
              <w:rPr>
                <w:noProof/>
                <w:lang w:eastAsia="fr-BE"/>
              </w:rPr>
              <w:t>среда и удовлетворяване</w:t>
            </w:r>
          </w:p>
          <w:p w:rsidR="00421960" w:rsidRPr="00421960" w:rsidRDefault="00421960" w:rsidP="001A3EBC">
            <w:pPr>
              <w:rPr>
                <w:noProof/>
                <w:lang w:eastAsia="fr-BE"/>
              </w:rPr>
            </w:pPr>
            <w:r w:rsidRPr="00421960">
              <w:rPr>
                <w:noProof/>
                <w:lang w:eastAsia="fr-BE"/>
              </w:rPr>
              <w:t>на нуждите, идентифицирани от държавите – членки за инвестиции отвъд тези изисквания“</w:t>
            </w:r>
          </w:p>
        </w:tc>
        <w:tc>
          <w:tcPr>
            <w:tcW w:w="3213" w:type="dxa"/>
          </w:tcPr>
          <w:p w:rsidR="00421960" w:rsidRPr="00421960" w:rsidRDefault="00421960" w:rsidP="001A3EBC">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bCs/>
                <w:color w:val="000000"/>
                <w:lang w:eastAsia="bg-BG"/>
              </w:rPr>
            </w:pPr>
            <w:r w:rsidRPr="00421960">
              <w:rPr>
                <w:rFonts w:ascii="Calibri" w:eastAsia="Times New Roman" w:hAnsi="Calibri" w:cs="Arial"/>
                <w:bCs/>
                <w:color w:val="000000"/>
                <w:lang w:eastAsia="bg-BG"/>
              </w:rPr>
              <w:t>ТЦ 6 „Съхраняване и опазване на околната среда и насърчаване на ресурсната ефективност”</w:t>
            </w:r>
          </w:p>
        </w:tc>
        <w:tc>
          <w:tcPr>
            <w:tcW w:w="3213" w:type="dxa"/>
          </w:tcPr>
          <w:p w:rsidR="00421960" w:rsidRPr="00421960" w:rsidRDefault="00421960" w:rsidP="001A3EBC">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Arial"/>
                <w:bCs/>
                <w:color w:val="000000"/>
                <w:lang w:eastAsia="bg-BG"/>
              </w:rPr>
            </w:pPr>
            <w:r w:rsidRPr="00421960">
              <w:rPr>
                <w:rFonts w:ascii="Calibri" w:eastAsia="Times New Roman" w:hAnsi="Calibri" w:cs="Arial"/>
                <w:bCs/>
                <w:color w:val="000000"/>
                <w:lang w:eastAsia="bg-BG"/>
              </w:rPr>
              <w:t>Специфична цел 1 Намаляване на количеството депонирани отпадъци</w:t>
            </w:r>
          </w:p>
        </w:tc>
      </w:tr>
    </w:tbl>
    <w:p w:rsidR="00421960" w:rsidRDefault="00421960" w:rsidP="00421960">
      <w:pPr>
        <w:keepNext/>
        <w:keepLines/>
        <w:spacing w:before="120" w:after="120"/>
        <w:outlineLvl w:val="2"/>
        <w:rPr>
          <w:rFonts w:ascii="Calibri" w:eastAsia="Calibri" w:hAnsi="Calibri" w:cs="Times New Roman"/>
          <w:color w:val="243F60"/>
          <w:sz w:val="24"/>
          <w:szCs w:val="24"/>
        </w:rPr>
      </w:pPr>
    </w:p>
    <w:p w:rsidR="00A23818" w:rsidRDefault="00A23818" w:rsidP="00421960">
      <w:pPr>
        <w:keepNext/>
        <w:keepLines/>
        <w:spacing w:before="120" w:after="120"/>
        <w:outlineLvl w:val="2"/>
        <w:rPr>
          <w:rFonts w:ascii="Calibri" w:eastAsia="Calibri" w:hAnsi="Calibri" w:cs="Times New Roman"/>
          <w:color w:val="243F60"/>
          <w:sz w:val="24"/>
          <w:szCs w:val="24"/>
        </w:rPr>
      </w:pPr>
    </w:p>
    <w:p w:rsidR="00421960" w:rsidRDefault="00421960" w:rsidP="00421960">
      <w:pPr>
        <w:keepNext/>
        <w:keepLines/>
        <w:spacing w:before="120" w:after="120"/>
        <w:outlineLvl w:val="2"/>
        <w:rPr>
          <w:rFonts w:ascii="Calibri" w:eastAsia="Calibri" w:hAnsi="Calibri" w:cs="Times New Roman"/>
          <w:color w:val="243F60"/>
          <w:sz w:val="24"/>
          <w:szCs w:val="24"/>
        </w:rPr>
      </w:pPr>
      <w:bookmarkStart w:id="62" w:name="_Toc399494529"/>
      <w:r w:rsidRPr="00421960">
        <w:rPr>
          <w:rFonts w:ascii="Calibri" w:eastAsia="Calibri" w:hAnsi="Calibri" w:cs="Times New Roman"/>
          <w:color w:val="243F60"/>
          <w:sz w:val="24"/>
          <w:szCs w:val="24"/>
        </w:rPr>
        <w:t xml:space="preserve">1.3.7. </w:t>
      </w:r>
      <w:r>
        <w:rPr>
          <w:rFonts w:ascii="Calibri" w:eastAsia="Calibri" w:hAnsi="Calibri" w:cs="Times New Roman"/>
          <w:color w:val="243F60"/>
          <w:sz w:val="24"/>
          <w:szCs w:val="24"/>
        </w:rPr>
        <w:t>Обобщение на недостига на финансиране и нуждите от инвестиции</w:t>
      </w:r>
      <w:r w:rsidR="00131785">
        <w:rPr>
          <w:rFonts w:ascii="Calibri" w:eastAsia="Calibri" w:hAnsi="Calibri" w:cs="Times New Roman"/>
          <w:color w:val="243F60"/>
          <w:sz w:val="24"/>
          <w:szCs w:val="24"/>
        </w:rPr>
        <w:t xml:space="preserve"> </w:t>
      </w:r>
      <w:r w:rsidR="00A23818">
        <w:rPr>
          <w:rFonts w:ascii="Calibri" w:eastAsia="Calibri" w:hAnsi="Calibri" w:cs="Times New Roman"/>
          <w:color w:val="243F60"/>
          <w:sz w:val="24"/>
          <w:szCs w:val="24"/>
        </w:rPr>
        <w:t>във ВиК сектора</w:t>
      </w:r>
      <w:bookmarkEnd w:id="62"/>
    </w:p>
    <w:p w:rsidR="00131785" w:rsidRDefault="00131785" w:rsidP="001A3EBC">
      <w:pPr>
        <w:jc w:val="both"/>
        <w:rPr>
          <w:rFonts w:ascii="Calibri" w:eastAsia="Times New Roman" w:hAnsi="Calibri" w:cs="Arial"/>
          <w:bCs/>
          <w:color w:val="000000"/>
          <w:lang w:eastAsia="bg-BG"/>
        </w:rPr>
      </w:pPr>
      <w:r w:rsidRPr="00131785">
        <w:rPr>
          <w:rFonts w:ascii="Calibri" w:eastAsia="Times New Roman" w:hAnsi="Calibri" w:cs="Arial"/>
          <w:bCs/>
          <w:color w:val="000000"/>
          <w:lang w:eastAsia="bg-BG"/>
        </w:rPr>
        <w:t xml:space="preserve">Инвестиционният недостиг </w:t>
      </w:r>
      <w:r>
        <w:rPr>
          <w:rFonts w:ascii="Calibri" w:eastAsia="Times New Roman" w:hAnsi="Calibri" w:cs="Arial"/>
          <w:bCs/>
          <w:color w:val="000000"/>
          <w:lang w:eastAsia="bg-BG"/>
        </w:rPr>
        <w:t xml:space="preserve">във ВиК сектора възлиза на </w:t>
      </w:r>
      <w:r w:rsidR="00810EE0">
        <w:rPr>
          <w:rFonts w:ascii="Calibri" w:eastAsia="Times New Roman" w:hAnsi="Calibri" w:cs="Arial"/>
          <w:bCs/>
          <w:color w:val="000000"/>
          <w:lang w:eastAsia="bg-BG"/>
        </w:rPr>
        <w:t>7,5</w:t>
      </w:r>
      <w:r>
        <w:rPr>
          <w:rFonts w:ascii="Calibri" w:eastAsia="Times New Roman" w:hAnsi="Calibri" w:cs="Arial"/>
          <w:bCs/>
          <w:color w:val="000000"/>
          <w:lang w:eastAsia="bg-BG"/>
        </w:rPr>
        <w:t xml:space="preserve"> млрд. евро</w:t>
      </w:r>
      <w:r w:rsidR="00810EE0">
        <w:rPr>
          <w:rFonts w:ascii="Calibri" w:eastAsia="Times New Roman" w:hAnsi="Calibri" w:cs="Arial"/>
          <w:bCs/>
          <w:color w:val="000000"/>
          <w:lang w:eastAsia="bg-BG"/>
        </w:rPr>
        <w:t xml:space="preserve">. Същевременно наличният ресурс по ОПОС </w:t>
      </w:r>
      <w:r w:rsidR="0066481F">
        <w:rPr>
          <w:rFonts w:ascii="Calibri" w:eastAsia="Times New Roman" w:hAnsi="Calibri" w:cs="Arial"/>
          <w:bCs/>
          <w:color w:val="000000"/>
          <w:lang w:eastAsia="bg-BG"/>
        </w:rPr>
        <w:t>за инвестиционни проекти се равнява на 1,1</w:t>
      </w:r>
      <w:r w:rsidR="00810EE0">
        <w:rPr>
          <w:rFonts w:ascii="Calibri" w:eastAsia="Times New Roman" w:hAnsi="Calibri" w:cs="Arial"/>
          <w:bCs/>
          <w:color w:val="000000"/>
          <w:lang w:eastAsia="bg-BG"/>
        </w:rPr>
        <w:t xml:space="preserve"> млрд. евро</w:t>
      </w:r>
      <w:r>
        <w:rPr>
          <w:rFonts w:ascii="Calibri" w:eastAsia="Times New Roman" w:hAnsi="Calibri" w:cs="Arial"/>
          <w:bCs/>
          <w:color w:val="000000"/>
          <w:lang w:eastAsia="bg-BG"/>
        </w:rPr>
        <w:t xml:space="preserve"> което представлява </w:t>
      </w:r>
      <w:r w:rsidR="0066481F">
        <w:rPr>
          <w:rFonts w:ascii="Calibri" w:eastAsia="Times New Roman" w:hAnsi="Calibri" w:cs="Arial"/>
          <w:bCs/>
          <w:color w:val="000000"/>
          <w:lang w:eastAsia="bg-BG"/>
        </w:rPr>
        <w:t>едва 15</w:t>
      </w:r>
      <w:r>
        <w:rPr>
          <w:rFonts w:ascii="Calibri" w:eastAsia="Times New Roman" w:hAnsi="Calibri" w:cs="Arial"/>
          <w:bCs/>
          <w:color w:val="000000"/>
          <w:lang w:eastAsia="bg-BG"/>
        </w:rPr>
        <w:t>% от общия необходим ресурс за реализиране на инвестиционни проекти за подобряване състоянието на водните ресурси</w:t>
      </w:r>
      <w:r w:rsidR="00810EE0">
        <w:rPr>
          <w:rFonts w:ascii="Calibri" w:eastAsia="Times New Roman" w:hAnsi="Calibri" w:cs="Arial"/>
          <w:bCs/>
          <w:color w:val="000000"/>
          <w:lang w:eastAsia="bg-BG"/>
        </w:rPr>
        <w:t>.</w:t>
      </w:r>
    </w:p>
    <w:p w:rsidR="00131785" w:rsidRPr="00810EE0" w:rsidRDefault="00810EE0" w:rsidP="00A82D1C">
      <w:pPr>
        <w:keepNext/>
        <w:jc w:val="center"/>
        <w:rPr>
          <w:rFonts w:ascii="Calibri" w:eastAsia="Times New Roman" w:hAnsi="Calibri" w:cs="Arial"/>
          <w:b/>
          <w:bCs/>
          <w:color w:val="000000"/>
          <w:sz w:val="20"/>
          <w:szCs w:val="20"/>
          <w:lang w:eastAsia="bg-BG"/>
        </w:rPr>
      </w:pPr>
      <w:bookmarkStart w:id="63" w:name="_Toc399494599"/>
      <w:r w:rsidRPr="00810EE0">
        <w:rPr>
          <w:rFonts w:cstheme="minorHAnsi"/>
          <w:b/>
          <w:sz w:val="20"/>
          <w:szCs w:val="20"/>
        </w:rPr>
        <w:lastRenderedPageBreak/>
        <w:t xml:space="preserve">Фигура </w:t>
      </w:r>
      <w:r w:rsidR="008E6461" w:rsidRPr="00810EE0">
        <w:rPr>
          <w:rFonts w:cstheme="minorHAnsi"/>
          <w:b/>
          <w:sz w:val="20"/>
          <w:szCs w:val="20"/>
        </w:rPr>
        <w:fldChar w:fldCharType="begin"/>
      </w:r>
      <w:r w:rsidRPr="00810EE0">
        <w:rPr>
          <w:rFonts w:cstheme="minorHAnsi"/>
          <w:b/>
          <w:sz w:val="20"/>
          <w:szCs w:val="20"/>
        </w:rPr>
        <w:instrText xml:space="preserve"> SEQ фигура \* ARABIC </w:instrText>
      </w:r>
      <w:r w:rsidR="008E6461" w:rsidRPr="00810EE0">
        <w:rPr>
          <w:rFonts w:cstheme="minorHAnsi"/>
          <w:b/>
          <w:sz w:val="20"/>
          <w:szCs w:val="20"/>
        </w:rPr>
        <w:fldChar w:fldCharType="separate"/>
      </w:r>
      <w:r w:rsidR="003A69A7">
        <w:rPr>
          <w:rFonts w:cstheme="minorHAnsi"/>
          <w:b/>
          <w:noProof/>
          <w:sz w:val="20"/>
          <w:szCs w:val="20"/>
        </w:rPr>
        <w:t>14</w:t>
      </w:r>
      <w:r w:rsidR="008E6461" w:rsidRPr="00810EE0">
        <w:rPr>
          <w:rFonts w:cstheme="minorHAnsi"/>
          <w:b/>
          <w:sz w:val="20"/>
          <w:szCs w:val="20"/>
        </w:rPr>
        <w:fldChar w:fldCharType="end"/>
      </w:r>
      <w:r w:rsidRPr="00810EE0">
        <w:rPr>
          <w:rFonts w:cstheme="minorHAnsi"/>
          <w:b/>
          <w:sz w:val="20"/>
          <w:szCs w:val="20"/>
        </w:rPr>
        <w:t>: Инвестиционен недостиг във ВиК сектора</w:t>
      </w:r>
      <w:bookmarkEnd w:id="63"/>
    </w:p>
    <w:p w:rsidR="00131785" w:rsidRDefault="00EF5B21" w:rsidP="00131785">
      <w:pPr>
        <w:keepNext/>
        <w:keepLines/>
        <w:spacing w:before="120" w:after="120"/>
        <w:jc w:val="center"/>
        <w:outlineLvl w:val="2"/>
        <w:rPr>
          <w:rFonts w:ascii="Calibri" w:eastAsia="Times New Roman" w:hAnsi="Calibri" w:cs="Arial"/>
          <w:bCs/>
          <w:color w:val="000000"/>
          <w:lang w:eastAsia="bg-BG"/>
        </w:rPr>
      </w:pPr>
      <w:r>
        <w:rPr>
          <w:rFonts w:ascii="Calibri" w:eastAsia="Times New Roman" w:hAnsi="Calibri" w:cs="Arial"/>
          <w:bCs/>
          <w:noProof/>
          <w:color w:val="000000"/>
          <w:lang w:eastAsia="bg-BG"/>
        </w:rPr>
        <w:drawing>
          <wp:inline distT="0" distB="0" distL="0" distR="0">
            <wp:extent cx="4594860" cy="2758440"/>
            <wp:effectExtent l="19050" t="0" r="0" b="0"/>
            <wp:docPr id="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1" cstate="print"/>
                    <a:srcRect/>
                    <a:stretch>
                      <a:fillRect/>
                    </a:stretch>
                  </pic:blipFill>
                  <pic:spPr bwMode="auto">
                    <a:xfrm>
                      <a:off x="0" y="0"/>
                      <a:ext cx="4594860" cy="2758440"/>
                    </a:xfrm>
                    <a:prstGeom prst="rect">
                      <a:avLst/>
                    </a:prstGeom>
                    <a:noFill/>
                  </pic:spPr>
                </pic:pic>
              </a:graphicData>
            </a:graphic>
          </wp:inline>
        </w:drawing>
      </w:r>
    </w:p>
    <w:p w:rsidR="0078445C" w:rsidRPr="00EF5B21" w:rsidRDefault="0078445C" w:rsidP="00131785">
      <w:pPr>
        <w:keepNext/>
        <w:keepLines/>
        <w:spacing w:before="120" w:after="120"/>
        <w:jc w:val="center"/>
        <w:outlineLvl w:val="2"/>
        <w:rPr>
          <w:rFonts w:ascii="Calibri" w:eastAsia="Times New Roman" w:hAnsi="Calibri" w:cs="Arial"/>
          <w:bCs/>
          <w:i/>
          <w:color w:val="000000"/>
          <w:sz w:val="18"/>
          <w:szCs w:val="18"/>
          <w:lang w:eastAsia="bg-BG"/>
        </w:rPr>
      </w:pPr>
      <w:bookmarkStart w:id="64" w:name="_Toc399494530"/>
      <w:r w:rsidRPr="00EF5B21">
        <w:rPr>
          <w:rFonts w:ascii="Calibri" w:eastAsia="Times New Roman" w:hAnsi="Calibri" w:cs="Arial"/>
          <w:bCs/>
          <w:i/>
          <w:color w:val="000000"/>
          <w:sz w:val="18"/>
          <w:szCs w:val="18"/>
          <w:u w:val="single"/>
          <w:lang w:eastAsia="bg-BG"/>
        </w:rPr>
        <w:t>Забележка:</w:t>
      </w:r>
      <w:r w:rsidRPr="00EF5B21">
        <w:rPr>
          <w:rFonts w:ascii="Calibri" w:eastAsia="Times New Roman" w:hAnsi="Calibri" w:cs="Arial"/>
          <w:bCs/>
          <w:i/>
          <w:color w:val="000000"/>
          <w:sz w:val="18"/>
          <w:szCs w:val="18"/>
          <w:lang w:eastAsia="bg-BG"/>
        </w:rPr>
        <w:t xml:space="preserve"> Общият размер на финансовия ресурс се отнася за видове</w:t>
      </w:r>
      <w:r w:rsidR="00EF5B21" w:rsidRPr="00EF5B21">
        <w:rPr>
          <w:rFonts w:ascii="Calibri" w:eastAsia="Times New Roman" w:hAnsi="Calibri" w:cs="Arial"/>
          <w:bCs/>
          <w:i/>
          <w:color w:val="000000"/>
          <w:sz w:val="18"/>
          <w:szCs w:val="18"/>
          <w:lang w:eastAsia="bg-BG"/>
        </w:rPr>
        <w:t>те инвестиции по ОПОС 2014-2020</w:t>
      </w:r>
      <w:bookmarkEnd w:id="64"/>
    </w:p>
    <w:p w:rsidR="00EF5B21" w:rsidRDefault="00EF5B21" w:rsidP="001A3EBC">
      <w:pPr>
        <w:jc w:val="both"/>
        <w:rPr>
          <w:rFonts w:ascii="Calibri" w:eastAsia="Times New Roman" w:hAnsi="Calibri" w:cs="Arial"/>
          <w:bCs/>
          <w:color w:val="000000"/>
          <w:lang w:eastAsia="bg-BG"/>
        </w:rPr>
      </w:pPr>
    </w:p>
    <w:p w:rsidR="00810EE0" w:rsidRDefault="00810EE0" w:rsidP="001A3EBC">
      <w:pPr>
        <w:jc w:val="both"/>
        <w:rPr>
          <w:rFonts w:ascii="Calibri" w:eastAsia="Times New Roman" w:hAnsi="Calibri" w:cs="Arial"/>
          <w:bCs/>
          <w:color w:val="000000"/>
          <w:lang w:eastAsia="bg-BG"/>
        </w:rPr>
      </w:pPr>
      <w:r>
        <w:rPr>
          <w:rFonts w:ascii="Calibri" w:eastAsia="Times New Roman" w:hAnsi="Calibri" w:cs="Arial"/>
          <w:bCs/>
          <w:color w:val="000000"/>
          <w:lang w:eastAsia="bg-BG"/>
        </w:rPr>
        <w:t>Видовете инвестиции, за които е необходимо да бъде осигурено финансиране са следните:</w:t>
      </w:r>
    </w:p>
    <w:p w:rsidR="00810EE0" w:rsidRPr="00810EE0" w:rsidRDefault="00810EE0" w:rsidP="001A036E">
      <w:pPr>
        <w:numPr>
          <w:ilvl w:val="0"/>
          <w:numId w:val="47"/>
        </w:numPr>
        <w:jc w:val="both"/>
        <w:rPr>
          <w:rFonts w:ascii="Calibri" w:eastAsia="Times New Roman" w:hAnsi="Calibri" w:cs="Arial"/>
          <w:bCs/>
          <w:color w:val="000000"/>
        </w:rPr>
      </w:pPr>
      <w:r w:rsidRPr="00810EE0">
        <w:rPr>
          <w:rFonts w:ascii="Calibri" w:eastAsia="Times New Roman" w:hAnsi="Calibri" w:cs="Arial"/>
          <w:bCs/>
          <w:color w:val="000000"/>
        </w:rPr>
        <w:t>Изграждане/рехабилитация/реконструкция на съоръжения за пречистване на отпадъчните води, вкл. на съоръжения за третиране на утайки (съгласно изискванията на Директивата за пречистване на отпадъчните води и условията в разрешителното за заустване, вкл. осигуряване на по-строго пречистване с отстраняване на биогенни елементи от отпадъчните води за агломерации над 10,000 е.ж., заустващи в чувствителни зони);</w:t>
      </w:r>
    </w:p>
    <w:p w:rsidR="00810EE0" w:rsidRPr="00810EE0" w:rsidRDefault="00810EE0" w:rsidP="001A036E">
      <w:pPr>
        <w:numPr>
          <w:ilvl w:val="0"/>
          <w:numId w:val="47"/>
        </w:numPr>
        <w:jc w:val="both"/>
        <w:rPr>
          <w:rFonts w:ascii="Calibri" w:eastAsia="Times New Roman" w:hAnsi="Calibri" w:cs="Arial"/>
          <w:bCs/>
          <w:color w:val="000000"/>
        </w:rPr>
      </w:pPr>
      <w:r w:rsidRPr="00810EE0">
        <w:rPr>
          <w:rFonts w:ascii="Calibri" w:eastAsia="Times New Roman" w:hAnsi="Calibri" w:cs="Arial"/>
          <w:bCs/>
          <w:color w:val="000000"/>
        </w:rPr>
        <w:t>Изграждане/рехабилитация/реконструкция или подмяна на канализационни мрежи към или от ПСОВ с цел приоритетно осигуряване на екологосъобрзно и икономически ефективно функциониране на ВиК системите съобразно ангажиментите на страната по Директивата за пречистване на градските отпадъчни води;</w:t>
      </w:r>
    </w:p>
    <w:p w:rsidR="00810EE0" w:rsidRPr="00810EE0" w:rsidRDefault="00810EE0" w:rsidP="001A036E">
      <w:pPr>
        <w:numPr>
          <w:ilvl w:val="0"/>
          <w:numId w:val="47"/>
        </w:numPr>
        <w:jc w:val="both"/>
        <w:rPr>
          <w:rFonts w:ascii="Calibri" w:eastAsia="Times New Roman" w:hAnsi="Calibri" w:cs="Arial"/>
          <w:bCs/>
          <w:color w:val="000000"/>
        </w:rPr>
      </w:pPr>
      <w:r w:rsidRPr="00810EE0">
        <w:rPr>
          <w:rFonts w:ascii="Calibri" w:eastAsia="Times New Roman" w:hAnsi="Calibri" w:cs="Arial"/>
          <w:bCs/>
          <w:color w:val="000000"/>
        </w:rPr>
        <w:t>Изграждане/рехабилитация/реконструкция на съоръжения за пречистване на питейни води или ако е икономически по-ефективно, чрез изграждане на нови водовземни съоръжения;</w:t>
      </w:r>
    </w:p>
    <w:p w:rsidR="00810EE0" w:rsidRPr="00810EE0" w:rsidRDefault="00810EE0" w:rsidP="001A036E">
      <w:pPr>
        <w:numPr>
          <w:ilvl w:val="0"/>
          <w:numId w:val="47"/>
        </w:numPr>
        <w:jc w:val="both"/>
        <w:rPr>
          <w:rFonts w:ascii="Calibri" w:eastAsia="Times New Roman" w:hAnsi="Calibri" w:cs="Arial"/>
          <w:bCs/>
          <w:color w:val="000000"/>
        </w:rPr>
      </w:pPr>
      <w:r w:rsidRPr="00810EE0">
        <w:rPr>
          <w:rFonts w:ascii="Calibri" w:eastAsia="Times New Roman" w:hAnsi="Calibri" w:cs="Arial"/>
          <w:bCs/>
          <w:color w:val="000000"/>
        </w:rPr>
        <w:t>Изграждане/рехабилитация/реконструкция на водоснабдителни мрежи за питейни води в изпълнение на задълженията по Директива 98/83/ЕО с цел повишаване на ефективността на ползване на водите и намаляване на загубите на вода във водопреносните мрежи;</w:t>
      </w:r>
    </w:p>
    <w:p w:rsidR="00810EE0" w:rsidRPr="00810EE0" w:rsidRDefault="00810EE0" w:rsidP="001A036E">
      <w:pPr>
        <w:numPr>
          <w:ilvl w:val="0"/>
          <w:numId w:val="47"/>
        </w:numPr>
        <w:jc w:val="both"/>
        <w:rPr>
          <w:rFonts w:ascii="Calibri" w:eastAsia="Times New Roman" w:hAnsi="Calibri" w:cs="Arial"/>
          <w:bCs/>
          <w:color w:val="000000"/>
        </w:rPr>
      </w:pPr>
      <w:r w:rsidRPr="00810EE0">
        <w:rPr>
          <w:rFonts w:ascii="Calibri" w:eastAsia="Times New Roman" w:hAnsi="Calibri" w:cs="Arial"/>
          <w:bCs/>
          <w:color w:val="000000"/>
        </w:rPr>
        <w:t>Изграждане на съпътстваща инфраструктура (напр. електроснабдяване, път, водоснабдяване), която обслужва само изгражданите обекти (напр. ПСОВ, ПСПВ и помпени станции)</w:t>
      </w:r>
      <w:r w:rsidR="001A3EBC">
        <w:rPr>
          <w:rFonts w:ascii="Calibri" w:eastAsia="Times New Roman" w:hAnsi="Calibri" w:cs="Arial"/>
          <w:bCs/>
          <w:color w:val="000000"/>
        </w:rPr>
        <w:t>.</w:t>
      </w:r>
    </w:p>
    <w:p w:rsidR="00810EE0" w:rsidRDefault="001A3EBC" w:rsidP="002D05A0">
      <w:pPr>
        <w:jc w:val="both"/>
        <w:rPr>
          <w:rFonts w:ascii="Calibri" w:eastAsia="Times New Roman" w:hAnsi="Calibri" w:cs="Arial"/>
          <w:bCs/>
          <w:color w:val="000000"/>
        </w:rPr>
      </w:pPr>
      <w:r>
        <w:rPr>
          <w:rFonts w:ascii="Calibri" w:eastAsia="Times New Roman" w:hAnsi="Calibri" w:cs="Arial"/>
          <w:bCs/>
          <w:color w:val="000000"/>
        </w:rPr>
        <w:t>Мерките за п</w:t>
      </w:r>
      <w:r w:rsidR="00810EE0" w:rsidRPr="00810EE0">
        <w:rPr>
          <w:rFonts w:ascii="Calibri" w:eastAsia="Times New Roman" w:hAnsi="Calibri" w:cs="Arial"/>
          <w:bCs/>
          <w:color w:val="000000"/>
        </w:rPr>
        <w:t>одпомагане на подготовката на инвестиционни проекти и</w:t>
      </w:r>
      <w:r>
        <w:rPr>
          <w:rFonts w:ascii="Calibri" w:eastAsia="Times New Roman" w:hAnsi="Calibri" w:cs="Arial"/>
          <w:bCs/>
          <w:color w:val="000000"/>
        </w:rPr>
        <w:t xml:space="preserve"> реализиране на водната реформа следва да бъдат финансирани изяло чрез безвъзмездна финансова помощ.</w:t>
      </w:r>
    </w:p>
    <w:p w:rsidR="00A23818" w:rsidRDefault="00A23818" w:rsidP="001A3EBC">
      <w:pPr>
        <w:jc w:val="both"/>
        <w:rPr>
          <w:rFonts w:ascii="Calibri" w:eastAsia="Times New Roman" w:hAnsi="Calibri" w:cs="Arial"/>
          <w:bCs/>
          <w:color w:val="000000"/>
        </w:rPr>
      </w:pPr>
      <w:r>
        <w:rPr>
          <w:rFonts w:ascii="Calibri" w:eastAsia="Times New Roman" w:hAnsi="Calibri" w:cs="Arial"/>
          <w:bCs/>
          <w:color w:val="000000"/>
        </w:rPr>
        <w:lastRenderedPageBreak/>
        <w:t xml:space="preserve">Досегашната практика на подготовка и изпълнение на проекти в сектора показва, че инвестициите, които се реализират са интегрирани, т.е. включват компоненти за подобряване качеството и инфраструктурата както на питейни, така и на отпадъчни води. </w:t>
      </w:r>
      <w:r w:rsidR="004F2CDD">
        <w:rPr>
          <w:rFonts w:ascii="Calibri" w:eastAsia="Times New Roman" w:hAnsi="Calibri" w:cs="Arial"/>
          <w:bCs/>
          <w:color w:val="000000"/>
        </w:rPr>
        <w:t>В своите коментари върху предложения през м. юни вариант на ОПОС 2014-2020 г., Европейската комисия подчертава, че „предвид важността на една устойчива водна система, към ефективността на водоснабдяването е необходимо да се подходи с особено внимание ... като по-висок приоритет следва да се даде на мерките за намаляване загубите на вода в разпределителната мрежа, отколкото на инвестициите за увеличаване капацитета на водоснабдяването”.</w:t>
      </w:r>
      <w:r w:rsidR="00F56ADF">
        <w:rPr>
          <w:rFonts w:ascii="Calibri" w:eastAsia="Times New Roman" w:hAnsi="Calibri" w:cs="Arial"/>
          <w:bCs/>
          <w:color w:val="000000"/>
        </w:rPr>
        <w:t xml:space="preserve"> </w:t>
      </w:r>
      <w:r w:rsidR="00F56ADF" w:rsidRPr="00F56ADF">
        <w:rPr>
          <w:rFonts w:ascii="Calibri" w:eastAsia="Times New Roman" w:hAnsi="Calibri" w:cs="Arial"/>
          <w:bCs/>
          <w:i/>
          <w:color w:val="000000"/>
        </w:rPr>
        <w:t>Това на практика означава, че в рамките на новата оперативна програма ще бъдат финансирани с еднакъв приоритет мерки, както за водоснабдяване, така и за отвеждане и пречистване на отпадъчни води</w:t>
      </w:r>
      <w:r w:rsidR="00F56ADF" w:rsidRPr="00F56ADF">
        <w:rPr>
          <w:rStyle w:val="FootnoteReference"/>
          <w:rFonts w:ascii="Calibri" w:eastAsia="Times New Roman" w:hAnsi="Calibri" w:cs="Arial"/>
          <w:bCs/>
          <w:i/>
          <w:color w:val="000000"/>
        </w:rPr>
        <w:footnoteReference w:id="38"/>
      </w:r>
      <w:r w:rsidR="00F56ADF" w:rsidRPr="00F56ADF">
        <w:rPr>
          <w:rFonts w:ascii="Calibri" w:eastAsia="Times New Roman" w:hAnsi="Calibri" w:cs="Arial"/>
          <w:bCs/>
          <w:i/>
          <w:color w:val="000000"/>
        </w:rPr>
        <w:t>.</w:t>
      </w:r>
    </w:p>
    <w:p w:rsidR="00F56ADF" w:rsidRPr="004F2CDD" w:rsidRDefault="004F2CDD" w:rsidP="001A3EBC">
      <w:pPr>
        <w:jc w:val="both"/>
        <w:rPr>
          <w:rFonts w:ascii="Calibri" w:eastAsia="Times New Roman" w:hAnsi="Calibri" w:cs="Arial"/>
          <w:bCs/>
          <w:color w:val="000000"/>
        </w:rPr>
      </w:pPr>
      <w:r w:rsidRPr="004F2CDD">
        <w:rPr>
          <w:rFonts w:ascii="Calibri" w:eastAsia="Times New Roman" w:hAnsi="Calibri" w:cs="Arial"/>
          <w:bCs/>
          <w:color w:val="000000"/>
        </w:rPr>
        <w:t xml:space="preserve">В допълнение, ЕК </w:t>
      </w:r>
      <w:r>
        <w:rPr>
          <w:rFonts w:ascii="Calibri" w:eastAsia="Times New Roman" w:hAnsi="Calibri" w:cs="Arial"/>
          <w:bCs/>
          <w:color w:val="000000"/>
        </w:rPr>
        <w:t xml:space="preserve">подчертава, че за финансиране по ОПОС следва да бъде предложен не повече от един проект на област, бенефициент на който да бъде консолидирано регионално ВиК дружество. </w:t>
      </w:r>
      <w:r w:rsidR="00F56ADF">
        <w:rPr>
          <w:rFonts w:ascii="Calibri" w:eastAsia="Times New Roman" w:hAnsi="Calibri" w:cs="Arial"/>
          <w:bCs/>
          <w:color w:val="000000"/>
        </w:rPr>
        <w:t>В тази връзка Стратегията за управление и развитие на Водния сектор казва, че „п</w:t>
      </w:r>
      <w:r w:rsidR="00F56ADF" w:rsidRPr="00F56ADF">
        <w:rPr>
          <w:rFonts w:ascii="Calibri" w:eastAsia="Times New Roman" w:hAnsi="Calibri" w:cs="Arial"/>
          <w:bCs/>
          <w:color w:val="000000"/>
        </w:rPr>
        <w:t>ри приемане на предложението за намаляване броя на обособените територии в съответствие с броя на областите в страната (28), ще продължи да се спазва действащата законова разпоредба: една обособена територия – един ВиК оператор. Определените 28 ВиК оператори (ВиК оператори, които към момента изпълняват изцяло функциите на една обособена територия или обединените от няколко ВиК оператори, действащи на една обособена територия) ще продължат да изпълняват по право функциите си.</w:t>
      </w:r>
      <w:r w:rsidR="00F56ADF">
        <w:rPr>
          <w:rFonts w:ascii="Calibri" w:eastAsia="Times New Roman" w:hAnsi="Calibri" w:cs="Arial"/>
          <w:bCs/>
          <w:color w:val="000000"/>
        </w:rPr>
        <w:t xml:space="preserve">” </w:t>
      </w:r>
      <w:r w:rsidR="00F56ADF" w:rsidRPr="00F56ADF">
        <w:rPr>
          <w:rFonts w:ascii="Calibri" w:eastAsia="Times New Roman" w:hAnsi="Calibri" w:cs="Arial"/>
          <w:bCs/>
          <w:i/>
          <w:color w:val="000000"/>
        </w:rPr>
        <w:t>От тук може да бъде направен изводът, че очакваният минимален брой на проектите по ОПОС в периода 2014-2020 г. е минимум 28.</w:t>
      </w:r>
    </w:p>
    <w:p w:rsidR="00A23818" w:rsidRDefault="00F56ADF" w:rsidP="001A3EBC">
      <w:pPr>
        <w:jc w:val="both"/>
        <w:rPr>
          <w:rFonts w:ascii="Calibri" w:eastAsia="Times New Roman" w:hAnsi="Calibri" w:cs="Arial"/>
          <w:bCs/>
          <w:color w:val="000000"/>
        </w:rPr>
      </w:pPr>
      <w:r w:rsidRPr="00F56ADF">
        <w:rPr>
          <w:rFonts w:ascii="Calibri" w:eastAsia="Times New Roman" w:hAnsi="Calibri" w:cs="Arial"/>
          <w:bCs/>
          <w:color w:val="000000"/>
        </w:rPr>
        <w:t xml:space="preserve">Към настоящия момент УО на ОПОС </w:t>
      </w:r>
      <w:r>
        <w:rPr>
          <w:rFonts w:ascii="Calibri" w:eastAsia="Times New Roman" w:hAnsi="Calibri" w:cs="Arial"/>
          <w:bCs/>
          <w:color w:val="000000"/>
        </w:rPr>
        <w:t xml:space="preserve">е предвидил 4 големи проекта </w:t>
      </w:r>
      <w:r w:rsidR="007678FF">
        <w:rPr>
          <w:rFonts w:ascii="Calibri" w:eastAsia="Times New Roman" w:hAnsi="Calibri" w:cs="Arial"/>
          <w:bCs/>
          <w:color w:val="000000"/>
        </w:rPr>
        <w:t xml:space="preserve">по смисъла на чл. 100 от Регламент 1303/2013 г. </w:t>
      </w:r>
      <w:r>
        <w:rPr>
          <w:rFonts w:ascii="Calibri" w:eastAsia="Times New Roman" w:hAnsi="Calibri" w:cs="Arial"/>
          <w:bCs/>
          <w:color w:val="000000"/>
        </w:rPr>
        <w:t xml:space="preserve">на обща стойност 265 млн. евро, което означава при среден брой 28 проекта за страната минимум 24 проекти </w:t>
      </w:r>
      <w:r w:rsidR="007678FF">
        <w:rPr>
          <w:rFonts w:ascii="Calibri" w:eastAsia="Times New Roman" w:hAnsi="Calibri" w:cs="Arial"/>
          <w:bCs/>
          <w:color w:val="000000"/>
        </w:rPr>
        <w:t>ще</w:t>
      </w:r>
      <w:r>
        <w:rPr>
          <w:rFonts w:ascii="Calibri" w:eastAsia="Times New Roman" w:hAnsi="Calibri" w:cs="Arial"/>
          <w:bCs/>
          <w:color w:val="000000"/>
        </w:rPr>
        <w:t xml:space="preserve"> бъдат на стойност до </w:t>
      </w:r>
      <w:r w:rsidR="007678FF">
        <w:rPr>
          <w:rFonts w:ascii="Calibri" w:eastAsia="Times New Roman" w:hAnsi="Calibri" w:cs="Arial"/>
          <w:bCs/>
          <w:color w:val="000000"/>
        </w:rPr>
        <w:t xml:space="preserve">или близка до </w:t>
      </w:r>
      <w:r>
        <w:rPr>
          <w:rFonts w:ascii="Calibri" w:eastAsia="Times New Roman" w:hAnsi="Calibri" w:cs="Arial"/>
          <w:bCs/>
          <w:color w:val="000000"/>
        </w:rPr>
        <w:t>50 млн. евр</w:t>
      </w:r>
      <w:r w:rsidR="007678FF">
        <w:rPr>
          <w:rFonts w:ascii="Calibri" w:eastAsia="Times New Roman" w:hAnsi="Calibri" w:cs="Arial"/>
          <w:bCs/>
          <w:color w:val="000000"/>
        </w:rPr>
        <w:t>о.</w:t>
      </w:r>
    </w:p>
    <w:p w:rsidR="0034285F" w:rsidRPr="001A3EBC" w:rsidRDefault="0034285F" w:rsidP="001A3EBC">
      <w:pPr>
        <w:jc w:val="center"/>
        <w:rPr>
          <w:rFonts w:ascii="Calibri" w:hAnsi="Calibri"/>
          <w:b/>
          <w:bCs/>
          <w:color w:val="000000"/>
          <w:sz w:val="20"/>
          <w:szCs w:val="20"/>
        </w:rPr>
      </w:pPr>
      <w:bookmarkStart w:id="65" w:name="_Toc399494901"/>
      <w:r w:rsidRPr="001A3EBC">
        <w:rPr>
          <w:b/>
          <w:sz w:val="20"/>
          <w:szCs w:val="20"/>
        </w:rPr>
        <w:t xml:space="preserve">Таблица </w:t>
      </w:r>
      <w:r w:rsidR="008E6461" w:rsidRPr="001A3EBC">
        <w:rPr>
          <w:b/>
          <w:sz w:val="20"/>
          <w:szCs w:val="20"/>
        </w:rPr>
        <w:fldChar w:fldCharType="begin"/>
      </w:r>
      <w:r w:rsidRPr="001A3EBC">
        <w:rPr>
          <w:b/>
          <w:sz w:val="20"/>
          <w:szCs w:val="20"/>
        </w:rPr>
        <w:instrText xml:space="preserve"> SEQ таблица \* ARABIC </w:instrText>
      </w:r>
      <w:r w:rsidR="008E6461" w:rsidRPr="001A3EBC">
        <w:rPr>
          <w:b/>
          <w:sz w:val="20"/>
          <w:szCs w:val="20"/>
        </w:rPr>
        <w:fldChar w:fldCharType="separate"/>
      </w:r>
      <w:r w:rsidR="003A69A7">
        <w:rPr>
          <w:b/>
          <w:noProof/>
          <w:sz w:val="20"/>
          <w:szCs w:val="20"/>
        </w:rPr>
        <w:t>21</w:t>
      </w:r>
      <w:r w:rsidR="008E6461" w:rsidRPr="001A3EBC">
        <w:rPr>
          <w:b/>
          <w:sz w:val="20"/>
          <w:szCs w:val="20"/>
        </w:rPr>
        <w:fldChar w:fldCharType="end"/>
      </w:r>
      <w:r w:rsidRPr="001A3EBC">
        <w:rPr>
          <w:b/>
          <w:sz w:val="20"/>
          <w:szCs w:val="20"/>
        </w:rPr>
        <w:t>: Потенциални проекти във ВиК сектора</w:t>
      </w:r>
      <w:bookmarkEnd w:id="65"/>
    </w:p>
    <w:tbl>
      <w:tblPr>
        <w:tblStyle w:val="MediumGrid3-Accent1"/>
        <w:tblW w:w="6044" w:type="dxa"/>
        <w:jc w:val="center"/>
        <w:tblLook w:val="04A0" w:firstRow="1" w:lastRow="0" w:firstColumn="1" w:lastColumn="0" w:noHBand="0" w:noVBand="1"/>
      </w:tblPr>
      <w:tblGrid>
        <w:gridCol w:w="3264"/>
        <w:gridCol w:w="2780"/>
      </w:tblGrid>
      <w:tr w:rsidR="007678FF" w:rsidRPr="007678FF" w:rsidTr="0034285F">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64" w:type="dxa"/>
            <w:noWrap/>
            <w:hideMark/>
          </w:tcPr>
          <w:p w:rsidR="007678FF" w:rsidRPr="007678FF" w:rsidRDefault="007678FF" w:rsidP="001A3EBC">
            <w:pPr>
              <w:rPr>
                <w:rFonts w:ascii="Calibri" w:eastAsia="Times New Roman" w:hAnsi="Calibri" w:cs="Calibri"/>
                <w:color w:val="000000"/>
                <w:lang w:eastAsia="bg-BG"/>
              </w:rPr>
            </w:pPr>
            <w:r w:rsidRPr="007678FF">
              <w:rPr>
                <w:rFonts w:ascii="Calibri" w:eastAsia="Times New Roman" w:hAnsi="Calibri" w:cs="Calibri"/>
                <w:color w:val="000000"/>
                <w:lang w:eastAsia="bg-BG"/>
              </w:rPr>
              <w:t>Потенциални големи проекти</w:t>
            </w:r>
          </w:p>
        </w:tc>
        <w:tc>
          <w:tcPr>
            <w:tcW w:w="2780" w:type="dxa"/>
            <w:noWrap/>
            <w:hideMark/>
          </w:tcPr>
          <w:p w:rsidR="007678FF" w:rsidRPr="007678FF" w:rsidRDefault="0034285F" w:rsidP="001A3EBC">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34285F">
              <w:rPr>
                <w:rFonts w:ascii="Calibri" w:eastAsia="Times New Roman" w:hAnsi="Calibri" w:cs="Calibri"/>
                <w:bCs w:val="0"/>
                <w:color w:val="000000"/>
                <w:lang w:eastAsia="bg-BG"/>
              </w:rPr>
              <w:t>Прогнозна с</w:t>
            </w:r>
            <w:r w:rsidR="007678FF" w:rsidRPr="007678FF">
              <w:rPr>
                <w:rFonts w:ascii="Calibri" w:eastAsia="Times New Roman" w:hAnsi="Calibri" w:cs="Calibri"/>
                <w:color w:val="000000"/>
                <w:lang w:eastAsia="bg-BG"/>
              </w:rPr>
              <w:t xml:space="preserve">т-ст на проект </w:t>
            </w:r>
          </w:p>
        </w:tc>
      </w:tr>
      <w:tr w:rsidR="007678FF" w:rsidRPr="007678FF" w:rsidTr="0034285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64" w:type="dxa"/>
            <w:noWrap/>
            <w:hideMark/>
          </w:tcPr>
          <w:p w:rsidR="007678FF" w:rsidRPr="007678FF" w:rsidRDefault="007678FF" w:rsidP="001A3EBC">
            <w:pPr>
              <w:rPr>
                <w:rFonts w:ascii="Calibri" w:eastAsia="Times New Roman" w:hAnsi="Calibri" w:cs="Calibri"/>
                <w:b w:val="0"/>
                <w:color w:val="000000"/>
                <w:lang w:eastAsia="bg-BG"/>
              </w:rPr>
            </w:pPr>
            <w:r w:rsidRPr="007678FF">
              <w:rPr>
                <w:rFonts w:ascii="Calibri" w:eastAsia="Times New Roman" w:hAnsi="Calibri" w:cs="Calibri"/>
                <w:b w:val="0"/>
                <w:color w:val="000000"/>
                <w:lang w:eastAsia="bg-BG"/>
              </w:rPr>
              <w:t>Пловдив</w:t>
            </w:r>
          </w:p>
        </w:tc>
        <w:tc>
          <w:tcPr>
            <w:tcW w:w="2780" w:type="dxa"/>
            <w:noWrap/>
            <w:hideMark/>
          </w:tcPr>
          <w:p w:rsidR="007678FF" w:rsidRPr="007678FF" w:rsidRDefault="007678FF" w:rsidP="001A3EB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7678FF">
              <w:rPr>
                <w:rFonts w:ascii="Calibri" w:eastAsia="Times New Roman" w:hAnsi="Calibri" w:cs="Calibri"/>
                <w:color w:val="000000"/>
                <w:lang w:eastAsia="bg-BG"/>
              </w:rPr>
              <w:t>73</w:t>
            </w:r>
            <w:r w:rsidR="0034285F">
              <w:rPr>
                <w:rFonts w:ascii="Calibri" w:eastAsia="Times New Roman" w:hAnsi="Calibri" w:cs="Calibri"/>
                <w:color w:val="000000"/>
                <w:lang w:eastAsia="bg-BG"/>
              </w:rPr>
              <w:t xml:space="preserve"> млн. евро</w:t>
            </w:r>
          </w:p>
        </w:tc>
      </w:tr>
      <w:tr w:rsidR="007678FF" w:rsidRPr="007678FF" w:rsidTr="0034285F">
        <w:trPr>
          <w:trHeight w:val="300"/>
          <w:jc w:val="center"/>
        </w:trPr>
        <w:tc>
          <w:tcPr>
            <w:cnfStyle w:val="001000000000" w:firstRow="0" w:lastRow="0" w:firstColumn="1" w:lastColumn="0" w:oddVBand="0" w:evenVBand="0" w:oddHBand="0" w:evenHBand="0" w:firstRowFirstColumn="0" w:firstRowLastColumn="0" w:lastRowFirstColumn="0" w:lastRowLastColumn="0"/>
            <w:tcW w:w="3264" w:type="dxa"/>
            <w:noWrap/>
            <w:hideMark/>
          </w:tcPr>
          <w:p w:rsidR="007678FF" w:rsidRPr="007678FF" w:rsidRDefault="007678FF" w:rsidP="001A3EBC">
            <w:pPr>
              <w:rPr>
                <w:rFonts w:ascii="Calibri" w:eastAsia="Times New Roman" w:hAnsi="Calibri" w:cs="Calibri"/>
                <w:b w:val="0"/>
                <w:color w:val="000000"/>
                <w:lang w:eastAsia="bg-BG"/>
              </w:rPr>
            </w:pPr>
            <w:r w:rsidRPr="007678FF">
              <w:rPr>
                <w:rFonts w:ascii="Calibri" w:eastAsia="Times New Roman" w:hAnsi="Calibri" w:cs="Calibri"/>
                <w:b w:val="0"/>
                <w:color w:val="000000"/>
                <w:lang w:eastAsia="bg-BG"/>
              </w:rPr>
              <w:t>Добрич</w:t>
            </w:r>
          </w:p>
        </w:tc>
        <w:tc>
          <w:tcPr>
            <w:tcW w:w="2780" w:type="dxa"/>
            <w:noWrap/>
            <w:hideMark/>
          </w:tcPr>
          <w:p w:rsidR="007678FF" w:rsidRPr="007678FF" w:rsidRDefault="007678FF" w:rsidP="001A3EBC">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7678FF">
              <w:rPr>
                <w:rFonts w:ascii="Calibri" w:eastAsia="Times New Roman" w:hAnsi="Calibri" w:cs="Calibri"/>
                <w:color w:val="000000"/>
                <w:lang w:eastAsia="bg-BG"/>
              </w:rPr>
              <w:t>58</w:t>
            </w:r>
            <w:r w:rsidR="0034285F">
              <w:rPr>
                <w:rFonts w:ascii="Calibri" w:eastAsia="Times New Roman" w:hAnsi="Calibri" w:cs="Calibri"/>
                <w:color w:val="000000"/>
                <w:lang w:eastAsia="bg-BG"/>
              </w:rPr>
              <w:t xml:space="preserve"> млн. евро</w:t>
            </w:r>
          </w:p>
        </w:tc>
      </w:tr>
      <w:tr w:rsidR="007678FF" w:rsidRPr="007678FF" w:rsidTr="0034285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64" w:type="dxa"/>
            <w:noWrap/>
            <w:hideMark/>
          </w:tcPr>
          <w:p w:rsidR="007678FF" w:rsidRPr="007678FF" w:rsidRDefault="007678FF" w:rsidP="001A3EBC">
            <w:pPr>
              <w:rPr>
                <w:rFonts w:ascii="Calibri" w:eastAsia="Times New Roman" w:hAnsi="Calibri" w:cs="Calibri"/>
                <w:b w:val="0"/>
                <w:color w:val="000000"/>
                <w:lang w:eastAsia="bg-BG"/>
              </w:rPr>
            </w:pPr>
            <w:r w:rsidRPr="007678FF">
              <w:rPr>
                <w:rFonts w:ascii="Calibri" w:eastAsia="Times New Roman" w:hAnsi="Calibri" w:cs="Calibri"/>
                <w:b w:val="0"/>
                <w:color w:val="000000"/>
                <w:lang w:eastAsia="bg-BG"/>
              </w:rPr>
              <w:t>Асеновград</w:t>
            </w:r>
          </w:p>
        </w:tc>
        <w:tc>
          <w:tcPr>
            <w:tcW w:w="2780" w:type="dxa"/>
            <w:noWrap/>
            <w:hideMark/>
          </w:tcPr>
          <w:p w:rsidR="007678FF" w:rsidRPr="007678FF" w:rsidRDefault="007678FF" w:rsidP="001A3EB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7678FF">
              <w:rPr>
                <w:rFonts w:ascii="Calibri" w:eastAsia="Times New Roman" w:hAnsi="Calibri" w:cs="Calibri"/>
                <w:color w:val="000000"/>
                <w:lang w:eastAsia="bg-BG"/>
              </w:rPr>
              <w:t>56</w:t>
            </w:r>
            <w:r w:rsidR="0034285F">
              <w:rPr>
                <w:rFonts w:ascii="Calibri" w:eastAsia="Times New Roman" w:hAnsi="Calibri" w:cs="Calibri"/>
                <w:color w:val="000000"/>
                <w:lang w:eastAsia="bg-BG"/>
              </w:rPr>
              <w:t xml:space="preserve"> млн. евро</w:t>
            </w:r>
          </w:p>
        </w:tc>
      </w:tr>
      <w:tr w:rsidR="007678FF" w:rsidRPr="007678FF" w:rsidTr="0034285F">
        <w:trPr>
          <w:trHeight w:val="300"/>
          <w:jc w:val="center"/>
        </w:trPr>
        <w:tc>
          <w:tcPr>
            <w:cnfStyle w:val="001000000000" w:firstRow="0" w:lastRow="0" w:firstColumn="1" w:lastColumn="0" w:oddVBand="0" w:evenVBand="0" w:oddHBand="0" w:evenHBand="0" w:firstRowFirstColumn="0" w:firstRowLastColumn="0" w:lastRowFirstColumn="0" w:lastRowLastColumn="0"/>
            <w:tcW w:w="3264" w:type="dxa"/>
            <w:noWrap/>
            <w:hideMark/>
          </w:tcPr>
          <w:p w:rsidR="007678FF" w:rsidRPr="007678FF" w:rsidRDefault="007678FF" w:rsidP="001A3EBC">
            <w:pPr>
              <w:rPr>
                <w:rFonts w:ascii="Calibri" w:eastAsia="Times New Roman" w:hAnsi="Calibri" w:cs="Calibri"/>
                <w:b w:val="0"/>
                <w:color w:val="000000"/>
                <w:lang w:eastAsia="bg-BG"/>
              </w:rPr>
            </w:pPr>
            <w:r w:rsidRPr="007678FF">
              <w:rPr>
                <w:rFonts w:ascii="Calibri" w:eastAsia="Times New Roman" w:hAnsi="Calibri" w:cs="Calibri"/>
                <w:b w:val="0"/>
                <w:color w:val="000000"/>
                <w:lang w:eastAsia="bg-BG"/>
              </w:rPr>
              <w:t>Плевен</w:t>
            </w:r>
          </w:p>
        </w:tc>
        <w:tc>
          <w:tcPr>
            <w:tcW w:w="2780" w:type="dxa"/>
            <w:noWrap/>
            <w:hideMark/>
          </w:tcPr>
          <w:p w:rsidR="007678FF" w:rsidRPr="007678FF" w:rsidRDefault="007678FF" w:rsidP="001A3EBC">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7678FF">
              <w:rPr>
                <w:rFonts w:ascii="Calibri" w:eastAsia="Times New Roman" w:hAnsi="Calibri" w:cs="Calibri"/>
                <w:color w:val="000000"/>
                <w:lang w:eastAsia="bg-BG"/>
              </w:rPr>
              <w:t>80</w:t>
            </w:r>
            <w:r w:rsidR="0034285F">
              <w:rPr>
                <w:rFonts w:ascii="Calibri" w:eastAsia="Times New Roman" w:hAnsi="Calibri" w:cs="Calibri"/>
                <w:color w:val="000000"/>
                <w:lang w:eastAsia="bg-BG"/>
              </w:rPr>
              <w:t xml:space="preserve"> млн. евро</w:t>
            </w:r>
          </w:p>
        </w:tc>
      </w:tr>
      <w:tr w:rsidR="0034285F" w:rsidRPr="007678FF" w:rsidTr="0034285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044" w:type="dxa"/>
            <w:gridSpan w:val="2"/>
            <w:shd w:val="clear" w:color="auto" w:fill="BDD6EE" w:themeFill="accent1" w:themeFillTint="66"/>
            <w:noWrap/>
            <w:hideMark/>
          </w:tcPr>
          <w:p w:rsidR="0034285F" w:rsidRPr="007678FF" w:rsidRDefault="0034285F" w:rsidP="001A3EBC">
            <w:pPr>
              <w:rPr>
                <w:rFonts w:ascii="Calibri" w:eastAsia="Times New Roman" w:hAnsi="Calibri" w:cs="Calibri"/>
                <w:color w:val="000000"/>
                <w:lang w:eastAsia="bg-BG"/>
              </w:rPr>
            </w:pPr>
          </w:p>
        </w:tc>
      </w:tr>
      <w:tr w:rsidR="007678FF" w:rsidRPr="007678FF" w:rsidTr="0034285F">
        <w:trPr>
          <w:trHeight w:val="300"/>
          <w:jc w:val="center"/>
        </w:trPr>
        <w:tc>
          <w:tcPr>
            <w:cnfStyle w:val="001000000000" w:firstRow="0" w:lastRow="0" w:firstColumn="1" w:lastColumn="0" w:oddVBand="0" w:evenVBand="0" w:oddHBand="0" w:evenHBand="0" w:firstRowFirstColumn="0" w:firstRowLastColumn="0" w:lastRowFirstColumn="0" w:lastRowLastColumn="0"/>
            <w:tcW w:w="3264" w:type="dxa"/>
            <w:noWrap/>
            <w:hideMark/>
          </w:tcPr>
          <w:p w:rsidR="007678FF" w:rsidRPr="007678FF" w:rsidRDefault="007678FF" w:rsidP="001A3EBC">
            <w:pPr>
              <w:rPr>
                <w:rFonts w:ascii="Calibri" w:eastAsia="Times New Roman" w:hAnsi="Calibri" w:cs="Calibri"/>
                <w:color w:val="000000"/>
                <w:lang w:eastAsia="bg-BG"/>
              </w:rPr>
            </w:pPr>
            <w:r w:rsidRPr="007678FF">
              <w:rPr>
                <w:rFonts w:ascii="Calibri" w:eastAsia="Times New Roman" w:hAnsi="Calibri" w:cs="Calibri"/>
                <w:color w:val="000000"/>
                <w:lang w:eastAsia="bg-BG"/>
              </w:rPr>
              <w:t>Потенциални малки проекти</w:t>
            </w:r>
          </w:p>
        </w:tc>
        <w:tc>
          <w:tcPr>
            <w:tcW w:w="2780" w:type="dxa"/>
            <w:noWrap/>
            <w:hideMark/>
          </w:tcPr>
          <w:p w:rsidR="007678FF" w:rsidRPr="007678FF" w:rsidRDefault="0034285F" w:rsidP="001A3EBC">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lang w:eastAsia="bg-BG"/>
              </w:rPr>
            </w:pPr>
            <w:r>
              <w:rPr>
                <w:rFonts w:ascii="Calibri" w:eastAsia="Times New Roman" w:hAnsi="Calibri" w:cs="Calibri"/>
                <w:b/>
                <w:bCs/>
                <w:color w:val="000000"/>
                <w:lang w:eastAsia="bg-BG"/>
              </w:rPr>
              <w:t>Прогнозна с</w:t>
            </w:r>
            <w:r w:rsidR="007678FF" w:rsidRPr="007678FF">
              <w:rPr>
                <w:rFonts w:ascii="Calibri" w:eastAsia="Times New Roman" w:hAnsi="Calibri" w:cs="Calibri"/>
                <w:b/>
                <w:bCs/>
                <w:color w:val="000000"/>
                <w:lang w:eastAsia="bg-BG"/>
              </w:rPr>
              <w:t xml:space="preserve">т-ст на проект </w:t>
            </w:r>
          </w:p>
        </w:tc>
      </w:tr>
      <w:tr w:rsidR="007678FF" w:rsidRPr="007678FF" w:rsidTr="0034285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64" w:type="dxa"/>
            <w:noWrap/>
            <w:hideMark/>
          </w:tcPr>
          <w:p w:rsidR="007678FF" w:rsidRPr="007678FF" w:rsidRDefault="007678FF" w:rsidP="001A3EBC">
            <w:pPr>
              <w:rPr>
                <w:rFonts w:ascii="Calibri" w:eastAsia="Times New Roman" w:hAnsi="Calibri" w:cs="Calibri"/>
                <w:b w:val="0"/>
                <w:color w:val="000000"/>
                <w:lang w:eastAsia="bg-BG"/>
              </w:rPr>
            </w:pPr>
            <w:r w:rsidRPr="007678FF">
              <w:rPr>
                <w:rFonts w:ascii="Calibri" w:eastAsia="Times New Roman" w:hAnsi="Calibri" w:cs="Calibri"/>
                <w:b w:val="0"/>
                <w:color w:val="000000"/>
                <w:lang w:eastAsia="bg-BG"/>
              </w:rPr>
              <w:t>Мин. 24 регионални ВиК д-ва</w:t>
            </w:r>
          </w:p>
        </w:tc>
        <w:tc>
          <w:tcPr>
            <w:tcW w:w="2780" w:type="dxa"/>
            <w:noWrap/>
            <w:hideMark/>
          </w:tcPr>
          <w:p w:rsidR="007678FF" w:rsidRPr="007678FF" w:rsidRDefault="007678FF" w:rsidP="001A3EBC">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7678FF">
              <w:rPr>
                <w:rFonts w:ascii="Calibri" w:eastAsia="Times New Roman" w:hAnsi="Calibri" w:cs="Calibri"/>
                <w:color w:val="000000"/>
                <w:lang w:eastAsia="bg-BG"/>
              </w:rPr>
              <w:t>45</w:t>
            </w:r>
            <w:r w:rsidR="0034285F">
              <w:rPr>
                <w:rFonts w:ascii="Calibri" w:eastAsia="Times New Roman" w:hAnsi="Calibri" w:cs="Calibri"/>
                <w:color w:val="000000"/>
                <w:lang w:eastAsia="bg-BG"/>
              </w:rPr>
              <w:t xml:space="preserve"> млн. евро</w:t>
            </w:r>
          </w:p>
        </w:tc>
      </w:tr>
    </w:tbl>
    <w:p w:rsidR="007678FF" w:rsidRPr="00F56ADF" w:rsidRDefault="007678FF" w:rsidP="001A3EBC">
      <w:pPr>
        <w:rPr>
          <w:rFonts w:ascii="Calibri" w:eastAsia="Times New Roman" w:hAnsi="Calibri" w:cs="Arial"/>
          <w:bCs/>
          <w:color w:val="000000"/>
        </w:rPr>
      </w:pPr>
    </w:p>
    <w:p w:rsidR="00A23818" w:rsidRDefault="00CC729F" w:rsidP="00A23818">
      <w:pPr>
        <w:keepNext/>
        <w:keepLines/>
        <w:spacing w:before="120" w:after="120"/>
        <w:jc w:val="both"/>
        <w:outlineLvl w:val="2"/>
        <w:rPr>
          <w:rFonts w:ascii="Calibri" w:eastAsia="Calibri" w:hAnsi="Calibri" w:cs="Times New Roman"/>
          <w:color w:val="243F60"/>
          <w:sz w:val="24"/>
          <w:szCs w:val="24"/>
        </w:rPr>
      </w:pPr>
      <w:bookmarkStart w:id="66" w:name="_Toc399494531"/>
      <w:r>
        <w:rPr>
          <w:rFonts w:ascii="Calibri" w:eastAsia="Calibri" w:hAnsi="Calibri" w:cs="Times New Roman"/>
          <w:color w:val="243F60"/>
          <w:sz w:val="24"/>
          <w:szCs w:val="24"/>
        </w:rPr>
        <w:t>1.3.8</w:t>
      </w:r>
      <w:r w:rsidR="00A23818" w:rsidRPr="00421960">
        <w:rPr>
          <w:rFonts w:ascii="Calibri" w:eastAsia="Calibri" w:hAnsi="Calibri" w:cs="Times New Roman"/>
          <w:color w:val="243F60"/>
          <w:sz w:val="24"/>
          <w:szCs w:val="24"/>
        </w:rPr>
        <w:t xml:space="preserve">. </w:t>
      </w:r>
      <w:r w:rsidR="00A23818">
        <w:rPr>
          <w:rFonts w:ascii="Calibri" w:eastAsia="Calibri" w:hAnsi="Calibri" w:cs="Times New Roman"/>
          <w:color w:val="243F60"/>
          <w:sz w:val="24"/>
          <w:szCs w:val="24"/>
        </w:rPr>
        <w:t>Обобщение на недостига на финансиране и нуждите от инвестиции в сектор Отпадъци</w:t>
      </w:r>
      <w:bookmarkEnd w:id="66"/>
    </w:p>
    <w:p w:rsidR="00810EE0" w:rsidRDefault="00810EE0" w:rsidP="001A3EBC">
      <w:pPr>
        <w:jc w:val="both"/>
        <w:rPr>
          <w:rFonts w:ascii="Calibri" w:eastAsia="Times New Roman" w:hAnsi="Calibri" w:cs="Arial"/>
          <w:bCs/>
          <w:color w:val="000000"/>
          <w:lang w:eastAsia="bg-BG"/>
        </w:rPr>
      </w:pPr>
      <w:r w:rsidRPr="00131785">
        <w:rPr>
          <w:rFonts w:ascii="Calibri" w:eastAsia="Times New Roman" w:hAnsi="Calibri" w:cs="Arial"/>
          <w:bCs/>
          <w:color w:val="000000"/>
          <w:lang w:eastAsia="bg-BG"/>
        </w:rPr>
        <w:t xml:space="preserve">Инвестиционният недостиг </w:t>
      </w:r>
      <w:r>
        <w:rPr>
          <w:rFonts w:ascii="Calibri" w:eastAsia="Times New Roman" w:hAnsi="Calibri" w:cs="Arial"/>
          <w:bCs/>
          <w:color w:val="000000"/>
          <w:lang w:eastAsia="bg-BG"/>
        </w:rPr>
        <w:t>в Сектор Отпадъци</w:t>
      </w:r>
      <w:r w:rsidR="00F80C27">
        <w:rPr>
          <w:rFonts w:ascii="Calibri" w:eastAsia="Times New Roman" w:hAnsi="Calibri" w:cs="Arial"/>
          <w:bCs/>
          <w:color w:val="000000"/>
          <w:lang w:eastAsia="bg-BG"/>
        </w:rPr>
        <w:t xml:space="preserve"> за реализиране на мерки за битови и биоразградими отпадъци</w:t>
      </w:r>
      <w:r>
        <w:rPr>
          <w:rFonts w:ascii="Calibri" w:eastAsia="Times New Roman" w:hAnsi="Calibri" w:cs="Arial"/>
          <w:bCs/>
          <w:color w:val="000000"/>
          <w:lang w:eastAsia="bg-BG"/>
        </w:rPr>
        <w:t xml:space="preserve"> </w:t>
      </w:r>
      <w:r w:rsidR="00F80C27">
        <w:rPr>
          <w:rFonts w:ascii="Calibri" w:eastAsia="Times New Roman" w:hAnsi="Calibri" w:cs="Arial"/>
          <w:bCs/>
          <w:color w:val="000000"/>
          <w:lang w:eastAsia="bg-BG"/>
        </w:rPr>
        <w:t>възлиза на 1,3</w:t>
      </w:r>
      <w:r>
        <w:rPr>
          <w:rFonts w:ascii="Calibri" w:eastAsia="Times New Roman" w:hAnsi="Calibri" w:cs="Arial"/>
          <w:bCs/>
          <w:color w:val="000000"/>
          <w:lang w:eastAsia="bg-BG"/>
        </w:rPr>
        <w:t xml:space="preserve"> млрд. евро</w:t>
      </w:r>
      <w:r w:rsidR="00F80C27">
        <w:rPr>
          <w:rFonts w:ascii="Calibri" w:eastAsia="Times New Roman" w:hAnsi="Calibri" w:cs="Arial"/>
          <w:bCs/>
          <w:color w:val="000000"/>
          <w:lang w:eastAsia="bg-BG"/>
        </w:rPr>
        <w:t>. Наличният финансов ресурс по ОПОС 2014-2020 е едва 23% от общите необходими средства за намаляване количеството на депонираните отпадъци</w:t>
      </w:r>
      <w:r>
        <w:rPr>
          <w:rFonts w:ascii="Calibri" w:eastAsia="Times New Roman" w:hAnsi="Calibri" w:cs="Arial"/>
          <w:bCs/>
          <w:color w:val="000000"/>
          <w:lang w:eastAsia="bg-BG"/>
        </w:rPr>
        <w:t>.</w:t>
      </w:r>
    </w:p>
    <w:p w:rsidR="00F80C27" w:rsidRPr="00810EE0" w:rsidRDefault="00F80C27" w:rsidP="00A82D1C">
      <w:pPr>
        <w:keepNext/>
        <w:jc w:val="center"/>
        <w:rPr>
          <w:rFonts w:ascii="Calibri" w:eastAsia="Times New Roman" w:hAnsi="Calibri" w:cs="Arial"/>
          <w:b/>
          <w:bCs/>
          <w:color w:val="000000"/>
          <w:sz w:val="20"/>
          <w:szCs w:val="20"/>
          <w:lang w:eastAsia="bg-BG"/>
        </w:rPr>
      </w:pPr>
      <w:bookmarkStart w:id="67" w:name="_Toc399494600"/>
      <w:r w:rsidRPr="00810EE0">
        <w:rPr>
          <w:rFonts w:cstheme="minorHAnsi"/>
          <w:b/>
          <w:sz w:val="20"/>
          <w:szCs w:val="20"/>
        </w:rPr>
        <w:lastRenderedPageBreak/>
        <w:t xml:space="preserve">Фигура </w:t>
      </w:r>
      <w:r w:rsidR="008E6461" w:rsidRPr="00810EE0">
        <w:rPr>
          <w:rFonts w:cstheme="minorHAnsi"/>
          <w:b/>
          <w:sz w:val="20"/>
          <w:szCs w:val="20"/>
        </w:rPr>
        <w:fldChar w:fldCharType="begin"/>
      </w:r>
      <w:r w:rsidRPr="00810EE0">
        <w:rPr>
          <w:rFonts w:cstheme="minorHAnsi"/>
          <w:b/>
          <w:sz w:val="20"/>
          <w:szCs w:val="20"/>
        </w:rPr>
        <w:instrText xml:space="preserve"> SEQ фигура \* ARABIC </w:instrText>
      </w:r>
      <w:r w:rsidR="008E6461" w:rsidRPr="00810EE0">
        <w:rPr>
          <w:rFonts w:cstheme="minorHAnsi"/>
          <w:b/>
          <w:sz w:val="20"/>
          <w:szCs w:val="20"/>
        </w:rPr>
        <w:fldChar w:fldCharType="separate"/>
      </w:r>
      <w:r w:rsidR="003A69A7">
        <w:rPr>
          <w:rFonts w:cstheme="minorHAnsi"/>
          <w:b/>
          <w:noProof/>
          <w:sz w:val="20"/>
          <w:szCs w:val="20"/>
        </w:rPr>
        <w:t>15</w:t>
      </w:r>
      <w:r w:rsidR="008E6461" w:rsidRPr="00810EE0">
        <w:rPr>
          <w:rFonts w:cstheme="minorHAnsi"/>
          <w:b/>
          <w:sz w:val="20"/>
          <w:szCs w:val="20"/>
        </w:rPr>
        <w:fldChar w:fldCharType="end"/>
      </w:r>
      <w:r w:rsidRPr="00810EE0">
        <w:rPr>
          <w:rFonts w:cstheme="minorHAnsi"/>
          <w:b/>
          <w:sz w:val="20"/>
          <w:szCs w:val="20"/>
        </w:rPr>
        <w:t xml:space="preserve">: Инвестиционен недостиг в </w:t>
      </w:r>
      <w:r>
        <w:rPr>
          <w:rFonts w:cstheme="minorHAnsi"/>
          <w:b/>
          <w:sz w:val="20"/>
          <w:szCs w:val="20"/>
        </w:rPr>
        <w:t>сектор Отпадъци</w:t>
      </w:r>
      <w:bookmarkEnd w:id="67"/>
    </w:p>
    <w:p w:rsidR="00810EE0" w:rsidRPr="00421960" w:rsidRDefault="00F80C27" w:rsidP="001A3EBC">
      <w:pPr>
        <w:jc w:val="center"/>
        <w:rPr>
          <w:rFonts w:ascii="Calibri" w:eastAsia="Calibri" w:hAnsi="Calibri" w:cs="Times New Roman"/>
          <w:color w:val="243F60"/>
          <w:sz w:val="24"/>
          <w:szCs w:val="24"/>
        </w:rPr>
      </w:pPr>
      <w:r>
        <w:rPr>
          <w:rFonts w:ascii="Calibri" w:eastAsia="Calibri" w:hAnsi="Calibri" w:cs="Times New Roman"/>
          <w:noProof/>
          <w:color w:val="243F60"/>
          <w:sz w:val="24"/>
          <w:szCs w:val="24"/>
          <w:lang w:eastAsia="bg-BG"/>
        </w:rPr>
        <w:drawing>
          <wp:inline distT="0" distB="0" distL="0" distR="0">
            <wp:extent cx="4594860" cy="2766060"/>
            <wp:effectExtent l="1905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2" cstate="print"/>
                    <a:srcRect/>
                    <a:stretch>
                      <a:fillRect/>
                    </a:stretch>
                  </pic:blipFill>
                  <pic:spPr bwMode="auto">
                    <a:xfrm>
                      <a:off x="0" y="0"/>
                      <a:ext cx="4594860" cy="2766060"/>
                    </a:xfrm>
                    <a:prstGeom prst="rect">
                      <a:avLst/>
                    </a:prstGeom>
                    <a:noFill/>
                  </pic:spPr>
                </pic:pic>
              </a:graphicData>
            </a:graphic>
          </wp:inline>
        </w:drawing>
      </w:r>
    </w:p>
    <w:p w:rsidR="00F80C27" w:rsidRDefault="00F80C27" w:rsidP="001A3EBC">
      <w:pPr>
        <w:jc w:val="both"/>
        <w:rPr>
          <w:rFonts w:ascii="Calibri" w:eastAsia="Times New Roman" w:hAnsi="Calibri" w:cs="Arial"/>
          <w:bCs/>
          <w:color w:val="000000"/>
          <w:lang w:eastAsia="bg-BG"/>
        </w:rPr>
      </w:pPr>
    </w:p>
    <w:p w:rsidR="00F80C27" w:rsidRDefault="00F80C27" w:rsidP="001A3EBC">
      <w:pPr>
        <w:jc w:val="both"/>
        <w:rPr>
          <w:rFonts w:ascii="Calibri" w:eastAsia="Times New Roman" w:hAnsi="Calibri" w:cs="Arial"/>
          <w:bCs/>
          <w:color w:val="000000"/>
          <w:lang w:eastAsia="bg-BG"/>
        </w:rPr>
      </w:pPr>
      <w:r>
        <w:rPr>
          <w:rFonts w:ascii="Calibri" w:eastAsia="Times New Roman" w:hAnsi="Calibri" w:cs="Arial"/>
          <w:bCs/>
          <w:color w:val="000000"/>
          <w:lang w:eastAsia="bg-BG"/>
        </w:rPr>
        <w:t>Видовете инвестиции, за които е необходимо да бъде осигурено финансиране са следните:</w:t>
      </w:r>
    </w:p>
    <w:p w:rsidR="00A23818" w:rsidRPr="00A23818" w:rsidRDefault="00A23818" w:rsidP="001A036E">
      <w:pPr>
        <w:numPr>
          <w:ilvl w:val="0"/>
          <w:numId w:val="49"/>
        </w:numPr>
        <w:jc w:val="both"/>
        <w:rPr>
          <w:rFonts w:ascii="Calibri" w:eastAsia="Times New Roman" w:hAnsi="Calibri" w:cs="Arial"/>
          <w:bCs/>
          <w:color w:val="000000"/>
        </w:rPr>
      </w:pPr>
      <w:r w:rsidRPr="00A23818">
        <w:rPr>
          <w:rFonts w:ascii="Calibri" w:eastAsia="Times New Roman" w:hAnsi="Calibri" w:cs="Arial"/>
          <w:bCs/>
          <w:color w:val="000000"/>
        </w:rPr>
        <w:t>Проектиране и изграждане на центрове за повторна употреба, поправка и подготовка за повторна употреба, вкл. осигуряване на съоръжения и техника за целите на дейността;</w:t>
      </w:r>
    </w:p>
    <w:p w:rsidR="00A23818" w:rsidRPr="00A23818" w:rsidRDefault="00A23818" w:rsidP="001A036E">
      <w:pPr>
        <w:numPr>
          <w:ilvl w:val="0"/>
          <w:numId w:val="49"/>
        </w:numPr>
        <w:jc w:val="both"/>
        <w:rPr>
          <w:rFonts w:ascii="Calibri" w:eastAsia="Times New Roman" w:hAnsi="Calibri" w:cs="Arial"/>
          <w:bCs/>
          <w:color w:val="000000"/>
        </w:rPr>
      </w:pPr>
      <w:r w:rsidRPr="00A23818">
        <w:rPr>
          <w:rFonts w:ascii="Calibri" w:eastAsia="Times New Roman" w:hAnsi="Calibri" w:cs="Arial"/>
          <w:bCs/>
          <w:color w:val="000000"/>
        </w:rPr>
        <w:t xml:space="preserve">Проектиране и изграждане на площадки и инсталации за предварително третиране на битови отпадъци; </w:t>
      </w:r>
    </w:p>
    <w:p w:rsidR="00A23818" w:rsidRPr="00A23818" w:rsidRDefault="00A23818" w:rsidP="001A036E">
      <w:pPr>
        <w:numPr>
          <w:ilvl w:val="0"/>
          <w:numId w:val="49"/>
        </w:numPr>
        <w:jc w:val="both"/>
        <w:rPr>
          <w:rFonts w:ascii="Calibri" w:eastAsia="Times New Roman" w:hAnsi="Calibri" w:cs="Arial"/>
          <w:bCs/>
          <w:color w:val="000000"/>
        </w:rPr>
      </w:pPr>
      <w:r w:rsidRPr="00A23818">
        <w:rPr>
          <w:rFonts w:ascii="Calibri" w:eastAsia="Times New Roman" w:hAnsi="Calibri" w:cs="Arial"/>
          <w:bCs/>
          <w:color w:val="000000"/>
        </w:rPr>
        <w:t>Проектиране и изграждане на анаеробни и/или компостиращи инсталации за биоразградими  и /или зелени отпадъци, вкл. осигуряване на необходимото оборудване и на съоръжения и техника за разделно събиране на биоразградими и зелени отпадъци;</w:t>
      </w:r>
    </w:p>
    <w:p w:rsidR="00A23818" w:rsidRPr="00A23818" w:rsidRDefault="00A23818" w:rsidP="001A036E">
      <w:pPr>
        <w:numPr>
          <w:ilvl w:val="0"/>
          <w:numId w:val="49"/>
        </w:numPr>
        <w:jc w:val="both"/>
        <w:rPr>
          <w:rFonts w:ascii="Calibri" w:eastAsia="Times New Roman" w:hAnsi="Calibri" w:cs="Arial"/>
          <w:bCs/>
          <w:color w:val="000000"/>
        </w:rPr>
      </w:pPr>
      <w:r w:rsidRPr="00A23818">
        <w:rPr>
          <w:rFonts w:ascii="Calibri" w:eastAsia="Times New Roman" w:hAnsi="Calibri" w:cs="Arial"/>
          <w:bCs/>
          <w:color w:val="000000"/>
        </w:rPr>
        <w:t xml:space="preserve">Проектиране и изграждане на инсталации за подготовка за оползотворяване и оползотворяване на битови отпадъци; </w:t>
      </w:r>
    </w:p>
    <w:p w:rsidR="00A23818" w:rsidRDefault="00A23818" w:rsidP="001A036E">
      <w:pPr>
        <w:numPr>
          <w:ilvl w:val="0"/>
          <w:numId w:val="49"/>
        </w:numPr>
        <w:jc w:val="both"/>
        <w:rPr>
          <w:rFonts w:ascii="Calibri" w:eastAsia="Times New Roman" w:hAnsi="Calibri" w:cs="Arial"/>
          <w:bCs/>
          <w:color w:val="000000"/>
        </w:rPr>
      </w:pPr>
      <w:r w:rsidRPr="00A23818">
        <w:rPr>
          <w:rFonts w:ascii="Calibri" w:eastAsia="Times New Roman" w:hAnsi="Calibri" w:cs="Arial"/>
          <w:bCs/>
          <w:color w:val="000000"/>
        </w:rPr>
        <w:t xml:space="preserve">Проектиране и изграждане на съпътстваща инфраструктура към описаните по-горе инсталации (напр. електроснабдяване, път, водоснабдяване), която </w:t>
      </w:r>
      <w:r w:rsidR="008C5C26" w:rsidRPr="00A23818">
        <w:rPr>
          <w:rFonts w:ascii="Calibri" w:eastAsia="Times New Roman" w:hAnsi="Calibri" w:cs="Arial"/>
          <w:bCs/>
          <w:color w:val="000000"/>
        </w:rPr>
        <w:t>обслужва</w:t>
      </w:r>
      <w:r w:rsidRPr="00A23818">
        <w:rPr>
          <w:rFonts w:ascii="Calibri" w:eastAsia="Times New Roman" w:hAnsi="Calibri" w:cs="Arial"/>
          <w:bCs/>
          <w:color w:val="000000"/>
        </w:rPr>
        <w:t xml:space="preserve"> само изгражданите обекти</w:t>
      </w:r>
      <w:r>
        <w:rPr>
          <w:rFonts w:ascii="Calibri" w:eastAsia="Times New Roman" w:hAnsi="Calibri" w:cs="Arial"/>
          <w:bCs/>
          <w:color w:val="000000"/>
        </w:rPr>
        <w:t>.</w:t>
      </w:r>
    </w:p>
    <w:p w:rsidR="00A23818" w:rsidRDefault="00A23818" w:rsidP="001A3EBC">
      <w:pPr>
        <w:jc w:val="both"/>
        <w:rPr>
          <w:rFonts w:ascii="Calibri" w:eastAsia="Times New Roman" w:hAnsi="Calibri" w:cs="Arial"/>
          <w:bCs/>
          <w:color w:val="000000"/>
        </w:rPr>
      </w:pPr>
      <w:r>
        <w:rPr>
          <w:rFonts w:ascii="Calibri" w:eastAsia="Times New Roman" w:hAnsi="Calibri" w:cs="Arial"/>
          <w:bCs/>
          <w:color w:val="000000"/>
        </w:rPr>
        <w:t xml:space="preserve">Тук следва да се отбележи, че в рамките на Приоритетна ос 2 Отпадъци на ОПОС 2014-2020 т. са предвидени за изпълнение и </w:t>
      </w:r>
      <w:r w:rsidRPr="00A23818">
        <w:rPr>
          <w:rFonts w:ascii="Calibri" w:eastAsia="Times New Roman" w:hAnsi="Calibri" w:cs="Arial"/>
          <w:bCs/>
          <w:color w:val="000000"/>
        </w:rPr>
        <w:t>дейности, свързани с изпълнение на демонстрационни/пилотни проекти с цел събиране, синтезиране, разпространение и прилагане на нови, нетрадиционни успешни мерки, добри практики и/или управленски подходи в областта на управлението на отпадъците, както и въвеждане на нови технологии</w:t>
      </w:r>
      <w:r>
        <w:rPr>
          <w:rFonts w:ascii="Calibri" w:eastAsia="Times New Roman" w:hAnsi="Calibri" w:cs="Arial"/>
          <w:bCs/>
          <w:color w:val="000000"/>
        </w:rPr>
        <w:t>. Тези дейности обаче, не предполагат използването на финансови инструменти, тъй като стойността на отделните проекти е малка, а техните компоненти са предимно т.нар. „меки” мерки, за които няма предлагане на инструменти на финансовия инженеринг.</w:t>
      </w:r>
    </w:p>
    <w:p w:rsidR="0034285F" w:rsidRDefault="0034285F" w:rsidP="001A3EBC">
      <w:pPr>
        <w:jc w:val="both"/>
        <w:rPr>
          <w:rFonts w:ascii="Calibri" w:eastAsia="Times New Roman" w:hAnsi="Calibri" w:cs="Arial"/>
          <w:bCs/>
          <w:color w:val="000000"/>
        </w:rPr>
      </w:pPr>
      <w:r>
        <w:rPr>
          <w:rFonts w:ascii="Calibri" w:eastAsia="Times New Roman" w:hAnsi="Calibri" w:cs="Arial"/>
          <w:bCs/>
          <w:color w:val="000000"/>
        </w:rPr>
        <w:lastRenderedPageBreak/>
        <w:t xml:space="preserve">За разлика от Водния сектор, тук не може да се направи оценка на предполагаемия размер и обхват на проектите на база предходен опит, тъй като предложените дейности за финансиране в рамките на ОПОС 2014-2020 г. се различават съществено от тези, финансирани през предходния програмен период. </w:t>
      </w:r>
    </w:p>
    <w:p w:rsidR="0034285F" w:rsidRDefault="0034285F" w:rsidP="001A3EBC">
      <w:pPr>
        <w:jc w:val="both"/>
        <w:rPr>
          <w:rFonts w:ascii="Calibri" w:eastAsia="Times New Roman" w:hAnsi="Calibri" w:cs="Arial"/>
          <w:bCs/>
          <w:color w:val="000000"/>
        </w:rPr>
      </w:pPr>
      <w:r>
        <w:rPr>
          <w:rFonts w:ascii="Calibri" w:eastAsia="Times New Roman" w:hAnsi="Calibri" w:cs="Arial"/>
          <w:bCs/>
          <w:color w:val="000000"/>
        </w:rPr>
        <w:t>Единствената количествена оценка на средния размер на инвестициите е за следните видове проекти:</w:t>
      </w:r>
    </w:p>
    <w:p w:rsidR="0034285F" w:rsidRPr="0034285F" w:rsidRDefault="0034285F" w:rsidP="001A036E">
      <w:pPr>
        <w:numPr>
          <w:ilvl w:val="0"/>
          <w:numId w:val="48"/>
        </w:numPr>
        <w:jc w:val="both"/>
        <w:rPr>
          <w:rFonts w:ascii="Calibri" w:eastAsia="Times New Roman" w:hAnsi="Calibri" w:cs="Arial"/>
          <w:bCs/>
          <w:color w:val="000000"/>
        </w:rPr>
      </w:pPr>
      <w:r w:rsidRPr="0034285F">
        <w:rPr>
          <w:rFonts w:ascii="Calibri" w:eastAsia="Times New Roman" w:hAnsi="Calibri" w:cs="Arial"/>
          <w:bCs/>
          <w:color w:val="000000"/>
        </w:rPr>
        <w:t xml:space="preserve">Проектиране и изграждане на анаеробни (около 26 </w:t>
      </w:r>
      <w:r>
        <w:rPr>
          <w:rFonts w:ascii="Calibri" w:eastAsia="Times New Roman" w:hAnsi="Calibri" w:cs="Arial"/>
          <w:bCs/>
          <w:color w:val="000000"/>
        </w:rPr>
        <w:t>млн.</w:t>
      </w:r>
      <w:r w:rsidRPr="0034285F">
        <w:rPr>
          <w:rFonts w:ascii="Calibri" w:eastAsia="Times New Roman" w:hAnsi="Calibri" w:cs="Arial"/>
          <w:bCs/>
          <w:color w:val="000000"/>
        </w:rPr>
        <w:t xml:space="preserve"> евро) и/или компостиращи (около 2 </w:t>
      </w:r>
      <w:r>
        <w:rPr>
          <w:rFonts w:ascii="Calibri" w:eastAsia="Times New Roman" w:hAnsi="Calibri" w:cs="Arial"/>
          <w:bCs/>
          <w:color w:val="000000"/>
        </w:rPr>
        <w:t>млн.</w:t>
      </w:r>
      <w:r w:rsidRPr="0034285F">
        <w:rPr>
          <w:rFonts w:ascii="Calibri" w:eastAsia="Times New Roman" w:hAnsi="Calibri" w:cs="Arial"/>
          <w:bCs/>
          <w:color w:val="000000"/>
        </w:rPr>
        <w:t xml:space="preserve"> евро) инсталации за биоразградими и</w:t>
      </w:r>
      <w:r>
        <w:rPr>
          <w:rFonts w:ascii="Calibri" w:eastAsia="Times New Roman" w:hAnsi="Calibri" w:cs="Arial"/>
          <w:bCs/>
          <w:color w:val="000000"/>
        </w:rPr>
        <w:t>/или зелени отпадъци;</w:t>
      </w:r>
    </w:p>
    <w:p w:rsidR="0034285F" w:rsidRPr="0034285F" w:rsidRDefault="0034285F" w:rsidP="001A036E">
      <w:pPr>
        <w:numPr>
          <w:ilvl w:val="0"/>
          <w:numId w:val="48"/>
        </w:numPr>
        <w:jc w:val="both"/>
        <w:rPr>
          <w:rFonts w:ascii="Calibri" w:eastAsia="Times New Roman" w:hAnsi="Calibri" w:cs="Arial"/>
          <w:bCs/>
          <w:color w:val="000000"/>
        </w:rPr>
      </w:pPr>
      <w:r w:rsidRPr="0034285F">
        <w:rPr>
          <w:rFonts w:ascii="Calibri" w:eastAsia="Times New Roman" w:hAnsi="Calibri" w:cs="Arial"/>
          <w:bCs/>
          <w:color w:val="000000"/>
        </w:rPr>
        <w:t>Проектиране и изграждане на инсталации за подготовка за оползотворяване и оползотворяване на битови отпадъци – трета фаза на интегрирана система от съоръжения за третиране на битовите отпадъци на Столична община (обща стойност на проекта около 135 </w:t>
      </w:r>
      <w:r>
        <w:rPr>
          <w:rFonts w:ascii="Calibri" w:eastAsia="Times New Roman" w:hAnsi="Calibri" w:cs="Arial"/>
          <w:bCs/>
          <w:color w:val="000000"/>
        </w:rPr>
        <w:t xml:space="preserve">млн. </w:t>
      </w:r>
      <w:r w:rsidRPr="0034285F">
        <w:rPr>
          <w:rFonts w:ascii="Calibri" w:eastAsia="Times New Roman" w:hAnsi="Calibri" w:cs="Arial"/>
          <w:bCs/>
          <w:color w:val="000000"/>
        </w:rPr>
        <w:t xml:space="preserve">евро </w:t>
      </w:r>
      <w:r w:rsidR="001A3EBC">
        <w:rPr>
          <w:rFonts w:ascii="Calibri" w:eastAsia="Times New Roman" w:hAnsi="Calibri" w:cs="Arial"/>
          <w:bCs/>
          <w:color w:val="000000"/>
        </w:rPr>
        <w:t xml:space="preserve">с предварителна оценка на финансовия недостиг от </w:t>
      </w:r>
      <w:r w:rsidRPr="0034285F">
        <w:rPr>
          <w:rFonts w:ascii="Calibri" w:eastAsia="Times New Roman" w:hAnsi="Calibri" w:cs="Arial"/>
          <w:bCs/>
          <w:color w:val="000000"/>
        </w:rPr>
        <w:t xml:space="preserve">68,4% </w:t>
      </w:r>
      <w:r w:rsidR="001A3EBC">
        <w:rPr>
          <w:rFonts w:ascii="Calibri" w:eastAsia="Times New Roman" w:hAnsi="Calibri" w:cs="Arial"/>
          <w:bCs/>
          <w:color w:val="000000"/>
        </w:rPr>
        <w:t>или 92,5 млн. евро)</w:t>
      </w:r>
      <w:r w:rsidRPr="0034285F">
        <w:rPr>
          <w:rFonts w:ascii="Calibri" w:eastAsia="Times New Roman" w:hAnsi="Calibri" w:cs="Arial"/>
          <w:bCs/>
          <w:color w:val="000000"/>
        </w:rPr>
        <w:t xml:space="preserve"> </w:t>
      </w:r>
      <w:r w:rsidR="001A3EBC">
        <w:rPr>
          <w:rFonts w:ascii="Calibri" w:eastAsia="Times New Roman" w:hAnsi="Calibri" w:cs="Arial"/>
          <w:bCs/>
          <w:color w:val="000000"/>
        </w:rPr>
        <w:t>с</w:t>
      </w:r>
      <w:r w:rsidR="001A3EBC" w:rsidRPr="0034285F">
        <w:rPr>
          <w:rFonts w:ascii="Calibri" w:eastAsia="Times New Roman" w:hAnsi="Calibri" w:cs="Arial"/>
          <w:bCs/>
          <w:color w:val="000000"/>
        </w:rPr>
        <w:t xml:space="preserve"> потенциален бенефициент „Топлофикация“</w:t>
      </w:r>
      <w:r w:rsidR="001A3EBC">
        <w:rPr>
          <w:rFonts w:ascii="Calibri" w:eastAsia="Times New Roman" w:hAnsi="Calibri" w:cs="Arial"/>
          <w:bCs/>
          <w:color w:val="000000"/>
        </w:rPr>
        <w:t>.</w:t>
      </w:r>
    </w:p>
    <w:p w:rsidR="0034285F" w:rsidRPr="00A23818" w:rsidRDefault="0034285F" w:rsidP="00A23818">
      <w:pPr>
        <w:pStyle w:val="Text1"/>
        <w:spacing w:after="0"/>
        <w:ind w:left="0"/>
        <w:rPr>
          <w:rFonts w:ascii="Calibri" w:eastAsia="Times New Roman" w:hAnsi="Calibri" w:cs="Arial"/>
          <w:bCs/>
          <w:color w:val="000000"/>
          <w:sz w:val="22"/>
        </w:rPr>
      </w:pPr>
    </w:p>
    <w:p w:rsidR="00FA0C25" w:rsidRPr="00722616" w:rsidRDefault="00884347" w:rsidP="002705A6">
      <w:pPr>
        <w:pStyle w:val="Heading2"/>
        <w:jc w:val="both"/>
        <w:rPr>
          <w:rFonts w:asciiTheme="minorHAnsi" w:hAnsiTheme="minorHAnsi" w:cs="Times New Roman"/>
          <w:lang w:val="en-US"/>
        </w:rPr>
      </w:pPr>
      <w:bookmarkStart w:id="68" w:name="_Toc399494532"/>
      <w:r w:rsidRPr="00722616">
        <w:rPr>
          <w:rFonts w:asciiTheme="minorHAnsi" w:hAnsiTheme="minorHAnsi" w:cs="Times New Roman"/>
        </w:rPr>
        <w:t xml:space="preserve">1.4. </w:t>
      </w:r>
      <w:r w:rsidR="00280CB9" w:rsidRPr="00722616">
        <w:rPr>
          <w:rFonts w:asciiTheme="minorHAnsi" w:hAnsiTheme="minorHAnsi" w:cs="Times New Roman"/>
        </w:rPr>
        <w:t>Търсене и предлагане на</w:t>
      </w:r>
      <w:r w:rsidR="008311B3" w:rsidRPr="00722616">
        <w:rPr>
          <w:rFonts w:asciiTheme="minorHAnsi" w:hAnsiTheme="minorHAnsi" w:cs="Times New Roman"/>
        </w:rPr>
        <w:t xml:space="preserve"> финансови инструменти за</w:t>
      </w:r>
      <w:r w:rsidR="00FA0C25" w:rsidRPr="00722616">
        <w:rPr>
          <w:rFonts w:asciiTheme="minorHAnsi" w:hAnsiTheme="minorHAnsi" w:cs="Times New Roman"/>
        </w:rPr>
        <w:t xml:space="preserve"> </w:t>
      </w:r>
      <w:r w:rsidR="008311B3" w:rsidRPr="00722616">
        <w:rPr>
          <w:rFonts w:asciiTheme="minorHAnsi" w:hAnsiTheme="minorHAnsi" w:cs="Times New Roman"/>
        </w:rPr>
        <w:t>реализирането</w:t>
      </w:r>
      <w:r w:rsidR="00FA0C25" w:rsidRPr="00722616">
        <w:rPr>
          <w:rFonts w:asciiTheme="minorHAnsi" w:hAnsiTheme="minorHAnsi" w:cs="Times New Roman"/>
        </w:rPr>
        <w:t xml:space="preserve"> на </w:t>
      </w:r>
      <w:r w:rsidR="008311B3" w:rsidRPr="00722616">
        <w:rPr>
          <w:rFonts w:asciiTheme="minorHAnsi" w:hAnsiTheme="minorHAnsi" w:cs="Times New Roman"/>
        </w:rPr>
        <w:t>и</w:t>
      </w:r>
      <w:r w:rsidR="00280CB9" w:rsidRPr="00722616">
        <w:rPr>
          <w:rFonts w:asciiTheme="minorHAnsi" w:hAnsiTheme="minorHAnsi" w:cs="Times New Roman"/>
        </w:rPr>
        <w:t>нвестиционни</w:t>
      </w:r>
      <w:r w:rsidR="00FA0C25" w:rsidRPr="00722616">
        <w:rPr>
          <w:rFonts w:asciiTheme="minorHAnsi" w:hAnsiTheme="minorHAnsi" w:cs="Times New Roman"/>
        </w:rPr>
        <w:t xml:space="preserve"> </w:t>
      </w:r>
      <w:r w:rsidR="002705A6" w:rsidRPr="00722616">
        <w:rPr>
          <w:rFonts w:asciiTheme="minorHAnsi" w:hAnsiTheme="minorHAnsi" w:cs="Times New Roman"/>
        </w:rPr>
        <w:t>приоритети</w:t>
      </w:r>
      <w:r w:rsidR="00280CB9" w:rsidRPr="00722616">
        <w:rPr>
          <w:rFonts w:asciiTheme="minorHAnsi" w:hAnsiTheme="minorHAnsi" w:cs="Times New Roman"/>
        </w:rPr>
        <w:t xml:space="preserve"> в сектор Околна среда</w:t>
      </w:r>
      <w:bookmarkEnd w:id="68"/>
    </w:p>
    <w:p w:rsidR="008E4057" w:rsidRDefault="008E4057" w:rsidP="00581323">
      <w:pPr>
        <w:keepNext/>
        <w:keepLines/>
        <w:spacing w:before="120" w:after="120"/>
        <w:jc w:val="both"/>
        <w:outlineLvl w:val="2"/>
        <w:rPr>
          <w:rFonts w:ascii="Calibri" w:eastAsia="Calibri" w:hAnsi="Calibri" w:cs="Times New Roman"/>
          <w:color w:val="243F60"/>
          <w:sz w:val="24"/>
          <w:szCs w:val="24"/>
        </w:rPr>
      </w:pPr>
      <w:bookmarkStart w:id="69" w:name="_Toc399494533"/>
      <w:r w:rsidRPr="00722616">
        <w:rPr>
          <w:rFonts w:ascii="Calibri" w:eastAsia="Calibri" w:hAnsi="Calibri" w:cs="Times New Roman"/>
          <w:color w:val="243F60"/>
          <w:sz w:val="24"/>
          <w:szCs w:val="24"/>
        </w:rPr>
        <w:t>1.4.1. Предлагане на финансови инструменти за финансиране на проекти в сектор Околна среда</w:t>
      </w:r>
      <w:bookmarkEnd w:id="69"/>
    </w:p>
    <w:p w:rsidR="00BC7AE2" w:rsidRPr="00A74967" w:rsidRDefault="00BC7AE2" w:rsidP="00BC7AE2">
      <w:pPr>
        <w:jc w:val="both"/>
      </w:pPr>
      <w:r w:rsidRPr="00A74967">
        <w:t xml:space="preserve">Източниците за финансиране на програми (проекти) в областта на опазване на околната среда са национални (български) или международни организации, фондове, механизми и други, които осъществяват директни инвестиции, посредством: бюджетни субсидии, безвъзмездни помощи и дарения, заеми при облекчени условия за реализиране на проекти в областта на опазването на околната среда, непреки инвестиции и др.  </w:t>
      </w:r>
    </w:p>
    <w:p w:rsidR="008E4057" w:rsidRDefault="00BC7AE2" w:rsidP="008E4057">
      <w:pPr>
        <w:keepNext/>
        <w:keepLines/>
        <w:spacing w:before="120" w:after="120"/>
        <w:outlineLvl w:val="2"/>
        <w:rPr>
          <w:rFonts w:ascii="Calibri" w:eastAsia="Calibri" w:hAnsi="Calibri" w:cs="Times New Roman"/>
          <w:color w:val="243F60"/>
          <w:sz w:val="24"/>
          <w:szCs w:val="24"/>
        </w:rPr>
      </w:pPr>
      <w:bookmarkStart w:id="70" w:name="_Toc399494534"/>
      <w:r>
        <w:rPr>
          <w:rFonts w:ascii="Calibri" w:eastAsia="Calibri" w:hAnsi="Calibri" w:cs="Times New Roman"/>
          <w:color w:val="243F60"/>
          <w:sz w:val="24"/>
          <w:szCs w:val="24"/>
        </w:rPr>
        <w:t>1.4.1.1. Финансови инструменти от български институции</w:t>
      </w:r>
      <w:bookmarkEnd w:id="70"/>
    </w:p>
    <w:p w:rsidR="00BC7AE2" w:rsidRPr="00A74967" w:rsidRDefault="00BC7AE2" w:rsidP="001A036E">
      <w:pPr>
        <w:numPr>
          <w:ilvl w:val="0"/>
          <w:numId w:val="50"/>
        </w:numPr>
        <w:rPr>
          <w:rFonts w:ascii="Calibri" w:eastAsia="Calibri" w:hAnsi="Calibri" w:cs="Times New Roman"/>
          <w:b/>
          <w:color w:val="4F81BD"/>
        </w:rPr>
      </w:pPr>
      <w:r w:rsidRPr="00A74967">
        <w:rPr>
          <w:rFonts w:ascii="Calibri" w:eastAsia="Calibri" w:hAnsi="Calibri" w:cs="Times New Roman"/>
          <w:b/>
          <w:color w:val="4F81BD"/>
        </w:rPr>
        <w:t xml:space="preserve">Предприятие за управление на дейностите по опазване на околната среда </w:t>
      </w:r>
      <w:r>
        <w:rPr>
          <w:rFonts w:ascii="Calibri" w:eastAsia="Calibri" w:hAnsi="Calibri" w:cs="Times New Roman"/>
          <w:b/>
          <w:color w:val="4F81BD"/>
        </w:rPr>
        <w:t>(</w:t>
      </w:r>
      <w:r w:rsidRPr="00A74967">
        <w:rPr>
          <w:rFonts w:ascii="Calibri" w:eastAsia="Calibri" w:hAnsi="Calibri" w:cs="Times New Roman"/>
          <w:b/>
          <w:color w:val="4F81BD"/>
        </w:rPr>
        <w:t>ПУДООС</w:t>
      </w:r>
      <w:r>
        <w:rPr>
          <w:rFonts w:ascii="Calibri" w:eastAsia="Calibri" w:hAnsi="Calibri" w:cs="Times New Roman"/>
          <w:b/>
          <w:color w:val="4F81BD"/>
        </w:rPr>
        <w:t>)</w:t>
      </w:r>
    </w:p>
    <w:p w:rsidR="00BC7AE2" w:rsidRPr="00A74967" w:rsidRDefault="00BC7AE2" w:rsidP="00BC7AE2">
      <w:pPr>
        <w:jc w:val="both"/>
      </w:pPr>
      <w:r w:rsidRPr="00A74967">
        <w:t xml:space="preserve">Предприятието за управление на дейностите по опазване на околната среда </w:t>
      </w:r>
      <w:r>
        <w:t xml:space="preserve">(ПУДООС) </w:t>
      </w:r>
      <w:r w:rsidRPr="00A74967">
        <w:t xml:space="preserve">е създадено със Закона за опазване на околната среда. </w:t>
      </w:r>
      <w:r>
        <w:t>ПУДООС</w:t>
      </w:r>
      <w:r w:rsidRPr="00A74967">
        <w:t xml:space="preserve"> контролира разходването на средствата, отпускани на </w:t>
      </w:r>
      <w:r>
        <w:t>националния доверителен еко-фонд (</w:t>
      </w:r>
      <w:r w:rsidRPr="00A74967">
        <w:t>НДЕФ</w:t>
      </w:r>
      <w:r>
        <w:t>)</w:t>
      </w:r>
      <w:r w:rsidRPr="00A74967">
        <w:t xml:space="preserve"> по договорите за финансиране на проектите по Националната схема за зелени инвестиции (НСЗИ), включително разходите за административни нужди по прилагането на НСЗИ.</w:t>
      </w:r>
    </w:p>
    <w:p w:rsidR="00BC7AE2" w:rsidRDefault="00BC7AE2" w:rsidP="00BC7AE2">
      <w:pPr>
        <w:rPr>
          <w:lang w:val="en-US"/>
        </w:rPr>
      </w:pPr>
      <w:r w:rsidRPr="00A74967">
        <w:t xml:space="preserve">Предприятието предоставя средства под формата на:  </w:t>
      </w:r>
    </w:p>
    <w:p w:rsidR="00722616" w:rsidRPr="00722616" w:rsidRDefault="00722616" w:rsidP="00BC7AE2">
      <w:pPr>
        <w:rPr>
          <w:lang w:val="en-US"/>
        </w:rPr>
      </w:pPr>
    </w:p>
    <w:p w:rsidR="00BC7AE2" w:rsidRPr="00A74967" w:rsidRDefault="00BC7AE2" w:rsidP="001A036E">
      <w:pPr>
        <w:numPr>
          <w:ilvl w:val="0"/>
          <w:numId w:val="51"/>
        </w:numPr>
        <w:spacing w:after="0"/>
      </w:pPr>
      <w:r w:rsidRPr="00A74967">
        <w:t xml:space="preserve">безвъзмездни помощи; </w:t>
      </w:r>
    </w:p>
    <w:p w:rsidR="00BC7AE2" w:rsidRPr="00A74967" w:rsidRDefault="00BC7AE2" w:rsidP="001A036E">
      <w:pPr>
        <w:numPr>
          <w:ilvl w:val="0"/>
          <w:numId w:val="51"/>
        </w:numPr>
        <w:spacing w:after="0"/>
      </w:pPr>
      <w:r w:rsidRPr="00A74967">
        <w:t xml:space="preserve">безлихвени или нисколихвени заеми;  </w:t>
      </w:r>
    </w:p>
    <w:p w:rsidR="00BC7AE2" w:rsidRPr="00A74967" w:rsidRDefault="00BC7AE2" w:rsidP="001A036E">
      <w:pPr>
        <w:numPr>
          <w:ilvl w:val="0"/>
          <w:numId w:val="51"/>
        </w:numPr>
        <w:spacing w:after="0"/>
      </w:pPr>
      <w:r w:rsidRPr="00A74967">
        <w:t xml:space="preserve">субсидии за покриване на част или пълния размер на дължими лихви по банкови кредити, отпуснати за реализация на екологични проекти и обекти.  </w:t>
      </w:r>
    </w:p>
    <w:p w:rsidR="00BC7AE2" w:rsidRPr="00A74967" w:rsidRDefault="00BC7AE2" w:rsidP="00BC7AE2">
      <w:pPr>
        <w:spacing w:before="240"/>
      </w:pPr>
      <w:r w:rsidRPr="00A74967">
        <w:t>Средствата от предприятието се разходват за:</w:t>
      </w:r>
    </w:p>
    <w:p w:rsidR="00BC7AE2" w:rsidRPr="00A74967" w:rsidRDefault="00BC7AE2" w:rsidP="001A036E">
      <w:pPr>
        <w:numPr>
          <w:ilvl w:val="0"/>
          <w:numId w:val="52"/>
        </w:numPr>
        <w:spacing w:after="0"/>
        <w:jc w:val="both"/>
      </w:pPr>
      <w:r w:rsidRPr="00A74967">
        <w:lastRenderedPageBreak/>
        <w:t xml:space="preserve">реализация на инвестиционни екологични проекти; </w:t>
      </w:r>
    </w:p>
    <w:p w:rsidR="00BC7AE2" w:rsidRPr="00A74967" w:rsidRDefault="00BC7AE2" w:rsidP="001A036E">
      <w:pPr>
        <w:numPr>
          <w:ilvl w:val="0"/>
          <w:numId w:val="52"/>
        </w:numPr>
        <w:spacing w:after="0"/>
        <w:jc w:val="both"/>
      </w:pPr>
      <w:r w:rsidRPr="00A74967">
        <w:t xml:space="preserve">осъществяване на неинвестиционни проекти и дейности за опазване и възстановяване на околната среда; </w:t>
      </w:r>
    </w:p>
    <w:p w:rsidR="00BC7AE2" w:rsidRPr="00A74967" w:rsidRDefault="00BC7AE2" w:rsidP="001A036E">
      <w:pPr>
        <w:numPr>
          <w:ilvl w:val="0"/>
          <w:numId w:val="52"/>
        </w:numPr>
        <w:spacing w:after="0"/>
        <w:jc w:val="both"/>
      </w:pPr>
      <w:r w:rsidRPr="00A74967">
        <w:t xml:space="preserve">научни разработки и изследвания с приложен характер, възложени от Министерство на околната среда и водите; </w:t>
      </w:r>
    </w:p>
    <w:p w:rsidR="00BC7AE2" w:rsidRPr="00A74967" w:rsidRDefault="00BC7AE2" w:rsidP="001A036E">
      <w:pPr>
        <w:numPr>
          <w:ilvl w:val="0"/>
          <w:numId w:val="52"/>
        </w:numPr>
        <w:spacing w:after="0"/>
        <w:jc w:val="both"/>
      </w:pPr>
      <w:r w:rsidRPr="00A74967">
        <w:t xml:space="preserve">заплащане на услуги от научен и технически характер, експертизи, проучвания и екологични оценки, възложени от Министерството на околната среда и водите; </w:t>
      </w:r>
    </w:p>
    <w:p w:rsidR="00BC7AE2" w:rsidRPr="00A74967" w:rsidRDefault="00BC7AE2" w:rsidP="001A036E">
      <w:pPr>
        <w:numPr>
          <w:ilvl w:val="0"/>
          <w:numId w:val="52"/>
        </w:numPr>
        <w:spacing w:after="0"/>
        <w:jc w:val="both"/>
      </w:pPr>
      <w:r w:rsidRPr="00A74967">
        <w:t xml:space="preserve">развитие и поддържане на Националната система за мониторинг на околната среда и водите; застраховане на стационарна и подвижна техника; </w:t>
      </w:r>
    </w:p>
    <w:p w:rsidR="00BC7AE2" w:rsidRPr="00A74967" w:rsidRDefault="00BC7AE2" w:rsidP="001A036E">
      <w:pPr>
        <w:numPr>
          <w:ilvl w:val="0"/>
          <w:numId w:val="52"/>
        </w:numPr>
        <w:spacing w:after="0"/>
        <w:jc w:val="both"/>
      </w:pPr>
      <w:r w:rsidRPr="00A74967">
        <w:t xml:space="preserve">дейности, свързани с набиране на проби, мониторинг и контрол; </w:t>
      </w:r>
    </w:p>
    <w:p w:rsidR="00BC7AE2" w:rsidRPr="00A74967" w:rsidRDefault="00BC7AE2" w:rsidP="001A036E">
      <w:pPr>
        <w:numPr>
          <w:ilvl w:val="0"/>
          <w:numId w:val="52"/>
        </w:numPr>
        <w:spacing w:after="0"/>
        <w:jc w:val="both"/>
      </w:pPr>
      <w:r w:rsidRPr="00A74967">
        <w:t xml:space="preserve">провеждане и участие в конференции, симпозиуми, работни семинари, изложби, конкурси и други форуми с екологична насоченост; </w:t>
      </w:r>
    </w:p>
    <w:p w:rsidR="00BC7AE2" w:rsidRPr="00A74967" w:rsidRDefault="00BC7AE2" w:rsidP="001A036E">
      <w:pPr>
        <w:numPr>
          <w:ilvl w:val="0"/>
          <w:numId w:val="52"/>
        </w:numPr>
        <w:spacing w:after="0"/>
        <w:jc w:val="both"/>
      </w:pPr>
      <w:r w:rsidRPr="00A74967">
        <w:t xml:space="preserve">образователна и информационна дейност; </w:t>
      </w:r>
    </w:p>
    <w:p w:rsidR="00BC7AE2" w:rsidRPr="00A74967" w:rsidRDefault="00BC7AE2" w:rsidP="001A036E">
      <w:pPr>
        <w:numPr>
          <w:ilvl w:val="0"/>
          <w:numId w:val="52"/>
        </w:numPr>
        <w:spacing w:after="0"/>
        <w:jc w:val="both"/>
      </w:pPr>
      <w:r w:rsidRPr="00A74967">
        <w:t xml:space="preserve">други дейности предвидени с нормативен акт.  </w:t>
      </w:r>
    </w:p>
    <w:p w:rsidR="00BC7AE2" w:rsidRPr="00393E1D" w:rsidRDefault="00BC7AE2" w:rsidP="00BC7AE2">
      <w:pPr>
        <w:spacing w:before="240"/>
      </w:pPr>
      <w:r w:rsidRPr="00BC7AE2">
        <w:rPr>
          <w:b/>
        </w:rPr>
        <w:t>В сектор Управление на водите</w:t>
      </w:r>
      <w:r>
        <w:t>, ПУДООС финансира</w:t>
      </w:r>
      <w:r>
        <w:rPr>
          <w:rStyle w:val="FootnoteReference"/>
        </w:rPr>
        <w:footnoteReference w:id="39"/>
      </w:r>
      <w:r>
        <w:t>:</w:t>
      </w:r>
    </w:p>
    <w:p w:rsidR="00BC7AE2" w:rsidRPr="00393E1D" w:rsidRDefault="00BC7AE2" w:rsidP="001A036E">
      <w:pPr>
        <w:numPr>
          <w:ilvl w:val="0"/>
          <w:numId w:val="53"/>
        </w:numPr>
        <w:spacing w:after="0"/>
        <w:jc w:val="both"/>
      </w:pPr>
      <w:r w:rsidRPr="00393E1D">
        <w:t>Довършване на довеждащи и главни колектори до ГПСОВ за агломерации с над 10 000 еквивалентни жители в съответствие с чл. 127 от ЗВ;</w:t>
      </w:r>
    </w:p>
    <w:p w:rsidR="00BC7AE2" w:rsidRPr="00393E1D" w:rsidRDefault="00BC7AE2" w:rsidP="001A036E">
      <w:pPr>
        <w:numPr>
          <w:ilvl w:val="0"/>
          <w:numId w:val="53"/>
        </w:numPr>
        <w:spacing w:after="0"/>
        <w:jc w:val="both"/>
      </w:pPr>
      <w:r w:rsidRPr="00393E1D">
        <w:t>Дов</w:t>
      </w:r>
      <w:r>
        <w:t>ършване на канализационни мрежи</w:t>
      </w:r>
      <w:r w:rsidRPr="00393E1D">
        <w:t>, захранващи главни и довеждащи колектори до ГПСОВ / МПСОВ за агломерации над 2 000 еквивалент жители с цел натоварване на капацитета на ГПСОВ / МПСОВ в съответствие</w:t>
      </w:r>
      <w:r>
        <w:t xml:space="preserve"> с чл. 127 от ЗВ</w:t>
      </w:r>
      <w:r w:rsidRPr="00393E1D">
        <w:t>;</w:t>
      </w:r>
    </w:p>
    <w:p w:rsidR="00BC7AE2" w:rsidRPr="00393E1D" w:rsidRDefault="00BC7AE2" w:rsidP="001A036E">
      <w:pPr>
        <w:numPr>
          <w:ilvl w:val="0"/>
          <w:numId w:val="53"/>
        </w:numPr>
        <w:spacing w:after="0"/>
        <w:jc w:val="both"/>
      </w:pPr>
      <w:r w:rsidRPr="00393E1D">
        <w:t>Довършване на  малки водопроводни проекти, по прекратени договори – в следствие от решение на УС на ПУДООС както и водопроводни обекти с приключено етапно финансир</w:t>
      </w:r>
      <w:r>
        <w:t>ане със средства от ДБ и ПУДООС</w:t>
      </w:r>
      <w:r w:rsidRPr="00393E1D">
        <w:t>, на които остава по-малко от 50 % за завършване в съответствие с подадено актуализирано заявление и актуализиран работен проект, съгласно действащите законови изисквания на ЗВ , ЗУТ и ЗОП .</w:t>
      </w:r>
    </w:p>
    <w:p w:rsidR="00BC7AE2" w:rsidRPr="00393E1D" w:rsidRDefault="00BC7AE2" w:rsidP="001A036E">
      <w:pPr>
        <w:numPr>
          <w:ilvl w:val="0"/>
          <w:numId w:val="53"/>
        </w:numPr>
        <w:spacing w:after="0"/>
        <w:jc w:val="both"/>
      </w:pPr>
      <w:r>
        <w:t>Финансиране или съфинансиране на обекти или</w:t>
      </w:r>
      <w:r w:rsidRPr="00393E1D">
        <w:t xml:space="preserve"> съпътстващи обекти, финансирани със средства от Европ</w:t>
      </w:r>
      <w:r>
        <w:t>ейския съюз или други източници.</w:t>
      </w:r>
    </w:p>
    <w:p w:rsidR="00BC7AE2" w:rsidRPr="00393E1D" w:rsidRDefault="00BC7AE2" w:rsidP="001A036E">
      <w:pPr>
        <w:numPr>
          <w:ilvl w:val="0"/>
          <w:numId w:val="53"/>
        </w:numPr>
        <w:spacing w:after="0"/>
        <w:jc w:val="both"/>
      </w:pPr>
      <w:r>
        <w:t>О</w:t>
      </w:r>
      <w:r w:rsidRPr="00393E1D">
        <w:t>тносно приоритет „Довършване на канализационни мрежи, захранващи главни и довеждащи колектори до ГПСОВ / МПСОВ за агломерации над 2 000 еквивалент жители с цел натоварване на капацитета на ГПСОВ / МПСОВ в съответствие с чл. 127 от ЗВ разпределението на финансовия ресурс, явяващ се приход по Закона за водите, който ще бъде използван за финансиране на проекти по цитирания приоритет е както следва:</w:t>
      </w:r>
    </w:p>
    <w:p w:rsidR="00BC7AE2" w:rsidRPr="00393E1D" w:rsidRDefault="00BC7AE2" w:rsidP="001A036E">
      <w:pPr>
        <w:numPr>
          <w:ilvl w:val="1"/>
          <w:numId w:val="54"/>
        </w:numPr>
        <w:spacing w:after="0"/>
        <w:jc w:val="both"/>
      </w:pPr>
      <w:r w:rsidRPr="00393E1D">
        <w:t>За финансиране на проекти в агломерации между 2 000 и 10 000 екв.</w:t>
      </w:r>
      <w:r>
        <w:t xml:space="preserve"> </w:t>
      </w:r>
      <w:r w:rsidRPr="00393E1D">
        <w:t>жители до 40 %</w:t>
      </w:r>
      <w:r>
        <w:t xml:space="preserve"> от финансовия ресурс на ПУДООС</w:t>
      </w:r>
      <w:r w:rsidRPr="00393E1D">
        <w:t>, явяващ се годишен приход от такси и наказателни постановления по Закона за Водите.</w:t>
      </w:r>
    </w:p>
    <w:p w:rsidR="00BC7AE2" w:rsidRPr="00393E1D" w:rsidRDefault="00BC7AE2" w:rsidP="001A036E">
      <w:pPr>
        <w:numPr>
          <w:ilvl w:val="1"/>
          <w:numId w:val="54"/>
        </w:numPr>
        <w:spacing w:after="0"/>
        <w:jc w:val="both"/>
      </w:pPr>
      <w:r w:rsidRPr="00393E1D">
        <w:t>За финансиране на проекти в агломерации над 10 000 екв.</w:t>
      </w:r>
      <w:r>
        <w:t xml:space="preserve"> </w:t>
      </w:r>
      <w:r w:rsidRPr="00393E1D">
        <w:t>жители до 60 % от финансовия ресурс на ПУДООС, явяващ се годишен приход от такси и наказателни постановления по Закона за Водите.</w:t>
      </w:r>
    </w:p>
    <w:p w:rsidR="00BC7AE2" w:rsidRPr="003433EE" w:rsidRDefault="00BC7AE2" w:rsidP="00BC7AE2">
      <w:pPr>
        <w:spacing w:before="240"/>
        <w:rPr>
          <w:rFonts w:ascii="Calibri" w:eastAsia="Calibri" w:hAnsi="Calibri" w:cs="Times New Roman"/>
        </w:rPr>
      </w:pPr>
      <w:r w:rsidRPr="00BC7AE2">
        <w:rPr>
          <w:rFonts w:ascii="Calibri" w:eastAsia="Calibri" w:hAnsi="Calibri" w:cs="Times New Roman"/>
          <w:b/>
        </w:rPr>
        <w:lastRenderedPageBreak/>
        <w:t>В сектор Управление на отпадъците</w:t>
      </w:r>
      <w:r w:rsidRPr="003433EE">
        <w:rPr>
          <w:rFonts w:ascii="Calibri" w:eastAsia="Calibri" w:hAnsi="Calibri" w:cs="Times New Roman"/>
        </w:rPr>
        <w:t>, ПУДООС финансира</w:t>
      </w:r>
      <w:r w:rsidRPr="003433EE">
        <w:rPr>
          <w:rFonts w:ascii="Calibri" w:eastAsia="Calibri" w:hAnsi="Calibri" w:cs="Times New Roman"/>
          <w:vertAlign w:val="superscript"/>
        </w:rPr>
        <w:footnoteReference w:id="40"/>
      </w:r>
      <w:r w:rsidRPr="003433EE">
        <w:rPr>
          <w:rFonts w:ascii="Calibri" w:eastAsia="Calibri" w:hAnsi="Calibri" w:cs="Times New Roman"/>
        </w:rPr>
        <w:t>:</w:t>
      </w:r>
    </w:p>
    <w:p w:rsidR="00BC7AE2" w:rsidRPr="003433EE" w:rsidRDefault="00BC7AE2" w:rsidP="001A036E">
      <w:pPr>
        <w:numPr>
          <w:ilvl w:val="0"/>
          <w:numId w:val="55"/>
        </w:numPr>
        <w:spacing w:after="0"/>
        <w:jc w:val="both"/>
        <w:rPr>
          <w:rFonts w:ascii="Calibri" w:eastAsia="Calibri" w:hAnsi="Calibri" w:cs="Times New Roman"/>
        </w:rPr>
      </w:pPr>
      <w:r w:rsidRPr="003433EE">
        <w:rPr>
          <w:rFonts w:ascii="Calibri" w:eastAsia="Calibri" w:hAnsi="Calibri" w:cs="Times New Roman"/>
        </w:rPr>
        <w:t xml:space="preserve">Довършване на депа за твърди битови отпадъци или разширение на съществуващи регионални депа, които са останали без възможност за финансиране в системата на 24-те нови регионални депа по ОП „Околна среда” 2007 – 2013 г. </w:t>
      </w:r>
    </w:p>
    <w:p w:rsidR="00BC7AE2" w:rsidRPr="003433EE" w:rsidRDefault="00BC7AE2" w:rsidP="001A036E">
      <w:pPr>
        <w:numPr>
          <w:ilvl w:val="0"/>
          <w:numId w:val="55"/>
        </w:numPr>
        <w:spacing w:after="0"/>
        <w:jc w:val="both"/>
        <w:rPr>
          <w:rFonts w:ascii="Calibri" w:eastAsia="Calibri" w:hAnsi="Calibri" w:cs="Times New Roman"/>
        </w:rPr>
      </w:pPr>
      <w:r w:rsidRPr="003433EE">
        <w:rPr>
          <w:rFonts w:ascii="Calibri" w:eastAsia="Calibri" w:hAnsi="Calibri" w:cs="Times New Roman"/>
        </w:rPr>
        <w:t>Оптимизиране на системи за организирано събиране и транспортиране на ТБО от населените места в съответствие с Националната програма за дейностите по управление на отпадъците 2007 – 2013 г., в сила до края на 2013 г. и Националната програма за дейностите по управление на отпадъците 2014 – 2020 г. (Финансиране се осигурява само под формата на безлихвен заем).</w:t>
      </w:r>
    </w:p>
    <w:p w:rsidR="00BC7AE2" w:rsidRPr="003433EE" w:rsidRDefault="00BC7AE2" w:rsidP="001A036E">
      <w:pPr>
        <w:numPr>
          <w:ilvl w:val="0"/>
          <w:numId w:val="55"/>
        </w:numPr>
        <w:spacing w:after="0"/>
        <w:jc w:val="both"/>
        <w:rPr>
          <w:rFonts w:ascii="Calibri" w:eastAsia="Calibri" w:hAnsi="Calibri" w:cs="Times New Roman"/>
        </w:rPr>
      </w:pPr>
      <w:r w:rsidRPr="003433EE">
        <w:rPr>
          <w:rFonts w:ascii="Calibri" w:eastAsia="Calibri" w:hAnsi="Calibri" w:cs="Times New Roman"/>
        </w:rPr>
        <w:t>Рекултивация на стари общински депа (съответстващи на изискванията на ПМС № 209 / 20.08.2009 г.)</w:t>
      </w:r>
    </w:p>
    <w:p w:rsidR="00BC7AE2" w:rsidRPr="003433EE" w:rsidRDefault="00BC7AE2" w:rsidP="001A036E">
      <w:pPr>
        <w:numPr>
          <w:ilvl w:val="0"/>
          <w:numId w:val="55"/>
        </w:numPr>
        <w:spacing w:after="0"/>
        <w:jc w:val="both"/>
        <w:rPr>
          <w:rFonts w:ascii="Calibri" w:eastAsia="Calibri" w:hAnsi="Calibri" w:cs="Times New Roman"/>
        </w:rPr>
      </w:pPr>
      <w:r w:rsidRPr="003433EE">
        <w:rPr>
          <w:rFonts w:ascii="Calibri" w:eastAsia="Calibri" w:hAnsi="Calibri" w:cs="Times New Roman"/>
        </w:rPr>
        <w:t>Финансиране или съфинансиране на обекти, изпълнявани със средства от Европейския съюз или други източници.</w:t>
      </w:r>
    </w:p>
    <w:p w:rsidR="00BC7AE2" w:rsidRPr="003433EE" w:rsidRDefault="00BC7AE2" w:rsidP="002E205E">
      <w:pPr>
        <w:spacing w:before="240"/>
        <w:jc w:val="both"/>
        <w:rPr>
          <w:rFonts w:ascii="Calibri" w:eastAsia="Calibri" w:hAnsi="Calibri" w:cs="Times New Roman"/>
          <w:b/>
        </w:rPr>
      </w:pPr>
      <w:r w:rsidRPr="003433EE">
        <w:rPr>
          <w:rFonts w:ascii="Calibri" w:eastAsia="Calibri" w:hAnsi="Calibri" w:cs="Times New Roman"/>
        </w:rPr>
        <w:t>Реализирането на проекти в областта на управление на отпадъците се подпомага със средства от ПУДООС под формата на:</w:t>
      </w:r>
    </w:p>
    <w:p w:rsidR="00BC7AE2" w:rsidRPr="003433EE" w:rsidRDefault="00BC7AE2" w:rsidP="001A036E">
      <w:pPr>
        <w:numPr>
          <w:ilvl w:val="0"/>
          <w:numId w:val="56"/>
        </w:numPr>
        <w:spacing w:after="0"/>
        <w:jc w:val="both"/>
        <w:rPr>
          <w:rFonts w:ascii="Calibri" w:eastAsia="Calibri" w:hAnsi="Calibri" w:cs="Times New Roman"/>
        </w:rPr>
      </w:pPr>
      <w:r w:rsidRPr="003433EE">
        <w:rPr>
          <w:rFonts w:ascii="Calibri" w:eastAsia="Calibri" w:hAnsi="Calibri" w:cs="Times New Roman"/>
        </w:rPr>
        <w:t>безвъзмездна помощ, която може да бъде отпускана на общини и регионални сдружения на общини , в размер до 100 %;</w:t>
      </w:r>
    </w:p>
    <w:p w:rsidR="00BC7AE2" w:rsidRPr="003433EE" w:rsidRDefault="00BC7AE2" w:rsidP="001A036E">
      <w:pPr>
        <w:numPr>
          <w:ilvl w:val="0"/>
          <w:numId w:val="56"/>
        </w:numPr>
        <w:spacing w:after="0"/>
        <w:jc w:val="both"/>
        <w:rPr>
          <w:rFonts w:ascii="Calibri" w:eastAsia="Calibri" w:hAnsi="Calibri" w:cs="Times New Roman"/>
        </w:rPr>
      </w:pPr>
      <w:r w:rsidRPr="003433EE">
        <w:rPr>
          <w:rFonts w:ascii="Calibri" w:eastAsia="Calibri" w:hAnsi="Calibri" w:cs="Times New Roman"/>
        </w:rPr>
        <w:t>безлихвен заем, който може да бъде отпускан на общини в размер до 100% и на търговски дружества и еднолични търговци в размер до 70% от общата стойност на проекта;</w:t>
      </w:r>
    </w:p>
    <w:p w:rsidR="00BC7AE2" w:rsidRPr="003433EE" w:rsidRDefault="00BC7AE2" w:rsidP="001A036E">
      <w:pPr>
        <w:numPr>
          <w:ilvl w:val="0"/>
          <w:numId w:val="56"/>
        </w:numPr>
        <w:spacing w:after="0"/>
        <w:jc w:val="both"/>
        <w:rPr>
          <w:rFonts w:ascii="Calibri" w:eastAsia="Calibri" w:hAnsi="Calibri" w:cs="Times New Roman"/>
        </w:rPr>
      </w:pPr>
      <w:r w:rsidRPr="003433EE">
        <w:rPr>
          <w:rFonts w:ascii="Calibri" w:eastAsia="Calibri" w:hAnsi="Calibri" w:cs="Times New Roman"/>
        </w:rPr>
        <w:t>предоставяне на средства,   акумулирани   от   продуктови   такси, с цел обезпечаване дейността на системи за събиране, транспортиране, оползотворяване и/ или обезвреждане на опасни и масово разпространени отпадъци;</w:t>
      </w:r>
    </w:p>
    <w:p w:rsidR="00BC7AE2" w:rsidRPr="003433EE" w:rsidRDefault="00BC7AE2" w:rsidP="001A036E">
      <w:pPr>
        <w:numPr>
          <w:ilvl w:val="0"/>
          <w:numId w:val="56"/>
        </w:numPr>
        <w:spacing w:after="0"/>
        <w:jc w:val="both"/>
        <w:rPr>
          <w:rFonts w:ascii="Calibri" w:eastAsia="Calibri" w:hAnsi="Calibri" w:cs="Times New Roman"/>
        </w:rPr>
      </w:pPr>
      <w:r w:rsidRPr="003433EE">
        <w:rPr>
          <w:rFonts w:ascii="Calibri" w:eastAsia="Calibri" w:hAnsi="Calibri" w:cs="Times New Roman"/>
        </w:rPr>
        <w:t>предоставяне на средства за реализиране на проекти, които са публична държавна собственост, както и върху терени, които са публична държавна или публична общинска собственост и осигуряват изпълнението на поети ангажименти на Р България по международни договори и във връзка с членството на страната ни в ЕС.</w:t>
      </w:r>
    </w:p>
    <w:p w:rsidR="00BC7AE2" w:rsidRDefault="00BC7AE2" w:rsidP="002E205E">
      <w:pPr>
        <w:spacing w:after="0"/>
      </w:pPr>
    </w:p>
    <w:p w:rsidR="00BC7AE2" w:rsidRDefault="00581323" w:rsidP="00581323">
      <w:pPr>
        <w:jc w:val="both"/>
      </w:pPr>
      <w:r>
        <w:t xml:space="preserve">Прогнозните разходи на ПУДООС за </w:t>
      </w:r>
      <w:r w:rsidRPr="00581323">
        <w:t>Финансиране на и</w:t>
      </w:r>
      <w:r>
        <w:t>нвестиционни екологични обекти и  безвъзмездна помощ</w:t>
      </w:r>
      <w:r w:rsidRPr="00581323">
        <w:t xml:space="preserve"> на общини и фирми</w:t>
      </w:r>
      <w:r>
        <w:t xml:space="preserve"> за периода 2014-2016 г. са представени на следващата фигура:</w:t>
      </w:r>
    </w:p>
    <w:p w:rsidR="00581323" w:rsidRDefault="00581323" w:rsidP="00A82D1C">
      <w:pPr>
        <w:pStyle w:val="Caption"/>
        <w:keepNext/>
        <w:spacing w:after="240"/>
        <w:jc w:val="center"/>
      </w:pPr>
      <w:bookmarkStart w:id="71" w:name="_Toc399494601"/>
      <w:r>
        <w:lastRenderedPageBreak/>
        <w:t xml:space="preserve">Фигура </w:t>
      </w:r>
      <w:r w:rsidR="008E6461">
        <w:fldChar w:fldCharType="begin"/>
      </w:r>
      <w:r w:rsidR="00A821AF">
        <w:instrText xml:space="preserve"> SEQ фигура \* ARABIC </w:instrText>
      </w:r>
      <w:r w:rsidR="008E6461">
        <w:fldChar w:fldCharType="separate"/>
      </w:r>
      <w:r w:rsidR="003A69A7">
        <w:rPr>
          <w:noProof/>
        </w:rPr>
        <w:t>16</w:t>
      </w:r>
      <w:r w:rsidR="008E6461">
        <w:rPr>
          <w:noProof/>
        </w:rPr>
        <w:fldChar w:fldCharType="end"/>
      </w:r>
      <w:r>
        <w:t xml:space="preserve">: </w:t>
      </w:r>
      <w:r w:rsidRPr="00581323">
        <w:t>Финансиране на инвестиционни екологични обекти. Безвъзмездни помощи на общини и фирми</w:t>
      </w:r>
      <w:bookmarkEnd w:id="71"/>
    </w:p>
    <w:p w:rsidR="002E205E" w:rsidRDefault="002E205E" w:rsidP="00581323">
      <w:pPr>
        <w:jc w:val="center"/>
      </w:pPr>
      <w:r>
        <w:rPr>
          <w:noProof/>
          <w:lang w:eastAsia="bg-BG"/>
        </w:rPr>
        <w:drawing>
          <wp:inline distT="0" distB="0" distL="0" distR="0">
            <wp:extent cx="5166269" cy="3209925"/>
            <wp:effectExtent l="1905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3" cstate="print"/>
                    <a:srcRect/>
                    <a:stretch>
                      <a:fillRect/>
                    </a:stretch>
                  </pic:blipFill>
                  <pic:spPr bwMode="auto">
                    <a:xfrm>
                      <a:off x="0" y="0"/>
                      <a:ext cx="5164687" cy="3208942"/>
                    </a:xfrm>
                    <a:prstGeom prst="rect">
                      <a:avLst/>
                    </a:prstGeom>
                    <a:noFill/>
                  </pic:spPr>
                </pic:pic>
              </a:graphicData>
            </a:graphic>
          </wp:inline>
        </w:drawing>
      </w:r>
    </w:p>
    <w:p w:rsidR="00581323" w:rsidRPr="00581323" w:rsidRDefault="00581323" w:rsidP="00581323">
      <w:pPr>
        <w:ind w:left="851"/>
        <w:rPr>
          <w:i/>
          <w:sz w:val="20"/>
          <w:szCs w:val="20"/>
        </w:rPr>
      </w:pPr>
      <w:r w:rsidRPr="00581323">
        <w:rPr>
          <w:i/>
          <w:sz w:val="20"/>
          <w:szCs w:val="20"/>
        </w:rPr>
        <w:t>Източник:</w:t>
      </w:r>
      <w:r w:rsidRPr="00581323">
        <w:rPr>
          <w:sz w:val="20"/>
          <w:szCs w:val="20"/>
        </w:rPr>
        <w:t xml:space="preserve"> </w:t>
      </w:r>
      <w:hyperlink r:id="rId54" w:history="1">
        <w:r w:rsidRPr="00581323">
          <w:rPr>
            <w:rStyle w:val="Hyperlink"/>
            <w:i/>
            <w:sz w:val="20"/>
            <w:szCs w:val="20"/>
          </w:rPr>
          <w:t>http://pudoos.bg/%D0%BF%D0%BB%D0%B0%D0%BD-%D1%81%D0%BC%D0%B5%D1%82%D0%BA%D0%B8</w:t>
        </w:r>
      </w:hyperlink>
      <w:r w:rsidRPr="00581323">
        <w:rPr>
          <w:i/>
          <w:sz w:val="20"/>
          <w:szCs w:val="20"/>
        </w:rPr>
        <w:t xml:space="preserve"> </w:t>
      </w:r>
    </w:p>
    <w:p w:rsidR="00BC7AE2" w:rsidRPr="00A74967" w:rsidRDefault="00BC7AE2" w:rsidP="00BC7AE2"/>
    <w:p w:rsidR="00581323" w:rsidRDefault="00581323" w:rsidP="001A036E">
      <w:pPr>
        <w:numPr>
          <w:ilvl w:val="0"/>
          <w:numId w:val="50"/>
        </w:numPr>
      </w:pPr>
      <w:r w:rsidRPr="00E66CDB">
        <w:rPr>
          <w:rFonts w:ascii="Calibri" w:eastAsia="Calibri" w:hAnsi="Calibri" w:cs="Times New Roman"/>
          <w:b/>
          <w:color w:val="4F81BD"/>
        </w:rPr>
        <w:t>Фонд за органите на местното самоуправление в България - ФЛАГ ЕАД</w:t>
      </w:r>
      <w:r w:rsidRPr="0056406A">
        <w:t> </w:t>
      </w:r>
    </w:p>
    <w:p w:rsidR="00581323" w:rsidRPr="00BD555F" w:rsidRDefault="00581323" w:rsidP="00581323">
      <w:pPr>
        <w:jc w:val="both"/>
      </w:pPr>
      <w:r>
        <w:t xml:space="preserve">Фондът </w:t>
      </w:r>
      <w:r w:rsidRPr="0056406A">
        <w:t>е създаден на основание Разпореждане № 4 на Министерския съвет на Република България от 7 март 2007 г. като инструмент на държавната политика за регионално развитие</w:t>
      </w:r>
      <w:r>
        <w:t>, който се съфинансира от ЕБВР</w:t>
      </w:r>
      <w:r w:rsidRPr="0056406A">
        <w:t>.</w:t>
      </w:r>
      <w:r>
        <w:t xml:space="preserve"> </w:t>
      </w:r>
      <w:r w:rsidRPr="00BD555F">
        <w:rPr>
          <w:rFonts w:ascii="Arial" w:hAnsi="Arial" w:cs="Arial"/>
          <w:color w:val="000000"/>
          <w:shd w:val="clear" w:color="auto" w:fill="FCFCFC"/>
        </w:rPr>
        <w:t>Ф</w:t>
      </w:r>
      <w:r w:rsidRPr="00BD555F">
        <w:t>ондът отпуска заеми на </w:t>
      </w:r>
      <w:r w:rsidRPr="00BD555F">
        <w:rPr>
          <w:bCs/>
        </w:rPr>
        <w:t>общини</w:t>
      </w:r>
      <w:r w:rsidRPr="00BD555F">
        <w:t> и на </w:t>
      </w:r>
      <w:r w:rsidRPr="00BD555F">
        <w:rPr>
          <w:bCs/>
        </w:rPr>
        <w:t>общински дружества,</w:t>
      </w:r>
      <w:r w:rsidRPr="00BD555F">
        <w:t xml:space="preserve">  които изпълняват проекти, одобрени от Управляващите органи на ОП</w:t>
      </w:r>
      <w:r>
        <w:t>ОС</w:t>
      </w:r>
      <w:r w:rsidRPr="00BD555F">
        <w:t>/ПРСР, както и на общини за подготовка на проектни предложения. ФЛАГ определя цената на всеки един кредит в зависимост от конкретното искане за кредит. Цената на всеки кредит се сумира от следните елементи:</w:t>
      </w:r>
    </w:p>
    <w:p w:rsidR="00581323" w:rsidRPr="00BD555F" w:rsidRDefault="00581323" w:rsidP="001A036E">
      <w:pPr>
        <w:numPr>
          <w:ilvl w:val="0"/>
          <w:numId w:val="57"/>
        </w:numPr>
        <w:spacing w:after="0"/>
        <w:jc w:val="both"/>
      </w:pPr>
      <w:r w:rsidRPr="00BD555F">
        <w:t>Шестмесечна стойност на EURIBOR;</w:t>
      </w:r>
    </w:p>
    <w:p w:rsidR="00581323" w:rsidRPr="00BD555F" w:rsidRDefault="00581323" w:rsidP="001A036E">
      <w:pPr>
        <w:numPr>
          <w:ilvl w:val="0"/>
          <w:numId w:val="57"/>
        </w:numPr>
        <w:spacing w:after="0"/>
        <w:jc w:val="both"/>
      </w:pPr>
      <w:r w:rsidRPr="00BD555F">
        <w:t>Марж на ФЛАГ </w:t>
      </w:r>
      <w:r>
        <w:t xml:space="preserve"> - включва</w:t>
      </w:r>
      <w:r w:rsidRPr="00BD555F">
        <w:t xml:space="preserve"> марж на привлечения и на собствения капитал, както и административни разходи. Маржът на ФЛАГ е изчислен на 2.078%.</w:t>
      </w:r>
    </w:p>
    <w:p w:rsidR="00581323" w:rsidRPr="00BD555F" w:rsidRDefault="00581323" w:rsidP="001A036E">
      <w:pPr>
        <w:numPr>
          <w:ilvl w:val="0"/>
          <w:numId w:val="57"/>
        </w:numPr>
        <w:spacing w:after="0"/>
        <w:jc w:val="both"/>
      </w:pPr>
      <w:r w:rsidRPr="00BD555F">
        <w:t>Рискова надбавка </w:t>
      </w:r>
      <w:r>
        <w:t xml:space="preserve"> - за</w:t>
      </w:r>
      <w:r w:rsidRPr="00BD555F">
        <w:t xml:space="preserve"> изпълнение на одобрен проект и за подготовка на проектно предложение: от 0,5 до 3%;</w:t>
      </w:r>
    </w:p>
    <w:p w:rsidR="00581323" w:rsidRDefault="00581323" w:rsidP="001A036E">
      <w:pPr>
        <w:numPr>
          <w:ilvl w:val="0"/>
          <w:numId w:val="57"/>
        </w:numPr>
        <w:spacing w:after="0"/>
        <w:jc w:val="both"/>
      </w:pPr>
      <w:r w:rsidRPr="00BD555F">
        <w:t>Цената на кредита за изпълнение на одобрени от Управляващия орган проекти и за подготовка на проектни предлож</w:t>
      </w:r>
      <w:r>
        <w:t xml:space="preserve">ения варира от 2.977% до 5.477%, </w:t>
      </w:r>
      <w:r w:rsidRPr="00BD555F">
        <w:t>изчислени по стойността на шестмесечния EURIBOR към 30.01.2014 г</w:t>
      </w:r>
      <w:r>
        <w:t>.</w:t>
      </w:r>
    </w:p>
    <w:p w:rsidR="00581323" w:rsidRDefault="005C4B92" w:rsidP="005C4B92">
      <w:pPr>
        <w:spacing w:before="240" w:after="0"/>
        <w:jc w:val="both"/>
      </w:pPr>
      <w:r w:rsidRPr="005C4B92">
        <w:t>Видно от фигурата по-долу е, че към настоящия момент</w:t>
      </w:r>
      <w:r>
        <w:t xml:space="preserve"> голяма част от общините в страната са ползвали кредити от фонд Флаг, а близо половината са получили два или повече кредита:</w:t>
      </w:r>
    </w:p>
    <w:p w:rsidR="005C4B92" w:rsidRPr="005C4B92" w:rsidRDefault="005C4B92" w:rsidP="00A82D1C">
      <w:pPr>
        <w:keepNext/>
        <w:spacing w:before="240"/>
        <w:jc w:val="center"/>
        <w:rPr>
          <w:b/>
          <w:sz w:val="20"/>
          <w:szCs w:val="20"/>
        </w:rPr>
      </w:pPr>
      <w:bookmarkStart w:id="72" w:name="_Toc399494602"/>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17</w:t>
      </w:r>
      <w:r w:rsidR="008E6461" w:rsidRPr="005C4B92">
        <w:rPr>
          <w:b/>
          <w:sz w:val="20"/>
          <w:szCs w:val="20"/>
        </w:rPr>
        <w:fldChar w:fldCharType="end"/>
      </w:r>
      <w:r w:rsidRPr="005C4B92">
        <w:rPr>
          <w:b/>
          <w:sz w:val="20"/>
          <w:szCs w:val="20"/>
        </w:rPr>
        <w:t>:</w:t>
      </w:r>
      <w:r>
        <w:rPr>
          <w:b/>
          <w:sz w:val="20"/>
          <w:szCs w:val="20"/>
        </w:rPr>
        <w:t xml:space="preserve"> Структура на отпуснатите кредити от Фонд ФЛАГ по общини</w:t>
      </w:r>
      <w:bookmarkEnd w:id="72"/>
    </w:p>
    <w:p w:rsidR="00581323" w:rsidRDefault="00581323" w:rsidP="00581323">
      <w:pPr>
        <w:rPr>
          <w:rFonts w:ascii="Calibri" w:eastAsia="Calibri" w:hAnsi="Calibri" w:cs="Times New Roman"/>
          <w:b/>
          <w:color w:val="4F81BD"/>
        </w:rPr>
      </w:pPr>
      <w:r>
        <w:rPr>
          <w:noProof/>
          <w:lang w:eastAsia="bg-BG"/>
        </w:rPr>
        <w:drawing>
          <wp:inline distT="0" distB="0" distL="0" distR="0">
            <wp:extent cx="5897404" cy="3914775"/>
            <wp:effectExtent l="19050" t="0" r="8096" b="0"/>
            <wp:docPr id="64" name="Picture 16" descr="http://www.flag-bg.com/img/Map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flag-bg.com/img/Map22.png"/>
                    <pic:cNvPicPr>
                      <a:picLocks noChangeAspect="1" noChangeArrowheads="1"/>
                    </pic:cNvPicPr>
                  </pic:nvPicPr>
                  <pic:blipFill>
                    <a:blip r:embed="rId55" cstate="print"/>
                    <a:srcRect/>
                    <a:stretch>
                      <a:fillRect/>
                    </a:stretch>
                  </pic:blipFill>
                  <pic:spPr bwMode="auto">
                    <a:xfrm>
                      <a:off x="0" y="0"/>
                      <a:ext cx="5902985" cy="3918480"/>
                    </a:xfrm>
                    <a:prstGeom prst="rect">
                      <a:avLst/>
                    </a:prstGeom>
                    <a:noFill/>
                    <a:ln w="9525">
                      <a:noFill/>
                      <a:miter lim="800000"/>
                      <a:headEnd/>
                      <a:tailEnd/>
                    </a:ln>
                  </pic:spPr>
                </pic:pic>
              </a:graphicData>
            </a:graphic>
          </wp:inline>
        </w:drawing>
      </w:r>
    </w:p>
    <w:p w:rsidR="005C4B92" w:rsidRPr="005C4B92" w:rsidRDefault="005C4B92" w:rsidP="00BD617F">
      <w:pPr>
        <w:spacing w:before="240"/>
        <w:rPr>
          <w:i/>
          <w:sz w:val="20"/>
          <w:szCs w:val="20"/>
        </w:rPr>
      </w:pPr>
      <w:r w:rsidRPr="005C4B92">
        <w:rPr>
          <w:i/>
          <w:sz w:val="20"/>
          <w:szCs w:val="20"/>
        </w:rPr>
        <w:t>Източник:</w:t>
      </w:r>
      <w:r w:rsidRPr="005C4B92">
        <w:t xml:space="preserve"> </w:t>
      </w:r>
      <w:hyperlink r:id="rId56" w:history="1">
        <w:r w:rsidRPr="0079004C">
          <w:rPr>
            <w:rStyle w:val="Hyperlink"/>
            <w:i/>
            <w:sz w:val="20"/>
            <w:szCs w:val="20"/>
          </w:rPr>
          <w:t>http://www.flag-bg.com/img/Map22.png</w:t>
        </w:r>
      </w:hyperlink>
      <w:r>
        <w:rPr>
          <w:i/>
          <w:sz w:val="20"/>
          <w:szCs w:val="20"/>
        </w:rPr>
        <w:t xml:space="preserve"> </w:t>
      </w:r>
    </w:p>
    <w:p w:rsidR="005C4B92" w:rsidRDefault="005C4B92" w:rsidP="00BD617F">
      <w:pPr>
        <w:spacing w:before="240"/>
        <w:jc w:val="both"/>
      </w:pPr>
      <w:r w:rsidRPr="005C4B92">
        <w:t>Общата стойност и броят на отпуснатите кредити само в рамките на ОПОС 2007-2013 г. са представени както следва:</w:t>
      </w:r>
    </w:p>
    <w:p w:rsidR="00BD617F" w:rsidRDefault="00BD617F" w:rsidP="005C4B92">
      <w:pPr>
        <w:jc w:val="both"/>
      </w:pPr>
      <w:bookmarkStart w:id="73" w:name="_Toc399494603"/>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18</w:t>
      </w:r>
      <w:r w:rsidR="008E6461" w:rsidRPr="005C4B92">
        <w:rPr>
          <w:b/>
          <w:sz w:val="20"/>
          <w:szCs w:val="20"/>
        </w:rPr>
        <w:fldChar w:fldCharType="end"/>
      </w:r>
      <w:r w:rsidRPr="005C4B92">
        <w:rPr>
          <w:b/>
          <w:sz w:val="20"/>
          <w:szCs w:val="20"/>
        </w:rPr>
        <w:t>:</w:t>
      </w:r>
      <w:r>
        <w:rPr>
          <w:b/>
          <w:sz w:val="20"/>
          <w:szCs w:val="20"/>
        </w:rPr>
        <w:t xml:space="preserve"> Кредити на Фонд ФЛАГ по ОПОС 2007-2013 г.</w:t>
      </w:r>
      <w:bookmarkEnd w:id="73"/>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712"/>
      </w:tblGrid>
      <w:tr w:rsidR="005C4B92" w:rsidTr="00BD617F">
        <w:trPr>
          <w:trHeight w:val="3334"/>
        </w:trPr>
        <w:tc>
          <w:tcPr>
            <w:tcW w:w="4819" w:type="dxa"/>
          </w:tcPr>
          <w:p w:rsidR="005C4B92" w:rsidRDefault="005C4B92" w:rsidP="00BD617F">
            <w:pPr>
              <w:ind w:left="-142"/>
              <w:jc w:val="both"/>
            </w:pPr>
            <w:r w:rsidRPr="005C4B92">
              <w:rPr>
                <w:noProof/>
                <w:lang w:eastAsia="bg-BG"/>
              </w:rPr>
              <w:drawing>
                <wp:inline distT="0" distB="0" distL="0" distR="0">
                  <wp:extent cx="3057525" cy="2066925"/>
                  <wp:effectExtent l="19050" t="0" r="9525" b="0"/>
                  <wp:docPr id="65"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7" cstate="print"/>
                          <a:srcRect/>
                          <a:stretch>
                            <a:fillRect/>
                          </a:stretch>
                        </pic:blipFill>
                        <pic:spPr bwMode="auto">
                          <a:xfrm>
                            <a:off x="0" y="0"/>
                            <a:ext cx="3061742" cy="2069776"/>
                          </a:xfrm>
                          <a:prstGeom prst="rect">
                            <a:avLst/>
                          </a:prstGeom>
                          <a:noFill/>
                        </pic:spPr>
                      </pic:pic>
                    </a:graphicData>
                  </a:graphic>
                </wp:inline>
              </w:drawing>
            </w:r>
          </w:p>
        </w:tc>
        <w:tc>
          <w:tcPr>
            <w:tcW w:w="4819" w:type="dxa"/>
          </w:tcPr>
          <w:p w:rsidR="005C4B92" w:rsidRDefault="00BD617F" w:rsidP="00BD617F">
            <w:pPr>
              <w:ind w:left="-129"/>
              <w:jc w:val="both"/>
            </w:pPr>
            <w:r>
              <w:rPr>
                <w:noProof/>
                <w:lang w:eastAsia="bg-BG"/>
              </w:rPr>
              <w:drawing>
                <wp:inline distT="0" distB="0" distL="0" distR="0">
                  <wp:extent cx="3009900" cy="2066925"/>
                  <wp:effectExtent l="1905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8" cstate="print"/>
                          <a:srcRect/>
                          <a:stretch>
                            <a:fillRect/>
                          </a:stretch>
                        </pic:blipFill>
                        <pic:spPr bwMode="auto">
                          <a:xfrm>
                            <a:off x="0" y="0"/>
                            <a:ext cx="3016655" cy="2071564"/>
                          </a:xfrm>
                          <a:prstGeom prst="rect">
                            <a:avLst/>
                          </a:prstGeom>
                          <a:noFill/>
                        </pic:spPr>
                      </pic:pic>
                    </a:graphicData>
                  </a:graphic>
                </wp:inline>
              </w:drawing>
            </w:r>
          </w:p>
        </w:tc>
      </w:tr>
    </w:tbl>
    <w:p w:rsidR="005C4B92" w:rsidRDefault="00BD617F" w:rsidP="00BD617F">
      <w:pPr>
        <w:spacing w:before="240"/>
        <w:jc w:val="both"/>
        <w:rPr>
          <w:i/>
          <w:sz w:val="20"/>
          <w:szCs w:val="20"/>
        </w:rPr>
      </w:pPr>
      <w:r w:rsidRPr="00BD617F">
        <w:rPr>
          <w:i/>
          <w:sz w:val="20"/>
          <w:szCs w:val="20"/>
        </w:rPr>
        <w:t xml:space="preserve">Източник: </w:t>
      </w:r>
      <w:hyperlink r:id="rId59" w:history="1">
        <w:r w:rsidRPr="00BD617F">
          <w:rPr>
            <w:rStyle w:val="Hyperlink"/>
            <w:i/>
            <w:sz w:val="20"/>
            <w:szCs w:val="20"/>
          </w:rPr>
          <w:t>http://www.flag-bg.com/?id=185</w:t>
        </w:r>
      </w:hyperlink>
      <w:r w:rsidRPr="00BD617F">
        <w:rPr>
          <w:i/>
          <w:sz w:val="20"/>
          <w:szCs w:val="20"/>
        </w:rPr>
        <w:t xml:space="preserve"> </w:t>
      </w:r>
    </w:p>
    <w:p w:rsidR="00107B8E" w:rsidRPr="00BD617F" w:rsidRDefault="00107B8E" w:rsidP="00BD617F">
      <w:pPr>
        <w:spacing w:before="240"/>
        <w:jc w:val="both"/>
        <w:rPr>
          <w:i/>
          <w:sz w:val="20"/>
          <w:szCs w:val="20"/>
        </w:rPr>
      </w:pPr>
    </w:p>
    <w:p w:rsidR="00BC7AE2" w:rsidRPr="00A74967" w:rsidRDefault="00BC7AE2" w:rsidP="001A036E">
      <w:pPr>
        <w:numPr>
          <w:ilvl w:val="0"/>
          <w:numId w:val="58"/>
        </w:numPr>
        <w:rPr>
          <w:rFonts w:ascii="Calibri" w:eastAsia="Calibri" w:hAnsi="Calibri" w:cs="Times New Roman"/>
          <w:b/>
          <w:color w:val="4F81BD"/>
        </w:rPr>
      </w:pPr>
      <w:r w:rsidRPr="00A74967">
        <w:rPr>
          <w:rFonts w:ascii="Calibri" w:eastAsia="Calibri" w:hAnsi="Calibri" w:cs="Times New Roman"/>
          <w:b/>
          <w:color w:val="4F81BD"/>
        </w:rPr>
        <w:lastRenderedPageBreak/>
        <w:t>Българска банка за развитие</w:t>
      </w:r>
      <w:r w:rsidR="007544C4">
        <w:rPr>
          <w:rFonts w:ascii="Calibri" w:eastAsia="Calibri" w:hAnsi="Calibri" w:cs="Times New Roman"/>
          <w:b/>
          <w:color w:val="4F81BD"/>
        </w:rPr>
        <w:t xml:space="preserve"> </w:t>
      </w:r>
    </w:p>
    <w:p w:rsidR="007544C4" w:rsidRPr="007544C4" w:rsidRDefault="007544C4" w:rsidP="007544C4">
      <w:pPr>
        <w:spacing w:before="240"/>
        <w:jc w:val="both"/>
        <w:rPr>
          <w:rFonts w:ascii="Calibri" w:eastAsia="Calibri" w:hAnsi="Calibri" w:cs="Times New Roman"/>
        </w:rPr>
      </w:pPr>
      <w:r w:rsidRPr="007544C4">
        <w:rPr>
          <w:rFonts w:ascii="Calibri" w:eastAsia="Calibri" w:hAnsi="Calibri" w:cs="Times New Roman"/>
        </w:rPr>
        <w:t xml:space="preserve">За целите на настоящия анализ </w:t>
      </w:r>
      <w:r w:rsidRPr="00A74967">
        <w:t xml:space="preserve">Българска банка за развитие </w:t>
      </w:r>
      <w:r>
        <w:t>(</w:t>
      </w:r>
      <w:r w:rsidRPr="007544C4">
        <w:rPr>
          <w:rFonts w:ascii="Calibri" w:eastAsia="Calibri" w:hAnsi="Calibri" w:cs="Times New Roman"/>
        </w:rPr>
        <w:t>ББР</w:t>
      </w:r>
      <w:r>
        <w:rPr>
          <w:rFonts w:ascii="Calibri" w:eastAsia="Calibri" w:hAnsi="Calibri" w:cs="Times New Roman"/>
        </w:rPr>
        <w:t>)</w:t>
      </w:r>
      <w:r w:rsidRPr="007544C4">
        <w:rPr>
          <w:rFonts w:ascii="Calibri" w:eastAsia="Calibri" w:hAnsi="Calibri" w:cs="Times New Roman"/>
        </w:rPr>
        <w:t xml:space="preserve"> </w:t>
      </w:r>
      <w:r>
        <w:rPr>
          <w:rFonts w:ascii="Calibri" w:eastAsia="Calibri" w:hAnsi="Calibri" w:cs="Times New Roman"/>
        </w:rPr>
        <w:t>се разглежда във връзка с потенциалните бенефициенти в сектор Отпадъци, които могат да бъдат и юридически лица със стопанска цел, п</w:t>
      </w:r>
      <w:r w:rsidR="00E74BDD">
        <w:rPr>
          <w:rFonts w:ascii="Calibri" w:eastAsia="Calibri" w:hAnsi="Calibri" w:cs="Times New Roman"/>
        </w:rPr>
        <w:t>о</w:t>
      </w:r>
      <w:r>
        <w:rPr>
          <w:rFonts w:ascii="Calibri" w:eastAsia="Calibri" w:hAnsi="Calibri" w:cs="Times New Roman"/>
        </w:rPr>
        <w:t>падащи в категорията МСП.</w:t>
      </w:r>
    </w:p>
    <w:p w:rsidR="00BC7AE2" w:rsidRPr="00A74967" w:rsidRDefault="00BC7AE2" w:rsidP="00BD617F">
      <w:pPr>
        <w:jc w:val="both"/>
      </w:pPr>
      <w:r w:rsidRPr="00A74967">
        <w:t xml:space="preserve">Българска банка за развитие (ББР) е създадена през 1999 г. под името „Насърчителна банка” АД. През април 2008 г. </w:t>
      </w:r>
      <w:r w:rsidRPr="00A74967">
        <w:rPr>
          <w:bCs/>
          <w:iCs/>
        </w:rPr>
        <w:t>е променено наименованието</w:t>
      </w:r>
      <w:r w:rsidRPr="00A74967">
        <w:t xml:space="preserve"> в „Българска банка за развитие” АД, с приемането на специален Закон за Българска банка за развитие. </w:t>
      </w:r>
    </w:p>
    <w:p w:rsidR="00BC7AE2" w:rsidRPr="00A74967" w:rsidRDefault="00BC7AE2" w:rsidP="00BD617F">
      <w:pPr>
        <w:jc w:val="both"/>
      </w:pPr>
      <w:r w:rsidRPr="00A74967">
        <w:t xml:space="preserve">ББР е единствената държавна </w:t>
      </w:r>
      <w:r w:rsidRPr="00A74967">
        <w:rPr>
          <w:lang w:val="en-GB"/>
        </w:rPr>
        <w:t xml:space="preserve"> (</w:t>
      </w:r>
      <w:r w:rsidRPr="00A74967">
        <w:t>с 99.99% държавно участие</w:t>
      </w:r>
      <w:r w:rsidRPr="00A74967">
        <w:rPr>
          <w:lang w:val="en-GB"/>
        </w:rPr>
        <w:t>)</w:t>
      </w:r>
      <w:r w:rsidRPr="00A74967">
        <w:t xml:space="preserve"> банка на местния пазар, което е една от предпоставките за нейната стабилност.</w:t>
      </w:r>
    </w:p>
    <w:p w:rsidR="00BC7AE2" w:rsidRPr="00A74967" w:rsidRDefault="00BD617F" w:rsidP="00BD617F">
      <w:pPr>
        <w:jc w:val="both"/>
      </w:pPr>
      <w:r>
        <w:rPr>
          <w:bCs/>
        </w:rPr>
        <w:t>Съгласно чл.</w:t>
      </w:r>
      <w:r w:rsidR="00BC7AE2" w:rsidRPr="00A74967">
        <w:rPr>
          <w:bCs/>
        </w:rPr>
        <w:t xml:space="preserve"> 4 от Закона за ББР – „</w:t>
      </w:r>
      <w:r w:rsidR="00BC7AE2" w:rsidRPr="00A74967">
        <w:t xml:space="preserve"> Приоритетите в дейността на банката са съобразени с политиката на правителството на Република България по отношение на малките и средните предприятия</w:t>
      </w:r>
      <w:r w:rsidR="00ED0735">
        <w:t>”</w:t>
      </w:r>
      <w:r w:rsidR="00BC7AE2" w:rsidRPr="00A74967">
        <w:t xml:space="preserve">. Основните дейности са: </w:t>
      </w:r>
    </w:p>
    <w:p w:rsidR="00BC7AE2" w:rsidRPr="00A74967" w:rsidRDefault="00BC7AE2" w:rsidP="001A036E">
      <w:pPr>
        <w:numPr>
          <w:ilvl w:val="0"/>
          <w:numId w:val="59"/>
        </w:numPr>
        <w:spacing w:after="0"/>
        <w:jc w:val="both"/>
      </w:pPr>
      <w:r w:rsidRPr="00A74967">
        <w:t>Предекспортно и експортно кредитиране на малки и средни предприятия;</w:t>
      </w:r>
    </w:p>
    <w:p w:rsidR="00BC7AE2" w:rsidRPr="00A74967" w:rsidRDefault="00BC7AE2" w:rsidP="001A036E">
      <w:pPr>
        <w:numPr>
          <w:ilvl w:val="0"/>
          <w:numId w:val="59"/>
        </w:numPr>
        <w:spacing w:after="0"/>
        <w:jc w:val="both"/>
      </w:pPr>
      <w:r w:rsidRPr="00A74967">
        <w:t>Предлагане на други продукти, свързани със стимулиране на експорта - гаранция за участие в търг, гаранция за добро изпълнение, гаранция за авансово плащане, гаранция за изплащане на кредит на износител и други;</w:t>
      </w:r>
    </w:p>
    <w:p w:rsidR="00BC7AE2" w:rsidRPr="00A74967" w:rsidRDefault="00BC7AE2" w:rsidP="001A036E">
      <w:pPr>
        <w:numPr>
          <w:ilvl w:val="0"/>
          <w:numId w:val="59"/>
        </w:numPr>
        <w:spacing w:after="0"/>
        <w:jc w:val="both"/>
      </w:pPr>
      <w:r w:rsidRPr="00A74967">
        <w:t>Финансиране на малки и средни предприятия чрез участие в капитала им чрез Фонда за капиталови инвестиции;</w:t>
      </w:r>
    </w:p>
    <w:p w:rsidR="00BC7AE2" w:rsidRPr="00A74967" w:rsidRDefault="00BC7AE2" w:rsidP="001A036E">
      <w:pPr>
        <w:numPr>
          <w:ilvl w:val="0"/>
          <w:numId w:val="59"/>
        </w:numPr>
        <w:spacing w:after="0"/>
        <w:jc w:val="both"/>
      </w:pPr>
      <w:r w:rsidRPr="00A74967">
        <w:t>Кредитиране чрез местни банки посредници или пряко дейността на малки и средни предприятия;</w:t>
      </w:r>
    </w:p>
    <w:p w:rsidR="00BC7AE2" w:rsidRPr="00A74967" w:rsidRDefault="00BC7AE2" w:rsidP="001A036E">
      <w:pPr>
        <w:numPr>
          <w:ilvl w:val="0"/>
          <w:numId w:val="59"/>
        </w:numPr>
        <w:spacing w:after="0"/>
        <w:jc w:val="both"/>
      </w:pPr>
      <w:r w:rsidRPr="00A74967">
        <w:t xml:space="preserve">Издаване на гаранции за допълване на обезпечението, предлагано от малки и средни предприятия за получаване на кредит от други местни или чуждестранни банки, пряко или чрез Национален гаранционен фонд; </w:t>
      </w:r>
    </w:p>
    <w:p w:rsidR="00BC7AE2" w:rsidRPr="00A74967" w:rsidRDefault="00BC7AE2" w:rsidP="001A036E">
      <w:pPr>
        <w:numPr>
          <w:ilvl w:val="0"/>
          <w:numId w:val="59"/>
        </w:numPr>
        <w:spacing w:after="0"/>
        <w:jc w:val="both"/>
      </w:pPr>
      <w:r w:rsidRPr="00A74967">
        <w:t>Рефинансиране на банки, кредитиращи малки и средни предприятия;</w:t>
      </w:r>
    </w:p>
    <w:p w:rsidR="00BC7AE2" w:rsidRPr="00A74967" w:rsidRDefault="00BC7AE2" w:rsidP="001A036E">
      <w:pPr>
        <w:numPr>
          <w:ilvl w:val="0"/>
          <w:numId w:val="59"/>
        </w:numPr>
        <w:spacing w:after="0"/>
        <w:jc w:val="both"/>
      </w:pPr>
      <w:r w:rsidRPr="00A74967">
        <w:t>Рефинансиране на чуждестранни банки, кредитиращи купувача на стоки или услуги, предоставяни от малки и средни предприятия;</w:t>
      </w:r>
    </w:p>
    <w:p w:rsidR="00BC7AE2" w:rsidRPr="00A74967" w:rsidRDefault="00BC7AE2" w:rsidP="001A036E">
      <w:pPr>
        <w:numPr>
          <w:ilvl w:val="0"/>
          <w:numId w:val="59"/>
        </w:numPr>
        <w:spacing w:after="0"/>
        <w:jc w:val="both"/>
      </w:pPr>
      <w:r w:rsidRPr="00A74967">
        <w:t>Финансиране на инвестиции извън страната на малки и средни предприятия;</w:t>
      </w:r>
    </w:p>
    <w:p w:rsidR="00BC7AE2" w:rsidRPr="00A74967" w:rsidRDefault="00BC7AE2" w:rsidP="001A036E">
      <w:pPr>
        <w:numPr>
          <w:ilvl w:val="0"/>
          <w:numId w:val="59"/>
        </w:numPr>
        <w:spacing w:after="0"/>
        <w:jc w:val="both"/>
      </w:pPr>
      <w:r w:rsidRPr="00A74967">
        <w:t xml:space="preserve">Управление на финансов ресурс на Европейския съюз, в т. ч. на средства от фондове на Европейския съюз; </w:t>
      </w:r>
    </w:p>
    <w:p w:rsidR="00BC7AE2" w:rsidRPr="00A74967" w:rsidRDefault="00BC7AE2" w:rsidP="001A036E">
      <w:pPr>
        <w:numPr>
          <w:ilvl w:val="0"/>
          <w:numId w:val="59"/>
        </w:numPr>
        <w:spacing w:after="0"/>
        <w:jc w:val="both"/>
      </w:pPr>
      <w:r w:rsidRPr="00A74967">
        <w:t xml:space="preserve">Консултантска дейност, свързана основно с подготовка на проекти и кандидатстване за усвояването на средства/субсидии от фондове на Европейския съюз; </w:t>
      </w:r>
    </w:p>
    <w:p w:rsidR="00BC7AE2" w:rsidRPr="00A74967" w:rsidRDefault="00BC7AE2" w:rsidP="001A036E">
      <w:pPr>
        <w:numPr>
          <w:ilvl w:val="0"/>
          <w:numId w:val="59"/>
        </w:numPr>
        <w:spacing w:after="0"/>
        <w:jc w:val="both"/>
      </w:pPr>
      <w:r w:rsidRPr="00A74967">
        <w:t>Консултиране на малки и средни предприятия относно капиталовата им структура и свързаните с това въпроси;</w:t>
      </w:r>
    </w:p>
    <w:p w:rsidR="00BC7AE2" w:rsidRPr="00A74967" w:rsidRDefault="00BC7AE2" w:rsidP="001A036E">
      <w:pPr>
        <w:numPr>
          <w:ilvl w:val="0"/>
          <w:numId w:val="59"/>
        </w:numPr>
        <w:spacing w:after="0"/>
        <w:jc w:val="both"/>
      </w:pPr>
      <w:r w:rsidRPr="00A74967">
        <w:t xml:space="preserve">Подпомагане на дейности, свързани с държавни, общински или международни проекти, насочени към развитие на икономиката на страната, като осъществяване на доверителни/управленски, разплащателни и мониторинг операции, както и хармонизиране на усвояването на средства/субсидии по проектите. </w:t>
      </w:r>
    </w:p>
    <w:p w:rsidR="00ED0735" w:rsidRDefault="00ED0735" w:rsidP="00ED0735">
      <w:pPr>
        <w:spacing w:before="240"/>
        <w:jc w:val="both"/>
      </w:pPr>
      <w:r w:rsidRPr="00ED0735">
        <w:t xml:space="preserve">Банката извършва директно кредитиране на МСП (приоритетно дългосрочно и с инвестиционна цел) и он-лендинг кредитиране на МСП – чрез предоставяне на целеви финансов ресурс на търговските банки в България с цел финансиране на специфични Бенефициенти – МСП и земеделски </w:t>
      </w:r>
      <w:r w:rsidRPr="00ED0735">
        <w:lastRenderedPageBreak/>
        <w:t xml:space="preserve">производители. ББР е единствената българска банка която предоставя финансиране чрез останалите търговски банки. </w:t>
      </w:r>
    </w:p>
    <w:p w:rsidR="00ED0735" w:rsidRPr="00ED0735" w:rsidRDefault="00ED0735" w:rsidP="00ED0735">
      <w:pPr>
        <w:jc w:val="both"/>
      </w:pPr>
      <w:r w:rsidRPr="00ED0735">
        <w:t xml:space="preserve">Към 31.12.2013 кредитният портфейл на ББР е с 631 кредитни експозиции с общ размер от 1 496 млн.лв. , от които редовни – 90%, под наблюдение – 2%, нередовни – 2.5% и загуба – 5%.  </w:t>
      </w:r>
    </w:p>
    <w:p w:rsidR="00ED0735" w:rsidRPr="00ED0735" w:rsidRDefault="00ED0735" w:rsidP="00ED0735">
      <w:pPr>
        <w:jc w:val="both"/>
      </w:pPr>
      <w:r w:rsidRPr="00ED0735">
        <w:t>Разпределението на портфейла по сектори към същата дата е както следва:</w:t>
      </w:r>
    </w:p>
    <w:tbl>
      <w:tblPr>
        <w:tblStyle w:val="MediumList2-Accent11"/>
        <w:tblW w:w="0" w:type="auto"/>
        <w:jc w:val="center"/>
        <w:tblLook w:val="04A0" w:firstRow="1" w:lastRow="0" w:firstColumn="1" w:lastColumn="0" w:noHBand="0" w:noVBand="1"/>
      </w:tblPr>
      <w:tblGrid>
        <w:gridCol w:w="3652"/>
        <w:gridCol w:w="2540"/>
        <w:gridCol w:w="1571"/>
      </w:tblGrid>
      <w:tr w:rsidR="00ED0735" w:rsidRPr="00722616" w:rsidTr="00ED0735">
        <w:trPr>
          <w:cnfStyle w:val="100000000000" w:firstRow="1" w:lastRow="0" w:firstColumn="0" w:lastColumn="0" w:oddVBand="0" w:evenVBand="0" w:oddHBand="0" w:evenHBand="0" w:firstRowFirstColumn="0" w:firstRowLastColumn="0" w:lastRowFirstColumn="0" w:lastRowLastColumn="0"/>
          <w:trHeight w:val="378"/>
          <w:jc w:val="center"/>
        </w:trPr>
        <w:tc>
          <w:tcPr>
            <w:cnfStyle w:val="001000000100" w:firstRow="0" w:lastRow="0" w:firstColumn="1" w:lastColumn="0" w:oddVBand="0" w:evenVBand="0" w:oddHBand="0" w:evenHBand="0" w:firstRowFirstColumn="1" w:firstRowLastColumn="0" w:lastRowFirstColumn="0" w:lastRowLastColumn="0"/>
            <w:tcW w:w="3652" w:type="dxa"/>
          </w:tcPr>
          <w:p w:rsidR="00ED0735" w:rsidRPr="00722616" w:rsidRDefault="00ED0735" w:rsidP="000F7888">
            <w:pPr>
              <w:jc w:val="both"/>
              <w:rPr>
                <w:rFonts w:asciiTheme="minorHAnsi" w:hAnsiTheme="minorHAnsi" w:cstheme="minorHAnsi"/>
                <w:b/>
                <w:sz w:val="22"/>
                <w:szCs w:val="22"/>
              </w:rPr>
            </w:pPr>
            <w:r w:rsidRPr="00722616">
              <w:rPr>
                <w:rFonts w:asciiTheme="minorHAnsi" w:hAnsiTheme="minorHAnsi" w:cstheme="minorHAnsi"/>
                <w:b/>
                <w:sz w:val="22"/>
                <w:szCs w:val="22"/>
              </w:rPr>
              <w:t>Сектори</w:t>
            </w:r>
          </w:p>
        </w:tc>
        <w:tc>
          <w:tcPr>
            <w:tcW w:w="2540" w:type="dxa"/>
          </w:tcPr>
          <w:p w:rsidR="00ED0735" w:rsidRPr="00722616" w:rsidRDefault="00ED0735" w:rsidP="000F7888">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722616">
              <w:rPr>
                <w:rFonts w:asciiTheme="minorHAnsi" w:hAnsiTheme="minorHAnsi" w:cstheme="minorHAnsi"/>
                <w:b/>
                <w:sz w:val="22"/>
                <w:szCs w:val="22"/>
              </w:rPr>
              <w:t>Експозиция в хил.лева</w:t>
            </w:r>
          </w:p>
        </w:tc>
        <w:tc>
          <w:tcPr>
            <w:tcW w:w="1571" w:type="dxa"/>
          </w:tcPr>
          <w:p w:rsidR="00ED0735" w:rsidRPr="00722616" w:rsidRDefault="00ED0735" w:rsidP="000F7888">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722616">
              <w:rPr>
                <w:rFonts w:asciiTheme="minorHAnsi" w:hAnsiTheme="minorHAnsi" w:cstheme="minorHAnsi"/>
                <w:b/>
                <w:sz w:val="22"/>
                <w:szCs w:val="22"/>
              </w:rPr>
              <w:t>%</w:t>
            </w:r>
          </w:p>
        </w:tc>
      </w:tr>
      <w:tr w:rsidR="00ED0735" w:rsidRPr="00722616" w:rsidTr="00ED073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Финансови услуги</w:t>
            </w:r>
          </w:p>
        </w:tc>
        <w:tc>
          <w:tcPr>
            <w:tcW w:w="2540"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911 556</w:t>
            </w:r>
          </w:p>
        </w:tc>
        <w:tc>
          <w:tcPr>
            <w:tcW w:w="1571"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60.92</w:t>
            </w:r>
          </w:p>
        </w:tc>
      </w:tr>
      <w:tr w:rsidR="00ED0735" w:rsidRPr="00722616" w:rsidTr="00ED0735">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Промишленост</w:t>
            </w:r>
          </w:p>
        </w:tc>
        <w:tc>
          <w:tcPr>
            <w:tcW w:w="2540"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224 812</w:t>
            </w:r>
          </w:p>
        </w:tc>
        <w:tc>
          <w:tcPr>
            <w:tcW w:w="1571"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15.02</w:t>
            </w:r>
          </w:p>
        </w:tc>
      </w:tr>
      <w:tr w:rsidR="00ED0735" w:rsidRPr="00722616" w:rsidTr="00ED073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Транспорт</w:t>
            </w:r>
          </w:p>
        </w:tc>
        <w:tc>
          <w:tcPr>
            <w:tcW w:w="2540"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84 994</w:t>
            </w:r>
          </w:p>
        </w:tc>
        <w:tc>
          <w:tcPr>
            <w:tcW w:w="1571"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5.68</w:t>
            </w:r>
          </w:p>
        </w:tc>
      </w:tr>
      <w:tr w:rsidR="00ED0735" w:rsidRPr="00722616" w:rsidTr="00ED0735">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Търговия</w:t>
            </w:r>
          </w:p>
        </w:tc>
        <w:tc>
          <w:tcPr>
            <w:tcW w:w="2540"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73 007</w:t>
            </w:r>
          </w:p>
        </w:tc>
        <w:tc>
          <w:tcPr>
            <w:tcW w:w="1571"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4.88</w:t>
            </w:r>
          </w:p>
        </w:tc>
      </w:tr>
      <w:tr w:rsidR="00ED0735" w:rsidRPr="00722616" w:rsidTr="00ED073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 xml:space="preserve">Строителство </w:t>
            </w:r>
          </w:p>
        </w:tc>
        <w:tc>
          <w:tcPr>
            <w:tcW w:w="2540"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67 162</w:t>
            </w:r>
          </w:p>
        </w:tc>
        <w:tc>
          <w:tcPr>
            <w:tcW w:w="1571"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4.49</w:t>
            </w:r>
          </w:p>
        </w:tc>
      </w:tr>
      <w:tr w:rsidR="00ED0735" w:rsidRPr="00722616" w:rsidTr="00ED0735">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Туристически услуги</w:t>
            </w:r>
          </w:p>
        </w:tc>
        <w:tc>
          <w:tcPr>
            <w:tcW w:w="2540"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28 855</w:t>
            </w:r>
          </w:p>
        </w:tc>
        <w:tc>
          <w:tcPr>
            <w:tcW w:w="1571"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1.93</w:t>
            </w:r>
          </w:p>
        </w:tc>
      </w:tr>
      <w:tr w:rsidR="00ED0735" w:rsidRPr="00722616" w:rsidTr="00ED073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b/>
              </w:rPr>
            </w:pPr>
            <w:r w:rsidRPr="00722616">
              <w:rPr>
                <w:rFonts w:asciiTheme="minorHAnsi" w:hAnsiTheme="minorHAnsi" w:cstheme="minorHAnsi"/>
                <w:b/>
              </w:rPr>
              <w:t>Събиране и обезвреждане на отпадъци</w:t>
            </w:r>
          </w:p>
        </w:tc>
        <w:tc>
          <w:tcPr>
            <w:tcW w:w="2540"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rPr>
            </w:pPr>
            <w:r w:rsidRPr="00722616">
              <w:rPr>
                <w:rFonts w:asciiTheme="minorHAnsi" w:hAnsiTheme="minorHAnsi" w:cstheme="minorHAnsi"/>
                <w:b/>
              </w:rPr>
              <w:t>28 738</w:t>
            </w:r>
          </w:p>
        </w:tc>
        <w:tc>
          <w:tcPr>
            <w:tcW w:w="1571"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rPr>
            </w:pPr>
            <w:r w:rsidRPr="00722616">
              <w:rPr>
                <w:rFonts w:asciiTheme="minorHAnsi" w:hAnsiTheme="minorHAnsi" w:cstheme="minorHAnsi"/>
                <w:b/>
              </w:rPr>
              <w:t>1.92</w:t>
            </w:r>
          </w:p>
        </w:tc>
      </w:tr>
      <w:tr w:rsidR="00ED0735" w:rsidRPr="00722616" w:rsidTr="00ED0735">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Операции с недвижими имоти</w:t>
            </w:r>
          </w:p>
        </w:tc>
        <w:tc>
          <w:tcPr>
            <w:tcW w:w="2540"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21 492</w:t>
            </w:r>
          </w:p>
        </w:tc>
        <w:tc>
          <w:tcPr>
            <w:tcW w:w="1571"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1.44</w:t>
            </w:r>
          </w:p>
        </w:tc>
      </w:tr>
      <w:tr w:rsidR="00ED0735" w:rsidRPr="00722616" w:rsidTr="00ED073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Селско стопанство</w:t>
            </w:r>
          </w:p>
        </w:tc>
        <w:tc>
          <w:tcPr>
            <w:tcW w:w="2540"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15 367</w:t>
            </w:r>
          </w:p>
        </w:tc>
        <w:tc>
          <w:tcPr>
            <w:tcW w:w="1571"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1.03</w:t>
            </w:r>
          </w:p>
        </w:tc>
      </w:tr>
      <w:tr w:rsidR="00ED0735" w:rsidRPr="00722616" w:rsidTr="00ED0735">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Вземания от правителството</w:t>
            </w:r>
          </w:p>
        </w:tc>
        <w:tc>
          <w:tcPr>
            <w:tcW w:w="2540"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w:t>
            </w:r>
          </w:p>
        </w:tc>
        <w:tc>
          <w:tcPr>
            <w:tcW w:w="1571"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0</w:t>
            </w:r>
          </w:p>
        </w:tc>
      </w:tr>
      <w:tr w:rsidR="00ED0735" w:rsidRPr="00722616" w:rsidTr="00ED073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rPr>
            </w:pPr>
            <w:r w:rsidRPr="00722616">
              <w:rPr>
                <w:rFonts w:asciiTheme="minorHAnsi" w:hAnsiTheme="minorHAnsi" w:cstheme="minorHAnsi"/>
              </w:rPr>
              <w:t>Други</w:t>
            </w:r>
          </w:p>
        </w:tc>
        <w:tc>
          <w:tcPr>
            <w:tcW w:w="2540"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40 325</w:t>
            </w:r>
          </w:p>
        </w:tc>
        <w:tc>
          <w:tcPr>
            <w:tcW w:w="1571" w:type="dxa"/>
          </w:tcPr>
          <w:p w:rsidR="00ED0735" w:rsidRPr="00722616" w:rsidRDefault="00ED0735" w:rsidP="000F7888">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722616">
              <w:rPr>
                <w:rFonts w:asciiTheme="minorHAnsi" w:hAnsiTheme="minorHAnsi" w:cstheme="minorHAnsi"/>
              </w:rPr>
              <w:t>2.69</w:t>
            </w:r>
          </w:p>
        </w:tc>
      </w:tr>
      <w:tr w:rsidR="00ED0735" w:rsidRPr="00722616" w:rsidTr="00ED0735">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ED0735" w:rsidRPr="00722616" w:rsidRDefault="00ED0735" w:rsidP="000F7888">
            <w:pPr>
              <w:jc w:val="both"/>
              <w:rPr>
                <w:rFonts w:asciiTheme="minorHAnsi" w:hAnsiTheme="minorHAnsi" w:cstheme="minorHAnsi"/>
                <w:b/>
              </w:rPr>
            </w:pPr>
            <w:r w:rsidRPr="00722616">
              <w:rPr>
                <w:rFonts w:asciiTheme="minorHAnsi" w:hAnsiTheme="minorHAnsi" w:cstheme="minorHAnsi"/>
                <w:b/>
              </w:rPr>
              <w:t>Всичко</w:t>
            </w:r>
          </w:p>
        </w:tc>
        <w:tc>
          <w:tcPr>
            <w:tcW w:w="2540"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rPr>
            </w:pPr>
            <w:r w:rsidRPr="00722616">
              <w:rPr>
                <w:rFonts w:asciiTheme="minorHAnsi" w:hAnsiTheme="minorHAnsi" w:cstheme="minorHAnsi"/>
                <w:b/>
              </w:rPr>
              <w:t>1 496 308</w:t>
            </w:r>
          </w:p>
        </w:tc>
        <w:tc>
          <w:tcPr>
            <w:tcW w:w="1571" w:type="dxa"/>
          </w:tcPr>
          <w:p w:rsidR="00ED0735" w:rsidRPr="00722616" w:rsidRDefault="00ED0735" w:rsidP="000F7888">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rPr>
            </w:pPr>
            <w:r w:rsidRPr="00722616">
              <w:rPr>
                <w:rFonts w:asciiTheme="minorHAnsi" w:hAnsiTheme="minorHAnsi" w:cstheme="minorHAnsi"/>
                <w:b/>
              </w:rPr>
              <w:t>100.00</w:t>
            </w:r>
          </w:p>
        </w:tc>
      </w:tr>
    </w:tbl>
    <w:p w:rsidR="00ED0735" w:rsidRPr="00ED0735" w:rsidRDefault="00E22ADF" w:rsidP="00ED0735">
      <w:pPr>
        <w:spacing w:before="240"/>
        <w:jc w:val="both"/>
      </w:pPr>
      <w:r>
        <w:t>Опитът на банката</w:t>
      </w:r>
      <w:r w:rsidR="00ED0735" w:rsidRPr="00ED0735">
        <w:t xml:space="preserve"> в </w:t>
      </w:r>
      <w:r w:rsidR="00ED0735">
        <w:t xml:space="preserve">сектор Отпадъци е </w:t>
      </w:r>
      <w:r>
        <w:t xml:space="preserve">свързан с </w:t>
      </w:r>
      <w:r w:rsidR="00ED0735">
        <w:t>финансира</w:t>
      </w:r>
      <w:r>
        <w:t>не на</w:t>
      </w:r>
      <w:r w:rsidR="00ED0735" w:rsidRPr="00ED0735">
        <w:t xml:space="preserve"> един проект в гр. Варна за създаване на депо за отпадъци с два етапа на финансиране – </w:t>
      </w:r>
      <w:r>
        <w:t>първоначален етап</w:t>
      </w:r>
      <w:r w:rsidR="00ED0735" w:rsidRPr="00ED0735">
        <w:t>: за изграждане на инсталация за обезвреждане на твърди битови отпадъци с капацитет 450 т/ден ; второ финансиране: закупуване и монтаж на инсталация за производство на RDF гориво в завод за обработка на ТБО – с общ размер на инвестицията 24 млн.евро; общ размер на финансиране 17.6 млн.евро</w:t>
      </w:r>
      <w:r>
        <w:t>.</w:t>
      </w:r>
    </w:p>
    <w:p w:rsidR="00E22ADF" w:rsidRPr="00E22ADF" w:rsidRDefault="00E22ADF" w:rsidP="00E22ADF">
      <w:pPr>
        <w:jc w:val="both"/>
      </w:pPr>
      <w:r w:rsidRPr="00E22ADF">
        <w:t>ББР предоставя различни видове гаранции на МСП, основно гаранции за добро изпълнение, участие в търг, за авансово плащане и др. Към  31.12.2013 броят на издадените гаранции е 59 с общ размер на ангажимента – 35 млн.лв.</w:t>
      </w:r>
    </w:p>
    <w:p w:rsidR="007544C4" w:rsidRPr="007544C4" w:rsidRDefault="007544C4" w:rsidP="007544C4">
      <w:pPr>
        <w:spacing w:before="240"/>
        <w:jc w:val="both"/>
        <w:rPr>
          <w:rFonts w:ascii="Calibri" w:eastAsia="Calibri" w:hAnsi="Calibri" w:cs="Times New Roman"/>
          <w:b/>
          <w:i/>
          <w:color w:val="4F81BD"/>
        </w:rPr>
      </w:pPr>
      <w:r w:rsidRPr="007544C4">
        <w:rPr>
          <w:rFonts w:ascii="Calibri" w:eastAsia="Calibri" w:hAnsi="Calibri" w:cs="Times New Roman"/>
          <w:b/>
          <w:i/>
          <w:color w:val="4F81BD"/>
        </w:rPr>
        <w:t>Гаранционно споразумение с Европейския инвестиционен фонд</w:t>
      </w:r>
    </w:p>
    <w:p w:rsidR="00BC7AE2" w:rsidRPr="00A74967" w:rsidRDefault="00BC7AE2" w:rsidP="00BD617F">
      <w:pPr>
        <w:jc w:val="both"/>
      </w:pPr>
      <w:r w:rsidRPr="00A74967">
        <w:t>ББР е сключила Гаранционно споразумение с Европейския инвестиционен фонд (ЕИФ)</w:t>
      </w:r>
      <w:r w:rsidRPr="00A74967">
        <w:rPr>
          <w:b/>
        </w:rPr>
        <w:t xml:space="preserve"> </w:t>
      </w:r>
      <w:r w:rsidRPr="00A74967">
        <w:t xml:space="preserve">през 2003 година, на база на което ББР  участва в гаранционната схема за предоставяне на кредити на малки и средни предприятия (МСП), съгласно дългосрочната програма на Европейския съюз за МСП. ЕИФ се ангажира да предостави пряка гаранция, която да покрива 50% от остатъчната загуба по главницата и лихвите от всеки кредит от Групата заеми, включени в кредитния под-портфейл на банката, формиран на база предвидените в споразумението условия, но общо не повече от 2,520 хил. евро. ББР е прилагала намалени изисквания за обезпечение на кредитите, включени в портфейла гарантиран от ЕИФ.  </w:t>
      </w:r>
    </w:p>
    <w:p w:rsidR="00BC7AE2" w:rsidRPr="00A74967" w:rsidRDefault="00BC7AE2" w:rsidP="00BD617F">
      <w:pPr>
        <w:jc w:val="both"/>
      </w:pPr>
      <w:r w:rsidRPr="00A74967">
        <w:t xml:space="preserve">Към 31.12.2013 г. общата експозиция по кредити, гарантирани от ЕИФ, е в размер на 9,844 хил. лв. Тази сума включва усвоената, но неиздължена част от кредитите от портфейла.  Плащанията по гаранции от страна на ЕИФ към тази дата възлиза на 3 млн.евро, от които 1.3 млн.евро са възстановени от ББР. </w:t>
      </w:r>
    </w:p>
    <w:p w:rsidR="00BC7AE2" w:rsidRPr="00A74967" w:rsidRDefault="00BC7AE2" w:rsidP="00BD617F">
      <w:pPr>
        <w:jc w:val="both"/>
      </w:pPr>
      <w:r w:rsidRPr="00A74967">
        <w:lastRenderedPageBreak/>
        <w:t>Във връзка с приложението на програмите на ЕИФ, ББР е запозната и е прилагала процедурите за докладване по държавни помощи „де минимис“.</w:t>
      </w:r>
    </w:p>
    <w:p w:rsidR="007544C4" w:rsidRPr="00BD617F" w:rsidRDefault="007544C4" w:rsidP="007544C4">
      <w:pPr>
        <w:spacing w:before="240"/>
        <w:jc w:val="both"/>
        <w:rPr>
          <w:rFonts w:ascii="Calibri" w:eastAsia="Calibri" w:hAnsi="Calibri" w:cs="Times New Roman"/>
          <w:b/>
          <w:i/>
          <w:color w:val="4F81BD"/>
        </w:rPr>
      </w:pPr>
      <w:r>
        <w:rPr>
          <w:rFonts w:ascii="Calibri" w:eastAsia="Calibri" w:hAnsi="Calibri" w:cs="Times New Roman"/>
          <w:b/>
          <w:i/>
          <w:color w:val="4F81BD"/>
        </w:rPr>
        <w:t>Национален гаранционен фонд</w:t>
      </w:r>
    </w:p>
    <w:p w:rsidR="007544C4" w:rsidRDefault="007544C4" w:rsidP="007544C4">
      <w:pPr>
        <w:jc w:val="both"/>
      </w:pPr>
      <w:r>
        <w:t>За да облекчи</w:t>
      </w:r>
      <w:r w:rsidRPr="007544C4">
        <w:t xml:space="preserve"> допълнително условията по кредитите през 2008 г. </w:t>
      </w:r>
      <w:r>
        <w:t xml:space="preserve">ББР създава </w:t>
      </w:r>
      <w:r w:rsidRPr="007544C4">
        <w:t>свое дъщерно дружество – Националният гаранционен фонд, което издава гаранции, допълващи обезпеченията, изисквани от търговските банки. Така се увеличава кръгът на фирмите, които банките са склонни да финансират и се понижават лихвите по заемите. През последните 4 години фондът си партнира успешно с 19 търговски банки. 2 600 е общият брой на фирмите, подпомогнати до момента.</w:t>
      </w:r>
    </w:p>
    <w:p w:rsidR="00ED0735" w:rsidRPr="00E22ADF" w:rsidRDefault="00ED0735" w:rsidP="00ED0735">
      <w:pPr>
        <w:jc w:val="both"/>
      </w:pPr>
      <w:r w:rsidRPr="00E22ADF">
        <w:rPr>
          <w:bCs/>
        </w:rPr>
        <w:t>Гаранционната схема за собствен риск на НГФ включва:</w:t>
      </w:r>
    </w:p>
    <w:p w:rsidR="00ED0735" w:rsidRPr="00ED0735" w:rsidRDefault="00ED0735" w:rsidP="001A036E">
      <w:pPr>
        <w:numPr>
          <w:ilvl w:val="1"/>
          <w:numId w:val="60"/>
        </w:numPr>
        <w:jc w:val="both"/>
      </w:pPr>
      <w:r w:rsidRPr="00ED0735">
        <w:rPr>
          <w:lang w:val="ru-RU"/>
        </w:rPr>
        <w:t>Гаранции за инвестиционни и оборотни кредити, включително за реализацията на проекти по всички оперативни програми</w:t>
      </w:r>
    </w:p>
    <w:p w:rsidR="00ED0735" w:rsidRPr="00ED0735" w:rsidRDefault="00ED0735" w:rsidP="001A036E">
      <w:pPr>
        <w:numPr>
          <w:ilvl w:val="1"/>
          <w:numId w:val="60"/>
        </w:numPr>
        <w:jc w:val="both"/>
      </w:pPr>
      <w:r w:rsidRPr="00ED0735">
        <w:rPr>
          <w:lang w:val="ru-RU"/>
        </w:rPr>
        <w:t>Потенциал на схемата: кредити за 360 млн. лева</w:t>
      </w:r>
    </w:p>
    <w:p w:rsidR="00ED0735" w:rsidRPr="00ED0735" w:rsidRDefault="00ED0735" w:rsidP="001A036E">
      <w:pPr>
        <w:numPr>
          <w:ilvl w:val="1"/>
          <w:numId w:val="60"/>
        </w:numPr>
        <w:jc w:val="both"/>
      </w:pPr>
      <w:r w:rsidRPr="00ED0735">
        <w:rPr>
          <w:lang w:val="ru-RU"/>
        </w:rPr>
        <w:t>Без такси и комисиони за издаване на гаранциите</w:t>
      </w:r>
    </w:p>
    <w:p w:rsidR="00ED0735" w:rsidRPr="007544C4" w:rsidRDefault="00ED0735" w:rsidP="007544C4">
      <w:pPr>
        <w:jc w:val="both"/>
      </w:pPr>
    </w:p>
    <w:p w:rsidR="00BC7AE2" w:rsidRDefault="00BC7AE2" w:rsidP="008E4057">
      <w:pPr>
        <w:keepNext/>
        <w:keepLines/>
        <w:spacing w:before="120" w:after="120"/>
        <w:outlineLvl w:val="2"/>
        <w:rPr>
          <w:rFonts w:ascii="Calibri" w:eastAsia="Calibri" w:hAnsi="Calibri" w:cs="Times New Roman"/>
          <w:color w:val="243F60"/>
          <w:sz w:val="24"/>
          <w:szCs w:val="24"/>
        </w:rPr>
      </w:pPr>
      <w:bookmarkStart w:id="74" w:name="_Toc399494535"/>
      <w:r>
        <w:rPr>
          <w:rFonts w:ascii="Calibri" w:eastAsia="Calibri" w:hAnsi="Calibri" w:cs="Times New Roman"/>
          <w:color w:val="243F60"/>
          <w:sz w:val="24"/>
          <w:szCs w:val="24"/>
        </w:rPr>
        <w:t>1.4.1.2. Финансови инструменти от международни институции</w:t>
      </w:r>
      <w:bookmarkEnd w:id="74"/>
    </w:p>
    <w:p w:rsidR="000F7888" w:rsidRPr="000F7888" w:rsidRDefault="000F7888" w:rsidP="001A036E">
      <w:pPr>
        <w:numPr>
          <w:ilvl w:val="0"/>
          <w:numId w:val="58"/>
        </w:numPr>
        <w:rPr>
          <w:rFonts w:ascii="Calibri" w:eastAsia="Calibri" w:hAnsi="Calibri" w:cs="Times New Roman"/>
          <w:b/>
          <w:color w:val="4F81BD"/>
        </w:rPr>
      </w:pPr>
      <w:r w:rsidRPr="000F7888">
        <w:rPr>
          <w:rFonts w:ascii="Calibri" w:eastAsia="Calibri" w:hAnsi="Calibri" w:cs="Times New Roman"/>
          <w:b/>
          <w:color w:val="4F81BD"/>
        </w:rPr>
        <w:t>Европейската инвестиционна банка</w:t>
      </w:r>
      <w:r>
        <w:rPr>
          <w:rStyle w:val="FootnoteReference"/>
          <w:rFonts w:ascii="Calibri" w:eastAsia="Calibri" w:hAnsi="Calibri" w:cs="Times New Roman"/>
          <w:b/>
          <w:color w:val="4F81BD"/>
        </w:rPr>
        <w:footnoteReference w:id="41"/>
      </w:r>
    </w:p>
    <w:p w:rsidR="000F7888" w:rsidRPr="000F7888" w:rsidRDefault="000F7888" w:rsidP="000F7888">
      <w:pPr>
        <w:pStyle w:val="NormalWeb"/>
        <w:shd w:val="clear" w:color="auto" w:fill="FFFFFF"/>
        <w:spacing w:before="0" w:beforeAutospacing="0" w:after="150" w:afterAutospacing="0" w:line="285" w:lineRule="atLeast"/>
        <w:rPr>
          <w:rFonts w:asciiTheme="minorHAnsi" w:eastAsiaTheme="minorHAnsi" w:hAnsiTheme="minorHAnsi" w:cstheme="minorBidi"/>
          <w:sz w:val="22"/>
          <w:szCs w:val="22"/>
          <w:lang w:eastAsia="en-US"/>
        </w:rPr>
      </w:pPr>
      <w:r w:rsidRPr="000F7888">
        <w:rPr>
          <w:rFonts w:asciiTheme="minorHAnsi" w:eastAsiaTheme="minorHAnsi" w:hAnsiTheme="minorHAnsi" w:cstheme="minorBidi"/>
          <w:sz w:val="22"/>
          <w:szCs w:val="22"/>
          <w:lang w:eastAsia="en-US"/>
        </w:rPr>
        <w:t xml:space="preserve">ЕИБ финансира директно големи проекти и използва междинни структури за финансиране на по-малки проекти. </w:t>
      </w:r>
      <w:r>
        <w:rPr>
          <w:rFonts w:asciiTheme="minorHAnsi" w:eastAsiaTheme="minorHAnsi" w:hAnsiTheme="minorHAnsi" w:cstheme="minorBidi"/>
          <w:sz w:val="22"/>
          <w:szCs w:val="22"/>
          <w:lang w:eastAsia="en-US"/>
        </w:rPr>
        <w:t xml:space="preserve"> ЕИБ предоставя финансиране чрез:</w:t>
      </w:r>
    </w:p>
    <w:p w:rsidR="000F7888" w:rsidRDefault="00CD14DF" w:rsidP="001A036E">
      <w:pPr>
        <w:pStyle w:val="NormalWeb"/>
        <w:numPr>
          <w:ilvl w:val="0"/>
          <w:numId w:val="65"/>
        </w:numPr>
        <w:shd w:val="clear" w:color="auto" w:fill="FFFFFF"/>
        <w:spacing w:before="0" w:beforeAutospacing="0" w:after="150" w:afterAutospacing="0" w:line="285" w:lineRule="atLeast"/>
        <w:jc w:val="both"/>
        <w:rPr>
          <w:rFonts w:asciiTheme="minorHAnsi" w:eastAsiaTheme="minorHAnsi" w:hAnsiTheme="minorHAnsi" w:cstheme="minorBidi"/>
          <w:sz w:val="22"/>
          <w:szCs w:val="22"/>
          <w:lang w:eastAsia="en-US"/>
        </w:rPr>
      </w:pPr>
      <w:hyperlink r:id="rId60" w:tooltip="JESSICA" w:history="1">
        <w:r w:rsidR="000F7888" w:rsidRPr="000F7888">
          <w:rPr>
            <w:rFonts w:asciiTheme="minorHAnsi" w:eastAsiaTheme="minorHAnsi" w:hAnsiTheme="minorHAnsi" w:cstheme="minorBidi"/>
            <w:i/>
            <w:sz w:val="22"/>
            <w:szCs w:val="22"/>
            <w:lang w:eastAsia="en-US"/>
          </w:rPr>
          <w:t>JESSICA</w:t>
        </w:r>
      </w:hyperlink>
      <w:r w:rsidR="000F7888" w:rsidRPr="000F7888">
        <w:rPr>
          <w:rFonts w:asciiTheme="minorHAnsi" w:eastAsiaTheme="minorHAnsi" w:hAnsiTheme="minorHAnsi" w:cstheme="minorBidi"/>
          <w:sz w:val="22"/>
          <w:szCs w:val="22"/>
          <w:lang w:eastAsia="en-US"/>
        </w:rPr>
        <w:t xml:space="preserve"> – подкрепяща интегрирани, устойчиви проекти за градско развитие. </w:t>
      </w:r>
      <w:r w:rsidR="000F7888">
        <w:rPr>
          <w:rFonts w:asciiTheme="minorHAnsi" w:eastAsiaTheme="minorHAnsi" w:hAnsiTheme="minorHAnsi" w:cstheme="minorBidi"/>
          <w:sz w:val="22"/>
          <w:szCs w:val="22"/>
          <w:lang w:eastAsia="en-US"/>
        </w:rPr>
        <w:t>Програмата използва финансови инструменти като капиталови инвестиции, заеми и гаранции.</w:t>
      </w:r>
    </w:p>
    <w:p w:rsidR="00034D50" w:rsidRDefault="00CD14DF" w:rsidP="001A036E">
      <w:pPr>
        <w:pStyle w:val="NormalWeb"/>
        <w:numPr>
          <w:ilvl w:val="0"/>
          <w:numId w:val="65"/>
        </w:numPr>
        <w:shd w:val="clear" w:color="auto" w:fill="FFFFFF"/>
        <w:spacing w:before="0" w:beforeAutospacing="0" w:after="150" w:afterAutospacing="0" w:line="285" w:lineRule="atLeast"/>
        <w:jc w:val="both"/>
        <w:rPr>
          <w:rFonts w:asciiTheme="minorHAnsi" w:eastAsiaTheme="minorHAnsi" w:hAnsiTheme="minorHAnsi" w:cstheme="minorBidi"/>
          <w:sz w:val="22"/>
          <w:szCs w:val="22"/>
          <w:lang w:eastAsia="en-US"/>
        </w:rPr>
      </w:pPr>
      <w:hyperlink r:id="rId61" w:history="1">
        <w:r w:rsidR="000F7888" w:rsidRPr="000F7888">
          <w:rPr>
            <w:rFonts w:asciiTheme="minorHAnsi" w:eastAsiaTheme="minorHAnsi" w:hAnsiTheme="minorHAnsi" w:cstheme="minorBidi"/>
            <w:i/>
            <w:sz w:val="22"/>
            <w:szCs w:val="22"/>
            <w:lang w:eastAsia="en-US"/>
          </w:rPr>
          <w:t>JASPERS</w:t>
        </w:r>
      </w:hyperlink>
      <w:r w:rsidR="000F7888">
        <w:rPr>
          <w:rFonts w:asciiTheme="minorHAnsi" w:eastAsiaTheme="minorHAnsi" w:hAnsiTheme="minorHAnsi" w:cstheme="minorBidi"/>
          <w:sz w:val="22"/>
          <w:szCs w:val="22"/>
          <w:lang w:eastAsia="en-US"/>
        </w:rPr>
        <w:t xml:space="preserve"> - </w:t>
      </w:r>
      <w:r w:rsidR="000F7888" w:rsidRPr="000F7888">
        <w:rPr>
          <w:rFonts w:asciiTheme="minorHAnsi" w:eastAsiaTheme="minorHAnsi" w:hAnsiTheme="minorHAnsi" w:cstheme="minorBidi"/>
          <w:sz w:val="22"/>
          <w:szCs w:val="22"/>
          <w:lang w:eastAsia="en-US"/>
        </w:rPr>
        <w:t xml:space="preserve"> </w:t>
      </w:r>
      <w:r w:rsidR="00034D50">
        <w:rPr>
          <w:rFonts w:asciiTheme="minorHAnsi" w:eastAsiaTheme="minorHAnsi" w:hAnsiTheme="minorHAnsi" w:cstheme="minorBidi"/>
          <w:sz w:val="22"/>
          <w:szCs w:val="22"/>
          <w:lang w:eastAsia="en-US"/>
        </w:rPr>
        <w:t>предоставя техническа помощ на всеки етап от проектния цикъл, в т.ч. техническа, икономическа и финансова експертиза</w:t>
      </w:r>
      <w:r w:rsidR="00034D50" w:rsidRPr="00034D50">
        <w:rPr>
          <w:rFonts w:asciiTheme="minorHAnsi" w:eastAsiaTheme="minorHAnsi" w:hAnsiTheme="minorHAnsi" w:cstheme="minorBidi"/>
          <w:sz w:val="22"/>
          <w:szCs w:val="22"/>
          <w:lang w:eastAsia="en-US"/>
        </w:rPr>
        <w:t xml:space="preserve"> за подготовка на големи проекти, финансирани чрез ЕСИФ. </w:t>
      </w:r>
      <w:r w:rsidR="00034D50">
        <w:rPr>
          <w:rFonts w:asciiTheme="minorHAnsi" w:eastAsiaTheme="minorHAnsi" w:hAnsiTheme="minorHAnsi" w:cstheme="minorBidi"/>
          <w:sz w:val="22"/>
          <w:szCs w:val="22"/>
          <w:lang w:eastAsia="en-US"/>
        </w:rPr>
        <w:t>Този инструмент се използва за повишаване количество</w:t>
      </w:r>
      <w:r w:rsidR="00E74BDD">
        <w:rPr>
          <w:rFonts w:asciiTheme="minorHAnsi" w:eastAsiaTheme="minorHAnsi" w:hAnsiTheme="minorHAnsi" w:cstheme="minorBidi"/>
          <w:sz w:val="22"/>
          <w:szCs w:val="22"/>
          <w:lang w:eastAsia="en-US"/>
        </w:rPr>
        <w:t>то и качеството на проектите съ</w:t>
      </w:r>
      <w:r w:rsidR="00034D50">
        <w:rPr>
          <w:rFonts w:asciiTheme="minorHAnsi" w:eastAsiaTheme="minorHAnsi" w:hAnsiTheme="minorHAnsi" w:cstheme="minorBidi"/>
          <w:sz w:val="22"/>
          <w:szCs w:val="22"/>
          <w:lang w:eastAsia="en-US"/>
        </w:rPr>
        <w:t xml:space="preserve">финансирани от ЕС. Общият размер на инвестициите, предоставени към момента по програмата е над 60 млрд. евро за повече от 550 проекта.  </w:t>
      </w:r>
    </w:p>
    <w:p w:rsidR="00034D50" w:rsidRDefault="00034D50" w:rsidP="001A036E">
      <w:pPr>
        <w:pStyle w:val="NormalWeb"/>
        <w:numPr>
          <w:ilvl w:val="0"/>
          <w:numId w:val="65"/>
        </w:numPr>
        <w:shd w:val="clear" w:color="auto" w:fill="FFFFFF"/>
        <w:spacing w:before="0" w:beforeAutospacing="0" w:after="150" w:afterAutospacing="0" w:line="285" w:lineRule="atLeast"/>
        <w:jc w:val="both"/>
        <w:rPr>
          <w:rFonts w:asciiTheme="minorHAnsi" w:eastAsiaTheme="minorHAnsi" w:hAnsiTheme="minorHAnsi" w:cstheme="minorBidi"/>
          <w:sz w:val="22"/>
          <w:szCs w:val="22"/>
          <w:lang w:eastAsia="en-US"/>
        </w:rPr>
      </w:pPr>
      <w:r>
        <w:rPr>
          <w:rFonts w:asciiTheme="minorHAnsi" w:eastAsiaTheme="minorHAnsi" w:hAnsiTheme="minorHAnsi" w:cstheme="minorBidi"/>
          <w:i/>
          <w:sz w:val="22"/>
          <w:szCs w:val="22"/>
        </w:rPr>
        <w:t xml:space="preserve">Програма „Градска и околна среда”  - </w:t>
      </w:r>
      <w:r w:rsidRPr="00034D50">
        <w:rPr>
          <w:rFonts w:asciiTheme="minorHAnsi" w:eastAsiaTheme="minorHAnsi" w:hAnsiTheme="minorHAnsi" w:cstheme="minorBidi"/>
          <w:sz w:val="22"/>
          <w:szCs w:val="22"/>
          <w:lang w:eastAsia="en-US"/>
        </w:rPr>
        <w:t>в рамките на тази програма се финансират проект в следните сектори</w:t>
      </w:r>
      <w:r>
        <w:rPr>
          <w:rFonts w:asciiTheme="minorHAnsi" w:eastAsiaTheme="minorHAnsi" w:hAnsiTheme="minorHAnsi" w:cstheme="minorBidi"/>
          <w:sz w:val="22"/>
          <w:szCs w:val="22"/>
          <w:lang w:eastAsia="en-US"/>
        </w:rPr>
        <w:t>:</w:t>
      </w:r>
    </w:p>
    <w:p w:rsidR="00B54A3A" w:rsidRDefault="00034D50" w:rsidP="001A036E">
      <w:pPr>
        <w:numPr>
          <w:ilvl w:val="0"/>
          <w:numId w:val="66"/>
        </w:numPr>
        <w:shd w:val="clear" w:color="auto" w:fill="FFFFFF"/>
        <w:spacing w:after="150" w:line="285" w:lineRule="atLeast"/>
        <w:ind w:left="1418"/>
        <w:rPr>
          <w:rFonts w:eastAsia="Times New Roman" w:cstheme="minorHAnsi"/>
          <w:color w:val="333333"/>
          <w:lang w:eastAsia="bg-BG"/>
        </w:rPr>
      </w:pPr>
      <w:r>
        <w:rPr>
          <w:rFonts w:eastAsia="Times New Roman" w:cstheme="minorHAnsi"/>
          <w:b/>
          <w:bCs/>
          <w:color w:val="333333"/>
          <w:lang w:eastAsia="bg-BG"/>
        </w:rPr>
        <w:t>Води  –</w:t>
      </w:r>
      <w:r w:rsidRPr="00034D50">
        <w:rPr>
          <w:rFonts w:eastAsia="Times New Roman" w:cstheme="minorHAnsi"/>
          <w:bCs/>
          <w:color w:val="333333"/>
          <w:lang w:eastAsia="bg-BG"/>
        </w:rPr>
        <w:t xml:space="preserve"> </w:t>
      </w:r>
      <w:r w:rsidRPr="00034D50">
        <w:t>проекти за водоснабдяване, отвеждане и пречистване на отпадъчни води</w:t>
      </w:r>
    </w:p>
    <w:p w:rsidR="00034D50" w:rsidRPr="00B54A3A" w:rsidRDefault="00034D50" w:rsidP="001A036E">
      <w:pPr>
        <w:numPr>
          <w:ilvl w:val="0"/>
          <w:numId w:val="66"/>
        </w:numPr>
        <w:shd w:val="clear" w:color="auto" w:fill="FFFFFF"/>
        <w:spacing w:after="150" w:line="285" w:lineRule="atLeast"/>
        <w:ind w:left="1418"/>
        <w:rPr>
          <w:rFonts w:eastAsia="Times New Roman" w:cstheme="minorHAnsi"/>
          <w:color w:val="333333"/>
          <w:lang w:eastAsia="bg-BG"/>
        </w:rPr>
      </w:pPr>
      <w:r w:rsidRPr="00B54A3A">
        <w:rPr>
          <w:b/>
          <w:bCs/>
        </w:rPr>
        <w:t xml:space="preserve">Инструмент за общинско подпомагане/ общинска инфраструктура – </w:t>
      </w:r>
      <w:r w:rsidRPr="00034D50">
        <w:t xml:space="preserve">финансира новите страни-членки и страните кандидатки </w:t>
      </w:r>
      <w:r>
        <w:t xml:space="preserve">за подкрепа на </w:t>
      </w:r>
      <w:r w:rsidR="00B54A3A">
        <w:t>проекти, вкл.</w:t>
      </w:r>
      <w:r w:rsidR="00B54A3A">
        <w:rPr>
          <w:rFonts w:eastAsia="Times New Roman" w:cstheme="minorHAnsi"/>
          <w:color w:val="333333"/>
          <w:lang w:eastAsia="bg-BG"/>
        </w:rPr>
        <w:t xml:space="preserve"> в сектор Околна среда</w:t>
      </w:r>
    </w:p>
    <w:p w:rsidR="00B54A3A" w:rsidRDefault="00B54A3A" w:rsidP="001A036E">
      <w:pPr>
        <w:pStyle w:val="NormalWeb"/>
        <w:numPr>
          <w:ilvl w:val="0"/>
          <w:numId w:val="67"/>
        </w:numPr>
        <w:shd w:val="clear" w:color="auto" w:fill="FFFFFF"/>
        <w:spacing w:before="0" w:beforeAutospacing="0" w:after="150" w:afterAutospacing="0" w:line="285" w:lineRule="atLeast"/>
        <w:jc w:val="both"/>
        <w:rPr>
          <w:rFonts w:asciiTheme="minorHAnsi" w:eastAsiaTheme="minorHAnsi" w:hAnsiTheme="minorHAnsi" w:cstheme="minorBidi"/>
          <w:sz w:val="22"/>
          <w:szCs w:val="22"/>
          <w:lang w:eastAsia="en-US"/>
        </w:rPr>
      </w:pPr>
      <w:r>
        <w:rPr>
          <w:rFonts w:asciiTheme="minorHAnsi" w:eastAsiaTheme="minorHAnsi" w:hAnsiTheme="minorHAnsi" w:cstheme="minorBidi"/>
          <w:i/>
          <w:sz w:val="22"/>
          <w:szCs w:val="22"/>
        </w:rPr>
        <w:lastRenderedPageBreak/>
        <w:t>Програма за намаляване на въглеродните емисии и справяне с измененията на климата  -</w:t>
      </w:r>
      <w:r w:rsidRPr="00B54A3A">
        <w:rPr>
          <w:rFonts w:ascii="Helvetica" w:hAnsi="Helvetica"/>
          <w:color w:val="333333"/>
          <w:sz w:val="20"/>
          <w:szCs w:val="20"/>
          <w:shd w:val="clear" w:color="auto" w:fill="FFFFFF"/>
        </w:rPr>
        <w:t xml:space="preserve"> </w:t>
      </w:r>
      <w:r w:rsidRPr="00B54A3A">
        <w:rPr>
          <w:rFonts w:asciiTheme="minorHAnsi" w:eastAsiaTheme="minorHAnsi" w:hAnsiTheme="minorHAnsi" w:cstheme="minorBidi"/>
          <w:sz w:val="22"/>
          <w:szCs w:val="22"/>
          <w:lang w:eastAsia="en-US"/>
        </w:rPr>
        <w:t>финансира проекти, свързани с изменението на климата от различни сектори, в т.ч. Води и Отпадъци, както е видно от следващата фигура</w:t>
      </w:r>
      <w:r>
        <w:rPr>
          <w:rFonts w:asciiTheme="minorHAnsi" w:eastAsiaTheme="minorHAnsi" w:hAnsiTheme="minorHAnsi" w:cstheme="minorBidi"/>
          <w:sz w:val="22"/>
          <w:szCs w:val="22"/>
          <w:lang w:eastAsia="en-US"/>
        </w:rPr>
        <w:t>:</w:t>
      </w:r>
    </w:p>
    <w:p w:rsidR="00B54A3A" w:rsidRDefault="00B54A3A" w:rsidP="00187165">
      <w:pPr>
        <w:keepNext/>
        <w:jc w:val="center"/>
      </w:pPr>
      <w:bookmarkStart w:id="75" w:name="_Toc399494604"/>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19</w:t>
      </w:r>
      <w:r w:rsidR="008E6461" w:rsidRPr="005C4B92">
        <w:rPr>
          <w:b/>
          <w:sz w:val="20"/>
          <w:szCs w:val="20"/>
        </w:rPr>
        <w:fldChar w:fldCharType="end"/>
      </w:r>
      <w:r w:rsidRPr="005C4B92">
        <w:rPr>
          <w:b/>
          <w:sz w:val="20"/>
          <w:szCs w:val="20"/>
        </w:rPr>
        <w:t>:</w:t>
      </w:r>
      <w:r>
        <w:rPr>
          <w:b/>
          <w:sz w:val="20"/>
          <w:szCs w:val="20"/>
        </w:rPr>
        <w:t xml:space="preserve"> Финансиране от ЕИБ по Сектори</w:t>
      </w:r>
      <w:bookmarkEnd w:id="75"/>
    </w:p>
    <w:p w:rsidR="00B54A3A" w:rsidRPr="00B54A3A" w:rsidRDefault="00187165" w:rsidP="00B54A3A">
      <w:pPr>
        <w:pStyle w:val="NormalWeb"/>
        <w:shd w:val="clear" w:color="auto" w:fill="FFFFFF"/>
        <w:spacing w:before="0" w:beforeAutospacing="0" w:after="150" w:afterAutospacing="0" w:line="285" w:lineRule="atLeast"/>
        <w:ind w:left="720"/>
        <w:jc w:val="both"/>
        <w:rPr>
          <w:rFonts w:asciiTheme="minorHAnsi" w:eastAsiaTheme="minorHAnsi" w:hAnsiTheme="minorHAnsi" w:cstheme="minorBidi"/>
          <w:sz w:val="22"/>
          <w:szCs w:val="22"/>
          <w:lang w:eastAsia="en-US"/>
        </w:rPr>
      </w:pPr>
      <w:r>
        <w:rPr>
          <w:rFonts w:asciiTheme="minorHAnsi" w:eastAsiaTheme="minorHAnsi" w:hAnsiTheme="minorHAnsi" w:cstheme="minorBidi"/>
          <w:noProof/>
          <w:sz w:val="22"/>
          <w:szCs w:val="22"/>
        </w:rPr>
        <w:drawing>
          <wp:inline distT="0" distB="0" distL="0" distR="0">
            <wp:extent cx="4581525" cy="2742884"/>
            <wp:effectExtent l="0" t="0" r="0" b="0"/>
            <wp:docPr id="66" name="Picture 22" descr="C:\Users\x\Desktop\Climate Action_files\climate_action_2013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x\Desktop\Climate Action_files\climate_action_2013_en.jpg"/>
                    <pic:cNvPicPr>
                      <a:picLocks noChangeAspect="1" noChangeArrowheads="1"/>
                    </pic:cNvPicPr>
                  </pic:nvPicPr>
                  <pic:blipFill>
                    <a:blip r:embed="rId62" cstate="print"/>
                    <a:srcRect/>
                    <a:stretch>
                      <a:fillRect/>
                    </a:stretch>
                  </pic:blipFill>
                  <pic:spPr bwMode="auto">
                    <a:xfrm>
                      <a:off x="0" y="0"/>
                      <a:ext cx="4591568" cy="2748897"/>
                    </a:xfrm>
                    <a:prstGeom prst="rect">
                      <a:avLst/>
                    </a:prstGeom>
                    <a:noFill/>
                    <a:ln w="9525">
                      <a:noFill/>
                      <a:miter lim="800000"/>
                      <a:headEnd/>
                      <a:tailEnd/>
                    </a:ln>
                  </pic:spPr>
                </pic:pic>
              </a:graphicData>
            </a:graphic>
          </wp:inline>
        </w:drawing>
      </w:r>
    </w:p>
    <w:p w:rsidR="000F7888" w:rsidRPr="00C43A5F" w:rsidRDefault="00C43A5F" w:rsidP="00C43A5F">
      <w:pPr>
        <w:pStyle w:val="ListParagraph"/>
        <w:spacing w:line="240" w:lineRule="auto"/>
        <w:jc w:val="both"/>
        <w:rPr>
          <w:i/>
          <w:sz w:val="20"/>
          <w:szCs w:val="20"/>
        </w:rPr>
      </w:pPr>
      <w:r w:rsidRPr="00C43A5F">
        <w:rPr>
          <w:i/>
          <w:sz w:val="20"/>
          <w:szCs w:val="20"/>
        </w:rPr>
        <w:t>Източник: ЕИБ</w:t>
      </w:r>
    </w:p>
    <w:p w:rsidR="00C94A76" w:rsidRDefault="00C94A76" w:rsidP="00C94A76">
      <w:pPr>
        <w:pStyle w:val="ListParagraph"/>
        <w:spacing w:line="240" w:lineRule="auto"/>
        <w:ind w:left="0"/>
        <w:jc w:val="both"/>
      </w:pPr>
    </w:p>
    <w:p w:rsidR="00C43A5F" w:rsidRDefault="00C43A5F" w:rsidP="00C94A76">
      <w:pPr>
        <w:pStyle w:val="ListParagraph"/>
        <w:spacing w:line="240" w:lineRule="auto"/>
        <w:ind w:left="0"/>
        <w:jc w:val="both"/>
      </w:pPr>
    </w:p>
    <w:p w:rsidR="00B54A3A" w:rsidRDefault="00C94A76" w:rsidP="00C94A76">
      <w:pPr>
        <w:pStyle w:val="ListParagraph"/>
        <w:spacing w:line="240" w:lineRule="auto"/>
        <w:ind w:left="0"/>
        <w:jc w:val="both"/>
      </w:pPr>
      <w:r>
        <w:t>ЕИБ предоставя следните продукти на финансовия инженеринг:</w:t>
      </w:r>
    </w:p>
    <w:p w:rsidR="00C94A76" w:rsidRPr="00C94A76" w:rsidRDefault="00C94A76" w:rsidP="00DF7C7F">
      <w:pPr>
        <w:rPr>
          <w:rFonts w:ascii="Calibri" w:eastAsia="Calibri" w:hAnsi="Calibri" w:cs="Times New Roman"/>
          <w:b/>
          <w:i/>
          <w:color w:val="4F81BD"/>
        </w:rPr>
      </w:pPr>
      <w:r>
        <w:rPr>
          <w:rFonts w:ascii="Calibri" w:eastAsia="Calibri" w:hAnsi="Calibri" w:cs="Times New Roman"/>
          <w:b/>
          <w:i/>
          <w:color w:val="4F81BD"/>
        </w:rPr>
        <w:t>Заеми за проектно финансиране</w:t>
      </w:r>
    </w:p>
    <w:p w:rsidR="00C94A76" w:rsidRPr="00C94A76" w:rsidRDefault="00C94A76" w:rsidP="00DF7C7F">
      <w:pPr>
        <w:jc w:val="both"/>
        <w:rPr>
          <w:bCs/>
        </w:rPr>
      </w:pPr>
      <w:r>
        <w:rPr>
          <w:bCs/>
        </w:rPr>
        <w:t xml:space="preserve">Финансиране на индивидуални проекти, чиято обща стойност надхвърля 25 млн. евро. Тази подкрепа обикновено е ключ към привличане на допълнително финансиране. Заемите покриват до 50% от общите разходи на публични и частни инвеститори, но обикновено делът на финансирането е около 1/3. </w:t>
      </w:r>
    </w:p>
    <w:p w:rsidR="00C94A76" w:rsidRPr="00C94A76" w:rsidRDefault="00C94A76" w:rsidP="00DF7C7F">
      <w:pPr>
        <w:jc w:val="both"/>
        <w:rPr>
          <w:bCs/>
        </w:rPr>
      </w:pPr>
      <w:r>
        <w:rPr>
          <w:b/>
        </w:rPr>
        <w:t xml:space="preserve">Мулти-компонентни заеми  - </w:t>
      </w:r>
      <w:r w:rsidRPr="00C94A76">
        <w:t>многокомпонент</w:t>
      </w:r>
      <w:r w:rsidR="00E74BDD">
        <w:t>н</w:t>
      </w:r>
      <w:r w:rsidRPr="00C94A76">
        <w:t>и</w:t>
      </w:r>
      <w:r>
        <w:t>, многогодишни инвестиции чрез единичен „рамков заем” за проекти обикновено на централната или местна администрация за инвестиции в инфраструктура, енергийна ефективност, транспорт и градско развитие</w:t>
      </w:r>
    </w:p>
    <w:p w:rsidR="00C94A76" w:rsidRPr="00C94A76" w:rsidRDefault="00C94A76" w:rsidP="00DF7C7F">
      <w:pPr>
        <w:ind w:firstLine="708"/>
        <w:rPr>
          <w:bCs/>
          <w:i/>
          <w:u w:val="single"/>
        </w:rPr>
      </w:pPr>
      <w:r w:rsidRPr="00C94A76">
        <w:rPr>
          <w:i/>
          <w:u w:val="single"/>
        </w:rPr>
        <w:t>Условия на финансиране</w:t>
      </w:r>
    </w:p>
    <w:p w:rsidR="00C94A76" w:rsidRDefault="00C94A76" w:rsidP="001A036E">
      <w:pPr>
        <w:numPr>
          <w:ilvl w:val="0"/>
          <w:numId w:val="70"/>
        </w:numPr>
        <w:ind w:left="1134"/>
        <w:rPr>
          <w:bCs/>
        </w:rPr>
      </w:pPr>
      <w:r>
        <w:rPr>
          <w:bCs/>
        </w:rPr>
        <w:t>Фиксирана или плаваща лихва</w:t>
      </w:r>
    </w:p>
    <w:p w:rsidR="00C94A76" w:rsidRDefault="00C94A76" w:rsidP="001A036E">
      <w:pPr>
        <w:numPr>
          <w:ilvl w:val="0"/>
          <w:numId w:val="70"/>
        </w:numPr>
        <w:ind w:left="1134"/>
        <w:rPr>
          <w:bCs/>
        </w:rPr>
      </w:pPr>
      <w:r>
        <w:rPr>
          <w:bCs/>
        </w:rPr>
        <w:t>В някои случаи се начисляват разходи за оценка на проектите, юридически услуги, неусвояване и др.</w:t>
      </w:r>
    </w:p>
    <w:p w:rsidR="00C94A76" w:rsidRPr="00C94A76" w:rsidRDefault="00C94A76" w:rsidP="001A036E">
      <w:pPr>
        <w:numPr>
          <w:ilvl w:val="0"/>
          <w:numId w:val="70"/>
        </w:numPr>
        <w:ind w:left="1134"/>
        <w:rPr>
          <w:bCs/>
        </w:rPr>
      </w:pPr>
      <w:r>
        <w:rPr>
          <w:bCs/>
        </w:rPr>
        <w:t xml:space="preserve">Изплащане обикновено на полу-годишна или годишна база. Гратисен период за периода на изпълнение на проекта. </w:t>
      </w:r>
    </w:p>
    <w:p w:rsidR="00107B8E" w:rsidRDefault="00107B8E" w:rsidP="00DF7C7F">
      <w:pPr>
        <w:rPr>
          <w:rFonts w:ascii="Calibri" w:eastAsia="Calibri" w:hAnsi="Calibri" w:cs="Times New Roman"/>
          <w:b/>
          <w:i/>
          <w:color w:val="4F81BD"/>
        </w:rPr>
      </w:pPr>
    </w:p>
    <w:p w:rsidR="00C94A76" w:rsidRPr="00C94A76" w:rsidRDefault="0040426B" w:rsidP="00DF7C7F">
      <w:pPr>
        <w:rPr>
          <w:rFonts w:ascii="Calibri" w:eastAsia="Calibri" w:hAnsi="Calibri" w:cs="Times New Roman"/>
          <w:b/>
          <w:i/>
          <w:color w:val="4F81BD"/>
        </w:rPr>
      </w:pPr>
      <w:r>
        <w:rPr>
          <w:rFonts w:ascii="Calibri" w:eastAsia="Calibri" w:hAnsi="Calibri" w:cs="Times New Roman"/>
          <w:b/>
          <w:i/>
          <w:color w:val="4F81BD"/>
        </w:rPr>
        <w:lastRenderedPageBreak/>
        <w:t>Капиталови и фондови инвестиции</w:t>
      </w:r>
    </w:p>
    <w:p w:rsidR="00C94A76" w:rsidRDefault="0040426B" w:rsidP="00DF7C7F">
      <w:pPr>
        <w:jc w:val="both"/>
        <w:rPr>
          <w:bCs/>
        </w:rPr>
      </w:pPr>
      <w:r>
        <w:rPr>
          <w:bCs/>
        </w:rPr>
        <w:t>Стимулиране на капиталовите и фондови инвестиции и мобилизиране на частен капитал чрез инвестиции в собствен капитал и фондове. ЕИБ работи с нови и съществуващи фонд-мениджъри в традиционни и иновативни сегменти.</w:t>
      </w:r>
    </w:p>
    <w:p w:rsidR="00B54A3A" w:rsidRPr="00B54A3A" w:rsidRDefault="00B54A3A" w:rsidP="001A036E">
      <w:pPr>
        <w:numPr>
          <w:ilvl w:val="0"/>
          <w:numId w:val="58"/>
        </w:numPr>
        <w:rPr>
          <w:rFonts w:ascii="Calibri" w:eastAsia="Calibri" w:hAnsi="Calibri" w:cs="Times New Roman"/>
          <w:b/>
          <w:color w:val="4F81BD"/>
        </w:rPr>
      </w:pPr>
      <w:r w:rsidRPr="00B54A3A">
        <w:rPr>
          <w:rFonts w:ascii="Calibri" w:eastAsia="Calibri" w:hAnsi="Calibri" w:cs="Times New Roman"/>
          <w:b/>
          <w:color w:val="4F81BD"/>
        </w:rPr>
        <w:t>Европейска банка за възстановяване и развитие</w:t>
      </w:r>
      <w:r w:rsidRPr="00B54A3A">
        <w:rPr>
          <w:rFonts w:ascii="Calibri" w:eastAsia="Calibri" w:hAnsi="Calibri" w:cs="Times New Roman"/>
          <w:color w:val="4F81BD"/>
          <w:vertAlign w:val="superscript"/>
        </w:rPr>
        <w:footnoteReference w:id="42"/>
      </w:r>
      <w:r w:rsidRPr="00B54A3A">
        <w:rPr>
          <w:rFonts w:ascii="Calibri" w:eastAsia="Calibri" w:hAnsi="Calibri" w:cs="Times New Roman"/>
          <w:b/>
          <w:color w:val="4F81BD"/>
          <w:vertAlign w:val="superscript"/>
        </w:rPr>
        <w:t xml:space="preserve"> </w:t>
      </w:r>
    </w:p>
    <w:p w:rsidR="00B54A3A" w:rsidRPr="00A44E1B" w:rsidRDefault="00B54A3A" w:rsidP="00B54A3A">
      <w:pPr>
        <w:spacing w:after="0" w:line="240" w:lineRule="auto"/>
        <w:jc w:val="both"/>
        <w:rPr>
          <w:bCs/>
        </w:rPr>
      </w:pPr>
      <w:r w:rsidRPr="00A44E1B">
        <w:rPr>
          <w:bCs/>
        </w:rPr>
        <w:t>Чрез своята дейност и инвестиционна политика ЕБВР подпомага и съдейства за осъществяване на структурни и секторни реформи в страните на дейност, развитието на конкуренцията, стимулирането на приватизацията и частната инициатива и развитието на инфраструктурата, необходима за подкрепата на частния сектор. ЕБВР инвестира основно в частни предприятия, обикновено съвместно с други търговски партньори. В обществения сектор ЕБВР отпуска финансиране за значими инфраструктурни проекти. Банката също така работи с предприятия от обществения сектор с цел подкрепа на приватизацията,  преструктуриране на предприятията, които са държавна собственост и за подобряването на общинските услуги.</w:t>
      </w:r>
    </w:p>
    <w:p w:rsidR="00B54A3A" w:rsidRPr="00A44E1B" w:rsidRDefault="00B54A3A" w:rsidP="00B54A3A">
      <w:pPr>
        <w:spacing w:after="0" w:line="240" w:lineRule="auto"/>
        <w:jc w:val="both"/>
        <w:rPr>
          <w:bCs/>
        </w:rPr>
      </w:pPr>
    </w:p>
    <w:p w:rsidR="0040426B" w:rsidRDefault="0040426B" w:rsidP="0040426B">
      <w:pPr>
        <w:shd w:val="clear" w:color="auto" w:fill="FFFFFF"/>
        <w:spacing w:after="240" w:line="239" w:lineRule="atLeast"/>
        <w:rPr>
          <w:bCs/>
        </w:rPr>
      </w:pPr>
      <w:r>
        <w:rPr>
          <w:bCs/>
        </w:rPr>
        <w:t>ЕБВР предоставя следните продукти на финансовия инженеринг:</w:t>
      </w:r>
    </w:p>
    <w:p w:rsidR="0040426B" w:rsidRDefault="0040426B" w:rsidP="0040426B">
      <w:pPr>
        <w:shd w:val="clear" w:color="auto" w:fill="FFFFFF"/>
        <w:spacing w:before="240" w:line="239" w:lineRule="atLeast"/>
        <w:rPr>
          <w:rFonts w:ascii="Calibri" w:eastAsia="Calibri" w:hAnsi="Calibri" w:cs="Times New Roman"/>
          <w:b/>
          <w:i/>
          <w:color w:val="4F81BD"/>
        </w:rPr>
      </w:pPr>
      <w:r>
        <w:rPr>
          <w:rFonts w:ascii="Calibri" w:eastAsia="Calibri" w:hAnsi="Calibri" w:cs="Times New Roman"/>
          <w:b/>
          <w:i/>
          <w:color w:val="4F81BD"/>
        </w:rPr>
        <w:t>Заеми за големи проекти (</w:t>
      </w:r>
      <w:r w:rsidRPr="0040426B">
        <w:rPr>
          <w:rFonts w:ascii="Calibri" w:eastAsia="Calibri" w:hAnsi="Calibri" w:cs="Times New Roman"/>
          <w:b/>
          <w:i/>
          <w:color w:val="4F81BD"/>
        </w:rPr>
        <w:t xml:space="preserve">5 </w:t>
      </w:r>
      <w:r>
        <w:rPr>
          <w:rFonts w:ascii="Calibri" w:eastAsia="Calibri" w:hAnsi="Calibri" w:cs="Times New Roman"/>
          <w:b/>
          <w:i/>
          <w:color w:val="4F81BD"/>
        </w:rPr>
        <w:t xml:space="preserve">млн. евро - </w:t>
      </w:r>
      <w:r w:rsidRPr="0040426B">
        <w:rPr>
          <w:rFonts w:ascii="Calibri" w:eastAsia="Calibri" w:hAnsi="Calibri" w:cs="Times New Roman"/>
          <w:b/>
          <w:i/>
          <w:color w:val="4F81BD"/>
        </w:rPr>
        <w:t xml:space="preserve">250 </w:t>
      </w:r>
      <w:r>
        <w:rPr>
          <w:rFonts w:ascii="Calibri" w:eastAsia="Calibri" w:hAnsi="Calibri" w:cs="Times New Roman"/>
          <w:b/>
          <w:i/>
          <w:color w:val="4F81BD"/>
        </w:rPr>
        <w:t>млн. евро</w:t>
      </w:r>
      <w:r w:rsidRPr="0040426B">
        <w:rPr>
          <w:rFonts w:ascii="Calibri" w:eastAsia="Calibri" w:hAnsi="Calibri" w:cs="Times New Roman"/>
          <w:b/>
          <w:i/>
          <w:color w:val="4F81BD"/>
        </w:rPr>
        <w:t>)</w:t>
      </w:r>
    </w:p>
    <w:p w:rsidR="0040426B" w:rsidRPr="0040426B" w:rsidRDefault="0040426B" w:rsidP="007F733A">
      <w:pPr>
        <w:shd w:val="clear" w:color="auto" w:fill="FFFFFF"/>
        <w:spacing w:before="240" w:line="239" w:lineRule="atLeast"/>
        <w:jc w:val="both"/>
        <w:rPr>
          <w:bCs/>
        </w:rPr>
      </w:pPr>
      <w:r>
        <w:rPr>
          <w:bCs/>
        </w:rPr>
        <w:t>Средната стойност на проектите е 25 млн. евро</w:t>
      </w:r>
      <w:r w:rsidRPr="0040426B">
        <w:rPr>
          <w:bCs/>
        </w:rPr>
        <w:t>.</w:t>
      </w:r>
      <w:r>
        <w:rPr>
          <w:bCs/>
        </w:rPr>
        <w:t xml:space="preserve"> Заемите на ЕБВР са структурирани с високо ниво на гъвкавост в съответствие с нуждите на проектите и клиентите. </w:t>
      </w:r>
      <w:r w:rsidR="007F733A">
        <w:rPr>
          <w:bCs/>
        </w:rPr>
        <w:t xml:space="preserve">База за отпускане на заем е очаквания паричен поток на проекта и способността на клиента за изплащане на дълга в рамките на договорения период. Кредитният риск може да бъде изцяло поет от банката или частично синдикиран на пазара. Заемите могат да бъдат обезпечени с активи на заемополучателя и/или да бъдат конвертирани в акции или дялово участие. </w:t>
      </w:r>
    </w:p>
    <w:p w:rsidR="007F733A" w:rsidRPr="00C94A76" w:rsidRDefault="007F733A" w:rsidP="007F733A">
      <w:pPr>
        <w:pStyle w:val="NormalWeb"/>
        <w:shd w:val="clear" w:color="auto" w:fill="FFFFFF"/>
        <w:spacing w:before="0" w:beforeAutospacing="0" w:after="136" w:afterAutospacing="0" w:line="258" w:lineRule="atLeast"/>
        <w:ind w:left="720"/>
        <w:rPr>
          <w:rFonts w:asciiTheme="minorHAnsi" w:eastAsiaTheme="minorHAnsi" w:hAnsiTheme="minorHAnsi" w:cstheme="minorBidi"/>
          <w:bCs/>
          <w:i/>
          <w:sz w:val="22"/>
          <w:szCs w:val="22"/>
          <w:u w:val="single"/>
          <w:lang w:eastAsia="en-US"/>
        </w:rPr>
      </w:pPr>
      <w:r w:rsidRPr="00C94A76">
        <w:rPr>
          <w:rFonts w:asciiTheme="minorHAnsi" w:eastAsiaTheme="minorHAnsi" w:hAnsiTheme="minorHAnsi" w:cstheme="minorBidi"/>
          <w:i/>
          <w:sz w:val="22"/>
          <w:szCs w:val="22"/>
          <w:u w:val="single"/>
          <w:lang w:eastAsia="en-US"/>
        </w:rPr>
        <w:t>Условия на финансиране</w:t>
      </w:r>
    </w:p>
    <w:p w:rsidR="0040426B" w:rsidRPr="0040426B" w:rsidRDefault="007F733A"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 xml:space="preserve">Минимум </w:t>
      </w:r>
      <w:r w:rsidR="0040426B" w:rsidRPr="0040426B">
        <w:rPr>
          <w:rFonts w:asciiTheme="minorHAnsi" w:eastAsiaTheme="minorHAnsi" w:hAnsiTheme="minorHAnsi" w:cstheme="minorBidi"/>
          <w:bCs/>
          <w:sz w:val="22"/>
          <w:szCs w:val="22"/>
          <w:lang w:eastAsia="en-US"/>
        </w:rPr>
        <w:t xml:space="preserve">5 - 15 </w:t>
      </w:r>
      <w:r>
        <w:rPr>
          <w:rFonts w:asciiTheme="minorHAnsi" w:eastAsiaTheme="minorHAnsi" w:hAnsiTheme="minorHAnsi" w:cstheme="minorBidi"/>
          <w:bCs/>
          <w:sz w:val="22"/>
          <w:szCs w:val="22"/>
          <w:lang w:eastAsia="en-US"/>
        </w:rPr>
        <w:t>млн. евро</w:t>
      </w:r>
      <w:r w:rsidR="0040426B" w:rsidRPr="0040426B">
        <w:rPr>
          <w:rFonts w:asciiTheme="minorHAnsi" w:eastAsiaTheme="minorHAnsi" w:hAnsiTheme="minorHAnsi" w:cstheme="minorBidi"/>
          <w:bCs/>
          <w:sz w:val="22"/>
          <w:szCs w:val="22"/>
          <w:lang w:eastAsia="en-US"/>
        </w:rPr>
        <w:t xml:space="preserve">, </w:t>
      </w:r>
      <w:r>
        <w:rPr>
          <w:rFonts w:asciiTheme="minorHAnsi" w:eastAsiaTheme="minorHAnsi" w:hAnsiTheme="minorHAnsi" w:cstheme="minorBidi"/>
          <w:bCs/>
          <w:sz w:val="22"/>
          <w:szCs w:val="22"/>
          <w:lang w:eastAsia="en-US"/>
        </w:rPr>
        <w:t>в някои случай по-малко</w:t>
      </w:r>
    </w:p>
    <w:p w:rsidR="0040426B" w:rsidRPr="0040426B" w:rsidRDefault="007F733A"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Фиксирана или плаваща лихва</w:t>
      </w:r>
    </w:p>
    <w:p w:rsidR="007F733A" w:rsidRDefault="007F733A"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sidRPr="007F733A">
        <w:rPr>
          <w:rFonts w:asciiTheme="minorHAnsi" w:eastAsiaTheme="minorHAnsi" w:hAnsiTheme="minorHAnsi" w:cstheme="minorBidi"/>
          <w:bCs/>
          <w:sz w:val="22"/>
          <w:szCs w:val="22"/>
          <w:lang w:eastAsia="en-US"/>
        </w:rPr>
        <w:t xml:space="preserve">Основен, подчинен, мецанин или конвертиран дълг </w:t>
      </w:r>
    </w:p>
    <w:p w:rsidR="0040426B" w:rsidRPr="0040426B" w:rsidRDefault="007F733A"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 xml:space="preserve">Кратък до дълъг период на погасяване – от </w:t>
      </w:r>
      <w:r w:rsidR="0040426B" w:rsidRPr="0040426B">
        <w:rPr>
          <w:rFonts w:asciiTheme="minorHAnsi" w:eastAsiaTheme="minorHAnsi" w:hAnsiTheme="minorHAnsi" w:cstheme="minorBidi"/>
          <w:bCs/>
          <w:sz w:val="22"/>
          <w:szCs w:val="22"/>
          <w:lang w:eastAsia="en-US"/>
        </w:rPr>
        <w:t xml:space="preserve">5 </w:t>
      </w:r>
      <w:r>
        <w:rPr>
          <w:rFonts w:asciiTheme="minorHAnsi" w:eastAsiaTheme="minorHAnsi" w:hAnsiTheme="minorHAnsi" w:cstheme="minorBidi"/>
          <w:bCs/>
          <w:sz w:val="22"/>
          <w:szCs w:val="22"/>
          <w:lang w:eastAsia="en-US"/>
        </w:rPr>
        <w:t>до</w:t>
      </w:r>
      <w:r w:rsidR="0040426B" w:rsidRPr="0040426B">
        <w:rPr>
          <w:rFonts w:asciiTheme="minorHAnsi" w:eastAsiaTheme="minorHAnsi" w:hAnsiTheme="minorHAnsi" w:cstheme="minorBidi"/>
          <w:bCs/>
          <w:sz w:val="22"/>
          <w:szCs w:val="22"/>
          <w:lang w:eastAsia="en-US"/>
        </w:rPr>
        <w:t xml:space="preserve"> 15 </w:t>
      </w:r>
      <w:r>
        <w:rPr>
          <w:rFonts w:asciiTheme="minorHAnsi" w:eastAsiaTheme="minorHAnsi" w:hAnsiTheme="minorHAnsi" w:cstheme="minorBidi"/>
          <w:bCs/>
          <w:sz w:val="22"/>
          <w:szCs w:val="22"/>
          <w:lang w:eastAsia="en-US"/>
        </w:rPr>
        <w:t>години</w:t>
      </w:r>
    </w:p>
    <w:p w:rsidR="007F733A" w:rsidRDefault="007F733A" w:rsidP="001A036E">
      <w:pPr>
        <w:pStyle w:val="NormalWeb"/>
        <w:numPr>
          <w:ilvl w:val="0"/>
          <w:numId w:val="68"/>
        </w:numPr>
        <w:shd w:val="clear" w:color="auto" w:fill="FFFFFF"/>
        <w:spacing w:before="0" w:beforeAutospacing="0" w:after="0" w:afterAutospacing="0" w:line="239" w:lineRule="atLeast"/>
        <w:jc w:val="both"/>
        <w:rPr>
          <w:rFonts w:asciiTheme="minorHAnsi" w:eastAsiaTheme="minorHAnsi" w:hAnsiTheme="minorHAnsi" w:cstheme="minorBidi"/>
          <w:bCs/>
          <w:sz w:val="22"/>
          <w:szCs w:val="22"/>
          <w:lang w:eastAsia="en-US"/>
        </w:rPr>
      </w:pPr>
      <w:r w:rsidRPr="007F733A">
        <w:rPr>
          <w:rFonts w:asciiTheme="minorHAnsi" w:eastAsiaTheme="minorHAnsi" w:hAnsiTheme="minorHAnsi" w:cstheme="minorBidi"/>
          <w:bCs/>
          <w:sz w:val="22"/>
          <w:szCs w:val="22"/>
          <w:lang w:eastAsia="en-US"/>
        </w:rPr>
        <w:t xml:space="preserve">Гратисен период – в зависимост от спецификата на проекта </w:t>
      </w:r>
    </w:p>
    <w:p w:rsidR="0040426B" w:rsidRPr="007F733A" w:rsidRDefault="007F733A" w:rsidP="001A036E">
      <w:pPr>
        <w:pStyle w:val="NormalWeb"/>
        <w:numPr>
          <w:ilvl w:val="0"/>
          <w:numId w:val="68"/>
        </w:numPr>
        <w:shd w:val="clear" w:color="auto" w:fill="FFFFFF"/>
        <w:spacing w:before="0" w:beforeAutospacing="0" w:after="0" w:afterAutospacing="0" w:line="239" w:lineRule="atLeast"/>
        <w:jc w:val="both"/>
        <w:rPr>
          <w:rFonts w:asciiTheme="minorHAnsi" w:eastAsiaTheme="minorHAnsi" w:hAnsiTheme="minorHAnsi" w:cstheme="minorBidi"/>
          <w:bCs/>
          <w:sz w:val="22"/>
          <w:szCs w:val="22"/>
          <w:lang w:eastAsia="en-US"/>
        </w:rPr>
      </w:pPr>
      <w:r w:rsidRPr="007F733A">
        <w:rPr>
          <w:rFonts w:asciiTheme="minorHAnsi" w:eastAsiaTheme="minorHAnsi" w:hAnsiTheme="minorHAnsi" w:cstheme="minorBidi"/>
          <w:bCs/>
          <w:sz w:val="22"/>
          <w:szCs w:val="22"/>
          <w:lang w:eastAsia="en-US"/>
        </w:rPr>
        <w:t xml:space="preserve">Начисляване на разходи и комисионни – в зависимост от </w:t>
      </w:r>
      <w:r>
        <w:rPr>
          <w:rFonts w:asciiTheme="minorHAnsi" w:eastAsiaTheme="minorHAnsi" w:hAnsiTheme="minorHAnsi" w:cstheme="minorBidi"/>
          <w:bCs/>
          <w:sz w:val="22"/>
          <w:szCs w:val="22"/>
          <w:lang w:eastAsia="en-US"/>
        </w:rPr>
        <w:t>спецификата на проекта</w:t>
      </w:r>
    </w:p>
    <w:p w:rsidR="00B54A3A" w:rsidRDefault="00B54A3A" w:rsidP="007F733A">
      <w:pPr>
        <w:spacing w:after="0" w:line="240" w:lineRule="auto"/>
        <w:jc w:val="both"/>
        <w:rPr>
          <w:bCs/>
        </w:rPr>
      </w:pPr>
    </w:p>
    <w:p w:rsidR="00B54A3A" w:rsidRPr="004F53B4" w:rsidRDefault="00B54A3A" w:rsidP="00B54A3A">
      <w:pPr>
        <w:spacing w:after="0" w:line="240" w:lineRule="auto"/>
        <w:jc w:val="both"/>
        <w:rPr>
          <w:bCs/>
        </w:rPr>
      </w:pPr>
      <w:r w:rsidRPr="004F53B4">
        <w:rPr>
          <w:bCs/>
        </w:rPr>
        <w:t>От началото на дейността си в България през 1993 г.</w:t>
      </w:r>
      <w:r>
        <w:rPr>
          <w:bCs/>
        </w:rPr>
        <w:t xml:space="preserve"> до 31 декември 2013 г. ЕБВР е инвестирала 2,8</w:t>
      </w:r>
      <w:r w:rsidRPr="004F53B4">
        <w:rPr>
          <w:bCs/>
        </w:rPr>
        <w:t xml:space="preserve"> млрд. евро в различни сектори на икономиката на страната (корпоративен, финансов, инфраструктура, енергетика и енергийна ефективност), като същевременно е мобилизирала над 5,5 млрд. евро от други източници на финансиране.</w:t>
      </w:r>
    </w:p>
    <w:p w:rsidR="00B54A3A" w:rsidRPr="004F53B4" w:rsidRDefault="00B54A3A" w:rsidP="00B54A3A">
      <w:pPr>
        <w:spacing w:after="0" w:line="240" w:lineRule="auto"/>
        <w:jc w:val="both"/>
        <w:rPr>
          <w:bCs/>
        </w:rPr>
      </w:pPr>
    </w:p>
    <w:p w:rsidR="00B54A3A" w:rsidRDefault="00B54A3A" w:rsidP="007F733A">
      <w:pPr>
        <w:spacing w:after="0" w:line="240" w:lineRule="auto"/>
        <w:jc w:val="both"/>
        <w:rPr>
          <w:bCs/>
        </w:rPr>
      </w:pPr>
      <w:r>
        <w:rPr>
          <w:bCs/>
        </w:rPr>
        <w:t>Според</w:t>
      </w:r>
      <w:r w:rsidRPr="004F53B4">
        <w:rPr>
          <w:bCs/>
        </w:rPr>
        <w:t xml:space="preserve"> Стратегията за България на ЕБВР </w:t>
      </w:r>
      <w:r>
        <w:rPr>
          <w:rStyle w:val="hps"/>
        </w:rPr>
        <w:t>банката</w:t>
      </w:r>
      <w:r>
        <w:t xml:space="preserve"> </w:t>
      </w:r>
      <w:r>
        <w:rPr>
          <w:rStyle w:val="hps"/>
        </w:rPr>
        <w:t>ще подпомага</w:t>
      </w:r>
      <w:r>
        <w:t xml:space="preserve"> </w:t>
      </w:r>
      <w:r>
        <w:rPr>
          <w:rStyle w:val="hps"/>
        </w:rPr>
        <w:t>прехода на България към</w:t>
      </w:r>
      <w:r>
        <w:t xml:space="preserve"> </w:t>
      </w:r>
      <w:r>
        <w:rPr>
          <w:rStyle w:val="hps"/>
        </w:rPr>
        <w:t>икономика с ниски</w:t>
      </w:r>
      <w:r>
        <w:t xml:space="preserve"> </w:t>
      </w:r>
      <w:r>
        <w:rPr>
          <w:rStyle w:val="hps"/>
        </w:rPr>
        <w:t>нива на въглеродни емисии</w:t>
      </w:r>
      <w:r>
        <w:t xml:space="preserve"> </w:t>
      </w:r>
      <w:r>
        <w:rPr>
          <w:rStyle w:val="hps"/>
        </w:rPr>
        <w:t>и повишаване на</w:t>
      </w:r>
      <w:r>
        <w:t xml:space="preserve"> </w:t>
      </w:r>
      <w:r>
        <w:rPr>
          <w:rStyle w:val="hps"/>
        </w:rPr>
        <w:t>енергийната ефективност</w:t>
      </w:r>
      <w:r>
        <w:t xml:space="preserve"> </w:t>
      </w:r>
      <w:r>
        <w:rPr>
          <w:rStyle w:val="hps"/>
        </w:rPr>
        <w:t>и сигурност.</w:t>
      </w:r>
      <w:r>
        <w:t xml:space="preserve"> </w:t>
      </w:r>
      <w:r>
        <w:rPr>
          <w:rStyle w:val="hps"/>
        </w:rPr>
        <w:t>Тя ще подкрепи</w:t>
      </w:r>
      <w:r>
        <w:t xml:space="preserve"> </w:t>
      </w:r>
      <w:r>
        <w:rPr>
          <w:rStyle w:val="hps"/>
        </w:rPr>
        <w:t>преминаването</w:t>
      </w:r>
      <w:r>
        <w:t xml:space="preserve"> </w:t>
      </w:r>
      <w:r>
        <w:rPr>
          <w:rStyle w:val="hps"/>
        </w:rPr>
        <w:t>на България към</w:t>
      </w:r>
      <w:r>
        <w:t xml:space="preserve"> </w:t>
      </w:r>
      <w:r>
        <w:rPr>
          <w:rStyle w:val="hps"/>
        </w:rPr>
        <w:t>по-устойчив</w:t>
      </w:r>
      <w:r>
        <w:t xml:space="preserve"> </w:t>
      </w:r>
      <w:r>
        <w:rPr>
          <w:rStyle w:val="hps"/>
        </w:rPr>
        <w:t>растеж, чрез</w:t>
      </w:r>
      <w:r>
        <w:t xml:space="preserve"> </w:t>
      </w:r>
      <w:r>
        <w:rPr>
          <w:rStyle w:val="hps"/>
        </w:rPr>
        <w:t>фокус върху</w:t>
      </w:r>
      <w:r>
        <w:t xml:space="preserve"> </w:t>
      </w:r>
      <w:r>
        <w:rPr>
          <w:rStyle w:val="hps"/>
        </w:rPr>
        <w:t>подобряване на</w:t>
      </w:r>
      <w:r>
        <w:t xml:space="preserve"> </w:t>
      </w:r>
      <w:r>
        <w:rPr>
          <w:rStyle w:val="hps"/>
        </w:rPr>
        <w:t>конкурентноспособността на местния бизнес</w:t>
      </w:r>
      <w:r>
        <w:t xml:space="preserve"> </w:t>
      </w:r>
      <w:r>
        <w:rPr>
          <w:rStyle w:val="hps"/>
        </w:rPr>
        <w:t>и инвестиции</w:t>
      </w:r>
      <w:r>
        <w:t xml:space="preserve"> </w:t>
      </w:r>
      <w:r>
        <w:rPr>
          <w:rStyle w:val="hps"/>
        </w:rPr>
        <w:t>в модернизация.</w:t>
      </w:r>
      <w:r>
        <w:t xml:space="preserve"> </w:t>
      </w:r>
      <w:r>
        <w:rPr>
          <w:rStyle w:val="hps"/>
        </w:rPr>
        <w:t>В допълнение</w:t>
      </w:r>
      <w:r>
        <w:t xml:space="preserve">, Банката </w:t>
      </w:r>
      <w:r>
        <w:rPr>
          <w:rStyle w:val="hps"/>
        </w:rPr>
        <w:t>ще насърчава</w:t>
      </w:r>
      <w:r>
        <w:t xml:space="preserve"> </w:t>
      </w:r>
      <w:r>
        <w:rPr>
          <w:rStyle w:val="hps"/>
        </w:rPr>
        <w:t>търговските</w:t>
      </w:r>
      <w:r>
        <w:t xml:space="preserve"> </w:t>
      </w:r>
      <w:r>
        <w:rPr>
          <w:rStyle w:val="hps"/>
        </w:rPr>
        <w:t>структури и</w:t>
      </w:r>
      <w:r>
        <w:t xml:space="preserve"> </w:t>
      </w:r>
      <w:r>
        <w:rPr>
          <w:rStyle w:val="hps"/>
        </w:rPr>
        <w:t>участието на частния сектор</w:t>
      </w:r>
      <w:r>
        <w:t xml:space="preserve"> </w:t>
      </w:r>
      <w:r>
        <w:rPr>
          <w:rStyle w:val="hps"/>
        </w:rPr>
        <w:t>в областта на</w:t>
      </w:r>
      <w:r>
        <w:t xml:space="preserve"> </w:t>
      </w:r>
      <w:r>
        <w:rPr>
          <w:rStyle w:val="hps"/>
        </w:rPr>
        <w:t>общинската инфраструктура</w:t>
      </w:r>
      <w:r>
        <w:t>.</w:t>
      </w:r>
    </w:p>
    <w:p w:rsidR="007F733A" w:rsidRPr="007F733A" w:rsidRDefault="007F733A" w:rsidP="007F733A">
      <w:pPr>
        <w:shd w:val="clear" w:color="auto" w:fill="FFFFFF"/>
        <w:spacing w:before="240" w:line="239" w:lineRule="atLeast"/>
        <w:rPr>
          <w:rFonts w:ascii="Calibri" w:eastAsia="Calibri" w:hAnsi="Calibri" w:cs="Times New Roman"/>
          <w:b/>
          <w:i/>
          <w:color w:val="4F81BD"/>
        </w:rPr>
      </w:pPr>
      <w:r>
        <w:rPr>
          <w:rFonts w:ascii="Calibri" w:eastAsia="Calibri" w:hAnsi="Calibri" w:cs="Times New Roman"/>
          <w:b/>
          <w:i/>
          <w:color w:val="4F81BD"/>
        </w:rPr>
        <w:lastRenderedPageBreak/>
        <w:t>Форми на съфинансиране</w:t>
      </w:r>
    </w:p>
    <w:p w:rsidR="007F733A" w:rsidRPr="007F733A" w:rsidRDefault="007F733A" w:rsidP="007F733A">
      <w:pPr>
        <w:shd w:val="clear" w:color="auto" w:fill="FFFFFF"/>
        <w:spacing w:after="240" w:line="217" w:lineRule="atLeast"/>
        <w:rPr>
          <w:rStyle w:val="hps"/>
        </w:rPr>
      </w:pPr>
      <w:r>
        <w:rPr>
          <w:rStyle w:val="hps"/>
        </w:rPr>
        <w:t>Инструментите за синдикиране на заеми, най-често използвани от банката са</w:t>
      </w:r>
      <w:r w:rsidRPr="007F733A">
        <w:rPr>
          <w:rStyle w:val="hps"/>
        </w:rPr>
        <w:t>:</w:t>
      </w:r>
    </w:p>
    <w:p w:rsidR="007F733A" w:rsidRPr="00663C66" w:rsidRDefault="007F733A"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sidRPr="00663C66">
        <w:rPr>
          <w:rFonts w:asciiTheme="minorHAnsi" w:eastAsiaTheme="minorHAnsi" w:hAnsiTheme="minorHAnsi" w:cstheme="minorBidi"/>
          <w:bCs/>
          <w:sz w:val="22"/>
          <w:szCs w:val="22"/>
          <w:lang w:eastAsia="en-US"/>
        </w:rPr>
        <w:t xml:space="preserve">A/B </w:t>
      </w:r>
      <w:r w:rsidR="00663C66" w:rsidRPr="00663C66">
        <w:rPr>
          <w:rFonts w:asciiTheme="minorHAnsi" w:eastAsiaTheme="minorHAnsi" w:hAnsiTheme="minorHAnsi" w:cstheme="minorBidi"/>
          <w:bCs/>
          <w:sz w:val="22"/>
          <w:szCs w:val="22"/>
          <w:lang w:eastAsia="en-US"/>
        </w:rPr>
        <w:t xml:space="preserve">синдикирана заемна структура, в която ЕБВР е заемодателят на целия кредит, а търговските банки извличат ползи от статута на банката на преференциален кредитор </w:t>
      </w:r>
    </w:p>
    <w:p w:rsidR="007F733A" w:rsidRPr="00663C66" w:rsidRDefault="00663C66"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 xml:space="preserve">Предоставяне на част от заемите на ЕБВР на местни търговски банки за насърчаване на тяхното сътрудничество в средносрочното кредитиране </w:t>
      </w:r>
    </w:p>
    <w:p w:rsidR="007F733A" w:rsidRPr="00663C66" w:rsidRDefault="00663C66"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Съфинансиране с други международни финансови институции</w:t>
      </w:r>
    </w:p>
    <w:p w:rsidR="007F733A" w:rsidRPr="00663C66" w:rsidRDefault="00663C66"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Паралелно или съвместно финансиране на търговски банки</w:t>
      </w:r>
    </w:p>
    <w:p w:rsidR="007F733A" w:rsidRPr="00663C66" w:rsidRDefault="00663C66"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 xml:space="preserve">Паралелни заеми с търговски банки </w:t>
      </w:r>
    </w:p>
    <w:p w:rsidR="007F733A" w:rsidRPr="00663C66" w:rsidRDefault="00663C66"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 xml:space="preserve">Паралелни заеми с държавни агенции </w:t>
      </w:r>
    </w:p>
    <w:p w:rsidR="007F733A" w:rsidRPr="00663C66" w:rsidRDefault="00663C66"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Различни форми на гаранции</w:t>
      </w:r>
      <w:r w:rsidR="007F733A" w:rsidRPr="00663C66">
        <w:rPr>
          <w:rFonts w:asciiTheme="minorHAnsi" w:eastAsiaTheme="minorHAnsi" w:hAnsiTheme="minorHAnsi" w:cstheme="minorBidi"/>
          <w:bCs/>
          <w:sz w:val="22"/>
          <w:szCs w:val="22"/>
          <w:lang w:eastAsia="en-US"/>
        </w:rPr>
        <w:t> </w:t>
      </w:r>
    </w:p>
    <w:p w:rsidR="007F733A" w:rsidRPr="00663C66" w:rsidRDefault="00663C66"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 xml:space="preserve">Заемно съфинансиране на институционални инвеститори </w:t>
      </w:r>
    </w:p>
    <w:p w:rsidR="007F733A" w:rsidRDefault="007F733A" w:rsidP="007F733A">
      <w:pPr>
        <w:spacing w:after="0" w:line="240" w:lineRule="auto"/>
        <w:jc w:val="both"/>
        <w:rPr>
          <w:bCs/>
        </w:rPr>
      </w:pPr>
    </w:p>
    <w:p w:rsidR="00663C66" w:rsidRPr="00663C66" w:rsidRDefault="00663C66" w:rsidP="001A036E">
      <w:pPr>
        <w:numPr>
          <w:ilvl w:val="0"/>
          <w:numId w:val="58"/>
        </w:numPr>
        <w:rPr>
          <w:rFonts w:ascii="Calibri" w:eastAsia="Calibri" w:hAnsi="Calibri" w:cs="Times New Roman"/>
          <w:b/>
          <w:color w:val="4F81BD"/>
        </w:rPr>
      </w:pPr>
      <w:r w:rsidRPr="00663C66">
        <w:rPr>
          <w:rFonts w:ascii="Calibri" w:eastAsia="Calibri" w:hAnsi="Calibri" w:cs="Times New Roman"/>
          <w:b/>
          <w:color w:val="4F81BD"/>
        </w:rPr>
        <w:t>Светов</w:t>
      </w:r>
      <w:r>
        <w:rPr>
          <w:rFonts w:ascii="Calibri" w:eastAsia="Calibri" w:hAnsi="Calibri" w:cs="Times New Roman"/>
          <w:b/>
          <w:color w:val="4F81BD"/>
        </w:rPr>
        <w:t>на</w:t>
      </w:r>
      <w:r w:rsidRPr="00663C66">
        <w:rPr>
          <w:rFonts w:ascii="Calibri" w:eastAsia="Calibri" w:hAnsi="Calibri" w:cs="Times New Roman"/>
          <w:b/>
          <w:color w:val="4F81BD"/>
        </w:rPr>
        <w:t xml:space="preserve"> банка</w:t>
      </w:r>
      <w:r>
        <w:rPr>
          <w:rStyle w:val="FootnoteReference"/>
          <w:rFonts w:ascii="Calibri" w:eastAsia="Calibri" w:hAnsi="Calibri" w:cs="Times New Roman"/>
          <w:b/>
          <w:color w:val="4F81BD"/>
        </w:rPr>
        <w:footnoteReference w:id="43"/>
      </w:r>
    </w:p>
    <w:p w:rsidR="00663C66" w:rsidRDefault="00663C66" w:rsidP="00663C66">
      <w:pPr>
        <w:pStyle w:val="NormalWeb"/>
        <w:spacing w:before="0" w:beforeAutospacing="0" w:after="0" w:afterAutospacing="0"/>
        <w:jc w:val="both"/>
        <w:textAlignment w:val="baseline"/>
        <w:rPr>
          <w:rStyle w:val="hps"/>
          <w:rFonts w:asciiTheme="minorHAnsi" w:eastAsiaTheme="minorHAnsi" w:hAnsiTheme="minorHAnsi" w:cstheme="minorBidi"/>
          <w:sz w:val="22"/>
          <w:szCs w:val="22"/>
          <w:lang w:eastAsia="en-US"/>
        </w:rPr>
      </w:pPr>
      <w:r>
        <w:rPr>
          <w:rStyle w:val="hps"/>
          <w:rFonts w:asciiTheme="minorHAnsi" w:eastAsiaTheme="minorHAnsi" w:hAnsiTheme="minorHAnsi" w:cstheme="minorBidi"/>
          <w:sz w:val="22"/>
          <w:szCs w:val="22"/>
          <w:lang w:eastAsia="en-US"/>
        </w:rPr>
        <w:t>О</w:t>
      </w:r>
      <w:r w:rsidRPr="00663C66">
        <w:rPr>
          <w:rStyle w:val="hps"/>
          <w:rFonts w:asciiTheme="minorHAnsi" w:eastAsiaTheme="minorHAnsi" w:hAnsiTheme="minorHAnsi" w:cstheme="minorBidi"/>
          <w:sz w:val="22"/>
          <w:szCs w:val="22"/>
          <w:lang w:eastAsia="en-US"/>
        </w:rPr>
        <w:t>тк</w:t>
      </w:r>
      <w:r>
        <w:rPr>
          <w:rStyle w:val="hps"/>
          <w:rFonts w:asciiTheme="minorHAnsi" w:eastAsiaTheme="minorHAnsi" w:hAnsiTheme="minorHAnsi" w:cstheme="minorBidi"/>
          <w:sz w:val="22"/>
          <w:szCs w:val="22"/>
          <w:lang w:eastAsia="en-US"/>
        </w:rPr>
        <w:t>акто България се присъединява</w:t>
      </w:r>
      <w:r w:rsidRPr="00663C66">
        <w:rPr>
          <w:rStyle w:val="hps"/>
          <w:rFonts w:asciiTheme="minorHAnsi" w:eastAsiaTheme="minorHAnsi" w:hAnsiTheme="minorHAnsi" w:cstheme="minorBidi"/>
          <w:sz w:val="22"/>
          <w:szCs w:val="22"/>
          <w:lang w:eastAsia="en-US"/>
        </w:rPr>
        <w:t xml:space="preserve"> към групата на Световната банка през 1990 г., общата стойност на подкрепата за нея възлиза приблизително на 4 м</w:t>
      </w:r>
      <w:r>
        <w:rPr>
          <w:rStyle w:val="hps"/>
          <w:rFonts w:asciiTheme="minorHAnsi" w:eastAsiaTheme="minorHAnsi" w:hAnsiTheme="minorHAnsi" w:cstheme="minorBidi"/>
          <w:sz w:val="22"/>
          <w:szCs w:val="22"/>
          <w:lang w:eastAsia="en-US"/>
        </w:rPr>
        <w:t>лрд.</w:t>
      </w:r>
      <w:r w:rsidRPr="00663C66">
        <w:rPr>
          <w:rStyle w:val="hps"/>
          <w:rFonts w:asciiTheme="minorHAnsi" w:eastAsiaTheme="minorHAnsi" w:hAnsiTheme="minorHAnsi" w:cstheme="minorBidi"/>
          <w:sz w:val="22"/>
          <w:szCs w:val="22"/>
          <w:lang w:eastAsia="en-US"/>
        </w:rPr>
        <w:t xml:space="preserve"> щ.д.</w:t>
      </w:r>
    </w:p>
    <w:p w:rsidR="00663C66" w:rsidRPr="00663C66" w:rsidRDefault="00CD14DF" w:rsidP="00F272D9">
      <w:pPr>
        <w:pStyle w:val="NormalWeb"/>
        <w:spacing w:before="240" w:beforeAutospacing="0" w:after="0" w:afterAutospacing="0"/>
        <w:jc w:val="both"/>
        <w:textAlignment w:val="baseline"/>
        <w:rPr>
          <w:rStyle w:val="hps"/>
          <w:rFonts w:asciiTheme="minorHAnsi" w:eastAsiaTheme="minorHAnsi" w:hAnsiTheme="minorHAnsi" w:cstheme="minorBidi"/>
          <w:sz w:val="22"/>
          <w:szCs w:val="22"/>
          <w:lang w:eastAsia="en-US"/>
        </w:rPr>
      </w:pPr>
      <w:hyperlink r:id="rId63" w:history="1">
        <w:r w:rsidR="00663C66" w:rsidRPr="00663C66">
          <w:rPr>
            <w:rStyle w:val="hps"/>
            <w:rFonts w:asciiTheme="minorHAnsi" w:eastAsiaTheme="minorHAnsi" w:hAnsiTheme="minorHAnsi" w:cstheme="minorBidi"/>
            <w:sz w:val="22"/>
            <w:szCs w:val="22"/>
            <w:lang w:eastAsia="en-US"/>
          </w:rPr>
          <w:t>Стратегията за партньорство за България на групата на Световната банка</w:t>
        </w:r>
      </w:hyperlink>
      <w:r w:rsidR="00663C66" w:rsidRPr="00663C66">
        <w:rPr>
          <w:rStyle w:val="hps"/>
          <w:rFonts w:asciiTheme="minorHAnsi" w:eastAsiaTheme="minorHAnsi" w:hAnsiTheme="minorHAnsi" w:cstheme="minorBidi"/>
          <w:sz w:val="22"/>
          <w:szCs w:val="22"/>
          <w:lang w:eastAsia="en-US"/>
        </w:rPr>
        <w:t xml:space="preserve">, утвърдена през 2011 г. предоставя рамка за подкрепата в периода 2011-2013 г. Партньорство се съсредоточава върху България като държава член на ЕС, а основната роля на групата на Световната банка е да предоставя знания и аналитични услуги. Услугите за предоставяне на знания и консултантски услуги </w:t>
      </w:r>
      <w:r w:rsidR="00F272D9">
        <w:rPr>
          <w:rStyle w:val="hps"/>
          <w:rFonts w:asciiTheme="minorHAnsi" w:eastAsiaTheme="minorHAnsi" w:hAnsiTheme="minorHAnsi" w:cstheme="minorBidi"/>
          <w:sz w:val="22"/>
          <w:szCs w:val="22"/>
          <w:lang w:eastAsia="en-US"/>
        </w:rPr>
        <w:t>са с фокус</w:t>
      </w:r>
      <w:r w:rsidR="00663C66" w:rsidRPr="00663C66">
        <w:rPr>
          <w:rStyle w:val="hps"/>
          <w:rFonts w:asciiTheme="minorHAnsi" w:eastAsiaTheme="minorHAnsi" w:hAnsiTheme="minorHAnsi" w:cstheme="minorBidi"/>
          <w:sz w:val="22"/>
          <w:szCs w:val="22"/>
          <w:lang w:eastAsia="en-US"/>
        </w:rPr>
        <w:t xml:space="preserve"> върху п</w:t>
      </w:r>
      <w:r w:rsidR="00F272D9">
        <w:rPr>
          <w:rStyle w:val="hps"/>
          <w:rFonts w:asciiTheme="minorHAnsi" w:eastAsiaTheme="minorHAnsi" w:hAnsiTheme="minorHAnsi" w:cstheme="minorBidi"/>
          <w:sz w:val="22"/>
          <w:szCs w:val="22"/>
          <w:lang w:eastAsia="en-US"/>
        </w:rPr>
        <w:t>ътната и водната инфраструктура</w:t>
      </w:r>
      <w:r w:rsidR="00663C66" w:rsidRPr="00663C66">
        <w:rPr>
          <w:rStyle w:val="hps"/>
          <w:rFonts w:asciiTheme="minorHAnsi" w:eastAsiaTheme="minorHAnsi" w:hAnsiTheme="minorHAnsi" w:cstheme="minorBidi"/>
          <w:sz w:val="22"/>
          <w:szCs w:val="22"/>
          <w:lang w:eastAsia="en-US"/>
        </w:rPr>
        <w:t xml:space="preserve"> и иновациите.</w:t>
      </w:r>
    </w:p>
    <w:p w:rsidR="00663C66" w:rsidRPr="00663C66" w:rsidRDefault="00663C66" w:rsidP="00F272D9">
      <w:pPr>
        <w:pStyle w:val="NormalWeb"/>
        <w:spacing w:before="0" w:beforeAutospacing="0" w:after="300" w:afterAutospacing="0"/>
        <w:jc w:val="both"/>
        <w:textAlignment w:val="baseline"/>
        <w:rPr>
          <w:rStyle w:val="hps"/>
          <w:rFonts w:asciiTheme="minorHAnsi" w:eastAsiaTheme="minorHAnsi" w:hAnsiTheme="minorHAnsi" w:cstheme="minorBidi"/>
          <w:sz w:val="22"/>
          <w:szCs w:val="22"/>
          <w:lang w:eastAsia="en-US"/>
        </w:rPr>
      </w:pPr>
      <w:r w:rsidRPr="00663C66">
        <w:rPr>
          <w:rStyle w:val="hps"/>
          <w:rFonts w:asciiTheme="minorHAnsi" w:eastAsiaTheme="minorHAnsi" w:hAnsiTheme="minorHAnsi" w:cstheme="minorBidi"/>
          <w:sz w:val="22"/>
          <w:szCs w:val="22"/>
          <w:lang w:eastAsia="en-US"/>
        </w:rPr>
        <w:br/>
        <w:t xml:space="preserve">Към април 2014 г. активният портфейл от проекти финансирани от Световната банка в България включва три дейности с първоначален ангажимент на обща стойност равняваща се на 212.9 млн. щатски долара. </w:t>
      </w:r>
    </w:p>
    <w:p w:rsidR="00663C66" w:rsidRDefault="00F272D9" w:rsidP="007F733A">
      <w:pPr>
        <w:spacing w:after="0" w:line="240" w:lineRule="auto"/>
        <w:jc w:val="both"/>
        <w:rPr>
          <w:rStyle w:val="hps"/>
        </w:rPr>
      </w:pPr>
      <w:r>
        <w:rPr>
          <w:bCs/>
        </w:rPr>
        <w:t xml:space="preserve">Един от </w:t>
      </w:r>
      <w:r w:rsidRPr="00F272D9">
        <w:rPr>
          <w:rStyle w:val="hps"/>
        </w:rPr>
        <w:t xml:space="preserve">най-мащабните проекти на Световната банка е Проектът за развитие на общинската инфраструктура , който цели да се подобри надеждността и качеството на водоснабдяването за общности в определени населени места в района на проекта и да подпомогне общините </w:t>
      </w:r>
      <w:r>
        <w:rPr>
          <w:rStyle w:val="hps"/>
        </w:rPr>
        <w:t>в инвестиционното планиране за В</w:t>
      </w:r>
      <w:r w:rsidRPr="00F272D9">
        <w:rPr>
          <w:rStyle w:val="hps"/>
        </w:rPr>
        <w:t>одния сектор. По проекта се предоставя подкрепа за изготвянето на регионалните генерални планове за системите за водоснабдяване и канализация и доизграждането на три язовира, чието строителство е било преустановено преди около 20 години, както и рехабилитацията на още един, четвърти язовир, който е в експлоатация.</w:t>
      </w:r>
      <w:r>
        <w:rPr>
          <w:rStyle w:val="hps"/>
        </w:rPr>
        <w:t xml:space="preserve"> Проектът е финансиран със заем от банката на обща стойност 148,3 млн. щ.д.</w:t>
      </w:r>
    </w:p>
    <w:p w:rsidR="00F272D9" w:rsidRDefault="00F272D9" w:rsidP="007F733A">
      <w:pPr>
        <w:spacing w:after="0" w:line="240" w:lineRule="auto"/>
        <w:jc w:val="both"/>
        <w:rPr>
          <w:rStyle w:val="hps"/>
        </w:rPr>
      </w:pPr>
    </w:p>
    <w:p w:rsidR="00F272D9" w:rsidRDefault="00113931" w:rsidP="007F733A">
      <w:pPr>
        <w:spacing w:after="0" w:line="240" w:lineRule="auto"/>
        <w:jc w:val="both"/>
        <w:rPr>
          <w:bCs/>
        </w:rPr>
      </w:pPr>
      <w:r>
        <w:rPr>
          <w:bCs/>
        </w:rPr>
        <w:t>Световната банка предлага следните продукти, които могат да бъдат използвани в сектор Околна среда:</w:t>
      </w:r>
    </w:p>
    <w:p w:rsidR="00113931" w:rsidRPr="00113931" w:rsidRDefault="00113931" w:rsidP="00113931">
      <w:pPr>
        <w:shd w:val="clear" w:color="auto" w:fill="FFFFFF"/>
        <w:spacing w:before="240" w:line="239" w:lineRule="atLeast"/>
        <w:rPr>
          <w:rFonts w:ascii="Calibri" w:eastAsia="Calibri" w:hAnsi="Calibri" w:cs="Times New Roman"/>
          <w:b/>
          <w:i/>
          <w:color w:val="4F81BD"/>
        </w:rPr>
      </w:pPr>
      <w:r>
        <w:rPr>
          <w:rFonts w:ascii="Calibri" w:eastAsia="Calibri" w:hAnsi="Calibri" w:cs="Times New Roman"/>
          <w:b/>
          <w:i/>
          <w:color w:val="4F81BD"/>
        </w:rPr>
        <w:t xml:space="preserve">Финансиране на инвестиционни проекти </w:t>
      </w:r>
    </w:p>
    <w:p w:rsidR="00113931" w:rsidRPr="00113931" w:rsidRDefault="00113931" w:rsidP="00113931">
      <w:pPr>
        <w:spacing w:after="0" w:line="240" w:lineRule="auto"/>
        <w:jc w:val="both"/>
        <w:rPr>
          <w:bCs/>
        </w:rPr>
      </w:pPr>
      <w:r w:rsidRPr="00113931">
        <w:rPr>
          <w:bCs/>
        </w:rPr>
        <w:t xml:space="preserve">Използва се във всички сектори с фокус върху инфраструктурата, човешките ресурси и публичната администрация. Инструментът предоставя дългосрочни заеми (5 до 10 години) и подкрепя широк кръг от дейности, вкл. капиталови инвестиции, заеми и гаранции.  </w:t>
      </w:r>
    </w:p>
    <w:p w:rsidR="00113931" w:rsidRPr="00113931" w:rsidRDefault="00113931" w:rsidP="00113931">
      <w:pPr>
        <w:spacing w:before="240" w:after="0" w:line="240" w:lineRule="auto"/>
        <w:jc w:val="both"/>
        <w:rPr>
          <w:bCs/>
        </w:rPr>
      </w:pPr>
      <w:r w:rsidRPr="00113931">
        <w:rPr>
          <w:bCs/>
        </w:rPr>
        <w:lastRenderedPageBreak/>
        <w:t xml:space="preserve">За разлика от търговското кредитиране, този механизъм подкрепя страните както с необходимия финансов ресурс, </w:t>
      </w:r>
      <w:r>
        <w:rPr>
          <w:bCs/>
        </w:rPr>
        <w:t>така</w:t>
      </w:r>
      <w:r w:rsidRPr="00113931">
        <w:rPr>
          <w:bCs/>
        </w:rPr>
        <w:t xml:space="preserve"> и с техническа помощ. Това включва експертиза за анализи и проектиране във фазата на подготовка на проектите, техническа помощ (вкл. по управление) по време на изпълнението и институционална подкрепа. </w:t>
      </w:r>
    </w:p>
    <w:p w:rsidR="00113931" w:rsidRPr="00113931" w:rsidRDefault="009E54A1" w:rsidP="00113931">
      <w:pPr>
        <w:shd w:val="clear" w:color="auto" w:fill="FFFFFF"/>
        <w:spacing w:before="240" w:line="239" w:lineRule="atLeast"/>
        <w:rPr>
          <w:rFonts w:ascii="Calibri" w:eastAsia="Calibri" w:hAnsi="Calibri" w:cs="Times New Roman"/>
          <w:b/>
          <w:i/>
          <w:color w:val="4F81BD"/>
        </w:rPr>
      </w:pPr>
      <w:r>
        <w:rPr>
          <w:rFonts w:ascii="Calibri" w:eastAsia="Calibri" w:hAnsi="Calibri" w:cs="Times New Roman"/>
          <w:b/>
          <w:i/>
          <w:color w:val="4F81BD"/>
        </w:rPr>
        <w:t>Механизъм</w:t>
      </w:r>
      <w:r w:rsidR="00113931">
        <w:rPr>
          <w:rFonts w:ascii="Calibri" w:eastAsia="Calibri" w:hAnsi="Calibri" w:cs="Times New Roman"/>
          <w:b/>
          <w:i/>
          <w:color w:val="4F81BD"/>
        </w:rPr>
        <w:t xml:space="preserve"> за разработване на политики</w:t>
      </w:r>
    </w:p>
    <w:p w:rsidR="00113931" w:rsidRPr="009E54A1" w:rsidRDefault="009E54A1" w:rsidP="009E54A1">
      <w:pPr>
        <w:spacing w:before="240" w:after="0" w:line="240" w:lineRule="auto"/>
        <w:jc w:val="both"/>
        <w:rPr>
          <w:bCs/>
        </w:rPr>
      </w:pPr>
      <w:r w:rsidRPr="009E54A1">
        <w:rPr>
          <w:bCs/>
        </w:rPr>
        <w:t xml:space="preserve">Предоставя финансиране за адресиране на нуждите на клиентите </w:t>
      </w:r>
      <w:r>
        <w:rPr>
          <w:bCs/>
        </w:rPr>
        <w:t>от настояща или очаквана необходимост за развитие.  Механизмът подпомага заемополучателя да постигне устойчиво развитие чрез програми и институционални действия, в т.ч. мерки за справяне с изменението на климата. Схемата и обхвата на финансиране се определя в зависимост от Стратегията за партньорство на банката със съответната страна</w:t>
      </w:r>
      <w:r w:rsidR="00113931" w:rsidRPr="009E54A1">
        <w:rPr>
          <w:bCs/>
        </w:rPr>
        <w:t>.</w:t>
      </w:r>
    </w:p>
    <w:p w:rsidR="00113931" w:rsidRPr="009E54A1" w:rsidRDefault="009E54A1" w:rsidP="009E54A1">
      <w:pPr>
        <w:spacing w:before="240" w:after="0" w:line="240" w:lineRule="auto"/>
        <w:jc w:val="both"/>
        <w:rPr>
          <w:bCs/>
        </w:rPr>
      </w:pPr>
      <w:r>
        <w:rPr>
          <w:bCs/>
        </w:rPr>
        <w:t>Механизмът набляга на консултациите със заинтересованите страни, координация с донора и резултатите и изисква систематичен преглед на дов</w:t>
      </w:r>
      <w:r w:rsidR="00A43A22">
        <w:rPr>
          <w:bCs/>
        </w:rPr>
        <w:t>ерителния риск, както и потенциа</w:t>
      </w:r>
      <w:r>
        <w:rPr>
          <w:bCs/>
        </w:rPr>
        <w:t>лните последствия върху околната среда и ефекта от подкрепяните политики.  Финансирането може да бъде предоставено чрез заеми или БФП. Средствата се отпускат на клиентите на база на</w:t>
      </w:r>
      <w:r w:rsidR="00113931" w:rsidRPr="009E54A1">
        <w:rPr>
          <w:bCs/>
        </w:rPr>
        <w:t>:</w:t>
      </w:r>
    </w:p>
    <w:p w:rsidR="00113931" w:rsidRPr="009E54A1" w:rsidRDefault="009E54A1" w:rsidP="001A036E">
      <w:pPr>
        <w:pStyle w:val="NormalWeb"/>
        <w:numPr>
          <w:ilvl w:val="0"/>
          <w:numId w:val="68"/>
        </w:numPr>
        <w:shd w:val="clear" w:color="auto" w:fill="FFFFFF"/>
        <w:spacing w:before="24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 xml:space="preserve">Поддържане на адекватна макроикономическа рамка, определена от банката с помощта на МВФ </w:t>
      </w:r>
    </w:p>
    <w:p w:rsidR="00113931" w:rsidRPr="009E54A1" w:rsidRDefault="009E54A1"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Задоволително изпълнение на цялостната програма за реформи</w:t>
      </w:r>
    </w:p>
    <w:p w:rsidR="00113931" w:rsidRPr="009E54A1" w:rsidRDefault="009E54A1" w:rsidP="001A036E">
      <w:pPr>
        <w:pStyle w:val="NormalWeb"/>
        <w:numPr>
          <w:ilvl w:val="0"/>
          <w:numId w:val="68"/>
        </w:numPr>
        <w:shd w:val="clear" w:color="auto" w:fill="FFFFFF"/>
        <w:spacing w:before="0" w:beforeAutospacing="0" w:after="0" w:afterAutospacing="0" w:line="258" w:lineRule="atLeast"/>
        <w:jc w:val="both"/>
        <w:rPr>
          <w:rFonts w:asciiTheme="minorHAnsi" w:eastAsiaTheme="minorHAnsi" w:hAnsiTheme="minorHAnsi" w:cstheme="minorBidi"/>
          <w:bCs/>
          <w:sz w:val="22"/>
          <w:szCs w:val="22"/>
          <w:lang w:eastAsia="en-US"/>
        </w:rPr>
      </w:pPr>
      <w:r>
        <w:rPr>
          <w:rFonts w:asciiTheme="minorHAnsi" w:eastAsiaTheme="minorHAnsi" w:hAnsiTheme="minorHAnsi" w:cstheme="minorBidi"/>
          <w:bCs/>
          <w:sz w:val="22"/>
          <w:szCs w:val="22"/>
          <w:lang w:eastAsia="en-US"/>
        </w:rPr>
        <w:t>Изпълнение на набор от ключови политики и институционални мерки договорени между банката и клиента</w:t>
      </w:r>
      <w:r w:rsidR="00113931" w:rsidRPr="009E54A1">
        <w:rPr>
          <w:rFonts w:asciiTheme="minorHAnsi" w:eastAsiaTheme="minorHAnsi" w:hAnsiTheme="minorHAnsi" w:cstheme="minorBidi"/>
          <w:bCs/>
          <w:sz w:val="22"/>
          <w:szCs w:val="22"/>
          <w:lang w:eastAsia="en-US"/>
        </w:rPr>
        <w:t>.</w:t>
      </w:r>
    </w:p>
    <w:p w:rsidR="00113931" w:rsidRDefault="00113931" w:rsidP="007F733A">
      <w:pPr>
        <w:spacing w:after="0" w:line="240" w:lineRule="auto"/>
        <w:jc w:val="both"/>
        <w:rPr>
          <w:bCs/>
        </w:rPr>
      </w:pPr>
    </w:p>
    <w:p w:rsidR="000F7888" w:rsidRPr="00A43A22" w:rsidRDefault="000F7888" w:rsidP="001A036E">
      <w:pPr>
        <w:numPr>
          <w:ilvl w:val="0"/>
          <w:numId w:val="58"/>
        </w:numPr>
        <w:rPr>
          <w:rFonts w:ascii="Calibri" w:eastAsia="Calibri" w:hAnsi="Calibri" w:cs="Times New Roman"/>
          <w:b/>
          <w:color w:val="4F81BD"/>
        </w:rPr>
      </w:pPr>
      <w:r w:rsidRPr="00A43A22">
        <w:rPr>
          <w:rFonts w:ascii="Calibri" w:eastAsia="Calibri" w:hAnsi="Calibri" w:cs="Times New Roman"/>
          <w:b/>
          <w:color w:val="4F81BD"/>
        </w:rPr>
        <w:t>Банката з</w:t>
      </w:r>
      <w:r w:rsidR="00A43A22" w:rsidRPr="00A43A22">
        <w:rPr>
          <w:rFonts w:ascii="Calibri" w:eastAsia="Calibri" w:hAnsi="Calibri" w:cs="Times New Roman"/>
          <w:b/>
          <w:color w:val="4F81BD"/>
        </w:rPr>
        <w:t>а развитие към Съвета на Европа</w:t>
      </w:r>
      <w:r w:rsidR="00A43A22">
        <w:rPr>
          <w:rStyle w:val="FootnoteReference"/>
          <w:rFonts w:ascii="Calibri" w:eastAsia="Calibri" w:hAnsi="Calibri" w:cs="Times New Roman"/>
          <w:b/>
          <w:color w:val="4F81BD"/>
        </w:rPr>
        <w:footnoteReference w:id="44"/>
      </w:r>
    </w:p>
    <w:p w:rsidR="000F7888" w:rsidRPr="00A44E1B" w:rsidRDefault="00A43A22" w:rsidP="00A43A22">
      <w:pPr>
        <w:pStyle w:val="ListParagraph"/>
        <w:spacing w:after="0" w:line="240" w:lineRule="auto"/>
        <w:ind w:left="0"/>
        <w:jc w:val="both"/>
      </w:pPr>
      <w:r>
        <w:t>Финансира</w:t>
      </w:r>
      <w:r w:rsidR="000F7888" w:rsidRPr="00A44E1B">
        <w:t xml:space="preserve"> проекти за опазване на околната среда</w:t>
      </w:r>
      <w:r>
        <w:t>, в т.ч.</w:t>
      </w:r>
      <w:r w:rsidR="000F7888" w:rsidRPr="00A44E1B">
        <w:t>:</w:t>
      </w:r>
    </w:p>
    <w:p w:rsidR="000F7888" w:rsidRPr="00A43A22" w:rsidRDefault="000F7888" w:rsidP="001A036E">
      <w:pPr>
        <w:pStyle w:val="NormalWeb"/>
        <w:numPr>
          <w:ilvl w:val="0"/>
          <w:numId w:val="67"/>
        </w:numPr>
        <w:shd w:val="clear" w:color="auto" w:fill="FFFFFF"/>
        <w:spacing w:before="240" w:beforeAutospacing="0" w:after="0" w:afterAutospacing="0" w:line="258" w:lineRule="atLeast"/>
        <w:jc w:val="both"/>
        <w:rPr>
          <w:rFonts w:asciiTheme="minorHAnsi" w:eastAsiaTheme="minorHAnsi" w:hAnsiTheme="minorHAnsi" w:cstheme="minorBidi"/>
          <w:sz w:val="22"/>
          <w:szCs w:val="22"/>
          <w:lang w:eastAsia="en-US"/>
        </w:rPr>
      </w:pPr>
      <w:r w:rsidRPr="00A43A22">
        <w:rPr>
          <w:rFonts w:asciiTheme="minorHAnsi" w:eastAsiaTheme="minorHAnsi" w:hAnsiTheme="minorHAnsi" w:cstheme="minorBidi"/>
          <w:sz w:val="22"/>
          <w:szCs w:val="22"/>
          <w:lang w:eastAsia="en-US"/>
        </w:rPr>
        <w:t>Намаляване и третиране на твърди и течни отпад</w:t>
      </w:r>
      <w:r w:rsidR="00A43A22">
        <w:rPr>
          <w:rFonts w:asciiTheme="minorHAnsi" w:eastAsiaTheme="minorHAnsi" w:hAnsiTheme="minorHAnsi" w:cstheme="minorBidi"/>
          <w:sz w:val="22"/>
          <w:szCs w:val="22"/>
          <w:lang w:eastAsia="en-US"/>
        </w:rPr>
        <w:t>ъ</w:t>
      </w:r>
      <w:r w:rsidRPr="00A43A22">
        <w:rPr>
          <w:rFonts w:asciiTheme="minorHAnsi" w:eastAsiaTheme="minorHAnsi" w:hAnsiTheme="minorHAnsi" w:cstheme="minorBidi"/>
          <w:sz w:val="22"/>
          <w:szCs w:val="22"/>
          <w:lang w:eastAsia="en-US"/>
        </w:rPr>
        <w:t>ци;</w:t>
      </w:r>
    </w:p>
    <w:p w:rsidR="000F7888" w:rsidRPr="00A43A22" w:rsidRDefault="000F7888" w:rsidP="001A036E">
      <w:pPr>
        <w:pStyle w:val="NormalWeb"/>
        <w:numPr>
          <w:ilvl w:val="0"/>
          <w:numId w:val="67"/>
        </w:numPr>
        <w:shd w:val="clear" w:color="auto" w:fill="FFFFFF"/>
        <w:spacing w:before="0" w:beforeAutospacing="0" w:after="0" w:afterAutospacing="0" w:line="258" w:lineRule="atLeast"/>
        <w:jc w:val="both"/>
        <w:rPr>
          <w:rFonts w:asciiTheme="minorHAnsi" w:eastAsiaTheme="minorHAnsi" w:hAnsiTheme="minorHAnsi" w:cstheme="minorBidi"/>
          <w:sz w:val="22"/>
          <w:szCs w:val="22"/>
          <w:lang w:eastAsia="en-US"/>
        </w:rPr>
      </w:pPr>
      <w:r w:rsidRPr="00A43A22">
        <w:rPr>
          <w:rFonts w:asciiTheme="minorHAnsi" w:eastAsiaTheme="minorHAnsi" w:hAnsiTheme="minorHAnsi" w:cstheme="minorBidi"/>
          <w:sz w:val="22"/>
          <w:szCs w:val="22"/>
          <w:lang w:eastAsia="en-US"/>
        </w:rPr>
        <w:t>Почистване и опазване на повърхностни и подпочвени води;</w:t>
      </w:r>
    </w:p>
    <w:p w:rsidR="000F7888" w:rsidRPr="00A43A22" w:rsidRDefault="000F7888" w:rsidP="001A036E">
      <w:pPr>
        <w:pStyle w:val="NormalWeb"/>
        <w:numPr>
          <w:ilvl w:val="0"/>
          <w:numId w:val="67"/>
        </w:numPr>
        <w:shd w:val="clear" w:color="auto" w:fill="FFFFFF"/>
        <w:spacing w:before="0" w:beforeAutospacing="0" w:after="0" w:afterAutospacing="0" w:line="258" w:lineRule="atLeast"/>
        <w:jc w:val="both"/>
        <w:rPr>
          <w:rFonts w:asciiTheme="minorHAnsi" w:eastAsiaTheme="minorHAnsi" w:hAnsiTheme="minorHAnsi" w:cstheme="minorBidi"/>
          <w:sz w:val="22"/>
          <w:szCs w:val="22"/>
          <w:lang w:eastAsia="en-US"/>
        </w:rPr>
      </w:pPr>
      <w:r w:rsidRPr="00A43A22">
        <w:rPr>
          <w:rFonts w:asciiTheme="minorHAnsi" w:eastAsiaTheme="minorHAnsi" w:hAnsiTheme="minorHAnsi" w:cstheme="minorBidi"/>
          <w:sz w:val="22"/>
          <w:szCs w:val="22"/>
          <w:lang w:eastAsia="en-US"/>
        </w:rPr>
        <w:t>Рекултивиране на почви и почис</w:t>
      </w:r>
      <w:r w:rsidR="00A43A22">
        <w:rPr>
          <w:rFonts w:asciiTheme="minorHAnsi" w:eastAsiaTheme="minorHAnsi" w:hAnsiTheme="minorHAnsi" w:cstheme="minorBidi"/>
          <w:sz w:val="22"/>
          <w:szCs w:val="22"/>
          <w:lang w:eastAsia="en-US"/>
        </w:rPr>
        <w:t>тване на води (decontamination).</w:t>
      </w:r>
    </w:p>
    <w:p w:rsidR="000F7888" w:rsidRPr="00A43A22" w:rsidRDefault="000F7888" w:rsidP="00A43A22">
      <w:pPr>
        <w:pStyle w:val="NormalWeb"/>
        <w:shd w:val="clear" w:color="auto" w:fill="FFFFFF"/>
        <w:spacing w:before="240" w:beforeAutospacing="0" w:after="0" w:afterAutospacing="0" w:line="258" w:lineRule="atLeast"/>
        <w:jc w:val="both"/>
        <w:rPr>
          <w:rFonts w:asciiTheme="minorHAnsi" w:eastAsiaTheme="minorHAnsi" w:hAnsiTheme="minorHAnsi" w:cstheme="minorBidi"/>
          <w:sz w:val="22"/>
          <w:szCs w:val="22"/>
          <w:lang w:eastAsia="en-US"/>
        </w:rPr>
      </w:pPr>
      <w:r w:rsidRPr="00A43A22">
        <w:rPr>
          <w:rFonts w:asciiTheme="minorHAnsi" w:eastAsiaTheme="minorHAnsi" w:hAnsiTheme="minorHAnsi" w:cstheme="minorBidi"/>
          <w:sz w:val="22"/>
          <w:szCs w:val="22"/>
          <w:lang w:eastAsia="en-US"/>
        </w:rPr>
        <w:t>Проектите</w:t>
      </w:r>
      <w:r w:rsidR="00A43A22">
        <w:rPr>
          <w:rFonts w:asciiTheme="minorHAnsi" w:eastAsiaTheme="minorHAnsi" w:hAnsiTheme="minorHAnsi" w:cstheme="minorBidi"/>
          <w:sz w:val="22"/>
          <w:szCs w:val="22"/>
          <w:lang w:eastAsia="en-US"/>
        </w:rPr>
        <w:t xml:space="preserve"> трябва да се изпълняват от МСП. </w:t>
      </w:r>
      <w:r w:rsidRPr="00A43A22">
        <w:rPr>
          <w:rFonts w:asciiTheme="minorHAnsi" w:eastAsiaTheme="minorHAnsi" w:hAnsiTheme="minorHAnsi" w:cstheme="minorBidi"/>
          <w:sz w:val="22"/>
          <w:szCs w:val="22"/>
          <w:lang w:eastAsia="en-US"/>
        </w:rPr>
        <w:t>Допустими са и инвестиции</w:t>
      </w:r>
      <w:r w:rsidR="00A43A22">
        <w:rPr>
          <w:rFonts w:asciiTheme="minorHAnsi" w:eastAsiaTheme="minorHAnsi" w:hAnsiTheme="minorHAnsi" w:cstheme="minorBidi"/>
          <w:sz w:val="22"/>
          <w:szCs w:val="22"/>
          <w:lang w:eastAsia="en-US"/>
        </w:rPr>
        <w:t xml:space="preserve"> на предприятия за създаване</w:t>
      </w:r>
      <w:r w:rsidRPr="00A43A22">
        <w:rPr>
          <w:rFonts w:asciiTheme="minorHAnsi" w:eastAsiaTheme="minorHAnsi" w:hAnsiTheme="minorHAnsi" w:cstheme="minorBidi"/>
          <w:sz w:val="22"/>
          <w:szCs w:val="22"/>
          <w:lang w:eastAsia="en-US"/>
        </w:rPr>
        <w:t xml:space="preserve"> на инфраструктура за третиране на твърди и течни отпадъци и отпадъчни води, които не са пр</w:t>
      </w:r>
      <w:r w:rsidR="00A43A22">
        <w:rPr>
          <w:rFonts w:asciiTheme="minorHAnsi" w:eastAsiaTheme="minorHAnsi" w:hAnsiTheme="minorHAnsi" w:cstheme="minorBidi"/>
          <w:sz w:val="22"/>
          <w:szCs w:val="22"/>
          <w:lang w:eastAsia="en-US"/>
        </w:rPr>
        <w:t xml:space="preserve">оизведени от самите предприятия. </w:t>
      </w:r>
      <w:r w:rsidRPr="00A43A22">
        <w:rPr>
          <w:rFonts w:asciiTheme="minorHAnsi" w:eastAsiaTheme="minorHAnsi" w:hAnsiTheme="minorHAnsi" w:cstheme="minorBidi"/>
          <w:sz w:val="22"/>
          <w:szCs w:val="22"/>
          <w:lang w:eastAsia="en-US"/>
        </w:rPr>
        <w:t>Проектите трябва да облагодетелстват населе</w:t>
      </w:r>
      <w:r w:rsidR="00A43A22">
        <w:rPr>
          <w:rFonts w:asciiTheme="minorHAnsi" w:eastAsiaTheme="minorHAnsi" w:hAnsiTheme="minorHAnsi" w:cstheme="minorBidi"/>
          <w:sz w:val="22"/>
          <w:szCs w:val="22"/>
          <w:lang w:eastAsia="en-US"/>
        </w:rPr>
        <w:t xml:space="preserve">ние на местно и регионално ниво. </w:t>
      </w:r>
    </w:p>
    <w:p w:rsidR="00A43A22" w:rsidRPr="00A44E1B" w:rsidRDefault="00A43A22" w:rsidP="00A43A22">
      <w:pPr>
        <w:pStyle w:val="ListParagraph"/>
        <w:spacing w:after="0" w:line="240" w:lineRule="auto"/>
        <w:ind w:left="1985"/>
        <w:jc w:val="both"/>
      </w:pPr>
    </w:p>
    <w:p w:rsidR="000F7888" w:rsidRPr="00A43A22" w:rsidRDefault="000F7888" w:rsidP="00A43A22">
      <w:pPr>
        <w:pStyle w:val="NormalWeb"/>
        <w:shd w:val="clear" w:color="auto" w:fill="FFFFFF"/>
        <w:spacing w:before="0" w:beforeAutospacing="0" w:after="136" w:afterAutospacing="0" w:line="258" w:lineRule="atLeast"/>
        <w:ind w:left="720"/>
        <w:rPr>
          <w:rFonts w:asciiTheme="minorHAnsi" w:eastAsiaTheme="minorHAnsi" w:hAnsiTheme="minorHAnsi" w:cstheme="minorBidi"/>
          <w:i/>
          <w:sz w:val="22"/>
          <w:szCs w:val="22"/>
          <w:u w:val="single"/>
          <w:lang w:eastAsia="en-US"/>
        </w:rPr>
      </w:pPr>
      <w:r w:rsidRPr="00A43A22">
        <w:rPr>
          <w:rFonts w:asciiTheme="minorHAnsi" w:eastAsiaTheme="minorHAnsi" w:hAnsiTheme="minorHAnsi" w:cstheme="minorBidi"/>
          <w:i/>
          <w:sz w:val="22"/>
          <w:szCs w:val="22"/>
          <w:u w:val="single"/>
          <w:lang w:eastAsia="en-US"/>
        </w:rPr>
        <w:t>Начин на финансиране:</w:t>
      </w:r>
    </w:p>
    <w:p w:rsidR="000F7888" w:rsidRPr="00A44E1B" w:rsidRDefault="000F7888" w:rsidP="00DF6FCF">
      <w:pPr>
        <w:pStyle w:val="ListParagraph"/>
        <w:numPr>
          <w:ilvl w:val="2"/>
          <w:numId w:val="33"/>
        </w:numPr>
        <w:spacing w:after="0" w:line="240" w:lineRule="auto"/>
        <w:ind w:left="1985" w:hanging="425"/>
        <w:jc w:val="both"/>
      </w:pPr>
      <w:r w:rsidRPr="00A44E1B">
        <w:t>Финансиране на точно определени проекти;</w:t>
      </w:r>
    </w:p>
    <w:p w:rsidR="000F7888" w:rsidRPr="00A44E1B" w:rsidRDefault="000F7888" w:rsidP="00DF6FCF">
      <w:pPr>
        <w:pStyle w:val="ListParagraph"/>
        <w:numPr>
          <w:ilvl w:val="2"/>
          <w:numId w:val="33"/>
        </w:numPr>
        <w:spacing w:after="0" w:line="240" w:lineRule="auto"/>
        <w:ind w:left="1985" w:hanging="425"/>
        <w:jc w:val="both"/>
      </w:pPr>
      <w:r w:rsidRPr="00A44E1B">
        <w:t>Финансиране на програми, по които се финансират определен тип проекти;</w:t>
      </w:r>
    </w:p>
    <w:p w:rsidR="000F7888" w:rsidRPr="00A44E1B" w:rsidRDefault="00E74BDD" w:rsidP="00DF6FCF">
      <w:pPr>
        <w:pStyle w:val="ListParagraph"/>
        <w:numPr>
          <w:ilvl w:val="2"/>
          <w:numId w:val="33"/>
        </w:numPr>
        <w:spacing w:after="0" w:line="240" w:lineRule="auto"/>
        <w:ind w:left="1985" w:hanging="425"/>
        <w:jc w:val="both"/>
      </w:pPr>
      <w:r>
        <w:t>С</w:t>
      </w:r>
      <w:r w:rsidR="000F7888" w:rsidRPr="00A44E1B">
        <w:t>ъфинансиране на инвестиции, които са финансирани от ЕС на ниво държава в секторите, определени за приоритетни за БРСЕ;</w:t>
      </w:r>
    </w:p>
    <w:p w:rsidR="00A43A22" w:rsidRDefault="000F7888" w:rsidP="00DF6FCF">
      <w:pPr>
        <w:pStyle w:val="ListParagraph"/>
        <w:numPr>
          <w:ilvl w:val="2"/>
          <w:numId w:val="33"/>
        </w:numPr>
        <w:spacing w:after="0" w:line="240" w:lineRule="auto"/>
        <w:ind w:left="1985" w:hanging="425"/>
        <w:jc w:val="both"/>
      </w:pPr>
      <w:r w:rsidRPr="00A44E1B">
        <w:t xml:space="preserve">Продукт за финансиране на публичния сектор  - за покриване на временен финансов недостиг в публичния сектор и </w:t>
      </w:r>
      <w:r w:rsidR="00A43A22">
        <w:t>за улесняване на</w:t>
      </w:r>
      <w:r w:rsidRPr="00A44E1B">
        <w:t xml:space="preserve"> бъдещи инвестиции и реформаторски програми в секторите, оп</w:t>
      </w:r>
      <w:r w:rsidR="00A43A22">
        <w:t>ределени за приоритетни за БРСЕ;</w:t>
      </w:r>
      <w:r w:rsidRPr="00A44E1B">
        <w:t xml:space="preserve"> </w:t>
      </w:r>
    </w:p>
    <w:p w:rsidR="000F7888" w:rsidRPr="00A44E1B" w:rsidRDefault="00A43A22" w:rsidP="00DF6FCF">
      <w:pPr>
        <w:pStyle w:val="ListParagraph"/>
        <w:numPr>
          <w:ilvl w:val="2"/>
          <w:numId w:val="33"/>
        </w:numPr>
        <w:spacing w:after="0" w:line="240" w:lineRule="auto"/>
        <w:ind w:left="1985" w:hanging="425"/>
        <w:jc w:val="both"/>
      </w:pPr>
      <w:r>
        <w:t>Може да изиска</w:t>
      </w:r>
      <w:r w:rsidR="000F7888" w:rsidRPr="00A44E1B">
        <w:t xml:space="preserve"> предоставяне на дър</w:t>
      </w:r>
      <w:r>
        <w:t>жавна гаранция за финансирането.</w:t>
      </w:r>
    </w:p>
    <w:p w:rsidR="000F7888" w:rsidRPr="00A44E1B" w:rsidRDefault="000F7888" w:rsidP="000F7888">
      <w:pPr>
        <w:spacing w:line="240" w:lineRule="auto"/>
        <w:jc w:val="both"/>
        <w:rPr>
          <w:b/>
          <w:bCs/>
        </w:rPr>
      </w:pPr>
    </w:p>
    <w:p w:rsidR="000F7888" w:rsidRPr="00A43A22" w:rsidRDefault="000F7888" w:rsidP="001A036E">
      <w:pPr>
        <w:numPr>
          <w:ilvl w:val="0"/>
          <w:numId w:val="58"/>
        </w:numPr>
        <w:rPr>
          <w:rFonts w:ascii="Calibri" w:eastAsia="Calibri" w:hAnsi="Calibri" w:cs="Times New Roman"/>
          <w:b/>
          <w:color w:val="4F81BD"/>
        </w:rPr>
      </w:pPr>
      <w:r w:rsidRPr="00A43A22">
        <w:rPr>
          <w:rFonts w:ascii="Calibri" w:eastAsia="Calibri" w:hAnsi="Calibri" w:cs="Times New Roman"/>
          <w:b/>
          <w:color w:val="4F81BD"/>
        </w:rPr>
        <w:t>КфВ чрез КфВ Банка за развитие</w:t>
      </w:r>
      <w:r w:rsidR="00A43A22">
        <w:rPr>
          <w:rStyle w:val="FootnoteReference"/>
          <w:rFonts w:ascii="Calibri" w:eastAsia="Calibri" w:hAnsi="Calibri" w:cs="Times New Roman"/>
          <w:b/>
          <w:color w:val="4F81BD"/>
        </w:rPr>
        <w:footnoteReference w:id="45"/>
      </w:r>
    </w:p>
    <w:p w:rsidR="000F7888" w:rsidRPr="00A44E1B" w:rsidRDefault="00A43A22" w:rsidP="00A43A22">
      <w:pPr>
        <w:pStyle w:val="ListParagraph"/>
        <w:spacing w:after="0" w:line="240" w:lineRule="auto"/>
        <w:ind w:left="0"/>
        <w:jc w:val="both"/>
      </w:pPr>
      <w:r>
        <w:t>КФВ предоставя в</w:t>
      </w:r>
      <w:r w:rsidR="000F7888" w:rsidRPr="00A44E1B">
        <w:t xml:space="preserve">ъзможност за финансиране на </w:t>
      </w:r>
      <w:r>
        <w:t xml:space="preserve">мерки за </w:t>
      </w:r>
      <w:r w:rsidR="000F7888" w:rsidRPr="00A44E1B">
        <w:t xml:space="preserve">околна среда </w:t>
      </w:r>
      <w:r>
        <w:t>по следните програми</w:t>
      </w:r>
      <w:r w:rsidR="000F7888" w:rsidRPr="00A44E1B">
        <w:t>:</w:t>
      </w:r>
    </w:p>
    <w:p w:rsidR="000F7888" w:rsidRPr="00A43A22" w:rsidRDefault="000F7888" w:rsidP="001A036E">
      <w:pPr>
        <w:pStyle w:val="NormalWeb"/>
        <w:numPr>
          <w:ilvl w:val="0"/>
          <w:numId w:val="67"/>
        </w:numPr>
        <w:shd w:val="clear" w:color="auto" w:fill="FFFFFF"/>
        <w:spacing w:before="240" w:beforeAutospacing="0" w:after="0" w:afterAutospacing="0" w:line="258" w:lineRule="atLeast"/>
        <w:jc w:val="both"/>
        <w:rPr>
          <w:rFonts w:asciiTheme="minorHAnsi" w:eastAsiaTheme="minorHAnsi" w:hAnsiTheme="minorHAnsi" w:cstheme="minorBidi"/>
          <w:sz w:val="22"/>
          <w:szCs w:val="22"/>
          <w:lang w:eastAsia="en-US"/>
        </w:rPr>
      </w:pPr>
      <w:r w:rsidRPr="00A43A22">
        <w:rPr>
          <w:rFonts w:asciiTheme="minorHAnsi" w:eastAsiaTheme="minorHAnsi" w:hAnsiTheme="minorHAnsi" w:cstheme="minorBidi"/>
          <w:i/>
          <w:sz w:val="22"/>
          <w:szCs w:val="22"/>
          <w:lang w:eastAsia="en-US"/>
        </w:rPr>
        <w:t>Програма „Климат, околна среда и развитие“</w:t>
      </w:r>
      <w:r w:rsidRPr="00A43A22">
        <w:rPr>
          <w:rFonts w:asciiTheme="minorHAnsi" w:eastAsiaTheme="minorHAnsi" w:hAnsiTheme="minorHAnsi" w:cstheme="minorBidi"/>
          <w:sz w:val="22"/>
          <w:szCs w:val="22"/>
          <w:lang w:eastAsia="en-US"/>
        </w:rPr>
        <w:t xml:space="preserve"> – преди всичко за развиващите се страни; за индустриализираните страни – възможност за финансиране на проекти за намаляване на емисиите на въглероден двуокис и проекти за трансформирането на индустриализираните стран</w:t>
      </w:r>
      <w:r w:rsidR="00A43A22">
        <w:rPr>
          <w:rFonts w:asciiTheme="minorHAnsi" w:eastAsiaTheme="minorHAnsi" w:hAnsiTheme="minorHAnsi" w:cstheme="minorBidi"/>
          <w:sz w:val="22"/>
          <w:szCs w:val="22"/>
          <w:lang w:eastAsia="en-US"/>
        </w:rPr>
        <w:t>и в „зелени“ икономики; прилага се</w:t>
      </w:r>
      <w:r w:rsidRPr="00A43A22">
        <w:rPr>
          <w:rFonts w:asciiTheme="minorHAnsi" w:eastAsiaTheme="minorHAnsi" w:hAnsiTheme="minorHAnsi" w:cstheme="minorBidi"/>
          <w:sz w:val="22"/>
          <w:szCs w:val="22"/>
          <w:lang w:eastAsia="en-US"/>
        </w:rPr>
        <w:t xml:space="preserve"> с</w:t>
      </w:r>
      <w:r w:rsidR="00A43A22">
        <w:rPr>
          <w:rFonts w:asciiTheme="minorHAnsi" w:eastAsiaTheme="minorHAnsi" w:hAnsiTheme="minorHAnsi" w:cstheme="minorBidi"/>
          <w:sz w:val="22"/>
          <w:szCs w:val="22"/>
          <w:lang w:eastAsia="en-US"/>
        </w:rPr>
        <w:t>обствен</w:t>
      </w:r>
      <w:r w:rsidRPr="00A43A22">
        <w:rPr>
          <w:rFonts w:asciiTheme="minorHAnsi" w:eastAsiaTheme="minorHAnsi" w:hAnsiTheme="minorHAnsi" w:cstheme="minorBidi"/>
          <w:sz w:val="22"/>
          <w:szCs w:val="22"/>
          <w:lang w:eastAsia="en-US"/>
        </w:rPr>
        <w:t xml:space="preserve"> инструм</w:t>
      </w:r>
      <w:r w:rsidR="00A43A22">
        <w:rPr>
          <w:rFonts w:asciiTheme="minorHAnsi" w:eastAsiaTheme="minorHAnsi" w:hAnsiTheme="minorHAnsi" w:cstheme="minorBidi"/>
          <w:sz w:val="22"/>
          <w:szCs w:val="22"/>
          <w:lang w:eastAsia="en-US"/>
        </w:rPr>
        <w:t>ентариум за анализ с цел да са гарантира</w:t>
      </w:r>
      <w:r w:rsidRPr="00A43A22">
        <w:rPr>
          <w:rFonts w:asciiTheme="minorHAnsi" w:eastAsiaTheme="minorHAnsi" w:hAnsiTheme="minorHAnsi" w:cstheme="minorBidi"/>
          <w:sz w:val="22"/>
          <w:szCs w:val="22"/>
          <w:lang w:eastAsia="en-US"/>
        </w:rPr>
        <w:t xml:space="preserve">, че проектите отговарят на съответните международни стандарти. </w:t>
      </w:r>
    </w:p>
    <w:p w:rsidR="000F7888" w:rsidRPr="00A43A22" w:rsidRDefault="000F7888" w:rsidP="001A036E">
      <w:pPr>
        <w:pStyle w:val="NormalWeb"/>
        <w:numPr>
          <w:ilvl w:val="0"/>
          <w:numId w:val="67"/>
        </w:numPr>
        <w:shd w:val="clear" w:color="auto" w:fill="FFFFFF"/>
        <w:spacing w:before="0" w:beforeAutospacing="0" w:after="0" w:afterAutospacing="0" w:line="258" w:lineRule="atLeast"/>
        <w:jc w:val="both"/>
        <w:rPr>
          <w:rFonts w:asciiTheme="minorHAnsi" w:eastAsiaTheme="minorHAnsi" w:hAnsiTheme="minorHAnsi" w:cstheme="minorBidi"/>
          <w:sz w:val="22"/>
          <w:szCs w:val="22"/>
          <w:lang w:eastAsia="en-US"/>
        </w:rPr>
      </w:pPr>
      <w:r w:rsidRPr="00A43A22">
        <w:rPr>
          <w:rFonts w:asciiTheme="minorHAnsi" w:eastAsiaTheme="minorHAnsi" w:hAnsiTheme="minorHAnsi" w:cstheme="minorBidi"/>
          <w:i/>
          <w:sz w:val="22"/>
          <w:szCs w:val="22"/>
          <w:lang w:eastAsia="en-US"/>
        </w:rPr>
        <w:t>Финансиране на проекти в сектор „околна среда“</w:t>
      </w:r>
      <w:r w:rsidRPr="00A43A22">
        <w:rPr>
          <w:rFonts w:asciiTheme="minorHAnsi" w:eastAsiaTheme="minorHAnsi" w:hAnsiTheme="minorHAnsi" w:cstheme="minorBidi"/>
          <w:sz w:val="22"/>
          <w:szCs w:val="22"/>
          <w:lang w:eastAsia="en-US"/>
        </w:rPr>
        <w:t xml:space="preserve"> – управление на отпадъците, енергия, природни ресурси и тропически гори, градско развитие, транспорт и водни ресурси, биоразнообразие, рециклиращи системи;</w:t>
      </w:r>
    </w:p>
    <w:p w:rsidR="000F7888" w:rsidRPr="00A44E1B" w:rsidRDefault="000F7888" w:rsidP="00A43A22">
      <w:pPr>
        <w:pStyle w:val="NormalWeb"/>
        <w:shd w:val="clear" w:color="auto" w:fill="FFFFFF"/>
        <w:spacing w:before="240" w:beforeAutospacing="0" w:after="0" w:afterAutospacing="0" w:line="258" w:lineRule="atLeast"/>
        <w:jc w:val="both"/>
      </w:pPr>
      <w:r w:rsidRPr="00A43A22">
        <w:rPr>
          <w:rFonts w:asciiTheme="minorHAnsi" w:eastAsiaTheme="minorHAnsi" w:hAnsiTheme="minorHAnsi" w:cstheme="minorBidi"/>
          <w:sz w:val="22"/>
          <w:szCs w:val="22"/>
          <w:lang w:eastAsia="en-US"/>
        </w:rPr>
        <w:t>КфВ прилага набор от програми и инструменти, някои с грантов елемент, техническа помощ; Банката има дългогодишен опит във финансирането на подоб</w:t>
      </w:r>
      <w:r w:rsidR="00A43A22">
        <w:rPr>
          <w:rFonts w:asciiTheme="minorHAnsi" w:eastAsiaTheme="minorHAnsi" w:hAnsiTheme="minorHAnsi" w:cstheme="minorBidi"/>
          <w:sz w:val="22"/>
          <w:szCs w:val="22"/>
          <w:lang w:eastAsia="en-US"/>
        </w:rPr>
        <w:t xml:space="preserve">ни проекти. </w:t>
      </w:r>
      <w:r w:rsidRPr="00A43A22">
        <w:rPr>
          <w:rFonts w:asciiTheme="minorHAnsi" w:eastAsiaTheme="minorHAnsi" w:hAnsiTheme="minorHAnsi" w:cstheme="minorBidi"/>
          <w:sz w:val="22"/>
          <w:szCs w:val="22"/>
          <w:lang w:eastAsia="en-US"/>
        </w:rPr>
        <w:t>Възможностите за привличане на ресурс за околна среда за България са по-огр</w:t>
      </w:r>
      <w:r w:rsidR="00A43A22" w:rsidRPr="00A43A22">
        <w:rPr>
          <w:rFonts w:asciiTheme="minorHAnsi" w:eastAsiaTheme="minorHAnsi" w:hAnsiTheme="minorHAnsi" w:cstheme="minorBidi"/>
          <w:sz w:val="22"/>
          <w:szCs w:val="22"/>
          <w:lang w:eastAsia="en-US"/>
        </w:rPr>
        <w:t xml:space="preserve">аничени, доколкото България не е сред приоритетите на Банката. </w:t>
      </w:r>
      <w:r w:rsidRPr="00A43A22">
        <w:rPr>
          <w:rFonts w:asciiTheme="minorHAnsi" w:eastAsiaTheme="minorHAnsi" w:hAnsiTheme="minorHAnsi" w:cstheme="minorBidi"/>
          <w:sz w:val="22"/>
          <w:szCs w:val="22"/>
          <w:lang w:eastAsia="en-US"/>
        </w:rPr>
        <w:t>Възможно е да се изиска обезпечение - държавна гаранция, за финансирането</w:t>
      </w:r>
      <w:r w:rsidR="00A43A22">
        <w:rPr>
          <w:rFonts w:asciiTheme="minorHAnsi" w:eastAsiaTheme="minorHAnsi" w:hAnsiTheme="minorHAnsi" w:cstheme="minorBidi"/>
          <w:sz w:val="22"/>
          <w:szCs w:val="22"/>
          <w:lang w:eastAsia="en-US"/>
        </w:rPr>
        <w:t>.</w:t>
      </w:r>
    </w:p>
    <w:p w:rsidR="000F7888" w:rsidRPr="00A44E1B" w:rsidRDefault="000F7888" w:rsidP="000F7888">
      <w:pPr>
        <w:spacing w:line="240" w:lineRule="auto"/>
        <w:ind w:firstLine="720"/>
        <w:jc w:val="both"/>
      </w:pPr>
    </w:p>
    <w:p w:rsidR="00BD617F" w:rsidRPr="009A1752" w:rsidRDefault="00BD617F" w:rsidP="001A036E">
      <w:pPr>
        <w:numPr>
          <w:ilvl w:val="0"/>
          <w:numId w:val="58"/>
        </w:numPr>
        <w:rPr>
          <w:rFonts w:ascii="Calibri" w:eastAsia="Calibri" w:hAnsi="Calibri" w:cs="Times New Roman"/>
          <w:b/>
          <w:color w:val="4F81BD"/>
        </w:rPr>
      </w:pPr>
      <w:r w:rsidRPr="009A1752">
        <w:rPr>
          <w:rFonts w:ascii="Calibri" w:eastAsia="Calibri" w:hAnsi="Calibri" w:cs="Times New Roman"/>
          <w:b/>
          <w:color w:val="4F81BD"/>
        </w:rPr>
        <w:t xml:space="preserve">Програма LIFE+ </w:t>
      </w:r>
    </w:p>
    <w:p w:rsidR="00BD617F" w:rsidRPr="00A74967" w:rsidRDefault="00BD617F" w:rsidP="00E22ADF">
      <w:pPr>
        <w:jc w:val="both"/>
      </w:pPr>
      <w:r w:rsidRPr="00A74967">
        <w:rPr>
          <w:b/>
          <w:bCs/>
        </w:rPr>
        <w:t xml:space="preserve"> </w:t>
      </w:r>
      <w:r w:rsidRPr="00A74967">
        <w:t xml:space="preserve">LIFE+ e финансов инструмент, чрез който се подпомагат приоритетно мерки по разработване и прилагане на политиката за околна среда на Общността. Програмата включва единна схема на управление на средства: централно пряко управление, осъществявано от Европейската комисия. Крайното решение, относно избирането и финансирането на дадено проектно предложение се взима от Европейската комисия, с помощта на Комитет, съставен от представители на всички страни – членки (чл.13 и 14 от Регламент № 614/2007). Националните компетентни органи в отделните страни – членки имат за задача да съберат всички проектни предложения, след което да ги представят на Европейската комисия за оценка и одобряване. </w:t>
      </w:r>
    </w:p>
    <w:p w:rsidR="00BD617F" w:rsidRPr="00A74967" w:rsidRDefault="00BD617F" w:rsidP="00BD617F">
      <w:pPr>
        <w:rPr>
          <w:bCs/>
        </w:rPr>
      </w:pPr>
      <w:r w:rsidRPr="00A74967">
        <w:rPr>
          <w:bCs/>
        </w:rPr>
        <w:t xml:space="preserve"> LIFE+ съдържа три основни компонента: </w:t>
      </w:r>
    </w:p>
    <w:p w:rsidR="00BD617F" w:rsidRPr="00E22ADF" w:rsidRDefault="00BD617F" w:rsidP="001A036E">
      <w:pPr>
        <w:numPr>
          <w:ilvl w:val="0"/>
          <w:numId w:val="63"/>
        </w:numPr>
        <w:spacing w:after="0"/>
      </w:pPr>
      <w:r w:rsidRPr="00E22ADF">
        <w:t xml:space="preserve">Природа и биологично разнообразие </w:t>
      </w:r>
    </w:p>
    <w:p w:rsidR="00BD617F" w:rsidRPr="00E22ADF" w:rsidRDefault="00BD617F" w:rsidP="001A036E">
      <w:pPr>
        <w:numPr>
          <w:ilvl w:val="0"/>
          <w:numId w:val="63"/>
        </w:numPr>
        <w:spacing w:after="0"/>
        <w:rPr>
          <w:rFonts w:ascii="Calibri" w:eastAsia="Calibri" w:hAnsi="Calibri" w:cs="Times New Roman"/>
          <w:b/>
        </w:rPr>
      </w:pPr>
      <w:r w:rsidRPr="00E22ADF">
        <w:t xml:space="preserve">Политики и управление в областта на околната среда </w:t>
      </w:r>
    </w:p>
    <w:p w:rsidR="00BD617F" w:rsidRPr="00E22ADF" w:rsidRDefault="00BD617F" w:rsidP="001A036E">
      <w:pPr>
        <w:numPr>
          <w:ilvl w:val="0"/>
          <w:numId w:val="63"/>
        </w:numPr>
        <w:spacing w:after="0"/>
        <w:rPr>
          <w:rFonts w:ascii="Calibri" w:eastAsia="Calibri" w:hAnsi="Calibri" w:cs="Times New Roman"/>
          <w:b/>
        </w:rPr>
      </w:pPr>
      <w:r w:rsidRPr="00E22ADF">
        <w:t xml:space="preserve">Информация и комуникации </w:t>
      </w:r>
      <w:r w:rsidRPr="00E22ADF">
        <w:cr/>
      </w:r>
    </w:p>
    <w:p w:rsidR="00BD617F" w:rsidRPr="009A1752" w:rsidRDefault="00BD617F" w:rsidP="001A036E">
      <w:pPr>
        <w:numPr>
          <w:ilvl w:val="0"/>
          <w:numId w:val="62"/>
        </w:numPr>
        <w:spacing w:after="0"/>
        <w:rPr>
          <w:rFonts w:ascii="Calibri" w:eastAsia="Calibri" w:hAnsi="Calibri" w:cs="Times New Roman"/>
          <w:b/>
          <w:color w:val="4F81BD"/>
        </w:rPr>
      </w:pPr>
      <w:r w:rsidRPr="009A1752">
        <w:rPr>
          <w:rFonts w:ascii="Calibri" w:eastAsia="Calibri" w:hAnsi="Calibri" w:cs="Times New Roman"/>
          <w:b/>
          <w:color w:val="4F81BD"/>
        </w:rPr>
        <w:t>Специален фонд за климат и опазване на околната среда на Централ</w:t>
      </w:r>
      <w:r w:rsidR="00E22ADF">
        <w:rPr>
          <w:rFonts w:ascii="Calibri" w:eastAsia="Calibri" w:hAnsi="Calibri" w:cs="Times New Roman"/>
          <w:b/>
          <w:color w:val="4F81BD"/>
        </w:rPr>
        <w:t>но-европейска Инициатива (ЦИЕ)</w:t>
      </w:r>
    </w:p>
    <w:p w:rsidR="00BD617F" w:rsidRPr="00A74967" w:rsidRDefault="00BD617F" w:rsidP="00C43A5F">
      <w:pPr>
        <w:spacing w:before="240"/>
        <w:jc w:val="both"/>
      </w:pPr>
      <w:r w:rsidRPr="00A74967">
        <w:t xml:space="preserve"> Фондът е създаден през 2007 г. Могат да кандидатстват всички частни, правителствени и неправителствени организации от 18-те страни членки на ЦЕИ, като бенефициенти ще са страните които членуват в ЦЕИ, но не са членки на ЕС – Албания, Беларус, Босна и Херцеговина, Хърватска, Македония, Молдова, Черна Гора, Сърбия и Украйна. Ще бъдат подпомагани дейности в следните области: </w:t>
      </w:r>
    </w:p>
    <w:p w:rsidR="00BD617F" w:rsidRPr="00A74967" w:rsidRDefault="00BD617F" w:rsidP="001A036E">
      <w:pPr>
        <w:numPr>
          <w:ilvl w:val="0"/>
          <w:numId w:val="64"/>
        </w:numPr>
        <w:spacing w:after="0"/>
      </w:pPr>
      <w:r w:rsidRPr="00A74967">
        <w:lastRenderedPageBreak/>
        <w:t xml:space="preserve">Енергийна ефективност </w:t>
      </w:r>
    </w:p>
    <w:p w:rsidR="00BD617F" w:rsidRPr="00A74967" w:rsidRDefault="00BD617F" w:rsidP="001A036E">
      <w:pPr>
        <w:numPr>
          <w:ilvl w:val="0"/>
          <w:numId w:val="64"/>
        </w:numPr>
        <w:spacing w:after="0"/>
      </w:pPr>
      <w:r w:rsidRPr="00A74967">
        <w:t xml:space="preserve">Подобряване и разпространение на благоприятни за околната среда технологии </w:t>
      </w:r>
    </w:p>
    <w:p w:rsidR="00BD617F" w:rsidRPr="00A74967" w:rsidRDefault="00BD617F" w:rsidP="001A036E">
      <w:pPr>
        <w:numPr>
          <w:ilvl w:val="0"/>
          <w:numId w:val="64"/>
        </w:numPr>
        <w:spacing w:after="0"/>
      </w:pPr>
      <w:r w:rsidRPr="00A74967">
        <w:t xml:space="preserve">Насърчаване на проучванията и развитието в областта на енергийната ефективност </w:t>
      </w:r>
    </w:p>
    <w:p w:rsidR="00BD617F" w:rsidRPr="00A74967" w:rsidRDefault="00BD617F" w:rsidP="001A036E">
      <w:pPr>
        <w:numPr>
          <w:ilvl w:val="0"/>
          <w:numId w:val="64"/>
        </w:numPr>
        <w:spacing w:after="0"/>
      </w:pPr>
      <w:r w:rsidRPr="00A74967">
        <w:t xml:space="preserve">Въвеждане на нови технологии за устойчиво развитие </w:t>
      </w:r>
    </w:p>
    <w:p w:rsidR="00BD617F" w:rsidRPr="00A74967" w:rsidRDefault="00BD617F" w:rsidP="001A036E">
      <w:pPr>
        <w:numPr>
          <w:ilvl w:val="0"/>
          <w:numId w:val="64"/>
        </w:numPr>
        <w:spacing w:after="0"/>
      </w:pPr>
      <w:r w:rsidRPr="00A74967">
        <w:t xml:space="preserve">Управление на отпадъците </w:t>
      </w:r>
    </w:p>
    <w:p w:rsidR="00BD617F" w:rsidRPr="00A74967" w:rsidRDefault="00BD617F" w:rsidP="001A036E">
      <w:pPr>
        <w:numPr>
          <w:ilvl w:val="0"/>
          <w:numId w:val="64"/>
        </w:numPr>
        <w:spacing w:after="0"/>
      </w:pPr>
      <w:r w:rsidRPr="00A74967">
        <w:t>Водоснабдяване с питейна вода, управление на водите</w:t>
      </w:r>
    </w:p>
    <w:p w:rsidR="00BD617F" w:rsidRPr="00A74967" w:rsidRDefault="00BD617F" w:rsidP="001A036E">
      <w:pPr>
        <w:numPr>
          <w:ilvl w:val="0"/>
          <w:numId w:val="64"/>
        </w:numPr>
        <w:spacing w:after="0"/>
      </w:pPr>
      <w:r w:rsidRPr="00A74967">
        <w:t>Увеличаване на информираността за постигане на целите, посредством</w:t>
      </w:r>
      <w:r w:rsidRPr="00A74967">
        <w:rPr>
          <w:lang w:val="en-US"/>
        </w:rPr>
        <w:t xml:space="preserve"> </w:t>
      </w:r>
      <w:r w:rsidRPr="00A74967">
        <w:t xml:space="preserve">образователни мерки </w:t>
      </w:r>
    </w:p>
    <w:p w:rsidR="00BD617F" w:rsidRPr="00A74967" w:rsidRDefault="00BD617F" w:rsidP="001A036E">
      <w:pPr>
        <w:numPr>
          <w:ilvl w:val="0"/>
          <w:numId w:val="64"/>
        </w:numPr>
        <w:spacing w:after="0"/>
      </w:pPr>
      <w:r w:rsidRPr="00A74967">
        <w:t xml:space="preserve">За финансиране могат да кандидатстват представители на публичния и частния сектор, неправителствени или международни организации. </w:t>
      </w:r>
      <w:r w:rsidRPr="00A74967">
        <w:cr/>
      </w:r>
    </w:p>
    <w:p w:rsidR="00BD617F" w:rsidRPr="009A1752" w:rsidRDefault="00BD617F" w:rsidP="001A036E">
      <w:pPr>
        <w:numPr>
          <w:ilvl w:val="0"/>
          <w:numId w:val="58"/>
        </w:numPr>
        <w:rPr>
          <w:rFonts w:ascii="Calibri" w:eastAsia="Calibri" w:hAnsi="Calibri" w:cs="Times New Roman"/>
          <w:b/>
          <w:color w:val="4F81BD"/>
        </w:rPr>
      </w:pPr>
      <w:r w:rsidRPr="009A1752">
        <w:rPr>
          <w:rFonts w:ascii="Calibri" w:eastAsia="Calibri" w:hAnsi="Calibri" w:cs="Times New Roman"/>
          <w:b/>
          <w:color w:val="4F81BD"/>
        </w:rPr>
        <w:t xml:space="preserve">Национален доверителен екофонд </w:t>
      </w:r>
      <w:r>
        <w:rPr>
          <w:rFonts w:ascii="Calibri" w:eastAsia="Calibri" w:hAnsi="Calibri" w:cs="Times New Roman"/>
          <w:b/>
          <w:color w:val="4F81BD"/>
        </w:rPr>
        <w:t xml:space="preserve"> </w:t>
      </w:r>
      <w:r w:rsidR="00E22ADF">
        <w:rPr>
          <w:rFonts w:ascii="Calibri" w:eastAsia="Calibri" w:hAnsi="Calibri" w:cs="Times New Roman"/>
          <w:b/>
          <w:color w:val="4F81BD"/>
        </w:rPr>
        <w:t>(</w:t>
      </w:r>
      <w:r>
        <w:rPr>
          <w:rFonts w:ascii="Calibri" w:eastAsia="Calibri" w:hAnsi="Calibri" w:cs="Times New Roman"/>
          <w:b/>
          <w:color w:val="4F81BD"/>
        </w:rPr>
        <w:t>НДЕФ</w:t>
      </w:r>
      <w:r w:rsidR="00E22ADF">
        <w:rPr>
          <w:rFonts w:ascii="Calibri" w:eastAsia="Calibri" w:hAnsi="Calibri" w:cs="Times New Roman"/>
          <w:b/>
          <w:color w:val="4F81BD"/>
        </w:rPr>
        <w:t>)</w:t>
      </w:r>
    </w:p>
    <w:p w:rsidR="00BD617F" w:rsidRPr="00A74967" w:rsidRDefault="00BD617F" w:rsidP="00E22ADF">
      <w:pPr>
        <w:jc w:val="both"/>
      </w:pPr>
      <w:r w:rsidRPr="00A74967">
        <w:t xml:space="preserve">Фондът е създаден като самостоятелно юридическо лице със Закона за опазване на околната среда за управление на средствата, предоставени като дарение на България от Правителството  на Конфедерация Швейцария по сделката “Дълг срещу околна среда” между България и Швейцария. </w:t>
      </w:r>
    </w:p>
    <w:p w:rsidR="00BD617F" w:rsidRPr="00A74967" w:rsidRDefault="00BD617F" w:rsidP="00BD617F">
      <w:r w:rsidRPr="00A74967">
        <w:t xml:space="preserve">Приоритетни области за фонда са: </w:t>
      </w:r>
    </w:p>
    <w:p w:rsidR="00BD617F" w:rsidRPr="00A74967" w:rsidRDefault="00BD617F" w:rsidP="001A036E">
      <w:pPr>
        <w:numPr>
          <w:ilvl w:val="0"/>
          <w:numId w:val="61"/>
        </w:numPr>
        <w:spacing w:after="0"/>
      </w:pPr>
      <w:r w:rsidRPr="00A74967">
        <w:t xml:space="preserve">ликвидиране на стари замърсявания, </w:t>
      </w:r>
    </w:p>
    <w:p w:rsidR="00BD617F" w:rsidRPr="00A74967" w:rsidRDefault="00BD617F" w:rsidP="001A036E">
      <w:pPr>
        <w:numPr>
          <w:ilvl w:val="0"/>
          <w:numId w:val="61"/>
        </w:numPr>
        <w:spacing w:after="0"/>
      </w:pPr>
      <w:r w:rsidRPr="00A74967">
        <w:t xml:space="preserve">намаляване замърсяването на въздуха, </w:t>
      </w:r>
    </w:p>
    <w:p w:rsidR="00BD617F" w:rsidRPr="00A74967" w:rsidRDefault="00BD617F" w:rsidP="001A036E">
      <w:pPr>
        <w:numPr>
          <w:ilvl w:val="0"/>
          <w:numId w:val="61"/>
        </w:numPr>
        <w:spacing w:after="0"/>
      </w:pPr>
      <w:r w:rsidRPr="00A74967">
        <w:t xml:space="preserve">опазване чистотата на водите, </w:t>
      </w:r>
    </w:p>
    <w:p w:rsidR="00BD617F" w:rsidRPr="00A74967" w:rsidRDefault="00BD617F" w:rsidP="001A036E">
      <w:pPr>
        <w:numPr>
          <w:ilvl w:val="0"/>
          <w:numId w:val="61"/>
        </w:numPr>
        <w:spacing w:after="0"/>
      </w:pPr>
      <w:r w:rsidRPr="00A74967">
        <w:t xml:space="preserve">опазване на биологичното разнообразие. </w:t>
      </w:r>
    </w:p>
    <w:p w:rsidR="00BD617F" w:rsidRPr="00A74967" w:rsidRDefault="00BD617F" w:rsidP="00E22ADF">
      <w:pPr>
        <w:spacing w:before="240" w:after="0"/>
        <w:jc w:val="both"/>
      </w:pPr>
      <w:r w:rsidRPr="00A74967">
        <w:t>От общия размер на финансирането на изпълнени проекти и проекти в процес на изпълнение най-голяма е общата стойност на финансирането на проекти, внесени от общини, следвани от проектите от национални институции, от фирми и от научни институти.</w:t>
      </w:r>
    </w:p>
    <w:p w:rsidR="00BD617F" w:rsidRPr="00A74967" w:rsidRDefault="00BD617F" w:rsidP="00E22ADF">
      <w:pPr>
        <w:spacing w:before="240"/>
        <w:jc w:val="both"/>
      </w:pPr>
      <w:r w:rsidRPr="00A74967">
        <w:t>Съгласно Закона за опазване на околната среда НДЕФ отговаря за набирането, одобряването и възлагането на изпълнение на проекти за зелени инвестиции, които ще се финансират от постъпленията от международната търговия с предписани емисионни единици (ПЕЕ), съгласно изискванията на ЗООС и условията по договорите за продажба.</w:t>
      </w:r>
    </w:p>
    <w:p w:rsidR="00BD617F" w:rsidRDefault="00BD617F" w:rsidP="00BD617F">
      <w:pPr>
        <w:rPr>
          <w:rFonts w:ascii="Calibri" w:eastAsia="Calibri" w:hAnsi="Calibri" w:cs="Times New Roman"/>
          <w:b/>
          <w:color w:val="4F81BD"/>
        </w:rPr>
      </w:pPr>
    </w:p>
    <w:p w:rsidR="008E4057" w:rsidRPr="008E4057" w:rsidRDefault="008E4057" w:rsidP="008E4057">
      <w:pPr>
        <w:keepNext/>
        <w:keepLines/>
        <w:spacing w:before="120" w:after="120"/>
        <w:outlineLvl w:val="2"/>
        <w:rPr>
          <w:rFonts w:ascii="Calibri" w:eastAsia="Calibri" w:hAnsi="Calibri" w:cs="Times New Roman"/>
          <w:color w:val="243F60"/>
          <w:sz w:val="24"/>
          <w:szCs w:val="24"/>
        </w:rPr>
      </w:pPr>
      <w:bookmarkStart w:id="76" w:name="_Toc399494536"/>
      <w:r>
        <w:rPr>
          <w:rFonts w:ascii="Calibri" w:eastAsia="Calibri" w:hAnsi="Calibri" w:cs="Times New Roman"/>
          <w:color w:val="243F60"/>
          <w:sz w:val="24"/>
          <w:szCs w:val="24"/>
        </w:rPr>
        <w:t xml:space="preserve">1.4.2. </w:t>
      </w:r>
      <w:r w:rsidRPr="008E4057">
        <w:rPr>
          <w:rFonts w:ascii="Calibri" w:eastAsia="Calibri" w:hAnsi="Calibri" w:cs="Times New Roman"/>
          <w:color w:val="243F60"/>
          <w:sz w:val="24"/>
          <w:szCs w:val="24"/>
        </w:rPr>
        <w:t>Анализ на анкета, адресирана към общини, потенциални бенефициенти по ОПОС 2014 – 2020</w:t>
      </w:r>
      <w:r w:rsidR="00280CB9">
        <w:rPr>
          <w:rFonts w:ascii="Calibri" w:eastAsia="Calibri" w:hAnsi="Calibri" w:cs="Times New Roman"/>
          <w:color w:val="243F60"/>
          <w:sz w:val="24"/>
          <w:szCs w:val="24"/>
        </w:rPr>
        <w:t xml:space="preserve"> като база за определяне на търсенето на финансови инструменти</w:t>
      </w:r>
      <w:bookmarkEnd w:id="76"/>
    </w:p>
    <w:p w:rsidR="0021220B" w:rsidRPr="00432BD7" w:rsidRDefault="00432BD7" w:rsidP="001A036E">
      <w:pPr>
        <w:numPr>
          <w:ilvl w:val="0"/>
          <w:numId w:val="58"/>
        </w:numPr>
        <w:rPr>
          <w:rFonts w:ascii="Calibri" w:eastAsia="Calibri" w:hAnsi="Calibri" w:cs="Times New Roman"/>
          <w:b/>
          <w:color w:val="4F81BD"/>
        </w:rPr>
      </w:pPr>
      <w:r>
        <w:rPr>
          <w:rFonts w:ascii="Calibri" w:eastAsia="Calibri" w:hAnsi="Calibri" w:cs="Times New Roman"/>
          <w:b/>
          <w:color w:val="4F81BD"/>
        </w:rPr>
        <w:t>Въведение</w:t>
      </w:r>
    </w:p>
    <w:p w:rsidR="0021220B" w:rsidRPr="0021220B" w:rsidRDefault="0021220B" w:rsidP="0021220B">
      <w:pPr>
        <w:spacing w:after="200" w:line="276" w:lineRule="auto"/>
        <w:jc w:val="both"/>
        <w:rPr>
          <w:rFonts w:ascii="Calibri" w:eastAsia="Times New Roman" w:hAnsi="Calibri" w:cs="Arial"/>
          <w:bCs/>
          <w:color w:val="000000"/>
          <w:lang w:eastAsia="bg-BG"/>
        </w:rPr>
      </w:pPr>
      <w:r w:rsidRPr="0021220B">
        <w:rPr>
          <w:rFonts w:ascii="Calibri" w:eastAsia="Times New Roman" w:hAnsi="Calibri" w:cs="Arial"/>
          <w:bCs/>
          <w:color w:val="000000"/>
          <w:lang w:eastAsia="bg-BG"/>
        </w:rPr>
        <w:t>Анализът се базира на отговорите на анкета, адресирана към общини, потенциални бенефициенти на ОПОС 2014- 2020. Анкетата е изготвена в две части – обща информация и специфични въпроси. В указанията към анкетата са разяснени целта на въпросника, както и е представена дефиниция на „финансови инструменти“  (</w:t>
      </w:r>
      <w:r w:rsidRPr="0021220B">
        <w:rPr>
          <w:rFonts w:ascii="Calibri" w:eastAsia="Arial" w:hAnsi="Calibri" w:cs="Times New Roman"/>
          <w:i/>
          <w:color w:val="000000"/>
        </w:rPr>
        <w:t>Съгласно чл. 130 от Финансовия регламент).</w:t>
      </w:r>
    </w:p>
    <w:p w:rsidR="0021220B" w:rsidRPr="0021220B" w:rsidRDefault="0021220B" w:rsidP="0021220B">
      <w:pPr>
        <w:spacing w:after="200" w:line="276" w:lineRule="auto"/>
        <w:jc w:val="both"/>
        <w:rPr>
          <w:rFonts w:ascii="Calibri" w:eastAsia="Arial" w:hAnsi="Calibri" w:cs="Times New Roman"/>
          <w:color w:val="000000"/>
        </w:rPr>
      </w:pPr>
      <w:r w:rsidRPr="0021220B">
        <w:rPr>
          <w:rFonts w:ascii="Calibri" w:eastAsia="Arial" w:hAnsi="Calibri" w:cs="Times New Roman"/>
          <w:color w:val="000000"/>
        </w:rPr>
        <w:t>Анкетата е адресирана и изпратена до всички общини в България (264). Получени са отговори от 109 общини – 41% от всички потенциални респонденти.  Анкетата е адресирана до кметове, заместник-</w:t>
      </w:r>
      <w:r w:rsidRPr="0021220B">
        <w:rPr>
          <w:rFonts w:ascii="Calibri" w:eastAsia="Arial" w:hAnsi="Calibri" w:cs="Times New Roman"/>
          <w:color w:val="000000"/>
        </w:rPr>
        <w:lastRenderedPageBreak/>
        <w:t xml:space="preserve">кметове, директори на дирекции, началник отдел (или експерти) в съответните общини. От получените отговори, разпределението на отговорилите е следното: 37% от отговорилите са заместник кметове, 40% са директори на дирекции, 8% са началник отдел, анкетите са попълнение от заместник-кметове, 2% кметове и 12% - експерти. Това говори за ангажираността на респондентите и важността на темата за тях. Отговорилите общини са от 26 области в страната – липсват отговори от София – град и Търговище. </w:t>
      </w:r>
    </w:p>
    <w:p w:rsidR="0021220B" w:rsidRPr="0021220B" w:rsidRDefault="0021220B" w:rsidP="0021220B">
      <w:pPr>
        <w:spacing w:after="200" w:line="276" w:lineRule="auto"/>
        <w:jc w:val="both"/>
        <w:rPr>
          <w:rFonts w:ascii="Calibri" w:eastAsia="Arial" w:hAnsi="Calibri" w:cs="Times New Roman"/>
          <w:color w:val="000000"/>
        </w:rPr>
      </w:pPr>
      <w:r w:rsidRPr="0021220B">
        <w:rPr>
          <w:rFonts w:ascii="Calibri" w:eastAsia="Arial" w:hAnsi="Calibri" w:cs="Times New Roman"/>
          <w:color w:val="000000"/>
        </w:rPr>
        <w:t xml:space="preserve">От отговорилите общини 44% са малки (с население до 20 000 жители), 9% са средни – с население между 20 и 50 000 жители, а 7% са големи – с население над 100 000 души. Това разпределение показва добра покриваемост предвид и на общия брой общини по вид. </w:t>
      </w:r>
    </w:p>
    <w:p w:rsidR="00432BD7" w:rsidRPr="00432BD7" w:rsidRDefault="00432BD7" w:rsidP="00432BD7">
      <w:pPr>
        <w:jc w:val="center"/>
        <w:rPr>
          <w:b/>
          <w:sz w:val="20"/>
          <w:szCs w:val="20"/>
        </w:rPr>
      </w:pPr>
      <w:bookmarkStart w:id="77" w:name="_Toc399494902"/>
      <w:r w:rsidRPr="00432BD7">
        <w:rPr>
          <w:b/>
          <w:sz w:val="20"/>
          <w:szCs w:val="20"/>
        </w:rPr>
        <w:t xml:space="preserve">Таблица </w:t>
      </w:r>
      <w:r w:rsidR="008E6461" w:rsidRPr="00432BD7">
        <w:rPr>
          <w:b/>
          <w:sz w:val="20"/>
          <w:szCs w:val="20"/>
        </w:rPr>
        <w:fldChar w:fldCharType="begin"/>
      </w:r>
      <w:r w:rsidRPr="00432BD7">
        <w:rPr>
          <w:b/>
          <w:sz w:val="20"/>
          <w:szCs w:val="20"/>
        </w:rPr>
        <w:instrText xml:space="preserve"> SEQ Таблица \* ARABIC </w:instrText>
      </w:r>
      <w:r w:rsidR="008E6461" w:rsidRPr="00432BD7">
        <w:rPr>
          <w:b/>
          <w:sz w:val="20"/>
          <w:szCs w:val="20"/>
        </w:rPr>
        <w:fldChar w:fldCharType="separate"/>
      </w:r>
      <w:r w:rsidR="003A69A7">
        <w:rPr>
          <w:b/>
          <w:noProof/>
          <w:sz w:val="20"/>
          <w:szCs w:val="20"/>
        </w:rPr>
        <w:t>22</w:t>
      </w:r>
      <w:r w:rsidR="008E6461" w:rsidRPr="00432BD7">
        <w:rPr>
          <w:b/>
          <w:sz w:val="20"/>
          <w:szCs w:val="20"/>
        </w:rPr>
        <w:fldChar w:fldCharType="end"/>
      </w:r>
      <w:r w:rsidRPr="00432BD7">
        <w:rPr>
          <w:b/>
          <w:sz w:val="20"/>
          <w:szCs w:val="20"/>
        </w:rPr>
        <w:t>. Тип общини, отговорили на анкетата (според броя на населението)</w:t>
      </w:r>
      <w:bookmarkEnd w:id="77"/>
    </w:p>
    <w:p w:rsidR="0021220B" w:rsidRPr="0021220B" w:rsidRDefault="0021220B" w:rsidP="00432BD7">
      <w:pPr>
        <w:spacing w:after="0" w:line="240" w:lineRule="auto"/>
        <w:jc w:val="center"/>
        <w:rPr>
          <w:rFonts w:ascii="Calibri" w:eastAsia="Arial" w:hAnsi="Calibri" w:cs="Times New Roman"/>
          <w:color w:val="000000"/>
        </w:rPr>
      </w:pPr>
      <w:r w:rsidRPr="0021220B">
        <w:rPr>
          <w:rFonts w:ascii="Calibri" w:eastAsia="Times New Roman" w:hAnsi="Calibri" w:cs="Arial"/>
          <w:b/>
          <w:bCs/>
          <w:color w:val="000000"/>
          <w:lang w:eastAsia="bg-BG"/>
        </w:rPr>
        <w:t>Какъв тип община представлявате, според броя на населението:</w:t>
      </w:r>
      <w:r w:rsidR="00432BD7">
        <w:rPr>
          <w:rFonts w:ascii="Calibri" w:eastAsia="Times New Roman" w:hAnsi="Calibri" w:cs="Arial"/>
          <w:b/>
          <w:bCs/>
          <w:color w:val="000000"/>
          <w:lang w:eastAsia="bg-BG"/>
        </w:rPr>
        <w:t xml:space="preserve"> </w:t>
      </w:r>
      <w:r w:rsidRPr="0021220B">
        <w:rPr>
          <w:rFonts w:ascii="Calibri" w:eastAsia="Times New Roman" w:hAnsi="Calibri" w:cs="Arial"/>
          <w:i/>
          <w:color w:val="000000"/>
          <w:lang w:eastAsia="bg-BG"/>
        </w:rPr>
        <w:t>база: 109</w:t>
      </w:r>
    </w:p>
    <w:tbl>
      <w:tblPr>
        <w:tblStyle w:val="LightGrid-Accent51"/>
        <w:tblW w:w="7593" w:type="dxa"/>
        <w:jc w:val="center"/>
        <w:tblLook w:val="0660" w:firstRow="1" w:lastRow="1" w:firstColumn="0" w:lastColumn="0" w:noHBand="1" w:noVBand="1"/>
      </w:tblPr>
      <w:tblGrid>
        <w:gridCol w:w="6379"/>
        <w:gridCol w:w="1214"/>
      </w:tblGrid>
      <w:tr w:rsidR="0021220B" w:rsidRPr="0021220B" w:rsidTr="00432BD7">
        <w:trPr>
          <w:cnfStyle w:val="100000000000" w:firstRow="1" w:lastRow="0" w:firstColumn="0" w:lastColumn="0" w:oddVBand="0" w:evenVBand="0" w:oddHBand="0" w:evenHBand="0" w:firstRowFirstColumn="0" w:firstRowLastColumn="0" w:lastRowFirstColumn="0" w:lastRowLastColumn="0"/>
          <w:trHeight w:val="284"/>
          <w:jc w:val="center"/>
        </w:trPr>
        <w:tc>
          <w:tcPr>
            <w:tcW w:w="6379" w:type="dxa"/>
            <w:hideMark/>
          </w:tcPr>
          <w:p w:rsidR="0021220B" w:rsidRPr="0021220B" w:rsidRDefault="0021220B" w:rsidP="0021220B">
            <w:pPr>
              <w:rPr>
                <w:rFonts w:ascii="Calibri" w:hAnsi="Calibri"/>
                <w:b w:val="0"/>
                <w:bCs w:val="0"/>
                <w:color w:val="000000"/>
                <w:lang w:eastAsia="bg-BG"/>
              </w:rPr>
            </w:pPr>
          </w:p>
        </w:tc>
        <w:tc>
          <w:tcPr>
            <w:tcW w:w="1214" w:type="dxa"/>
            <w:hideMark/>
          </w:tcPr>
          <w:p w:rsidR="0021220B" w:rsidRPr="0021220B" w:rsidRDefault="0021220B" w:rsidP="0021220B">
            <w:pPr>
              <w:jc w:val="center"/>
              <w:rPr>
                <w:rFonts w:ascii="Calibri" w:hAnsi="Calibri"/>
                <w:color w:val="000000"/>
                <w:lang w:eastAsia="bg-BG"/>
              </w:rPr>
            </w:pPr>
            <w:r w:rsidRPr="0021220B">
              <w:rPr>
                <w:rFonts w:ascii="Calibri" w:hAnsi="Calibri"/>
                <w:color w:val="000000"/>
                <w:lang w:eastAsia="bg-BG"/>
              </w:rPr>
              <w:t>Процент</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До 10 хил. жители</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33.9</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Между 10 и 20 хил. жители</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29.4</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Между 20 и 50 хил. жители</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20.2</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Между 50 и 100 хил. жители</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9.2</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Над 100 000 хил. души</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7.3</w:t>
            </w:r>
          </w:p>
        </w:tc>
      </w:tr>
      <w:tr w:rsidR="0021220B" w:rsidRPr="0021220B" w:rsidTr="00432BD7">
        <w:trPr>
          <w:cnfStyle w:val="010000000000" w:firstRow="0" w:lastRow="1" w:firstColumn="0" w:lastColumn="0" w:oddVBand="0" w:evenVBand="0" w:oddHBand="0" w:evenHBand="0" w:firstRowFirstColumn="0" w:firstRowLastColumn="0" w:lastRowFirstColumn="0" w:lastRowLastColumn="0"/>
          <w:trHeight w:val="284"/>
          <w:jc w:val="center"/>
        </w:trPr>
        <w:tc>
          <w:tcPr>
            <w:tcW w:w="6379" w:type="dxa"/>
            <w:hideMark/>
          </w:tcPr>
          <w:p w:rsidR="0021220B" w:rsidRPr="0021220B" w:rsidRDefault="0021220B" w:rsidP="0021220B">
            <w:pPr>
              <w:rPr>
                <w:rFonts w:ascii="Calibri" w:hAnsi="Calibri"/>
                <w:color w:val="000000"/>
                <w:lang w:eastAsia="bg-BG"/>
              </w:rPr>
            </w:pPr>
            <w:r w:rsidRPr="0021220B">
              <w:rPr>
                <w:rFonts w:ascii="Calibri" w:hAnsi="Calibri"/>
                <w:color w:val="000000"/>
                <w:lang w:eastAsia="bg-BG"/>
              </w:rPr>
              <w:t>Общо</w:t>
            </w:r>
          </w:p>
        </w:tc>
        <w:tc>
          <w:tcPr>
            <w:tcW w:w="1214" w:type="dxa"/>
            <w:noWrap/>
            <w:hideMark/>
          </w:tcPr>
          <w:p w:rsidR="0021220B" w:rsidRPr="0021220B" w:rsidRDefault="0021220B" w:rsidP="0021220B">
            <w:pPr>
              <w:jc w:val="center"/>
              <w:rPr>
                <w:rFonts w:ascii="Calibri" w:hAnsi="Calibri"/>
                <w:color w:val="000000"/>
                <w:lang w:eastAsia="bg-BG"/>
              </w:rPr>
            </w:pPr>
            <w:r w:rsidRPr="0021220B">
              <w:rPr>
                <w:rFonts w:ascii="Calibri" w:hAnsi="Calibri"/>
                <w:color w:val="000000"/>
                <w:lang w:eastAsia="bg-BG"/>
              </w:rPr>
              <w:t>100.0</w:t>
            </w:r>
          </w:p>
        </w:tc>
      </w:tr>
    </w:tbl>
    <w:p w:rsidR="00F00027" w:rsidRDefault="00F00027" w:rsidP="00F00027">
      <w:pPr>
        <w:spacing w:before="240"/>
        <w:ind w:left="720"/>
        <w:rPr>
          <w:rFonts w:ascii="Calibri" w:eastAsia="Calibri" w:hAnsi="Calibri" w:cs="Times New Roman"/>
          <w:b/>
          <w:color w:val="4F81BD"/>
        </w:rPr>
      </w:pPr>
    </w:p>
    <w:p w:rsidR="0021220B" w:rsidRPr="00432BD7" w:rsidRDefault="00432BD7" w:rsidP="001A036E">
      <w:pPr>
        <w:numPr>
          <w:ilvl w:val="0"/>
          <w:numId w:val="58"/>
        </w:numPr>
        <w:spacing w:before="240"/>
        <w:rPr>
          <w:rFonts w:ascii="Calibri" w:eastAsia="Calibri" w:hAnsi="Calibri" w:cs="Times New Roman"/>
          <w:b/>
          <w:color w:val="4F81BD"/>
        </w:rPr>
      </w:pPr>
      <w:r>
        <w:rPr>
          <w:rFonts w:ascii="Calibri" w:eastAsia="Calibri" w:hAnsi="Calibri" w:cs="Times New Roman"/>
          <w:b/>
          <w:color w:val="4F81BD"/>
        </w:rPr>
        <w:t>Проектен опит на общините</w:t>
      </w:r>
    </w:p>
    <w:p w:rsidR="0021220B" w:rsidRPr="0021220B" w:rsidRDefault="0021220B" w:rsidP="00432BD7">
      <w:pPr>
        <w:spacing w:before="240" w:after="200" w:line="276" w:lineRule="auto"/>
        <w:jc w:val="both"/>
        <w:rPr>
          <w:rFonts w:ascii="Calibri" w:eastAsia="Times New Roman" w:hAnsi="Calibri" w:cs="Arial"/>
          <w:lang w:eastAsia="bg-BG"/>
        </w:rPr>
      </w:pPr>
      <w:r w:rsidRPr="0021220B">
        <w:rPr>
          <w:rFonts w:ascii="Calibri" w:eastAsia="Times New Roman" w:hAnsi="Calibri" w:cs="Arial"/>
          <w:lang w:eastAsia="bg-BG"/>
        </w:rPr>
        <w:t>От отговорилите общини, 64% са изпълнявали проекти, финансирани от ОПОС 2007-2014 по ПО „Води“, 40% са изпълнявали проекти по ПО „Отпадъци“, а под 1% са изпълнявали проекти по ПО „Би</w:t>
      </w:r>
      <w:r w:rsidR="00E74BDD">
        <w:rPr>
          <w:rFonts w:ascii="Calibri" w:eastAsia="Times New Roman" w:hAnsi="Calibri" w:cs="Arial"/>
          <w:lang w:eastAsia="bg-BG"/>
        </w:rPr>
        <w:t>о</w:t>
      </w:r>
      <w:r w:rsidRPr="0021220B">
        <w:rPr>
          <w:rFonts w:ascii="Calibri" w:eastAsia="Times New Roman" w:hAnsi="Calibri" w:cs="Arial"/>
          <w:lang w:eastAsia="bg-BG"/>
        </w:rPr>
        <w:t>разнообразие“ и по отношение на качество на въздуха.</w:t>
      </w:r>
    </w:p>
    <w:p w:rsidR="0021220B" w:rsidRDefault="0021220B" w:rsidP="0021220B">
      <w:pPr>
        <w:spacing w:after="200" w:line="276" w:lineRule="auto"/>
        <w:rPr>
          <w:rFonts w:ascii="Calibri" w:eastAsia="Times New Roman" w:hAnsi="Calibri" w:cs="Arial"/>
          <w:lang w:eastAsia="bg-BG"/>
        </w:rPr>
      </w:pPr>
      <w:r w:rsidRPr="0021220B">
        <w:rPr>
          <w:rFonts w:ascii="Calibri" w:eastAsia="Times New Roman" w:hAnsi="Calibri" w:cs="Arial"/>
          <w:lang w:eastAsia="bg-BG"/>
        </w:rPr>
        <w:t>Много е голямо разнообразието от изпълнявани проекти според източника на финансиране</w:t>
      </w:r>
      <w:r w:rsidRPr="0021220B">
        <w:rPr>
          <w:rFonts w:ascii="Calibri" w:eastAsia="Times New Roman" w:hAnsi="Calibri" w:cs="Arial"/>
          <w:lang w:val="en-US" w:eastAsia="bg-BG"/>
        </w:rPr>
        <w:t xml:space="preserve"> – </w:t>
      </w:r>
      <w:r w:rsidRPr="0021220B">
        <w:rPr>
          <w:rFonts w:ascii="Calibri" w:eastAsia="Times New Roman" w:hAnsi="Calibri" w:cs="Arial"/>
          <w:lang w:eastAsia="bg-BG"/>
        </w:rPr>
        <w:t>ИСПА, ПУДООС, НДЕФ, ФМ на ЕИП, ПРСР, ОПРР, ЕТС, ФАР – ТГС и др.</w:t>
      </w:r>
    </w:p>
    <w:p w:rsidR="00432BD7" w:rsidRPr="00432BD7" w:rsidRDefault="00432BD7" w:rsidP="00432BD7">
      <w:pPr>
        <w:jc w:val="center"/>
        <w:rPr>
          <w:b/>
          <w:sz w:val="20"/>
          <w:szCs w:val="20"/>
        </w:rPr>
      </w:pPr>
      <w:bookmarkStart w:id="78" w:name="_Toc399494903"/>
      <w:r w:rsidRPr="00432BD7">
        <w:rPr>
          <w:b/>
          <w:sz w:val="20"/>
          <w:szCs w:val="20"/>
        </w:rPr>
        <w:t xml:space="preserve">Таблица </w:t>
      </w:r>
      <w:r w:rsidR="008E6461" w:rsidRPr="00432BD7">
        <w:rPr>
          <w:b/>
          <w:sz w:val="20"/>
          <w:szCs w:val="20"/>
        </w:rPr>
        <w:fldChar w:fldCharType="begin"/>
      </w:r>
      <w:r w:rsidRPr="00432BD7">
        <w:rPr>
          <w:b/>
          <w:sz w:val="20"/>
          <w:szCs w:val="20"/>
        </w:rPr>
        <w:instrText xml:space="preserve"> SEQ Таблица \* ARABIC </w:instrText>
      </w:r>
      <w:r w:rsidR="008E6461" w:rsidRPr="00432BD7">
        <w:rPr>
          <w:b/>
          <w:sz w:val="20"/>
          <w:szCs w:val="20"/>
        </w:rPr>
        <w:fldChar w:fldCharType="separate"/>
      </w:r>
      <w:r w:rsidR="003A69A7">
        <w:rPr>
          <w:b/>
          <w:noProof/>
          <w:sz w:val="20"/>
          <w:szCs w:val="20"/>
        </w:rPr>
        <w:t>23</w:t>
      </w:r>
      <w:r w:rsidR="008E6461" w:rsidRPr="00432BD7">
        <w:rPr>
          <w:b/>
          <w:sz w:val="20"/>
          <w:szCs w:val="20"/>
        </w:rPr>
        <w:fldChar w:fldCharType="end"/>
      </w:r>
      <w:r w:rsidR="002D3BE2">
        <w:rPr>
          <w:b/>
          <w:sz w:val="20"/>
          <w:szCs w:val="20"/>
        </w:rPr>
        <w:t>. И</w:t>
      </w:r>
      <w:r w:rsidRPr="00432BD7">
        <w:rPr>
          <w:b/>
          <w:sz w:val="20"/>
          <w:szCs w:val="20"/>
        </w:rPr>
        <w:t>зточник на финансиране по сфери</w:t>
      </w:r>
      <w:bookmarkEnd w:id="78"/>
    </w:p>
    <w:tbl>
      <w:tblPr>
        <w:tblStyle w:val="LightShading-Accent13"/>
        <w:tblW w:w="0" w:type="auto"/>
        <w:jc w:val="center"/>
        <w:tblLook w:val="04A0" w:firstRow="1" w:lastRow="0" w:firstColumn="1" w:lastColumn="0" w:noHBand="0" w:noVBand="1"/>
      </w:tblPr>
      <w:tblGrid>
        <w:gridCol w:w="2321"/>
        <w:gridCol w:w="1756"/>
        <w:gridCol w:w="1843"/>
        <w:gridCol w:w="1701"/>
      </w:tblGrid>
      <w:tr w:rsidR="0021220B" w:rsidRPr="0021220B" w:rsidTr="00432BD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21" w:type="dxa"/>
          </w:tcPr>
          <w:p w:rsidR="0021220B" w:rsidRPr="0021220B" w:rsidRDefault="0021220B" w:rsidP="0021220B">
            <w:pPr>
              <w:spacing w:after="200"/>
              <w:rPr>
                <w:rFonts w:ascii="Calibri" w:hAnsi="Calibri"/>
                <w:b w:val="0"/>
              </w:rPr>
            </w:pPr>
            <w:r w:rsidRPr="0021220B">
              <w:rPr>
                <w:rFonts w:ascii="Calibri" w:hAnsi="Calibri"/>
                <w:b w:val="0"/>
              </w:rPr>
              <w:t>Източник на финансиране</w:t>
            </w:r>
          </w:p>
        </w:tc>
        <w:tc>
          <w:tcPr>
            <w:tcW w:w="1756" w:type="dxa"/>
          </w:tcPr>
          <w:p w:rsidR="0021220B" w:rsidRPr="0021220B" w:rsidRDefault="0021220B" w:rsidP="0021220B">
            <w:pPr>
              <w:spacing w:after="200"/>
              <w:cnfStyle w:val="100000000000" w:firstRow="1" w:lastRow="0" w:firstColumn="0" w:lastColumn="0" w:oddVBand="0" w:evenVBand="0" w:oddHBand="0" w:evenHBand="0" w:firstRowFirstColumn="0" w:firstRowLastColumn="0" w:lastRowFirstColumn="0" w:lastRowLastColumn="0"/>
              <w:rPr>
                <w:rFonts w:ascii="Calibri" w:hAnsi="Calibri"/>
                <w:b w:val="0"/>
              </w:rPr>
            </w:pPr>
            <w:r w:rsidRPr="0021220B">
              <w:rPr>
                <w:rFonts w:ascii="Calibri" w:hAnsi="Calibri"/>
                <w:b w:val="0"/>
              </w:rPr>
              <w:t>Води</w:t>
            </w:r>
          </w:p>
        </w:tc>
        <w:tc>
          <w:tcPr>
            <w:tcW w:w="1843" w:type="dxa"/>
          </w:tcPr>
          <w:p w:rsidR="0021220B" w:rsidRPr="0021220B" w:rsidRDefault="0021220B" w:rsidP="0021220B">
            <w:pPr>
              <w:spacing w:after="200"/>
              <w:cnfStyle w:val="100000000000" w:firstRow="1" w:lastRow="0" w:firstColumn="0" w:lastColumn="0" w:oddVBand="0" w:evenVBand="0" w:oddHBand="0" w:evenHBand="0" w:firstRowFirstColumn="0" w:firstRowLastColumn="0" w:lastRowFirstColumn="0" w:lastRowLastColumn="0"/>
              <w:rPr>
                <w:rFonts w:ascii="Calibri" w:hAnsi="Calibri"/>
                <w:b w:val="0"/>
              </w:rPr>
            </w:pPr>
            <w:r w:rsidRPr="0021220B">
              <w:rPr>
                <w:rFonts w:ascii="Calibri" w:hAnsi="Calibri"/>
                <w:b w:val="0"/>
              </w:rPr>
              <w:t>Отпадъци</w:t>
            </w:r>
          </w:p>
        </w:tc>
        <w:tc>
          <w:tcPr>
            <w:tcW w:w="1701" w:type="dxa"/>
          </w:tcPr>
          <w:p w:rsidR="0021220B" w:rsidRPr="0021220B" w:rsidRDefault="0021220B" w:rsidP="0021220B">
            <w:pPr>
              <w:spacing w:after="200"/>
              <w:cnfStyle w:val="100000000000" w:firstRow="1" w:lastRow="0" w:firstColumn="0" w:lastColumn="0" w:oddVBand="0" w:evenVBand="0" w:oddHBand="0" w:evenHBand="0" w:firstRowFirstColumn="0" w:firstRowLastColumn="0" w:lastRowFirstColumn="0" w:lastRowLastColumn="0"/>
              <w:rPr>
                <w:rFonts w:ascii="Calibri" w:hAnsi="Calibri"/>
                <w:b w:val="0"/>
              </w:rPr>
            </w:pPr>
            <w:r w:rsidRPr="0021220B">
              <w:rPr>
                <w:rFonts w:ascii="Calibri" w:hAnsi="Calibri"/>
                <w:b w:val="0"/>
              </w:rPr>
              <w:t>Въздух</w:t>
            </w:r>
          </w:p>
        </w:tc>
      </w:tr>
      <w:tr w:rsidR="0021220B" w:rsidRPr="0021220B" w:rsidTr="00432BD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21" w:type="dxa"/>
          </w:tcPr>
          <w:p w:rsidR="0021220B" w:rsidRPr="0021220B" w:rsidRDefault="0021220B" w:rsidP="0021220B">
            <w:pPr>
              <w:spacing w:after="200"/>
              <w:rPr>
                <w:rFonts w:ascii="Calibri" w:hAnsi="Calibri"/>
                <w:b w:val="0"/>
              </w:rPr>
            </w:pPr>
            <w:r w:rsidRPr="0021220B">
              <w:rPr>
                <w:rFonts w:ascii="Calibri" w:hAnsi="Calibri"/>
                <w:b w:val="0"/>
              </w:rPr>
              <w:t>ОПОС 2007-2014</w:t>
            </w:r>
          </w:p>
        </w:tc>
        <w:tc>
          <w:tcPr>
            <w:tcW w:w="1756" w:type="dxa"/>
          </w:tcPr>
          <w:p w:rsidR="0021220B" w:rsidRPr="0021220B" w:rsidRDefault="0021220B" w:rsidP="0021220B">
            <w:pPr>
              <w:spacing w:after="200"/>
              <w:cnfStyle w:val="000000100000" w:firstRow="0" w:lastRow="0" w:firstColumn="0" w:lastColumn="0" w:oddVBand="0" w:evenVBand="0" w:oddHBand="1" w:evenHBand="0" w:firstRowFirstColumn="0" w:firstRowLastColumn="0" w:lastRowFirstColumn="0" w:lastRowLastColumn="0"/>
              <w:rPr>
                <w:rFonts w:ascii="Calibri" w:hAnsi="Calibri"/>
                <w:b/>
              </w:rPr>
            </w:pPr>
            <w:r w:rsidRPr="0021220B">
              <w:rPr>
                <w:rFonts w:ascii="Calibri" w:hAnsi="Calibri"/>
                <w:b/>
              </w:rPr>
              <w:t>64%</w:t>
            </w:r>
          </w:p>
        </w:tc>
        <w:tc>
          <w:tcPr>
            <w:tcW w:w="1843" w:type="dxa"/>
          </w:tcPr>
          <w:p w:rsidR="0021220B" w:rsidRPr="0021220B" w:rsidRDefault="0021220B" w:rsidP="0021220B">
            <w:pPr>
              <w:spacing w:after="200"/>
              <w:cnfStyle w:val="000000100000" w:firstRow="0" w:lastRow="0" w:firstColumn="0" w:lastColumn="0" w:oddVBand="0" w:evenVBand="0" w:oddHBand="1" w:evenHBand="0" w:firstRowFirstColumn="0" w:firstRowLastColumn="0" w:lastRowFirstColumn="0" w:lastRowLastColumn="0"/>
              <w:rPr>
                <w:rFonts w:ascii="Calibri" w:hAnsi="Calibri"/>
                <w:b/>
              </w:rPr>
            </w:pPr>
            <w:r w:rsidRPr="0021220B">
              <w:rPr>
                <w:rFonts w:ascii="Calibri" w:hAnsi="Calibri"/>
                <w:b/>
              </w:rPr>
              <w:t>36%</w:t>
            </w:r>
          </w:p>
        </w:tc>
        <w:tc>
          <w:tcPr>
            <w:tcW w:w="1701" w:type="dxa"/>
          </w:tcPr>
          <w:p w:rsidR="0021220B" w:rsidRPr="0021220B" w:rsidRDefault="0021220B" w:rsidP="0021220B">
            <w:pPr>
              <w:spacing w:after="200"/>
              <w:cnfStyle w:val="000000100000" w:firstRow="0" w:lastRow="0" w:firstColumn="0" w:lastColumn="0" w:oddVBand="0" w:evenVBand="0" w:oddHBand="1" w:evenHBand="0" w:firstRowFirstColumn="0" w:firstRowLastColumn="0" w:lastRowFirstColumn="0" w:lastRowLastColumn="0"/>
              <w:rPr>
                <w:rFonts w:ascii="Calibri" w:hAnsi="Calibri"/>
                <w:b/>
              </w:rPr>
            </w:pPr>
            <w:r w:rsidRPr="0021220B">
              <w:rPr>
                <w:rFonts w:ascii="Calibri" w:hAnsi="Calibri"/>
                <w:b/>
              </w:rPr>
              <w:t>1%</w:t>
            </w:r>
          </w:p>
        </w:tc>
      </w:tr>
      <w:tr w:rsidR="0021220B" w:rsidRPr="0021220B" w:rsidTr="00432BD7">
        <w:trPr>
          <w:jc w:val="center"/>
        </w:trPr>
        <w:tc>
          <w:tcPr>
            <w:cnfStyle w:val="001000000000" w:firstRow="0" w:lastRow="0" w:firstColumn="1" w:lastColumn="0" w:oddVBand="0" w:evenVBand="0" w:oddHBand="0" w:evenHBand="0" w:firstRowFirstColumn="0" w:firstRowLastColumn="0" w:lastRowFirstColumn="0" w:lastRowLastColumn="0"/>
            <w:tcW w:w="2321" w:type="dxa"/>
          </w:tcPr>
          <w:p w:rsidR="0021220B" w:rsidRPr="0021220B" w:rsidRDefault="0021220B" w:rsidP="0021220B">
            <w:pPr>
              <w:spacing w:after="200"/>
              <w:rPr>
                <w:rFonts w:ascii="Calibri" w:hAnsi="Calibri"/>
                <w:b w:val="0"/>
              </w:rPr>
            </w:pPr>
            <w:r w:rsidRPr="0021220B">
              <w:rPr>
                <w:rFonts w:ascii="Calibri" w:hAnsi="Calibri"/>
                <w:b w:val="0"/>
              </w:rPr>
              <w:t>ИСПА</w:t>
            </w:r>
          </w:p>
        </w:tc>
        <w:tc>
          <w:tcPr>
            <w:tcW w:w="1756" w:type="dxa"/>
          </w:tcPr>
          <w:p w:rsidR="0021220B" w:rsidRPr="0021220B" w:rsidRDefault="0021220B" w:rsidP="0021220B">
            <w:pPr>
              <w:spacing w:after="200"/>
              <w:cnfStyle w:val="000000000000" w:firstRow="0" w:lastRow="0" w:firstColumn="0" w:lastColumn="0" w:oddVBand="0" w:evenVBand="0" w:oddHBand="0" w:evenHBand="0" w:firstRowFirstColumn="0" w:firstRowLastColumn="0" w:lastRowFirstColumn="0" w:lastRowLastColumn="0"/>
              <w:rPr>
                <w:rFonts w:ascii="Calibri" w:hAnsi="Calibri"/>
                <w:b/>
              </w:rPr>
            </w:pPr>
            <w:r w:rsidRPr="0021220B">
              <w:rPr>
                <w:rFonts w:ascii="Calibri" w:hAnsi="Calibri"/>
                <w:b/>
              </w:rPr>
              <w:t>15%</w:t>
            </w:r>
          </w:p>
        </w:tc>
        <w:tc>
          <w:tcPr>
            <w:tcW w:w="1843" w:type="dxa"/>
          </w:tcPr>
          <w:p w:rsidR="0021220B" w:rsidRPr="0021220B" w:rsidRDefault="0021220B" w:rsidP="0021220B">
            <w:pPr>
              <w:spacing w:after="200"/>
              <w:cnfStyle w:val="000000000000" w:firstRow="0" w:lastRow="0" w:firstColumn="0" w:lastColumn="0" w:oddVBand="0" w:evenVBand="0" w:oddHBand="0" w:evenHBand="0" w:firstRowFirstColumn="0" w:firstRowLastColumn="0" w:lastRowFirstColumn="0" w:lastRowLastColumn="0"/>
              <w:rPr>
                <w:rFonts w:ascii="Calibri" w:hAnsi="Calibri"/>
                <w:b/>
              </w:rPr>
            </w:pPr>
            <w:r w:rsidRPr="0021220B">
              <w:rPr>
                <w:rFonts w:ascii="Calibri" w:hAnsi="Calibri"/>
                <w:b/>
              </w:rPr>
              <w:t>6%</w:t>
            </w:r>
          </w:p>
        </w:tc>
        <w:tc>
          <w:tcPr>
            <w:tcW w:w="1701" w:type="dxa"/>
          </w:tcPr>
          <w:p w:rsidR="0021220B" w:rsidRPr="0021220B" w:rsidRDefault="0021220B" w:rsidP="0021220B">
            <w:pPr>
              <w:spacing w:after="200"/>
              <w:cnfStyle w:val="000000000000" w:firstRow="0" w:lastRow="0" w:firstColumn="0" w:lastColumn="0" w:oddVBand="0" w:evenVBand="0" w:oddHBand="0" w:evenHBand="0" w:firstRowFirstColumn="0" w:firstRowLastColumn="0" w:lastRowFirstColumn="0" w:lastRowLastColumn="0"/>
              <w:rPr>
                <w:rFonts w:ascii="Calibri" w:hAnsi="Calibri"/>
                <w:b/>
              </w:rPr>
            </w:pPr>
            <w:r w:rsidRPr="0021220B">
              <w:rPr>
                <w:rFonts w:ascii="Calibri" w:hAnsi="Calibri"/>
                <w:b/>
              </w:rPr>
              <w:t>НП</w:t>
            </w:r>
          </w:p>
        </w:tc>
      </w:tr>
      <w:tr w:rsidR="0021220B" w:rsidRPr="0021220B" w:rsidTr="00432BD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321" w:type="dxa"/>
          </w:tcPr>
          <w:p w:rsidR="0021220B" w:rsidRPr="0021220B" w:rsidRDefault="0021220B" w:rsidP="0021220B">
            <w:pPr>
              <w:spacing w:after="200"/>
              <w:rPr>
                <w:rFonts w:ascii="Calibri" w:hAnsi="Calibri"/>
                <w:b w:val="0"/>
              </w:rPr>
            </w:pPr>
            <w:r w:rsidRPr="0021220B">
              <w:rPr>
                <w:rFonts w:ascii="Calibri" w:hAnsi="Calibri"/>
                <w:b w:val="0"/>
              </w:rPr>
              <w:t>ПУДООС</w:t>
            </w:r>
          </w:p>
        </w:tc>
        <w:tc>
          <w:tcPr>
            <w:tcW w:w="1756" w:type="dxa"/>
          </w:tcPr>
          <w:p w:rsidR="0021220B" w:rsidRPr="0021220B" w:rsidRDefault="0021220B" w:rsidP="0021220B">
            <w:pPr>
              <w:spacing w:after="200"/>
              <w:cnfStyle w:val="000000100000" w:firstRow="0" w:lastRow="0" w:firstColumn="0" w:lastColumn="0" w:oddVBand="0" w:evenVBand="0" w:oddHBand="1" w:evenHBand="0" w:firstRowFirstColumn="0" w:firstRowLastColumn="0" w:lastRowFirstColumn="0" w:lastRowLastColumn="0"/>
              <w:rPr>
                <w:rFonts w:ascii="Calibri" w:hAnsi="Calibri"/>
                <w:b/>
              </w:rPr>
            </w:pPr>
            <w:r w:rsidRPr="0021220B">
              <w:rPr>
                <w:rFonts w:ascii="Calibri" w:hAnsi="Calibri"/>
                <w:b/>
              </w:rPr>
              <w:t>62%</w:t>
            </w:r>
          </w:p>
        </w:tc>
        <w:tc>
          <w:tcPr>
            <w:tcW w:w="1843" w:type="dxa"/>
          </w:tcPr>
          <w:p w:rsidR="0021220B" w:rsidRPr="0021220B" w:rsidRDefault="0021220B" w:rsidP="0021220B">
            <w:pPr>
              <w:spacing w:after="200"/>
              <w:cnfStyle w:val="000000100000" w:firstRow="0" w:lastRow="0" w:firstColumn="0" w:lastColumn="0" w:oddVBand="0" w:evenVBand="0" w:oddHBand="1" w:evenHBand="0" w:firstRowFirstColumn="0" w:firstRowLastColumn="0" w:lastRowFirstColumn="0" w:lastRowLastColumn="0"/>
              <w:rPr>
                <w:rFonts w:ascii="Calibri" w:hAnsi="Calibri"/>
                <w:b/>
              </w:rPr>
            </w:pPr>
            <w:r w:rsidRPr="0021220B">
              <w:rPr>
                <w:rFonts w:ascii="Calibri" w:hAnsi="Calibri"/>
                <w:b/>
              </w:rPr>
              <w:t>46%</w:t>
            </w:r>
          </w:p>
        </w:tc>
        <w:tc>
          <w:tcPr>
            <w:tcW w:w="1701" w:type="dxa"/>
          </w:tcPr>
          <w:p w:rsidR="0021220B" w:rsidRPr="0021220B" w:rsidRDefault="0021220B" w:rsidP="0021220B">
            <w:pPr>
              <w:spacing w:after="200"/>
              <w:cnfStyle w:val="000000100000" w:firstRow="0" w:lastRow="0" w:firstColumn="0" w:lastColumn="0" w:oddVBand="0" w:evenVBand="0" w:oddHBand="1" w:evenHBand="0" w:firstRowFirstColumn="0" w:firstRowLastColumn="0" w:lastRowFirstColumn="0" w:lastRowLastColumn="0"/>
              <w:rPr>
                <w:rFonts w:ascii="Calibri" w:hAnsi="Calibri"/>
                <w:b/>
              </w:rPr>
            </w:pPr>
            <w:r w:rsidRPr="0021220B">
              <w:rPr>
                <w:rFonts w:ascii="Calibri" w:hAnsi="Calibri"/>
                <w:b/>
              </w:rPr>
              <w:t>2%</w:t>
            </w:r>
          </w:p>
        </w:tc>
      </w:tr>
    </w:tbl>
    <w:p w:rsidR="0021220B" w:rsidRPr="0021220B" w:rsidRDefault="0021220B" w:rsidP="00432BD7">
      <w:pPr>
        <w:spacing w:before="240" w:after="200" w:line="276" w:lineRule="auto"/>
        <w:rPr>
          <w:rFonts w:ascii="Calibri" w:eastAsia="Times New Roman" w:hAnsi="Calibri" w:cs="Arial"/>
          <w:u w:val="single"/>
          <w:lang w:eastAsia="bg-BG"/>
        </w:rPr>
      </w:pPr>
      <w:r w:rsidRPr="0021220B">
        <w:rPr>
          <w:rFonts w:ascii="Calibri" w:eastAsia="Times New Roman" w:hAnsi="Calibri" w:cs="Arial"/>
          <w:u w:val="single"/>
          <w:lang w:eastAsia="bg-BG"/>
        </w:rPr>
        <w:t>Други програми с сектор околна среда:</w:t>
      </w:r>
    </w:p>
    <w:p w:rsidR="0021220B" w:rsidRPr="0021220B" w:rsidRDefault="0021220B" w:rsidP="001A036E">
      <w:pPr>
        <w:numPr>
          <w:ilvl w:val="0"/>
          <w:numId w:val="42"/>
        </w:numPr>
        <w:spacing w:before="240" w:after="200" w:line="276" w:lineRule="auto"/>
        <w:contextualSpacing/>
        <w:rPr>
          <w:rFonts w:ascii="Calibri" w:eastAsia="Times New Roman" w:hAnsi="Calibri" w:cs="Arial"/>
          <w:lang w:eastAsia="bg-BG"/>
        </w:rPr>
      </w:pPr>
      <w:r w:rsidRPr="0021220B">
        <w:rPr>
          <w:rFonts w:ascii="Calibri" w:eastAsia="Times New Roman" w:hAnsi="Calibri" w:cs="Arial"/>
          <w:lang w:eastAsia="bg-BG"/>
        </w:rPr>
        <w:lastRenderedPageBreak/>
        <w:t>НДЕФ – 12%</w:t>
      </w:r>
    </w:p>
    <w:p w:rsidR="0021220B" w:rsidRPr="0021220B" w:rsidRDefault="0021220B" w:rsidP="001A036E">
      <w:pPr>
        <w:numPr>
          <w:ilvl w:val="0"/>
          <w:numId w:val="42"/>
        </w:numPr>
        <w:spacing w:before="240" w:after="200" w:line="276" w:lineRule="auto"/>
        <w:contextualSpacing/>
        <w:rPr>
          <w:rFonts w:ascii="Calibri" w:eastAsia="Times New Roman" w:hAnsi="Calibri" w:cs="Arial"/>
          <w:lang w:eastAsia="bg-BG"/>
        </w:rPr>
      </w:pPr>
      <w:r w:rsidRPr="0021220B">
        <w:rPr>
          <w:rFonts w:ascii="Calibri" w:eastAsia="Times New Roman" w:hAnsi="Calibri" w:cs="Arial"/>
          <w:lang w:eastAsia="bg-BG"/>
        </w:rPr>
        <w:t>ФМ на ЕИП – 5%</w:t>
      </w:r>
    </w:p>
    <w:p w:rsidR="0021220B" w:rsidRPr="0021220B" w:rsidRDefault="0021220B" w:rsidP="001A036E">
      <w:pPr>
        <w:numPr>
          <w:ilvl w:val="0"/>
          <w:numId w:val="42"/>
        </w:numPr>
        <w:spacing w:before="240" w:after="200" w:line="276" w:lineRule="auto"/>
        <w:contextualSpacing/>
        <w:rPr>
          <w:rFonts w:ascii="Calibri" w:eastAsia="Times New Roman" w:hAnsi="Calibri" w:cs="Arial"/>
          <w:lang w:eastAsia="bg-BG"/>
        </w:rPr>
      </w:pPr>
      <w:r w:rsidRPr="0021220B">
        <w:rPr>
          <w:rFonts w:ascii="Calibri" w:eastAsia="Times New Roman" w:hAnsi="Calibri" w:cs="Arial"/>
          <w:lang w:eastAsia="bg-BG"/>
        </w:rPr>
        <w:t>ПРСР – 21%</w:t>
      </w:r>
    </w:p>
    <w:p w:rsidR="0021220B" w:rsidRPr="0021220B" w:rsidRDefault="0021220B" w:rsidP="001A036E">
      <w:pPr>
        <w:numPr>
          <w:ilvl w:val="0"/>
          <w:numId w:val="42"/>
        </w:numPr>
        <w:spacing w:before="240" w:after="200" w:line="276" w:lineRule="auto"/>
        <w:contextualSpacing/>
        <w:rPr>
          <w:rFonts w:ascii="Calibri" w:eastAsia="Times New Roman" w:hAnsi="Calibri" w:cs="Arial"/>
          <w:lang w:eastAsia="bg-BG"/>
        </w:rPr>
      </w:pPr>
      <w:r w:rsidRPr="0021220B">
        <w:rPr>
          <w:rFonts w:ascii="Calibri" w:eastAsia="Times New Roman" w:hAnsi="Calibri" w:cs="Arial"/>
          <w:lang w:eastAsia="bg-BG"/>
        </w:rPr>
        <w:t>ОПРР – 16%</w:t>
      </w:r>
    </w:p>
    <w:p w:rsidR="0021220B" w:rsidRDefault="0021220B" w:rsidP="001A036E">
      <w:pPr>
        <w:numPr>
          <w:ilvl w:val="0"/>
          <w:numId w:val="42"/>
        </w:numPr>
        <w:spacing w:before="240" w:after="200" w:line="276" w:lineRule="auto"/>
        <w:contextualSpacing/>
        <w:rPr>
          <w:rFonts w:ascii="Calibri" w:eastAsia="Times New Roman" w:hAnsi="Calibri" w:cs="Arial"/>
          <w:lang w:eastAsia="bg-BG"/>
        </w:rPr>
      </w:pPr>
      <w:r w:rsidRPr="0021220B">
        <w:rPr>
          <w:rFonts w:ascii="Calibri" w:eastAsia="Times New Roman" w:hAnsi="Calibri" w:cs="Arial"/>
          <w:lang w:eastAsia="bg-BG"/>
        </w:rPr>
        <w:t xml:space="preserve">Програми по ТГС (България – Сърбия, България – Турция, България – Македония,  България – Румъния), ФАР </w:t>
      </w:r>
      <w:r w:rsidR="00432BD7">
        <w:rPr>
          <w:rFonts w:ascii="Calibri" w:eastAsia="Times New Roman" w:hAnsi="Calibri" w:cs="Arial"/>
          <w:lang w:eastAsia="bg-BG"/>
        </w:rPr>
        <w:t>–</w:t>
      </w:r>
      <w:r w:rsidRPr="0021220B">
        <w:rPr>
          <w:rFonts w:ascii="Calibri" w:eastAsia="Times New Roman" w:hAnsi="Calibri" w:cs="Arial"/>
          <w:lang w:eastAsia="bg-BG"/>
        </w:rPr>
        <w:t xml:space="preserve"> ТГС</w:t>
      </w:r>
    </w:p>
    <w:p w:rsidR="00432BD7" w:rsidRPr="0021220B" w:rsidRDefault="00432BD7" w:rsidP="00432BD7">
      <w:pPr>
        <w:spacing w:before="240" w:after="200" w:line="276" w:lineRule="auto"/>
        <w:ind w:left="720"/>
        <w:contextualSpacing/>
        <w:rPr>
          <w:rFonts w:ascii="Calibri" w:eastAsia="Times New Roman" w:hAnsi="Calibri" w:cs="Arial"/>
          <w:lang w:eastAsia="bg-BG"/>
        </w:rPr>
      </w:pPr>
    </w:p>
    <w:p w:rsidR="0021220B" w:rsidRPr="00432BD7" w:rsidRDefault="0021220B" w:rsidP="001A036E">
      <w:pPr>
        <w:numPr>
          <w:ilvl w:val="0"/>
          <w:numId w:val="58"/>
        </w:numPr>
        <w:spacing w:before="240"/>
        <w:rPr>
          <w:rFonts w:ascii="Calibri" w:eastAsia="Calibri" w:hAnsi="Calibri" w:cs="Times New Roman"/>
          <w:b/>
          <w:color w:val="4F81BD"/>
        </w:rPr>
      </w:pPr>
      <w:r w:rsidRPr="00432BD7">
        <w:rPr>
          <w:rFonts w:ascii="Calibri" w:eastAsia="Calibri" w:hAnsi="Calibri" w:cs="Times New Roman"/>
          <w:b/>
          <w:color w:val="4F81BD"/>
        </w:rPr>
        <w:t xml:space="preserve">Опит </w:t>
      </w:r>
      <w:r w:rsidR="00432BD7">
        <w:rPr>
          <w:rFonts w:ascii="Calibri" w:eastAsia="Calibri" w:hAnsi="Calibri" w:cs="Times New Roman"/>
          <w:b/>
          <w:color w:val="4F81BD"/>
        </w:rPr>
        <w:t>в работа с финансови институции</w:t>
      </w:r>
    </w:p>
    <w:p w:rsidR="0021220B" w:rsidRPr="0021220B" w:rsidRDefault="0021220B" w:rsidP="0021220B">
      <w:pPr>
        <w:spacing w:after="200" w:line="276" w:lineRule="auto"/>
        <w:jc w:val="both"/>
        <w:rPr>
          <w:rFonts w:ascii="Calibri" w:eastAsia="Times New Roman" w:hAnsi="Calibri" w:cs="Arial"/>
          <w:lang w:eastAsia="bg-BG"/>
        </w:rPr>
      </w:pPr>
      <w:r w:rsidRPr="0021220B">
        <w:rPr>
          <w:rFonts w:ascii="Calibri" w:eastAsia="Times New Roman" w:hAnsi="Calibri" w:cs="Arial"/>
          <w:lang w:eastAsia="bg-BG"/>
        </w:rPr>
        <w:t>По отношение на предходния опит на общините относно работата и с финансови институции, най-голям процент от тях посочват опит с фонд ФЛАГ – близо 70%. Това е обосновано, тъй като голяма част от респондентите са малки и средни общини, които работят с фонд ФЛАГ с цел осигуряване на префинансиране или съфинансиране за големи проекти, които общините изпълняват. 22% споделят, че имат опит  с инвестиционни фондове, 39% - с български търговски банки, 24% - със Световната банка, близо 6% - с ЕБВР</w:t>
      </w:r>
    </w:p>
    <w:p w:rsidR="00432BD7" w:rsidRPr="0021220B" w:rsidRDefault="00432BD7" w:rsidP="00A82D1C">
      <w:pPr>
        <w:keepNext/>
        <w:spacing w:before="240" w:after="120" w:line="276" w:lineRule="auto"/>
        <w:jc w:val="center"/>
        <w:rPr>
          <w:rFonts w:ascii="Calibri" w:eastAsia="Arial" w:hAnsi="Calibri" w:cs="Times New Roman"/>
          <w:bCs/>
          <w:smallCaps/>
          <w:color w:val="DD8047"/>
          <w:spacing w:val="10"/>
        </w:rPr>
      </w:pPr>
      <w:bookmarkStart w:id="79" w:name="_Toc399494605"/>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20</w:t>
      </w:r>
      <w:r w:rsidR="008E6461" w:rsidRPr="005C4B92">
        <w:rPr>
          <w:b/>
          <w:sz w:val="20"/>
          <w:szCs w:val="20"/>
        </w:rPr>
        <w:fldChar w:fldCharType="end"/>
      </w:r>
      <w:r w:rsidRPr="005C4B92">
        <w:rPr>
          <w:b/>
          <w:sz w:val="20"/>
          <w:szCs w:val="20"/>
        </w:rPr>
        <w:t>:</w:t>
      </w:r>
      <w:r>
        <w:rPr>
          <w:b/>
          <w:sz w:val="20"/>
          <w:szCs w:val="20"/>
        </w:rPr>
        <w:t xml:space="preserve"> </w:t>
      </w:r>
      <w:r w:rsidRPr="00432BD7">
        <w:rPr>
          <w:b/>
          <w:sz w:val="20"/>
          <w:szCs w:val="20"/>
        </w:rPr>
        <w:t>Опит в работата с финансови институции</w:t>
      </w:r>
      <w:bookmarkEnd w:id="79"/>
    </w:p>
    <w:p w:rsidR="0021220B" w:rsidRPr="0021220B" w:rsidRDefault="00432BD7" w:rsidP="00432BD7">
      <w:pPr>
        <w:keepNext/>
        <w:spacing w:after="0" w:line="240" w:lineRule="auto"/>
        <w:jc w:val="center"/>
        <w:rPr>
          <w:rFonts w:ascii="Calibri" w:eastAsia="Times New Roman" w:hAnsi="Calibri" w:cs="Arial"/>
          <w:b/>
          <w:bCs/>
          <w:color w:val="000000"/>
          <w:lang w:val="en-US" w:eastAsia="bg-BG"/>
        </w:rPr>
      </w:pPr>
      <w:r>
        <w:rPr>
          <w:rFonts w:ascii="Calibri" w:eastAsia="Times New Roman" w:hAnsi="Calibri" w:cs="Arial"/>
          <w:b/>
          <w:bCs/>
          <w:noProof/>
          <w:color w:val="000000"/>
          <w:lang w:eastAsia="bg-BG"/>
        </w:rPr>
        <w:drawing>
          <wp:inline distT="0" distB="0" distL="0" distR="0">
            <wp:extent cx="5149797" cy="2143125"/>
            <wp:effectExtent l="1905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4" cstate="print"/>
                    <a:srcRect/>
                    <a:stretch>
                      <a:fillRect/>
                    </a:stretch>
                  </pic:blipFill>
                  <pic:spPr bwMode="auto">
                    <a:xfrm>
                      <a:off x="0" y="0"/>
                      <a:ext cx="5150554" cy="2143440"/>
                    </a:xfrm>
                    <a:prstGeom prst="rect">
                      <a:avLst/>
                    </a:prstGeom>
                    <a:noFill/>
                  </pic:spPr>
                </pic:pic>
              </a:graphicData>
            </a:graphic>
          </wp:inline>
        </w:drawing>
      </w:r>
    </w:p>
    <w:p w:rsidR="00432BD7" w:rsidRDefault="00432BD7" w:rsidP="0021220B">
      <w:pPr>
        <w:spacing w:before="240" w:after="120" w:line="276" w:lineRule="auto"/>
        <w:jc w:val="both"/>
        <w:rPr>
          <w:rFonts w:ascii="Calibri" w:eastAsia="Arial" w:hAnsi="Calibri" w:cs="Times New Roman"/>
          <w:color w:val="000000"/>
        </w:rPr>
      </w:pPr>
    </w:p>
    <w:p w:rsidR="0021220B" w:rsidRPr="0021220B" w:rsidRDefault="0021220B" w:rsidP="0021220B">
      <w:pPr>
        <w:spacing w:before="240" w:after="120" w:line="276" w:lineRule="auto"/>
        <w:jc w:val="both"/>
        <w:rPr>
          <w:rFonts w:ascii="Calibri" w:eastAsia="Arial" w:hAnsi="Calibri" w:cs="Times New Roman"/>
          <w:color w:val="000000"/>
        </w:rPr>
      </w:pPr>
      <w:r w:rsidRPr="0021220B">
        <w:rPr>
          <w:rFonts w:ascii="Calibri" w:eastAsia="Arial" w:hAnsi="Calibri" w:cs="Times New Roman"/>
          <w:color w:val="000000"/>
        </w:rPr>
        <w:t xml:space="preserve">64% от респондентите посочват, че имат опит с </w:t>
      </w:r>
      <w:r w:rsidRPr="0021220B">
        <w:rPr>
          <w:rFonts w:ascii="Calibri" w:eastAsia="Arial" w:hAnsi="Calibri" w:cs="Times New Roman"/>
          <w:color w:val="000000"/>
          <w:lang w:val="en-US"/>
        </w:rPr>
        <w:t>JASPERS</w:t>
      </w:r>
      <w:r w:rsidRPr="0021220B">
        <w:rPr>
          <w:rFonts w:ascii="Calibri" w:eastAsia="Arial" w:hAnsi="Calibri" w:cs="Times New Roman"/>
          <w:color w:val="000000"/>
        </w:rPr>
        <w:t xml:space="preserve">, а близо 29% - с </w:t>
      </w:r>
      <w:r w:rsidRPr="0021220B">
        <w:rPr>
          <w:rFonts w:ascii="Calibri" w:eastAsia="Arial" w:hAnsi="Calibri" w:cs="Times New Roman"/>
          <w:color w:val="000000"/>
          <w:lang w:val="en-US"/>
        </w:rPr>
        <w:t xml:space="preserve">JESSICA, </w:t>
      </w:r>
      <w:r w:rsidRPr="0021220B">
        <w:rPr>
          <w:rFonts w:ascii="Calibri" w:eastAsia="Arial" w:hAnsi="Calibri" w:cs="Times New Roman"/>
          <w:color w:val="000000"/>
        </w:rPr>
        <w:t>като 29% посочват опит и с други финансови инструменти.</w:t>
      </w:r>
      <w:r w:rsidRPr="0021220B">
        <w:rPr>
          <w:rFonts w:ascii="Calibri" w:eastAsia="Arial" w:hAnsi="Calibri" w:cs="Times New Roman"/>
          <w:color w:val="000000"/>
          <w:lang w:val="en-US"/>
        </w:rPr>
        <w:t xml:space="preserve"> </w:t>
      </w:r>
    </w:p>
    <w:p w:rsidR="00432BD7" w:rsidRDefault="0021220B" w:rsidP="00B77D22">
      <w:pPr>
        <w:spacing w:before="240" w:after="120" w:line="276" w:lineRule="auto"/>
        <w:jc w:val="both"/>
        <w:rPr>
          <w:rFonts w:ascii="Calibri" w:eastAsia="Arial" w:hAnsi="Calibri" w:cs="Times New Roman"/>
          <w:color w:val="000000"/>
        </w:rPr>
      </w:pPr>
      <w:r w:rsidRPr="0021220B">
        <w:rPr>
          <w:rFonts w:ascii="Calibri" w:eastAsia="Arial" w:hAnsi="Calibri" w:cs="Times New Roman"/>
          <w:color w:val="000000"/>
        </w:rPr>
        <w:t xml:space="preserve">63% от </w:t>
      </w:r>
      <w:r w:rsidR="00CA24BD" w:rsidRPr="0021220B">
        <w:rPr>
          <w:rFonts w:ascii="Calibri" w:eastAsia="Arial" w:hAnsi="Calibri" w:cs="Times New Roman"/>
          <w:color w:val="000000"/>
        </w:rPr>
        <w:t>респондентите</w:t>
      </w:r>
      <w:r w:rsidRPr="0021220B">
        <w:rPr>
          <w:rFonts w:ascii="Calibri" w:eastAsia="Arial" w:hAnsi="Calibri" w:cs="Times New Roman"/>
          <w:color w:val="000000"/>
        </w:rPr>
        <w:t xml:space="preserve"> посочват, че опитът им при използване на финансови инструменти  е успешен, близо 16% споделят, че нямат такъв опит, а 2% посочват, че опитът им е по-скоро неуспешен. </w:t>
      </w:r>
      <w:r w:rsidR="00F54846">
        <w:rPr>
          <w:rFonts w:ascii="Calibri" w:eastAsia="Arial" w:hAnsi="Calibri" w:cs="Times New Roman"/>
          <w:color w:val="000000"/>
        </w:rPr>
        <w:t>19% посочват, че не могат да преценят.</w:t>
      </w:r>
    </w:p>
    <w:p w:rsidR="00432BD7" w:rsidRPr="0021220B" w:rsidRDefault="00432BD7" w:rsidP="00A82D1C">
      <w:pPr>
        <w:keepNext/>
        <w:spacing w:before="240" w:after="120" w:line="276" w:lineRule="auto"/>
        <w:jc w:val="center"/>
        <w:rPr>
          <w:rFonts w:ascii="Calibri" w:eastAsia="Arial" w:hAnsi="Calibri" w:cs="Times New Roman"/>
          <w:bCs/>
          <w:smallCaps/>
          <w:color w:val="DD8047"/>
          <w:spacing w:val="10"/>
        </w:rPr>
      </w:pPr>
      <w:bookmarkStart w:id="80" w:name="_Toc399494606"/>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21</w:t>
      </w:r>
      <w:r w:rsidR="008E6461" w:rsidRPr="005C4B92">
        <w:rPr>
          <w:b/>
          <w:sz w:val="20"/>
          <w:szCs w:val="20"/>
        </w:rPr>
        <w:fldChar w:fldCharType="end"/>
      </w:r>
      <w:r w:rsidRPr="005C4B92">
        <w:rPr>
          <w:b/>
          <w:sz w:val="20"/>
          <w:szCs w:val="20"/>
        </w:rPr>
        <w:t>:</w:t>
      </w:r>
      <w:r>
        <w:rPr>
          <w:b/>
          <w:sz w:val="20"/>
          <w:szCs w:val="20"/>
        </w:rPr>
        <w:t xml:space="preserve"> </w:t>
      </w:r>
      <w:r w:rsidRPr="0021220B">
        <w:rPr>
          <w:rFonts w:ascii="Calibri" w:eastAsia="Arial" w:hAnsi="Calibri" w:cs="Times New Roman"/>
          <w:bCs/>
          <w:smallCaps/>
          <w:color w:val="DD8047"/>
          <w:spacing w:val="10"/>
        </w:rPr>
        <w:t xml:space="preserve"> </w:t>
      </w:r>
      <w:r w:rsidRPr="00432BD7">
        <w:rPr>
          <w:b/>
          <w:sz w:val="20"/>
          <w:szCs w:val="20"/>
        </w:rPr>
        <w:t>Доколко е успешен опитът в използване на финансови инструменти</w:t>
      </w:r>
      <w:bookmarkEnd w:id="80"/>
    </w:p>
    <w:p w:rsidR="0021220B" w:rsidRPr="0021220B" w:rsidRDefault="00432BD7" w:rsidP="00432BD7">
      <w:pPr>
        <w:spacing w:line="240" w:lineRule="auto"/>
        <w:jc w:val="center"/>
        <w:rPr>
          <w:rFonts w:ascii="Calibri" w:eastAsia="Times New Roman" w:hAnsi="Calibri" w:cs="Arial"/>
          <w:b/>
          <w:bCs/>
          <w:color w:val="000000"/>
          <w:lang w:eastAsia="bg-BG"/>
        </w:rPr>
      </w:pPr>
      <w:r>
        <w:rPr>
          <w:rFonts w:ascii="Calibri" w:eastAsia="Times New Roman" w:hAnsi="Calibri" w:cs="Arial"/>
          <w:b/>
          <w:bCs/>
          <w:noProof/>
          <w:color w:val="000000"/>
          <w:lang w:eastAsia="bg-BG"/>
        </w:rPr>
        <w:drawing>
          <wp:inline distT="0" distB="0" distL="0" distR="0">
            <wp:extent cx="4905375" cy="2158365"/>
            <wp:effectExtent l="1905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5" cstate="print"/>
                    <a:srcRect/>
                    <a:stretch>
                      <a:fillRect/>
                    </a:stretch>
                  </pic:blipFill>
                  <pic:spPr bwMode="auto">
                    <a:xfrm>
                      <a:off x="0" y="0"/>
                      <a:ext cx="4909222" cy="2160058"/>
                    </a:xfrm>
                    <a:prstGeom prst="rect">
                      <a:avLst/>
                    </a:prstGeom>
                    <a:noFill/>
                  </pic:spPr>
                </pic:pic>
              </a:graphicData>
            </a:graphic>
          </wp:inline>
        </w:drawing>
      </w:r>
    </w:p>
    <w:p w:rsidR="00432BD7" w:rsidRDefault="0021220B" w:rsidP="0021220B">
      <w:pPr>
        <w:spacing w:before="120" w:after="240" w:line="276" w:lineRule="auto"/>
        <w:jc w:val="both"/>
        <w:rPr>
          <w:rFonts w:ascii="Calibri" w:eastAsia="Times New Roman" w:hAnsi="Calibri" w:cs="Arial"/>
          <w:bCs/>
          <w:color w:val="000000"/>
          <w:lang w:eastAsia="bg-BG"/>
        </w:rPr>
      </w:pPr>
      <w:r w:rsidRPr="0021220B">
        <w:rPr>
          <w:rFonts w:ascii="Calibri" w:eastAsia="Times New Roman" w:hAnsi="Calibri" w:cs="Arial"/>
          <w:bCs/>
          <w:color w:val="000000"/>
          <w:lang w:eastAsia="bg-BG"/>
        </w:rPr>
        <w:t xml:space="preserve">От респондентите, отговорили на анкетата, почти 58% споделят, че имат достатъчно опит  в управлението на инвестиции, финансирани чрез финансови инструменти (ФИ), а почти 26% - че нямат опит. Това се подкрепя и от отговорите  на въпрос за опита на общините в управление на инвестиции, финансирани чрез БВП – 72% имат опит в това отношение, като едва 9% споделят, че нямат такъв опит.  </w:t>
      </w:r>
    </w:p>
    <w:p w:rsidR="0021220B" w:rsidRPr="00432BD7" w:rsidRDefault="00432BD7" w:rsidP="00A82D1C">
      <w:pPr>
        <w:keepNext/>
        <w:spacing w:before="120" w:after="240" w:line="276" w:lineRule="auto"/>
        <w:jc w:val="center"/>
        <w:rPr>
          <w:b/>
          <w:sz w:val="20"/>
          <w:szCs w:val="20"/>
        </w:rPr>
      </w:pPr>
      <w:bookmarkStart w:id="81" w:name="_Toc399494607"/>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22</w:t>
      </w:r>
      <w:r w:rsidR="008E6461" w:rsidRPr="005C4B92">
        <w:rPr>
          <w:b/>
          <w:sz w:val="20"/>
          <w:szCs w:val="20"/>
        </w:rPr>
        <w:fldChar w:fldCharType="end"/>
      </w:r>
      <w:r w:rsidRPr="005C4B92">
        <w:rPr>
          <w:b/>
          <w:sz w:val="20"/>
          <w:szCs w:val="20"/>
        </w:rPr>
        <w:t>:</w:t>
      </w:r>
      <w:r>
        <w:rPr>
          <w:b/>
          <w:sz w:val="20"/>
          <w:szCs w:val="20"/>
        </w:rPr>
        <w:t xml:space="preserve"> </w:t>
      </w:r>
      <w:r w:rsidRPr="00432BD7">
        <w:rPr>
          <w:b/>
          <w:sz w:val="20"/>
          <w:szCs w:val="20"/>
        </w:rPr>
        <w:t>Опит в управление на инвестиции, финансирани чрез БФП</w:t>
      </w:r>
      <w:bookmarkEnd w:id="81"/>
    </w:p>
    <w:p w:rsidR="0021220B" w:rsidRPr="0021220B" w:rsidRDefault="00432BD7" w:rsidP="00432BD7">
      <w:pPr>
        <w:spacing w:after="200" w:line="276" w:lineRule="auto"/>
        <w:jc w:val="center"/>
        <w:rPr>
          <w:rFonts w:ascii="Cambria" w:eastAsia="Times New Roman" w:hAnsi="Cambria" w:cs="Arial"/>
          <w:b/>
          <w:bCs/>
          <w:color w:val="000000"/>
          <w:lang w:eastAsia="bg-BG"/>
        </w:rPr>
      </w:pPr>
      <w:r>
        <w:rPr>
          <w:rFonts w:ascii="Cambria" w:eastAsia="Times New Roman" w:hAnsi="Cambria" w:cs="Arial"/>
          <w:b/>
          <w:bCs/>
          <w:noProof/>
          <w:color w:val="000000"/>
          <w:lang w:eastAsia="bg-BG"/>
        </w:rPr>
        <w:drawing>
          <wp:inline distT="0" distB="0" distL="0" distR="0">
            <wp:extent cx="5341620" cy="2286000"/>
            <wp:effectExtent l="1905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6" cstate="print"/>
                    <a:srcRect/>
                    <a:stretch>
                      <a:fillRect/>
                    </a:stretch>
                  </pic:blipFill>
                  <pic:spPr bwMode="auto">
                    <a:xfrm>
                      <a:off x="0" y="0"/>
                      <a:ext cx="5341620" cy="2286000"/>
                    </a:xfrm>
                    <a:prstGeom prst="rect">
                      <a:avLst/>
                    </a:prstGeom>
                    <a:noFill/>
                  </pic:spPr>
                </pic:pic>
              </a:graphicData>
            </a:graphic>
          </wp:inline>
        </w:drawing>
      </w:r>
    </w:p>
    <w:p w:rsidR="0021220B" w:rsidRPr="0021220B" w:rsidRDefault="0021220B" w:rsidP="0021220B">
      <w:pPr>
        <w:spacing w:after="0" w:line="240" w:lineRule="auto"/>
        <w:jc w:val="both"/>
        <w:rPr>
          <w:rFonts w:ascii="Calibri" w:eastAsia="Times New Roman" w:hAnsi="Calibri" w:cs="Arial"/>
          <w:bCs/>
          <w:color w:val="000000"/>
          <w:lang w:eastAsia="bg-BG"/>
        </w:rPr>
      </w:pPr>
    </w:p>
    <w:p w:rsidR="0021220B" w:rsidRPr="0021220B" w:rsidRDefault="0021220B" w:rsidP="0021220B">
      <w:pPr>
        <w:spacing w:after="0" w:line="240" w:lineRule="auto"/>
        <w:jc w:val="both"/>
        <w:rPr>
          <w:rFonts w:ascii="Calibri" w:eastAsia="Times New Roman" w:hAnsi="Calibri" w:cs="Arial"/>
          <w:bCs/>
          <w:color w:val="000000"/>
          <w:lang w:eastAsia="bg-BG"/>
        </w:rPr>
      </w:pPr>
      <w:r w:rsidRPr="0021220B">
        <w:rPr>
          <w:rFonts w:ascii="Calibri" w:eastAsia="Times New Roman" w:hAnsi="Calibri" w:cs="Arial"/>
          <w:bCs/>
          <w:color w:val="000000"/>
          <w:lang w:eastAsia="bg-BG"/>
        </w:rPr>
        <w:t xml:space="preserve">Въпреки това 75% от анкетираните споделят, че им е необходима техническа помощ за управление на финансови инструменти и едва 16%, че не им е необходима такава помощ. </w:t>
      </w:r>
    </w:p>
    <w:p w:rsidR="0021220B" w:rsidRPr="00432BD7" w:rsidRDefault="0021220B" w:rsidP="001A036E">
      <w:pPr>
        <w:numPr>
          <w:ilvl w:val="0"/>
          <w:numId w:val="58"/>
        </w:numPr>
        <w:spacing w:before="240"/>
        <w:rPr>
          <w:rFonts w:ascii="Calibri" w:eastAsia="Calibri" w:hAnsi="Calibri" w:cs="Times New Roman"/>
          <w:b/>
          <w:color w:val="4F81BD"/>
        </w:rPr>
      </w:pPr>
      <w:r w:rsidRPr="00432BD7">
        <w:rPr>
          <w:rFonts w:ascii="Calibri" w:eastAsia="Calibri" w:hAnsi="Calibri" w:cs="Times New Roman"/>
          <w:b/>
          <w:color w:val="4F81BD"/>
        </w:rPr>
        <w:t>Нагласи относно използване на финансови инструменти</w:t>
      </w:r>
    </w:p>
    <w:p w:rsidR="0021220B" w:rsidRPr="0021220B" w:rsidRDefault="0021220B" w:rsidP="0021220B">
      <w:pPr>
        <w:spacing w:before="240" w:after="120" w:line="276" w:lineRule="auto"/>
        <w:jc w:val="both"/>
        <w:rPr>
          <w:rFonts w:ascii="Calibri" w:eastAsia="Arial" w:hAnsi="Calibri" w:cs="Times New Roman"/>
          <w:color w:val="000000"/>
          <w:lang w:eastAsia="bg-BG"/>
        </w:rPr>
      </w:pPr>
      <w:r w:rsidRPr="0021220B">
        <w:rPr>
          <w:rFonts w:ascii="Calibri" w:eastAsia="Arial" w:hAnsi="Calibri" w:cs="Times New Roman"/>
          <w:color w:val="000000"/>
          <w:lang w:eastAsia="bg-BG"/>
        </w:rPr>
        <w:t xml:space="preserve">На въпрос относно наличието на достатъчно информация за финансовите инструменти, предимствата и възможностите от използването им, 53% от отговорилите считат че информацията е налична и достъпна, 32% посочват, че не е, а други 15% не могат да преценят. Това по-скоро насочва </w:t>
      </w:r>
      <w:r w:rsidRPr="0021220B">
        <w:rPr>
          <w:rFonts w:ascii="Calibri" w:eastAsia="Arial" w:hAnsi="Calibri" w:cs="Times New Roman"/>
          <w:color w:val="000000"/>
          <w:lang w:eastAsia="bg-BG"/>
        </w:rPr>
        <w:lastRenderedPageBreak/>
        <w:t xml:space="preserve">към необходимостта от предоставяне на </w:t>
      </w:r>
      <w:r w:rsidR="00E74BDD" w:rsidRPr="0021220B">
        <w:rPr>
          <w:rFonts w:ascii="Calibri" w:eastAsia="Arial" w:hAnsi="Calibri" w:cs="Times New Roman"/>
          <w:color w:val="000000"/>
          <w:lang w:eastAsia="bg-BG"/>
        </w:rPr>
        <w:t>широко достъпна</w:t>
      </w:r>
      <w:r w:rsidRPr="0021220B">
        <w:rPr>
          <w:rFonts w:ascii="Calibri" w:eastAsia="Arial" w:hAnsi="Calibri" w:cs="Times New Roman"/>
          <w:color w:val="000000"/>
          <w:lang w:eastAsia="bg-BG"/>
        </w:rPr>
        <w:t xml:space="preserve"> и ясна информация относно финансовите инструменти и техните предимства, както и възможностите, които предоставя използването им.</w:t>
      </w:r>
    </w:p>
    <w:p w:rsidR="0021220B" w:rsidRPr="0021220B" w:rsidRDefault="0021220B" w:rsidP="0021220B">
      <w:pPr>
        <w:spacing w:before="240" w:after="120" w:line="276" w:lineRule="auto"/>
        <w:jc w:val="both"/>
        <w:rPr>
          <w:rFonts w:ascii="Calibri" w:eastAsia="Arial" w:hAnsi="Calibri" w:cs="Times New Roman"/>
          <w:color w:val="000000"/>
          <w:lang w:eastAsia="bg-BG"/>
        </w:rPr>
      </w:pPr>
      <w:r w:rsidRPr="0021220B">
        <w:rPr>
          <w:rFonts w:ascii="Calibri" w:eastAsia="Arial" w:hAnsi="Calibri" w:cs="Times New Roman"/>
          <w:color w:val="000000"/>
          <w:lang w:eastAsia="bg-BG"/>
        </w:rPr>
        <w:t>Все пак голям дял от отговорилите общини – близо 84% споделят, че възнамеряват да използват финансови инструменти, за сметка на 2%, които споделят, че няма да използват и други 14% не могат да преценят. Това подчертава необходимостта от предоставяне на общодостъпна и разбираема информация за финансовите инструменти.</w:t>
      </w:r>
    </w:p>
    <w:p w:rsidR="0021220B" w:rsidRPr="0021220B" w:rsidRDefault="0021220B" w:rsidP="0021220B">
      <w:pPr>
        <w:spacing w:before="240" w:after="120" w:line="276" w:lineRule="auto"/>
        <w:jc w:val="both"/>
        <w:rPr>
          <w:rFonts w:ascii="Calibri" w:eastAsia="Times New Roman" w:hAnsi="Calibri" w:cs="Arial"/>
          <w:b/>
          <w:bCs/>
          <w:color w:val="000000"/>
          <w:lang w:eastAsia="bg-BG"/>
        </w:rPr>
      </w:pPr>
      <w:r w:rsidRPr="0021220B">
        <w:rPr>
          <w:rFonts w:ascii="Calibri" w:eastAsia="Arial" w:hAnsi="Calibri" w:cs="Times New Roman"/>
          <w:color w:val="000000"/>
          <w:lang w:eastAsia="bg-BG"/>
        </w:rPr>
        <w:t>Това се обуславя и от споделените от общините трудности при получаване или обезпечаване на инвестиционно финансиране – 64% посочват, че имат такива трудности (17% не считат, че имат такива затруднения). Запитани относно причините за тези трудности с най-голям дял е „</w:t>
      </w:r>
      <w:r w:rsidRPr="0021220B">
        <w:rPr>
          <w:rFonts w:ascii="Calibri" w:eastAsia="Times New Roman" w:hAnsi="Calibri" w:cs="Arial"/>
          <w:color w:val="000000"/>
          <w:lang w:eastAsia="bg-BG"/>
        </w:rPr>
        <w:t>Недостатъчно приходи за покриване разходите по финансирането</w:t>
      </w:r>
      <w:r w:rsidRPr="0021220B">
        <w:rPr>
          <w:rFonts w:ascii="Calibri" w:eastAsia="Arial" w:hAnsi="Calibri" w:cs="Times New Roman"/>
          <w:color w:val="000000"/>
          <w:lang w:eastAsia="bg-BG"/>
        </w:rPr>
        <w:t>“ – 90% от отговорилите, следван от „</w:t>
      </w:r>
      <w:r w:rsidRPr="0021220B">
        <w:rPr>
          <w:rFonts w:ascii="Calibri" w:eastAsia="Times New Roman" w:hAnsi="Calibri" w:cs="Arial"/>
          <w:color w:val="000000"/>
          <w:lang w:eastAsia="bg-BG"/>
        </w:rPr>
        <w:t xml:space="preserve">Невъзможност за осигуряване на исканото от финансиращата банка/институция обезпечение“ </w:t>
      </w:r>
      <w:r w:rsidRPr="0021220B">
        <w:rPr>
          <w:rFonts w:ascii="Calibri" w:eastAsia="Arial" w:hAnsi="Calibri" w:cs="Times New Roman"/>
          <w:color w:val="000000"/>
          <w:lang w:eastAsia="bg-BG"/>
        </w:rPr>
        <w:t xml:space="preserve"> - 33%. </w:t>
      </w:r>
    </w:p>
    <w:p w:rsidR="0021220B" w:rsidRPr="0021220B" w:rsidRDefault="0021220B" w:rsidP="0021220B">
      <w:pPr>
        <w:spacing w:before="240" w:after="120" w:line="276" w:lineRule="auto"/>
        <w:jc w:val="both"/>
        <w:rPr>
          <w:rFonts w:ascii="Calibri" w:eastAsia="Times New Roman" w:hAnsi="Calibri" w:cs="Arial"/>
          <w:b/>
          <w:bCs/>
          <w:color w:val="000000"/>
          <w:lang w:eastAsia="bg-BG"/>
        </w:rPr>
      </w:pPr>
      <w:r w:rsidRPr="0021220B">
        <w:rPr>
          <w:rFonts w:ascii="Calibri" w:eastAsia="Times New Roman" w:hAnsi="Calibri" w:cs="Arial"/>
          <w:b/>
          <w:bCs/>
          <w:color w:val="000000"/>
          <w:lang w:eastAsia="bg-BG"/>
        </w:rPr>
        <w:t>Други посочени причини са:</w:t>
      </w:r>
    </w:p>
    <w:p w:rsidR="00432BD7" w:rsidRPr="00432BD7" w:rsidRDefault="00432BD7" w:rsidP="00432BD7">
      <w:pPr>
        <w:spacing w:before="240" w:after="120" w:line="276" w:lineRule="auto"/>
        <w:jc w:val="center"/>
        <w:rPr>
          <w:b/>
          <w:sz w:val="20"/>
          <w:szCs w:val="20"/>
        </w:rPr>
      </w:pPr>
      <w:bookmarkStart w:id="82" w:name="_Toc399494904"/>
      <w:r w:rsidRPr="00432BD7">
        <w:rPr>
          <w:b/>
          <w:sz w:val="20"/>
          <w:szCs w:val="20"/>
        </w:rPr>
        <w:t xml:space="preserve">Таблица </w:t>
      </w:r>
      <w:r w:rsidR="008E6461" w:rsidRPr="00432BD7">
        <w:rPr>
          <w:b/>
          <w:sz w:val="20"/>
          <w:szCs w:val="20"/>
        </w:rPr>
        <w:fldChar w:fldCharType="begin"/>
      </w:r>
      <w:r w:rsidRPr="00432BD7">
        <w:rPr>
          <w:b/>
          <w:sz w:val="20"/>
          <w:szCs w:val="20"/>
        </w:rPr>
        <w:instrText xml:space="preserve"> SEQ Таблица \* ARABIC </w:instrText>
      </w:r>
      <w:r w:rsidR="008E6461" w:rsidRPr="00432BD7">
        <w:rPr>
          <w:b/>
          <w:sz w:val="20"/>
          <w:szCs w:val="20"/>
        </w:rPr>
        <w:fldChar w:fldCharType="separate"/>
      </w:r>
      <w:r w:rsidR="003A69A7">
        <w:rPr>
          <w:b/>
          <w:noProof/>
          <w:sz w:val="20"/>
          <w:szCs w:val="20"/>
        </w:rPr>
        <w:t>24</w:t>
      </w:r>
      <w:r w:rsidR="008E6461" w:rsidRPr="00432BD7">
        <w:rPr>
          <w:b/>
          <w:sz w:val="20"/>
          <w:szCs w:val="20"/>
        </w:rPr>
        <w:fldChar w:fldCharType="end"/>
      </w:r>
      <w:r w:rsidRPr="00432BD7">
        <w:rPr>
          <w:b/>
          <w:sz w:val="20"/>
          <w:szCs w:val="20"/>
        </w:rPr>
        <w:t>. Трудности относно осигуряване на финансов ресурс</w:t>
      </w:r>
      <w:bookmarkEnd w:id="82"/>
    </w:p>
    <w:tbl>
      <w:tblPr>
        <w:tblStyle w:val="LightList-Accent11"/>
        <w:tblW w:w="7593" w:type="dxa"/>
        <w:jc w:val="center"/>
        <w:tblLook w:val="0660" w:firstRow="1" w:lastRow="1" w:firstColumn="0" w:lastColumn="0" w:noHBand="1" w:noVBand="1"/>
      </w:tblPr>
      <w:tblGrid>
        <w:gridCol w:w="6379"/>
        <w:gridCol w:w="1214"/>
      </w:tblGrid>
      <w:tr w:rsidR="0021220B" w:rsidRPr="0021220B" w:rsidTr="00432BD7">
        <w:trPr>
          <w:cnfStyle w:val="100000000000" w:firstRow="1" w:lastRow="0" w:firstColumn="0" w:lastColumn="0" w:oddVBand="0" w:evenVBand="0" w:oddHBand="0" w:evenHBand="0" w:firstRowFirstColumn="0" w:firstRowLastColumn="0" w:lastRowFirstColumn="0" w:lastRowLastColumn="0"/>
          <w:trHeight w:val="284"/>
          <w:jc w:val="center"/>
        </w:trPr>
        <w:tc>
          <w:tcPr>
            <w:tcW w:w="6379" w:type="dxa"/>
            <w:hideMark/>
          </w:tcPr>
          <w:p w:rsidR="0021220B" w:rsidRPr="0021220B" w:rsidRDefault="0021220B" w:rsidP="0021220B">
            <w:pPr>
              <w:rPr>
                <w:rFonts w:ascii="Calibri" w:eastAsia="Times New Roman" w:hAnsi="Calibri"/>
                <w:b w:val="0"/>
                <w:bCs w:val="0"/>
                <w:color w:val="000000"/>
                <w:lang w:eastAsia="bg-BG"/>
              </w:rPr>
            </w:pPr>
            <w:r w:rsidRPr="0021220B">
              <w:rPr>
                <w:rFonts w:ascii="Calibri" w:eastAsia="Times New Roman" w:hAnsi="Calibri"/>
                <w:b w:val="0"/>
                <w:bCs w:val="0"/>
                <w:color w:val="000000"/>
                <w:lang w:eastAsia="bg-BG"/>
              </w:rPr>
              <w:t>Причина</w:t>
            </w:r>
          </w:p>
        </w:tc>
        <w:tc>
          <w:tcPr>
            <w:tcW w:w="1214" w:type="dxa"/>
            <w:hideMark/>
          </w:tcPr>
          <w:p w:rsidR="0021220B" w:rsidRPr="0021220B" w:rsidRDefault="0021220B" w:rsidP="0021220B">
            <w:pPr>
              <w:jc w:val="center"/>
              <w:rPr>
                <w:rFonts w:ascii="Calibri" w:eastAsia="Times New Roman" w:hAnsi="Calibri"/>
                <w:color w:val="000000"/>
                <w:lang w:eastAsia="bg-BG"/>
              </w:rPr>
            </w:pPr>
            <w:r w:rsidRPr="0021220B">
              <w:rPr>
                <w:rFonts w:ascii="Calibri" w:eastAsia="Times New Roman" w:hAnsi="Calibri"/>
                <w:color w:val="000000"/>
                <w:lang w:eastAsia="bg-BG"/>
              </w:rPr>
              <w:t>Процент</w:t>
            </w:r>
          </w:p>
        </w:tc>
      </w:tr>
      <w:tr w:rsidR="0021220B" w:rsidRPr="0021220B" w:rsidTr="00432BD7">
        <w:trPr>
          <w:trHeight w:val="284"/>
          <w:jc w:val="center"/>
        </w:trPr>
        <w:tc>
          <w:tcPr>
            <w:tcW w:w="6379" w:type="dxa"/>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Инвестицията е оценена от финансовите институции като високо рискова</w:t>
            </w:r>
          </w:p>
        </w:tc>
        <w:tc>
          <w:tcPr>
            <w:tcW w:w="1214" w:type="dxa"/>
            <w:noWrap/>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13%</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Забавени плащания от УО към бенефициенти, забавени становища във връзка с прединвестиционни проучвания</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20.0</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Забавяне при верификация на искания</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20.0</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При изготвяне на РП за реконструкция на ВиК мрежата и КСС за него се установи, че реалната стойност за изпълнение е по-висока от заложената в бюджета на проекта, което формира недостиг на средства, които Бенефициента трябва да осигури.</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20.0</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Спрени плащания по сключени договори с ФЛАГ по ОПОС</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20.0</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Не мога да преценя</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20.0</w:t>
            </w:r>
          </w:p>
        </w:tc>
      </w:tr>
      <w:tr w:rsidR="0021220B" w:rsidRPr="0021220B" w:rsidTr="00432BD7">
        <w:trPr>
          <w:cnfStyle w:val="010000000000" w:firstRow="0" w:lastRow="1" w:firstColumn="0" w:lastColumn="0" w:oddVBand="0" w:evenVBand="0" w:oddHBand="0" w:evenHBand="0" w:firstRowFirstColumn="0" w:firstRowLastColumn="0" w:lastRowFirstColumn="0" w:lastRowLastColumn="0"/>
          <w:trHeight w:val="284"/>
          <w:jc w:val="center"/>
        </w:trPr>
        <w:tc>
          <w:tcPr>
            <w:tcW w:w="6379" w:type="dxa"/>
            <w:hideMark/>
          </w:tcPr>
          <w:p w:rsidR="0021220B" w:rsidRPr="0021220B" w:rsidRDefault="0021220B" w:rsidP="0021220B">
            <w:pPr>
              <w:rPr>
                <w:rFonts w:ascii="Calibri" w:eastAsia="Times New Roman" w:hAnsi="Calibri"/>
                <w:color w:val="000000"/>
                <w:lang w:eastAsia="bg-BG"/>
              </w:rPr>
            </w:pPr>
            <w:r w:rsidRPr="0021220B">
              <w:rPr>
                <w:rFonts w:ascii="Calibri" w:eastAsia="Times New Roman" w:hAnsi="Calibri"/>
                <w:color w:val="000000"/>
                <w:lang w:eastAsia="bg-BG"/>
              </w:rPr>
              <w:t>Общо</w:t>
            </w:r>
          </w:p>
        </w:tc>
        <w:tc>
          <w:tcPr>
            <w:tcW w:w="1214" w:type="dxa"/>
            <w:noWrap/>
            <w:hideMark/>
          </w:tcPr>
          <w:p w:rsidR="0021220B" w:rsidRPr="0021220B" w:rsidRDefault="0021220B" w:rsidP="0021220B">
            <w:pPr>
              <w:jc w:val="center"/>
              <w:rPr>
                <w:rFonts w:ascii="Calibri" w:eastAsia="Times New Roman" w:hAnsi="Calibri"/>
                <w:color w:val="000000"/>
                <w:lang w:eastAsia="bg-BG"/>
              </w:rPr>
            </w:pPr>
            <w:r w:rsidRPr="0021220B">
              <w:rPr>
                <w:rFonts w:ascii="Calibri" w:eastAsia="Times New Roman" w:hAnsi="Calibri"/>
                <w:color w:val="000000"/>
                <w:lang w:eastAsia="bg-BG"/>
              </w:rPr>
              <w:t>100.0</w:t>
            </w:r>
          </w:p>
        </w:tc>
      </w:tr>
    </w:tbl>
    <w:p w:rsidR="00A82D1C" w:rsidRDefault="00A82D1C" w:rsidP="00A82D1C">
      <w:pPr>
        <w:spacing w:before="240"/>
        <w:ind w:left="720"/>
        <w:rPr>
          <w:rFonts w:ascii="Calibri" w:eastAsia="Calibri" w:hAnsi="Calibri" w:cs="Times New Roman"/>
          <w:b/>
          <w:color w:val="4F81BD"/>
        </w:rPr>
      </w:pPr>
    </w:p>
    <w:p w:rsidR="00F00027" w:rsidRDefault="00F00027" w:rsidP="00A82D1C">
      <w:pPr>
        <w:spacing w:before="240"/>
        <w:ind w:left="720"/>
        <w:rPr>
          <w:rFonts w:ascii="Calibri" w:eastAsia="Calibri" w:hAnsi="Calibri" w:cs="Times New Roman"/>
          <w:b/>
          <w:color w:val="4F81BD"/>
        </w:rPr>
      </w:pPr>
    </w:p>
    <w:p w:rsidR="0021220B" w:rsidRPr="00432BD7" w:rsidRDefault="0021220B" w:rsidP="001A036E">
      <w:pPr>
        <w:numPr>
          <w:ilvl w:val="0"/>
          <w:numId w:val="58"/>
        </w:numPr>
        <w:spacing w:before="240"/>
        <w:rPr>
          <w:rFonts w:ascii="Calibri" w:eastAsia="Calibri" w:hAnsi="Calibri" w:cs="Times New Roman"/>
          <w:b/>
          <w:color w:val="4F81BD"/>
        </w:rPr>
      </w:pPr>
      <w:r w:rsidRPr="00432BD7">
        <w:rPr>
          <w:rFonts w:ascii="Calibri" w:eastAsia="Calibri" w:hAnsi="Calibri" w:cs="Times New Roman"/>
          <w:b/>
          <w:color w:val="4F81BD"/>
        </w:rPr>
        <w:t>Нагласи относно бъдещи инвестиции/финансиране</w:t>
      </w:r>
    </w:p>
    <w:p w:rsidR="0021220B" w:rsidRPr="0021220B" w:rsidRDefault="0021220B" w:rsidP="00CA24BD">
      <w:pPr>
        <w:keepNext/>
        <w:spacing w:after="0" w:line="240" w:lineRule="auto"/>
        <w:rPr>
          <w:rFonts w:ascii="Calibri" w:eastAsia="Times New Roman" w:hAnsi="Calibri" w:cs="Arial"/>
          <w:b/>
          <w:bCs/>
          <w:color w:val="000000"/>
          <w:lang w:eastAsia="bg-BG"/>
        </w:rPr>
      </w:pPr>
    </w:p>
    <w:p w:rsidR="00A82D1C" w:rsidRPr="00F00027" w:rsidRDefault="0021220B" w:rsidP="00F00027">
      <w:pPr>
        <w:spacing w:after="0" w:line="240" w:lineRule="auto"/>
        <w:jc w:val="both"/>
        <w:rPr>
          <w:rFonts w:ascii="Calibri" w:eastAsia="Times New Roman" w:hAnsi="Calibri" w:cs="Arial"/>
          <w:bCs/>
          <w:color w:val="000000"/>
          <w:lang w:eastAsia="bg-BG"/>
        </w:rPr>
      </w:pPr>
      <w:r w:rsidRPr="0021220B">
        <w:rPr>
          <w:rFonts w:ascii="Calibri" w:eastAsia="Times New Roman" w:hAnsi="Calibri" w:cs="Arial"/>
          <w:bCs/>
          <w:color w:val="000000"/>
          <w:lang w:eastAsia="bg-BG"/>
        </w:rPr>
        <w:t>Разнообразни са отговорите на общините относно инвестиционните им програми за 5 г. период, като най-много са посочили, необходимост от финансов ресурс  20 до 40 млн. лв. (23%)</w:t>
      </w:r>
    </w:p>
    <w:p w:rsidR="0021220B" w:rsidRPr="00432BD7" w:rsidRDefault="00432BD7" w:rsidP="00A82D1C">
      <w:pPr>
        <w:keepNext/>
        <w:spacing w:before="240" w:after="120" w:line="276" w:lineRule="auto"/>
        <w:jc w:val="center"/>
        <w:rPr>
          <w:b/>
          <w:sz w:val="20"/>
          <w:szCs w:val="20"/>
        </w:rPr>
      </w:pPr>
      <w:bookmarkStart w:id="83" w:name="_Toc399494608"/>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23</w:t>
      </w:r>
      <w:r w:rsidR="008E6461" w:rsidRPr="005C4B92">
        <w:rPr>
          <w:b/>
          <w:sz w:val="20"/>
          <w:szCs w:val="20"/>
        </w:rPr>
        <w:fldChar w:fldCharType="end"/>
      </w:r>
      <w:r w:rsidRPr="005C4B92">
        <w:rPr>
          <w:b/>
          <w:sz w:val="20"/>
          <w:szCs w:val="20"/>
        </w:rPr>
        <w:t>:</w:t>
      </w:r>
      <w:r>
        <w:rPr>
          <w:b/>
          <w:sz w:val="20"/>
          <w:szCs w:val="20"/>
        </w:rPr>
        <w:t xml:space="preserve"> </w:t>
      </w:r>
      <w:r w:rsidRPr="00432BD7">
        <w:rPr>
          <w:b/>
          <w:sz w:val="20"/>
          <w:szCs w:val="20"/>
        </w:rPr>
        <w:t>Необходим финансов ресурс</w:t>
      </w:r>
      <w:bookmarkEnd w:id="83"/>
    </w:p>
    <w:p w:rsidR="0021220B" w:rsidRPr="0021220B" w:rsidRDefault="00432BD7" w:rsidP="00432BD7">
      <w:pPr>
        <w:spacing w:after="0" w:line="240" w:lineRule="auto"/>
        <w:jc w:val="center"/>
        <w:rPr>
          <w:rFonts w:ascii="Cambria" w:eastAsia="Times New Roman" w:hAnsi="Cambria" w:cs="Arial"/>
          <w:b/>
          <w:bCs/>
          <w:color w:val="000000"/>
          <w:lang w:eastAsia="bg-BG"/>
        </w:rPr>
      </w:pPr>
      <w:r>
        <w:rPr>
          <w:rFonts w:ascii="Cambria" w:eastAsia="Times New Roman" w:hAnsi="Cambria" w:cs="Arial"/>
          <w:b/>
          <w:bCs/>
          <w:noProof/>
          <w:color w:val="000000"/>
          <w:lang w:eastAsia="bg-BG"/>
        </w:rPr>
        <w:drawing>
          <wp:inline distT="0" distB="0" distL="0" distR="0">
            <wp:extent cx="4905375" cy="2158365"/>
            <wp:effectExtent l="1905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67" cstate="print"/>
                    <a:srcRect/>
                    <a:stretch>
                      <a:fillRect/>
                    </a:stretch>
                  </pic:blipFill>
                  <pic:spPr bwMode="auto">
                    <a:xfrm>
                      <a:off x="0" y="0"/>
                      <a:ext cx="4909222" cy="2160058"/>
                    </a:xfrm>
                    <a:prstGeom prst="rect">
                      <a:avLst/>
                    </a:prstGeom>
                    <a:noFill/>
                  </pic:spPr>
                </pic:pic>
              </a:graphicData>
            </a:graphic>
          </wp:inline>
        </w:drawing>
      </w:r>
    </w:p>
    <w:p w:rsidR="0021220B" w:rsidRPr="0021220B" w:rsidRDefault="0021220B" w:rsidP="00432BD7">
      <w:pPr>
        <w:spacing w:before="240" w:after="0" w:line="240" w:lineRule="auto"/>
        <w:jc w:val="both"/>
        <w:rPr>
          <w:rFonts w:ascii="Calibri" w:eastAsia="Times New Roman" w:hAnsi="Calibri" w:cs="Tahoma"/>
          <w:bCs/>
          <w:color w:val="000000"/>
          <w:lang w:eastAsia="bg-BG"/>
        </w:rPr>
      </w:pPr>
      <w:r w:rsidRPr="0021220B">
        <w:rPr>
          <w:rFonts w:ascii="Calibri" w:eastAsia="Times New Roman" w:hAnsi="Calibri" w:cs="Arial"/>
          <w:bCs/>
          <w:color w:val="000000"/>
          <w:lang w:eastAsia="bg-BG"/>
        </w:rPr>
        <w:t xml:space="preserve">Същевременно, значителна част от отговорилите посочват, че биха увеличили инвестиционната си програма, ако имат достъп до финансиране. Достъпът до финансиране е описан като </w:t>
      </w:r>
      <w:r w:rsidRPr="0021220B">
        <w:rPr>
          <w:rFonts w:ascii="Calibri" w:eastAsia="Times New Roman" w:hAnsi="Calibri" w:cs="Tahoma"/>
          <w:bCs/>
          <w:color w:val="000000"/>
          <w:lang w:eastAsia="bg-BG"/>
        </w:rPr>
        <w:t>БФП и/или финансови инструменти под формата на заем, гаранции или дялов капитал. Най-голяма е концентрацията на отговорилите в групите на 10 до 20% и 5 до 10% - по 28% във всяка от тях. Близо 14% считат обаче, че не биха увеличили инвестиционната си програма:</w:t>
      </w:r>
    </w:p>
    <w:p w:rsidR="00432BD7" w:rsidRPr="00432BD7" w:rsidRDefault="00432BD7" w:rsidP="00432BD7">
      <w:pPr>
        <w:spacing w:before="240" w:after="120" w:line="276" w:lineRule="auto"/>
        <w:jc w:val="center"/>
        <w:rPr>
          <w:b/>
          <w:sz w:val="20"/>
          <w:szCs w:val="20"/>
        </w:rPr>
      </w:pPr>
      <w:bookmarkStart w:id="84" w:name="_Toc399494609"/>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24</w:t>
      </w:r>
      <w:r w:rsidR="008E6461" w:rsidRPr="005C4B92">
        <w:rPr>
          <w:b/>
          <w:sz w:val="20"/>
          <w:szCs w:val="20"/>
        </w:rPr>
        <w:fldChar w:fldCharType="end"/>
      </w:r>
      <w:r w:rsidRPr="005C4B92">
        <w:rPr>
          <w:b/>
          <w:sz w:val="20"/>
          <w:szCs w:val="20"/>
        </w:rPr>
        <w:t>:</w:t>
      </w:r>
      <w:r>
        <w:rPr>
          <w:b/>
          <w:sz w:val="20"/>
          <w:szCs w:val="20"/>
        </w:rPr>
        <w:t xml:space="preserve"> </w:t>
      </w:r>
      <w:r w:rsidRPr="00432BD7">
        <w:rPr>
          <w:b/>
          <w:sz w:val="20"/>
          <w:szCs w:val="20"/>
        </w:rPr>
        <w:t>Изразени нагласи за %-но увеличение на инвестиционната програма</w:t>
      </w:r>
      <w:bookmarkEnd w:id="84"/>
    </w:p>
    <w:p w:rsidR="0021220B" w:rsidRPr="0021220B" w:rsidRDefault="0021220B" w:rsidP="0021220B">
      <w:pPr>
        <w:spacing w:after="0" w:line="240" w:lineRule="auto"/>
        <w:jc w:val="both"/>
        <w:rPr>
          <w:rFonts w:ascii="Calibri" w:eastAsia="Times New Roman" w:hAnsi="Calibri" w:cs="Tahoma"/>
          <w:bCs/>
          <w:color w:val="000000"/>
          <w:lang w:eastAsia="bg-BG"/>
        </w:rPr>
      </w:pPr>
    </w:p>
    <w:p w:rsidR="0021220B" w:rsidRPr="0021220B" w:rsidRDefault="00432BD7" w:rsidP="00432BD7">
      <w:pPr>
        <w:spacing w:after="0" w:line="240" w:lineRule="auto"/>
        <w:jc w:val="center"/>
        <w:rPr>
          <w:rFonts w:ascii="Cambria" w:eastAsia="Times New Roman" w:hAnsi="Cambria" w:cs="Arial"/>
          <w:b/>
          <w:color w:val="000000"/>
          <w:lang w:val="en-US" w:eastAsia="bg-BG"/>
        </w:rPr>
      </w:pPr>
      <w:r>
        <w:rPr>
          <w:rFonts w:ascii="Cambria" w:eastAsia="Times New Roman" w:hAnsi="Cambria" w:cs="Arial"/>
          <w:b/>
          <w:noProof/>
          <w:color w:val="000000"/>
          <w:lang w:eastAsia="bg-BG"/>
        </w:rPr>
        <w:drawing>
          <wp:inline distT="0" distB="0" distL="0" distR="0">
            <wp:extent cx="4743450" cy="1727270"/>
            <wp:effectExtent l="1905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8" cstate="print"/>
                    <a:srcRect/>
                    <a:stretch>
                      <a:fillRect/>
                    </a:stretch>
                  </pic:blipFill>
                  <pic:spPr bwMode="auto">
                    <a:xfrm>
                      <a:off x="0" y="0"/>
                      <a:ext cx="4747946" cy="1728907"/>
                    </a:xfrm>
                    <a:prstGeom prst="rect">
                      <a:avLst/>
                    </a:prstGeom>
                    <a:noFill/>
                  </pic:spPr>
                </pic:pic>
              </a:graphicData>
            </a:graphic>
          </wp:inline>
        </w:drawing>
      </w:r>
    </w:p>
    <w:p w:rsidR="0021220B" w:rsidRPr="0021220B" w:rsidRDefault="0021220B" w:rsidP="00432BD7">
      <w:pPr>
        <w:spacing w:before="240" w:after="0" w:line="240" w:lineRule="auto"/>
        <w:jc w:val="both"/>
        <w:rPr>
          <w:rFonts w:ascii="Calibri" w:eastAsia="Times New Roman" w:hAnsi="Calibri" w:cs="Arial"/>
          <w:color w:val="000000"/>
          <w:lang w:eastAsia="bg-BG"/>
        </w:rPr>
      </w:pPr>
      <w:r w:rsidRPr="0021220B">
        <w:rPr>
          <w:rFonts w:ascii="Calibri" w:eastAsia="Times New Roman" w:hAnsi="Calibri" w:cs="Arial"/>
          <w:color w:val="000000"/>
          <w:lang w:eastAsia="bg-BG"/>
        </w:rPr>
        <w:t>Запитани за целта на допълнителното финансиране, най-голям дял от анкетираните общини са посочили, имат нужда от допълнително финансиране за изграждане на инфраструктура (почти 94%), но сериозен дял отговарят също (почти 61% и в двете категории), че им е нужно за придобиване на ДМА, включително оборудване, както и  техническа помощ за разработване на предпроектни проучвания, разработване на инвестиционни проекти. 25% посочват, че имат нужда от оборотни средства.</w:t>
      </w:r>
    </w:p>
    <w:p w:rsidR="0021220B" w:rsidRPr="0021220B" w:rsidRDefault="0021220B" w:rsidP="0021220B">
      <w:pPr>
        <w:spacing w:after="0" w:line="240" w:lineRule="auto"/>
        <w:rPr>
          <w:rFonts w:ascii="Cambria" w:eastAsia="Times New Roman" w:hAnsi="Cambria" w:cs="Arial"/>
          <w:b/>
          <w:bCs/>
          <w:color w:val="000000"/>
          <w:lang w:val="en-US" w:eastAsia="bg-BG"/>
        </w:rPr>
      </w:pPr>
    </w:p>
    <w:p w:rsidR="0021220B" w:rsidRPr="0021220B" w:rsidRDefault="00432BD7" w:rsidP="00A82D1C">
      <w:pPr>
        <w:keepNext/>
        <w:spacing w:before="240" w:after="120" w:line="276" w:lineRule="auto"/>
        <w:jc w:val="center"/>
        <w:rPr>
          <w:rFonts w:ascii="Calibri" w:eastAsia="Times New Roman" w:hAnsi="Calibri" w:cs="Arial"/>
          <w:bCs/>
          <w:smallCaps/>
          <w:color w:val="000000"/>
          <w:spacing w:val="10"/>
          <w:lang w:eastAsia="bg-BG"/>
        </w:rPr>
      </w:pPr>
      <w:bookmarkStart w:id="85" w:name="_Toc399494610"/>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25</w:t>
      </w:r>
      <w:r w:rsidR="008E6461" w:rsidRPr="005C4B92">
        <w:rPr>
          <w:b/>
          <w:sz w:val="20"/>
          <w:szCs w:val="20"/>
        </w:rPr>
        <w:fldChar w:fldCharType="end"/>
      </w:r>
      <w:r w:rsidRPr="005C4B92">
        <w:rPr>
          <w:b/>
          <w:sz w:val="20"/>
          <w:szCs w:val="20"/>
        </w:rPr>
        <w:t>:</w:t>
      </w:r>
      <w:r>
        <w:rPr>
          <w:b/>
          <w:sz w:val="20"/>
          <w:szCs w:val="20"/>
        </w:rPr>
        <w:t xml:space="preserve"> </w:t>
      </w:r>
      <w:r w:rsidR="007E230D">
        <w:rPr>
          <w:b/>
          <w:sz w:val="20"/>
          <w:szCs w:val="20"/>
        </w:rPr>
        <w:t>Ц</w:t>
      </w:r>
      <w:r w:rsidR="0021220B" w:rsidRPr="00432BD7">
        <w:rPr>
          <w:b/>
          <w:sz w:val="20"/>
          <w:szCs w:val="20"/>
        </w:rPr>
        <w:t>ел на допълнителното финансиране</w:t>
      </w:r>
      <w:bookmarkEnd w:id="85"/>
    </w:p>
    <w:p w:rsidR="0021220B" w:rsidRPr="0021220B" w:rsidRDefault="00432BD7" w:rsidP="00432BD7">
      <w:pPr>
        <w:spacing w:after="0" w:line="240" w:lineRule="auto"/>
        <w:jc w:val="center"/>
        <w:rPr>
          <w:rFonts w:ascii="Calibri" w:eastAsia="Times New Roman" w:hAnsi="Calibri" w:cs="Arial"/>
          <w:b/>
          <w:color w:val="000000"/>
          <w:lang w:eastAsia="bg-BG"/>
        </w:rPr>
      </w:pPr>
      <w:r>
        <w:rPr>
          <w:rFonts w:ascii="Calibri" w:eastAsia="Times New Roman" w:hAnsi="Calibri" w:cs="Arial"/>
          <w:b/>
          <w:noProof/>
          <w:color w:val="000000"/>
          <w:lang w:eastAsia="bg-BG"/>
        </w:rPr>
        <w:drawing>
          <wp:inline distT="0" distB="0" distL="0" distR="0">
            <wp:extent cx="4838458" cy="2076450"/>
            <wp:effectExtent l="19050" t="0" r="242"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69" cstate="print"/>
                    <a:srcRect/>
                    <a:stretch>
                      <a:fillRect/>
                    </a:stretch>
                  </pic:blipFill>
                  <pic:spPr bwMode="auto">
                    <a:xfrm>
                      <a:off x="0" y="0"/>
                      <a:ext cx="4838458" cy="2076450"/>
                    </a:xfrm>
                    <a:prstGeom prst="rect">
                      <a:avLst/>
                    </a:prstGeom>
                    <a:noFill/>
                  </pic:spPr>
                </pic:pic>
              </a:graphicData>
            </a:graphic>
          </wp:inline>
        </w:drawing>
      </w:r>
    </w:p>
    <w:p w:rsidR="0021220B" w:rsidRPr="00432BD7" w:rsidRDefault="0021220B" w:rsidP="001A036E">
      <w:pPr>
        <w:numPr>
          <w:ilvl w:val="0"/>
          <w:numId w:val="58"/>
        </w:numPr>
        <w:spacing w:before="240"/>
        <w:rPr>
          <w:rFonts w:ascii="Calibri" w:eastAsia="Calibri" w:hAnsi="Calibri" w:cs="Times New Roman"/>
          <w:b/>
          <w:color w:val="4F81BD"/>
        </w:rPr>
      </w:pPr>
      <w:r w:rsidRPr="00432BD7">
        <w:rPr>
          <w:rFonts w:ascii="Calibri" w:eastAsia="Calibri" w:hAnsi="Calibri" w:cs="Times New Roman"/>
          <w:b/>
          <w:color w:val="4F81BD"/>
        </w:rPr>
        <w:t>Нагласи относно използването на финансови инструменти</w:t>
      </w:r>
    </w:p>
    <w:p w:rsidR="0021220B" w:rsidRPr="0021220B" w:rsidRDefault="0021220B" w:rsidP="0021220B">
      <w:pPr>
        <w:spacing w:before="240" w:after="120" w:line="276" w:lineRule="auto"/>
        <w:jc w:val="both"/>
        <w:rPr>
          <w:rFonts w:ascii="Verdana" w:eastAsia="Arial" w:hAnsi="Verdana" w:cs="Times New Roman"/>
          <w:color w:val="000000"/>
          <w:sz w:val="20"/>
          <w:szCs w:val="20"/>
          <w:lang w:eastAsia="bg-BG"/>
        </w:rPr>
      </w:pPr>
      <w:r w:rsidRPr="0021220B">
        <w:rPr>
          <w:rFonts w:ascii="Verdana" w:eastAsia="Arial" w:hAnsi="Verdana" w:cs="Times New Roman"/>
          <w:color w:val="000000"/>
          <w:sz w:val="20"/>
          <w:szCs w:val="20"/>
          <w:lang w:eastAsia="bg-BG"/>
        </w:rPr>
        <w:t>В анкетата са включени и група въпроси относно нагласите за използване на финансови инструменти и целите за това, свързани с опазване на околната среда, сектори: води, отпадъци и качество на атмосферния въздух.</w:t>
      </w:r>
    </w:p>
    <w:p w:rsidR="0021220B" w:rsidRPr="0021220B" w:rsidRDefault="0021220B" w:rsidP="0021220B">
      <w:pPr>
        <w:spacing w:before="240" w:after="120" w:line="276" w:lineRule="auto"/>
        <w:jc w:val="both"/>
        <w:rPr>
          <w:rFonts w:ascii="Verdana" w:eastAsia="Arial" w:hAnsi="Verdana" w:cs="Times New Roman"/>
          <w:color w:val="000000"/>
          <w:sz w:val="20"/>
          <w:szCs w:val="20"/>
          <w:lang w:eastAsia="bg-BG"/>
        </w:rPr>
      </w:pPr>
      <w:r w:rsidRPr="0021220B">
        <w:rPr>
          <w:rFonts w:ascii="Verdana" w:eastAsia="Arial" w:hAnsi="Verdana" w:cs="Times New Roman"/>
          <w:color w:val="000000"/>
          <w:sz w:val="20"/>
          <w:szCs w:val="20"/>
          <w:lang w:eastAsia="bg-BG"/>
        </w:rPr>
        <w:t xml:space="preserve">Запитани относно причините за малкия брой на </w:t>
      </w:r>
      <w:r w:rsidRPr="0021220B">
        <w:rPr>
          <w:rFonts w:ascii="Calibri" w:eastAsia="Times New Roman" w:hAnsi="Calibri" w:cs="Arial"/>
          <w:color w:val="000000"/>
          <w:lang w:eastAsia="bg-BG"/>
        </w:rPr>
        <w:t>съоръженията за повторно третиране и оползотворяване на отпадъците</w:t>
      </w:r>
      <w:r w:rsidRPr="0021220B">
        <w:rPr>
          <w:rFonts w:ascii="Verdana" w:eastAsia="Arial" w:hAnsi="Verdana" w:cs="Times New Roman"/>
          <w:color w:val="000000"/>
          <w:sz w:val="20"/>
          <w:szCs w:val="20"/>
          <w:lang w:eastAsia="bg-BG"/>
        </w:rPr>
        <w:t xml:space="preserve"> в страната, общините посочват няколко отговора:</w:t>
      </w:r>
    </w:p>
    <w:p w:rsidR="00432BD7" w:rsidRPr="00432BD7" w:rsidRDefault="00432BD7" w:rsidP="00432BD7">
      <w:pPr>
        <w:spacing w:after="0" w:line="240" w:lineRule="auto"/>
        <w:jc w:val="center"/>
        <w:rPr>
          <w:b/>
          <w:sz w:val="20"/>
          <w:szCs w:val="20"/>
        </w:rPr>
      </w:pPr>
      <w:bookmarkStart w:id="86" w:name="_Toc399494905"/>
      <w:r w:rsidRPr="00432BD7">
        <w:rPr>
          <w:b/>
          <w:sz w:val="20"/>
          <w:szCs w:val="20"/>
        </w:rPr>
        <w:t xml:space="preserve">Таблица </w:t>
      </w:r>
      <w:r w:rsidR="008E6461" w:rsidRPr="00432BD7">
        <w:rPr>
          <w:b/>
          <w:sz w:val="20"/>
          <w:szCs w:val="20"/>
        </w:rPr>
        <w:fldChar w:fldCharType="begin"/>
      </w:r>
      <w:r w:rsidRPr="00432BD7">
        <w:rPr>
          <w:b/>
          <w:sz w:val="20"/>
          <w:szCs w:val="20"/>
        </w:rPr>
        <w:instrText xml:space="preserve"> SEQ Таблица \* ARABIC </w:instrText>
      </w:r>
      <w:r w:rsidR="008E6461" w:rsidRPr="00432BD7">
        <w:rPr>
          <w:b/>
          <w:sz w:val="20"/>
          <w:szCs w:val="20"/>
        </w:rPr>
        <w:fldChar w:fldCharType="separate"/>
      </w:r>
      <w:r w:rsidR="003A69A7">
        <w:rPr>
          <w:b/>
          <w:noProof/>
          <w:sz w:val="20"/>
          <w:szCs w:val="20"/>
        </w:rPr>
        <w:t>25</w:t>
      </w:r>
      <w:r w:rsidR="008E6461" w:rsidRPr="00432BD7">
        <w:rPr>
          <w:b/>
          <w:sz w:val="20"/>
          <w:szCs w:val="20"/>
        </w:rPr>
        <w:fldChar w:fldCharType="end"/>
      </w:r>
      <w:r w:rsidRPr="00432BD7">
        <w:rPr>
          <w:b/>
          <w:sz w:val="20"/>
          <w:szCs w:val="20"/>
        </w:rPr>
        <w:t>. причини за недостатъчния брой съоръжения за третиране на отпадъци</w:t>
      </w:r>
      <w:bookmarkEnd w:id="86"/>
    </w:p>
    <w:p w:rsidR="0021220B" w:rsidRPr="0021220B" w:rsidRDefault="0021220B" w:rsidP="00432BD7">
      <w:pPr>
        <w:spacing w:before="240" w:line="240" w:lineRule="auto"/>
        <w:ind w:left="708" w:firstLine="708"/>
        <w:rPr>
          <w:rFonts w:ascii="Calibri" w:eastAsia="Arial" w:hAnsi="Calibri" w:cs="Times New Roman"/>
          <w:i/>
          <w:color w:val="000000"/>
        </w:rPr>
      </w:pPr>
      <w:r w:rsidRPr="0021220B">
        <w:rPr>
          <w:rFonts w:ascii="Calibri" w:eastAsia="Times New Roman" w:hAnsi="Calibri" w:cs="Arial"/>
          <w:i/>
          <w:color w:val="000000"/>
          <w:lang w:eastAsia="bg-BG"/>
        </w:rPr>
        <w:t>база: 109, * възможност за повече отговори</w:t>
      </w:r>
    </w:p>
    <w:tbl>
      <w:tblPr>
        <w:tblStyle w:val="MediumShading1-Accent51"/>
        <w:tblW w:w="7593" w:type="dxa"/>
        <w:jc w:val="center"/>
        <w:tblLook w:val="0660" w:firstRow="1" w:lastRow="1" w:firstColumn="0" w:lastColumn="0" w:noHBand="1" w:noVBand="1"/>
      </w:tblPr>
      <w:tblGrid>
        <w:gridCol w:w="6379"/>
        <w:gridCol w:w="1214"/>
      </w:tblGrid>
      <w:tr w:rsidR="0021220B" w:rsidRPr="0021220B" w:rsidTr="00432BD7">
        <w:trPr>
          <w:cnfStyle w:val="100000000000" w:firstRow="1" w:lastRow="0" w:firstColumn="0" w:lastColumn="0" w:oddVBand="0" w:evenVBand="0" w:oddHBand="0" w:evenHBand="0" w:firstRowFirstColumn="0" w:firstRowLastColumn="0" w:lastRowFirstColumn="0" w:lastRowLastColumn="0"/>
          <w:trHeight w:val="284"/>
          <w:jc w:val="center"/>
        </w:trPr>
        <w:tc>
          <w:tcPr>
            <w:tcW w:w="6379" w:type="dxa"/>
            <w:hideMark/>
          </w:tcPr>
          <w:p w:rsidR="0021220B" w:rsidRPr="0021220B" w:rsidRDefault="0021220B" w:rsidP="0021220B">
            <w:pPr>
              <w:rPr>
                <w:rFonts w:ascii="Calibri" w:eastAsia="Times New Roman" w:hAnsi="Calibri"/>
                <w:color w:val="000000"/>
                <w:lang w:eastAsia="bg-BG"/>
              </w:rPr>
            </w:pPr>
            <w:r w:rsidRPr="0021220B">
              <w:rPr>
                <w:rFonts w:ascii="Calibri" w:eastAsia="Times New Roman" w:hAnsi="Calibri"/>
                <w:color w:val="000000"/>
                <w:lang w:eastAsia="bg-BG"/>
              </w:rPr>
              <w:t>Причина</w:t>
            </w:r>
          </w:p>
        </w:tc>
        <w:tc>
          <w:tcPr>
            <w:tcW w:w="1214" w:type="dxa"/>
            <w:hideMark/>
          </w:tcPr>
          <w:p w:rsidR="0021220B" w:rsidRPr="0021220B" w:rsidRDefault="0021220B" w:rsidP="0021220B">
            <w:pPr>
              <w:jc w:val="center"/>
              <w:rPr>
                <w:rFonts w:ascii="Calibri" w:eastAsia="Times New Roman" w:hAnsi="Calibri"/>
                <w:color w:val="000000"/>
                <w:lang w:eastAsia="bg-BG"/>
              </w:rPr>
            </w:pPr>
            <w:r w:rsidRPr="0021220B">
              <w:rPr>
                <w:rFonts w:ascii="Calibri" w:eastAsia="Times New Roman" w:hAnsi="Calibri"/>
                <w:color w:val="000000"/>
                <w:lang w:eastAsia="bg-BG"/>
              </w:rPr>
              <w:t>Процент*</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b/>
                <w:i/>
                <w:color w:val="000000"/>
                <w:lang w:eastAsia="bg-BG"/>
              </w:rPr>
            </w:pPr>
            <w:r w:rsidRPr="0021220B">
              <w:rPr>
                <w:rFonts w:ascii="Calibri" w:eastAsia="Times New Roman" w:hAnsi="Calibri" w:cs="Arial"/>
                <w:b/>
                <w:i/>
                <w:color w:val="000000"/>
                <w:lang w:eastAsia="bg-BG"/>
              </w:rPr>
              <w:t>Липса на финансови средства за закупуване и монтаж на машини и съоръжения</w:t>
            </w:r>
          </w:p>
        </w:tc>
        <w:tc>
          <w:tcPr>
            <w:tcW w:w="1214" w:type="dxa"/>
            <w:noWrap/>
            <w:hideMark/>
          </w:tcPr>
          <w:p w:rsidR="0021220B" w:rsidRPr="0021220B" w:rsidRDefault="0021220B" w:rsidP="0021220B">
            <w:pPr>
              <w:jc w:val="center"/>
              <w:rPr>
                <w:rFonts w:ascii="Calibri" w:eastAsia="Times New Roman" w:hAnsi="Calibri" w:cs="Arial"/>
                <w:b/>
                <w:i/>
                <w:color w:val="000000"/>
                <w:lang w:eastAsia="bg-BG"/>
              </w:rPr>
            </w:pPr>
            <w:r w:rsidRPr="0021220B">
              <w:rPr>
                <w:rFonts w:ascii="Calibri" w:eastAsia="Times New Roman" w:hAnsi="Calibri" w:cs="Arial"/>
                <w:b/>
                <w:i/>
                <w:color w:val="000000"/>
                <w:lang w:eastAsia="bg-BG"/>
              </w:rPr>
              <w:t>60.6%</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Липса на ефективна регулация по управление на отпадъците</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47.7%</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Недостатъчно средства за закупуване на инсталации за депата за отпадъци</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46.8%</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Липса на достатъчен обем разделно събрани (сепарирани) отпадъци (суровини)</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45.9%</w:t>
            </w:r>
          </w:p>
        </w:tc>
      </w:tr>
      <w:tr w:rsidR="0021220B" w:rsidRPr="0021220B" w:rsidTr="00432BD7">
        <w:trPr>
          <w:trHeight w:val="284"/>
          <w:jc w:val="center"/>
        </w:trPr>
        <w:tc>
          <w:tcPr>
            <w:tcW w:w="6379" w:type="dxa"/>
            <w:hideMark/>
          </w:tcPr>
          <w:p w:rsidR="0021220B" w:rsidRPr="0021220B" w:rsidRDefault="0021220B" w:rsidP="0021220B">
            <w:pPr>
              <w:rPr>
                <w:rFonts w:ascii="Calibri" w:eastAsia="Times New Roman" w:hAnsi="Calibri" w:cs="Arial"/>
                <w:color w:val="000000"/>
                <w:lang w:eastAsia="bg-BG"/>
              </w:rPr>
            </w:pPr>
            <w:r w:rsidRPr="0021220B">
              <w:rPr>
                <w:rFonts w:ascii="Calibri" w:eastAsia="Times New Roman" w:hAnsi="Calibri" w:cs="Arial"/>
                <w:color w:val="000000"/>
                <w:lang w:eastAsia="bg-BG"/>
              </w:rPr>
              <w:t>Липса на пазар за продукта от процеса на рециклиране и компониране</w:t>
            </w:r>
          </w:p>
        </w:tc>
        <w:tc>
          <w:tcPr>
            <w:tcW w:w="1214" w:type="dxa"/>
            <w:noWrap/>
            <w:hideMark/>
          </w:tcPr>
          <w:p w:rsidR="0021220B" w:rsidRPr="0021220B" w:rsidRDefault="0021220B" w:rsidP="0021220B">
            <w:pPr>
              <w:jc w:val="center"/>
              <w:rPr>
                <w:rFonts w:ascii="Calibri" w:eastAsia="Times New Roman" w:hAnsi="Calibri" w:cs="Arial"/>
                <w:color w:val="000000"/>
                <w:lang w:eastAsia="bg-BG"/>
              </w:rPr>
            </w:pPr>
            <w:r w:rsidRPr="0021220B">
              <w:rPr>
                <w:rFonts w:ascii="Calibri" w:eastAsia="Times New Roman" w:hAnsi="Calibri" w:cs="Arial"/>
                <w:color w:val="000000"/>
                <w:lang w:eastAsia="bg-BG"/>
              </w:rPr>
              <w:t>13.8%</w:t>
            </w:r>
          </w:p>
        </w:tc>
      </w:tr>
      <w:tr w:rsidR="0021220B" w:rsidRPr="0021220B" w:rsidTr="00432BD7">
        <w:trPr>
          <w:cnfStyle w:val="010000000000" w:firstRow="0" w:lastRow="1" w:firstColumn="0" w:lastColumn="0" w:oddVBand="0" w:evenVBand="0" w:oddHBand="0" w:evenHBand="0" w:firstRowFirstColumn="0" w:firstRowLastColumn="0" w:lastRowFirstColumn="0" w:lastRowLastColumn="0"/>
          <w:trHeight w:val="284"/>
          <w:jc w:val="center"/>
        </w:trPr>
        <w:tc>
          <w:tcPr>
            <w:tcW w:w="6379" w:type="dxa"/>
            <w:hideMark/>
          </w:tcPr>
          <w:p w:rsidR="0021220B" w:rsidRPr="0021220B" w:rsidRDefault="0021220B" w:rsidP="0021220B">
            <w:pPr>
              <w:rPr>
                <w:rFonts w:ascii="Calibri" w:eastAsia="Times New Roman" w:hAnsi="Calibri"/>
                <w:color w:val="000000"/>
                <w:lang w:eastAsia="bg-BG"/>
              </w:rPr>
            </w:pPr>
            <w:r w:rsidRPr="0021220B">
              <w:rPr>
                <w:rFonts w:ascii="Calibri" w:eastAsia="Times New Roman" w:hAnsi="Calibri"/>
                <w:color w:val="000000"/>
                <w:lang w:eastAsia="bg-BG"/>
              </w:rPr>
              <w:t>Други</w:t>
            </w:r>
          </w:p>
        </w:tc>
        <w:tc>
          <w:tcPr>
            <w:tcW w:w="1214" w:type="dxa"/>
            <w:noWrap/>
            <w:hideMark/>
          </w:tcPr>
          <w:p w:rsidR="0021220B" w:rsidRPr="0021220B" w:rsidRDefault="0021220B" w:rsidP="0021220B">
            <w:pPr>
              <w:jc w:val="center"/>
              <w:rPr>
                <w:rFonts w:ascii="Calibri" w:eastAsia="Times New Roman" w:hAnsi="Calibri"/>
                <w:color w:val="000000"/>
                <w:lang w:eastAsia="bg-BG"/>
              </w:rPr>
            </w:pPr>
            <w:r w:rsidRPr="0021220B">
              <w:rPr>
                <w:rFonts w:ascii="Calibri" w:eastAsia="Times New Roman" w:hAnsi="Calibri"/>
                <w:color w:val="000000"/>
                <w:lang w:eastAsia="bg-BG"/>
              </w:rPr>
              <w:t>3.7%</w:t>
            </w:r>
          </w:p>
        </w:tc>
      </w:tr>
    </w:tbl>
    <w:p w:rsidR="0021220B" w:rsidRPr="0021220B" w:rsidRDefault="0021220B" w:rsidP="00432BD7">
      <w:pPr>
        <w:spacing w:before="240" w:after="0" w:line="240" w:lineRule="auto"/>
        <w:jc w:val="both"/>
        <w:rPr>
          <w:rFonts w:ascii="Calibri" w:eastAsia="Times New Roman" w:hAnsi="Calibri" w:cs="Arial"/>
          <w:color w:val="000000"/>
          <w:lang w:eastAsia="bg-BG"/>
        </w:rPr>
      </w:pPr>
      <w:r w:rsidRPr="0021220B">
        <w:rPr>
          <w:rFonts w:ascii="Calibri" w:eastAsia="Times New Roman" w:hAnsi="Calibri" w:cs="Arial"/>
          <w:color w:val="000000"/>
          <w:lang w:eastAsia="bg-BG"/>
        </w:rPr>
        <w:t>Други посочени отговори с много малка тежест са затруднения с нормативната база, излишни процедури от страна на УО, липса на информираност сред населението за ползите от разделно събиране на отпадъци, затруднения при кандидатстване и изпълнение на проекти по ОПОС, разминаване в целите между политика на централно и местно ниво и др.</w:t>
      </w:r>
    </w:p>
    <w:p w:rsidR="0021220B" w:rsidRPr="0021220B" w:rsidRDefault="0021220B" w:rsidP="0021220B">
      <w:pPr>
        <w:spacing w:after="0" w:line="240" w:lineRule="auto"/>
        <w:jc w:val="both"/>
        <w:rPr>
          <w:rFonts w:ascii="Calibri" w:eastAsia="Times New Roman" w:hAnsi="Calibri" w:cs="Arial"/>
          <w:color w:val="000000"/>
          <w:lang w:eastAsia="bg-BG"/>
        </w:rPr>
      </w:pPr>
    </w:p>
    <w:p w:rsidR="0021220B" w:rsidRPr="0021220B" w:rsidRDefault="0021220B" w:rsidP="0021220B">
      <w:pPr>
        <w:spacing w:after="0" w:line="240" w:lineRule="auto"/>
        <w:jc w:val="both"/>
        <w:rPr>
          <w:rFonts w:ascii="Calibri" w:eastAsia="Times New Roman" w:hAnsi="Calibri" w:cs="Arial"/>
          <w:color w:val="000000"/>
          <w:lang w:eastAsia="bg-BG"/>
        </w:rPr>
      </w:pPr>
      <w:r w:rsidRPr="0021220B">
        <w:rPr>
          <w:rFonts w:ascii="Calibri" w:eastAsia="Times New Roman" w:hAnsi="Calibri" w:cs="Arial"/>
          <w:color w:val="000000"/>
          <w:lang w:eastAsia="bg-BG"/>
        </w:rPr>
        <w:t xml:space="preserve">Запитани за какво биха използвали финансови инструменти, общините респонденти </w:t>
      </w:r>
      <w:r w:rsidR="00E74BDD">
        <w:rPr>
          <w:rFonts w:ascii="Calibri" w:eastAsia="Times New Roman" w:hAnsi="Calibri" w:cs="Arial"/>
          <w:color w:val="000000"/>
          <w:lang w:eastAsia="bg-BG"/>
        </w:rPr>
        <w:t>класират</w:t>
      </w:r>
      <w:r w:rsidRPr="0021220B">
        <w:rPr>
          <w:rFonts w:ascii="Calibri" w:eastAsia="Times New Roman" w:hAnsi="Calibri" w:cs="Arial"/>
          <w:color w:val="000000"/>
          <w:lang w:eastAsia="bg-BG"/>
        </w:rPr>
        <w:t xml:space="preserve"> по следния начин:</w:t>
      </w:r>
    </w:p>
    <w:p w:rsidR="0021220B" w:rsidRPr="0021220B" w:rsidRDefault="0021220B" w:rsidP="0021220B">
      <w:pPr>
        <w:spacing w:after="0" w:line="240" w:lineRule="auto"/>
        <w:jc w:val="both"/>
        <w:rPr>
          <w:rFonts w:ascii="Calibri" w:eastAsia="Times New Roman" w:hAnsi="Calibri" w:cs="Arial"/>
          <w:color w:val="000000"/>
          <w:lang w:eastAsia="bg-BG"/>
        </w:rPr>
      </w:pPr>
    </w:p>
    <w:p w:rsidR="00432BD7" w:rsidRPr="00432BD7" w:rsidRDefault="00432BD7" w:rsidP="00432BD7">
      <w:pPr>
        <w:spacing w:before="240" w:after="120" w:line="276" w:lineRule="auto"/>
        <w:jc w:val="center"/>
        <w:rPr>
          <w:b/>
          <w:sz w:val="20"/>
          <w:szCs w:val="20"/>
        </w:rPr>
      </w:pPr>
      <w:bookmarkStart w:id="87" w:name="_Toc399494906"/>
      <w:r w:rsidRPr="00432BD7">
        <w:rPr>
          <w:b/>
          <w:sz w:val="20"/>
          <w:szCs w:val="20"/>
        </w:rPr>
        <w:lastRenderedPageBreak/>
        <w:t xml:space="preserve">Таблица </w:t>
      </w:r>
      <w:r w:rsidR="008E6461" w:rsidRPr="00432BD7">
        <w:rPr>
          <w:b/>
          <w:sz w:val="20"/>
          <w:szCs w:val="20"/>
        </w:rPr>
        <w:fldChar w:fldCharType="begin"/>
      </w:r>
      <w:r w:rsidRPr="00432BD7">
        <w:rPr>
          <w:b/>
          <w:sz w:val="20"/>
          <w:szCs w:val="20"/>
        </w:rPr>
        <w:instrText xml:space="preserve"> SEQ Таблица \* ARABIC </w:instrText>
      </w:r>
      <w:r w:rsidR="008E6461" w:rsidRPr="00432BD7">
        <w:rPr>
          <w:b/>
          <w:sz w:val="20"/>
          <w:szCs w:val="20"/>
        </w:rPr>
        <w:fldChar w:fldCharType="separate"/>
      </w:r>
      <w:r w:rsidR="003A69A7">
        <w:rPr>
          <w:b/>
          <w:noProof/>
          <w:sz w:val="20"/>
          <w:szCs w:val="20"/>
        </w:rPr>
        <w:t>26</w:t>
      </w:r>
      <w:r w:rsidR="008E6461" w:rsidRPr="00432BD7">
        <w:rPr>
          <w:b/>
          <w:sz w:val="20"/>
          <w:szCs w:val="20"/>
        </w:rPr>
        <w:fldChar w:fldCharType="end"/>
      </w:r>
      <w:r w:rsidR="00F00027">
        <w:rPr>
          <w:b/>
          <w:sz w:val="20"/>
          <w:szCs w:val="20"/>
        </w:rPr>
        <w:t>:</w:t>
      </w:r>
      <w:r w:rsidRPr="00432BD7">
        <w:rPr>
          <w:b/>
          <w:sz w:val="20"/>
          <w:szCs w:val="20"/>
        </w:rPr>
        <w:t xml:space="preserve"> </w:t>
      </w:r>
      <w:r w:rsidR="00F00027">
        <w:rPr>
          <w:b/>
          <w:sz w:val="20"/>
          <w:szCs w:val="20"/>
        </w:rPr>
        <w:t>Ц</w:t>
      </w:r>
      <w:r w:rsidRPr="00432BD7">
        <w:rPr>
          <w:b/>
          <w:sz w:val="20"/>
          <w:szCs w:val="20"/>
        </w:rPr>
        <w:t>ел на използване на ФИ</w:t>
      </w:r>
      <w:bookmarkEnd w:id="87"/>
    </w:p>
    <w:p w:rsidR="0021220B" w:rsidRPr="0021220B" w:rsidRDefault="0021220B" w:rsidP="00432BD7">
      <w:pPr>
        <w:spacing w:line="240" w:lineRule="auto"/>
        <w:jc w:val="center"/>
        <w:rPr>
          <w:rFonts w:ascii="Calibri" w:eastAsia="Arial" w:hAnsi="Calibri" w:cs="Times New Roman"/>
          <w:i/>
          <w:color w:val="000000"/>
        </w:rPr>
      </w:pPr>
      <w:r w:rsidRPr="0021220B">
        <w:rPr>
          <w:rFonts w:ascii="Calibri" w:eastAsia="Times New Roman" w:hAnsi="Calibri" w:cs="Arial"/>
          <w:i/>
          <w:color w:val="000000"/>
          <w:lang w:eastAsia="bg-BG"/>
        </w:rPr>
        <w:t>база: 109, * възможност за повече отговори</w:t>
      </w:r>
    </w:p>
    <w:tbl>
      <w:tblPr>
        <w:tblStyle w:val="MediumList2-Accent51"/>
        <w:tblW w:w="7593" w:type="dxa"/>
        <w:jc w:val="center"/>
        <w:tblLook w:val="0660" w:firstRow="1" w:lastRow="1" w:firstColumn="0" w:lastColumn="0" w:noHBand="1" w:noVBand="1"/>
      </w:tblPr>
      <w:tblGrid>
        <w:gridCol w:w="6379"/>
        <w:gridCol w:w="1214"/>
      </w:tblGrid>
      <w:tr w:rsidR="0021220B" w:rsidRPr="0021220B" w:rsidTr="00432BD7">
        <w:trPr>
          <w:cnfStyle w:val="100000000000" w:firstRow="1" w:lastRow="0" w:firstColumn="0" w:lastColumn="0" w:oddVBand="0" w:evenVBand="0" w:oddHBand="0" w:evenHBand="0" w:firstRowFirstColumn="0" w:firstRowLastColumn="0" w:lastRowFirstColumn="0" w:lastRowLastColumn="0"/>
          <w:trHeight w:val="284"/>
          <w:jc w:val="center"/>
        </w:trPr>
        <w:tc>
          <w:tcPr>
            <w:tcW w:w="6379" w:type="dxa"/>
            <w:hideMark/>
          </w:tcPr>
          <w:p w:rsidR="0021220B" w:rsidRPr="0021220B" w:rsidRDefault="0021220B" w:rsidP="0021220B">
            <w:pPr>
              <w:rPr>
                <w:rFonts w:ascii="Calibri" w:hAnsi="Calibri"/>
                <w:lang w:eastAsia="bg-BG"/>
              </w:rPr>
            </w:pPr>
          </w:p>
        </w:tc>
        <w:tc>
          <w:tcPr>
            <w:tcW w:w="1214" w:type="dxa"/>
            <w:hideMark/>
          </w:tcPr>
          <w:p w:rsidR="0021220B" w:rsidRPr="0021220B" w:rsidRDefault="0021220B" w:rsidP="0021220B">
            <w:pPr>
              <w:jc w:val="center"/>
              <w:rPr>
                <w:rFonts w:ascii="Calibri" w:hAnsi="Calibri"/>
                <w:lang w:eastAsia="bg-BG"/>
              </w:rPr>
            </w:pPr>
            <w:r w:rsidRPr="0021220B">
              <w:rPr>
                <w:rFonts w:ascii="Calibri" w:hAnsi="Calibri"/>
                <w:lang w:eastAsia="bg-BG"/>
              </w:rPr>
              <w:t>Процент*</w:t>
            </w:r>
          </w:p>
        </w:tc>
      </w:tr>
      <w:tr w:rsidR="0021220B" w:rsidRPr="0021220B" w:rsidTr="00432BD7">
        <w:trPr>
          <w:trHeight w:val="284"/>
          <w:jc w:val="center"/>
        </w:trPr>
        <w:tc>
          <w:tcPr>
            <w:tcW w:w="6379" w:type="dxa"/>
            <w:hideMark/>
          </w:tcPr>
          <w:p w:rsidR="0021220B" w:rsidRPr="0021220B" w:rsidRDefault="0021220B" w:rsidP="0021220B">
            <w:pPr>
              <w:rPr>
                <w:rFonts w:ascii="Calibri" w:hAnsi="Calibri" w:cs="Arial"/>
                <w:b/>
                <w:i/>
                <w:lang w:eastAsia="bg-BG"/>
              </w:rPr>
            </w:pPr>
            <w:r w:rsidRPr="0021220B">
              <w:rPr>
                <w:rFonts w:ascii="Calibri" w:hAnsi="Calibri" w:cs="Arial"/>
                <w:b/>
                <w:i/>
                <w:lang w:eastAsia="bg-BG"/>
              </w:rPr>
              <w:t>Площадки и инсталации за предварително третиране на битови отпадъци</w:t>
            </w:r>
          </w:p>
        </w:tc>
        <w:tc>
          <w:tcPr>
            <w:tcW w:w="1214" w:type="dxa"/>
            <w:noWrap/>
            <w:hideMark/>
          </w:tcPr>
          <w:p w:rsidR="0021220B" w:rsidRPr="0021220B" w:rsidRDefault="0021220B" w:rsidP="0021220B">
            <w:pPr>
              <w:jc w:val="center"/>
              <w:rPr>
                <w:rFonts w:ascii="Calibri" w:hAnsi="Calibri" w:cs="Arial"/>
                <w:b/>
                <w:i/>
                <w:lang w:eastAsia="bg-BG"/>
              </w:rPr>
            </w:pPr>
            <w:r w:rsidRPr="0021220B">
              <w:rPr>
                <w:rFonts w:ascii="Calibri" w:hAnsi="Calibri" w:cs="Arial"/>
                <w:b/>
                <w:i/>
                <w:lang w:eastAsia="bg-BG"/>
              </w:rPr>
              <w:t>57.8%</w:t>
            </w:r>
          </w:p>
        </w:tc>
      </w:tr>
      <w:tr w:rsidR="0021220B" w:rsidRPr="0021220B" w:rsidTr="00432BD7">
        <w:trPr>
          <w:trHeight w:val="284"/>
          <w:jc w:val="center"/>
        </w:trPr>
        <w:tc>
          <w:tcPr>
            <w:tcW w:w="6379" w:type="dxa"/>
            <w:hideMark/>
          </w:tcPr>
          <w:p w:rsidR="0021220B" w:rsidRPr="0021220B" w:rsidRDefault="0021220B" w:rsidP="0021220B">
            <w:pPr>
              <w:rPr>
                <w:rFonts w:ascii="Calibri" w:hAnsi="Calibri" w:cs="Arial"/>
                <w:b/>
                <w:i/>
                <w:lang w:eastAsia="bg-BG"/>
              </w:rPr>
            </w:pPr>
            <w:r w:rsidRPr="0021220B">
              <w:rPr>
                <w:rFonts w:ascii="Calibri" w:hAnsi="Calibri" w:cs="Arial"/>
                <w:b/>
                <w:i/>
                <w:lang w:eastAsia="bg-BG"/>
              </w:rPr>
              <w:t>Анаеробни и/или компостиращи инсталации за биоразградими и/или зелени отпадъци, вкл. техника за разделно събиране на отпадъците</w:t>
            </w:r>
          </w:p>
        </w:tc>
        <w:tc>
          <w:tcPr>
            <w:tcW w:w="1214" w:type="dxa"/>
            <w:noWrap/>
            <w:hideMark/>
          </w:tcPr>
          <w:p w:rsidR="0021220B" w:rsidRPr="0021220B" w:rsidRDefault="0021220B" w:rsidP="0021220B">
            <w:pPr>
              <w:jc w:val="center"/>
              <w:rPr>
                <w:rFonts w:ascii="Calibri" w:hAnsi="Calibri" w:cs="Arial"/>
                <w:b/>
                <w:i/>
                <w:lang w:eastAsia="bg-BG"/>
              </w:rPr>
            </w:pPr>
            <w:r w:rsidRPr="0021220B">
              <w:rPr>
                <w:rFonts w:ascii="Calibri" w:hAnsi="Calibri" w:cs="Arial"/>
                <w:b/>
                <w:i/>
                <w:lang w:eastAsia="bg-BG"/>
              </w:rPr>
              <w:t>51.4%</w:t>
            </w:r>
          </w:p>
        </w:tc>
      </w:tr>
      <w:tr w:rsidR="0021220B" w:rsidRPr="0021220B" w:rsidTr="00432BD7">
        <w:trPr>
          <w:trHeight w:val="284"/>
          <w:jc w:val="center"/>
        </w:trPr>
        <w:tc>
          <w:tcPr>
            <w:tcW w:w="6379" w:type="dxa"/>
            <w:hideMark/>
          </w:tcPr>
          <w:p w:rsidR="0021220B" w:rsidRPr="0021220B" w:rsidRDefault="0021220B" w:rsidP="0021220B">
            <w:pPr>
              <w:rPr>
                <w:rFonts w:ascii="Calibri" w:hAnsi="Calibri" w:cs="Arial"/>
                <w:lang w:eastAsia="bg-BG"/>
              </w:rPr>
            </w:pPr>
            <w:r w:rsidRPr="0021220B">
              <w:rPr>
                <w:rFonts w:ascii="Calibri" w:hAnsi="Calibri" w:cs="Arial"/>
                <w:lang w:eastAsia="bg-BG"/>
              </w:rPr>
              <w:t>Центрове за повторна употреба на битови отпадъци, включително техниката и съоръженията към тях</w:t>
            </w:r>
          </w:p>
        </w:tc>
        <w:tc>
          <w:tcPr>
            <w:tcW w:w="1214" w:type="dxa"/>
            <w:noWrap/>
            <w:hideMark/>
          </w:tcPr>
          <w:p w:rsidR="0021220B" w:rsidRPr="0021220B" w:rsidRDefault="0021220B" w:rsidP="0021220B">
            <w:pPr>
              <w:jc w:val="center"/>
              <w:rPr>
                <w:rFonts w:ascii="Calibri" w:hAnsi="Calibri" w:cs="Arial"/>
                <w:lang w:eastAsia="bg-BG"/>
              </w:rPr>
            </w:pPr>
            <w:r w:rsidRPr="0021220B">
              <w:rPr>
                <w:rFonts w:ascii="Calibri" w:hAnsi="Calibri" w:cs="Arial"/>
                <w:lang w:eastAsia="bg-BG"/>
              </w:rPr>
              <w:t>30.3%</w:t>
            </w:r>
          </w:p>
        </w:tc>
      </w:tr>
      <w:tr w:rsidR="0021220B" w:rsidRPr="0021220B" w:rsidTr="00432BD7">
        <w:trPr>
          <w:trHeight w:val="284"/>
          <w:jc w:val="center"/>
        </w:trPr>
        <w:tc>
          <w:tcPr>
            <w:tcW w:w="6379" w:type="dxa"/>
            <w:hideMark/>
          </w:tcPr>
          <w:p w:rsidR="0021220B" w:rsidRPr="0021220B" w:rsidRDefault="0021220B" w:rsidP="0021220B">
            <w:pPr>
              <w:rPr>
                <w:rFonts w:ascii="Calibri" w:hAnsi="Calibri" w:cs="Arial"/>
                <w:lang w:eastAsia="bg-BG"/>
              </w:rPr>
            </w:pPr>
            <w:r w:rsidRPr="0021220B">
              <w:rPr>
                <w:rFonts w:ascii="Calibri" w:hAnsi="Calibri" w:cs="Arial"/>
                <w:lang w:eastAsia="bg-BG"/>
              </w:rPr>
              <w:t>Инсталации за повторно оползотворяване на отпадъците</w:t>
            </w:r>
          </w:p>
        </w:tc>
        <w:tc>
          <w:tcPr>
            <w:tcW w:w="1214" w:type="dxa"/>
            <w:noWrap/>
            <w:hideMark/>
          </w:tcPr>
          <w:p w:rsidR="0021220B" w:rsidRPr="0021220B" w:rsidRDefault="0021220B" w:rsidP="0021220B">
            <w:pPr>
              <w:jc w:val="center"/>
              <w:rPr>
                <w:rFonts w:ascii="Calibri" w:hAnsi="Calibri" w:cs="Arial"/>
                <w:lang w:eastAsia="bg-BG"/>
              </w:rPr>
            </w:pPr>
            <w:r w:rsidRPr="0021220B">
              <w:rPr>
                <w:rFonts w:ascii="Calibri" w:hAnsi="Calibri" w:cs="Arial"/>
                <w:lang w:eastAsia="bg-BG"/>
              </w:rPr>
              <w:t>24.8%</w:t>
            </w:r>
          </w:p>
        </w:tc>
      </w:tr>
      <w:tr w:rsidR="0021220B" w:rsidRPr="0021220B" w:rsidTr="00432BD7">
        <w:trPr>
          <w:trHeight w:val="284"/>
          <w:jc w:val="center"/>
        </w:trPr>
        <w:tc>
          <w:tcPr>
            <w:tcW w:w="6379" w:type="dxa"/>
            <w:hideMark/>
          </w:tcPr>
          <w:p w:rsidR="0021220B" w:rsidRPr="0021220B" w:rsidRDefault="0021220B" w:rsidP="0021220B">
            <w:pPr>
              <w:rPr>
                <w:rFonts w:ascii="Calibri" w:hAnsi="Calibri" w:cs="Arial"/>
                <w:lang w:eastAsia="bg-BG"/>
              </w:rPr>
            </w:pPr>
            <w:r w:rsidRPr="0021220B">
              <w:rPr>
                <w:rFonts w:ascii="Calibri" w:hAnsi="Calibri" w:cs="Arial"/>
                <w:lang w:eastAsia="bg-BG"/>
              </w:rPr>
              <w:t>Завод за третиране на отпадъци</w:t>
            </w:r>
          </w:p>
        </w:tc>
        <w:tc>
          <w:tcPr>
            <w:tcW w:w="1214" w:type="dxa"/>
            <w:noWrap/>
            <w:hideMark/>
          </w:tcPr>
          <w:p w:rsidR="0021220B" w:rsidRPr="0021220B" w:rsidRDefault="0021220B" w:rsidP="0021220B">
            <w:pPr>
              <w:jc w:val="center"/>
              <w:rPr>
                <w:rFonts w:ascii="Calibri" w:hAnsi="Calibri" w:cs="Arial"/>
                <w:lang w:eastAsia="bg-BG"/>
              </w:rPr>
            </w:pPr>
            <w:r w:rsidRPr="0021220B">
              <w:rPr>
                <w:rFonts w:ascii="Calibri" w:hAnsi="Calibri" w:cs="Arial"/>
                <w:lang w:eastAsia="bg-BG"/>
              </w:rPr>
              <w:t>17.4%</w:t>
            </w:r>
          </w:p>
        </w:tc>
      </w:tr>
      <w:tr w:rsidR="0021220B" w:rsidRPr="0021220B" w:rsidTr="00432BD7">
        <w:trPr>
          <w:trHeight w:val="284"/>
          <w:jc w:val="center"/>
        </w:trPr>
        <w:tc>
          <w:tcPr>
            <w:tcW w:w="6379" w:type="dxa"/>
            <w:hideMark/>
          </w:tcPr>
          <w:p w:rsidR="0021220B" w:rsidRPr="0021220B" w:rsidRDefault="0021220B" w:rsidP="0021220B">
            <w:pPr>
              <w:rPr>
                <w:rFonts w:ascii="Calibri" w:hAnsi="Calibri" w:cs="Arial"/>
                <w:lang w:eastAsia="bg-BG"/>
              </w:rPr>
            </w:pPr>
            <w:r w:rsidRPr="0021220B">
              <w:rPr>
                <w:rFonts w:ascii="Calibri" w:hAnsi="Calibri" w:cs="Arial"/>
                <w:lang w:eastAsia="bg-BG"/>
              </w:rPr>
              <w:t>Други</w:t>
            </w:r>
          </w:p>
        </w:tc>
        <w:tc>
          <w:tcPr>
            <w:tcW w:w="1214" w:type="dxa"/>
            <w:noWrap/>
            <w:hideMark/>
          </w:tcPr>
          <w:p w:rsidR="0021220B" w:rsidRPr="0021220B" w:rsidRDefault="0021220B" w:rsidP="0021220B">
            <w:pPr>
              <w:jc w:val="center"/>
              <w:rPr>
                <w:rFonts w:ascii="Calibri" w:hAnsi="Calibri" w:cs="Arial"/>
                <w:lang w:eastAsia="bg-BG"/>
              </w:rPr>
            </w:pPr>
            <w:r w:rsidRPr="0021220B">
              <w:rPr>
                <w:rFonts w:ascii="Calibri" w:hAnsi="Calibri" w:cs="Arial"/>
                <w:lang w:eastAsia="bg-BG"/>
              </w:rPr>
              <w:t>4.6%</w:t>
            </w:r>
          </w:p>
        </w:tc>
      </w:tr>
      <w:tr w:rsidR="0021220B" w:rsidRPr="0021220B" w:rsidTr="00432BD7">
        <w:trPr>
          <w:cnfStyle w:val="010000000000" w:firstRow="0" w:lastRow="1" w:firstColumn="0" w:lastColumn="0" w:oddVBand="0" w:evenVBand="0" w:oddHBand="0" w:evenHBand="0" w:firstRowFirstColumn="0" w:firstRowLastColumn="0" w:lastRowFirstColumn="0" w:lastRowLastColumn="0"/>
          <w:trHeight w:val="284"/>
          <w:jc w:val="center"/>
        </w:trPr>
        <w:tc>
          <w:tcPr>
            <w:tcW w:w="6379" w:type="dxa"/>
            <w:hideMark/>
          </w:tcPr>
          <w:p w:rsidR="0021220B" w:rsidRPr="0021220B" w:rsidRDefault="0021220B" w:rsidP="0021220B">
            <w:pPr>
              <w:rPr>
                <w:rFonts w:ascii="Calibri" w:hAnsi="Calibri"/>
                <w:lang w:eastAsia="bg-BG"/>
              </w:rPr>
            </w:pPr>
            <w:r w:rsidRPr="0021220B">
              <w:rPr>
                <w:rFonts w:ascii="Calibri" w:hAnsi="Calibri"/>
                <w:lang w:eastAsia="bg-BG"/>
              </w:rPr>
              <w:t>Общо</w:t>
            </w:r>
          </w:p>
        </w:tc>
        <w:tc>
          <w:tcPr>
            <w:tcW w:w="1214" w:type="dxa"/>
            <w:noWrap/>
            <w:hideMark/>
          </w:tcPr>
          <w:p w:rsidR="0021220B" w:rsidRPr="0021220B" w:rsidRDefault="0021220B" w:rsidP="0021220B">
            <w:pPr>
              <w:jc w:val="center"/>
              <w:rPr>
                <w:rFonts w:ascii="Calibri" w:hAnsi="Calibri"/>
                <w:lang w:eastAsia="bg-BG"/>
              </w:rPr>
            </w:pPr>
            <w:r w:rsidRPr="0021220B">
              <w:rPr>
                <w:rFonts w:ascii="Calibri" w:hAnsi="Calibri"/>
                <w:lang w:eastAsia="bg-BG"/>
              </w:rPr>
              <w:t>186.2%</w:t>
            </w:r>
          </w:p>
        </w:tc>
      </w:tr>
    </w:tbl>
    <w:p w:rsidR="0021220B" w:rsidRPr="007E230D" w:rsidRDefault="0021220B" w:rsidP="00432BD7">
      <w:pPr>
        <w:spacing w:before="240" w:after="0" w:line="240" w:lineRule="auto"/>
        <w:jc w:val="both"/>
        <w:rPr>
          <w:rFonts w:eastAsia="Times New Roman" w:cstheme="minorHAnsi"/>
          <w:bCs/>
          <w:color w:val="000000"/>
          <w:lang w:eastAsia="bg-BG"/>
        </w:rPr>
      </w:pPr>
      <w:r w:rsidRPr="007E230D">
        <w:rPr>
          <w:rFonts w:eastAsia="Times New Roman" w:cstheme="minorHAnsi"/>
          <w:bCs/>
          <w:color w:val="000000"/>
          <w:lang w:eastAsia="bg-BG"/>
        </w:rPr>
        <w:t xml:space="preserve">Основните нужди, които са посочени са изграждане на </w:t>
      </w:r>
      <w:r w:rsidRPr="007E230D">
        <w:rPr>
          <w:rFonts w:eastAsia="Times New Roman" w:cstheme="minorHAnsi"/>
          <w:b/>
          <w:i/>
          <w:color w:val="000000"/>
          <w:lang w:eastAsia="bg-BG"/>
        </w:rPr>
        <w:t xml:space="preserve">Площадки и инсталации за предварително третиране на битови отпадъци </w:t>
      </w:r>
      <w:r w:rsidRPr="007E230D">
        <w:rPr>
          <w:rFonts w:eastAsia="Times New Roman" w:cstheme="minorHAnsi"/>
          <w:color w:val="000000"/>
          <w:lang w:eastAsia="bg-BG"/>
        </w:rPr>
        <w:t>и</w:t>
      </w:r>
      <w:r w:rsidRPr="007E230D">
        <w:rPr>
          <w:rFonts w:eastAsia="Times New Roman" w:cstheme="minorHAnsi"/>
          <w:b/>
          <w:i/>
          <w:color w:val="000000"/>
          <w:lang w:eastAsia="bg-BG"/>
        </w:rPr>
        <w:t xml:space="preserve"> Анаеробни и/или компостиращи инсталации за биоразградими и/или зелени отпадъци, вкл. техника за разделно събиране на отпадъците.</w:t>
      </w:r>
    </w:p>
    <w:p w:rsidR="0021220B" w:rsidRPr="007E230D" w:rsidRDefault="0021220B" w:rsidP="0021220B">
      <w:pPr>
        <w:spacing w:after="0" w:line="240" w:lineRule="auto"/>
        <w:jc w:val="both"/>
        <w:rPr>
          <w:rFonts w:eastAsia="Times New Roman" w:cstheme="minorHAnsi"/>
          <w:color w:val="000000"/>
          <w:lang w:eastAsia="bg-BG"/>
        </w:rPr>
      </w:pPr>
      <w:r w:rsidRPr="007E230D">
        <w:rPr>
          <w:rFonts w:eastAsia="Times New Roman" w:cstheme="minorHAnsi"/>
          <w:bCs/>
          <w:color w:val="000000"/>
          <w:lang w:eastAsia="bg-BG"/>
        </w:rPr>
        <w:t xml:space="preserve">Други посочени нужди с по-малък дял са: </w:t>
      </w:r>
      <w:r w:rsidRPr="007E230D">
        <w:rPr>
          <w:rFonts w:eastAsia="Times New Roman" w:cstheme="minorHAnsi"/>
          <w:color w:val="000000"/>
          <w:lang w:eastAsia="bg-BG"/>
        </w:rPr>
        <w:t>Доизграждане на ПСПВ, Изграждане на канализационна мрежа за отпадъчни води; Рехабилитация на водопроводната мрежа,  Пречиствателни станции за отпадни и питейни води, реконструкция на ВиК мрежа.</w:t>
      </w:r>
    </w:p>
    <w:p w:rsidR="0021220B" w:rsidRPr="007E230D" w:rsidRDefault="0021220B" w:rsidP="0021220B">
      <w:pPr>
        <w:spacing w:after="0" w:line="240" w:lineRule="auto"/>
        <w:rPr>
          <w:rFonts w:eastAsia="Times New Roman" w:cstheme="minorHAnsi"/>
          <w:b/>
          <w:bCs/>
          <w:color w:val="000000"/>
          <w:lang w:eastAsia="bg-BG"/>
        </w:rPr>
      </w:pPr>
    </w:p>
    <w:p w:rsidR="0021220B" w:rsidRPr="007E230D" w:rsidRDefault="0021220B" w:rsidP="0021220B">
      <w:pPr>
        <w:spacing w:after="0" w:line="240" w:lineRule="auto"/>
        <w:jc w:val="both"/>
        <w:rPr>
          <w:rFonts w:eastAsia="Times New Roman" w:cstheme="minorHAnsi"/>
          <w:bCs/>
          <w:color w:val="000000"/>
          <w:lang w:eastAsia="bg-BG"/>
        </w:rPr>
      </w:pPr>
      <w:r w:rsidRPr="007E230D">
        <w:rPr>
          <w:rFonts w:eastAsia="Times New Roman" w:cstheme="minorHAnsi"/>
          <w:bCs/>
          <w:color w:val="000000"/>
          <w:lang w:eastAsia="bg-BG"/>
        </w:rPr>
        <w:t>По отношение на чистотата на атмосферния въздух и възможните мерки, свързани с това са зададени група въпроси относно нагласите на общините – потенциални бенефициенти.</w:t>
      </w:r>
    </w:p>
    <w:p w:rsidR="0021220B" w:rsidRPr="007E230D" w:rsidRDefault="0021220B" w:rsidP="0021220B">
      <w:pPr>
        <w:spacing w:after="0" w:line="240" w:lineRule="auto"/>
        <w:rPr>
          <w:rFonts w:eastAsia="Times New Roman" w:cstheme="minorHAnsi"/>
          <w:b/>
          <w:bCs/>
          <w:color w:val="000000"/>
          <w:lang w:eastAsia="bg-BG"/>
        </w:rPr>
      </w:pPr>
    </w:p>
    <w:p w:rsidR="007E230D" w:rsidRPr="007E230D" w:rsidRDefault="007E230D" w:rsidP="007E230D">
      <w:pPr>
        <w:spacing w:before="240" w:after="120" w:line="276" w:lineRule="auto"/>
        <w:jc w:val="center"/>
        <w:rPr>
          <w:b/>
          <w:sz w:val="20"/>
          <w:szCs w:val="20"/>
        </w:rPr>
      </w:pPr>
      <w:bookmarkStart w:id="88" w:name="_Toc399494611"/>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26</w:t>
      </w:r>
      <w:r w:rsidR="008E6461" w:rsidRPr="005C4B92">
        <w:rPr>
          <w:b/>
          <w:sz w:val="20"/>
          <w:szCs w:val="20"/>
        </w:rPr>
        <w:fldChar w:fldCharType="end"/>
      </w:r>
      <w:r w:rsidRPr="005C4B92">
        <w:rPr>
          <w:b/>
          <w:sz w:val="20"/>
          <w:szCs w:val="20"/>
        </w:rPr>
        <w:t>:</w:t>
      </w:r>
      <w:r>
        <w:rPr>
          <w:b/>
          <w:sz w:val="20"/>
          <w:szCs w:val="20"/>
        </w:rPr>
        <w:t xml:space="preserve"> </w:t>
      </w:r>
      <w:r w:rsidRPr="007E230D">
        <w:rPr>
          <w:b/>
          <w:sz w:val="20"/>
          <w:szCs w:val="20"/>
        </w:rPr>
        <w:t>Използване на ФИ за почистваща техника</w:t>
      </w:r>
      <w:bookmarkEnd w:id="88"/>
    </w:p>
    <w:p w:rsidR="0021220B" w:rsidRPr="007E230D" w:rsidRDefault="0021220B" w:rsidP="007E230D">
      <w:pPr>
        <w:spacing w:after="0" w:line="240" w:lineRule="auto"/>
        <w:jc w:val="center"/>
        <w:rPr>
          <w:rFonts w:eastAsia="Times New Roman" w:cstheme="minorHAnsi"/>
          <w:b/>
          <w:bCs/>
          <w:color w:val="000000"/>
          <w:lang w:eastAsia="bg-BG"/>
        </w:rPr>
      </w:pPr>
      <w:r w:rsidRPr="007E230D">
        <w:rPr>
          <w:rFonts w:eastAsia="Times New Roman" w:cstheme="minorHAnsi"/>
          <w:b/>
          <w:bCs/>
          <w:color w:val="000000"/>
          <w:lang w:eastAsia="bg-BG"/>
        </w:rPr>
        <w:t>Ако имате възможност да ползвате финансови инструменти, бихте ли закупили почистваща техника за измиване на пътни платна, площади и тротоари?</w:t>
      </w:r>
    </w:p>
    <w:p w:rsidR="0021220B" w:rsidRPr="0021220B" w:rsidRDefault="0021220B" w:rsidP="007E230D">
      <w:pPr>
        <w:spacing w:line="240" w:lineRule="auto"/>
        <w:jc w:val="center"/>
        <w:rPr>
          <w:rFonts w:ascii="Cambria" w:eastAsia="Arial" w:hAnsi="Cambria" w:cs="Times New Roman"/>
          <w:i/>
          <w:color w:val="000000"/>
        </w:rPr>
      </w:pPr>
      <w:r w:rsidRPr="0021220B">
        <w:rPr>
          <w:rFonts w:ascii="Cambria" w:eastAsia="Times New Roman" w:hAnsi="Cambria" w:cs="Arial"/>
          <w:bCs/>
          <w:i/>
          <w:color w:val="000000"/>
          <w:lang w:eastAsia="bg-BG"/>
        </w:rPr>
        <w:t>база: 109</w:t>
      </w:r>
    </w:p>
    <w:p w:rsidR="0021220B" w:rsidRPr="0021220B" w:rsidRDefault="007E230D" w:rsidP="007E230D">
      <w:pPr>
        <w:spacing w:after="200" w:line="276" w:lineRule="auto"/>
        <w:jc w:val="center"/>
        <w:rPr>
          <w:rFonts w:ascii="Cambria" w:eastAsia="Times New Roman" w:hAnsi="Cambria" w:cs="Arial"/>
          <w:b/>
          <w:bCs/>
          <w:color w:val="000000"/>
          <w:lang w:eastAsia="bg-BG"/>
        </w:rPr>
      </w:pPr>
      <w:r>
        <w:rPr>
          <w:rFonts w:ascii="Cambria" w:eastAsia="Times New Roman" w:hAnsi="Cambria" w:cs="Arial"/>
          <w:b/>
          <w:bCs/>
          <w:noProof/>
          <w:color w:val="000000"/>
          <w:lang w:eastAsia="bg-BG"/>
        </w:rPr>
        <w:drawing>
          <wp:inline distT="0" distB="0" distL="0" distR="0">
            <wp:extent cx="4700630" cy="2143125"/>
            <wp:effectExtent l="19050" t="0" r="472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70" cstate="print"/>
                    <a:srcRect/>
                    <a:stretch>
                      <a:fillRect/>
                    </a:stretch>
                  </pic:blipFill>
                  <pic:spPr bwMode="auto">
                    <a:xfrm>
                      <a:off x="0" y="0"/>
                      <a:ext cx="4699012" cy="2142387"/>
                    </a:xfrm>
                    <a:prstGeom prst="rect">
                      <a:avLst/>
                    </a:prstGeom>
                    <a:noFill/>
                  </pic:spPr>
                </pic:pic>
              </a:graphicData>
            </a:graphic>
          </wp:inline>
        </w:drawing>
      </w:r>
    </w:p>
    <w:p w:rsidR="0021220B" w:rsidRPr="0021220B" w:rsidRDefault="0021220B" w:rsidP="00B462AB">
      <w:pPr>
        <w:spacing w:before="240" w:after="120" w:line="240" w:lineRule="auto"/>
        <w:jc w:val="both"/>
        <w:rPr>
          <w:rFonts w:ascii="Verdana" w:eastAsia="Arial" w:hAnsi="Verdana" w:cs="Times New Roman"/>
          <w:color w:val="000000"/>
          <w:sz w:val="20"/>
          <w:szCs w:val="20"/>
        </w:rPr>
      </w:pPr>
      <w:r w:rsidRPr="0021220B">
        <w:rPr>
          <w:rFonts w:ascii="Verdana" w:eastAsia="Arial" w:hAnsi="Verdana" w:cs="Times New Roman"/>
          <w:color w:val="000000"/>
          <w:sz w:val="20"/>
          <w:szCs w:val="20"/>
        </w:rPr>
        <w:t>Основният дял (88%) потвърждават, че биха използвали финансирането за закупуване на почистваща техника за измиване на пътни платна, площади и тротоари.</w:t>
      </w:r>
    </w:p>
    <w:p w:rsidR="0021220B" w:rsidRDefault="0021220B" w:rsidP="00B462AB">
      <w:pPr>
        <w:spacing w:before="240" w:after="120" w:line="240" w:lineRule="auto"/>
        <w:jc w:val="both"/>
        <w:rPr>
          <w:rFonts w:ascii="Verdana" w:eastAsia="Arial" w:hAnsi="Verdana" w:cs="Times New Roman"/>
          <w:color w:val="000000"/>
          <w:sz w:val="20"/>
          <w:szCs w:val="20"/>
        </w:rPr>
      </w:pPr>
      <w:r w:rsidRPr="0021220B">
        <w:rPr>
          <w:rFonts w:ascii="Verdana" w:eastAsia="Arial" w:hAnsi="Verdana" w:cs="Times New Roman"/>
          <w:color w:val="000000"/>
          <w:sz w:val="20"/>
          <w:szCs w:val="20"/>
        </w:rPr>
        <w:lastRenderedPageBreak/>
        <w:t xml:space="preserve">Друго възможно финансиране по отношение на опазване на чистотата на атмосферния въздух е свързано с транспортните оператори в общините. Запитани в тази посока, </w:t>
      </w:r>
      <w:r w:rsidR="00CA24BD" w:rsidRPr="0021220B">
        <w:rPr>
          <w:rFonts w:ascii="Verdana" w:eastAsia="Arial" w:hAnsi="Verdana" w:cs="Times New Roman"/>
          <w:color w:val="000000"/>
          <w:sz w:val="20"/>
          <w:szCs w:val="20"/>
        </w:rPr>
        <w:t>респондентите</w:t>
      </w:r>
      <w:r w:rsidRPr="0021220B">
        <w:rPr>
          <w:rFonts w:ascii="Verdana" w:eastAsia="Arial" w:hAnsi="Verdana" w:cs="Times New Roman"/>
          <w:color w:val="000000"/>
          <w:sz w:val="20"/>
          <w:szCs w:val="20"/>
        </w:rPr>
        <w:t xml:space="preserve"> посочват следното:</w:t>
      </w:r>
    </w:p>
    <w:p w:rsidR="007E230D" w:rsidRPr="0021220B" w:rsidRDefault="007E230D" w:rsidP="007E230D">
      <w:pPr>
        <w:spacing w:before="240" w:after="120" w:line="276" w:lineRule="auto"/>
        <w:jc w:val="center"/>
        <w:rPr>
          <w:rFonts w:ascii="Verdana" w:eastAsia="Arial" w:hAnsi="Verdana" w:cs="Times New Roman"/>
          <w:bCs/>
          <w:smallCaps/>
          <w:color w:val="DD8047"/>
          <w:spacing w:val="10"/>
          <w:sz w:val="18"/>
          <w:szCs w:val="18"/>
        </w:rPr>
      </w:pPr>
      <w:bookmarkStart w:id="89" w:name="_Toc399494612"/>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27</w:t>
      </w:r>
      <w:r w:rsidR="008E6461" w:rsidRPr="005C4B92">
        <w:rPr>
          <w:b/>
          <w:sz w:val="20"/>
          <w:szCs w:val="20"/>
        </w:rPr>
        <w:fldChar w:fldCharType="end"/>
      </w:r>
      <w:r w:rsidRPr="005C4B92">
        <w:rPr>
          <w:b/>
          <w:sz w:val="20"/>
          <w:szCs w:val="20"/>
        </w:rPr>
        <w:t>:</w:t>
      </w:r>
      <w:r>
        <w:rPr>
          <w:b/>
          <w:sz w:val="20"/>
          <w:szCs w:val="20"/>
        </w:rPr>
        <w:t xml:space="preserve"> </w:t>
      </w:r>
      <w:r w:rsidRPr="007E230D">
        <w:rPr>
          <w:b/>
          <w:sz w:val="20"/>
          <w:szCs w:val="20"/>
        </w:rPr>
        <w:t>Инвестиции от транспортните оператори на общините</w:t>
      </w:r>
      <w:bookmarkEnd w:id="89"/>
    </w:p>
    <w:p w:rsidR="007E230D" w:rsidRPr="0021220B" w:rsidRDefault="007E230D" w:rsidP="007E230D">
      <w:pPr>
        <w:spacing w:before="240" w:after="120" w:line="240" w:lineRule="auto"/>
        <w:jc w:val="center"/>
        <w:rPr>
          <w:rFonts w:ascii="Verdana" w:eastAsia="Arial" w:hAnsi="Verdana" w:cs="Times New Roman"/>
          <w:color w:val="000000"/>
          <w:sz w:val="20"/>
          <w:szCs w:val="20"/>
        </w:rPr>
      </w:pPr>
      <w:r>
        <w:rPr>
          <w:rFonts w:ascii="Verdana" w:eastAsia="Arial" w:hAnsi="Verdana" w:cs="Times New Roman"/>
          <w:noProof/>
          <w:color w:val="000000"/>
          <w:sz w:val="20"/>
          <w:szCs w:val="20"/>
          <w:lang w:eastAsia="bg-BG"/>
        </w:rPr>
        <w:drawing>
          <wp:inline distT="0" distB="0" distL="0" distR="0">
            <wp:extent cx="4448175" cy="1605264"/>
            <wp:effectExtent l="1905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71" cstate="print"/>
                    <a:srcRect/>
                    <a:stretch>
                      <a:fillRect/>
                    </a:stretch>
                  </pic:blipFill>
                  <pic:spPr bwMode="auto">
                    <a:xfrm>
                      <a:off x="0" y="0"/>
                      <a:ext cx="4446644" cy="1604711"/>
                    </a:xfrm>
                    <a:prstGeom prst="rect">
                      <a:avLst/>
                    </a:prstGeom>
                    <a:noFill/>
                  </pic:spPr>
                </pic:pic>
              </a:graphicData>
            </a:graphic>
          </wp:inline>
        </w:drawing>
      </w:r>
    </w:p>
    <w:p w:rsidR="0021220B" w:rsidRPr="0021220B" w:rsidRDefault="0021220B" w:rsidP="0021220B">
      <w:pPr>
        <w:spacing w:after="0" w:line="240" w:lineRule="auto"/>
        <w:rPr>
          <w:rFonts w:ascii="Cambria" w:eastAsia="Times New Roman" w:hAnsi="Cambria" w:cs="Arial"/>
          <w:b/>
          <w:color w:val="000000"/>
          <w:lang w:val="en-US" w:eastAsia="bg-BG"/>
        </w:rPr>
      </w:pPr>
    </w:p>
    <w:p w:rsidR="0021220B" w:rsidRPr="00B462AB" w:rsidRDefault="0021220B" w:rsidP="00B462AB">
      <w:pPr>
        <w:spacing w:after="0" w:line="240" w:lineRule="auto"/>
        <w:jc w:val="both"/>
        <w:rPr>
          <w:rFonts w:eastAsia="Times New Roman" w:cs="Arial"/>
          <w:bCs/>
          <w:color w:val="000000"/>
          <w:lang w:eastAsia="bg-BG"/>
        </w:rPr>
      </w:pPr>
      <w:r w:rsidRPr="00B462AB">
        <w:rPr>
          <w:rFonts w:eastAsia="Times New Roman" w:cs="Arial"/>
          <w:bCs/>
          <w:color w:val="000000"/>
          <w:lang w:eastAsia="bg-BG"/>
        </w:rPr>
        <w:t>Основният дял отговорили посочват, че ще използват  финансирането за закупуване на нови превозни средства (32%), други 10% посочват иновативни технологии и едва 6% посочват закупуване на катализатори за подвижния състав.</w:t>
      </w:r>
    </w:p>
    <w:p w:rsidR="0021220B" w:rsidRPr="007E230D" w:rsidRDefault="0021220B" w:rsidP="001A036E">
      <w:pPr>
        <w:numPr>
          <w:ilvl w:val="0"/>
          <w:numId w:val="58"/>
        </w:numPr>
        <w:spacing w:before="240"/>
        <w:rPr>
          <w:rFonts w:ascii="Calibri" w:eastAsia="Calibri" w:hAnsi="Calibri" w:cs="Times New Roman"/>
          <w:b/>
          <w:color w:val="4F81BD"/>
        </w:rPr>
      </w:pPr>
      <w:r w:rsidRPr="007E230D">
        <w:rPr>
          <w:rFonts w:ascii="Calibri" w:eastAsia="Calibri" w:hAnsi="Calibri" w:cs="Times New Roman"/>
          <w:b/>
          <w:color w:val="4F81BD"/>
        </w:rPr>
        <w:t>Нагласи относно използване на финансови инструменти по вид</w:t>
      </w:r>
    </w:p>
    <w:p w:rsidR="0021220B" w:rsidRPr="00B462AB" w:rsidRDefault="0021220B" w:rsidP="00B462AB">
      <w:pPr>
        <w:spacing w:after="0" w:line="240" w:lineRule="auto"/>
        <w:jc w:val="both"/>
        <w:rPr>
          <w:rFonts w:eastAsia="Times New Roman" w:cs="Arial"/>
          <w:color w:val="000000"/>
          <w:lang w:eastAsia="bg-BG"/>
        </w:rPr>
      </w:pPr>
      <w:r w:rsidRPr="00B462AB">
        <w:rPr>
          <w:rFonts w:eastAsia="Times New Roman" w:cs="Arial"/>
          <w:color w:val="000000"/>
          <w:lang w:eastAsia="bg-BG"/>
        </w:rPr>
        <w:t>Последната група въпроси касае нагласите/предпочитанията на респондентите относно вида на използваните финансови инструменти, както и очаквания ефект и предпоставките, които трябва да са налице, за да е възможно това.</w:t>
      </w:r>
    </w:p>
    <w:p w:rsidR="0021220B" w:rsidRPr="00B462AB" w:rsidRDefault="0021220B" w:rsidP="00B462AB">
      <w:pPr>
        <w:spacing w:after="0" w:line="240" w:lineRule="auto"/>
        <w:jc w:val="both"/>
        <w:rPr>
          <w:rFonts w:eastAsia="Times New Roman" w:cs="Arial"/>
          <w:color w:val="000000"/>
          <w:lang w:eastAsia="bg-BG"/>
        </w:rPr>
      </w:pPr>
    </w:p>
    <w:p w:rsidR="0021220B" w:rsidRPr="00B462AB" w:rsidRDefault="0021220B" w:rsidP="00B462AB">
      <w:pPr>
        <w:spacing w:after="0" w:line="240" w:lineRule="auto"/>
        <w:jc w:val="both"/>
        <w:rPr>
          <w:rFonts w:eastAsia="Times New Roman" w:cs="Arial"/>
          <w:color w:val="000000"/>
          <w:lang w:eastAsia="bg-BG"/>
        </w:rPr>
      </w:pPr>
      <w:r w:rsidRPr="00B462AB">
        <w:rPr>
          <w:rFonts w:eastAsia="Times New Roman" w:cs="Arial"/>
          <w:color w:val="000000"/>
          <w:lang w:eastAsia="bg-BG"/>
        </w:rPr>
        <w:t>Запитани какъв финансов инструмент биха използвали за финансиране на инвестиции, най-голям дял от анкетираните общини посочват, че това е Заем, следван от Гаранции – 24%. 42% обаче не могат да преценят това.</w:t>
      </w:r>
    </w:p>
    <w:p w:rsidR="007E230D" w:rsidRPr="007E230D" w:rsidRDefault="007E230D" w:rsidP="007E230D">
      <w:pPr>
        <w:spacing w:before="240" w:after="120" w:line="240" w:lineRule="auto"/>
        <w:jc w:val="center"/>
        <w:rPr>
          <w:b/>
          <w:sz w:val="20"/>
          <w:szCs w:val="20"/>
        </w:rPr>
      </w:pPr>
      <w:bookmarkStart w:id="90" w:name="_Toc399494613"/>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28</w:t>
      </w:r>
      <w:r w:rsidR="008E6461" w:rsidRPr="005C4B92">
        <w:rPr>
          <w:b/>
          <w:sz w:val="20"/>
          <w:szCs w:val="20"/>
        </w:rPr>
        <w:fldChar w:fldCharType="end"/>
      </w:r>
      <w:r w:rsidRPr="005C4B92">
        <w:rPr>
          <w:b/>
          <w:sz w:val="20"/>
          <w:szCs w:val="20"/>
        </w:rPr>
        <w:t>:</w:t>
      </w:r>
      <w:r>
        <w:rPr>
          <w:b/>
          <w:sz w:val="20"/>
          <w:szCs w:val="20"/>
        </w:rPr>
        <w:t xml:space="preserve"> </w:t>
      </w:r>
      <w:r w:rsidRPr="007E230D">
        <w:rPr>
          <w:b/>
          <w:sz w:val="20"/>
          <w:szCs w:val="20"/>
        </w:rPr>
        <w:t>Предпочитан финансов инструмент</w:t>
      </w:r>
      <w:bookmarkEnd w:id="90"/>
    </w:p>
    <w:p w:rsidR="0021220B" w:rsidRPr="00B462AB" w:rsidRDefault="0021220B" w:rsidP="00B462AB">
      <w:pPr>
        <w:spacing w:after="0" w:line="240" w:lineRule="auto"/>
        <w:jc w:val="both"/>
        <w:rPr>
          <w:rFonts w:eastAsia="Times New Roman" w:cs="Arial"/>
          <w:color w:val="000000"/>
          <w:lang w:eastAsia="bg-BG"/>
        </w:rPr>
      </w:pPr>
    </w:p>
    <w:p w:rsidR="0021220B" w:rsidRPr="00B462AB" w:rsidRDefault="007E230D" w:rsidP="007E230D">
      <w:pPr>
        <w:spacing w:after="0" w:line="240" w:lineRule="auto"/>
        <w:jc w:val="center"/>
        <w:rPr>
          <w:rFonts w:eastAsia="Times New Roman" w:cs="Arial"/>
          <w:b/>
          <w:color w:val="000000"/>
          <w:lang w:val="en-US" w:eastAsia="bg-BG"/>
        </w:rPr>
      </w:pPr>
      <w:r>
        <w:rPr>
          <w:rFonts w:eastAsia="Times New Roman" w:cs="Arial"/>
          <w:b/>
          <w:noProof/>
          <w:color w:val="000000"/>
          <w:lang w:eastAsia="bg-BG"/>
        </w:rPr>
        <w:drawing>
          <wp:inline distT="0" distB="0" distL="0" distR="0">
            <wp:extent cx="4705350" cy="1752337"/>
            <wp:effectExtent l="1905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72" cstate="print"/>
                    <a:srcRect/>
                    <a:stretch>
                      <a:fillRect/>
                    </a:stretch>
                  </pic:blipFill>
                  <pic:spPr bwMode="auto">
                    <a:xfrm>
                      <a:off x="0" y="0"/>
                      <a:ext cx="4705350" cy="1752337"/>
                    </a:xfrm>
                    <a:prstGeom prst="rect">
                      <a:avLst/>
                    </a:prstGeom>
                    <a:noFill/>
                  </pic:spPr>
                </pic:pic>
              </a:graphicData>
            </a:graphic>
          </wp:inline>
        </w:drawing>
      </w:r>
    </w:p>
    <w:p w:rsidR="0021220B" w:rsidRPr="00B462AB" w:rsidRDefault="0021220B" w:rsidP="007E230D">
      <w:pPr>
        <w:spacing w:before="240" w:line="240" w:lineRule="auto"/>
        <w:jc w:val="both"/>
        <w:rPr>
          <w:rFonts w:eastAsia="Times New Roman" w:cs="Arial"/>
          <w:color w:val="000000"/>
          <w:lang w:eastAsia="bg-BG"/>
        </w:rPr>
      </w:pPr>
      <w:r w:rsidRPr="00B462AB">
        <w:rPr>
          <w:rFonts w:eastAsia="Times New Roman" w:cs="Arial"/>
          <w:color w:val="000000"/>
          <w:lang w:eastAsia="bg-BG"/>
        </w:rPr>
        <w:t>В дългосрочен аспект очакванията са за положителен ефект от използването на финансови инструменти (90%).</w:t>
      </w:r>
    </w:p>
    <w:p w:rsidR="0021220B" w:rsidRDefault="0021220B" w:rsidP="00B462AB">
      <w:pPr>
        <w:spacing w:after="0" w:line="240" w:lineRule="auto"/>
        <w:jc w:val="both"/>
        <w:rPr>
          <w:rFonts w:eastAsia="Times New Roman" w:cs="Arial"/>
          <w:bCs/>
          <w:color w:val="000000"/>
          <w:lang w:eastAsia="bg-BG"/>
        </w:rPr>
      </w:pPr>
      <w:r w:rsidRPr="00B462AB">
        <w:rPr>
          <w:rFonts w:eastAsia="Times New Roman" w:cs="Arial"/>
          <w:bCs/>
          <w:color w:val="000000"/>
          <w:lang w:eastAsia="bg-BG"/>
        </w:rPr>
        <w:t xml:space="preserve">Разбира се, необходимо е да са налице определени условия . 33% от анкетираните считат, че са налице подходящи административни процедури (в т.ч. законови и подзаконови нормативни актове), </w:t>
      </w:r>
      <w:r w:rsidRPr="00B462AB">
        <w:rPr>
          <w:rFonts w:eastAsia="Times New Roman" w:cs="Arial"/>
          <w:bCs/>
          <w:color w:val="000000"/>
          <w:lang w:eastAsia="bg-BG"/>
        </w:rPr>
        <w:lastRenderedPageBreak/>
        <w:t>които да осигурят ефективното и ефикасно приложение на ФИ в сектор околна среда. Равен дял сочат, че не са налице подобни процедури и отново равен дял не могат да преценят. Това като цяло показва липсата на достатъчно достъпна и ясна информация за финансовите инструменти и нормативната и институционална рамка, свързани с използването им.</w:t>
      </w:r>
    </w:p>
    <w:p w:rsidR="007E230D" w:rsidRPr="00B462AB" w:rsidRDefault="007E230D" w:rsidP="00B462AB">
      <w:pPr>
        <w:spacing w:after="0" w:line="240" w:lineRule="auto"/>
        <w:jc w:val="both"/>
        <w:rPr>
          <w:rFonts w:eastAsia="Times New Roman" w:cs="Arial"/>
          <w:bCs/>
          <w:color w:val="000000"/>
          <w:lang w:eastAsia="bg-BG"/>
        </w:rPr>
      </w:pPr>
    </w:p>
    <w:p w:rsidR="0021220B" w:rsidRDefault="007E230D" w:rsidP="007E230D">
      <w:pPr>
        <w:spacing w:before="240" w:after="120" w:line="240" w:lineRule="auto"/>
        <w:jc w:val="center"/>
        <w:rPr>
          <w:b/>
          <w:sz w:val="20"/>
          <w:szCs w:val="20"/>
        </w:rPr>
      </w:pPr>
      <w:bookmarkStart w:id="91" w:name="_Toc399494614"/>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29</w:t>
      </w:r>
      <w:r w:rsidR="008E6461" w:rsidRPr="005C4B92">
        <w:rPr>
          <w:b/>
          <w:sz w:val="20"/>
          <w:szCs w:val="20"/>
        </w:rPr>
        <w:fldChar w:fldCharType="end"/>
      </w:r>
      <w:r w:rsidRPr="005C4B92">
        <w:rPr>
          <w:b/>
          <w:sz w:val="20"/>
          <w:szCs w:val="20"/>
        </w:rPr>
        <w:t>:</w:t>
      </w:r>
      <w:r>
        <w:rPr>
          <w:b/>
          <w:sz w:val="20"/>
          <w:szCs w:val="20"/>
        </w:rPr>
        <w:t xml:space="preserve"> </w:t>
      </w:r>
      <w:r w:rsidR="0021220B" w:rsidRPr="007E230D">
        <w:rPr>
          <w:b/>
          <w:sz w:val="20"/>
          <w:szCs w:val="20"/>
        </w:rPr>
        <w:t>Наличие на ясни административни процедури за ФИ в сектор Околна среда</w:t>
      </w:r>
      <w:bookmarkEnd w:id="91"/>
    </w:p>
    <w:p w:rsidR="007E230D" w:rsidRPr="007E230D" w:rsidRDefault="007E230D" w:rsidP="007E230D">
      <w:pPr>
        <w:spacing w:after="0" w:line="240" w:lineRule="auto"/>
        <w:jc w:val="center"/>
        <w:rPr>
          <w:b/>
          <w:sz w:val="20"/>
          <w:szCs w:val="20"/>
        </w:rPr>
      </w:pPr>
    </w:p>
    <w:p w:rsidR="0021220B" w:rsidRPr="00B462AB" w:rsidRDefault="007E230D" w:rsidP="007E230D">
      <w:pPr>
        <w:spacing w:after="0" w:line="240" w:lineRule="auto"/>
        <w:jc w:val="center"/>
        <w:rPr>
          <w:rFonts w:eastAsia="Times New Roman" w:cs="Arial"/>
          <w:bCs/>
          <w:color w:val="000000"/>
          <w:lang w:eastAsia="bg-BG"/>
        </w:rPr>
      </w:pPr>
      <w:r>
        <w:rPr>
          <w:rFonts w:eastAsia="Times New Roman" w:cs="Arial"/>
          <w:bCs/>
          <w:noProof/>
          <w:color w:val="000000"/>
          <w:lang w:eastAsia="bg-BG"/>
        </w:rPr>
        <w:drawing>
          <wp:inline distT="0" distB="0" distL="0" distR="0">
            <wp:extent cx="4371975" cy="1964582"/>
            <wp:effectExtent l="19050" t="0" r="952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73" cstate="print"/>
                    <a:srcRect/>
                    <a:stretch>
                      <a:fillRect/>
                    </a:stretch>
                  </pic:blipFill>
                  <pic:spPr bwMode="auto">
                    <a:xfrm>
                      <a:off x="0" y="0"/>
                      <a:ext cx="4371975" cy="1964582"/>
                    </a:xfrm>
                    <a:prstGeom prst="rect">
                      <a:avLst/>
                    </a:prstGeom>
                    <a:noFill/>
                  </pic:spPr>
                </pic:pic>
              </a:graphicData>
            </a:graphic>
          </wp:inline>
        </w:drawing>
      </w:r>
    </w:p>
    <w:p w:rsidR="0021220B" w:rsidRPr="00B462AB" w:rsidRDefault="0021220B" w:rsidP="007E230D">
      <w:pPr>
        <w:spacing w:before="240" w:after="0" w:line="240" w:lineRule="auto"/>
        <w:jc w:val="both"/>
        <w:rPr>
          <w:rFonts w:eastAsia="Times New Roman" w:cs="Arial"/>
          <w:lang w:eastAsia="bg-BG"/>
        </w:rPr>
      </w:pPr>
      <w:r w:rsidRPr="00B462AB">
        <w:rPr>
          <w:rFonts w:eastAsia="Times New Roman" w:cs="Arial"/>
          <w:bCs/>
          <w:color w:val="000000"/>
          <w:lang w:eastAsia="bg-BG"/>
        </w:rPr>
        <w:t xml:space="preserve">По-конкретно, запитани да оценят тежестта на определени условия за успешното приложение на финансовите инструменти, най-висока оценка (с еднаква тежест – 4.2) получават две условия: Достъпност на ФИ и наличие на </w:t>
      </w:r>
      <w:r w:rsidRPr="00B462AB">
        <w:rPr>
          <w:rFonts w:eastAsia="Times New Roman" w:cs="Arial"/>
          <w:lang w:eastAsia="bg-BG"/>
        </w:rPr>
        <w:t>Достатъчно финансиране за одобрените проектни дейности.</w:t>
      </w:r>
      <w:r w:rsidR="007E230D">
        <w:rPr>
          <w:rFonts w:eastAsia="Times New Roman" w:cs="Arial"/>
          <w:lang w:eastAsia="bg-BG"/>
        </w:rPr>
        <w:t xml:space="preserve"> </w:t>
      </w:r>
      <w:r w:rsidRPr="00B462AB">
        <w:rPr>
          <w:rFonts w:eastAsia="Times New Roman" w:cs="Arial"/>
          <w:lang w:eastAsia="bg-BG"/>
        </w:rPr>
        <w:t>Следващото по тежест условие със средна оценка 3.9 е прозрачността на процедурите за оценка на проектите и следват две други условия с еднаква тежест (3.7): Добро популяризиране на ФИ и Възможност за ползване на техническа помощ при приложение на ФИ.</w:t>
      </w:r>
    </w:p>
    <w:p w:rsidR="0021220B" w:rsidRPr="00B462AB" w:rsidRDefault="0021220B" w:rsidP="00B462AB">
      <w:pPr>
        <w:spacing w:line="240" w:lineRule="auto"/>
      </w:pPr>
    </w:p>
    <w:p w:rsidR="00EE754B" w:rsidRPr="00EE754B" w:rsidRDefault="00EE754B" w:rsidP="00B462AB">
      <w:pPr>
        <w:spacing w:before="240" w:after="240" w:line="240" w:lineRule="auto"/>
        <w:rPr>
          <w:rFonts w:eastAsia="Arial" w:cs="Times New Roman"/>
          <w:b/>
          <w:bCs/>
          <w:color w:val="568278"/>
        </w:rPr>
      </w:pPr>
      <w:r w:rsidRPr="00B462AB">
        <w:rPr>
          <w:rFonts w:eastAsia="Arial" w:cs="Times New Roman"/>
          <w:b/>
          <w:bCs/>
          <w:color w:val="568278"/>
        </w:rPr>
        <w:t xml:space="preserve">1.4.2. </w:t>
      </w:r>
      <w:r w:rsidRPr="00EE754B">
        <w:rPr>
          <w:rFonts w:eastAsia="Arial" w:cs="Times New Roman"/>
          <w:b/>
          <w:bCs/>
          <w:color w:val="568278"/>
        </w:rPr>
        <w:t>Анализ на анкета, адресирана към търговски дружества, потенциални бенефициенти по ОПОС 2014 - 2020</w:t>
      </w:r>
    </w:p>
    <w:p w:rsidR="00EE754B" w:rsidRPr="007E230D" w:rsidRDefault="007E230D" w:rsidP="001A036E">
      <w:pPr>
        <w:numPr>
          <w:ilvl w:val="0"/>
          <w:numId w:val="58"/>
        </w:numPr>
        <w:spacing w:before="240"/>
        <w:rPr>
          <w:rFonts w:ascii="Calibri" w:eastAsia="Calibri" w:hAnsi="Calibri" w:cs="Times New Roman"/>
          <w:b/>
          <w:color w:val="4F81BD"/>
        </w:rPr>
      </w:pPr>
      <w:r>
        <w:rPr>
          <w:rFonts w:ascii="Calibri" w:eastAsia="Calibri" w:hAnsi="Calibri" w:cs="Times New Roman"/>
          <w:b/>
          <w:color w:val="4F81BD"/>
        </w:rPr>
        <w:t>Въведение</w:t>
      </w:r>
    </w:p>
    <w:p w:rsidR="00EE754B" w:rsidRPr="00EE754B" w:rsidRDefault="00EE754B" w:rsidP="00B462AB">
      <w:pPr>
        <w:spacing w:after="200" w:line="240" w:lineRule="auto"/>
        <w:jc w:val="both"/>
        <w:rPr>
          <w:rFonts w:eastAsia="Times New Roman" w:cs="Arial"/>
          <w:bCs/>
          <w:color w:val="000000"/>
          <w:lang w:eastAsia="bg-BG"/>
        </w:rPr>
      </w:pPr>
      <w:r w:rsidRPr="00EE754B">
        <w:rPr>
          <w:rFonts w:eastAsia="Times New Roman" w:cs="Arial"/>
          <w:bCs/>
          <w:color w:val="000000"/>
          <w:lang w:eastAsia="bg-BG"/>
        </w:rPr>
        <w:t xml:space="preserve">Анализът се базира на отговорите на анкета, адресирана към търговски дружества. Обхватът на респондентите е определен след предварителни разговори с УО на ОПОС относно обхвата на ОПОС 2014-2020, както и възможните бенефициенти по отношение на Приоритетните оси Води, Отпадъци и Качество на атмосферния въздух. </w:t>
      </w:r>
    </w:p>
    <w:p w:rsidR="00EE754B" w:rsidRPr="00EE754B" w:rsidRDefault="00EE754B" w:rsidP="00B462AB">
      <w:pPr>
        <w:spacing w:after="200" w:line="240" w:lineRule="auto"/>
        <w:jc w:val="both"/>
        <w:rPr>
          <w:rFonts w:eastAsia="Times New Roman" w:cs="Arial"/>
          <w:bCs/>
          <w:color w:val="000000"/>
          <w:lang w:eastAsia="bg-BG"/>
        </w:rPr>
      </w:pPr>
      <w:r w:rsidRPr="00EE754B">
        <w:rPr>
          <w:rFonts w:eastAsia="Times New Roman" w:cs="Arial"/>
          <w:bCs/>
          <w:color w:val="000000"/>
          <w:lang w:eastAsia="bg-BG"/>
        </w:rPr>
        <w:t>Анкетата е изготвена в две части – обща информация и специфични въпроси. В указанията към анкетата са разяснени целта на въпросника, както и е представена дефиниция на „финансови инструменти“  (</w:t>
      </w:r>
      <w:r w:rsidRPr="00EE754B">
        <w:rPr>
          <w:rFonts w:eastAsia="Arial" w:cs="Times New Roman"/>
          <w:i/>
          <w:color w:val="000000"/>
        </w:rPr>
        <w:t>Съгласно чл. 130 от Финансовия регламент).</w:t>
      </w:r>
    </w:p>
    <w:p w:rsidR="00EE754B" w:rsidRPr="00EE754B" w:rsidRDefault="00EE754B" w:rsidP="00B462AB">
      <w:pPr>
        <w:spacing w:after="200" w:line="240" w:lineRule="auto"/>
        <w:jc w:val="both"/>
        <w:rPr>
          <w:rFonts w:eastAsia="Arial" w:cs="Times New Roman"/>
          <w:color w:val="000000"/>
        </w:rPr>
      </w:pPr>
      <w:r w:rsidRPr="00EE754B">
        <w:rPr>
          <w:rFonts w:eastAsia="Arial" w:cs="Times New Roman"/>
          <w:color w:val="000000"/>
        </w:rPr>
        <w:t xml:space="preserve">Анкетата е адресирана и изпратена до 211 респонденти, обхващащи различни дружества – с държавно и общинско участие, както и частни компании, опериращи в различни сфери: ВиК, обществен транспорт, сметопочистване и сметосъбиране, рециклиране на отпадъци, търговия с различни стоки, търговски вериги – супермаркети, бяла и черна техника, облекло. </w:t>
      </w:r>
    </w:p>
    <w:p w:rsidR="00EE754B" w:rsidRPr="00EE754B" w:rsidRDefault="00EE754B" w:rsidP="00B462AB">
      <w:pPr>
        <w:spacing w:after="200" w:line="240" w:lineRule="auto"/>
        <w:jc w:val="both"/>
        <w:rPr>
          <w:rFonts w:eastAsia="Arial" w:cs="Times New Roman"/>
          <w:color w:val="000000"/>
        </w:rPr>
      </w:pPr>
      <w:r w:rsidRPr="00EE754B">
        <w:rPr>
          <w:rFonts w:eastAsia="Arial" w:cs="Times New Roman"/>
          <w:color w:val="000000"/>
        </w:rPr>
        <w:lastRenderedPageBreak/>
        <w:t xml:space="preserve">С анкетата са адресирани 211 респонденти, като са получени 15% обратно след многократни (повече от 5) напомняния по телефон и електронна поща. </w:t>
      </w:r>
    </w:p>
    <w:p w:rsidR="00EE754B" w:rsidRPr="007E230D" w:rsidRDefault="00EE754B" w:rsidP="00B462AB">
      <w:pPr>
        <w:spacing w:after="200" w:line="240" w:lineRule="auto"/>
        <w:jc w:val="both"/>
        <w:rPr>
          <w:rFonts w:eastAsia="Arial" w:cs="Times New Roman"/>
          <w:i/>
          <w:color w:val="000000"/>
        </w:rPr>
      </w:pPr>
      <w:r w:rsidRPr="007E230D">
        <w:rPr>
          <w:rFonts w:eastAsia="Arial" w:cs="Times New Roman"/>
          <w:i/>
          <w:color w:val="000000"/>
        </w:rPr>
        <w:t>Профил на отговорилите:</w:t>
      </w:r>
    </w:p>
    <w:p w:rsidR="00EE754B" w:rsidRPr="00EE754B" w:rsidRDefault="00EE754B" w:rsidP="00B462AB">
      <w:pPr>
        <w:spacing w:after="200" w:line="240" w:lineRule="auto"/>
        <w:jc w:val="both"/>
        <w:rPr>
          <w:rFonts w:eastAsia="Arial" w:cs="Times New Roman"/>
          <w:color w:val="000000"/>
        </w:rPr>
      </w:pPr>
      <w:r w:rsidRPr="00EE754B">
        <w:rPr>
          <w:rFonts w:eastAsia="Arial" w:cs="Times New Roman"/>
          <w:color w:val="000000"/>
        </w:rPr>
        <w:t>От отговорилите респонденти, 36% са частни търговски дружества, 25% са търговски дружества с общинска собственост, 18% - търговски дружества държавна собственост и 14% - дружества със смесена собственост – държавна и общинска.</w:t>
      </w:r>
    </w:p>
    <w:p w:rsidR="00EE754B" w:rsidRPr="00EE754B" w:rsidRDefault="00EE754B" w:rsidP="00B462AB">
      <w:pPr>
        <w:spacing w:after="200" w:line="240" w:lineRule="auto"/>
        <w:jc w:val="both"/>
        <w:rPr>
          <w:rFonts w:eastAsia="Arial" w:cs="Times New Roman"/>
          <w:color w:val="000000"/>
        </w:rPr>
      </w:pPr>
      <w:r w:rsidRPr="00EE754B">
        <w:rPr>
          <w:rFonts w:eastAsia="Arial" w:cs="Times New Roman"/>
          <w:color w:val="000000"/>
        </w:rPr>
        <w:t>По отношение на секторното разпределение, отговорилите респонденти се разпределят по следния начин:</w:t>
      </w:r>
    </w:p>
    <w:p w:rsidR="00EE754B" w:rsidRPr="007E230D" w:rsidRDefault="007E230D" w:rsidP="007E230D">
      <w:pPr>
        <w:spacing w:before="240" w:after="120" w:line="240" w:lineRule="auto"/>
        <w:jc w:val="center"/>
        <w:rPr>
          <w:b/>
          <w:sz w:val="20"/>
          <w:szCs w:val="20"/>
        </w:rPr>
      </w:pPr>
      <w:bookmarkStart w:id="92" w:name="_Toc399494615"/>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30</w:t>
      </w:r>
      <w:r w:rsidR="008E6461" w:rsidRPr="005C4B92">
        <w:rPr>
          <w:b/>
          <w:sz w:val="20"/>
          <w:szCs w:val="20"/>
        </w:rPr>
        <w:fldChar w:fldCharType="end"/>
      </w:r>
      <w:r w:rsidRPr="005C4B92">
        <w:rPr>
          <w:b/>
          <w:sz w:val="20"/>
          <w:szCs w:val="20"/>
        </w:rPr>
        <w:t>:</w:t>
      </w:r>
      <w:r>
        <w:rPr>
          <w:b/>
          <w:sz w:val="20"/>
          <w:szCs w:val="20"/>
        </w:rPr>
        <w:t xml:space="preserve"> </w:t>
      </w:r>
      <w:r w:rsidR="00EE754B" w:rsidRPr="007E230D">
        <w:rPr>
          <w:b/>
          <w:sz w:val="20"/>
          <w:szCs w:val="20"/>
        </w:rPr>
        <w:t>Разпределение на респондентите по сектори</w:t>
      </w:r>
      <w:bookmarkEnd w:id="92"/>
    </w:p>
    <w:p w:rsidR="007E230D" w:rsidRDefault="007E230D" w:rsidP="007E230D">
      <w:pPr>
        <w:spacing w:before="240" w:after="120" w:line="240" w:lineRule="auto"/>
        <w:jc w:val="center"/>
        <w:rPr>
          <w:rFonts w:eastAsia="Arial" w:cs="Times New Roman"/>
          <w:color w:val="000000"/>
        </w:rPr>
      </w:pPr>
      <w:r>
        <w:rPr>
          <w:rFonts w:eastAsia="Arial" w:cs="Times New Roman"/>
          <w:noProof/>
          <w:color w:val="000000"/>
          <w:lang w:eastAsia="bg-BG"/>
        </w:rPr>
        <w:drawing>
          <wp:inline distT="0" distB="0" distL="0" distR="0">
            <wp:extent cx="5103633" cy="2152650"/>
            <wp:effectExtent l="19050" t="0" r="1767"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74" cstate="print"/>
                    <a:srcRect/>
                    <a:stretch>
                      <a:fillRect/>
                    </a:stretch>
                  </pic:blipFill>
                  <pic:spPr bwMode="auto">
                    <a:xfrm>
                      <a:off x="0" y="0"/>
                      <a:ext cx="5101852" cy="2151899"/>
                    </a:xfrm>
                    <a:prstGeom prst="rect">
                      <a:avLst/>
                    </a:prstGeom>
                    <a:noFill/>
                  </pic:spPr>
                </pic:pic>
              </a:graphicData>
            </a:graphic>
          </wp:inline>
        </w:drawing>
      </w:r>
    </w:p>
    <w:p w:rsidR="00EE754B" w:rsidRP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t>Най-голям дял от отговорилите оперират в сектор Води – 57%, следвани от сектор отпадъци (включително дейности по почистване и събиране на отпадъци) – 25% и най-малък дял е на дружествата опериращи в сектор Градски транспорт.</w:t>
      </w:r>
    </w:p>
    <w:p w:rsidR="00EE754B" w:rsidRP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t>Профилът на отговорилите участници, според длъжността, която заемат е 7% са собственици, 4% - търговски директор, 18% - финансов директор и 71% други длъжности. Сред другите длъжности са: управител или директор – 45%, главен счетоводител – 30% и други.</w:t>
      </w:r>
    </w:p>
    <w:p w:rsidR="00EE754B" w:rsidRPr="00EE754B" w:rsidRDefault="00EE754B" w:rsidP="007E230D">
      <w:pPr>
        <w:spacing w:before="240" w:after="120" w:line="240" w:lineRule="auto"/>
        <w:jc w:val="both"/>
        <w:rPr>
          <w:rFonts w:eastAsia="Arial" w:cs="Times New Roman"/>
          <w:color w:val="000000"/>
        </w:rPr>
      </w:pPr>
      <w:r w:rsidRPr="00EE754B">
        <w:rPr>
          <w:rFonts w:eastAsia="Arial" w:cs="Times New Roman"/>
          <w:color w:val="000000"/>
        </w:rPr>
        <w:t>Разпределение на респондентите по области</w:t>
      </w:r>
      <w:r w:rsidRPr="00EE754B">
        <w:rPr>
          <w:rFonts w:eastAsia="Arial" w:cs="Times New Roman"/>
          <w:color w:val="000000"/>
          <w:lang w:val="en-US"/>
        </w:rPr>
        <w:t>:</w:t>
      </w:r>
      <w:r w:rsidR="007E230D">
        <w:rPr>
          <w:rFonts w:eastAsia="Arial" w:cs="Times New Roman"/>
          <w:color w:val="000000"/>
        </w:rPr>
        <w:t xml:space="preserve"> </w:t>
      </w:r>
      <w:r w:rsidRPr="00EE754B">
        <w:rPr>
          <w:rFonts w:eastAsia="Times New Roman" w:cs="Arial"/>
          <w:bCs/>
          <w:i/>
          <w:color w:val="000000"/>
          <w:lang w:eastAsia="bg-BG"/>
        </w:rPr>
        <w:t>база: 28</w:t>
      </w:r>
    </w:p>
    <w:tbl>
      <w:tblPr>
        <w:tblStyle w:val="LightGrid-Accent11"/>
        <w:tblW w:w="7088" w:type="dxa"/>
        <w:jc w:val="center"/>
        <w:tblLook w:val="0660" w:firstRow="1" w:lastRow="1" w:firstColumn="0" w:lastColumn="0" w:noHBand="1" w:noVBand="1"/>
      </w:tblPr>
      <w:tblGrid>
        <w:gridCol w:w="5954"/>
        <w:gridCol w:w="1134"/>
      </w:tblGrid>
      <w:tr w:rsidR="00EE754B" w:rsidRPr="00EE754B" w:rsidTr="007E230D">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b w:val="0"/>
                <w:bCs w:val="0"/>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Благоевград</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10.7</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Бургас</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10.7</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Варна</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Ловеч</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7.1</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Монтана</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7.1</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Пазарджик</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7.1</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Плевен</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Пловдив</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Разград</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Русе</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lastRenderedPageBreak/>
              <w:t>Сливен</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Смолян</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София град</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17.9</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София област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Стара Загора</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Търговище</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Ямбол</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100.0</w:t>
            </w:r>
          </w:p>
        </w:tc>
      </w:tr>
    </w:tbl>
    <w:p w:rsidR="00EE754B" w:rsidRPr="00EE754B" w:rsidRDefault="00EE754B" w:rsidP="00B462AB">
      <w:pPr>
        <w:spacing w:after="0" w:line="240" w:lineRule="auto"/>
        <w:rPr>
          <w:rFonts w:eastAsia="Times New Roman" w:cs="Arial"/>
          <w:b/>
          <w:bCs/>
          <w:color w:val="000000"/>
          <w:lang w:eastAsia="bg-BG"/>
        </w:rPr>
      </w:pPr>
    </w:p>
    <w:p w:rsidR="00EE754B" w:rsidRPr="007E230D" w:rsidRDefault="00EE754B" w:rsidP="001A036E">
      <w:pPr>
        <w:numPr>
          <w:ilvl w:val="0"/>
          <w:numId w:val="58"/>
        </w:numPr>
        <w:spacing w:before="240"/>
        <w:rPr>
          <w:rFonts w:ascii="Calibri" w:eastAsia="Calibri" w:hAnsi="Calibri" w:cs="Times New Roman"/>
          <w:b/>
          <w:color w:val="4F81BD"/>
        </w:rPr>
      </w:pPr>
      <w:r w:rsidRPr="007E230D">
        <w:rPr>
          <w:rFonts w:ascii="Calibri" w:eastAsia="Calibri" w:hAnsi="Calibri" w:cs="Times New Roman"/>
          <w:b/>
          <w:color w:val="4F81BD"/>
        </w:rPr>
        <w:t>Опит в работата с финансови институции и бенефициенти</w:t>
      </w:r>
    </w:p>
    <w:p w:rsidR="00EE754B" w:rsidRP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t>От отговорилите потенциални бенефициенти, едва 8% са използвали финансиране от ПУДООС – 4% от ПУДООС отпадъци и 4% от ПУДООС – КАВ, 7% са използвали финансиране от ФМ на ЕИП и 25% посочват друго финансиране.</w:t>
      </w:r>
    </w:p>
    <w:p w:rsid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t>Запитани да уточнят източника на финансиране, се получава следното разпределение на отговорите:</w:t>
      </w:r>
    </w:p>
    <w:p w:rsidR="007E230D" w:rsidRPr="00EE754B" w:rsidRDefault="007E230D" w:rsidP="00B462AB">
      <w:pPr>
        <w:spacing w:before="240" w:after="120" w:line="240" w:lineRule="auto"/>
        <w:jc w:val="both"/>
        <w:rPr>
          <w:rFonts w:eastAsia="Arial" w:cs="Times New Roman"/>
          <w:color w:val="000000"/>
        </w:rPr>
      </w:pPr>
    </w:p>
    <w:tbl>
      <w:tblPr>
        <w:tblStyle w:val="LightGrid-Accent11"/>
        <w:tblW w:w="7088" w:type="dxa"/>
        <w:jc w:val="center"/>
        <w:tblLook w:val="0660" w:firstRow="1" w:lastRow="1" w:firstColumn="0" w:lastColumn="0" w:noHBand="1" w:noVBand="1"/>
      </w:tblPr>
      <w:tblGrid>
        <w:gridCol w:w="5954"/>
        <w:gridCol w:w="1134"/>
      </w:tblGrid>
      <w:tr w:rsidR="00EE754B" w:rsidRPr="00EE754B" w:rsidTr="007E230D">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b w:val="0"/>
                <w:bCs w:val="0"/>
                <w:color w:val="000000"/>
                <w:lang w:eastAsia="bg-BG"/>
              </w:rPr>
            </w:pPr>
            <w:r w:rsidRPr="00EE754B">
              <w:rPr>
                <w:rFonts w:asciiTheme="minorHAnsi" w:eastAsia="Times New Roman" w:hAnsiTheme="minorHAnsi"/>
                <w:b w:val="0"/>
                <w:bCs w:val="0"/>
                <w:color w:val="000000"/>
                <w:lang w:eastAsia="bg-BG"/>
              </w:rPr>
              <w:t>Източник на финансиране</w:t>
            </w: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Банков кредит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57.1</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МРР и МОСВ</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14.3</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Оперативни програми</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14.3</w:t>
            </w:r>
          </w:p>
        </w:tc>
      </w:tr>
      <w:tr w:rsidR="00EE754B" w:rsidRPr="00EE754B" w:rsidTr="007E230D">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Оперативни програми на ЕС - Конкурентоспособност, ОПРЧР и др.</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14.3</w:t>
            </w:r>
          </w:p>
        </w:tc>
      </w:tr>
      <w:tr w:rsidR="00EE754B" w:rsidRPr="00EE754B" w:rsidTr="007E230D">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100.0</w:t>
            </w:r>
          </w:p>
        </w:tc>
      </w:tr>
    </w:tbl>
    <w:p w:rsidR="007E230D" w:rsidRDefault="007E230D" w:rsidP="00B462AB">
      <w:pPr>
        <w:spacing w:before="240" w:after="120" w:line="240" w:lineRule="auto"/>
        <w:jc w:val="both"/>
        <w:rPr>
          <w:rFonts w:eastAsia="Arial" w:cs="Times New Roman"/>
          <w:color w:val="000000"/>
        </w:rPr>
      </w:pPr>
    </w:p>
    <w:p w:rsidR="00EE754B" w:rsidRP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t>По отношение на опита с различни финансови институции, потенциалните бенефициенти посочват разнопосочен опит, но основно с български търговски банки – 75%, по-малко – 25% със Световната банка, 14% с ЕБВР и други чуждестранни банки. Малък дял сочат опит с фонд ФЛАГ  и ЕИБ – по 7%.</w:t>
      </w:r>
    </w:p>
    <w:p w:rsidR="00EE754B" w:rsidRPr="00EE754B" w:rsidRDefault="007E230D" w:rsidP="00A82D1C">
      <w:pPr>
        <w:keepNext/>
        <w:spacing w:before="240" w:after="120" w:line="240" w:lineRule="auto"/>
        <w:jc w:val="center"/>
        <w:rPr>
          <w:rFonts w:eastAsia="Arial" w:cs="Times New Roman"/>
          <w:bCs/>
          <w:smallCaps/>
          <w:color w:val="DD8047"/>
          <w:spacing w:val="10"/>
        </w:rPr>
      </w:pPr>
      <w:bookmarkStart w:id="93" w:name="_Toc399494616"/>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31</w:t>
      </w:r>
      <w:r w:rsidR="008E6461" w:rsidRPr="005C4B92">
        <w:rPr>
          <w:b/>
          <w:sz w:val="20"/>
          <w:szCs w:val="20"/>
        </w:rPr>
        <w:fldChar w:fldCharType="end"/>
      </w:r>
      <w:r w:rsidRPr="005C4B92">
        <w:rPr>
          <w:b/>
          <w:sz w:val="20"/>
          <w:szCs w:val="20"/>
        </w:rPr>
        <w:t>:</w:t>
      </w:r>
      <w:r>
        <w:rPr>
          <w:b/>
          <w:sz w:val="20"/>
          <w:szCs w:val="20"/>
        </w:rPr>
        <w:t xml:space="preserve"> </w:t>
      </w:r>
      <w:r w:rsidR="00EE754B" w:rsidRPr="007E230D">
        <w:rPr>
          <w:b/>
          <w:sz w:val="20"/>
          <w:szCs w:val="20"/>
        </w:rPr>
        <w:t>Опит с финансови институции</w:t>
      </w:r>
      <w:bookmarkEnd w:id="93"/>
    </w:p>
    <w:p w:rsidR="007E230D" w:rsidRDefault="007E230D" w:rsidP="007E230D">
      <w:pPr>
        <w:spacing w:after="200" w:line="240" w:lineRule="auto"/>
        <w:jc w:val="center"/>
        <w:rPr>
          <w:rFonts w:eastAsia="Times New Roman" w:cs="Arial"/>
          <w:bCs/>
          <w:color w:val="000000"/>
          <w:lang w:eastAsia="bg-BG"/>
        </w:rPr>
      </w:pPr>
      <w:r>
        <w:rPr>
          <w:rFonts w:eastAsia="Times New Roman" w:cs="Arial"/>
          <w:bCs/>
          <w:noProof/>
          <w:color w:val="000000"/>
          <w:lang w:eastAsia="bg-BG"/>
        </w:rPr>
        <w:drawing>
          <wp:inline distT="0" distB="0" distL="0" distR="0">
            <wp:extent cx="4543174" cy="1905000"/>
            <wp:effectExtent l="1905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75" cstate="print"/>
                    <a:srcRect/>
                    <a:stretch>
                      <a:fillRect/>
                    </a:stretch>
                  </pic:blipFill>
                  <pic:spPr bwMode="auto">
                    <a:xfrm>
                      <a:off x="0" y="0"/>
                      <a:ext cx="4546913" cy="1906568"/>
                    </a:xfrm>
                    <a:prstGeom prst="rect">
                      <a:avLst/>
                    </a:prstGeom>
                    <a:noFill/>
                  </pic:spPr>
                </pic:pic>
              </a:graphicData>
            </a:graphic>
          </wp:inline>
        </w:drawing>
      </w:r>
    </w:p>
    <w:p w:rsidR="00EE754B" w:rsidRPr="00EE754B" w:rsidRDefault="00EE754B" w:rsidP="00B462AB">
      <w:pPr>
        <w:spacing w:after="200" w:line="240" w:lineRule="auto"/>
        <w:jc w:val="both"/>
        <w:rPr>
          <w:rFonts w:eastAsia="Times New Roman" w:cs="Arial"/>
          <w:color w:val="000000"/>
          <w:lang w:eastAsia="bg-BG"/>
        </w:rPr>
      </w:pPr>
      <w:r w:rsidRPr="00EE754B">
        <w:rPr>
          <w:rFonts w:eastAsia="Times New Roman" w:cs="Arial"/>
          <w:bCs/>
          <w:color w:val="000000"/>
          <w:lang w:eastAsia="bg-BG"/>
        </w:rPr>
        <w:lastRenderedPageBreak/>
        <w:t>54% определят опита на организацията си от използване на финансови инструменти като успешен, а 36% не могат да преценят.</w:t>
      </w:r>
    </w:p>
    <w:p w:rsidR="00EE754B" w:rsidRPr="007E230D" w:rsidRDefault="00EE754B" w:rsidP="001A036E">
      <w:pPr>
        <w:numPr>
          <w:ilvl w:val="0"/>
          <w:numId w:val="58"/>
        </w:numPr>
        <w:spacing w:before="240"/>
        <w:rPr>
          <w:rFonts w:ascii="Calibri" w:eastAsia="Calibri" w:hAnsi="Calibri" w:cs="Times New Roman"/>
          <w:b/>
          <w:color w:val="4F81BD"/>
        </w:rPr>
      </w:pPr>
      <w:r w:rsidRPr="007E230D">
        <w:rPr>
          <w:rFonts w:ascii="Calibri" w:eastAsia="Calibri" w:hAnsi="Calibri" w:cs="Times New Roman"/>
          <w:b/>
          <w:color w:val="4F81BD"/>
        </w:rPr>
        <w:t>Нагласи относно използване на финансови инструменти</w:t>
      </w:r>
    </w:p>
    <w:p w:rsidR="007E230D" w:rsidRDefault="00EE754B" w:rsidP="007E230D">
      <w:pPr>
        <w:spacing w:before="240" w:after="120" w:line="240" w:lineRule="auto"/>
        <w:rPr>
          <w:rFonts w:eastAsia="Arial" w:cs="Times New Roman"/>
          <w:bCs/>
          <w:smallCaps/>
          <w:color w:val="DD8047"/>
          <w:spacing w:val="10"/>
        </w:rPr>
      </w:pPr>
      <w:r w:rsidRPr="00EE754B">
        <w:rPr>
          <w:rFonts w:eastAsia="Times New Roman" w:cs="Arial"/>
          <w:color w:val="000000"/>
          <w:lang w:eastAsia="bg-BG"/>
        </w:rPr>
        <w:t>Сравнително малък е делът на отговорилите, които са категорични, че финансирането чрез финансови инструменти се извършва при облекчени условия и има предимства в сравнение с кредитирането на общо основание</w:t>
      </w:r>
      <w:r w:rsidRPr="00EE754B">
        <w:rPr>
          <w:rFonts w:eastAsia="Times New Roman" w:cs="Arial"/>
          <w:color w:val="000000"/>
          <w:lang w:val="en-US" w:eastAsia="bg-BG"/>
        </w:rPr>
        <w:t xml:space="preserve"> </w:t>
      </w:r>
      <w:r w:rsidRPr="00EE754B">
        <w:rPr>
          <w:rFonts w:eastAsia="Times New Roman" w:cs="Arial"/>
          <w:color w:val="000000"/>
          <w:lang w:eastAsia="bg-BG"/>
        </w:rPr>
        <w:t xml:space="preserve"> - това са близо 29%. 32% не могат да преценят, а 39% са категорични, че това не е така.</w:t>
      </w:r>
      <w:r w:rsidR="007E230D" w:rsidRPr="007E230D">
        <w:rPr>
          <w:rFonts w:eastAsia="Arial" w:cs="Times New Roman"/>
          <w:bCs/>
          <w:smallCaps/>
          <w:color w:val="DD8047"/>
          <w:spacing w:val="10"/>
        </w:rPr>
        <w:t xml:space="preserve"> </w:t>
      </w:r>
    </w:p>
    <w:p w:rsidR="007E230D" w:rsidRPr="00EE754B" w:rsidRDefault="007E230D" w:rsidP="007E230D">
      <w:pPr>
        <w:spacing w:before="240" w:after="120" w:line="240" w:lineRule="auto"/>
        <w:jc w:val="center"/>
        <w:rPr>
          <w:rFonts w:eastAsia="Arial" w:cs="Times New Roman"/>
          <w:bCs/>
          <w:smallCaps/>
          <w:color w:val="DD8047"/>
          <w:spacing w:val="10"/>
        </w:rPr>
      </w:pPr>
      <w:bookmarkStart w:id="94" w:name="_Toc399494617"/>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32</w:t>
      </w:r>
      <w:r w:rsidR="008E6461" w:rsidRPr="005C4B92">
        <w:rPr>
          <w:b/>
          <w:sz w:val="20"/>
          <w:szCs w:val="20"/>
        </w:rPr>
        <w:fldChar w:fldCharType="end"/>
      </w:r>
      <w:r w:rsidRPr="005C4B92">
        <w:rPr>
          <w:b/>
          <w:sz w:val="20"/>
          <w:szCs w:val="20"/>
        </w:rPr>
        <w:t>:</w:t>
      </w:r>
      <w:r w:rsidRPr="007E230D">
        <w:rPr>
          <w:b/>
          <w:sz w:val="20"/>
          <w:szCs w:val="20"/>
        </w:rPr>
        <w:t>Финансирането чрез ФИ е при облекчени условия</w:t>
      </w:r>
      <w:bookmarkEnd w:id="94"/>
    </w:p>
    <w:p w:rsidR="00EE754B" w:rsidRPr="00EE754B" w:rsidRDefault="007E230D" w:rsidP="007E230D">
      <w:pPr>
        <w:spacing w:after="200" w:line="240" w:lineRule="auto"/>
        <w:jc w:val="center"/>
        <w:rPr>
          <w:rFonts w:eastAsia="Times New Roman" w:cs="Arial"/>
          <w:color w:val="000000"/>
          <w:lang w:eastAsia="bg-BG"/>
        </w:rPr>
      </w:pPr>
      <w:r>
        <w:rPr>
          <w:rFonts w:eastAsia="Times New Roman" w:cs="Arial"/>
          <w:noProof/>
          <w:color w:val="000000"/>
          <w:lang w:eastAsia="bg-BG"/>
        </w:rPr>
        <w:drawing>
          <wp:inline distT="0" distB="0" distL="0" distR="0">
            <wp:extent cx="4333875" cy="1812348"/>
            <wp:effectExtent l="1905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76" cstate="print"/>
                    <a:srcRect/>
                    <a:stretch>
                      <a:fillRect/>
                    </a:stretch>
                  </pic:blipFill>
                  <pic:spPr bwMode="auto">
                    <a:xfrm>
                      <a:off x="0" y="0"/>
                      <a:ext cx="4337502" cy="1813865"/>
                    </a:xfrm>
                    <a:prstGeom prst="rect">
                      <a:avLst/>
                    </a:prstGeom>
                    <a:noFill/>
                  </pic:spPr>
                </pic:pic>
              </a:graphicData>
            </a:graphic>
          </wp:inline>
        </w:drawing>
      </w:r>
    </w:p>
    <w:p w:rsidR="00EE754B" w:rsidRP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t>Все пак близо 43% планират да използват финансови инструменти през периода 2014-2020, като тук негативните отговори са с по-малка концентрация – 21%, докато повече са тези, които не могат да преценят.</w:t>
      </w:r>
    </w:p>
    <w:p w:rsidR="00EE754B" w:rsidRDefault="00EE754B" w:rsidP="00B462AB">
      <w:pPr>
        <w:spacing w:before="240" w:after="120" w:line="240" w:lineRule="auto"/>
        <w:jc w:val="both"/>
        <w:rPr>
          <w:rFonts w:eastAsia="Times New Roman" w:cs="Arial"/>
          <w:bCs/>
          <w:color w:val="000000"/>
          <w:lang w:eastAsia="bg-BG"/>
        </w:rPr>
      </w:pPr>
      <w:r w:rsidRPr="00EE754B">
        <w:rPr>
          <w:rFonts w:eastAsia="Arial" w:cs="Times New Roman"/>
          <w:color w:val="000000"/>
        </w:rPr>
        <w:t xml:space="preserve">Интересно е разпределението при отговорите на следващия въпрос. Запитани, дали информацията </w:t>
      </w:r>
      <w:r w:rsidRPr="00EE754B">
        <w:rPr>
          <w:rFonts w:eastAsia="Times New Roman" w:cs="Arial"/>
          <w:bCs/>
          <w:color w:val="000000"/>
          <w:lang w:eastAsia="bg-BG"/>
        </w:rPr>
        <w:t>за предимствата и възможностите за ползването на финансовите инструменти е достатъчна, налична и достъпна, едва 25% са съгласни с това твърдение, докато близо 43% не са. Отново сериозна група (32%) не може да прецени.</w:t>
      </w:r>
    </w:p>
    <w:p w:rsidR="00F00027" w:rsidRDefault="00F00027" w:rsidP="00B462AB">
      <w:pPr>
        <w:spacing w:before="240" w:after="120" w:line="240" w:lineRule="auto"/>
        <w:jc w:val="both"/>
        <w:rPr>
          <w:rFonts w:eastAsia="Times New Roman" w:cs="Arial"/>
          <w:bCs/>
          <w:color w:val="000000"/>
          <w:lang w:eastAsia="bg-BG"/>
        </w:rPr>
      </w:pPr>
    </w:p>
    <w:p w:rsidR="00F00027" w:rsidRPr="00EE754B" w:rsidRDefault="00F00027" w:rsidP="00B462AB">
      <w:pPr>
        <w:spacing w:before="240" w:after="120" w:line="240" w:lineRule="auto"/>
        <w:jc w:val="both"/>
        <w:rPr>
          <w:rFonts w:eastAsia="Times New Roman" w:cs="Arial"/>
          <w:bCs/>
          <w:color w:val="000000"/>
          <w:lang w:eastAsia="bg-BG"/>
        </w:rPr>
      </w:pPr>
    </w:p>
    <w:p w:rsidR="00EE754B" w:rsidRPr="007E230D" w:rsidRDefault="007E230D" w:rsidP="007E230D">
      <w:pPr>
        <w:spacing w:before="240" w:after="120" w:line="240" w:lineRule="auto"/>
        <w:jc w:val="center"/>
        <w:rPr>
          <w:b/>
          <w:sz w:val="20"/>
          <w:szCs w:val="20"/>
        </w:rPr>
      </w:pPr>
      <w:bookmarkStart w:id="95" w:name="_Toc399494618"/>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33</w:t>
      </w:r>
      <w:r w:rsidR="008E6461" w:rsidRPr="005C4B92">
        <w:rPr>
          <w:b/>
          <w:sz w:val="20"/>
          <w:szCs w:val="20"/>
        </w:rPr>
        <w:fldChar w:fldCharType="end"/>
      </w:r>
      <w:r w:rsidRPr="005C4B92">
        <w:rPr>
          <w:b/>
          <w:sz w:val="20"/>
          <w:szCs w:val="20"/>
        </w:rPr>
        <w:t>:</w:t>
      </w:r>
      <w:r>
        <w:rPr>
          <w:b/>
          <w:sz w:val="20"/>
          <w:szCs w:val="20"/>
        </w:rPr>
        <w:t xml:space="preserve"> </w:t>
      </w:r>
      <w:r w:rsidR="00EE754B" w:rsidRPr="007E230D">
        <w:rPr>
          <w:b/>
          <w:sz w:val="20"/>
          <w:szCs w:val="20"/>
        </w:rPr>
        <w:t>Достатъчна, налична и достъпна информация за ФИ</w:t>
      </w:r>
      <w:bookmarkEnd w:id="95"/>
    </w:p>
    <w:p w:rsidR="00EE754B" w:rsidRPr="00EE754B" w:rsidRDefault="007E230D" w:rsidP="007E230D">
      <w:pPr>
        <w:spacing w:after="0" w:line="240" w:lineRule="auto"/>
        <w:jc w:val="center"/>
        <w:rPr>
          <w:rFonts w:eastAsia="Times New Roman" w:cs="Arial"/>
          <w:b/>
          <w:color w:val="000000"/>
          <w:lang w:eastAsia="bg-BG"/>
        </w:rPr>
      </w:pPr>
      <w:r>
        <w:rPr>
          <w:rFonts w:eastAsia="Times New Roman" w:cs="Arial"/>
          <w:b/>
          <w:noProof/>
          <w:color w:val="000000"/>
          <w:lang w:eastAsia="bg-BG"/>
        </w:rPr>
        <w:lastRenderedPageBreak/>
        <w:drawing>
          <wp:inline distT="0" distB="0" distL="0" distR="0">
            <wp:extent cx="4768902" cy="2085975"/>
            <wp:effectExtent l="1905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77" cstate="print"/>
                    <a:srcRect/>
                    <a:stretch>
                      <a:fillRect/>
                    </a:stretch>
                  </pic:blipFill>
                  <pic:spPr bwMode="auto">
                    <a:xfrm>
                      <a:off x="0" y="0"/>
                      <a:ext cx="4767226" cy="2085242"/>
                    </a:xfrm>
                    <a:prstGeom prst="rect">
                      <a:avLst/>
                    </a:prstGeom>
                    <a:noFill/>
                  </pic:spPr>
                </pic:pic>
              </a:graphicData>
            </a:graphic>
          </wp:inline>
        </w:drawing>
      </w:r>
    </w:p>
    <w:p w:rsidR="00EE754B" w:rsidRDefault="00EE754B" w:rsidP="007E230D">
      <w:pPr>
        <w:spacing w:before="240" w:after="0" w:line="240" w:lineRule="auto"/>
        <w:rPr>
          <w:rFonts w:eastAsia="Times New Roman" w:cs="Arial"/>
          <w:b/>
          <w:color w:val="000000"/>
          <w:lang w:eastAsia="bg-BG"/>
        </w:rPr>
      </w:pPr>
      <w:r w:rsidRPr="00EE754B">
        <w:rPr>
          <w:rFonts w:eastAsia="Times New Roman" w:cs="Arial"/>
          <w:b/>
          <w:color w:val="000000"/>
          <w:lang w:eastAsia="bg-BG"/>
        </w:rPr>
        <w:t xml:space="preserve">Анкетираните дружества за запитани и за класират основните пречки пред </w:t>
      </w:r>
      <w:r w:rsidR="00E74BDD" w:rsidRPr="00EE754B">
        <w:rPr>
          <w:rFonts w:eastAsia="Times New Roman" w:cs="Arial"/>
          <w:b/>
          <w:color w:val="000000"/>
          <w:lang w:eastAsia="bg-BG"/>
        </w:rPr>
        <w:t>използване</w:t>
      </w:r>
      <w:r w:rsidRPr="00EE754B">
        <w:rPr>
          <w:rFonts w:eastAsia="Times New Roman" w:cs="Arial"/>
          <w:b/>
          <w:color w:val="000000"/>
          <w:lang w:eastAsia="bg-BG"/>
        </w:rPr>
        <w:t xml:space="preserve"> на финансови инструменти:</w:t>
      </w:r>
    </w:p>
    <w:p w:rsidR="007E230D" w:rsidRPr="00EE754B" w:rsidRDefault="007E230D" w:rsidP="007E230D">
      <w:pPr>
        <w:spacing w:before="240" w:after="0" w:line="240" w:lineRule="auto"/>
        <w:rPr>
          <w:rFonts w:eastAsia="Times New Roman" w:cs="Arial"/>
          <w:b/>
          <w:color w:val="000000"/>
          <w:lang w:eastAsia="bg-BG"/>
        </w:rPr>
      </w:pPr>
    </w:p>
    <w:p w:rsidR="00EE754B" w:rsidRPr="00EE754B" w:rsidRDefault="00EE754B" w:rsidP="00B462AB">
      <w:pPr>
        <w:spacing w:after="0" w:line="240" w:lineRule="auto"/>
        <w:rPr>
          <w:rFonts w:eastAsia="Arial" w:cs="Times New Roman"/>
          <w:i/>
          <w:color w:val="000000"/>
        </w:rPr>
      </w:pPr>
      <w:r w:rsidRPr="00EE754B">
        <w:rPr>
          <w:rFonts w:eastAsia="Times New Roman" w:cs="Arial"/>
          <w:i/>
          <w:color w:val="000000"/>
          <w:lang w:eastAsia="bg-BG"/>
        </w:rPr>
        <w:t>* с възможност за повече отговори</w:t>
      </w:r>
    </w:p>
    <w:tbl>
      <w:tblPr>
        <w:tblStyle w:val="LightGrid-Accent11"/>
        <w:tblW w:w="9072" w:type="dxa"/>
        <w:tblLook w:val="0660" w:firstRow="1" w:lastRow="1" w:firstColumn="0" w:lastColumn="0" w:noHBand="1" w:noVBand="1"/>
      </w:tblPr>
      <w:tblGrid>
        <w:gridCol w:w="7931"/>
        <w:gridCol w:w="1141"/>
      </w:tblGrid>
      <w:tr w:rsidR="00EE754B" w:rsidRPr="00EE754B" w:rsidTr="007E230D">
        <w:trPr>
          <w:cnfStyle w:val="100000000000" w:firstRow="1" w:lastRow="0" w:firstColumn="0" w:lastColumn="0" w:oddVBand="0" w:evenVBand="0" w:oddHBand="0" w:evenHBand="0" w:firstRowFirstColumn="0" w:firstRowLastColumn="0" w:lastRowFirstColumn="0" w:lastRowLastColumn="0"/>
          <w:trHeight w:val="284"/>
        </w:trPr>
        <w:tc>
          <w:tcPr>
            <w:tcW w:w="7938" w:type="dxa"/>
            <w:hideMark/>
          </w:tcPr>
          <w:p w:rsidR="00EE754B" w:rsidRPr="00EE754B" w:rsidRDefault="00EE754B" w:rsidP="00B462AB">
            <w:pPr>
              <w:rPr>
                <w:rFonts w:asciiTheme="minorHAnsi" w:eastAsia="Times New Roman" w:hAnsiTheme="minorHAnsi"/>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7E230D">
        <w:trPr>
          <w:trHeight w:val="284"/>
        </w:trPr>
        <w:tc>
          <w:tcPr>
            <w:tcW w:w="7938" w:type="dxa"/>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Липса на информация относно възможностите за финансиране</w:t>
            </w:r>
          </w:p>
        </w:tc>
        <w:tc>
          <w:tcPr>
            <w:tcW w:w="1134" w:type="dxa"/>
            <w:noWrap/>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42.9%</w:t>
            </w:r>
          </w:p>
        </w:tc>
      </w:tr>
      <w:tr w:rsidR="00EE754B" w:rsidRPr="00EE754B" w:rsidTr="007E230D">
        <w:trPr>
          <w:trHeight w:val="284"/>
        </w:trPr>
        <w:tc>
          <w:tcPr>
            <w:tcW w:w="7938" w:type="dxa"/>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Трудности при подготовката на документи за кандидатстване</w:t>
            </w:r>
          </w:p>
        </w:tc>
        <w:tc>
          <w:tcPr>
            <w:tcW w:w="1134" w:type="dxa"/>
            <w:noWrap/>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39.3%</w:t>
            </w:r>
          </w:p>
        </w:tc>
      </w:tr>
      <w:tr w:rsidR="00EE754B" w:rsidRPr="00EE754B" w:rsidTr="007E230D">
        <w:trPr>
          <w:trHeight w:val="284"/>
        </w:trPr>
        <w:tc>
          <w:tcPr>
            <w:tcW w:w="7938" w:type="dxa"/>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Дълъг срок за разглеждане на документите</w:t>
            </w:r>
          </w:p>
        </w:tc>
        <w:tc>
          <w:tcPr>
            <w:tcW w:w="1134" w:type="dxa"/>
            <w:noWrap/>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39.3%</w:t>
            </w:r>
          </w:p>
        </w:tc>
      </w:tr>
      <w:tr w:rsidR="00EE754B" w:rsidRPr="00EE754B" w:rsidTr="007E230D">
        <w:trPr>
          <w:trHeight w:val="284"/>
        </w:trPr>
        <w:tc>
          <w:tcPr>
            <w:tcW w:w="7938" w:type="dxa"/>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Трудно и сложно отчитане пред финансиращите институции</w:t>
            </w:r>
          </w:p>
        </w:tc>
        <w:tc>
          <w:tcPr>
            <w:tcW w:w="1134" w:type="dxa"/>
            <w:noWrap/>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35.7%</w:t>
            </w:r>
          </w:p>
        </w:tc>
      </w:tr>
      <w:tr w:rsidR="00EE754B" w:rsidRPr="00EE754B" w:rsidTr="007E230D">
        <w:trPr>
          <w:trHeight w:val="284"/>
        </w:trPr>
        <w:tc>
          <w:tcPr>
            <w:tcW w:w="7938" w:type="dxa"/>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Трудности при подготовка на бизнес план и финансови прогнози при кандидатстване</w:t>
            </w:r>
          </w:p>
        </w:tc>
        <w:tc>
          <w:tcPr>
            <w:tcW w:w="1134" w:type="dxa"/>
            <w:noWrap/>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25.0%</w:t>
            </w:r>
          </w:p>
        </w:tc>
      </w:tr>
      <w:tr w:rsidR="00EE754B" w:rsidRPr="00EE754B" w:rsidTr="007E230D">
        <w:trPr>
          <w:trHeight w:val="284"/>
        </w:trPr>
        <w:tc>
          <w:tcPr>
            <w:tcW w:w="7938" w:type="dxa"/>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Липса на информация относно предимствата на финансовите инструменти пред банково кредитиране</w:t>
            </w:r>
          </w:p>
        </w:tc>
        <w:tc>
          <w:tcPr>
            <w:tcW w:w="1134" w:type="dxa"/>
            <w:noWrap/>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25.0%</w:t>
            </w:r>
          </w:p>
        </w:tc>
      </w:tr>
      <w:tr w:rsidR="00EE754B" w:rsidRPr="00EE754B" w:rsidTr="007E230D">
        <w:trPr>
          <w:trHeight w:val="284"/>
        </w:trPr>
        <w:tc>
          <w:tcPr>
            <w:tcW w:w="7938" w:type="dxa"/>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Липса на необходима статистическа информация, проучвания, анализи за съответния сектор и пр.</w:t>
            </w:r>
          </w:p>
        </w:tc>
        <w:tc>
          <w:tcPr>
            <w:tcW w:w="1134" w:type="dxa"/>
            <w:noWrap/>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trHeight w:val="284"/>
        </w:trPr>
        <w:tc>
          <w:tcPr>
            <w:tcW w:w="7938" w:type="dxa"/>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Наличие на изгодни условия на финансиране от частни или търговски инвеститори</w:t>
            </w:r>
          </w:p>
        </w:tc>
        <w:tc>
          <w:tcPr>
            <w:tcW w:w="1134" w:type="dxa"/>
            <w:noWrap/>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3.6%</w:t>
            </w:r>
          </w:p>
        </w:tc>
      </w:tr>
      <w:tr w:rsidR="00EE754B" w:rsidRPr="00EE754B" w:rsidTr="007E230D">
        <w:trPr>
          <w:cnfStyle w:val="010000000000" w:firstRow="0" w:lastRow="1" w:firstColumn="0" w:lastColumn="0" w:oddVBand="0" w:evenVBand="0" w:oddHBand="0" w:evenHBand="0" w:firstRowFirstColumn="0" w:firstRowLastColumn="0" w:lastRowFirstColumn="0" w:lastRowLastColumn="0"/>
          <w:trHeight w:val="284"/>
        </w:trPr>
        <w:tc>
          <w:tcPr>
            <w:tcW w:w="7938" w:type="dxa"/>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214.3%</w:t>
            </w:r>
          </w:p>
        </w:tc>
      </w:tr>
    </w:tbl>
    <w:p w:rsidR="00EE754B" w:rsidRP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t xml:space="preserve">Отново с най-голям дял са тези, които считат, че няма достатъчно информация – 43%, а с равен дял от 39% са отговорите, споделящи за </w:t>
      </w:r>
      <w:r w:rsidR="00E74BDD" w:rsidRPr="00EE754B">
        <w:rPr>
          <w:rFonts w:eastAsia="Arial" w:cs="Times New Roman"/>
          <w:color w:val="000000"/>
        </w:rPr>
        <w:t>трудности</w:t>
      </w:r>
      <w:r w:rsidRPr="00EE754B">
        <w:rPr>
          <w:rFonts w:eastAsia="Arial" w:cs="Times New Roman"/>
          <w:color w:val="000000"/>
        </w:rPr>
        <w:t xml:space="preserve"> при подготовка и отчитане на сходни проекти.</w:t>
      </w:r>
    </w:p>
    <w:p w:rsidR="00EE754B" w:rsidRPr="007E230D" w:rsidRDefault="00EE754B" w:rsidP="001A036E">
      <w:pPr>
        <w:numPr>
          <w:ilvl w:val="0"/>
          <w:numId w:val="58"/>
        </w:numPr>
        <w:spacing w:before="240"/>
        <w:rPr>
          <w:rFonts w:ascii="Calibri" w:eastAsia="Calibri" w:hAnsi="Calibri" w:cs="Times New Roman"/>
          <w:b/>
          <w:color w:val="4F81BD"/>
        </w:rPr>
      </w:pPr>
      <w:r w:rsidRPr="007E230D">
        <w:rPr>
          <w:rFonts w:ascii="Calibri" w:eastAsia="Calibri" w:hAnsi="Calibri" w:cs="Times New Roman"/>
          <w:b/>
          <w:color w:val="4F81BD"/>
        </w:rPr>
        <w:t>Финансиране на инвестиционни дейности</w:t>
      </w:r>
    </w:p>
    <w:p w:rsidR="00EE754B" w:rsidRPr="00EE754B" w:rsidRDefault="00EE754B" w:rsidP="00B462AB">
      <w:pPr>
        <w:spacing w:before="240" w:after="120" w:line="240" w:lineRule="auto"/>
        <w:jc w:val="both"/>
        <w:rPr>
          <w:rFonts w:eastAsia="Arial" w:cs="Times New Roman"/>
          <w:color w:val="000000"/>
          <w:lang w:eastAsia="bg-BG"/>
        </w:rPr>
      </w:pPr>
      <w:r w:rsidRPr="00EE754B">
        <w:rPr>
          <w:rFonts w:eastAsia="Arial" w:cs="Times New Roman"/>
          <w:color w:val="000000"/>
          <w:lang w:eastAsia="bg-BG"/>
        </w:rPr>
        <w:t xml:space="preserve">Група въпроси имат за цел да установят повече информация относно инвестиционните дейности на търговските дружества. </w:t>
      </w:r>
    </w:p>
    <w:p w:rsidR="00EE754B" w:rsidRPr="00EE754B" w:rsidRDefault="00EE754B" w:rsidP="00B462AB">
      <w:pPr>
        <w:spacing w:before="240" w:after="120" w:line="240" w:lineRule="auto"/>
        <w:jc w:val="both"/>
        <w:rPr>
          <w:rFonts w:eastAsia="Arial" w:cs="Times New Roman"/>
          <w:color w:val="000000"/>
          <w:lang w:eastAsia="bg-BG"/>
        </w:rPr>
      </w:pPr>
      <w:r w:rsidRPr="00EE754B">
        <w:rPr>
          <w:rFonts w:eastAsia="Arial" w:cs="Times New Roman"/>
          <w:color w:val="000000"/>
          <w:lang w:eastAsia="bg-BG"/>
        </w:rPr>
        <w:t>Запитани, дали срещат трудности при получаване или обезпечаване на инвестиционно финансиране, 61% са категорични, че срещат такива трудности.</w:t>
      </w:r>
    </w:p>
    <w:p w:rsidR="00EE754B" w:rsidRPr="00EE754B" w:rsidRDefault="00EE754B" w:rsidP="00B462AB">
      <w:pPr>
        <w:spacing w:after="0" w:line="240" w:lineRule="auto"/>
        <w:rPr>
          <w:rFonts w:eastAsia="Times New Roman" w:cs="Arial"/>
          <w:b/>
          <w:color w:val="000000"/>
          <w:lang w:eastAsia="bg-BG"/>
        </w:rPr>
      </w:pPr>
    </w:p>
    <w:p w:rsidR="00EE754B" w:rsidRPr="007E230D" w:rsidRDefault="007E230D" w:rsidP="007E230D">
      <w:pPr>
        <w:spacing w:before="240" w:after="120" w:line="240" w:lineRule="auto"/>
        <w:jc w:val="center"/>
        <w:rPr>
          <w:b/>
          <w:sz w:val="20"/>
          <w:szCs w:val="20"/>
        </w:rPr>
      </w:pPr>
      <w:bookmarkStart w:id="96" w:name="_Toc399494619"/>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34</w:t>
      </w:r>
      <w:r w:rsidR="008E6461" w:rsidRPr="005C4B92">
        <w:rPr>
          <w:b/>
          <w:sz w:val="20"/>
          <w:szCs w:val="20"/>
        </w:rPr>
        <w:fldChar w:fldCharType="end"/>
      </w:r>
      <w:r w:rsidRPr="005C4B92">
        <w:rPr>
          <w:b/>
          <w:sz w:val="20"/>
          <w:szCs w:val="20"/>
        </w:rPr>
        <w:t>:</w:t>
      </w:r>
      <w:r>
        <w:rPr>
          <w:b/>
          <w:sz w:val="20"/>
          <w:szCs w:val="20"/>
        </w:rPr>
        <w:t xml:space="preserve"> </w:t>
      </w:r>
      <w:r w:rsidR="00EE754B" w:rsidRPr="007E230D">
        <w:rPr>
          <w:b/>
          <w:sz w:val="20"/>
          <w:szCs w:val="20"/>
        </w:rPr>
        <w:t>Трудности при финансиране</w:t>
      </w:r>
      <w:bookmarkEnd w:id="96"/>
    </w:p>
    <w:p w:rsidR="007E230D" w:rsidRDefault="007E230D" w:rsidP="007E230D">
      <w:pPr>
        <w:spacing w:before="240" w:after="120" w:line="240" w:lineRule="auto"/>
        <w:jc w:val="center"/>
        <w:rPr>
          <w:rFonts w:eastAsia="Arial" w:cs="Times New Roman"/>
          <w:color w:val="000000"/>
          <w:lang w:eastAsia="bg-BG"/>
        </w:rPr>
      </w:pPr>
      <w:r>
        <w:rPr>
          <w:rFonts w:eastAsia="Arial" w:cs="Times New Roman"/>
          <w:noProof/>
          <w:color w:val="000000"/>
          <w:lang w:eastAsia="bg-BG"/>
        </w:rPr>
        <w:lastRenderedPageBreak/>
        <w:drawing>
          <wp:inline distT="0" distB="0" distL="0" distR="0">
            <wp:extent cx="4505325" cy="2072069"/>
            <wp:effectExtent l="1905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78" cstate="print"/>
                    <a:srcRect/>
                    <a:stretch>
                      <a:fillRect/>
                    </a:stretch>
                  </pic:blipFill>
                  <pic:spPr bwMode="auto">
                    <a:xfrm>
                      <a:off x="0" y="0"/>
                      <a:ext cx="4503741" cy="2071341"/>
                    </a:xfrm>
                    <a:prstGeom prst="rect">
                      <a:avLst/>
                    </a:prstGeom>
                    <a:noFill/>
                  </pic:spPr>
                </pic:pic>
              </a:graphicData>
            </a:graphic>
          </wp:inline>
        </w:drawing>
      </w:r>
    </w:p>
    <w:p w:rsidR="00EE754B" w:rsidRPr="00EE754B" w:rsidRDefault="00EE754B" w:rsidP="007E230D">
      <w:pPr>
        <w:spacing w:before="240" w:after="120" w:line="240" w:lineRule="auto"/>
        <w:rPr>
          <w:rFonts w:eastAsia="Times New Roman" w:cs="Arial"/>
          <w:b/>
          <w:bCs/>
          <w:color w:val="000000"/>
          <w:lang w:val="en-US" w:eastAsia="bg-BG"/>
        </w:rPr>
      </w:pPr>
      <w:r w:rsidRPr="00EE754B">
        <w:rPr>
          <w:rFonts w:eastAsia="Arial" w:cs="Times New Roman"/>
          <w:color w:val="000000"/>
          <w:lang w:eastAsia="bg-BG"/>
        </w:rPr>
        <w:t xml:space="preserve">Сред посочените причини, най-голям дял имат </w:t>
      </w:r>
      <w:r w:rsidRPr="00EE754B">
        <w:rPr>
          <w:rFonts w:eastAsia="Arial" w:cs="Times New Roman"/>
          <w:i/>
          <w:color w:val="000000"/>
          <w:lang w:eastAsia="bg-BG"/>
        </w:rPr>
        <w:t>невъзможност за осигуряване на исканото обезпечение</w:t>
      </w:r>
      <w:r w:rsidRPr="00EE754B">
        <w:rPr>
          <w:rFonts w:eastAsia="Arial" w:cs="Times New Roman"/>
          <w:color w:val="000000"/>
          <w:lang w:eastAsia="bg-BG"/>
        </w:rPr>
        <w:t xml:space="preserve"> – 41% и </w:t>
      </w:r>
      <w:r w:rsidRPr="00EE754B">
        <w:rPr>
          <w:rFonts w:eastAsia="Arial" w:cs="Times New Roman"/>
          <w:i/>
          <w:color w:val="000000"/>
          <w:lang w:eastAsia="bg-BG"/>
        </w:rPr>
        <w:t>недостатъчно приходи за покриване на разходите</w:t>
      </w:r>
      <w:r w:rsidRPr="00EE754B">
        <w:rPr>
          <w:rFonts w:eastAsia="Arial" w:cs="Times New Roman"/>
          <w:color w:val="000000"/>
          <w:lang w:eastAsia="bg-BG"/>
        </w:rPr>
        <w:t xml:space="preserve"> – 35%.</w:t>
      </w:r>
    </w:p>
    <w:p w:rsidR="00EE754B" w:rsidRPr="00EE754B" w:rsidRDefault="00EE754B" w:rsidP="00B462AB">
      <w:pPr>
        <w:spacing w:after="0" w:line="240" w:lineRule="auto"/>
        <w:rPr>
          <w:rFonts w:eastAsia="Arial" w:cs="Times New Roman"/>
          <w:i/>
          <w:color w:val="000000"/>
        </w:rPr>
      </w:pPr>
    </w:p>
    <w:tbl>
      <w:tblPr>
        <w:tblStyle w:val="LightGrid-Accent51"/>
        <w:tblW w:w="9072" w:type="dxa"/>
        <w:tblLook w:val="0660" w:firstRow="1" w:lastRow="1" w:firstColumn="0" w:lastColumn="0" w:noHBand="1" w:noVBand="1"/>
      </w:tblPr>
      <w:tblGrid>
        <w:gridCol w:w="7938"/>
        <w:gridCol w:w="1134"/>
      </w:tblGrid>
      <w:tr w:rsidR="00EE754B" w:rsidRPr="00EE754B" w:rsidTr="007E230D">
        <w:trPr>
          <w:cnfStyle w:val="100000000000" w:firstRow="1" w:lastRow="0" w:firstColumn="0" w:lastColumn="0" w:oddVBand="0" w:evenVBand="0" w:oddHBand="0" w:evenHBand="0" w:firstRowFirstColumn="0" w:firstRowLastColumn="0" w:lastRowFirstColumn="0" w:lastRowLastColumn="0"/>
          <w:trHeight w:val="284"/>
        </w:trPr>
        <w:tc>
          <w:tcPr>
            <w:tcW w:w="7938" w:type="dxa"/>
            <w:hideMark/>
          </w:tcPr>
          <w:p w:rsidR="00EE754B" w:rsidRPr="00EE754B" w:rsidRDefault="00EE754B" w:rsidP="00B462AB">
            <w:pPr>
              <w:rPr>
                <w:rFonts w:asciiTheme="minorHAnsi" w:hAnsiTheme="minorHAnsi"/>
                <w:color w:val="000000"/>
                <w:lang w:eastAsia="bg-BG"/>
              </w:rPr>
            </w:pPr>
          </w:p>
        </w:tc>
        <w:tc>
          <w:tcPr>
            <w:tcW w:w="1134" w:type="dxa"/>
            <w:hideMark/>
          </w:tcPr>
          <w:p w:rsidR="00EE754B" w:rsidRPr="00EE754B" w:rsidRDefault="00EE754B" w:rsidP="00B462AB">
            <w:pPr>
              <w:jc w:val="center"/>
              <w:rPr>
                <w:rFonts w:asciiTheme="minorHAnsi" w:hAnsiTheme="minorHAnsi"/>
                <w:color w:val="000000"/>
                <w:lang w:eastAsia="bg-BG"/>
              </w:rPr>
            </w:pPr>
            <w:r w:rsidRPr="00EE754B">
              <w:rPr>
                <w:rFonts w:asciiTheme="minorHAnsi" w:hAnsiTheme="minorHAnsi"/>
                <w:color w:val="000000"/>
                <w:lang w:eastAsia="bg-BG"/>
              </w:rPr>
              <w:t>Процент</w:t>
            </w:r>
          </w:p>
        </w:tc>
      </w:tr>
      <w:tr w:rsidR="00EE754B" w:rsidRPr="00EE754B" w:rsidTr="007E230D">
        <w:trPr>
          <w:trHeight w:val="284"/>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Невъзможност за осигуряване на исканото от финансиращата банка/институция обезпечение</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41.2%</w:t>
            </w:r>
          </w:p>
        </w:tc>
      </w:tr>
      <w:tr w:rsidR="00EE754B" w:rsidRPr="00EE754B" w:rsidTr="007E230D">
        <w:trPr>
          <w:trHeight w:val="284"/>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Недостатъчно приходи за покриване разходите по финансирането</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35.3%</w:t>
            </w:r>
          </w:p>
        </w:tc>
      </w:tr>
      <w:tr w:rsidR="00EE754B" w:rsidRPr="00EE754B" w:rsidTr="007E230D">
        <w:trPr>
          <w:trHeight w:val="284"/>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Инвестицията е оценена от финансовите институции като високо рискова</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17.6%</w:t>
            </w:r>
          </w:p>
        </w:tc>
      </w:tr>
      <w:tr w:rsidR="00EE754B" w:rsidRPr="00EE754B" w:rsidTr="007E230D">
        <w:trPr>
          <w:trHeight w:val="284"/>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Друго</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17.6%</w:t>
            </w:r>
          </w:p>
        </w:tc>
      </w:tr>
      <w:tr w:rsidR="00EE754B" w:rsidRPr="00EE754B" w:rsidTr="007E230D">
        <w:trPr>
          <w:cnfStyle w:val="010000000000" w:firstRow="0" w:lastRow="1" w:firstColumn="0" w:lastColumn="0" w:oddVBand="0" w:evenVBand="0" w:oddHBand="0" w:evenHBand="0" w:firstRowFirstColumn="0" w:firstRowLastColumn="0" w:lastRowFirstColumn="0" w:lastRowLastColumn="0"/>
          <w:trHeight w:val="284"/>
        </w:trPr>
        <w:tc>
          <w:tcPr>
            <w:tcW w:w="7938" w:type="dxa"/>
            <w:hideMark/>
          </w:tcPr>
          <w:p w:rsidR="00EE754B" w:rsidRPr="00EE754B" w:rsidRDefault="00EE754B" w:rsidP="00B462AB">
            <w:pPr>
              <w:rPr>
                <w:rFonts w:asciiTheme="minorHAnsi" w:hAnsiTheme="minorHAnsi"/>
                <w:color w:val="000000"/>
                <w:lang w:eastAsia="bg-BG"/>
              </w:rPr>
            </w:pPr>
            <w:r w:rsidRPr="00EE754B">
              <w:rPr>
                <w:rFonts w:asciiTheme="minorHAnsi" w:hAnsiTheme="minorHAnsi"/>
                <w:color w:val="000000"/>
                <w:lang w:eastAsia="bg-BG"/>
              </w:rPr>
              <w:t>Общо</w:t>
            </w:r>
          </w:p>
        </w:tc>
        <w:tc>
          <w:tcPr>
            <w:tcW w:w="1134" w:type="dxa"/>
            <w:noWrap/>
            <w:hideMark/>
          </w:tcPr>
          <w:p w:rsidR="00EE754B" w:rsidRPr="00EE754B" w:rsidRDefault="00EE754B" w:rsidP="00B462AB">
            <w:pPr>
              <w:jc w:val="center"/>
              <w:rPr>
                <w:rFonts w:asciiTheme="minorHAnsi" w:hAnsiTheme="minorHAnsi"/>
                <w:color w:val="000000"/>
                <w:lang w:eastAsia="bg-BG"/>
              </w:rPr>
            </w:pPr>
            <w:r w:rsidRPr="00EE754B">
              <w:rPr>
                <w:rFonts w:asciiTheme="minorHAnsi" w:hAnsiTheme="minorHAnsi"/>
                <w:color w:val="000000"/>
                <w:lang w:eastAsia="bg-BG"/>
              </w:rPr>
              <w:t>111.8%</w:t>
            </w:r>
          </w:p>
        </w:tc>
      </w:tr>
    </w:tbl>
    <w:p w:rsidR="00EE754B" w:rsidRPr="00EE754B" w:rsidRDefault="00EE754B" w:rsidP="00B462AB">
      <w:pPr>
        <w:spacing w:after="0" w:line="240" w:lineRule="auto"/>
        <w:rPr>
          <w:rFonts w:eastAsia="Times New Roman" w:cs="Arial"/>
          <w:b/>
          <w:color w:val="000000"/>
          <w:lang w:val="en-US" w:eastAsia="bg-BG"/>
        </w:rPr>
      </w:pPr>
    </w:p>
    <w:p w:rsidR="00EE754B" w:rsidRPr="00EE754B" w:rsidRDefault="00EE754B" w:rsidP="00B462AB">
      <w:pPr>
        <w:spacing w:after="0" w:line="240" w:lineRule="auto"/>
        <w:rPr>
          <w:rFonts w:eastAsia="Times New Roman" w:cs="Arial"/>
          <w:color w:val="000000"/>
          <w:lang w:eastAsia="bg-BG"/>
        </w:rPr>
      </w:pPr>
      <w:r w:rsidRPr="00EE754B">
        <w:rPr>
          <w:rFonts w:eastAsia="Times New Roman" w:cs="Arial"/>
          <w:color w:val="000000"/>
          <w:lang w:eastAsia="bg-BG"/>
        </w:rPr>
        <w:t>Нуждите от допълнително финансиране, най-вече са с цел придобиване на ДМА, вкл. оборудване – 73% са посочили това, изграждане на инфраструктура – 54%, и с по-малки дялове – нужда от оборотни средства (27%) и техническа помощ (23%).</w:t>
      </w:r>
    </w:p>
    <w:p w:rsidR="007E230D" w:rsidRPr="007E230D" w:rsidRDefault="007E230D" w:rsidP="007E230D">
      <w:pPr>
        <w:spacing w:before="240" w:after="120" w:line="240" w:lineRule="auto"/>
        <w:jc w:val="center"/>
        <w:rPr>
          <w:b/>
          <w:sz w:val="20"/>
          <w:szCs w:val="20"/>
        </w:rPr>
      </w:pPr>
      <w:bookmarkStart w:id="97" w:name="_Toc399494620"/>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35</w:t>
      </w:r>
      <w:r w:rsidR="008E6461" w:rsidRPr="005C4B92">
        <w:rPr>
          <w:b/>
          <w:sz w:val="20"/>
          <w:szCs w:val="20"/>
        </w:rPr>
        <w:fldChar w:fldCharType="end"/>
      </w:r>
      <w:r w:rsidRPr="005C4B92">
        <w:rPr>
          <w:b/>
          <w:sz w:val="20"/>
          <w:szCs w:val="20"/>
        </w:rPr>
        <w:t>:</w:t>
      </w:r>
      <w:r>
        <w:rPr>
          <w:b/>
          <w:sz w:val="20"/>
          <w:szCs w:val="20"/>
        </w:rPr>
        <w:t xml:space="preserve"> </w:t>
      </w:r>
      <w:r w:rsidRPr="007E230D">
        <w:rPr>
          <w:b/>
          <w:sz w:val="20"/>
          <w:szCs w:val="20"/>
        </w:rPr>
        <w:t>Цел на финансиране</w:t>
      </w:r>
      <w:bookmarkEnd w:id="97"/>
    </w:p>
    <w:p w:rsidR="00EE754B" w:rsidRPr="00EE754B" w:rsidRDefault="00EE754B" w:rsidP="00B462AB">
      <w:pPr>
        <w:spacing w:after="0" w:line="240" w:lineRule="auto"/>
        <w:rPr>
          <w:rFonts w:eastAsia="Times New Roman" w:cs="Arial"/>
          <w:color w:val="000000"/>
          <w:lang w:eastAsia="bg-BG"/>
        </w:rPr>
      </w:pPr>
    </w:p>
    <w:p w:rsidR="00EE754B" w:rsidRPr="00EE754B" w:rsidRDefault="007E230D" w:rsidP="007E230D">
      <w:pPr>
        <w:spacing w:after="0" w:line="240" w:lineRule="auto"/>
        <w:jc w:val="center"/>
        <w:rPr>
          <w:rFonts w:eastAsia="Times New Roman" w:cs="Arial"/>
          <w:b/>
          <w:color w:val="000000"/>
          <w:lang w:val="en-US" w:eastAsia="bg-BG"/>
        </w:rPr>
      </w:pPr>
      <w:r>
        <w:rPr>
          <w:rFonts w:eastAsia="Times New Roman" w:cs="Arial"/>
          <w:b/>
          <w:noProof/>
          <w:color w:val="000000"/>
          <w:lang w:eastAsia="bg-BG"/>
        </w:rPr>
        <w:drawing>
          <wp:inline distT="0" distB="0" distL="0" distR="0">
            <wp:extent cx="5219700" cy="2302809"/>
            <wp:effectExtent l="1905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79" cstate="print"/>
                    <a:srcRect/>
                    <a:stretch>
                      <a:fillRect/>
                    </a:stretch>
                  </pic:blipFill>
                  <pic:spPr bwMode="auto">
                    <a:xfrm>
                      <a:off x="0" y="0"/>
                      <a:ext cx="5219700" cy="2302809"/>
                    </a:xfrm>
                    <a:prstGeom prst="rect">
                      <a:avLst/>
                    </a:prstGeom>
                    <a:noFill/>
                  </pic:spPr>
                </pic:pic>
              </a:graphicData>
            </a:graphic>
          </wp:inline>
        </w:drawing>
      </w:r>
    </w:p>
    <w:p w:rsidR="00EE754B" w:rsidRDefault="00EE754B" w:rsidP="00B462AB">
      <w:pPr>
        <w:spacing w:after="200" w:line="240" w:lineRule="auto"/>
        <w:rPr>
          <w:rFonts w:eastAsia="Times New Roman" w:cs="Arial"/>
          <w:color w:val="000000"/>
          <w:lang w:eastAsia="bg-BG"/>
        </w:rPr>
      </w:pPr>
      <w:r w:rsidRPr="00EE754B">
        <w:rPr>
          <w:rFonts w:eastAsia="Times New Roman" w:cs="Arial"/>
          <w:color w:val="000000"/>
          <w:lang w:eastAsia="bg-BG"/>
        </w:rPr>
        <w:t>Болшинството от отговорилите дружества споделят, че имат стратегия или план за развитие, които покриват някаква част или целия период 2014 – 2020 г.</w:t>
      </w:r>
    </w:p>
    <w:p w:rsidR="007E230D" w:rsidRPr="00EE754B" w:rsidRDefault="00ED3990" w:rsidP="00ED3990">
      <w:pPr>
        <w:spacing w:after="200" w:line="240" w:lineRule="auto"/>
        <w:jc w:val="center"/>
        <w:rPr>
          <w:rFonts w:eastAsia="Times New Roman" w:cs="Arial"/>
          <w:color w:val="000000"/>
          <w:lang w:eastAsia="bg-BG"/>
        </w:rPr>
      </w:pPr>
      <w:bookmarkStart w:id="98" w:name="_Toc399494621"/>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36</w:t>
      </w:r>
      <w:r w:rsidR="008E6461" w:rsidRPr="005C4B92">
        <w:rPr>
          <w:b/>
          <w:sz w:val="20"/>
          <w:szCs w:val="20"/>
        </w:rPr>
        <w:fldChar w:fldCharType="end"/>
      </w:r>
      <w:r w:rsidRPr="005C4B92">
        <w:rPr>
          <w:b/>
          <w:sz w:val="20"/>
          <w:szCs w:val="20"/>
        </w:rPr>
        <w:t>:</w:t>
      </w:r>
      <w:r>
        <w:rPr>
          <w:b/>
          <w:sz w:val="20"/>
          <w:szCs w:val="20"/>
        </w:rPr>
        <w:t xml:space="preserve"> </w:t>
      </w:r>
      <w:r w:rsidR="007E230D" w:rsidRPr="00ED3990">
        <w:rPr>
          <w:b/>
          <w:sz w:val="20"/>
          <w:szCs w:val="20"/>
        </w:rPr>
        <w:t>Разполагате ли със стратегия/план за развитие</w:t>
      </w:r>
      <w:bookmarkEnd w:id="98"/>
    </w:p>
    <w:p w:rsidR="00EE754B" w:rsidRPr="00EE754B" w:rsidRDefault="007E230D" w:rsidP="007E230D">
      <w:pPr>
        <w:spacing w:after="0" w:line="240" w:lineRule="auto"/>
        <w:jc w:val="center"/>
        <w:rPr>
          <w:rFonts w:eastAsia="Times New Roman" w:cs="Arial"/>
          <w:b/>
          <w:bCs/>
          <w:color w:val="000000"/>
          <w:lang w:val="en-US" w:eastAsia="bg-BG"/>
        </w:rPr>
      </w:pPr>
      <w:r>
        <w:rPr>
          <w:rFonts w:eastAsia="Times New Roman" w:cs="Arial"/>
          <w:b/>
          <w:bCs/>
          <w:noProof/>
          <w:color w:val="000000"/>
          <w:lang w:eastAsia="bg-BG"/>
        </w:rPr>
        <w:drawing>
          <wp:inline distT="0" distB="0" distL="0" distR="0">
            <wp:extent cx="4562475" cy="1638300"/>
            <wp:effectExtent l="1905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80" cstate="print"/>
                    <a:srcRect/>
                    <a:stretch>
                      <a:fillRect/>
                    </a:stretch>
                  </pic:blipFill>
                  <pic:spPr bwMode="auto">
                    <a:xfrm>
                      <a:off x="0" y="0"/>
                      <a:ext cx="4562475" cy="1638300"/>
                    </a:xfrm>
                    <a:prstGeom prst="rect">
                      <a:avLst/>
                    </a:prstGeom>
                    <a:noFill/>
                  </pic:spPr>
                </pic:pic>
              </a:graphicData>
            </a:graphic>
          </wp:inline>
        </w:drawing>
      </w:r>
    </w:p>
    <w:p w:rsidR="00EE754B" w:rsidRPr="00EE754B" w:rsidRDefault="00EE754B" w:rsidP="00ED3990">
      <w:pPr>
        <w:spacing w:before="240" w:after="120" w:line="240" w:lineRule="auto"/>
        <w:rPr>
          <w:rFonts w:eastAsia="Times New Roman" w:cs="Arial"/>
          <w:bCs/>
          <w:color w:val="000000"/>
          <w:lang w:eastAsia="bg-BG"/>
        </w:rPr>
      </w:pPr>
      <w:r w:rsidRPr="00EE754B">
        <w:rPr>
          <w:rFonts w:eastAsia="Times New Roman" w:cs="Arial"/>
          <w:bCs/>
          <w:color w:val="000000"/>
          <w:lang w:eastAsia="bg-BG"/>
        </w:rPr>
        <w:t>Същевременно, 64% от респондентите разполагат с инвестиционна програма. Най-често тя покрива период от 2 г. (56% от случаите), за 22% от отговорилите – програмата покрива 5 г. период, за 11% - 3 г. период.</w:t>
      </w:r>
    </w:p>
    <w:p w:rsidR="00EE754B" w:rsidRPr="00EE754B" w:rsidRDefault="00ED3990" w:rsidP="00ED3990">
      <w:pPr>
        <w:spacing w:before="240" w:line="240" w:lineRule="auto"/>
        <w:jc w:val="center"/>
        <w:rPr>
          <w:rFonts w:eastAsia="Times New Roman" w:cs="Arial"/>
          <w:bCs/>
          <w:color w:val="000000"/>
          <w:lang w:eastAsia="bg-BG"/>
        </w:rPr>
      </w:pPr>
      <w:bookmarkStart w:id="99" w:name="_Toc399494622"/>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37</w:t>
      </w:r>
      <w:r w:rsidR="008E6461" w:rsidRPr="005C4B92">
        <w:rPr>
          <w:b/>
          <w:sz w:val="20"/>
          <w:szCs w:val="20"/>
        </w:rPr>
        <w:fldChar w:fldCharType="end"/>
      </w:r>
      <w:r w:rsidR="003A69A7">
        <w:rPr>
          <w:b/>
          <w:sz w:val="20"/>
          <w:szCs w:val="20"/>
        </w:rPr>
        <w:t>: Какъв период покрива инвестиционната Ви програма?</w:t>
      </w:r>
      <w:bookmarkEnd w:id="99"/>
    </w:p>
    <w:p w:rsidR="00EE754B" w:rsidRPr="00EE754B" w:rsidRDefault="00ED3990" w:rsidP="00ED3990">
      <w:pPr>
        <w:tabs>
          <w:tab w:val="left" w:pos="8505"/>
        </w:tabs>
        <w:spacing w:after="0" w:line="240" w:lineRule="auto"/>
        <w:jc w:val="center"/>
        <w:rPr>
          <w:rFonts w:eastAsia="Times New Roman" w:cs="Arial"/>
          <w:b/>
          <w:bCs/>
          <w:color w:val="000000"/>
          <w:lang w:val="en-US" w:eastAsia="bg-BG"/>
        </w:rPr>
      </w:pPr>
      <w:r>
        <w:rPr>
          <w:rFonts w:eastAsia="Times New Roman" w:cs="Arial"/>
          <w:b/>
          <w:bCs/>
          <w:noProof/>
          <w:color w:val="000000"/>
          <w:lang w:eastAsia="bg-BG"/>
        </w:rPr>
        <w:drawing>
          <wp:inline distT="0" distB="0" distL="0" distR="0">
            <wp:extent cx="4905375" cy="2259236"/>
            <wp:effectExtent l="1905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1" cstate="print"/>
                    <a:srcRect/>
                    <a:stretch>
                      <a:fillRect/>
                    </a:stretch>
                  </pic:blipFill>
                  <pic:spPr bwMode="auto">
                    <a:xfrm>
                      <a:off x="0" y="0"/>
                      <a:ext cx="4905375" cy="2259236"/>
                    </a:xfrm>
                    <a:prstGeom prst="rect">
                      <a:avLst/>
                    </a:prstGeom>
                    <a:noFill/>
                  </pic:spPr>
                </pic:pic>
              </a:graphicData>
            </a:graphic>
          </wp:inline>
        </w:drawing>
      </w:r>
    </w:p>
    <w:p w:rsidR="00EE754B" w:rsidRPr="00EE754B" w:rsidRDefault="00EE754B" w:rsidP="00B462AB">
      <w:pPr>
        <w:spacing w:after="0" w:line="240" w:lineRule="auto"/>
        <w:rPr>
          <w:rFonts w:eastAsia="Times New Roman" w:cs="Arial"/>
          <w:bCs/>
          <w:color w:val="000000"/>
          <w:lang w:eastAsia="bg-BG"/>
        </w:rPr>
      </w:pPr>
    </w:p>
    <w:p w:rsidR="00C43A5F" w:rsidRDefault="00C43A5F" w:rsidP="00B462AB">
      <w:pPr>
        <w:spacing w:after="0" w:line="240" w:lineRule="auto"/>
        <w:jc w:val="both"/>
        <w:rPr>
          <w:rFonts w:eastAsia="Times New Roman" w:cs="Arial"/>
          <w:bCs/>
          <w:color w:val="000000"/>
          <w:lang w:eastAsia="bg-BG"/>
        </w:rPr>
      </w:pP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Близо 77% от отговорилите сочат, че инвестиционната им програма е в съответствие с основните стратегически документи, които са актуални за сектора.</w:t>
      </w:r>
    </w:p>
    <w:p w:rsidR="00EE754B" w:rsidRPr="00EE754B" w:rsidRDefault="00EE754B" w:rsidP="00B462AB">
      <w:pPr>
        <w:spacing w:after="0" w:line="240" w:lineRule="auto"/>
        <w:rPr>
          <w:rFonts w:eastAsia="Times New Roman" w:cs="Arial"/>
          <w:bCs/>
          <w:color w:val="000000"/>
          <w:lang w:eastAsia="bg-BG"/>
        </w:rPr>
      </w:pPr>
    </w:p>
    <w:p w:rsidR="00EE754B" w:rsidRDefault="00EE754B" w:rsidP="00B462AB">
      <w:pPr>
        <w:spacing w:after="0" w:line="240" w:lineRule="auto"/>
        <w:rPr>
          <w:rFonts w:eastAsia="Times New Roman" w:cs="Arial"/>
          <w:bCs/>
          <w:color w:val="000000"/>
          <w:lang w:eastAsia="bg-BG"/>
        </w:rPr>
      </w:pPr>
      <w:r w:rsidRPr="00EE754B">
        <w:rPr>
          <w:rFonts w:eastAsia="Times New Roman" w:cs="Arial"/>
          <w:bCs/>
          <w:color w:val="000000"/>
          <w:lang w:eastAsia="bg-BG"/>
        </w:rPr>
        <w:t>Предвидени инвестиции по години, съгласно инвестиционната програма:</w:t>
      </w:r>
    </w:p>
    <w:p w:rsidR="00C43A5F" w:rsidRDefault="00C43A5F" w:rsidP="00B462AB">
      <w:pPr>
        <w:spacing w:after="0" w:line="240" w:lineRule="auto"/>
        <w:rPr>
          <w:rFonts w:eastAsia="Times New Roman" w:cs="Arial"/>
          <w:bCs/>
          <w:color w:val="000000"/>
          <w:lang w:eastAsia="bg-BG"/>
        </w:rPr>
      </w:pPr>
    </w:p>
    <w:p w:rsidR="00F00027" w:rsidRDefault="00F00027" w:rsidP="00B462AB">
      <w:pPr>
        <w:spacing w:after="0" w:line="240" w:lineRule="auto"/>
        <w:rPr>
          <w:rFonts w:eastAsia="Times New Roman" w:cs="Arial"/>
          <w:bCs/>
          <w:color w:val="000000"/>
          <w:lang w:eastAsia="bg-BG"/>
        </w:rPr>
      </w:pPr>
    </w:p>
    <w:p w:rsidR="00F00027" w:rsidRDefault="00F00027" w:rsidP="00B462AB">
      <w:pPr>
        <w:spacing w:after="0" w:line="240" w:lineRule="auto"/>
        <w:rPr>
          <w:rFonts w:eastAsia="Times New Roman" w:cs="Arial"/>
          <w:bCs/>
          <w:color w:val="000000"/>
          <w:lang w:eastAsia="bg-BG"/>
        </w:rPr>
      </w:pPr>
    </w:p>
    <w:p w:rsidR="00F00027" w:rsidRDefault="00F00027" w:rsidP="00B462AB">
      <w:pPr>
        <w:spacing w:after="0" w:line="240" w:lineRule="auto"/>
        <w:rPr>
          <w:rFonts w:eastAsia="Times New Roman" w:cs="Arial"/>
          <w:bCs/>
          <w:color w:val="000000"/>
          <w:lang w:eastAsia="bg-BG"/>
        </w:rPr>
      </w:pPr>
    </w:p>
    <w:p w:rsidR="00F00027" w:rsidRDefault="00F00027" w:rsidP="00B462AB">
      <w:pPr>
        <w:spacing w:after="0" w:line="240" w:lineRule="auto"/>
        <w:rPr>
          <w:rFonts w:eastAsia="Times New Roman" w:cs="Arial"/>
          <w:bCs/>
          <w:color w:val="000000"/>
          <w:lang w:eastAsia="bg-BG"/>
        </w:rPr>
      </w:pPr>
    </w:p>
    <w:p w:rsidR="00ED3990" w:rsidRPr="00ED3990" w:rsidRDefault="00ED3990" w:rsidP="00A82D1C">
      <w:pPr>
        <w:keepNext/>
        <w:spacing w:before="240" w:line="240" w:lineRule="auto"/>
        <w:jc w:val="center"/>
        <w:rPr>
          <w:b/>
          <w:sz w:val="20"/>
          <w:szCs w:val="20"/>
        </w:rPr>
      </w:pPr>
      <w:bookmarkStart w:id="100" w:name="_Toc399494907"/>
      <w:r w:rsidRPr="00ED3990">
        <w:rPr>
          <w:b/>
          <w:sz w:val="20"/>
          <w:szCs w:val="20"/>
        </w:rPr>
        <w:t xml:space="preserve">Таблица </w:t>
      </w:r>
      <w:r w:rsidR="008E6461" w:rsidRPr="00ED3990">
        <w:rPr>
          <w:b/>
          <w:sz w:val="20"/>
          <w:szCs w:val="20"/>
        </w:rPr>
        <w:fldChar w:fldCharType="begin"/>
      </w:r>
      <w:r w:rsidRPr="00ED3990">
        <w:rPr>
          <w:b/>
          <w:sz w:val="20"/>
          <w:szCs w:val="20"/>
        </w:rPr>
        <w:instrText xml:space="preserve"> SEQ Таблица \* ARABIC </w:instrText>
      </w:r>
      <w:r w:rsidR="008E6461" w:rsidRPr="00ED3990">
        <w:rPr>
          <w:b/>
          <w:sz w:val="20"/>
          <w:szCs w:val="20"/>
        </w:rPr>
        <w:fldChar w:fldCharType="separate"/>
      </w:r>
      <w:r w:rsidR="003A69A7">
        <w:rPr>
          <w:b/>
          <w:noProof/>
          <w:sz w:val="20"/>
          <w:szCs w:val="20"/>
        </w:rPr>
        <w:t>27</w:t>
      </w:r>
      <w:r w:rsidR="008E6461" w:rsidRPr="00ED3990">
        <w:rPr>
          <w:b/>
          <w:sz w:val="20"/>
          <w:szCs w:val="20"/>
        </w:rPr>
        <w:fldChar w:fldCharType="end"/>
      </w:r>
      <w:r w:rsidR="003A69A7">
        <w:rPr>
          <w:b/>
          <w:sz w:val="20"/>
          <w:szCs w:val="20"/>
        </w:rPr>
        <w:t>:</w:t>
      </w:r>
      <w:r w:rsidRPr="00ED3990">
        <w:rPr>
          <w:b/>
          <w:sz w:val="20"/>
          <w:szCs w:val="20"/>
        </w:rPr>
        <w:t xml:space="preserve"> Разпределение на инвестиционната програма, според най-големия дял отговорили</w:t>
      </w:r>
      <w:bookmarkEnd w:id="100"/>
    </w:p>
    <w:p w:rsidR="00EE754B" w:rsidRPr="00EE754B" w:rsidRDefault="00EE754B" w:rsidP="00B462AB">
      <w:pPr>
        <w:spacing w:after="0" w:line="240" w:lineRule="auto"/>
        <w:rPr>
          <w:rFonts w:eastAsia="Times New Roman" w:cs="Arial"/>
          <w:bCs/>
          <w:color w:val="000000"/>
          <w:lang w:eastAsia="bg-BG"/>
        </w:rPr>
      </w:pPr>
    </w:p>
    <w:tbl>
      <w:tblPr>
        <w:tblStyle w:val="LightShading-Accent113"/>
        <w:tblW w:w="0" w:type="auto"/>
        <w:jc w:val="center"/>
        <w:tblLook w:val="04A0" w:firstRow="1" w:lastRow="0" w:firstColumn="1" w:lastColumn="0" w:noHBand="0" w:noVBand="1"/>
      </w:tblPr>
      <w:tblGrid>
        <w:gridCol w:w="2106"/>
        <w:gridCol w:w="2880"/>
        <w:gridCol w:w="2538"/>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825"/>
          <w:jc w:val="center"/>
        </w:trPr>
        <w:tc>
          <w:tcPr>
            <w:cnfStyle w:val="001000000000" w:firstRow="0" w:lastRow="0" w:firstColumn="1" w:lastColumn="0" w:oddVBand="0" w:evenVBand="0" w:oddHBand="0" w:evenHBand="0" w:firstRowFirstColumn="0" w:firstRowLastColumn="0" w:lastRowFirstColumn="0" w:lastRowLastColumn="0"/>
            <w:tcW w:w="2106" w:type="dxa"/>
          </w:tcPr>
          <w:p w:rsidR="00EE754B" w:rsidRPr="00EE754B" w:rsidRDefault="00EE754B" w:rsidP="00B462AB">
            <w:pPr>
              <w:rPr>
                <w:bCs w:val="0"/>
                <w:color w:val="000000"/>
              </w:rPr>
            </w:pPr>
          </w:p>
        </w:tc>
        <w:tc>
          <w:tcPr>
            <w:tcW w:w="2880" w:type="dxa"/>
          </w:tcPr>
          <w:p w:rsidR="00EE754B" w:rsidRPr="00EE754B" w:rsidRDefault="00EE754B" w:rsidP="00B462AB">
            <w:pPr>
              <w:cnfStyle w:val="100000000000" w:firstRow="1" w:lastRow="0" w:firstColumn="0" w:lastColumn="0" w:oddVBand="0" w:evenVBand="0" w:oddHBand="0" w:evenHBand="0" w:firstRowFirstColumn="0" w:firstRowLastColumn="0" w:lastRowFirstColumn="0" w:lastRowLastColumn="0"/>
              <w:rPr>
                <w:bCs w:val="0"/>
                <w:color w:val="000000"/>
              </w:rPr>
            </w:pPr>
            <w:r w:rsidRPr="00EE754B">
              <w:rPr>
                <w:bCs w:val="0"/>
                <w:color w:val="000000"/>
              </w:rPr>
              <w:t xml:space="preserve">Размер на инвестицията, хил. лв. </w:t>
            </w:r>
          </w:p>
          <w:p w:rsidR="00EE754B" w:rsidRPr="00EE754B" w:rsidRDefault="00EE754B" w:rsidP="00B462AB">
            <w:pPr>
              <w:cnfStyle w:val="100000000000" w:firstRow="1" w:lastRow="0" w:firstColumn="0" w:lastColumn="0" w:oddVBand="0" w:evenVBand="0" w:oddHBand="0" w:evenHBand="0" w:firstRowFirstColumn="0" w:firstRowLastColumn="0" w:lastRowFirstColumn="0" w:lastRowLastColumn="0"/>
              <w:rPr>
                <w:bCs w:val="0"/>
                <w:color w:val="000000"/>
              </w:rPr>
            </w:pPr>
            <w:r w:rsidRPr="00EE754B">
              <w:rPr>
                <w:bCs w:val="0"/>
                <w:color w:val="000000"/>
              </w:rPr>
              <w:t>(50% от отговорилите)</w:t>
            </w:r>
          </w:p>
        </w:tc>
        <w:tc>
          <w:tcPr>
            <w:tcW w:w="2538" w:type="dxa"/>
          </w:tcPr>
          <w:p w:rsidR="00EE754B" w:rsidRPr="00EE754B" w:rsidRDefault="00EE754B" w:rsidP="00B462AB">
            <w:pPr>
              <w:cnfStyle w:val="100000000000" w:firstRow="1" w:lastRow="0" w:firstColumn="0" w:lastColumn="0" w:oddVBand="0" w:evenVBand="0" w:oddHBand="0" w:evenHBand="0" w:firstRowFirstColumn="0" w:firstRowLastColumn="0" w:lastRowFirstColumn="0" w:lastRowLastColumn="0"/>
              <w:rPr>
                <w:bCs w:val="0"/>
                <w:color w:val="000000"/>
              </w:rPr>
            </w:pPr>
            <w:r w:rsidRPr="00EE754B">
              <w:rPr>
                <w:bCs w:val="0"/>
                <w:color w:val="000000"/>
              </w:rPr>
              <w:t>Размер на инвестицията  хил. лв.</w:t>
            </w:r>
          </w:p>
          <w:p w:rsidR="00EE754B" w:rsidRPr="00EE754B" w:rsidRDefault="00EE754B" w:rsidP="00B462AB">
            <w:pPr>
              <w:cnfStyle w:val="100000000000" w:firstRow="1" w:lastRow="0" w:firstColumn="0" w:lastColumn="0" w:oddVBand="0" w:evenVBand="0" w:oddHBand="0" w:evenHBand="0" w:firstRowFirstColumn="0" w:firstRowLastColumn="0" w:lastRowFirstColumn="0" w:lastRowLastColumn="0"/>
              <w:rPr>
                <w:bCs w:val="0"/>
                <w:color w:val="000000"/>
              </w:rPr>
            </w:pPr>
            <w:r w:rsidRPr="00EE754B">
              <w:rPr>
                <w:bCs w:val="0"/>
                <w:color w:val="000000"/>
              </w:rPr>
              <w:t>(50% от отговорилите)</w:t>
            </w:r>
          </w:p>
        </w:tc>
      </w:tr>
      <w:tr w:rsidR="00EE754B" w:rsidRPr="00EE754B" w:rsidTr="00ED399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06" w:type="dxa"/>
          </w:tcPr>
          <w:p w:rsidR="00EE754B" w:rsidRPr="00EE754B" w:rsidRDefault="00EE754B" w:rsidP="00B462AB">
            <w:pPr>
              <w:rPr>
                <w:bCs w:val="0"/>
                <w:color w:val="000000"/>
              </w:rPr>
            </w:pPr>
            <w:r w:rsidRPr="00EE754B">
              <w:rPr>
                <w:bCs w:val="0"/>
                <w:color w:val="000000"/>
              </w:rPr>
              <w:t>Първа година 2013)</w:t>
            </w:r>
          </w:p>
        </w:tc>
        <w:tc>
          <w:tcPr>
            <w:tcW w:w="2880" w:type="dxa"/>
          </w:tcPr>
          <w:p w:rsidR="00EE754B" w:rsidRPr="00EE754B" w:rsidRDefault="00EE754B" w:rsidP="00B462AB">
            <w:pPr>
              <w:cnfStyle w:val="000000100000" w:firstRow="0" w:lastRow="0" w:firstColumn="0" w:lastColumn="0" w:oddVBand="0" w:evenVBand="0" w:oddHBand="1" w:evenHBand="0" w:firstRowFirstColumn="0" w:firstRowLastColumn="0" w:lastRowFirstColumn="0" w:lastRowLastColumn="0"/>
              <w:rPr>
                <w:bCs/>
                <w:color w:val="000000"/>
              </w:rPr>
            </w:pPr>
            <w:r w:rsidRPr="00EE754B">
              <w:rPr>
                <w:bCs/>
                <w:color w:val="000000"/>
              </w:rPr>
              <w:t xml:space="preserve">462 </w:t>
            </w:r>
          </w:p>
        </w:tc>
        <w:tc>
          <w:tcPr>
            <w:tcW w:w="2538" w:type="dxa"/>
          </w:tcPr>
          <w:p w:rsidR="00EE754B" w:rsidRPr="00EE754B" w:rsidRDefault="00EE754B" w:rsidP="00B462AB">
            <w:pPr>
              <w:cnfStyle w:val="000000100000" w:firstRow="0" w:lastRow="0" w:firstColumn="0" w:lastColumn="0" w:oddVBand="0" w:evenVBand="0" w:oddHBand="1" w:evenHBand="0" w:firstRowFirstColumn="0" w:firstRowLastColumn="0" w:lastRowFirstColumn="0" w:lastRowLastColumn="0"/>
              <w:rPr>
                <w:bCs/>
                <w:color w:val="000000"/>
              </w:rPr>
            </w:pPr>
            <w:r w:rsidRPr="00EE754B">
              <w:rPr>
                <w:bCs/>
                <w:color w:val="000000"/>
              </w:rPr>
              <w:t xml:space="preserve">500 </w:t>
            </w:r>
          </w:p>
        </w:tc>
      </w:tr>
      <w:tr w:rsidR="00EE754B" w:rsidRPr="00EE754B" w:rsidTr="00ED3990">
        <w:trPr>
          <w:jc w:val="center"/>
        </w:trPr>
        <w:tc>
          <w:tcPr>
            <w:cnfStyle w:val="001000000000" w:firstRow="0" w:lastRow="0" w:firstColumn="1" w:lastColumn="0" w:oddVBand="0" w:evenVBand="0" w:oddHBand="0" w:evenHBand="0" w:firstRowFirstColumn="0" w:firstRowLastColumn="0" w:lastRowFirstColumn="0" w:lastRowLastColumn="0"/>
            <w:tcW w:w="2106" w:type="dxa"/>
          </w:tcPr>
          <w:p w:rsidR="00EE754B" w:rsidRPr="00EE754B" w:rsidRDefault="00EE754B" w:rsidP="00B462AB">
            <w:pPr>
              <w:rPr>
                <w:bCs w:val="0"/>
                <w:color w:val="000000"/>
              </w:rPr>
            </w:pPr>
            <w:r w:rsidRPr="00EE754B">
              <w:rPr>
                <w:bCs w:val="0"/>
                <w:color w:val="000000"/>
              </w:rPr>
              <w:t>Втора година (2014)</w:t>
            </w:r>
          </w:p>
        </w:tc>
        <w:tc>
          <w:tcPr>
            <w:tcW w:w="2880" w:type="dxa"/>
          </w:tcPr>
          <w:p w:rsidR="00EE754B" w:rsidRPr="00EE754B" w:rsidRDefault="00EE754B" w:rsidP="00B462AB">
            <w:pPr>
              <w:cnfStyle w:val="000000000000" w:firstRow="0" w:lastRow="0" w:firstColumn="0" w:lastColumn="0" w:oddVBand="0" w:evenVBand="0" w:oddHBand="0" w:evenHBand="0" w:firstRowFirstColumn="0" w:firstRowLastColumn="0" w:lastRowFirstColumn="0" w:lastRowLastColumn="0"/>
              <w:rPr>
                <w:bCs/>
                <w:color w:val="000000"/>
              </w:rPr>
            </w:pPr>
            <w:r w:rsidRPr="00EE754B">
              <w:rPr>
                <w:bCs/>
                <w:color w:val="000000"/>
              </w:rPr>
              <w:t xml:space="preserve">756 </w:t>
            </w:r>
          </w:p>
        </w:tc>
        <w:tc>
          <w:tcPr>
            <w:tcW w:w="2538" w:type="dxa"/>
          </w:tcPr>
          <w:p w:rsidR="00EE754B" w:rsidRPr="00EE754B" w:rsidRDefault="00EE754B" w:rsidP="00B462AB">
            <w:pPr>
              <w:cnfStyle w:val="000000000000" w:firstRow="0" w:lastRow="0" w:firstColumn="0" w:lastColumn="0" w:oddVBand="0" w:evenVBand="0" w:oddHBand="0" w:evenHBand="0" w:firstRowFirstColumn="0" w:firstRowLastColumn="0" w:lastRowFirstColumn="0" w:lastRowLastColumn="0"/>
              <w:rPr>
                <w:bCs/>
                <w:color w:val="000000"/>
              </w:rPr>
            </w:pPr>
            <w:r w:rsidRPr="00EE754B">
              <w:rPr>
                <w:bCs/>
                <w:color w:val="000000"/>
              </w:rPr>
              <w:t>1500</w:t>
            </w:r>
          </w:p>
        </w:tc>
      </w:tr>
      <w:tr w:rsidR="00EE754B" w:rsidRPr="00EE754B" w:rsidTr="00ED399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06" w:type="dxa"/>
          </w:tcPr>
          <w:p w:rsidR="00EE754B" w:rsidRPr="00EE754B" w:rsidRDefault="00EE754B" w:rsidP="00B462AB">
            <w:pPr>
              <w:rPr>
                <w:bCs w:val="0"/>
                <w:color w:val="000000"/>
              </w:rPr>
            </w:pPr>
            <w:r w:rsidRPr="00EE754B">
              <w:rPr>
                <w:bCs w:val="0"/>
                <w:color w:val="000000"/>
              </w:rPr>
              <w:t>Трета година (2015)</w:t>
            </w:r>
          </w:p>
        </w:tc>
        <w:tc>
          <w:tcPr>
            <w:tcW w:w="2880" w:type="dxa"/>
          </w:tcPr>
          <w:p w:rsidR="00EE754B" w:rsidRPr="00EE754B" w:rsidRDefault="00EE754B" w:rsidP="00B462AB">
            <w:pPr>
              <w:cnfStyle w:val="000000100000" w:firstRow="0" w:lastRow="0" w:firstColumn="0" w:lastColumn="0" w:oddVBand="0" w:evenVBand="0" w:oddHBand="1" w:evenHBand="0" w:firstRowFirstColumn="0" w:firstRowLastColumn="0" w:lastRowFirstColumn="0" w:lastRowLastColumn="0"/>
              <w:rPr>
                <w:bCs/>
                <w:color w:val="000000"/>
              </w:rPr>
            </w:pPr>
            <w:r w:rsidRPr="00EE754B">
              <w:rPr>
                <w:bCs/>
                <w:color w:val="000000"/>
              </w:rPr>
              <w:t>744</w:t>
            </w:r>
          </w:p>
        </w:tc>
        <w:tc>
          <w:tcPr>
            <w:tcW w:w="2538" w:type="dxa"/>
          </w:tcPr>
          <w:p w:rsidR="00EE754B" w:rsidRPr="00EE754B" w:rsidRDefault="00EE754B" w:rsidP="00B462AB">
            <w:pPr>
              <w:cnfStyle w:val="000000100000" w:firstRow="0" w:lastRow="0" w:firstColumn="0" w:lastColumn="0" w:oddVBand="0" w:evenVBand="0" w:oddHBand="1" w:evenHBand="0" w:firstRowFirstColumn="0" w:firstRowLastColumn="0" w:lastRowFirstColumn="0" w:lastRowLastColumn="0"/>
              <w:rPr>
                <w:bCs/>
                <w:color w:val="000000"/>
              </w:rPr>
            </w:pPr>
            <w:r w:rsidRPr="00EE754B">
              <w:rPr>
                <w:bCs/>
                <w:color w:val="000000"/>
              </w:rPr>
              <w:t>1500</w:t>
            </w:r>
          </w:p>
        </w:tc>
      </w:tr>
      <w:tr w:rsidR="00EE754B" w:rsidRPr="00EE754B" w:rsidTr="00ED3990">
        <w:trPr>
          <w:jc w:val="center"/>
        </w:trPr>
        <w:tc>
          <w:tcPr>
            <w:cnfStyle w:val="001000000000" w:firstRow="0" w:lastRow="0" w:firstColumn="1" w:lastColumn="0" w:oddVBand="0" w:evenVBand="0" w:oddHBand="0" w:evenHBand="0" w:firstRowFirstColumn="0" w:firstRowLastColumn="0" w:lastRowFirstColumn="0" w:lastRowLastColumn="0"/>
            <w:tcW w:w="2106" w:type="dxa"/>
          </w:tcPr>
          <w:p w:rsidR="00EE754B" w:rsidRPr="00EE754B" w:rsidRDefault="00EE754B" w:rsidP="00B462AB">
            <w:pPr>
              <w:rPr>
                <w:bCs w:val="0"/>
                <w:color w:val="000000"/>
              </w:rPr>
            </w:pPr>
            <w:r w:rsidRPr="00EE754B">
              <w:rPr>
                <w:bCs w:val="0"/>
                <w:color w:val="000000"/>
              </w:rPr>
              <w:t>Четвърта година (2016)</w:t>
            </w:r>
          </w:p>
        </w:tc>
        <w:tc>
          <w:tcPr>
            <w:tcW w:w="5418" w:type="dxa"/>
            <w:gridSpan w:val="2"/>
          </w:tcPr>
          <w:p w:rsidR="00EE754B" w:rsidRPr="00EE754B" w:rsidRDefault="00EE754B" w:rsidP="00B462AB">
            <w:pPr>
              <w:cnfStyle w:val="000000000000" w:firstRow="0" w:lastRow="0" w:firstColumn="0" w:lastColumn="0" w:oddVBand="0" w:evenVBand="0" w:oddHBand="0" w:evenHBand="0" w:firstRowFirstColumn="0" w:firstRowLastColumn="0" w:lastRowFirstColumn="0" w:lastRowLastColumn="0"/>
              <w:rPr>
                <w:bCs/>
                <w:color w:val="000000"/>
              </w:rPr>
            </w:pPr>
            <w:r w:rsidRPr="00EE754B">
              <w:rPr>
                <w:bCs/>
                <w:color w:val="000000"/>
              </w:rPr>
              <w:t>2000</w:t>
            </w:r>
          </w:p>
        </w:tc>
      </w:tr>
      <w:tr w:rsidR="00EE754B" w:rsidRPr="00EE754B" w:rsidTr="00ED399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06" w:type="dxa"/>
          </w:tcPr>
          <w:p w:rsidR="00EE754B" w:rsidRPr="00EE754B" w:rsidRDefault="00EE754B" w:rsidP="00B462AB">
            <w:pPr>
              <w:rPr>
                <w:bCs w:val="0"/>
                <w:color w:val="000000"/>
              </w:rPr>
            </w:pPr>
            <w:r w:rsidRPr="00EE754B">
              <w:rPr>
                <w:bCs w:val="0"/>
                <w:color w:val="000000"/>
              </w:rPr>
              <w:t>Пета година (2017)</w:t>
            </w:r>
          </w:p>
        </w:tc>
        <w:tc>
          <w:tcPr>
            <w:tcW w:w="5418" w:type="dxa"/>
            <w:gridSpan w:val="2"/>
          </w:tcPr>
          <w:p w:rsidR="00EE754B" w:rsidRPr="00EE754B" w:rsidRDefault="00EE754B" w:rsidP="00B462AB">
            <w:pPr>
              <w:cnfStyle w:val="000000100000" w:firstRow="0" w:lastRow="0" w:firstColumn="0" w:lastColumn="0" w:oddVBand="0" w:evenVBand="0" w:oddHBand="1" w:evenHBand="0" w:firstRowFirstColumn="0" w:firstRowLastColumn="0" w:lastRowFirstColumn="0" w:lastRowLastColumn="0"/>
              <w:rPr>
                <w:bCs/>
                <w:color w:val="000000"/>
              </w:rPr>
            </w:pPr>
            <w:r w:rsidRPr="00EE754B">
              <w:rPr>
                <w:bCs/>
                <w:color w:val="000000"/>
              </w:rPr>
              <w:t>2000</w:t>
            </w:r>
          </w:p>
        </w:tc>
      </w:tr>
    </w:tbl>
    <w:p w:rsidR="00EE754B" w:rsidRPr="00EE754B" w:rsidRDefault="00EE754B" w:rsidP="00B462AB">
      <w:pPr>
        <w:spacing w:after="0" w:line="240" w:lineRule="auto"/>
        <w:rPr>
          <w:rFonts w:eastAsia="Times New Roman" w:cs="Arial"/>
          <w:b/>
          <w:bCs/>
          <w:color w:val="000000"/>
          <w:lang w:eastAsia="bg-BG"/>
        </w:rPr>
      </w:pPr>
    </w:p>
    <w:p w:rsidR="00EE754B" w:rsidRPr="00ED3990" w:rsidRDefault="00EE754B" w:rsidP="00B462AB">
      <w:pPr>
        <w:spacing w:after="0" w:line="240" w:lineRule="auto"/>
        <w:rPr>
          <w:rFonts w:eastAsia="Times New Roman" w:cs="Arial"/>
          <w:bCs/>
          <w:color w:val="000000"/>
          <w:lang w:eastAsia="bg-BG"/>
        </w:rPr>
      </w:pPr>
      <w:r w:rsidRPr="00ED3990">
        <w:rPr>
          <w:rFonts w:eastAsia="Times New Roman" w:cs="Arial"/>
          <w:bCs/>
          <w:color w:val="000000"/>
          <w:lang w:eastAsia="bg-BG"/>
        </w:rPr>
        <w:t>Следват специфични въпроси, разделени по основни сектори: Води, Отпадъци, КАВ</w:t>
      </w:r>
    </w:p>
    <w:p w:rsidR="00F00027" w:rsidRDefault="00F00027" w:rsidP="00B462AB">
      <w:pPr>
        <w:spacing w:before="240" w:after="120" w:line="240" w:lineRule="auto"/>
        <w:outlineLvl w:val="3"/>
        <w:rPr>
          <w:rFonts w:ascii="Calibri" w:eastAsia="Calibri" w:hAnsi="Calibri" w:cs="Times New Roman"/>
          <w:b/>
          <w:i/>
          <w:color w:val="4F81BD"/>
        </w:rPr>
      </w:pPr>
    </w:p>
    <w:p w:rsidR="00EE754B" w:rsidRPr="00ED3990" w:rsidRDefault="00EE754B" w:rsidP="00B462AB">
      <w:pPr>
        <w:spacing w:before="240" w:after="120" w:line="240" w:lineRule="auto"/>
        <w:outlineLvl w:val="3"/>
        <w:rPr>
          <w:rFonts w:ascii="Calibri" w:eastAsia="Calibri" w:hAnsi="Calibri" w:cs="Times New Roman"/>
          <w:b/>
          <w:i/>
          <w:color w:val="4F81BD"/>
        </w:rPr>
      </w:pPr>
      <w:r w:rsidRPr="00ED3990">
        <w:rPr>
          <w:rFonts w:ascii="Calibri" w:eastAsia="Calibri" w:hAnsi="Calibri" w:cs="Times New Roman"/>
          <w:b/>
          <w:i/>
          <w:color w:val="4F81BD"/>
        </w:rPr>
        <w:t xml:space="preserve">Сектор </w:t>
      </w:r>
      <w:r w:rsidR="00ED3990">
        <w:rPr>
          <w:rFonts w:ascii="Calibri" w:eastAsia="Calibri" w:hAnsi="Calibri" w:cs="Times New Roman"/>
          <w:b/>
          <w:i/>
          <w:color w:val="4F81BD"/>
        </w:rPr>
        <w:t>В</w:t>
      </w:r>
      <w:r w:rsidRPr="00ED3990">
        <w:rPr>
          <w:rFonts w:ascii="Calibri" w:eastAsia="Calibri" w:hAnsi="Calibri" w:cs="Times New Roman"/>
          <w:b/>
          <w:i/>
          <w:color w:val="4F81BD"/>
        </w:rPr>
        <w:t>оди</w:t>
      </w:r>
    </w:p>
    <w:p w:rsidR="00EE754B" w:rsidRPr="00EE754B" w:rsidRDefault="00EE754B" w:rsidP="00ED3990">
      <w:pPr>
        <w:spacing w:after="0" w:line="240" w:lineRule="auto"/>
        <w:rPr>
          <w:rFonts w:eastAsia="Times New Roman" w:cs="Arial"/>
          <w:bCs/>
          <w:i/>
          <w:iCs/>
          <w:color w:val="000000"/>
          <w:lang w:eastAsia="bg-BG"/>
        </w:rPr>
      </w:pPr>
      <w:r w:rsidRPr="00EE754B">
        <w:rPr>
          <w:rFonts w:eastAsia="Times New Roman" w:cs="Arial"/>
          <w:bCs/>
          <w:i/>
          <w:iCs/>
          <w:color w:val="000000"/>
          <w:lang w:eastAsia="bg-BG"/>
        </w:rPr>
        <w:t xml:space="preserve">Следващите въпроси са зададени на </w:t>
      </w:r>
      <w:r w:rsidR="00E74BDD" w:rsidRPr="00EE754B">
        <w:rPr>
          <w:rFonts w:eastAsia="Times New Roman" w:cs="Arial"/>
          <w:bCs/>
          <w:i/>
          <w:iCs/>
          <w:color w:val="000000"/>
          <w:lang w:eastAsia="bg-BG"/>
        </w:rPr>
        <w:t>респонденти</w:t>
      </w:r>
      <w:r w:rsidRPr="00EE754B">
        <w:rPr>
          <w:rFonts w:eastAsia="Times New Roman" w:cs="Arial"/>
          <w:bCs/>
          <w:i/>
          <w:iCs/>
          <w:color w:val="000000"/>
          <w:lang w:eastAsia="bg-BG"/>
        </w:rPr>
        <w:t>, посочили сектор Води на въпрос. 2. – общо 16</w:t>
      </w:r>
    </w:p>
    <w:p w:rsidR="00EE754B" w:rsidRPr="00EE754B" w:rsidRDefault="00EE754B" w:rsidP="00ED3990">
      <w:pPr>
        <w:spacing w:after="0" w:line="240" w:lineRule="auto"/>
        <w:rPr>
          <w:rFonts w:eastAsia="Arial" w:cs="Times New Roman"/>
          <w:color w:val="000000"/>
        </w:rPr>
      </w:pPr>
    </w:p>
    <w:p w:rsidR="00EE754B" w:rsidRPr="00EE754B" w:rsidRDefault="00EE754B" w:rsidP="00B462AB">
      <w:pPr>
        <w:spacing w:after="120" w:line="240" w:lineRule="auto"/>
        <w:jc w:val="both"/>
        <w:rPr>
          <w:rFonts w:eastAsia="Times New Roman" w:cs="Arial"/>
          <w:bCs/>
          <w:color w:val="000000"/>
          <w:lang w:eastAsia="bg-BG"/>
        </w:rPr>
      </w:pPr>
      <w:r w:rsidRPr="00EE754B">
        <w:rPr>
          <w:rFonts w:eastAsia="Arial" w:cs="Times New Roman"/>
          <w:color w:val="000000"/>
        </w:rPr>
        <w:t xml:space="preserve">Собственост на активите. Близо 62.5% от отговорилите посочват , че активите за </w:t>
      </w:r>
      <w:r w:rsidRPr="00EE754B">
        <w:rPr>
          <w:rFonts w:eastAsia="Times New Roman" w:cs="Arial"/>
          <w:bCs/>
          <w:color w:val="000000"/>
          <w:lang w:eastAsia="bg-BG"/>
        </w:rPr>
        <w:t>осъществяване на дейността по предоставяне на водоснабдителна и канализационна услуга са собственост на дружеството, 25% - собственост на общината и 12.5% - собственост на държавата. Това потвърждава многообразието в собствеността в сектора.</w:t>
      </w:r>
    </w:p>
    <w:p w:rsidR="00EE754B" w:rsidRPr="00ED3990" w:rsidRDefault="00ED3990" w:rsidP="00ED3990">
      <w:pPr>
        <w:spacing w:before="240" w:line="240" w:lineRule="auto"/>
        <w:jc w:val="center"/>
        <w:rPr>
          <w:b/>
          <w:sz w:val="20"/>
          <w:szCs w:val="20"/>
        </w:rPr>
      </w:pPr>
      <w:bookmarkStart w:id="101" w:name="_Toc399494623"/>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38</w:t>
      </w:r>
      <w:r w:rsidR="008E6461" w:rsidRPr="005C4B92">
        <w:rPr>
          <w:b/>
          <w:sz w:val="20"/>
          <w:szCs w:val="20"/>
        </w:rPr>
        <w:fldChar w:fldCharType="end"/>
      </w:r>
      <w:r>
        <w:rPr>
          <w:b/>
          <w:sz w:val="20"/>
          <w:szCs w:val="20"/>
        </w:rPr>
        <w:t xml:space="preserve">: </w:t>
      </w:r>
      <w:r w:rsidR="00EE754B" w:rsidRPr="00ED3990">
        <w:rPr>
          <w:b/>
          <w:sz w:val="20"/>
          <w:szCs w:val="20"/>
        </w:rPr>
        <w:t>Собственост на активите</w:t>
      </w:r>
      <w:bookmarkEnd w:id="101"/>
    </w:p>
    <w:p w:rsidR="00EE754B" w:rsidRPr="00EE754B" w:rsidRDefault="00ED3990" w:rsidP="00ED3990">
      <w:pPr>
        <w:spacing w:after="0" w:line="240" w:lineRule="auto"/>
        <w:jc w:val="center"/>
        <w:rPr>
          <w:rFonts w:eastAsia="Times New Roman" w:cs="Arial"/>
          <w:b/>
          <w:bCs/>
          <w:color w:val="000000"/>
          <w:lang w:eastAsia="bg-BG"/>
        </w:rPr>
      </w:pPr>
      <w:r>
        <w:rPr>
          <w:rFonts w:eastAsia="Times New Roman" w:cs="Arial"/>
          <w:b/>
          <w:bCs/>
          <w:noProof/>
          <w:color w:val="000000"/>
          <w:lang w:eastAsia="bg-BG"/>
        </w:rPr>
        <w:drawing>
          <wp:inline distT="0" distB="0" distL="0" distR="0">
            <wp:extent cx="5124450" cy="1857613"/>
            <wp:effectExtent l="1905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2" cstate="print"/>
                    <a:srcRect/>
                    <a:stretch>
                      <a:fillRect/>
                    </a:stretch>
                  </pic:blipFill>
                  <pic:spPr bwMode="auto">
                    <a:xfrm>
                      <a:off x="0" y="0"/>
                      <a:ext cx="5124450" cy="1857613"/>
                    </a:xfrm>
                    <a:prstGeom prst="rect">
                      <a:avLst/>
                    </a:prstGeom>
                    <a:noFill/>
                  </pic:spPr>
                </pic:pic>
              </a:graphicData>
            </a:graphic>
          </wp:inline>
        </w:drawing>
      </w:r>
    </w:p>
    <w:p w:rsidR="00C43A5F" w:rsidRDefault="00C43A5F" w:rsidP="00ED3990">
      <w:pPr>
        <w:spacing w:before="240" w:line="240" w:lineRule="auto"/>
        <w:rPr>
          <w:rFonts w:eastAsia="Times New Roman" w:cs="Arial"/>
          <w:bCs/>
          <w:color w:val="000000"/>
          <w:lang w:eastAsia="bg-BG"/>
        </w:rPr>
      </w:pPr>
    </w:p>
    <w:p w:rsidR="00EE754B" w:rsidRDefault="00EE754B" w:rsidP="00ED3990">
      <w:pPr>
        <w:spacing w:before="240" w:line="240" w:lineRule="auto"/>
        <w:rPr>
          <w:rFonts w:eastAsia="Times New Roman" w:cs="Arial"/>
          <w:bCs/>
          <w:color w:val="000000"/>
          <w:lang w:eastAsia="bg-BG"/>
        </w:rPr>
      </w:pPr>
      <w:r w:rsidRPr="00EE754B">
        <w:rPr>
          <w:rFonts w:eastAsia="Times New Roman" w:cs="Arial"/>
          <w:bCs/>
          <w:color w:val="000000"/>
          <w:lang w:eastAsia="bg-BG"/>
        </w:rPr>
        <w:t>69% отговарят, че има регистрирана ВиК асоциация в региона, в който упражняват дейност. Отрицателните отговори са 31%.</w:t>
      </w:r>
    </w:p>
    <w:p w:rsidR="00F00027" w:rsidRDefault="00F00027" w:rsidP="00ED3990">
      <w:pPr>
        <w:spacing w:before="240" w:line="240" w:lineRule="auto"/>
        <w:rPr>
          <w:rFonts w:eastAsia="Times New Roman" w:cs="Arial"/>
          <w:bCs/>
          <w:color w:val="000000"/>
          <w:lang w:eastAsia="bg-BG"/>
        </w:rPr>
      </w:pPr>
    </w:p>
    <w:p w:rsidR="00F00027" w:rsidRDefault="00F00027" w:rsidP="00ED3990">
      <w:pPr>
        <w:spacing w:before="240" w:line="240" w:lineRule="auto"/>
        <w:rPr>
          <w:rFonts w:eastAsia="Times New Roman" w:cs="Arial"/>
          <w:bCs/>
          <w:color w:val="000000"/>
          <w:lang w:eastAsia="bg-BG"/>
        </w:rPr>
      </w:pPr>
    </w:p>
    <w:p w:rsidR="00EE754B" w:rsidRPr="00EE754B" w:rsidRDefault="00ED3990" w:rsidP="00ED3990">
      <w:pPr>
        <w:spacing w:before="240" w:after="120" w:line="240" w:lineRule="auto"/>
        <w:jc w:val="center"/>
        <w:rPr>
          <w:rFonts w:eastAsia="Times New Roman" w:cs="Arial"/>
          <w:smallCaps/>
          <w:color w:val="000000"/>
          <w:spacing w:val="10"/>
          <w:lang w:eastAsia="bg-BG"/>
        </w:rPr>
      </w:pPr>
      <w:bookmarkStart w:id="102" w:name="_Toc399494624"/>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39</w:t>
      </w:r>
      <w:r w:rsidR="008E6461" w:rsidRPr="005C4B92">
        <w:rPr>
          <w:b/>
          <w:sz w:val="20"/>
          <w:szCs w:val="20"/>
        </w:rPr>
        <w:fldChar w:fldCharType="end"/>
      </w:r>
      <w:r>
        <w:rPr>
          <w:b/>
          <w:sz w:val="20"/>
          <w:szCs w:val="20"/>
        </w:rPr>
        <w:t xml:space="preserve">: </w:t>
      </w:r>
      <w:r w:rsidR="00EE754B" w:rsidRPr="00ED3990">
        <w:rPr>
          <w:b/>
          <w:sz w:val="20"/>
          <w:szCs w:val="20"/>
        </w:rPr>
        <w:t>Съществуване на ВиК асоциация в региона на дейност</w:t>
      </w:r>
      <w:bookmarkEnd w:id="102"/>
    </w:p>
    <w:p w:rsidR="00EE754B" w:rsidRPr="00EE754B" w:rsidRDefault="00ED3990" w:rsidP="00ED3990">
      <w:pPr>
        <w:spacing w:after="0" w:line="240" w:lineRule="auto"/>
        <w:jc w:val="center"/>
        <w:rPr>
          <w:rFonts w:eastAsia="Times New Roman" w:cs="Arial"/>
          <w:b/>
          <w:bCs/>
          <w:color w:val="000000"/>
          <w:lang w:eastAsia="bg-BG"/>
        </w:rPr>
      </w:pPr>
      <w:r>
        <w:rPr>
          <w:rFonts w:eastAsia="Times New Roman" w:cs="Arial"/>
          <w:b/>
          <w:bCs/>
          <w:noProof/>
          <w:color w:val="000000"/>
          <w:lang w:eastAsia="bg-BG"/>
        </w:rPr>
        <w:lastRenderedPageBreak/>
        <w:drawing>
          <wp:inline distT="0" distB="0" distL="0" distR="0">
            <wp:extent cx="4505325" cy="2046168"/>
            <wp:effectExtent l="19050" t="0" r="952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83" cstate="print"/>
                    <a:srcRect/>
                    <a:stretch>
                      <a:fillRect/>
                    </a:stretch>
                  </pic:blipFill>
                  <pic:spPr bwMode="auto">
                    <a:xfrm>
                      <a:off x="0" y="0"/>
                      <a:ext cx="4505325" cy="2046168"/>
                    </a:xfrm>
                    <a:prstGeom prst="rect">
                      <a:avLst/>
                    </a:prstGeom>
                    <a:noFill/>
                  </pic:spPr>
                </pic:pic>
              </a:graphicData>
            </a:graphic>
          </wp:inline>
        </w:drawing>
      </w:r>
    </w:p>
    <w:p w:rsidR="00EE754B" w:rsidRPr="00EE754B" w:rsidRDefault="00EE754B" w:rsidP="00B462AB">
      <w:pPr>
        <w:spacing w:after="0" w:line="240" w:lineRule="auto"/>
        <w:rPr>
          <w:rFonts w:eastAsia="Times New Roman" w:cs="Arial"/>
          <w:b/>
          <w:bCs/>
          <w:color w:val="000000"/>
          <w:lang w:eastAsia="bg-BG"/>
        </w:rPr>
      </w:pPr>
    </w:p>
    <w:p w:rsidR="00C43A5F" w:rsidRDefault="00C43A5F" w:rsidP="00B462AB">
      <w:pPr>
        <w:spacing w:line="240" w:lineRule="auto"/>
        <w:jc w:val="both"/>
        <w:rPr>
          <w:rFonts w:eastAsia="Times New Roman" w:cs="Arial"/>
          <w:bCs/>
          <w:color w:val="000000"/>
          <w:lang w:eastAsia="bg-BG"/>
        </w:rPr>
      </w:pPr>
    </w:p>
    <w:p w:rsidR="00EE754B" w:rsidRDefault="00EE754B" w:rsidP="00B462AB">
      <w:pPr>
        <w:spacing w:line="240" w:lineRule="auto"/>
        <w:jc w:val="both"/>
        <w:rPr>
          <w:rFonts w:eastAsia="Times New Roman" w:cs="Arial"/>
          <w:bCs/>
          <w:color w:val="000000"/>
          <w:lang w:eastAsia="bg-BG"/>
        </w:rPr>
      </w:pPr>
      <w:r w:rsidRPr="00EE754B">
        <w:rPr>
          <w:rFonts w:eastAsia="Times New Roman" w:cs="Arial"/>
          <w:bCs/>
          <w:color w:val="000000"/>
          <w:lang w:eastAsia="bg-BG"/>
        </w:rPr>
        <w:t>Запитани относно необходимия финансов ресурс за изпълнение на инвестиционната си програма,  най-голям дял от респондентите (69%) посочват, че това е до 5 млн. лв., 12.5% посочват между 5 и 10 млн. и други 12.5% посочват над 40 млн. лв.</w:t>
      </w:r>
    </w:p>
    <w:p w:rsidR="00C43A5F" w:rsidRPr="00EE754B" w:rsidRDefault="00C43A5F" w:rsidP="00B462AB">
      <w:pPr>
        <w:spacing w:line="240" w:lineRule="auto"/>
        <w:jc w:val="both"/>
        <w:rPr>
          <w:rFonts w:eastAsia="Times New Roman" w:cs="Arial"/>
          <w:bCs/>
          <w:color w:val="000000"/>
          <w:lang w:eastAsia="bg-BG"/>
        </w:rPr>
      </w:pPr>
    </w:p>
    <w:p w:rsidR="00EE754B" w:rsidRPr="00ED3990" w:rsidRDefault="00ED3990" w:rsidP="00ED3990">
      <w:pPr>
        <w:spacing w:before="240" w:after="120" w:line="240" w:lineRule="auto"/>
        <w:jc w:val="center"/>
        <w:rPr>
          <w:b/>
          <w:sz w:val="20"/>
          <w:szCs w:val="20"/>
        </w:rPr>
      </w:pPr>
      <w:bookmarkStart w:id="103" w:name="_Toc399494625"/>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40</w:t>
      </w:r>
      <w:r w:rsidR="008E6461" w:rsidRPr="005C4B92">
        <w:rPr>
          <w:b/>
          <w:sz w:val="20"/>
          <w:szCs w:val="20"/>
        </w:rPr>
        <w:fldChar w:fldCharType="end"/>
      </w:r>
      <w:r>
        <w:rPr>
          <w:b/>
          <w:sz w:val="20"/>
          <w:szCs w:val="20"/>
        </w:rPr>
        <w:t xml:space="preserve">: </w:t>
      </w:r>
      <w:r w:rsidR="00EE754B" w:rsidRPr="00ED3990">
        <w:rPr>
          <w:b/>
          <w:sz w:val="20"/>
          <w:szCs w:val="20"/>
        </w:rPr>
        <w:t>размер на инвестиционната програма</w:t>
      </w:r>
      <w:bookmarkEnd w:id="103"/>
    </w:p>
    <w:p w:rsidR="00EE754B" w:rsidRPr="00EE754B" w:rsidRDefault="00ED3990" w:rsidP="00ED3990">
      <w:pPr>
        <w:spacing w:after="0" w:line="240" w:lineRule="auto"/>
        <w:jc w:val="center"/>
        <w:rPr>
          <w:rFonts w:eastAsia="Times New Roman" w:cs="Arial"/>
          <w:b/>
          <w:bCs/>
          <w:color w:val="000000"/>
          <w:lang w:eastAsia="bg-BG"/>
        </w:rPr>
      </w:pPr>
      <w:r>
        <w:rPr>
          <w:rFonts w:eastAsia="Times New Roman" w:cs="Arial"/>
          <w:b/>
          <w:bCs/>
          <w:noProof/>
          <w:color w:val="000000"/>
          <w:lang w:eastAsia="bg-BG"/>
        </w:rPr>
        <w:drawing>
          <wp:inline distT="0" distB="0" distL="0" distR="0">
            <wp:extent cx="4698560" cy="1885950"/>
            <wp:effectExtent l="19050" t="0" r="679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84" cstate="print"/>
                    <a:srcRect/>
                    <a:stretch>
                      <a:fillRect/>
                    </a:stretch>
                  </pic:blipFill>
                  <pic:spPr bwMode="auto">
                    <a:xfrm>
                      <a:off x="0" y="0"/>
                      <a:ext cx="4702628" cy="1887583"/>
                    </a:xfrm>
                    <a:prstGeom prst="rect">
                      <a:avLst/>
                    </a:prstGeom>
                    <a:noFill/>
                  </pic:spPr>
                </pic:pic>
              </a:graphicData>
            </a:graphic>
          </wp:inline>
        </w:drawing>
      </w:r>
    </w:p>
    <w:p w:rsidR="00C43A5F" w:rsidRDefault="00C43A5F" w:rsidP="00ED3990">
      <w:pPr>
        <w:spacing w:before="240" w:line="240" w:lineRule="auto"/>
        <w:jc w:val="both"/>
        <w:rPr>
          <w:rFonts w:eastAsia="Times New Roman" w:cs="Arial"/>
          <w:bCs/>
          <w:color w:val="000000"/>
          <w:lang w:eastAsia="bg-BG"/>
        </w:rPr>
      </w:pPr>
    </w:p>
    <w:p w:rsidR="00EE754B" w:rsidRDefault="00EE754B" w:rsidP="00ED3990">
      <w:pPr>
        <w:spacing w:before="240" w:line="240" w:lineRule="auto"/>
        <w:jc w:val="both"/>
        <w:rPr>
          <w:rFonts w:eastAsia="Times New Roman" w:cs="Arial"/>
          <w:bCs/>
          <w:color w:val="000000"/>
          <w:lang w:eastAsia="bg-BG"/>
        </w:rPr>
      </w:pPr>
      <w:r w:rsidRPr="00EE754B">
        <w:rPr>
          <w:rFonts w:eastAsia="Times New Roman" w:cs="Arial"/>
          <w:bCs/>
          <w:color w:val="000000"/>
          <w:lang w:eastAsia="bg-BG"/>
        </w:rPr>
        <w:t>На въпрос с колко % биха увеличили инвестиционната си програма през следващите 5 г, ако имат достъп до финансиране чрез ФИ (под формата на заем, гаранции или дялов капитал), най-голям дял (31%) посочват между 10 и 20%, следвани от близо 19%, които биха увеличили програмата си с 5%. Близо 19% обаче споделят, че не биха увеличили инвестиционната си програма.</w:t>
      </w:r>
    </w:p>
    <w:p w:rsidR="00C43A5F" w:rsidRDefault="00C43A5F" w:rsidP="00ED3990">
      <w:pPr>
        <w:spacing w:before="240" w:line="240" w:lineRule="auto"/>
        <w:jc w:val="both"/>
        <w:rPr>
          <w:rFonts w:eastAsia="Times New Roman" w:cs="Arial"/>
          <w:bCs/>
          <w:color w:val="000000"/>
          <w:lang w:eastAsia="bg-BG"/>
        </w:rPr>
      </w:pPr>
    </w:p>
    <w:p w:rsidR="00C43A5F" w:rsidRDefault="00C43A5F" w:rsidP="00ED3990">
      <w:pPr>
        <w:spacing w:before="240" w:line="240" w:lineRule="auto"/>
        <w:jc w:val="both"/>
        <w:rPr>
          <w:rFonts w:eastAsia="Times New Roman" w:cs="Arial"/>
          <w:bCs/>
          <w:color w:val="000000"/>
          <w:lang w:eastAsia="bg-BG"/>
        </w:rPr>
      </w:pPr>
    </w:p>
    <w:p w:rsidR="00C43A5F" w:rsidRPr="00EE754B" w:rsidRDefault="00C43A5F" w:rsidP="00ED3990">
      <w:pPr>
        <w:spacing w:before="240" w:line="240" w:lineRule="auto"/>
        <w:jc w:val="both"/>
        <w:rPr>
          <w:rFonts w:eastAsia="Times New Roman" w:cs="Arial"/>
          <w:bCs/>
          <w:color w:val="000000"/>
          <w:lang w:eastAsia="bg-BG"/>
        </w:rPr>
      </w:pPr>
    </w:p>
    <w:p w:rsidR="00EE754B" w:rsidRPr="00EE754B" w:rsidRDefault="00ED3990" w:rsidP="00A82D1C">
      <w:pPr>
        <w:keepNext/>
        <w:spacing w:before="240" w:after="120" w:line="240" w:lineRule="auto"/>
        <w:jc w:val="center"/>
        <w:rPr>
          <w:rFonts w:eastAsia="Times New Roman" w:cs="Arial"/>
          <w:smallCaps/>
          <w:color w:val="000000"/>
          <w:spacing w:val="10"/>
          <w:lang w:eastAsia="bg-BG"/>
        </w:rPr>
      </w:pPr>
      <w:bookmarkStart w:id="104" w:name="_Toc399494626"/>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41</w:t>
      </w:r>
      <w:r w:rsidR="008E6461" w:rsidRPr="005C4B92">
        <w:rPr>
          <w:b/>
          <w:sz w:val="20"/>
          <w:szCs w:val="20"/>
        </w:rPr>
        <w:fldChar w:fldCharType="end"/>
      </w:r>
      <w:r>
        <w:rPr>
          <w:b/>
          <w:sz w:val="20"/>
          <w:szCs w:val="20"/>
        </w:rPr>
        <w:t xml:space="preserve">: </w:t>
      </w:r>
      <w:r w:rsidR="00EE754B" w:rsidRPr="00ED3990">
        <w:rPr>
          <w:b/>
          <w:sz w:val="20"/>
          <w:szCs w:val="20"/>
        </w:rPr>
        <w:t>С колко бихте увеличили инвестиционната си програма</w:t>
      </w:r>
      <w:bookmarkEnd w:id="104"/>
    </w:p>
    <w:p w:rsidR="00EE754B" w:rsidRPr="00EE754B" w:rsidRDefault="00ED3990" w:rsidP="00C43A5F">
      <w:pPr>
        <w:spacing w:after="0" w:line="240" w:lineRule="auto"/>
        <w:jc w:val="center"/>
        <w:rPr>
          <w:rFonts w:eastAsia="Times New Roman" w:cs="Arial"/>
          <w:bCs/>
          <w:color w:val="000000"/>
          <w:lang w:eastAsia="bg-BG"/>
        </w:rPr>
      </w:pPr>
      <w:r>
        <w:rPr>
          <w:rFonts w:eastAsia="Times New Roman" w:cs="Arial"/>
          <w:bCs/>
          <w:noProof/>
          <w:color w:val="000000"/>
          <w:lang w:eastAsia="bg-BG"/>
        </w:rPr>
        <w:drawing>
          <wp:inline distT="0" distB="0" distL="0" distR="0">
            <wp:extent cx="4848225" cy="2323108"/>
            <wp:effectExtent l="19050" t="0" r="9525"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85" cstate="print"/>
                    <a:srcRect/>
                    <a:stretch>
                      <a:fillRect/>
                    </a:stretch>
                  </pic:blipFill>
                  <pic:spPr bwMode="auto">
                    <a:xfrm>
                      <a:off x="0" y="0"/>
                      <a:ext cx="4848225" cy="2323108"/>
                    </a:xfrm>
                    <a:prstGeom prst="rect">
                      <a:avLst/>
                    </a:prstGeom>
                    <a:noFill/>
                  </pic:spPr>
                </pic:pic>
              </a:graphicData>
            </a:graphic>
          </wp:inline>
        </w:drawing>
      </w:r>
    </w:p>
    <w:p w:rsidR="00EE754B" w:rsidRPr="00EE754B" w:rsidRDefault="00EE754B" w:rsidP="00ED3990">
      <w:pPr>
        <w:spacing w:before="240" w:line="240" w:lineRule="auto"/>
        <w:jc w:val="both"/>
        <w:rPr>
          <w:rFonts w:eastAsia="Times New Roman" w:cs="Arial"/>
          <w:color w:val="000000"/>
          <w:lang w:eastAsia="bg-BG"/>
        </w:rPr>
      </w:pPr>
      <w:r w:rsidRPr="00EE754B">
        <w:rPr>
          <w:rFonts w:eastAsia="Times New Roman" w:cs="Arial"/>
          <w:color w:val="000000"/>
          <w:lang w:eastAsia="bg-BG"/>
        </w:rPr>
        <w:t xml:space="preserve">Зададени са и група доуточняващи въпроси, които търсят причините относно затрудненията за инвестиции. </w:t>
      </w:r>
    </w:p>
    <w:p w:rsidR="00EE754B" w:rsidRPr="00EE754B" w:rsidRDefault="00EE754B" w:rsidP="00B462AB">
      <w:pPr>
        <w:spacing w:after="0" w:line="240" w:lineRule="auto"/>
        <w:jc w:val="both"/>
        <w:rPr>
          <w:rFonts w:eastAsia="Times New Roman" w:cs="Arial"/>
          <w:color w:val="000000"/>
          <w:lang w:eastAsia="bg-BG"/>
        </w:rPr>
      </w:pPr>
      <w:r w:rsidRPr="00EE754B">
        <w:rPr>
          <w:rFonts w:eastAsia="Times New Roman" w:cs="Arial"/>
          <w:color w:val="000000"/>
          <w:lang w:eastAsia="bg-BG"/>
        </w:rPr>
        <w:t>56% от отговорилите считат, че покриването на големите загуби на вода са такава причина, следвани от 37.5%, които считат, че това са търговските загуби и 25%, които отчитат нормативни ограничения.</w:t>
      </w:r>
    </w:p>
    <w:p w:rsidR="00ED3990" w:rsidRPr="00ED3990" w:rsidRDefault="00ED3990" w:rsidP="00B462AB">
      <w:pPr>
        <w:spacing w:after="0" w:line="240" w:lineRule="auto"/>
        <w:rPr>
          <w:rFonts w:eastAsia="Times New Roman" w:cs="Arial"/>
          <w:b/>
          <w:bCs/>
          <w:color w:val="000000"/>
          <w:lang w:eastAsia="bg-BG"/>
        </w:rPr>
      </w:pPr>
    </w:p>
    <w:p w:rsidR="00EE754B" w:rsidRPr="00ED3990" w:rsidRDefault="00ED3990" w:rsidP="00ED3990">
      <w:pPr>
        <w:spacing w:before="240" w:after="120" w:line="240" w:lineRule="auto"/>
        <w:jc w:val="center"/>
        <w:rPr>
          <w:b/>
          <w:sz w:val="20"/>
          <w:szCs w:val="20"/>
        </w:rPr>
      </w:pPr>
      <w:bookmarkStart w:id="105" w:name="_Toc399494627"/>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42</w:t>
      </w:r>
      <w:r w:rsidR="008E6461" w:rsidRPr="005C4B92">
        <w:rPr>
          <w:b/>
          <w:sz w:val="20"/>
          <w:szCs w:val="20"/>
        </w:rPr>
        <w:fldChar w:fldCharType="end"/>
      </w:r>
      <w:r>
        <w:rPr>
          <w:b/>
          <w:sz w:val="20"/>
          <w:szCs w:val="20"/>
        </w:rPr>
        <w:t xml:space="preserve">:  Причини за ограничаване </w:t>
      </w:r>
      <w:r w:rsidR="00EE754B" w:rsidRPr="00ED3990">
        <w:rPr>
          <w:b/>
          <w:sz w:val="20"/>
          <w:szCs w:val="20"/>
        </w:rPr>
        <w:t>на инвестициите</w:t>
      </w:r>
      <w:bookmarkEnd w:id="105"/>
    </w:p>
    <w:p w:rsidR="00EE754B" w:rsidRPr="00EE754B" w:rsidRDefault="00ED3990" w:rsidP="00ED3990">
      <w:pPr>
        <w:spacing w:after="0" w:line="240" w:lineRule="auto"/>
        <w:jc w:val="center"/>
        <w:rPr>
          <w:rFonts w:eastAsia="Times New Roman" w:cs="Arial"/>
          <w:b/>
          <w:color w:val="000000"/>
          <w:lang w:eastAsia="bg-BG"/>
        </w:rPr>
      </w:pPr>
      <w:r>
        <w:rPr>
          <w:rFonts w:eastAsia="Times New Roman" w:cs="Arial"/>
          <w:b/>
          <w:noProof/>
          <w:color w:val="000000"/>
          <w:lang w:eastAsia="bg-BG"/>
        </w:rPr>
        <w:drawing>
          <wp:inline distT="0" distB="0" distL="0" distR="0">
            <wp:extent cx="5153025" cy="1867972"/>
            <wp:effectExtent l="1905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0" cstate="print"/>
                    <a:srcRect/>
                    <a:stretch>
                      <a:fillRect/>
                    </a:stretch>
                  </pic:blipFill>
                  <pic:spPr bwMode="auto">
                    <a:xfrm>
                      <a:off x="0" y="0"/>
                      <a:ext cx="5153025" cy="1867972"/>
                    </a:xfrm>
                    <a:prstGeom prst="rect">
                      <a:avLst/>
                    </a:prstGeom>
                    <a:noFill/>
                  </pic:spPr>
                </pic:pic>
              </a:graphicData>
            </a:graphic>
          </wp:inline>
        </w:drawing>
      </w:r>
    </w:p>
    <w:p w:rsidR="00EE754B" w:rsidRDefault="00EE754B" w:rsidP="00ED3990">
      <w:pPr>
        <w:spacing w:before="240" w:line="240" w:lineRule="auto"/>
        <w:rPr>
          <w:rFonts w:eastAsia="Times New Roman" w:cs="Arial"/>
          <w:bCs/>
          <w:color w:val="000000"/>
          <w:lang w:eastAsia="bg-BG"/>
        </w:rPr>
      </w:pPr>
      <w:r w:rsidRPr="00EE754B">
        <w:rPr>
          <w:rFonts w:eastAsia="Times New Roman" w:cs="Arial"/>
          <w:color w:val="000000"/>
          <w:lang w:eastAsia="bg-BG"/>
        </w:rPr>
        <w:t>Същевременно, 50% от отговорилите посочват, че в значителна степен ДКЕВР ограничава възможностите за инвестиции</w:t>
      </w:r>
      <w:r w:rsidRPr="00EE754B">
        <w:rPr>
          <w:rFonts w:eastAsia="Times New Roman" w:cs="Arial"/>
          <w:bCs/>
          <w:color w:val="000000"/>
          <w:lang w:eastAsia="bg-BG"/>
        </w:rPr>
        <w:t xml:space="preserve"> във ВиК инфраструктура, предвид регулирането тавана на цените за ВиК услуги.</w:t>
      </w:r>
    </w:p>
    <w:p w:rsidR="00C43A5F" w:rsidRDefault="00C43A5F" w:rsidP="00ED3990">
      <w:pPr>
        <w:spacing w:before="240" w:line="240" w:lineRule="auto"/>
        <w:rPr>
          <w:rFonts w:eastAsia="Times New Roman" w:cs="Arial"/>
          <w:bCs/>
          <w:color w:val="000000"/>
          <w:lang w:eastAsia="bg-BG"/>
        </w:rPr>
      </w:pPr>
    </w:p>
    <w:p w:rsidR="00C43A5F" w:rsidRDefault="00C43A5F" w:rsidP="00ED3990">
      <w:pPr>
        <w:spacing w:before="240" w:line="240" w:lineRule="auto"/>
        <w:rPr>
          <w:rFonts w:eastAsia="Times New Roman" w:cs="Arial"/>
          <w:bCs/>
          <w:color w:val="000000"/>
          <w:lang w:eastAsia="bg-BG"/>
        </w:rPr>
      </w:pPr>
    </w:p>
    <w:p w:rsidR="00C43A5F" w:rsidRDefault="00C43A5F" w:rsidP="00ED3990">
      <w:pPr>
        <w:spacing w:before="240" w:line="240" w:lineRule="auto"/>
        <w:rPr>
          <w:rFonts w:eastAsia="Times New Roman" w:cs="Arial"/>
          <w:bCs/>
          <w:color w:val="000000"/>
          <w:lang w:eastAsia="bg-BG"/>
        </w:rPr>
      </w:pPr>
    </w:p>
    <w:p w:rsidR="00C43A5F" w:rsidRPr="00EE754B" w:rsidRDefault="00C43A5F" w:rsidP="00ED3990">
      <w:pPr>
        <w:spacing w:before="240" w:line="240" w:lineRule="auto"/>
        <w:rPr>
          <w:rFonts w:eastAsia="Times New Roman" w:cs="Arial"/>
          <w:color w:val="000000"/>
          <w:lang w:eastAsia="bg-BG"/>
        </w:rPr>
      </w:pPr>
    </w:p>
    <w:p w:rsidR="00EE754B" w:rsidRPr="00EE754B" w:rsidRDefault="00ED3990" w:rsidP="00A82D1C">
      <w:pPr>
        <w:keepNext/>
        <w:spacing w:before="240" w:after="120" w:line="240" w:lineRule="auto"/>
        <w:jc w:val="center"/>
        <w:rPr>
          <w:rFonts w:eastAsia="Times New Roman" w:cs="Arial"/>
          <w:b/>
          <w:smallCaps/>
          <w:color w:val="000000"/>
          <w:spacing w:val="10"/>
          <w:lang w:val="en-US" w:eastAsia="bg-BG"/>
        </w:rPr>
      </w:pPr>
      <w:bookmarkStart w:id="106" w:name="_Toc399494628"/>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43</w:t>
      </w:r>
      <w:r w:rsidR="008E6461" w:rsidRPr="005C4B92">
        <w:rPr>
          <w:b/>
          <w:sz w:val="20"/>
          <w:szCs w:val="20"/>
        </w:rPr>
        <w:fldChar w:fldCharType="end"/>
      </w:r>
      <w:r>
        <w:rPr>
          <w:b/>
          <w:sz w:val="20"/>
          <w:szCs w:val="20"/>
        </w:rPr>
        <w:t xml:space="preserve">:  </w:t>
      </w:r>
      <w:r w:rsidR="00EE754B" w:rsidRPr="00ED3990">
        <w:rPr>
          <w:b/>
          <w:sz w:val="20"/>
          <w:szCs w:val="20"/>
        </w:rPr>
        <w:t>В каква степен ДКЕВР ограничава възможността за инвестиции</w:t>
      </w:r>
      <w:bookmarkEnd w:id="106"/>
    </w:p>
    <w:p w:rsidR="00EE754B" w:rsidRPr="00EE754B" w:rsidRDefault="00ED3990" w:rsidP="00ED3990">
      <w:pPr>
        <w:spacing w:after="0" w:line="240" w:lineRule="auto"/>
        <w:jc w:val="center"/>
        <w:rPr>
          <w:rFonts w:eastAsia="Times New Roman" w:cs="Arial"/>
          <w:b/>
          <w:bCs/>
          <w:color w:val="000000"/>
          <w:lang w:eastAsia="bg-BG"/>
        </w:rPr>
      </w:pPr>
      <w:r>
        <w:rPr>
          <w:rFonts w:eastAsia="Times New Roman" w:cs="Arial"/>
          <w:b/>
          <w:bCs/>
          <w:noProof/>
          <w:color w:val="000000"/>
          <w:lang w:eastAsia="bg-BG"/>
        </w:rPr>
        <w:drawing>
          <wp:inline distT="0" distB="0" distL="0" distR="0">
            <wp:extent cx="4857750" cy="1760935"/>
            <wp:effectExtent l="1905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86" cstate="print"/>
                    <a:srcRect/>
                    <a:stretch>
                      <a:fillRect/>
                    </a:stretch>
                  </pic:blipFill>
                  <pic:spPr bwMode="auto">
                    <a:xfrm>
                      <a:off x="0" y="0"/>
                      <a:ext cx="4860539" cy="1761946"/>
                    </a:xfrm>
                    <a:prstGeom prst="rect">
                      <a:avLst/>
                    </a:prstGeom>
                    <a:noFill/>
                  </pic:spPr>
                </pic:pic>
              </a:graphicData>
            </a:graphic>
          </wp:inline>
        </w:drawing>
      </w:r>
    </w:p>
    <w:p w:rsidR="00EE754B" w:rsidRPr="00EE754B" w:rsidRDefault="00EE754B" w:rsidP="00ED3990">
      <w:pPr>
        <w:spacing w:before="240" w:line="240" w:lineRule="auto"/>
        <w:jc w:val="both"/>
        <w:rPr>
          <w:rFonts w:eastAsia="Times New Roman" w:cs="Arial"/>
          <w:bCs/>
          <w:color w:val="000000"/>
          <w:lang w:eastAsia="bg-BG"/>
        </w:rPr>
      </w:pPr>
      <w:r w:rsidRPr="00EE754B">
        <w:rPr>
          <w:rFonts w:eastAsia="Times New Roman" w:cs="Arial"/>
          <w:bCs/>
          <w:color w:val="000000"/>
          <w:lang w:eastAsia="bg-BG"/>
        </w:rPr>
        <w:t>В продължение на този въпрос, близо 53% считат, че либерализацията на цените във ВиК сектора ще допринесе до увеличаване на инвестициите, за сметка на 19%, които не мислят, че е така и други 19%, които не могат да преценят.</w:t>
      </w:r>
    </w:p>
    <w:p w:rsidR="00EE754B" w:rsidRPr="00EE754B" w:rsidRDefault="00ED3990" w:rsidP="00ED3990">
      <w:pPr>
        <w:spacing w:before="240" w:after="120" w:line="240" w:lineRule="auto"/>
        <w:jc w:val="center"/>
        <w:rPr>
          <w:rFonts w:eastAsia="Times New Roman" w:cs="Arial"/>
          <w:smallCaps/>
          <w:color w:val="000000"/>
          <w:spacing w:val="10"/>
          <w:lang w:val="en-US" w:eastAsia="bg-BG"/>
        </w:rPr>
      </w:pPr>
      <w:bookmarkStart w:id="107" w:name="_Toc399494629"/>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44</w:t>
      </w:r>
      <w:r w:rsidR="008E6461" w:rsidRPr="005C4B92">
        <w:rPr>
          <w:b/>
          <w:sz w:val="20"/>
          <w:szCs w:val="20"/>
        </w:rPr>
        <w:fldChar w:fldCharType="end"/>
      </w:r>
      <w:r>
        <w:rPr>
          <w:b/>
          <w:sz w:val="20"/>
          <w:szCs w:val="20"/>
        </w:rPr>
        <w:t xml:space="preserve">: </w:t>
      </w:r>
      <w:r w:rsidR="00EE754B" w:rsidRPr="00ED3990">
        <w:rPr>
          <w:b/>
          <w:sz w:val="20"/>
          <w:szCs w:val="20"/>
        </w:rPr>
        <w:t>Считате ли, че либерализацията на цените във ВиК сектора ще допринесе до увеличаване на инвестициите</w:t>
      </w:r>
      <w:bookmarkEnd w:id="107"/>
    </w:p>
    <w:p w:rsidR="00EE754B" w:rsidRPr="00EE754B" w:rsidRDefault="00ED3990" w:rsidP="00ED3990">
      <w:pPr>
        <w:spacing w:after="0" w:line="240" w:lineRule="auto"/>
        <w:jc w:val="center"/>
        <w:rPr>
          <w:rFonts w:eastAsia="Times New Roman" w:cs="Arial"/>
          <w:b/>
          <w:bCs/>
          <w:color w:val="000000"/>
          <w:lang w:eastAsia="bg-BG"/>
        </w:rPr>
      </w:pPr>
      <w:r>
        <w:rPr>
          <w:rFonts w:eastAsia="Times New Roman" w:cs="Arial"/>
          <w:b/>
          <w:bCs/>
          <w:noProof/>
          <w:color w:val="000000"/>
          <w:lang w:eastAsia="bg-BG"/>
        </w:rPr>
        <w:drawing>
          <wp:inline distT="0" distB="0" distL="0" distR="0">
            <wp:extent cx="4324350" cy="1958534"/>
            <wp:effectExtent l="1905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3" cstate="print"/>
                    <a:srcRect/>
                    <a:stretch>
                      <a:fillRect/>
                    </a:stretch>
                  </pic:blipFill>
                  <pic:spPr bwMode="auto">
                    <a:xfrm>
                      <a:off x="0" y="0"/>
                      <a:ext cx="4324728" cy="1958705"/>
                    </a:xfrm>
                    <a:prstGeom prst="rect">
                      <a:avLst/>
                    </a:prstGeom>
                    <a:noFill/>
                  </pic:spPr>
                </pic:pic>
              </a:graphicData>
            </a:graphic>
          </wp:inline>
        </w:drawing>
      </w:r>
    </w:p>
    <w:p w:rsidR="00EE754B" w:rsidRPr="00EE754B" w:rsidRDefault="00EE754B" w:rsidP="00ED3990">
      <w:pPr>
        <w:spacing w:before="240" w:after="0" w:line="240" w:lineRule="auto"/>
        <w:jc w:val="both"/>
        <w:rPr>
          <w:rFonts w:eastAsia="Times New Roman" w:cs="Arial"/>
          <w:bCs/>
          <w:color w:val="000000"/>
          <w:lang w:eastAsia="bg-BG"/>
        </w:rPr>
      </w:pPr>
      <w:r w:rsidRPr="00EE754B">
        <w:rPr>
          <w:rFonts w:eastAsia="Times New Roman" w:cs="Arial"/>
          <w:bCs/>
          <w:color w:val="000000"/>
          <w:lang w:eastAsia="bg-BG"/>
        </w:rPr>
        <w:t>На респондентите е зададен въпрос относно срока за възвръщаемост на инвестиции във ВиК инфраструктура и оборудване и съответно нагласите им да използват финансови инструменти за целта:</w:t>
      </w:r>
    </w:p>
    <w:p w:rsidR="00EE754B" w:rsidRPr="00EE754B" w:rsidRDefault="00EE754B" w:rsidP="00B462AB">
      <w:pPr>
        <w:spacing w:after="0" w:line="240" w:lineRule="auto"/>
        <w:rPr>
          <w:rFonts w:eastAsia="Times New Roman" w:cs="Arial"/>
          <w:b/>
          <w:bCs/>
          <w:color w:val="000000"/>
          <w:lang w:eastAsia="bg-BG"/>
        </w:rPr>
      </w:pPr>
    </w:p>
    <w:tbl>
      <w:tblPr>
        <w:tblStyle w:val="LightShading-Accent11"/>
        <w:tblW w:w="6923" w:type="dxa"/>
        <w:jc w:val="center"/>
        <w:tblLook w:val="04A0" w:firstRow="1" w:lastRow="0" w:firstColumn="1" w:lastColumn="0" w:noHBand="0" w:noVBand="1"/>
      </w:tblPr>
      <w:tblGrid>
        <w:gridCol w:w="3652"/>
        <w:gridCol w:w="1622"/>
        <w:gridCol w:w="1649"/>
      </w:tblGrid>
      <w:tr w:rsidR="00C43A5F" w:rsidRPr="00EE754B" w:rsidTr="00C43A5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vMerge w:val="restart"/>
          </w:tcPr>
          <w:p w:rsidR="00C43A5F" w:rsidRPr="00EE754B" w:rsidRDefault="00C43A5F" w:rsidP="00B462AB">
            <w:pPr>
              <w:rPr>
                <w:rFonts w:eastAsia="Times New Roman" w:cs="Times New Roman"/>
                <w:color w:val="000000"/>
              </w:rPr>
            </w:pPr>
            <w:r w:rsidRPr="00EE754B">
              <w:rPr>
                <w:rFonts w:eastAsia="Times New Roman" w:cs="Times New Roman"/>
                <w:color w:val="000000"/>
              </w:rPr>
              <w:t xml:space="preserve">  Вид инвестиция</w:t>
            </w:r>
          </w:p>
        </w:tc>
        <w:tc>
          <w:tcPr>
            <w:tcW w:w="3271" w:type="dxa"/>
            <w:gridSpan w:val="2"/>
          </w:tcPr>
          <w:p w:rsidR="00C43A5F" w:rsidRPr="00EE754B" w:rsidRDefault="00C43A5F" w:rsidP="00B462AB">
            <w:pPr>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rPr>
            </w:pPr>
            <w:r w:rsidRPr="00EE754B">
              <w:rPr>
                <w:rFonts w:eastAsia="Times New Roman" w:cs="Times New Roman"/>
                <w:color w:val="000000"/>
              </w:rPr>
              <w:t>Бихте ли използвали финансови инструменти</w:t>
            </w:r>
          </w:p>
        </w:tc>
      </w:tr>
      <w:tr w:rsidR="00C43A5F" w:rsidRPr="00EE754B" w:rsidTr="00C43A5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vMerge/>
          </w:tcPr>
          <w:p w:rsidR="00C43A5F" w:rsidRPr="00EE754B" w:rsidRDefault="00C43A5F" w:rsidP="00B462AB">
            <w:pPr>
              <w:rPr>
                <w:rFonts w:eastAsia="Times New Roman" w:cs="Times New Roman"/>
                <w:color w:val="000000"/>
              </w:rPr>
            </w:pPr>
          </w:p>
        </w:tc>
        <w:tc>
          <w:tcPr>
            <w:tcW w:w="1622" w:type="dxa"/>
          </w:tcPr>
          <w:p w:rsidR="00C43A5F" w:rsidRPr="00EE754B" w:rsidRDefault="00C43A5F" w:rsidP="00B462AB">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rPr>
            </w:pPr>
            <w:r w:rsidRPr="00EE754B">
              <w:rPr>
                <w:rFonts w:eastAsia="Times New Roman" w:cs="Times New Roman"/>
                <w:color w:val="000000"/>
              </w:rPr>
              <w:t>Да</w:t>
            </w:r>
          </w:p>
        </w:tc>
        <w:tc>
          <w:tcPr>
            <w:tcW w:w="1649" w:type="dxa"/>
          </w:tcPr>
          <w:p w:rsidR="00C43A5F" w:rsidRPr="00EE754B" w:rsidRDefault="00C43A5F" w:rsidP="00B462AB">
            <w:pPr>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rPr>
            </w:pPr>
            <w:r w:rsidRPr="00EE754B">
              <w:rPr>
                <w:rFonts w:eastAsia="Times New Roman" w:cs="Times New Roman"/>
                <w:color w:val="000000"/>
              </w:rPr>
              <w:t>Не</w:t>
            </w:r>
          </w:p>
        </w:tc>
      </w:tr>
      <w:tr w:rsidR="00C43A5F" w:rsidRPr="00EE754B" w:rsidTr="00C43A5F">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C43A5F" w:rsidRPr="00EE754B" w:rsidRDefault="00C43A5F" w:rsidP="00B462AB">
            <w:pPr>
              <w:rPr>
                <w:rFonts w:eastAsia="Times New Roman" w:cs="Times New Roman"/>
                <w:color w:val="000000"/>
              </w:rPr>
            </w:pPr>
            <w:r w:rsidRPr="00EE754B">
              <w:rPr>
                <w:rFonts w:eastAsia="Times New Roman" w:cs="Times New Roman"/>
                <w:color w:val="000000"/>
              </w:rPr>
              <w:t>Водопроводна мрежа</w:t>
            </w:r>
          </w:p>
        </w:tc>
        <w:tc>
          <w:tcPr>
            <w:tcW w:w="1622" w:type="dxa"/>
          </w:tcPr>
          <w:p w:rsidR="00C43A5F" w:rsidRPr="00EE754B" w:rsidRDefault="00C43A5F" w:rsidP="00B462AB">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81.3</w:t>
            </w:r>
          </w:p>
        </w:tc>
        <w:tc>
          <w:tcPr>
            <w:tcW w:w="1649" w:type="dxa"/>
          </w:tcPr>
          <w:p w:rsidR="00C43A5F" w:rsidRPr="00EE754B" w:rsidRDefault="00C43A5F" w:rsidP="00B462AB">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18.8</w:t>
            </w:r>
          </w:p>
        </w:tc>
      </w:tr>
      <w:tr w:rsidR="00C43A5F" w:rsidRPr="00EE754B" w:rsidTr="00C43A5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C43A5F" w:rsidRPr="00EE754B" w:rsidRDefault="00C43A5F" w:rsidP="00B462AB">
            <w:pPr>
              <w:rPr>
                <w:rFonts w:eastAsia="Times New Roman" w:cs="Times New Roman"/>
                <w:color w:val="000000"/>
              </w:rPr>
            </w:pPr>
            <w:r w:rsidRPr="00EE754B">
              <w:rPr>
                <w:rFonts w:eastAsia="Times New Roman" w:cs="Times New Roman"/>
                <w:color w:val="000000"/>
              </w:rPr>
              <w:t>Канализационна мрежа</w:t>
            </w:r>
          </w:p>
        </w:tc>
        <w:tc>
          <w:tcPr>
            <w:tcW w:w="1622" w:type="dxa"/>
          </w:tcPr>
          <w:p w:rsidR="00C43A5F" w:rsidRPr="00EE754B" w:rsidRDefault="00C43A5F" w:rsidP="00B462AB">
            <w:pPr>
              <w:jc w:val="center"/>
              <w:cnfStyle w:val="000000100000" w:firstRow="0" w:lastRow="0" w:firstColumn="0" w:lastColumn="0" w:oddVBand="0" w:evenVBand="0" w:oddHBand="1"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62.5</w:t>
            </w:r>
          </w:p>
        </w:tc>
        <w:tc>
          <w:tcPr>
            <w:tcW w:w="1649" w:type="dxa"/>
          </w:tcPr>
          <w:p w:rsidR="00C43A5F" w:rsidRPr="00EE754B" w:rsidRDefault="00C43A5F" w:rsidP="00B462AB">
            <w:pPr>
              <w:jc w:val="center"/>
              <w:cnfStyle w:val="000000100000" w:firstRow="0" w:lastRow="0" w:firstColumn="0" w:lastColumn="0" w:oddVBand="0" w:evenVBand="0" w:oddHBand="1"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37.5</w:t>
            </w:r>
          </w:p>
        </w:tc>
      </w:tr>
      <w:tr w:rsidR="00C43A5F" w:rsidRPr="00EE754B" w:rsidTr="00C43A5F">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C43A5F" w:rsidRPr="00EE754B" w:rsidRDefault="00C43A5F" w:rsidP="00B462AB">
            <w:pPr>
              <w:rPr>
                <w:rFonts w:eastAsia="Times New Roman" w:cs="Times New Roman"/>
                <w:color w:val="000000"/>
              </w:rPr>
            </w:pPr>
            <w:r w:rsidRPr="00EE754B">
              <w:rPr>
                <w:rFonts w:eastAsia="Times New Roman" w:cs="Times New Roman"/>
                <w:color w:val="000000"/>
              </w:rPr>
              <w:t>Магистрални водопроводи</w:t>
            </w:r>
          </w:p>
        </w:tc>
        <w:tc>
          <w:tcPr>
            <w:tcW w:w="1622" w:type="dxa"/>
          </w:tcPr>
          <w:p w:rsidR="00C43A5F" w:rsidRPr="00EE754B" w:rsidRDefault="00C43A5F" w:rsidP="00B462AB">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50.0</w:t>
            </w:r>
          </w:p>
        </w:tc>
        <w:tc>
          <w:tcPr>
            <w:tcW w:w="1649" w:type="dxa"/>
          </w:tcPr>
          <w:p w:rsidR="00C43A5F" w:rsidRPr="00EE754B" w:rsidRDefault="00C43A5F" w:rsidP="00B462AB">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50.0</w:t>
            </w:r>
          </w:p>
        </w:tc>
      </w:tr>
      <w:tr w:rsidR="00C43A5F" w:rsidRPr="00EE754B" w:rsidTr="00C43A5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C43A5F" w:rsidRPr="00EE754B" w:rsidRDefault="00C43A5F" w:rsidP="00B462AB">
            <w:pPr>
              <w:rPr>
                <w:rFonts w:eastAsia="Times New Roman" w:cs="Times New Roman"/>
                <w:color w:val="000000"/>
              </w:rPr>
            </w:pPr>
            <w:r w:rsidRPr="00EE754B">
              <w:rPr>
                <w:rFonts w:eastAsia="Times New Roman" w:cs="Times New Roman"/>
                <w:color w:val="000000"/>
              </w:rPr>
              <w:t>Канализационни колектори</w:t>
            </w:r>
          </w:p>
        </w:tc>
        <w:tc>
          <w:tcPr>
            <w:tcW w:w="1622" w:type="dxa"/>
          </w:tcPr>
          <w:p w:rsidR="00C43A5F" w:rsidRPr="00EE754B" w:rsidRDefault="00C43A5F" w:rsidP="00B462AB">
            <w:pPr>
              <w:jc w:val="center"/>
              <w:cnfStyle w:val="000000100000" w:firstRow="0" w:lastRow="0" w:firstColumn="0" w:lastColumn="0" w:oddVBand="0" w:evenVBand="0" w:oddHBand="1"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56.3</w:t>
            </w:r>
          </w:p>
        </w:tc>
        <w:tc>
          <w:tcPr>
            <w:tcW w:w="1649" w:type="dxa"/>
          </w:tcPr>
          <w:p w:rsidR="00C43A5F" w:rsidRPr="00EE754B" w:rsidRDefault="00C43A5F" w:rsidP="00B462AB">
            <w:pPr>
              <w:jc w:val="center"/>
              <w:cnfStyle w:val="000000100000" w:firstRow="0" w:lastRow="0" w:firstColumn="0" w:lastColumn="0" w:oddVBand="0" w:evenVBand="0" w:oddHBand="1"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43.8</w:t>
            </w:r>
          </w:p>
        </w:tc>
      </w:tr>
      <w:tr w:rsidR="00C43A5F" w:rsidRPr="00EE754B" w:rsidTr="00C43A5F">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C43A5F" w:rsidRPr="00EE754B" w:rsidRDefault="00C43A5F" w:rsidP="00B462AB">
            <w:pPr>
              <w:rPr>
                <w:rFonts w:eastAsia="Times New Roman" w:cs="Times New Roman"/>
                <w:color w:val="000000"/>
              </w:rPr>
            </w:pPr>
            <w:r w:rsidRPr="00EE754B">
              <w:rPr>
                <w:rFonts w:eastAsia="Times New Roman" w:cs="Times New Roman"/>
                <w:color w:val="000000"/>
              </w:rPr>
              <w:t>Машини и съоръжения за доставка на вода</w:t>
            </w:r>
          </w:p>
        </w:tc>
        <w:tc>
          <w:tcPr>
            <w:tcW w:w="1622" w:type="dxa"/>
          </w:tcPr>
          <w:p w:rsidR="00C43A5F" w:rsidRPr="00EE754B" w:rsidRDefault="00C43A5F" w:rsidP="00B462AB">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56.3</w:t>
            </w:r>
          </w:p>
        </w:tc>
        <w:tc>
          <w:tcPr>
            <w:tcW w:w="1649" w:type="dxa"/>
          </w:tcPr>
          <w:p w:rsidR="00C43A5F" w:rsidRPr="00EE754B" w:rsidRDefault="00C43A5F" w:rsidP="00B462AB">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43.8</w:t>
            </w:r>
          </w:p>
        </w:tc>
      </w:tr>
      <w:tr w:rsidR="00C43A5F" w:rsidRPr="00EE754B" w:rsidTr="00C43A5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52" w:type="dxa"/>
          </w:tcPr>
          <w:p w:rsidR="00C43A5F" w:rsidRPr="00EE754B" w:rsidRDefault="00C43A5F" w:rsidP="00B462AB">
            <w:pPr>
              <w:rPr>
                <w:rFonts w:eastAsia="Times New Roman" w:cs="Times New Roman"/>
                <w:color w:val="000000"/>
              </w:rPr>
            </w:pPr>
            <w:r w:rsidRPr="00EE754B">
              <w:rPr>
                <w:rFonts w:eastAsia="Times New Roman" w:cs="Times New Roman"/>
                <w:color w:val="000000"/>
              </w:rPr>
              <w:t>Машини и съоръжения за пречистване на отпадъчни води</w:t>
            </w:r>
          </w:p>
        </w:tc>
        <w:tc>
          <w:tcPr>
            <w:tcW w:w="1622" w:type="dxa"/>
          </w:tcPr>
          <w:p w:rsidR="00C43A5F" w:rsidRPr="00EE754B" w:rsidRDefault="00C43A5F" w:rsidP="00B462AB">
            <w:pPr>
              <w:jc w:val="center"/>
              <w:cnfStyle w:val="000000100000" w:firstRow="0" w:lastRow="0" w:firstColumn="0" w:lastColumn="0" w:oddVBand="0" w:evenVBand="0" w:oddHBand="1"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68.8</w:t>
            </w:r>
          </w:p>
        </w:tc>
        <w:tc>
          <w:tcPr>
            <w:tcW w:w="1649" w:type="dxa"/>
          </w:tcPr>
          <w:p w:rsidR="00C43A5F" w:rsidRPr="00EE754B" w:rsidRDefault="00C43A5F" w:rsidP="00B462AB">
            <w:pPr>
              <w:jc w:val="center"/>
              <w:cnfStyle w:val="000000100000" w:firstRow="0" w:lastRow="0" w:firstColumn="0" w:lastColumn="0" w:oddVBand="0" w:evenVBand="0" w:oddHBand="1" w:evenHBand="0" w:firstRowFirstColumn="0" w:firstRowLastColumn="0" w:lastRowFirstColumn="0" w:lastRowLastColumn="0"/>
              <w:rPr>
                <w:rFonts w:eastAsia="Times New Roman" w:cs="Arial"/>
                <w:color w:val="000000"/>
                <w:lang w:eastAsia="bg-BG"/>
              </w:rPr>
            </w:pPr>
            <w:r w:rsidRPr="00EE754B">
              <w:rPr>
                <w:rFonts w:eastAsia="Times New Roman" w:cs="Arial"/>
                <w:color w:val="000000"/>
                <w:lang w:eastAsia="bg-BG"/>
              </w:rPr>
              <w:t>31.3</w:t>
            </w:r>
          </w:p>
        </w:tc>
      </w:tr>
      <w:tr w:rsidR="00C43A5F" w:rsidRPr="00EE754B" w:rsidTr="00C43A5F">
        <w:trPr>
          <w:jc w:val="center"/>
        </w:trPr>
        <w:tc>
          <w:tcPr>
            <w:cnfStyle w:val="001000000000" w:firstRow="0" w:lastRow="0" w:firstColumn="1" w:lastColumn="0" w:oddVBand="0" w:evenVBand="0" w:oddHBand="0" w:evenHBand="0" w:firstRowFirstColumn="0" w:firstRowLastColumn="0" w:lastRowFirstColumn="0" w:lastRowLastColumn="0"/>
            <w:tcW w:w="3652" w:type="dxa"/>
          </w:tcPr>
          <w:p w:rsidR="00C43A5F" w:rsidRPr="00EE754B" w:rsidRDefault="00C43A5F" w:rsidP="00B462AB">
            <w:pPr>
              <w:rPr>
                <w:rFonts w:eastAsia="Times New Roman" w:cs="Times New Roman"/>
                <w:color w:val="000000"/>
              </w:rPr>
            </w:pPr>
            <w:r w:rsidRPr="00EE754B">
              <w:rPr>
                <w:rFonts w:eastAsia="Times New Roman" w:cs="Times New Roman"/>
                <w:color w:val="000000"/>
              </w:rPr>
              <w:t>Други</w:t>
            </w:r>
          </w:p>
        </w:tc>
        <w:tc>
          <w:tcPr>
            <w:tcW w:w="1622" w:type="dxa"/>
          </w:tcPr>
          <w:p w:rsidR="00C43A5F" w:rsidRPr="00EE754B" w:rsidRDefault="00C43A5F" w:rsidP="00B462AB">
            <w:pPr>
              <w:jc w:val="center"/>
              <w:cnfStyle w:val="000000000000" w:firstRow="0" w:lastRow="0" w:firstColumn="0" w:lastColumn="0" w:oddVBand="0" w:evenVBand="0" w:oddHBand="0" w:evenHBand="0" w:firstRowFirstColumn="0" w:firstRowLastColumn="0" w:lastRowFirstColumn="0" w:lastRowLastColumn="0"/>
              <w:rPr>
                <w:rFonts w:eastAsia="Times New Roman" w:cs="Arial"/>
                <w:b/>
                <w:color w:val="000000"/>
                <w:lang w:eastAsia="bg-BG"/>
              </w:rPr>
            </w:pPr>
            <w:r w:rsidRPr="00EE754B">
              <w:rPr>
                <w:rFonts w:eastAsia="Times New Roman" w:cs="Arial"/>
                <w:b/>
                <w:color w:val="000000"/>
                <w:lang w:eastAsia="bg-BG"/>
              </w:rPr>
              <w:t>12.5</w:t>
            </w:r>
          </w:p>
        </w:tc>
        <w:tc>
          <w:tcPr>
            <w:tcW w:w="1649" w:type="dxa"/>
          </w:tcPr>
          <w:p w:rsidR="00C43A5F" w:rsidRPr="00EE754B" w:rsidRDefault="00C43A5F" w:rsidP="00B462AB">
            <w:pPr>
              <w:jc w:val="center"/>
              <w:cnfStyle w:val="000000000000" w:firstRow="0" w:lastRow="0" w:firstColumn="0" w:lastColumn="0" w:oddVBand="0" w:evenVBand="0" w:oddHBand="0" w:evenHBand="0" w:firstRowFirstColumn="0" w:firstRowLastColumn="0" w:lastRowFirstColumn="0" w:lastRowLastColumn="0"/>
              <w:rPr>
                <w:rFonts w:eastAsia="Times New Roman" w:cs="Arial"/>
                <w:b/>
                <w:color w:val="000000"/>
                <w:lang w:eastAsia="bg-BG"/>
              </w:rPr>
            </w:pPr>
            <w:r w:rsidRPr="00EE754B">
              <w:rPr>
                <w:rFonts w:eastAsia="Times New Roman" w:cs="Arial"/>
                <w:b/>
                <w:color w:val="000000"/>
                <w:lang w:eastAsia="bg-BG"/>
              </w:rPr>
              <w:t>87.5</w:t>
            </w:r>
          </w:p>
        </w:tc>
      </w:tr>
    </w:tbl>
    <w:p w:rsidR="00EE754B" w:rsidRPr="00EE754B" w:rsidRDefault="00ED3990" w:rsidP="00ED3990">
      <w:pPr>
        <w:spacing w:before="240" w:after="200" w:line="240" w:lineRule="auto"/>
        <w:jc w:val="center"/>
        <w:rPr>
          <w:rFonts w:eastAsia="Times New Roman" w:cs="Arial"/>
          <w:b/>
          <w:bCs/>
          <w:color w:val="000000"/>
          <w:lang w:eastAsia="bg-BG"/>
        </w:rPr>
      </w:pPr>
      <w:bookmarkStart w:id="108" w:name="_Toc399494630"/>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45</w:t>
      </w:r>
      <w:bookmarkEnd w:id="108"/>
      <w:r w:rsidR="008E6461" w:rsidRPr="005C4B92">
        <w:rPr>
          <w:b/>
          <w:sz w:val="20"/>
          <w:szCs w:val="20"/>
        </w:rPr>
        <w:fldChar w:fldCharType="end"/>
      </w:r>
    </w:p>
    <w:p w:rsidR="00EE754B" w:rsidRPr="00EE754B" w:rsidRDefault="00ED3990" w:rsidP="00ED3990">
      <w:pPr>
        <w:spacing w:after="0" w:line="240" w:lineRule="auto"/>
        <w:jc w:val="center"/>
        <w:rPr>
          <w:rFonts w:eastAsia="Times New Roman" w:cs="Arial"/>
          <w:b/>
          <w:color w:val="000000"/>
          <w:lang w:val="en-US" w:eastAsia="bg-BG"/>
        </w:rPr>
      </w:pPr>
      <w:r>
        <w:rPr>
          <w:rFonts w:eastAsia="Times New Roman" w:cs="Arial"/>
          <w:b/>
          <w:noProof/>
          <w:color w:val="000000"/>
          <w:lang w:eastAsia="bg-BG"/>
        </w:rPr>
        <w:drawing>
          <wp:inline distT="0" distB="0" distL="0" distR="0">
            <wp:extent cx="5048250" cy="2396014"/>
            <wp:effectExtent l="1905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7" cstate="print"/>
                    <a:srcRect/>
                    <a:stretch>
                      <a:fillRect/>
                    </a:stretch>
                  </pic:blipFill>
                  <pic:spPr bwMode="auto">
                    <a:xfrm>
                      <a:off x="0" y="0"/>
                      <a:ext cx="5048250" cy="2396014"/>
                    </a:xfrm>
                    <a:prstGeom prst="rect">
                      <a:avLst/>
                    </a:prstGeom>
                    <a:noFill/>
                  </pic:spPr>
                </pic:pic>
              </a:graphicData>
            </a:graphic>
          </wp:inline>
        </w:drawing>
      </w:r>
    </w:p>
    <w:p w:rsidR="00EE754B" w:rsidRPr="00EE754B" w:rsidRDefault="00EE754B" w:rsidP="00B462AB">
      <w:pPr>
        <w:spacing w:after="200" w:line="240" w:lineRule="auto"/>
        <w:rPr>
          <w:rFonts w:eastAsia="Times New Roman" w:cs="Arial"/>
          <w:b/>
          <w:bCs/>
          <w:color w:val="000000"/>
          <w:lang w:eastAsia="bg-BG"/>
        </w:rPr>
      </w:pPr>
    </w:p>
    <w:p w:rsidR="00EE754B" w:rsidRDefault="00EE754B" w:rsidP="00B462AB">
      <w:pPr>
        <w:spacing w:after="0" w:line="240" w:lineRule="auto"/>
        <w:rPr>
          <w:rFonts w:eastAsia="Times New Roman" w:cs="Arial"/>
          <w:bCs/>
          <w:i/>
          <w:color w:val="000000"/>
          <w:lang w:eastAsia="bg-BG"/>
        </w:rPr>
      </w:pPr>
      <w:r w:rsidRPr="00EE754B">
        <w:rPr>
          <w:rFonts w:eastAsia="Times New Roman" w:cs="Arial"/>
          <w:b/>
          <w:bCs/>
          <w:color w:val="000000"/>
          <w:lang w:eastAsia="bg-BG"/>
        </w:rPr>
        <w:t xml:space="preserve">Моля, посочете срока на възвращаемост/ откупуване в брой години по видове </w:t>
      </w:r>
      <w:r w:rsidR="00E74BDD" w:rsidRPr="00EE754B">
        <w:rPr>
          <w:rFonts w:eastAsia="Times New Roman" w:cs="Arial"/>
          <w:b/>
          <w:bCs/>
          <w:color w:val="000000"/>
          <w:lang w:eastAsia="bg-BG"/>
        </w:rPr>
        <w:t>инвестиции: Водопроводна</w:t>
      </w:r>
      <w:r w:rsidRPr="00EE754B">
        <w:rPr>
          <w:rFonts w:eastAsia="Times New Roman" w:cs="Arial"/>
          <w:b/>
          <w:bCs/>
          <w:color w:val="000000"/>
          <w:lang w:eastAsia="bg-BG"/>
        </w:rPr>
        <w:t xml:space="preserve"> мрежа</w:t>
      </w:r>
      <w:r w:rsidR="00ED3990">
        <w:rPr>
          <w:rFonts w:eastAsia="Times New Roman" w:cs="Arial"/>
          <w:b/>
          <w:bCs/>
          <w:color w:val="000000"/>
          <w:lang w:eastAsia="bg-BG"/>
        </w:rPr>
        <w:t xml:space="preserve">; </w:t>
      </w:r>
      <w:r w:rsidRPr="00EE754B">
        <w:rPr>
          <w:rFonts w:eastAsia="Times New Roman" w:cs="Arial"/>
          <w:bCs/>
          <w:i/>
          <w:color w:val="000000"/>
          <w:lang w:eastAsia="bg-BG"/>
        </w:rPr>
        <w:t>база: 16</w:t>
      </w:r>
    </w:p>
    <w:p w:rsidR="00ED3990" w:rsidRPr="00EE754B" w:rsidRDefault="00ED3990" w:rsidP="00B462AB">
      <w:pPr>
        <w:spacing w:after="0" w:line="240" w:lineRule="auto"/>
        <w:rPr>
          <w:rFonts w:eastAsia="Arial" w:cs="Times New Roman"/>
          <w:i/>
          <w:color w:val="000000"/>
        </w:rPr>
      </w:pPr>
    </w:p>
    <w:tbl>
      <w:tblPr>
        <w:tblStyle w:val="LightGrid-Accent51"/>
        <w:tblW w:w="8222" w:type="dxa"/>
        <w:jc w:val="center"/>
        <w:tblLook w:val="0660" w:firstRow="1" w:lastRow="1" w:firstColumn="0" w:lastColumn="0" w:noHBand="1" w:noVBand="1"/>
      </w:tblPr>
      <w:tblGrid>
        <w:gridCol w:w="5954"/>
        <w:gridCol w:w="1134"/>
        <w:gridCol w:w="1134"/>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noWrap/>
            <w:hideMark/>
          </w:tcPr>
          <w:p w:rsidR="00EE754B" w:rsidRPr="00EE754B" w:rsidRDefault="00EE754B" w:rsidP="00B462AB">
            <w:pPr>
              <w:rPr>
                <w:rFonts w:asciiTheme="minorHAnsi" w:hAnsiTheme="minorHAnsi"/>
                <w:b w:val="0"/>
                <w:bCs w:val="0"/>
                <w:color w:val="000000"/>
                <w:lang w:eastAsia="bg-BG"/>
              </w:rPr>
            </w:pPr>
          </w:p>
        </w:tc>
        <w:tc>
          <w:tcPr>
            <w:tcW w:w="1134" w:type="dxa"/>
            <w:hideMark/>
          </w:tcPr>
          <w:p w:rsidR="00EE754B" w:rsidRPr="00EE754B" w:rsidRDefault="00EE754B" w:rsidP="00B462AB">
            <w:pPr>
              <w:jc w:val="center"/>
              <w:rPr>
                <w:rFonts w:asciiTheme="minorHAnsi" w:hAnsiTheme="minorHAnsi"/>
                <w:color w:val="000000"/>
                <w:lang w:eastAsia="bg-BG"/>
              </w:rPr>
            </w:pPr>
            <w:r w:rsidRPr="00EE754B">
              <w:rPr>
                <w:rFonts w:asciiTheme="minorHAnsi" w:hAnsiTheme="minorHAnsi"/>
                <w:color w:val="000000"/>
                <w:lang w:eastAsia="bg-BG"/>
              </w:rPr>
              <w:t>Процент</w:t>
            </w:r>
          </w:p>
        </w:tc>
        <w:tc>
          <w:tcPr>
            <w:tcW w:w="1134" w:type="dxa"/>
          </w:tcPr>
          <w:p w:rsidR="00EE754B" w:rsidRPr="00EE754B" w:rsidRDefault="00EE754B" w:rsidP="00B462AB">
            <w:pPr>
              <w:jc w:val="center"/>
              <w:rPr>
                <w:rFonts w:asciiTheme="minorHAnsi" w:hAnsiTheme="minorHAnsi"/>
                <w:color w:val="000000"/>
                <w:lang w:eastAsia="bg-BG"/>
              </w:rPr>
            </w:pP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c>
          <w:tcPr>
            <w:tcW w:w="1134" w:type="dxa"/>
          </w:tcPr>
          <w:p w:rsidR="00EE754B" w:rsidRPr="00EE754B" w:rsidRDefault="00EE754B" w:rsidP="00B462AB">
            <w:pPr>
              <w:jc w:val="center"/>
              <w:rPr>
                <w:rFonts w:eastAsia="Times New Roman" w:cs="Arial"/>
                <w:color w:val="000000"/>
                <w:lang w:eastAsia="bg-BG"/>
              </w:rPr>
            </w:pP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15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c>
          <w:tcPr>
            <w:tcW w:w="1134" w:type="dxa"/>
          </w:tcPr>
          <w:p w:rsidR="00EE754B" w:rsidRPr="00EE754B" w:rsidRDefault="00EE754B" w:rsidP="00B462AB">
            <w:pPr>
              <w:jc w:val="center"/>
              <w:rPr>
                <w:rFonts w:eastAsia="Times New Roman" w:cs="Arial"/>
                <w:color w:val="000000"/>
                <w:lang w:eastAsia="bg-BG"/>
              </w:rPr>
            </w:pP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25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12.5</w:t>
            </w:r>
          </w:p>
        </w:tc>
        <w:tc>
          <w:tcPr>
            <w:tcW w:w="1134" w:type="dxa"/>
          </w:tcPr>
          <w:p w:rsidR="00EE754B" w:rsidRPr="00EE754B" w:rsidRDefault="00EE754B" w:rsidP="00B462AB">
            <w:pPr>
              <w:jc w:val="center"/>
              <w:rPr>
                <w:rFonts w:eastAsia="Times New Roman" w:cs="Arial"/>
                <w:color w:val="000000"/>
                <w:lang w:eastAsia="bg-BG"/>
              </w:rPr>
            </w:pP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30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c>
          <w:tcPr>
            <w:tcW w:w="1134" w:type="dxa"/>
          </w:tcPr>
          <w:p w:rsidR="00EE754B" w:rsidRPr="00EE754B" w:rsidRDefault="00EE754B" w:rsidP="00B462AB">
            <w:pPr>
              <w:jc w:val="center"/>
              <w:rPr>
                <w:rFonts w:eastAsia="Times New Roman" w:cs="Arial"/>
                <w:color w:val="000000"/>
                <w:lang w:eastAsia="bg-BG"/>
              </w:rPr>
            </w:pP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50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18.8</w:t>
            </w:r>
          </w:p>
        </w:tc>
        <w:tc>
          <w:tcPr>
            <w:tcW w:w="1134" w:type="dxa"/>
          </w:tcPr>
          <w:p w:rsidR="00EE754B" w:rsidRPr="00EE754B" w:rsidRDefault="00EE754B" w:rsidP="00B462AB">
            <w:pPr>
              <w:jc w:val="center"/>
              <w:rPr>
                <w:rFonts w:eastAsia="Times New Roman" w:cs="Arial"/>
                <w:color w:val="000000"/>
                <w:lang w:eastAsia="bg-BG"/>
              </w:rPr>
            </w:pPr>
          </w:p>
        </w:tc>
      </w:tr>
      <w:tr w:rsidR="00EE754B" w:rsidRPr="00EE754B" w:rsidTr="00ED3990">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 съм запознат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50.0</w:t>
            </w:r>
          </w:p>
        </w:tc>
        <w:tc>
          <w:tcPr>
            <w:tcW w:w="1134" w:type="dxa"/>
          </w:tcPr>
          <w:p w:rsidR="00EE754B" w:rsidRPr="00EE754B" w:rsidRDefault="00EE754B" w:rsidP="00B462AB">
            <w:pPr>
              <w:jc w:val="center"/>
              <w:rPr>
                <w:rFonts w:eastAsia="Times New Roman" w:cs="Arial"/>
                <w:color w:val="000000"/>
                <w:lang w:eastAsia="bg-BG"/>
              </w:rPr>
            </w:pP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hAnsiTheme="minorHAnsi"/>
                <w:color w:val="000000"/>
                <w:lang w:eastAsia="bg-BG"/>
              </w:rPr>
            </w:pPr>
            <w:r w:rsidRPr="00EE754B">
              <w:rPr>
                <w:rFonts w:asciiTheme="minorHAnsi" w:hAnsiTheme="minorHAnsi"/>
                <w:color w:val="000000"/>
                <w:lang w:eastAsia="bg-BG"/>
              </w:rPr>
              <w:t>Общо</w:t>
            </w:r>
          </w:p>
        </w:tc>
        <w:tc>
          <w:tcPr>
            <w:tcW w:w="1134" w:type="dxa"/>
            <w:noWrap/>
            <w:hideMark/>
          </w:tcPr>
          <w:p w:rsidR="00EE754B" w:rsidRPr="00EE754B" w:rsidRDefault="00EE754B" w:rsidP="00B462AB">
            <w:pPr>
              <w:jc w:val="center"/>
              <w:rPr>
                <w:rFonts w:asciiTheme="minorHAnsi" w:hAnsiTheme="minorHAnsi"/>
                <w:color w:val="000000"/>
                <w:lang w:eastAsia="bg-BG"/>
              </w:rPr>
            </w:pPr>
            <w:r w:rsidRPr="00EE754B">
              <w:rPr>
                <w:rFonts w:asciiTheme="minorHAnsi" w:hAnsiTheme="minorHAnsi"/>
                <w:color w:val="000000"/>
                <w:lang w:eastAsia="bg-BG"/>
              </w:rPr>
              <w:t>100.0</w:t>
            </w:r>
          </w:p>
        </w:tc>
        <w:tc>
          <w:tcPr>
            <w:tcW w:w="1134" w:type="dxa"/>
          </w:tcPr>
          <w:p w:rsidR="00EE754B" w:rsidRPr="00EE754B" w:rsidRDefault="00EE754B" w:rsidP="00B462AB">
            <w:pPr>
              <w:jc w:val="center"/>
              <w:rPr>
                <w:rFonts w:asciiTheme="minorHAnsi" w:hAnsiTheme="minorHAnsi"/>
                <w:color w:val="000000"/>
                <w:lang w:eastAsia="bg-BG"/>
              </w:rPr>
            </w:pPr>
          </w:p>
        </w:tc>
      </w:tr>
    </w:tbl>
    <w:p w:rsidR="00EE754B" w:rsidRPr="00EE754B" w:rsidRDefault="00EE754B" w:rsidP="00B462AB">
      <w:pPr>
        <w:spacing w:after="0" w:line="240" w:lineRule="auto"/>
        <w:rPr>
          <w:rFonts w:eastAsia="Times New Roman" w:cs="Arial"/>
          <w:b/>
          <w:bCs/>
          <w:color w:val="000000"/>
          <w:lang w:val="en-US" w:eastAsia="bg-BG"/>
        </w:rPr>
      </w:pPr>
    </w:p>
    <w:p w:rsidR="00C43A5F" w:rsidRDefault="00C43A5F" w:rsidP="00B462AB">
      <w:pPr>
        <w:spacing w:line="240" w:lineRule="auto"/>
        <w:rPr>
          <w:rFonts w:eastAsia="Times New Roman" w:cs="Arial"/>
          <w:b/>
          <w:bCs/>
          <w:color w:val="000000"/>
          <w:lang w:eastAsia="bg-BG"/>
        </w:rPr>
      </w:pPr>
    </w:p>
    <w:p w:rsidR="00EE754B" w:rsidRPr="00EE754B" w:rsidRDefault="00EE754B" w:rsidP="00B462AB">
      <w:pPr>
        <w:spacing w:line="240" w:lineRule="auto"/>
        <w:rPr>
          <w:rFonts w:eastAsia="Arial" w:cs="Times New Roman"/>
          <w:i/>
          <w:color w:val="000000"/>
        </w:rPr>
      </w:pPr>
      <w:r w:rsidRPr="00EE754B">
        <w:rPr>
          <w:rFonts w:eastAsia="Times New Roman" w:cs="Arial"/>
          <w:b/>
          <w:bCs/>
          <w:color w:val="000000"/>
          <w:lang w:eastAsia="bg-BG"/>
        </w:rPr>
        <w:t>Моля, посочете срока на възвращаемост/ откупуване в бр</w:t>
      </w:r>
      <w:r w:rsidR="00ED3990">
        <w:rPr>
          <w:rFonts w:eastAsia="Times New Roman" w:cs="Arial"/>
          <w:b/>
          <w:bCs/>
          <w:color w:val="000000"/>
          <w:lang w:eastAsia="bg-BG"/>
        </w:rPr>
        <w:t xml:space="preserve">ой години по видове инвестиции: </w:t>
      </w:r>
      <w:r w:rsidRPr="00EE754B">
        <w:rPr>
          <w:rFonts w:eastAsia="Times New Roman" w:cs="Arial"/>
          <w:b/>
          <w:bCs/>
          <w:color w:val="000000"/>
          <w:lang w:eastAsia="bg-BG"/>
        </w:rPr>
        <w:t>Канализационна мрежа</w:t>
      </w:r>
      <w:r w:rsidR="00ED3990">
        <w:rPr>
          <w:rFonts w:eastAsia="Times New Roman" w:cs="Arial"/>
          <w:b/>
          <w:bCs/>
          <w:color w:val="000000"/>
          <w:lang w:eastAsia="bg-BG"/>
        </w:rPr>
        <w:t xml:space="preserve">; </w:t>
      </w:r>
      <w:r w:rsidRPr="00EE754B">
        <w:rPr>
          <w:rFonts w:eastAsia="Times New Roman" w:cs="Arial"/>
          <w:bCs/>
          <w:i/>
          <w:color w:val="000000"/>
          <w:lang w:eastAsia="bg-BG"/>
        </w:rPr>
        <w:t>база: 16</w:t>
      </w:r>
    </w:p>
    <w:tbl>
      <w:tblPr>
        <w:tblStyle w:val="LightGrid-Accent11"/>
        <w:tblW w:w="7088" w:type="dxa"/>
        <w:jc w:val="center"/>
        <w:tblLook w:val="0660" w:firstRow="1" w:lastRow="1" w:firstColumn="0" w:lastColumn="0" w:noHBand="1" w:noVBand="1"/>
      </w:tblPr>
      <w:tblGrid>
        <w:gridCol w:w="5954"/>
        <w:gridCol w:w="1134"/>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b w:val="0"/>
                <w:bCs w:val="0"/>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15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25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12.5</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30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50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25.0</w:t>
            </w:r>
          </w:p>
        </w:tc>
      </w:tr>
      <w:tr w:rsidR="00EE754B" w:rsidRPr="00EE754B" w:rsidTr="00ED3990">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 съм запознат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50.0</w:t>
            </w: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100.0</w:t>
            </w:r>
          </w:p>
        </w:tc>
      </w:tr>
    </w:tbl>
    <w:p w:rsidR="00EE754B" w:rsidRPr="00EE754B" w:rsidRDefault="00EE754B" w:rsidP="00B462AB">
      <w:pPr>
        <w:spacing w:after="0" w:line="240" w:lineRule="auto"/>
        <w:rPr>
          <w:rFonts w:eastAsia="Times New Roman" w:cs="Arial"/>
          <w:b/>
          <w:bCs/>
          <w:color w:val="000000"/>
          <w:lang w:eastAsia="bg-BG"/>
        </w:rPr>
      </w:pPr>
    </w:p>
    <w:p w:rsidR="00C43A5F" w:rsidRDefault="00C43A5F" w:rsidP="00ED3990">
      <w:pPr>
        <w:spacing w:line="240" w:lineRule="auto"/>
        <w:jc w:val="both"/>
        <w:rPr>
          <w:rFonts w:eastAsia="Times New Roman" w:cs="Arial"/>
          <w:b/>
          <w:bCs/>
          <w:color w:val="000000"/>
          <w:lang w:eastAsia="bg-BG"/>
        </w:rPr>
      </w:pPr>
    </w:p>
    <w:p w:rsidR="00C43A5F" w:rsidRDefault="00C43A5F" w:rsidP="00ED3990">
      <w:pPr>
        <w:spacing w:line="240" w:lineRule="auto"/>
        <w:jc w:val="both"/>
        <w:rPr>
          <w:rFonts w:eastAsia="Times New Roman" w:cs="Arial"/>
          <w:b/>
          <w:bCs/>
          <w:color w:val="000000"/>
          <w:lang w:eastAsia="bg-BG"/>
        </w:rPr>
      </w:pPr>
    </w:p>
    <w:p w:rsidR="00EE754B" w:rsidRPr="00EE754B" w:rsidRDefault="00EE754B" w:rsidP="00ED3990">
      <w:pPr>
        <w:spacing w:line="240" w:lineRule="auto"/>
        <w:jc w:val="both"/>
        <w:rPr>
          <w:rFonts w:eastAsia="Arial" w:cs="Times New Roman"/>
          <w:i/>
          <w:color w:val="000000"/>
        </w:rPr>
      </w:pPr>
      <w:r w:rsidRPr="00EE754B">
        <w:rPr>
          <w:rFonts w:eastAsia="Times New Roman" w:cs="Arial"/>
          <w:b/>
          <w:bCs/>
          <w:color w:val="000000"/>
          <w:lang w:eastAsia="bg-BG"/>
        </w:rPr>
        <w:lastRenderedPageBreak/>
        <w:t>Моля, посочете срока на възвращаемост/ откупуване в брой години по видове инвести</w:t>
      </w:r>
      <w:r w:rsidR="00ED3990">
        <w:rPr>
          <w:rFonts w:eastAsia="Times New Roman" w:cs="Arial"/>
          <w:b/>
          <w:bCs/>
          <w:color w:val="000000"/>
          <w:lang w:eastAsia="bg-BG"/>
        </w:rPr>
        <w:t xml:space="preserve">ции: Магистрални водопроводим </w:t>
      </w:r>
      <w:r w:rsidRPr="00EE754B">
        <w:rPr>
          <w:rFonts w:eastAsia="Times New Roman" w:cs="Arial"/>
          <w:bCs/>
          <w:i/>
          <w:color w:val="000000"/>
          <w:lang w:eastAsia="bg-BG"/>
        </w:rPr>
        <w:t>база: 16</w:t>
      </w:r>
    </w:p>
    <w:tbl>
      <w:tblPr>
        <w:tblStyle w:val="LightGrid-Accent11"/>
        <w:tblW w:w="7088" w:type="dxa"/>
        <w:jc w:val="center"/>
        <w:tblLook w:val="0660" w:firstRow="1" w:lastRow="1" w:firstColumn="0" w:lastColumn="0" w:noHBand="1" w:noVBand="1"/>
      </w:tblPr>
      <w:tblGrid>
        <w:gridCol w:w="5954"/>
        <w:gridCol w:w="1134"/>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b w:val="0"/>
                <w:bCs w:val="0"/>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10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25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12.5</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50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18.8</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60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r>
      <w:tr w:rsidR="00EE754B" w:rsidRPr="00EE754B" w:rsidTr="00ED3990">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 съм запознат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56.3</w:t>
            </w: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100.0</w:t>
            </w:r>
          </w:p>
        </w:tc>
      </w:tr>
    </w:tbl>
    <w:p w:rsidR="00EE754B" w:rsidRPr="00EE754B" w:rsidRDefault="00EE754B" w:rsidP="00B462AB">
      <w:pPr>
        <w:spacing w:after="0" w:line="240" w:lineRule="auto"/>
        <w:rPr>
          <w:rFonts w:eastAsia="Times New Roman" w:cs="Arial"/>
          <w:b/>
          <w:bCs/>
          <w:color w:val="000000"/>
          <w:lang w:eastAsia="bg-BG"/>
        </w:rPr>
      </w:pPr>
    </w:p>
    <w:p w:rsidR="00C43A5F" w:rsidRDefault="00C43A5F" w:rsidP="00B462AB">
      <w:pPr>
        <w:spacing w:line="240" w:lineRule="auto"/>
        <w:rPr>
          <w:rFonts w:eastAsia="Times New Roman" w:cs="Arial"/>
          <w:b/>
          <w:bCs/>
          <w:color w:val="000000"/>
          <w:lang w:eastAsia="bg-BG"/>
        </w:rPr>
      </w:pPr>
    </w:p>
    <w:p w:rsidR="00EE754B" w:rsidRPr="00EE754B" w:rsidRDefault="00EE754B" w:rsidP="00B462AB">
      <w:pPr>
        <w:spacing w:line="240" w:lineRule="auto"/>
        <w:rPr>
          <w:rFonts w:eastAsia="Arial" w:cs="Times New Roman"/>
          <w:i/>
          <w:color w:val="000000"/>
        </w:rPr>
      </w:pPr>
      <w:r w:rsidRPr="00EE754B">
        <w:rPr>
          <w:rFonts w:eastAsia="Times New Roman" w:cs="Arial"/>
          <w:b/>
          <w:bCs/>
          <w:color w:val="000000"/>
          <w:lang w:eastAsia="bg-BG"/>
        </w:rPr>
        <w:t>Моля, посочете срока на възвращаемост/ откупуване в бр</w:t>
      </w:r>
      <w:r w:rsidR="00ED3990">
        <w:rPr>
          <w:rFonts w:eastAsia="Times New Roman" w:cs="Arial"/>
          <w:b/>
          <w:bCs/>
          <w:color w:val="000000"/>
          <w:lang w:eastAsia="bg-BG"/>
        </w:rPr>
        <w:t xml:space="preserve">ой години по видове инвестиции: </w:t>
      </w:r>
      <w:r w:rsidRPr="00EE754B">
        <w:rPr>
          <w:rFonts w:eastAsia="Times New Roman" w:cs="Arial"/>
          <w:b/>
          <w:bCs/>
          <w:color w:val="000000"/>
          <w:lang w:eastAsia="bg-BG"/>
        </w:rPr>
        <w:t>Канализационни колектори</w:t>
      </w:r>
      <w:r w:rsidR="00ED3990">
        <w:rPr>
          <w:rFonts w:eastAsia="Times New Roman" w:cs="Arial"/>
          <w:b/>
          <w:bCs/>
          <w:color w:val="000000"/>
          <w:lang w:eastAsia="bg-BG"/>
        </w:rPr>
        <w:t xml:space="preserve">; </w:t>
      </w:r>
      <w:r w:rsidRPr="00EE754B">
        <w:rPr>
          <w:rFonts w:eastAsia="Times New Roman" w:cs="Arial"/>
          <w:bCs/>
          <w:i/>
          <w:color w:val="000000"/>
          <w:lang w:eastAsia="bg-BG"/>
        </w:rPr>
        <w:t>база: 16</w:t>
      </w:r>
    </w:p>
    <w:tbl>
      <w:tblPr>
        <w:tblStyle w:val="LightGrid-Accent11"/>
        <w:tblW w:w="7088" w:type="dxa"/>
        <w:jc w:val="center"/>
        <w:tblLook w:val="0660" w:firstRow="1" w:lastRow="1" w:firstColumn="0" w:lastColumn="0" w:noHBand="1" w:noVBand="1"/>
      </w:tblPr>
      <w:tblGrid>
        <w:gridCol w:w="5954"/>
        <w:gridCol w:w="1134"/>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b w:val="0"/>
                <w:bCs w:val="0"/>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25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12.5</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50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18.8</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60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r>
      <w:tr w:rsidR="00EE754B" w:rsidRPr="00EE754B" w:rsidTr="00ED3990">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 съм запознат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62.5</w:t>
            </w: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100.0</w:t>
            </w:r>
          </w:p>
        </w:tc>
      </w:tr>
    </w:tbl>
    <w:p w:rsidR="00EE754B" w:rsidRPr="00EE754B" w:rsidRDefault="00EE754B" w:rsidP="00B462AB">
      <w:pPr>
        <w:spacing w:after="0" w:line="240" w:lineRule="auto"/>
        <w:rPr>
          <w:rFonts w:eastAsia="Times New Roman" w:cs="Arial"/>
          <w:b/>
          <w:bCs/>
          <w:color w:val="000000"/>
          <w:lang w:eastAsia="bg-BG"/>
        </w:rPr>
      </w:pPr>
    </w:p>
    <w:p w:rsidR="00C43A5F" w:rsidRDefault="00EE754B" w:rsidP="00ED3990">
      <w:pPr>
        <w:spacing w:after="200" w:line="240" w:lineRule="auto"/>
        <w:rPr>
          <w:rFonts w:eastAsia="Times New Roman" w:cs="Arial"/>
          <w:b/>
          <w:bCs/>
          <w:color w:val="000000"/>
          <w:lang w:eastAsia="bg-BG"/>
        </w:rPr>
      </w:pPr>
      <w:r w:rsidRPr="00EE754B">
        <w:rPr>
          <w:rFonts w:eastAsia="Times New Roman" w:cs="Arial"/>
          <w:b/>
          <w:bCs/>
          <w:color w:val="000000"/>
          <w:lang w:eastAsia="bg-BG"/>
        </w:rPr>
        <w:t xml:space="preserve"> </w:t>
      </w:r>
    </w:p>
    <w:p w:rsidR="00EE754B" w:rsidRPr="00EE754B" w:rsidRDefault="00EE754B" w:rsidP="00ED3990">
      <w:pPr>
        <w:spacing w:after="200" w:line="240" w:lineRule="auto"/>
        <w:rPr>
          <w:rFonts w:eastAsia="Arial" w:cs="Times New Roman"/>
          <w:i/>
          <w:color w:val="000000"/>
        </w:rPr>
      </w:pPr>
      <w:r w:rsidRPr="00EE754B">
        <w:rPr>
          <w:rFonts w:eastAsia="Times New Roman" w:cs="Arial"/>
          <w:b/>
          <w:bCs/>
          <w:color w:val="000000"/>
          <w:lang w:eastAsia="bg-BG"/>
        </w:rPr>
        <w:t>Моля, посочете срока на възвращаемост/ откупуване в бр</w:t>
      </w:r>
      <w:r w:rsidR="00ED3990">
        <w:rPr>
          <w:rFonts w:eastAsia="Times New Roman" w:cs="Arial"/>
          <w:b/>
          <w:bCs/>
          <w:color w:val="000000"/>
          <w:lang w:eastAsia="bg-BG"/>
        </w:rPr>
        <w:t xml:space="preserve">ой години по видове инвестиции: </w:t>
      </w:r>
      <w:r w:rsidRPr="00EE754B">
        <w:rPr>
          <w:rFonts w:eastAsia="Times New Roman" w:cs="Arial"/>
          <w:b/>
          <w:bCs/>
          <w:color w:val="000000"/>
          <w:lang w:eastAsia="bg-BG"/>
        </w:rPr>
        <w:t>Машини и съоръжения за доставка на вода</w:t>
      </w:r>
      <w:r w:rsidR="00ED3990">
        <w:rPr>
          <w:rFonts w:eastAsia="Times New Roman" w:cs="Arial"/>
          <w:b/>
          <w:bCs/>
          <w:color w:val="000000"/>
          <w:lang w:eastAsia="bg-BG"/>
        </w:rPr>
        <w:t xml:space="preserve">; </w:t>
      </w:r>
      <w:r w:rsidRPr="00EE754B">
        <w:rPr>
          <w:rFonts w:eastAsia="Times New Roman" w:cs="Arial"/>
          <w:bCs/>
          <w:i/>
          <w:color w:val="000000"/>
          <w:lang w:eastAsia="bg-BG"/>
        </w:rPr>
        <w:t>база: 16</w:t>
      </w:r>
    </w:p>
    <w:tbl>
      <w:tblPr>
        <w:tblStyle w:val="LightGrid-Accent11"/>
        <w:tblW w:w="7088" w:type="dxa"/>
        <w:jc w:val="center"/>
        <w:tblLook w:val="0660" w:firstRow="1" w:lastRow="1" w:firstColumn="0" w:lastColumn="0" w:noHBand="1" w:noVBand="1"/>
      </w:tblPr>
      <w:tblGrid>
        <w:gridCol w:w="5954"/>
        <w:gridCol w:w="1134"/>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b w:val="0"/>
                <w:bCs w:val="0"/>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10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25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18.8</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30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r>
      <w:tr w:rsidR="00EE754B" w:rsidRPr="00EE754B" w:rsidTr="00ED3990">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 съм запознат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68.8</w:t>
            </w: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100.0</w:t>
            </w:r>
          </w:p>
        </w:tc>
      </w:tr>
    </w:tbl>
    <w:p w:rsidR="00EE754B" w:rsidRPr="00EE754B" w:rsidRDefault="00EE754B" w:rsidP="00B462AB">
      <w:pPr>
        <w:spacing w:after="0" w:line="240" w:lineRule="auto"/>
        <w:rPr>
          <w:rFonts w:eastAsia="Times New Roman" w:cs="Arial"/>
          <w:b/>
          <w:bCs/>
          <w:color w:val="000000"/>
          <w:lang w:eastAsia="bg-BG"/>
        </w:rPr>
      </w:pPr>
    </w:p>
    <w:p w:rsidR="00C43A5F" w:rsidRDefault="00C43A5F" w:rsidP="00B462AB">
      <w:pPr>
        <w:spacing w:line="240" w:lineRule="auto"/>
        <w:rPr>
          <w:rFonts w:eastAsia="Times New Roman" w:cs="Arial"/>
          <w:b/>
          <w:bCs/>
          <w:color w:val="000000"/>
          <w:lang w:eastAsia="bg-BG"/>
        </w:rPr>
      </w:pPr>
    </w:p>
    <w:p w:rsidR="00EE754B" w:rsidRPr="00EE754B" w:rsidRDefault="00EE754B" w:rsidP="00B462AB">
      <w:pPr>
        <w:spacing w:line="240" w:lineRule="auto"/>
        <w:rPr>
          <w:rFonts w:eastAsia="Arial" w:cs="Times New Roman"/>
          <w:i/>
          <w:color w:val="000000"/>
        </w:rPr>
      </w:pPr>
      <w:r w:rsidRPr="00EE754B">
        <w:rPr>
          <w:rFonts w:eastAsia="Times New Roman" w:cs="Arial"/>
          <w:b/>
          <w:bCs/>
          <w:color w:val="000000"/>
          <w:lang w:eastAsia="bg-BG"/>
        </w:rPr>
        <w:t>Моля, посочете срока на възвращаемост/ откупуване в бр</w:t>
      </w:r>
      <w:r w:rsidR="00ED3990">
        <w:rPr>
          <w:rFonts w:eastAsia="Times New Roman" w:cs="Arial"/>
          <w:b/>
          <w:bCs/>
          <w:color w:val="000000"/>
          <w:lang w:eastAsia="bg-BG"/>
        </w:rPr>
        <w:t xml:space="preserve">ой години по видове инвестиции: </w:t>
      </w:r>
      <w:r w:rsidRPr="00EE754B">
        <w:rPr>
          <w:rFonts w:eastAsia="Times New Roman" w:cs="Arial"/>
          <w:b/>
          <w:bCs/>
          <w:color w:val="000000"/>
          <w:lang w:eastAsia="bg-BG"/>
        </w:rPr>
        <w:t>Машини и съоръжения за пречистване на отпадъчни води</w:t>
      </w:r>
      <w:r w:rsidR="00ED3990">
        <w:rPr>
          <w:rFonts w:eastAsia="Times New Roman" w:cs="Arial"/>
          <w:b/>
          <w:bCs/>
          <w:color w:val="000000"/>
          <w:lang w:eastAsia="bg-BG"/>
        </w:rPr>
        <w:t xml:space="preserve">; </w:t>
      </w:r>
      <w:r w:rsidRPr="00EE754B">
        <w:rPr>
          <w:rFonts w:eastAsia="Times New Roman" w:cs="Arial"/>
          <w:bCs/>
          <w:i/>
          <w:color w:val="000000"/>
          <w:lang w:eastAsia="bg-BG"/>
        </w:rPr>
        <w:t>база: 16</w:t>
      </w:r>
    </w:p>
    <w:tbl>
      <w:tblPr>
        <w:tblStyle w:val="LightGrid-Accent11"/>
        <w:tblW w:w="7088" w:type="dxa"/>
        <w:jc w:val="center"/>
        <w:tblLook w:val="0660" w:firstRow="1" w:lastRow="1" w:firstColumn="0" w:lastColumn="0" w:noHBand="1" w:noVBand="1"/>
      </w:tblPr>
      <w:tblGrid>
        <w:gridCol w:w="5954"/>
        <w:gridCol w:w="1134"/>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b w:val="0"/>
                <w:bCs w:val="0"/>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15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6.3</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25</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12.5</w:t>
            </w:r>
          </w:p>
        </w:tc>
      </w:tr>
      <w:tr w:rsidR="00EE754B" w:rsidRPr="00EE754B" w:rsidTr="00ED3990">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 съм запознат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81.3</w:t>
            </w: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100.0</w:t>
            </w:r>
          </w:p>
        </w:tc>
      </w:tr>
    </w:tbl>
    <w:p w:rsidR="00EE754B" w:rsidRPr="00EE754B" w:rsidRDefault="00EE754B" w:rsidP="00B462AB">
      <w:pPr>
        <w:spacing w:after="0" w:line="240" w:lineRule="auto"/>
        <w:rPr>
          <w:rFonts w:eastAsia="Times New Roman" w:cs="Arial"/>
          <w:b/>
          <w:bCs/>
          <w:color w:val="000000"/>
          <w:lang w:eastAsia="bg-BG"/>
        </w:rPr>
      </w:pPr>
    </w:p>
    <w:p w:rsidR="00EE754B" w:rsidRPr="00EE754B" w:rsidRDefault="00EE754B" w:rsidP="00B462AB">
      <w:pPr>
        <w:spacing w:after="0" w:line="240" w:lineRule="auto"/>
        <w:rPr>
          <w:rFonts w:eastAsia="Times New Roman" w:cs="Arial"/>
          <w:b/>
          <w:bCs/>
          <w:color w:val="000000"/>
          <w:lang w:eastAsia="bg-BG"/>
        </w:rPr>
      </w:pPr>
      <w:r w:rsidRPr="00EE754B">
        <w:rPr>
          <w:rFonts w:eastAsia="Times New Roman" w:cs="Arial"/>
          <w:b/>
          <w:bCs/>
          <w:color w:val="000000"/>
          <w:lang w:eastAsia="bg-BG"/>
        </w:rPr>
        <w:lastRenderedPageBreak/>
        <w:t>Моля, посочете срока на възвращаемост/ откупуване в бр</w:t>
      </w:r>
      <w:r w:rsidR="00ED3990">
        <w:rPr>
          <w:rFonts w:eastAsia="Times New Roman" w:cs="Arial"/>
          <w:b/>
          <w:bCs/>
          <w:color w:val="000000"/>
          <w:lang w:eastAsia="bg-BG"/>
        </w:rPr>
        <w:t xml:space="preserve">ой години по видове инвестиции: </w:t>
      </w:r>
      <w:r w:rsidRPr="00EE754B">
        <w:rPr>
          <w:rFonts w:eastAsia="Times New Roman" w:cs="Arial"/>
          <w:b/>
          <w:bCs/>
          <w:color w:val="000000"/>
          <w:lang w:eastAsia="bg-BG"/>
        </w:rPr>
        <w:t xml:space="preserve">Други </w:t>
      </w:r>
    </w:p>
    <w:p w:rsidR="00EE754B" w:rsidRPr="00EE754B" w:rsidRDefault="00EE754B" w:rsidP="00B462AB">
      <w:pPr>
        <w:spacing w:line="240" w:lineRule="auto"/>
        <w:rPr>
          <w:rFonts w:eastAsia="Arial" w:cs="Times New Roman"/>
          <w:i/>
          <w:color w:val="000000"/>
        </w:rPr>
      </w:pPr>
      <w:r w:rsidRPr="00EE754B">
        <w:rPr>
          <w:rFonts w:eastAsia="Times New Roman" w:cs="Arial"/>
          <w:bCs/>
          <w:i/>
          <w:color w:val="000000"/>
          <w:lang w:eastAsia="bg-BG"/>
        </w:rPr>
        <w:t>база: 16</w:t>
      </w:r>
    </w:p>
    <w:tbl>
      <w:tblPr>
        <w:tblStyle w:val="LightGrid-Accent11"/>
        <w:tblW w:w="7088" w:type="dxa"/>
        <w:jc w:val="center"/>
        <w:tblLook w:val="0660" w:firstRow="1" w:lastRow="1" w:firstColumn="0" w:lastColumn="0" w:noHBand="1" w:noVBand="1"/>
      </w:tblPr>
      <w:tblGrid>
        <w:gridCol w:w="5954"/>
        <w:gridCol w:w="1134"/>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b w:val="0"/>
                <w:bCs w:val="0"/>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ED3990">
        <w:trPr>
          <w:trHeight w:val="284"/>
          <w:jc w:val="center"/>
        </w:trPr>
        <w:tc>
          <w:tcPr>
            <w:tcW w:w="5954" w:type="dxa"/>
            <w:noWrap/>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10</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12.5</w:t>
            </w:r>
          </w:p>
        </w:tc>
      </w:tr>
      <w:tr w:rsidR="00EE754B" w:rsidRPr="00EE754B" w:rsidTr="00ED3990">
        <w:trPr>
          <w:trHeight w:val="284"/>
          <w:jc w:val="center"/>
        </w:trPr>
        <w:tc>
          <w:tcPr>
            <w:tcW w:w="5954"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Не съм запознат</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87.5</w:t>
            </w: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5954"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100.0</w:t>
            </w:r>
          </w:p>
        </w:tc>
      </w:tr>
    </w:tbl>
    <w:p w:rsidR="00EE754B" w:rsidRPr="00EE754B" w:rsidRDefault="00EE754B" w:rsidP="00B462AB">
      <w:pPr>
        <w:spacing w:after="0" w:line="240" w:lineRule="auto"/>
        <w:rPr>
          <w:rFonts w:eastAsia="Arial" w:cs="Times New Roman"/>
          <w:color w:val="000000"/>
        </w:rPr>
      </w:pPr>
    </w:p>
    <w:p w:rsidR="00EE754B" w:rsidRDefault="00EE754B" w:rsidP="00B462AB">
      <w:pPr>
        <w:spacing w:line="240" w:lineRule="auto"/>
        <w:jc w:val="both"/>
        <w:rPr>
          <w:rFonts w:eastAsia="Times New Roman" w:cs="Arial"/>
          <w:color w:val="000000"/>
          <w:lang w:eastAsia="bg-BG"/>
        </w:rPr>
      </w:pPr>
      <w:r w:rsidRPr="00EE754B">
        <w:rPr>
          <w:rFonts w:eastAsia="Times New Roman" w:cs="Arial"/>
          <w:color w:val="000000"/>
          <w:lang w:eastAsia="bg-BG"/>
        </w:rPr>
        <w:t xml:space="preserve">По отношение предпочитанията на </w:t>
      </w:r>
      <w:r w:rsidR="00E74BDD" w:rsidRPr="00EE754B">
        <w:rPr>
          <w:rFonts w:eastAsia="Times New Roman" w:cs="Arial"/>
          <w:color w:val="000000"/>
          <w:lang w:eastAsia="bg-BG"/>
        </w:rPr>
        <w:t>респондентите</w:t>
      </w:r>
      <w:r w:rsidRPr="00EE754B">
        <w:rPr>
          <w:rFonts w:eastAsia="Times New Roman" w:cs="Arial"/>
          <w:color w:val="000000"/>
          <w:lang w:eastAsia="bg-BG"/>
        </w:rPr>
        <w:t>, какъв тип финансови инструменти биха използвали за финансиране на инвестициите си, 50% посочват, че това е заем, следвани от по 19% за гаранции и дялов капитал. 44% обаче не могат да преценят кой би бил подходящия финансов инструмент.</w:t>
      </w:r>
    </w:p>
    <w:p w:rsidR="00C43A5F" w:rsidRPr="00EE754B" w:rsidRDefault="00C43A5F" w:rsidP="00B462AB">
      <w:pPr>
        <w:spacing w:line="240" w:lineRule="auto"/>
        <w:jc w:val="both"/>
        <w:rPr>
          <w:rFonts w:eastAsia="Times New Roman" w:cs="Arial"/>
          <w:color w:val="000000"/>
          <w:lang w:eastAsia="bg-BG"/>
        </w:rPr>
      </w:pPr>
    </w:p>
    <w:p w:rsidR="00EE754B" w:rsidRPr="00ED3990" w:rsidRDefault="00ED3990" w:rsidP="00ED3990">
      <w:pPr>
        <w:spacing w:before="240" w:after="200" w:line="240" w:lineRule="auto"/>
        <w:jc w:val="center"/>
        <w:rPr>
          <w:b/>
          <w:sz w:val="20"/>
          <w:szCs w:val="20"/>
        </w:rPr>
      </w:pPr>
      <w:bookmarkStart w:id="109" w:name="_Toc399494631"/>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46</w:t>
      </w:r>
      <w:r w:rsidR="008E6461" w:rsidRPr="005C4B92">
        <w:rPr>
          <w:b/>
          <w:sz w:val="20"/>
          <w:szCs w:val="20"/>
        </w:rPr>
        <w:fldChar w:fldCharType="end"/>
      </w:r>
      <w:r>
        <w:rPr>
          <w:b/>
          <w:sz w:val="20"/>
          <w:szCs w:val="20"/>
        </w:rPr>
        <w:t>: Н</w:t>
      </w:r>
      <w:r w:rsidR="00EE754B" w:rsidRPr="00ED3990">
        <w:rPr>
          <w:b/>
          <w:sz w:val="20"/>
          <w:szCs w:val="20"/>
        </w:rPr>
        <w:t>агласи за използване на различни видове ФИ</w:t>
      </w:r>
      <w:bookmarkEnd w:id="109"/>
    </w:p>
    <w:p w:rsidR="00EE754B" w:rsidRPr="00EE754B" w:rsidRDefault="00ED3990" w:rsidP="00ED3990">
      <w:pPr>
        <w:spacing w:after="0" w:line="240" w:lineRule="auto"/>
        <w:jc w:val="center"/>
        <w:rPr>
          <w:rFonts w:eastAsia="Times New Roman" w:cs="Arial"/>
          <w:b/>
          <w:color w:val="000000"/>
          <w:lang w:eastAsia="bg-BG"/>
        </w:rPr>
      </w:pPr>
      <w:r>
        <w:rPr>
          <w:rFonts w:eastAsia="Times New Roman" w:cs="Arial"/>
          <w:b/>
          <w:noProof/>
          <w:color w:val="000000"/>
          <w:lang w:eastAsia="bg-BG"/>
        </w:rPr>
        <w:drawing>
          <wp:inline distT="0" distB="0" distL="0" distR="0">
            <wp:extent cx="4838700" cy="1784065"/>
            <wp:effectExtent l="1905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88" cstate="print"/>
                    <a:srcRect/>
                    <a:stretch>
                      <a:fillRect/>
                    </a:stretch>
                  </pic:blipFill>
                  <pic:spPr bwMode="auto">
                    <a:xfrm>
                      <a:off x="0" y="0"/>
                      <a:ext cx="4838700" cy="1784065"/>
                    </a:xfrm>
                    <a:prstGeom prst="rect">
                      <a:avLst/>
                    </a:prstGeom>
                    <a:noFill/>
                  </pic:spPr>
                </pic:pic>
              </a:graphicData>
            </a:graphic>
          </wp:inline>
        </w:drawing>
      </w:r>
    </w:p>
    <w:p w:rsidR="00C43A5F" w:rsidRDefault="00C43A5F" w:rsidP="00ED3990">
      <w:pPr>
        <w:spacing w:before="240" w:after="0" w:line="240" w:lineRule="auto"/>
        <w:jc w:val="both"/>
        <w:rPr>
          <w:rFonts w:eastAsia="Times New Roman" w:cs="Arial"/>
          <w:color w:val="000000"/>
          <w:lang w:eastAsia="bg-BG"/>
        </w:rPr>
      </w:pPr>
    </w:p>
    <w:p w:rsidR="00EE754B" w:rsidRPr="00EE754B" w:rsidRDefault="00EE754B" w:rsidP="00ED3990">
      <w:pPr>
        <w:spacing w:before="240" w:after="0" w:line="240" w:lineRule="auto"/>
        <w:jc w:val="both"/>
        <w:rPr>
          <w:rFonts w:eastAsia="Times New Roman" w:cs="Arial"/>
          <w:bCs/>
          <w:color w:val="000000"/>
          <w:lang w:eastAsia="bg-BG"/>
        </w:rPr>
      </w:pPr>
      <w:r w:rsidRPr="00EE754B">
        <w:rPr>
          <w:rFonts w:eastAsia="Times New Roman" w:cs="Arial"/>
          <w:color w:val="000000"/>
          <w:lang w:eastAsia="bg-BG"/>
        </w:rPr>
        <w:t xml:space="preserve">Това се подкрепя и от отговорите на въпроса доколко организациите на респондентите имат опит в </w:t>
      </w:r>
      <w:r w:rsidRPr="00EE754B">
        <w:rPr>
          <w:rFonts w:eastAsia="Times New Roman" w:cs="Arial"/>
          <w:bCs/>
          <w:color w:val="000000"/>
          <w:lang w:eastAsia="bg-BG"/>
        </w:rPr>
        <w:t>управление на инвестиции, финансирани чрез  фин. инструменти и/или безвъзмездна финансова помощ.  Едва 31% посочват, че имат такъв опит, докато близо 63% нямат. Съответен е делът на тези, които считат, че им е необходима техническа помощ – 63%. 12.5% са категорични, че не им е необходима такава техническа помощ, но 25% се колебаят и не могат да преценят.</w:t>
      </w:r>
    </w:p>
    <w:p w:rsidR="00EE754B" w:rsidRPr="00EE754B" w:rsidRDefault="00EE754B" w:rsidP="00B462AB">
      <w:pPr>
        <w:spacing w:after="0" w:line="240" w:lineRule="auto"/>
        <w:jc w:val="both"/>
        <w:rPr>
          <w:rFonts w:eastAsia="Times New Roman" w:cs="Arial"/>
          <w:bCs/>
          <w:color w:val="000000"/>
          <w:lang w:eastAsia="bg-BG"/>
        </w:rPr>
      </w:pPr>
    </w:p>
    <w:p w:rsidR="00EE754B" w:rsidRPr="00EE754B" w:rsidRDefault="00EE754B" w:rsidP="00B462AB">
      <w:pPr>
        <w:spacing w:after="0" w:line="240" w:lineRule="auto"/>
        <w:jc w:val="both"/>
        <w:rPr>
          <w:rFonts w:eastAsia="Times New Roman" w:cs="Arial"/>
          <w:color w:val="000000"/>
          <w:lang w:eastAsia="bg-BG"/>
        </w:rPr>
      </w:pPr>
      <w:r w:rsidRPr="00EE754B">
        <w:rPr>
          <w:rFonts w:eastAsia="Times New Roman" w:cs="Arial"/>
          <w:color w:val="000000"/>
          <w:lang w:eastAsia="bg-BG"/>
        </w:rPr>
        <w:t xml:space="preserve">Относно очакванията, свързани с използване на ФИ за  реализация на инвестиционната програма на дружеството, близо 38% смятат, че тя ще се увеличи. </w:t>
      </w:r>
    </w:p>
    <w:p w:rsidR="00EE754B" w:rsidRDefault="00EE754B" w:rsidP="00B462AB">
      <w:pPr>
        <w:spacing w:after="0" w:line="240" w:lineRule="auto"/>
        <w:jc w:val="both"/>
        <w:rPr>
          <w:rFonts w:eastAsia="Times New Roman" w:cs="Arial"/>
          <w:color w:val="000000"/>
          <w:lang w:eastAsia="bg-BG"/>
        </w:rPr>
      </w:pPr>
      <w:r w:rsidRPr="00EE754B">
        <w:rPr>
          <w:rFonts w:eastAsia="Times New Roman" w:cs="Arial"/>
          <w:color w:val="000000"/>
          <w:lang w:eastAsia="bg-BG"/>
        </w:rPr>
        <w:t>В дългосрочен аспект се очаква ефектът от използване на ФИ да бъде положителен (81% от отговорилите).</w:t>
      </w:r>
    </w:p>
    <w:p w:rsidR="00C43A5F" w:rsidRDefault="00C43A5F" w:rsidP="00B462AB">
      <w:pPr>
        <w:spacing w:after="0" w:line="240" w:lineRule="auto"/>
        <w:jc w:val="both"/>
        <w:rPr>
          <w:rFonts w:eastAsia="Times New Roman" w:cs="Arial"/>
          <w:color w:val="000000"/>
          <w:lang w:eastAsia="bg-BG"/>
        </w:rPr>
      </w:pPr>
    </w:p>
    <w:p w:rsidR="00C43A5F" w:rsidRDefault="00C43A5F" w:rsidP="00B462AB">
      <w:pPr>
        <w:spacing w:after="0" w:line="240" w:lineRule="auto"/>
        <w:jc w:val="both"/>
        <w:rPr>
          <w:rFonts w:eastAsia="Times New Roman" w:cs="Arial"/>
          <w:color w:val="000000"/>
          <w:lang w:eastAsia="bg-BG"/>
        </w:rPr>
      </w:pPr>
    </w:p>
    <w:p w:rsidR="00C43A5F" w:rsidRDefault="00C43A5F" w:rsidP="00B462AB">
      <w:pPr>
        <w:spacing w:after="0" w:line="240" w:lineRule="auto"/>
        <w:jc w:val="both"/>
        <w:rPr>
          <w:rFonts w:eastAsia="Times New Roman" w:cs="Arial"/>
          <w:color w:val="000000"/>
          <w:lang w:eastAsia="bg-BG"/>
        </w:rPr>
      </w:pPr>
    </w:p>
    <w:p w:rsidR="00C43A5F" w:rsidRDefault="00C43A5F" w:rsidP="00B462AB">
      <w:pPr>
        <w:spacing w:after="0" w:line="240" w:lineRule="auto"/>
        <w:jc w:val="both"/>
        <w:rPr>
          <w:rFonts w:eastAsia="Times New Roman" w:cs="Arial"/>
          <w:color w:val="000000"/>
          <w:lang w:eastAsia="bg-BG"/>
        </w:rPr>
      </w:pPr>
    </w:p>
    <w:p w:rsidR="00C43A5F" w:rsidRDefault="00C43A5F" w:rsidP="00B462AB">
      <w:pPr>
        <w:spacing w:after="0" w:line="240" w:lineRule="auto"/>
        <w:jc w:val="both"/>
        <w:rPr>
          <w:rFonts w:eastAsia="Times New Roman" w:cs="Arial"/>
          <w:color w:val="000000"/>
          <w:lang w:eastAsia="bg-BG"/>
        </w:rPr>
      </w:pPr>
    </w:p>
    <w:p w:rsidR="00C43A5F" w:rsidRPr="00EE754B" w:rsidRDefault="00C43A5F" w:rsidP="00B462AB">
      <w:pPr>
        <w:spacing w:after="0" w:line="240" w:lineRule="auto"/>
        <w:jc w:val="both"/>
        <w:rPr>
          <w:rFonts w:eastAsia="Times New Roman" w:cs="Arial"/>
          <w:color w:val="000000"/>
          <w:lang w:eastAsia="bg-BG"/>
        </w:rPr>
      </w:pPr>
    </w:p>
    <w:p w:rsidR="00EE754B" w:rsidRPr="00EE754B" w:rsidRDefault="00EE754B" w:rsidP="00B462AB">
      <w:pPr>
        <w:spacing w:after="0" w:line="240" w:lineRule="auto"/>
        <w:rPr>
          <w:rFonts w:eastAsia="Times New Roman" w:cs="Arial"/>
          <w:b/>
          <w:color w:val="000000"/>
          <w:lang w:val="en-US" w:eastAsia="bg-BG"/>
        </w:rPr>
      </w:pPr>
    </w:p>
    <w:p w:rsidR="00EE754B" w:rsidRPr="00EE754B" w:rsidRDefault="00ED3990" w:rsidP="00ED3990">
      <w:pPr>
        <w:spacing w:before="240" w:after="120" w:line="240" w:lineRule="auto"/>
        <w:jc w:val="center"/>
        <w:rPr>
          <w:rFonts w:eastAsia="Times New Roman" w:cs="Arial"/>
          <w:b/>
          <w:smallCaps/>
          <w:color w:val="000000"/>
          <w:spacing w:val="10"/>
          <w:lang w:eastAsia="bg-BG"/>
        </w:rPr>
      </w:pPr>
      <w:bookmarkStart w:id="110" w:name="_Toc399494632"/>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47</w:t>
      </w:r>
      <w:r w:rsidR="008E6461" w:rsidRPr="005C4B92">
        <w:rPr>
          <w:b/>
          <w:sz w:val="20"/>
          <w:szCs w:val="20"/>
        </w:rPr>
        <w:fldChar w:fldCharType="end"/>
      </w:r>
      <w:r>
        <w:rPr>
          <w:b/>
          <w:sz w:val="20"/>
          <w:szCs w:val="20"/>
        </w:rPr>
        <w:t xml:space="preserve">: </w:t>
      </w:r>
      <w:r w:rsidR="00EE754B" w:rsidRPr="00EE754B">
        <w:rPr>
          <w:rFonts w:eastAsia="Arial" w:cs="Times New Roman"/>
          <w:bCs/>
          <w:smallCaps/>
          <w:color w:val="DD8047"/>
          <w:spacing w:val="10"/>
        </w:rPr>
        <w:t xml:space="preserve"> </w:t>
      </w:r>
      <w:r w:rsidR="00EE754B" w:rsidRPr="00ED3990">
        <w:rPr>
          <w:b/>
          <w:sz w:val="20"/>
          <w:szCs w:val="20"/>
        </w:rPr>
        <w:t>Ефект от използване на ФИ</w:t>
      </w:r>
      <w:bookmarkEnd w:id="110"/>
    </w:p>
    <w:p w:rsidR="00ED3990" w:rsidRDefault="00ED3990" w:rsidP="00ED3990">
      <w:pPr>
        <w:spacing w:before="240" w:after="120" w:line="240" w:lineRule="auto"/>
        <w:jc w:val="center"/>
        <w:outlineLvl w:val="3"/>
        <w:rPr>
          <w:rFonts w:eastAsia="Arial" w:cs="Times New Roman"/>
          <w:b/>
          <w:color w:val="A5AB81"/>
          <w:spacing w:val="20"/>
          <w:lang w:eastAsia="bg-BG"/>
        </w:rPr>
      </w:pPr>
      <w:r>
        <w:rPr>
          <w:rFonts w:eastAsia="Arial" w:cs="Times New Roman"/>
          <w:b/>
          <w:noProof/>
          <w:color w:val="A5AB81"/>
          <w:spacing w:val="20"/>
          <w:lang w:eastAsia="bg-BG"/>
        </w:rPr>
        <w:drawing>
          <wp:inline distT="0" distB="0" distL="0" distR="0">
            <wp:extent cx="4797086" cy="2114550"/>
            <wp:effectExtent l="19050" t="0" r="3514"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89" cstate="print"/>
                    <a:srcRect/>
                    <a:stretch>
                      <a:fillRect/>
                    </a:stretch>
                  </pic:blipFill>
                  <pic:spPr bwMode="auto">
                    <a:xfrm>
                      <a:off x="0" y="0"/>
                      <a:ext cx="4800970" cy="2116262"/>
                    </a:xfrm>
                    <a:prstGeom prst="rect">
                      <a:avLst/>
                    </a:prstGeom>
                    <a:noFill/>
                  </pic:spPr>
                </pic:pic>
              </a:graphicData>
            </a:graphic>
          </wp:inline>
        </w:drawing>
      </w:r>
    </w:p>
    <w:p w:rsidR="00ED3990" w:rsidRDefault="00ED3990" w:rsidP="00ED3990">
      <w:pPr>
        <w:spacing w:before="240" w:after="120" w:line="240" w:lineRule="auto"/>
        <w:outlineLvl w:val="3"/>
        <w:rPr>
          <w:rFonts w:eastAsia="Arial" w:cs="Times New Roman"/>
          <w:b/>
          <w:color w:val="A5AB81"/>
          <w:spacing w:val="20"/>
          <w:lang w:eastAsia="bg-BG"/>
        </w:rPr>
      </w:pPr>
    </w:p>
    <w:p w:rsidR="00EE754B" w:rsidRPr="00ED3990" w:rsidRDefault="00ED3990" w:rsidP="00ED3990">
      <w:pPr>
        <w:spacing w:before="240" w:after="120" w:line="240" w:lineRule="auto"/>
        <w:outlineLvl w:val="3"/>
        <w:rPr>
          <w:rFonts w:ascii="Calibri" w:eastAsia="Calibri" w:hAnsi="Calibri" w:cs="Times New Roman"/>
          <w:b/>
          <w:i/>
          <w:color w:val="4F81BD"/>
        </w:rPr>
      </w:pPr>
      <w:r>
        <w:rPr>
          <w:rFonts w:ascii="Calibri" w:eastAsia="Calibri" w:hAnsi="Calibri" w:cs="Times New Roman"/>
          <w:b/>
          <w:i/>
          <w:color w:val="4F81BD"/>
        </w:rPr>
        <w:t xml:space="preserve">Сектор </w:t>
      </w:r>
      <w:r w:rsidR="00EE754B" w:rsidRPr="00ED3990">
        <w:rPr>
          <w:rFonts w:ascii="Calibri" w:eastAsia="Calibri" w:hAnsi="Calibri" w:cs="Times New Roman"/>
          <w:b/>
          <w:i/>
          <w:color w:val="4F81BD"/>
        </w:rPr>
        <w:t>Отпадъци</w:t>
      </w:r>
    </w:p>
    <w:p w:rsidR="00EE754B" w:rsidRPr="00EE754B" w:rsidRDefault="00EE754B" w:rsidP="00B462AB">
      <w:pPr>
        <w:spacing w:after="0" w:line="240" w:lineRule="auto"/>
        <w:rPr>
          <w:rFonts w:eastAsia="Times New Roman" w:cs="Arial"/>
          <w:bCs/>
          <w:i/>
          <w:iCs/>
          <w:color w:val="000000"/>
          <w:lang w:eastAsia="bg-BG"/>
        </w:rPr>
      </w:pPr>
      <w:r w:rsidRPr="00EE754B">
        <w:rPr>
          <w:rFonts w:eastAsia="Times New Roman" w:cs="Arial"/>
          <w:bCs/>
          <w:i/>
          <w:iCs/>
          <w:color w:val="000000"/>
          <w:lang w:eastAsia="bg-BG"/>
        </w:rPr>
        <w:t xml:space="preserve">Следващите въпроси са зададени на </w:t>
      </w:r>
      <w:r w:rsidR="00E74BDD" w:rsidRPr="00EE754B">
        <w:rPr>
          <w:rFonts w:eastAsia="Times New Roman" w:cs="Arial"/>
          <w:bCs/>
          <w:i/>
          <w:iCs/>
          <w:color w:val="000000"/>
          <w:lang w:eastAsia="bg-BG"/>
        </w:rPr>
        <w:t>респонденти</w:t>
      </w:r>
      <w:r w:rsidRPr="00EE754B">
        <w:rPr>
          <w:rFonts w:eastAsia="Times New Roman" w:cs="Arial"/>
          <w:bCs/>
          <w:i/>
          <w:iCs/>
          <w:color w:val="000000"/>
          <w:lang w:eastAsia="bg-BG"/>
        </w:rPr>
        <w:t xml:space="preserve"> в сектор Отпадъци, общо 7</w:t>
      </w:r>
    </w:p>
    <w:p w:rsidR="00EE754B" w:rsidRPr="00EE754B" w:rsidRDefault="00EE754B" w:rsidP="00B462AB">
      <w:pPr>
        <w:spacing w:after="0" w:line="240" w:lineRule="auto"/>
        <w:rPr>
          <w:rFonts w:eastAsia="Times New Roman" w:cs="Arial"/>
          <w:bCs/>
          <w:i/>
          <w:iCs/>
          <w:color w:val="000000"/>
          <w:lang w:eastAsia="bg-BG"/>
        </w:rPr>
      </w:pPr>
    </w:p>
    <w:p w:rsidR="00EE754B" w:rsidRPr="00EE754B" w:rsidRDefault="00EE754B" w:rsidP="00B462AB">
      <w:pPr>
        <w:spacing w:after="0" w:line="240" w:lineRule="auto"/>
        <w:jc w:val="both"/>
        <w:rPr>
          <w:rFonts w:eastAsia="Times New Roman" w:cs="Arial"/>
          <w:color w:val="000000"/>
          <w:lang w:eastAsia="bg-BG"/>
        </w:rPr>
      </w:pPr>
      <w:r w:rsidRPr="00EE754B">
        <w:rPr>
          <w:rFonts w:eastAsia="Times New Roman" w:cs="Arial"/>
          <w:bCs/>
          <w:iCs/>
          <w:color w:val="000000"/>
          <w:lang w:eastAsia="bg-BG"/>
        </w:rPr>
        <w:t xml:space="preserve">Според отговорилите, основните причини </w:t>
      </w:r>
      <w:r w:rsidRPr="00EE754B">
        <w:rPr>
          <w:rFonts w:eastAsia="Times New Roman" w:cs="Arial"/>
          <w:color w:val="000000"/>
          <w:lang w:eastAsia="bg-BG"/>
        </w:rPr>
        <w:t>към момента в страната броят на съоръженията за повторно третиране и оползотворяване на отпадъците да е все още малък са в липсата на финансови средства за инвестиции в съоръжения, както и липсата на ефективна регулация (по 57%). Следват липсата на достатъчен обем сепарирани отпадъци и недостатъчен финансов ресурс за закупуване на инсталации за депата за отпадъци (по 43%).</w:t>
      </w:r>
    </w:p>
    <w:p w:rsidR="00EE754B" w:rsidRPr="00EE754B" w:rsidRDefault="00EE754B" w:rsidP="00B462AB">
      <w:pPr>
        <w:spacing w:after="0" w:line="240" w:lineRule="auto"/>
        <w:rPr>
          <w:rFonts w:eastAsia="Times New Roman" w:cs="Arial"/>
          <w:bCs/>
          <w:iCs/>
          <w:color w:val="000000"/>
          <w:lang w:eastAsia="bg-BG"/>
        </w:rPr>
      </w:pPr>
    </w:p>
    <w:p w:rsidR="00EE754B" w:rsidRPr="00EE754B" w:rsidRDefault="00EE754B" w:rsidP="00B462AB">
      <w:pPr>
        <w:spacing w:after="0" w:line="240" w:lineRule="auto"/>
        <w:jc w:val="both"/>
        <w:rPr>
          <w:rFonts w:eastAsia="Times New Roman" w:cs="Arial"/>
          <w:color w:val="000000"/>
          <w:lang w:eastAsia="bg-BG"/>
        </w:rPr>
      </w:pPr>
      <w:r w:rsidRPr="00EE754B">
        <w:rPr>
          <w:rFonts w:eastAsia="Times New Roman" w:cs="Arial"/>
          <w:bCs/>
          <w:iCs/>
          <w:color w:val="000000"/>
          <w:lang w:eastAsia="bg-BG"/>
        </w:rPr>
        <w:t>Запитани, с каква цел биха използвали ФИ (</w:t>
      </w:r>
      <w:r w:rsidRPr="00EE754B">
        <w:rPr>
          <w:rFonts w:eastAsia="Times New Roman" w:cs="Arial"/>
          <w:color w:val="000000"/>
          <w:lang w:eastAsia="bg-BG"/>
        </w:rPr>
        <w:t>заеми, гаранции, други), респондентите са посочили следните възможности:</w:t>
      </w:r>
    </w:p>
    <w:p w:rsidR="00EE754B" w:rsidRPr="00EE754B" w:rsidRDefault="00EE754B" w:rsidP="00B462AB">
      <w:pPr>
        <w:spacing w:after="0" w:line="240" w:lineRule="auto"/>
        <w:rPr>
          <w:rFonts w:eastAsia="Times New Roman" w:cs="Arial"/>
          <w:bCs/>
          <w:iCs/>
          <w:color w:val="000000"/>
          <w:lang w:eastAsia="bg-BG"/>
        </w:rPr>
      </w:pPr>
    </w:p>
    <w:p w:rsidR="00EE754B" w:rsidRPr="00EE754B" w:rsidRDefault="00EE754B" w:rsidP="00B462AB">
      <w:pPr>
        <w:spacing w:after="0" w:line="240" w:lineRule="auto"/>
        <w:rPr>
          <w:rFonts w:eastAsia="Arial" w:cs="Times New Roman"/>
          <w:i/>
          <w:color w:val="000000"/>
        </w:rPr>
      </w:pPr>
      <w:r w:rsidRPr="00EE754B">
        <w:rPr>
          <w:rFonts w:eastAsia="Times New Roman" w:cs="Arial"/>
          <w:i/>
          <w:color w:val="000000"/>
          <w:lang w:eastAsia="bg-BG"/>
        </w:rPr>
        <w:t>*възможност за повече отговори</w:t>
      </w:r>
    </w:p>
    <w:tbl>
      <w:tblPr>
        <w:tblStyle w:val="LightGrid-Accent11"/>
        <w:tblW w:w="9072" w:type="dxa"/>
        <w:jc w:val="center"/>
        <w:tblLook w:val="0660" w:firstRow="1" w:lastRow="1" w:firstColumn="0" w:lastColumn="0" w:noHBand="1" w:noVBand="1"/>
      </w:tblPr>
      <w:tblGrid>
        <w:gridCol w:w="7931"/>
        <w:gridCol w:w="1141"/>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7938"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Дейности</w:t>
            </w: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Площадки и инсталации за предварително третиране на битови отпадъци</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85.7%</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Анаеробни и/или компостиращи инсталации за биоразградими и/или зелени отпадъци, вкл. техника за разделно събиране на отпадъците (предвид разпоредбите на Наредба за разделно събиране на биоразградими отпадъци от 06.12.2013г.)</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42.9%</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Центрове за повторна употреба на битови отпадъци, включително техниката и съоръженията към тях</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28.6%</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Инсталации за повторно оползотворяване на отпадъците</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28.6%</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Завод за третиране на отпадъци</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28.6%</w:t>
            </w: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7938"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214.3%</w:t>
            </w:r>
          </w:p>
        </w:tc>
      </w:tr>
    </w:tbl>
    <w:p w:rsidR="00EE754B" w:rsidRPr="00EE754B" w:rsidRDefault="00EE754B" w:rsidP="00B462AB">
      <w:pPr>
        <w:spacing w:after="0" w:line="240" w:lineRule="auto"/>
        <w:rPr>
          <w:rFonts w:eastAsia="Times New Roman" w:cs="Arial"/>
          <w:b/>
          <w:bCs/>
          <w:color w:val="000000"/>
          <w:lang w:eastAsia="bg-BG"/>
        </w:rPr>
      </w:pPr>
    </w:p>
    <w:p w:rsidR="00EE754B" w:rsidRDefault="00EE754B" w:rsidP="00ED3990">
      <w:pPr>
        <w:spacing w:after="0" w:line="240" w:lineRule="auto"/>
        <w:jc w:val="both"/>
        <w:rPr>
          <w:rFonts w:eastAsia="Times New Roman" w:cs="Arial"/>
          <w:color w:val="000000"/>
          <w:lang w:eastAsia="bg-BG"/>
        </w:rPr>
      </w:pPr>
      <w:r w:rsidRPr="00EE754B">
        <w:rPr>
          <w:rFonts w:eastAsia="Times New Roman" w:cs="Arial"/>
          <w:bCs/>
          <w:color w:val="000000"/>
          <w:lang w:eastAsia="bg-BG"/>
        </w:rPr>
        <w:t xml:space="preserve">В подобен ред са подредени и при отговор на въпроса кои инвестиции </w:t>
      </w:r>
      <w:r w:rsidRPr="00EE754B">
        <w:rPr>
          <w:rFonts w:eastAsia="Times New Roman" w:cs="Arial"/>
          <w:color w:val="000000"/>
          <w:lang w:eastAsia="bg-BG"/>
        </w:rPr>
        <w:t>биха могли да се финансират изцяло чрез ползването на финансов инструмент</w:t>
      </w:r>
    </w:p>
    <w:p w:rsidR="00C43A5F" w:rsidRDefault="00C43A5F" w:rsidP="00ED3990">
      <w:pPr>
        <w:spacing w:after="0" w:line="240" w:lineRule="auto"/>
        <w:jc w:val="both"/>
        <w:rPr>
          <w:rFonts w:eastAsia="Times New Roman" w:cs="Arial"/>
          <w:color w:val="000000"/>
          <w:lang w:eastAsia="bg-BG"/>
        </w:rPr>
      </w:pPr>
    </w:p>
    <w:p w:rsidR="00C43A5F" w:rsidRPr="00EE754B" w:rsidRDefault="00C43A5F" w:rsidP="00ED3990">
      <w:pPr>
        <w:spacing w:after="0" w:line="240" w:lineRule="auto"/>
        <w:jc w:val="both"/>
        <w:rPr>
          <w:rFonts w:eastAsia="Times New Roman" w:cs="Arial"/>
          <w:bCs/>
          <w:color w:val="000000"/>
          <w:lang w:eastAsia="bg-BG"/>
        </w:rPr>
      </w:pPr>
    </w:p>
    <w:p w:rsidR="00EE754B" w:rsidRPr="00EE754B" w:rsidRDefault="00EE754B" w:rsidP="00B462AB">
      <w:pPr>
        <w:spacing w:line="240" w:lineRule="auto"/>
        <w:rPr>
          <w:rFonts w:eastAsia="Arial" w:cs="Times New Roman"/>
          <w:i/>
          <w:color w:val="000000"/>
        </w:rPr>
      </w:pPr>
      <w:r w:rsidRPr="00EE754B">
        <w:rPr>
          <w:rFonts w:eastAsia="Times New Roman" w:cs="Arial"/>
          <w:i/>
          <w:color w:val="000000"/>
          <w:lang w:eastAsia="bg-BG"/>
        </w:rPr>
        <w:lastRenderedPageBreak/>
        <w:t>*възможност за повече отговори</w:t>
      </w:r>
    </w:p>
    <w:tbl>
      <w:tblPr>
        <w:tblStyle w:val="LightGrid-Accent11"/>
        <w:tblW w:w="9072" w:type="dxa"/>
        <w:jc w:val="center"/>
        <w:tblLook w:val="0660" w:firstRow="1" w:lastRow="1" w:firstColumn="0" w:lastColumn="0" w:noHBand="1" w:noVBand="1"/>
      </w:tblPr>
      <w:tblGrid>
        <w:gridCol w:w="7931"/>
        <w:gridCol w:w="1141"/>
      </w:tblGrid>
      <w:tr w:rsidR="00EE754B" w:rsidRPr="00EE754B" w:rsidTr="00ED3990">
        <w:trPr>
          <w:cnfStyle w:val="100000000000" w:firstRow="1" w:lastRow="0" w:firstColumn="0" w:lastColumn="0" w:oddVBand="0" w:evenVBand="0" w:oddHBand="0" w:evenHBand="0" w:firstRowFirstColumn="0" w:firstRowLastColumn="0" w:lastRowFirstColumn="0" w:lastRowLastColumn="0"/>
          <w:trHeight w:val="284"/>
          <w:jc w:val="center"/>
        </w:trPr>
        <w:tc>
          <w:tcPr>
            <w:tcW w:w="7938" w:type="dxa"/>
            <w:hideMark/>
          </w:tcPr>
          <w:p w:rsidR="00EE754B" w:rsidRPr="00EE754B" w:rsidRDefault="00EE754B" w:rsidP="00B462AB">
            <w:pPr>
              <w:rPr>
                <w:rFonts w:asciiTheme="minorHAnsi" w:eastAsia="Times New Roman" w:hAnsiTheme="minorHAnsi"/>
                <w:color w:val="000000"/>
                <w:lang w:eastAsia="bg-BG"/>
              </w:rPr>
            </w:pPr>
          </w:p>
        </w:tc>
        <w:tc>
          <w:tcPr>
            <w:tcW w:w="1134" w:type="dxa"/>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Процент*</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Площадки и инсталации за предварително третиране на битови отпадъци</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85.7%</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Анаеробни и/или компостиращи инсталации за биоразградими и/или зелени отпадъци, вкл. техника за разделно събиране на отпадъците</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57.1%</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Завод за третиране на отпадъци</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57.1%</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Центрове за повторна употреба на битови отпадъци, включително техниката и съоръженията към тях</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28.6%</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Инсталации за повторно оползотворяване на отпадъците</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28.6%</w:t>
            </w:r>
          </w:p>
        </w:tc>
      </w:tr>
      <w:tr w:rsidR="00EE754B" w:rsidRPr="00EE754B" w:rsidTr="00ED3990">
        <w:trPr>
          <w:trHeight w:val="284"/>
          <w:jc w:val="center"/>
        </w:trPr>
        <w:tc>
          <w:tcPr>
            <w:tcW w:w="7938" w:type="dxa"/>
            <w:hideMark/>
          </w:tcPr>
          <w:p w:rsidR="00EE754B" w:rsidRPr="00EE754B" w:rsidRDefault="00EE754B" w:rsidP="00B462AB">
            <w:pPr>
              <w:rPr>
                <w:rFonts w:eastAsia="Times New Roman" w:cs="Arial"/>
                <w:color w:val="000000"/>
                <w:lang w:eastAsia="bg-BG"/>
              </w:rPr>
            </w:pPr>
            <w:r w:rsidRPr="00EE754B">
              <w:rPr>
                <w:rFonts w:eastAsia="Times New Roman" w:cs="Arial"/>
                <w:color w:val="000000"/>
                <w:lang w:eastAsia="bg-BG"/>
              </w:rPr>
              <w:t>Почистваща техника за измиване на пътни платна, площади и тротоари</w:t>
            </w:r>
          </w:p>
        </w:tc>
        <w:tc>
          <w:tcPr>
            <w:tcW w:w="1134" w:type="dxa"/>
            <w:noWrap/>
            <w:hideMark/>
          </w:tcPr>
          <w:p w:rsidR="00EE754B" w:rsidRPr="00EE754B" w:rsidRDefault="00EE754B" w:rsidP="00B462AB">
            <w:pPr>
              <w:jc w:val="center"/>
              <w:rPr>
                <w:rFonts w:eastAsia="Times New Roman" w:cs="Arial"/>
                <w:color w:val="000000"/>
                <w:lang w:eastAsia="bg-BG"/>
              </w:rPr>
            </w:pPr>
            <w:r w:rsidRPr="00EE754B">
              <w:rPr>
                <w:rFonts w:eastAsia="Times New Roman" w:cs="Arial"/>
                <w:color w:val="000000"/>
                <w:lang w:eastAsia="bg-BG"/>
              </w:rPr>
              <w:t>14.3%</w:t>
            </w:r>
          </w:p>
        </w:tc>
      </w:tr>
      <w:tr w:rsidR="00EE754B" w:rsidRPr="00EE754B" w:rsidTr="00ED3990">
        <w:trPr>
          <w:cnfStyle w:val="010000000000" w:firstRow="0" w:lastRow="1" w:firstColumn="0" w:lastColumn="0" w:oddVBand="0" w:evenVBand="0" w:oddHBand="0" w:evenHBand="0" w:firstRowFirstColumn="0" w:firstRowLastColumn="0" w:lastRowFirstColumn="0" w:lastRowLastColumn="0"/>
          <w:trHeight w:val="284"/>
          <w:jc w:val="center"/>
        </w:trPr>
        <w:tc>
          <w:tcPr>
            <w:tcW w:w="7938" w:type="dxa"/>
            <w:hideMark/>
          </w:tcPr>
          <w:p w:rsidR="00EE754B" w:rsidRPr="00EE754B" w:rsidRDefault="00EE754B" w:rsidP="00B462AB">
            <w:pPr>
              <w:rPr>
                <w:rFonts w:asciiTheme="minorHAnsi" w:eastAsia="Times New Roman" w:hAnsiTheme="minorHAnsi"/>
                <w:color w:val="000000"/>
                <w:lang w:eastAsia="bg-BG"/>
              </w:rPr>
            </w:pPr>
            <w:r w:rsidRPr="00EE754B">
              <w:rPr>
                <w:rFonts w:asciiTheme="minorHAnsi" w:eastAsia="Times New Roman" w:hAnsiTheme="minorHAnsi"/>
                <w:color w:val="000000"/>
                <w:lang w:eastAsia="bg-BG"/>
              </w:rPr>
              <w:t>Общо</w:t>
            </w:r>
          </w:p>
        </w:tc>
        <w:tc>
          <w:tcPr>
            <w:tcW w:w="1134" w:type="dxa"/>
            <w:noWrap/>
            <w:hideMark/>
          </w:tcPr>
          <w:p w:rsidR="00EE754B" w:rsidRPr="00EE754B" w:rsidRDefault="00EE754B" w:rsidP="00B462AB">
            <w:pPr>
              <w:jc w:val="center"/>
              <w:rPr>
                <w:rFonts w:asciiTheme="minorHAnsi" w:eastAsia="Times New Roman" w:hAnsiTheme="minorHAnsi"/>
                <w:color w:val="000000"/>
                <w:lang w:eastAsia="bg-BG"/>
              </w:rPr>
            </w:pPr>
            <w:r w:rsidRPr="00EE754B">
              <w:rPr>
                <w:rFonts w:asciiTheme="minorHAnsi" w:eastAsia="Times New Roman" w:hAnsiTheme="minorHAnsi"/>
                <w:color w:val="000000"/>
                <w:lang w:eastAsia="bg-BG"/>
              </w:rPr>
              <w:t>271.4%</w:t>
            </w:r>
          </w:p>
        </w:tc>
      </w:tr>
    </w:tbl>
    <w:p w:rsidR="00EE754B" w:rsidRPr="00EE754B" w:rsidRDefault="00EE754B" w:rsidP="00B462AB">
      <w:pPr>
        <w:spacing w:after="0" w:line="240" w:lineRule="auto"/>
        <w:rPr>
          <w:rFonts w:eastAsia="Times New Roman" w:cs="Arial"/>
          <w:b/>
          <w:bCs/>
          <w:color w:val="000000"/>
          <w:lang w:eastAsia="bg-BG"/>
        </w:rPr>
      </w:pPr>
    </w:p>
    <w:p w:rsidR="00C43A5F" w:rsidRDefault="00C43A5F" w:rsidP="00ED3990">
      <w:pPr>
        <w:spacing w:after="0" w:line="240" w:lineRule="auto"/>
        <w:jc w:val="both"/>
        <w:rPr>
          <w:rFonts w:eastAsia="Times New Roman" w:cs="Arial"/>
          <w:bCs/>
          <w:color w:val="000000"/>
          <w:lang w:eastAsia="bg-BG"/>
        </w:rPr>
      </w:pPr>
    </w:p>
    <w:p w:rsidR="00EE754B" w:rsidRPr="00EE754B" w:rsidRDefault="00EE754B" w:rsidP="00ED3990">
      <w:pPr>
        <w:spacing w:after="0" w:line="240" w:lineRule="auto"/>
        <w:jc w:val="both"/>
        <w:rPr>
          <w:rFonts w:eastAsia="Times New Roman" w:cs="Arial"/>
          <w:bCs/>
          <w:color w:val="000000"/>
          <w:lang w:eastAsia="bg-BG"/>
        </w:rPr>
      </w:pPr>
      <w:r w:rsidRPr="00EE754B">
        <w:rPr>
          <w:rFonts w:eastAsia="Times New Roman" w:cs="Arial"/>
          <w:bCs/>
          <w:color w:val="000000"/>
          <w:lang w:eastAsia="bg-BG"/>
        </w:rPr>
        <w:t xml:space="preserve">Отговорилите </w:t>
      </w:r>
      <w:r w:rsidR="00E74BDD" w:rsidRPr="00EE754B">
        <w:rPr>
          <w:rFonts w:eastAsia="Times New Roman" w:cs="Arial"/>
          <w:bCs/>
          <w:color w:val="000000"/>
          <w:lang w:eastAsia="bg-BG"/>
        </w:rPr>
        <w:t>респонденти</w:t>
      </w:r>
      <w:r w:rsidRPr="00EE754B">
        <w:rPr>
          <w:rFonts w:eastAsia="Times New Roman" w:cs="Arial"/>
          <w:bCs/>
          <w:color w:val="000000"/>
          <w:lang w:eastAsia="bg-BG"/>
        </w:rPr>
        <w:t xml:space="preserve"> са посочили сравнително голям диапазон на възвръщаемост на последната направена от тях инвестиция, като с равен дял са 5% и  от 5 до 10%.</w:t>
      </w:r>
    </w:p>
    <w:p w:rsidR="00EE754B" w:rsidRPr="00EE754B" w:rsidRDefault="00ED3990" w:rsidP="00ED3990">
      <w:pPr>
        <w:spacing w:before="240" w:after="120" w:line="240" w:lineRule="auto"/>
        <w:jc w:val="center"/>
        <w:rPr>
          <w:rFonts w:eastAsia="Times New Roman" w:cs="Arial"/>
          <w:b/>
          <w:smallCaps/>
          <w:color w:val="000000"/>
          <w:spacing w:val="10"/>
          <w:lang w:eastAsia="bg-BG"/>
        </w:rPr>
      </w:pPr>
      <w:bookmarkStart w:id="111" w:name="_Toc399494633"/>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48</w:t>
      </w:r>
      <w:r w:rsidR="008E6461" w:rsidRPr="005C4B92">
        <w:rPr>
          <w:b/>
          <w:sz w:val="20"/>
          <w:szCs w:val="20"/>
        </w:rPr>
        <w:fldChar w:fldCharType="end"/>
      </w:r>
      <w:r>
        <w:rPr>
          <w:b/>
          <w:sz w:val="20"/>
          <w:szCs w:val="20"/>
        </w:rPr>
        <w:t xml:space="preserve">: </w:t>
      </w:r>
      <w:r w:rsidRPr="00EE754B">
        <w:rPr>
          <w:rFonts w:eastAsia="Arial" w:cs="Times New Roman"/>
          <w:bCs/>
          <w:smallCaps/>
          <w:color w:val="DD8047"/>
          <w:spacing w:val="10"/>
        </w:rPr>
        <w:t xml:space="preserve"> </w:t>
      </w:r>
      <w:r w:rsidR="00EE754B" w:rsidRPr="00ED3990">
        <w:rPr>
          <w:b/>
          <w:sz w:val="20"/>
          <w:szCs w:val="20"/>
        </w:rPr>
        <w:t>Възвръщаемост на инвестицията</w:t>
      </w:r>
      <w:bookmarkEnd w:id="111"/>
    </w:p>
    <w:p w:rsidR="00EE754B" w:rsidRPr="00EE754B" w:rsidRDefault="00ED3990" w:rsidP="00ED3990">
      <w:pPr>
        <w:spacing w:after="0" w:line="240" w:lineRule="auto"/>
        <w:jc w:val="center"/>
        <w:rPr>
          <w:rFonts w:eastAsia="Times New Roman" w:cs="Arial"/>
          <w:b/>
          <w:bCs/>
          <w:color w:val="000000"/>
          <w:lang w:eastAsia="bg-BG"/>
        </w:rPr>
      </w:pPr>
      <w:r>
        <w:rPr>
          <w:rFonts w:eastAsia="Times New Roman" w:cs="Arial"/>
          <w:b/>
          <w:bCs/>
          <w:noProof/>
          <w:color w:val="000000"/>
          <w:lang w:eastAsia="bg-BG"/>
        </w:rPr>
        <w:drawing>
          <wp:inline distT="0" distB="0" distL="0" distR="0">
            <wp:extent cx="5174158" cy="2295525"/>
            <wp:effectExtent l="19050" t="0" r="7442"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90" cstate="print"/>
                    <a:srcRect/>
                    <a:stretch>
                      <a:fillRect/>
                    </a:stretch>
                  </pic:blipFill>
                  <pic:spPr bwMode="auto">
                    <a:xfrm>
                      <a:off x="0" y="0"/>
                      <a:ext cx="5173333" cy="2295159"/>
                    </a:xfrm>
                    <a:prstGeom prst="rect">
                      <a:avLst/>
                    </a:prstGeom>
                    <a:noFill/>
                  </pic:spPr>
                </pic:pic>
              </a:graphicData>
            </a:graphic>
          </wp:inline>
        </w:drawing>
      </w:r>
    </w:p>
    <w:p w:rsidR="00C43A5F" w:rsidRDefault="00C43A5F" w:rsidP="00ED3990">
      <w:pPr>
        <w:spacing w:before="240" w:line="240" w:lineRule="auto"/>
        <w:rPr>
          <w:rFonts w:eastAsia="Times New Roman" w:cs="Arial"/>
          <w:b/>
          <w:bCs/>
          <w:color w:val="000000"/>
          <w:lang w:eastAsia="bg-BG"/>
        </w:rPr>
      </w:pPr>
    </w:p>
    <w:p w:rsidR="00EE754B" w:rsidRDefault="00EE754B" w:rsidP="00ED3990">
      <w:pPr>
        <w:spacing w:before="240" w:line="240" w:lineRule="auto"/>
        <w:rPr>
          <w:rFonts w:eastAsia="Times New Roman" w:cs="Arial"/>
          <w:b/>
          <w:bCs/>
          <w:color w:val="000000"/>
          <w:lang w:eastAsia="bg-BG"/>
        </w:rPr>
      </w:pPr>
      <w:r w:rsidRPr="00EE754B">
        <w:rPr>
          <w:rFonts w:eastAsia="Times New Roman" w:cs="Arial"/>
          <w:b/>
          <w:bCs/>
          <w:color w:val="000000"/>
          <w:lang w:eastAsia="bg-BG"/>
        </w:rPr>
        <w:t xml:space="preserve">Относно начина на финансиране на дейността им, </w:t>
      </w:r>
      <w:r w:rsidR="00E74BDD" w:rsidRPr="00EE754B">
        <w:rPr>
          <w:rFonts w:eastAsia="Times New Roman" w:cs="Arial"/>
          <w:b/>
          <w:bCs/>
          <w:color w:val="000000"/>
          <w:lang w:eastAsia="bg-BG"/>
        </w:rPr>
        <w:t>респондентите</w:t>
      </w:r>
      <w:r w:rsidRPr="00EE754B">
        <w:rPr>
          <w:rFonts w:eastAsia="Times New Roman" w:cs="Arial"/>
          <w:b/>
          <w:bCs/>
          <w:color w:val="000000"/>
          <w:lang w:eastAsia="bg-BG"/>
        </w:rPr>
        <w:t xml:space="preserve"> са посочили следните източници на приходи:</w:t>
      </w:r>
    </w:p>
    <w:p w:rsidR="00C43A5F" w:rsidRDefault="00C43A5F" w:rsidP="00ED3990">
      <w:pPr>
        <w:spacing w:before="240" w:line="240" w:lineRule="auto"/>
        <w:rPr>
          <w:rFonts w:eastAsia="Times New Roman" w:cs="Arial"/>
          <w:b/>
          <w:bCs/>
          <w:color w:val="000000"/>
          <w:lang w:eastAsia="bg-BG"/>
        </w:rPr>
      </w:pPr>
    </w:p>
    <w:p w:rsidR="00C43A5F" w:rsidRDefault="00C43A5F" w:rsidP="00ED3990">
      <w:pPr>
        <w:spacing w:before="240" w:line="240" w:lineRule="auto"/>
        <w:rPr>
          <w:rFonts w:eastAsia="Times New Roman" w:cs="Arial"/>
          <w:b/>
          <w:bCs/>
          <w:color w:val="000000"/>
          <w:lang w:eastAsia="bg-BG"/>
        </w:rPr>
      </w:pPr>
    </w:p>
    <w:p w:rsidR="00C43A5F" w:rsidRDefault="00C43A5F" w:rsidP="00ED3990">
      <w:pPr>
        <w:spacing w:before="240" w:line="240" w:lineRule="auto"/>
        <w:rPr>
          <w:rFonts w:eastAsia="Times New Roman" w:cs="Arial"/>
          <w:b/>
          <w:bCs/>
          <w:color w:val="000000"/>
          <w:lang w:eastAsia="bg-BG"/>
        </w:rPr>
      </w:pPr>
    </w:p>
    <w:p w:rsidR="00C43A5F" w:rsidRDefault="00C43A5F" w:rsidP="00ED3990">
      <w:pPr>
        <w:spacing w:before="240" w:line="240" w:lineRule="auto"/>
        <w:rPr>
          <w:rFonts w:eastAsia="Times New Roman" w:cs="Arial"/>
          <w:b/>
          <w:bCs/>
          <w:color w:val="000000"/>
          <w:lang w:eastAsia="bg-BG"/>
        </w:rPr>
      </w:pPr>
    </w:p>
    <w:p w:rsidR="00C43A5F" w:rsidRPr="00EE754B" w:rsidRDefault="00C43A5F" w:rsidP="00ED3990">
      <w:pPr>
        <w:spacing w:before="240" w:line="240" w:lineRule="auto"/>
        <w:rPr>
          <w:rFonts w:eastAsia="Times New Roman" w:cs="Arial"/>
          <w:b/>
          <w:bCs/>
          <w:color w:val="000000"/>
          <w:lang w:eastAsia="bg-BG"/>
        </w:rPr>
      </w:pPr>
    </w:p>
    <w:p w:rsidR="00EE754B" w:rsidRPr="00ED3990" w:rsidRDefault="00ED3990" w:rsidP="00ED3990">
      <w:pPr>
        <w:spacing w:before="240" w:after="120" w:line="240" w:lineRule="auto"/>
        <w:jc w:val="center"/>
        <w:rPr>
          <w:b/>
          <w:sz w:val="20"/>
          <w:szCs w:val="20"/>
        </w:rPr>
      </w:pPr>
      <w:bookmarkStart w:id="112" w:name="_Toc399494634"/>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49</w:t>
      </w:r>
      <w:r w:rsidR="008E6461" w:rsidRPr="005C4B92">
        <w:rPr>
          <w:b/>
          <w:sz w:val="20"/>
          <w:szCs w:val="20"/>
        </w:rPr>
        <w:fldChar w:fldCharType="end"/>
      </w:r>
      <w:r>
        <w:rPr>
          <w:b/>
          <w:sz w:val="20"/>
          <w:szCs w:val="20"/>
        </w:rPr>
        <w:t xml:space="preserve">: </w:t>
      </w:r>
      <w:r w:rsidRPr="00ED3990">
        <w:rPr>
          <w:b/>
          <w:sz w:val="20"/>
          <w:szCs w:val="20"/>
        </w:rPr>
        <w:t xml:space="preserve"> </w:t>
      </w:r>
      <w:r>
        <w:rPr>
          <w:b/>
          <w:sz w:val="20"/>
          <w:szCs w:val="20"/>
        </w:rPr>
        <w:t>И</w:t>
      </w:r>
      <w:r w:rsidR="00EE754B" w:rsidRPr="00ED3990">
        <w:rPr>
          <w:b/>
          <w:sz w:val="20"/>
          <w:szCs w:val="20"/>
        </w:rPr>
        <w:t>зточници на приходи</w:t>
      </w:r>
      <w:bookmarkEnd w:id="112"/>
    </w:p>
    <w:p w:rsidR="00ED3990" w:rsidRDefault="00ED3990" w:rsidP="00B462AB">
      <w:pPr>
        <w:spacing w:after="0" w:line="240" w:lineRule="auto"/>
        <w:rPr>
          <w:rFonts w:eastAsia="Times New Roman" w:cs="Arial"/>
          <w:bCs/>
          <w:color w:val="000000"/>
          <w:lang w:eastAsia="bg-BG"/>
        </w:rPr>
      </w:pPr>
      <w:r>
        <w:rPr>
          <w:rFonts w:eastAsia="Times New Roman" w:cs="Arial"/>
          <w:bCs/>
          <w:noProof/>
          <w:color w:val="000000"/>
          <w:lang w:eastAsia="bg-BG"/>
        </w:rPr>
        <w:drawing>
          <wp:inline distT="0" distB="0" distL="0" distR="0">
            <wp:extent cx="5524500" cy="2164080"/>
            <wp:effectExtent l="1905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91" cstate="print"/>
                    <a:srcRect/>
                    <a:stretch>
                      <a:fillRect/>
                    </a:stretch>
                  </pic:blipFill>
                  <pic:spPr bwMode="auto">
                    <a:xfrm>
                      <a:off x="0" y="0"/>
                      <a:ext cx="5524500" cy="2164080"/>
                    </a:xfrm>
                    <a:prstGeom prst="rect">
                      <a:avLst/>
                    </a:prstGeom>
                    <a:noFill/>
                  </pic:spPr>
                </pic:pic>
              </a:graphicData>
            </a:graphic>
          </wp:inline>
        </w:drawing>
      </w:r>
    </w:p>
    <w:p w:rsidR="00C43A5F" w:rsidRDefault="00C43A5F" w:rsidP="00C43A5F">
      <w:pPr>
        <w:spacing w:after="0" w:line="240" w:lineRule="auto"/>
        <w:jc w:val="both"/>
        <w:rPr>
          <w:rFonts w:eastAsia="Times New Roman" w:cs="Arial"/>
          <w:bCs/>
          <w:color w:val="000000"/>
          <w:lang w:eastAsia="bg-BG"/>
        </w:rPr>
      </w:pPr>
    </w:p>
    <w:p w:rsidR="00EE754B" w:rsidRPr="00EE754B" w:rsidRDefault="00EE754B" w:rsidP="00C43A5F">
      <w:pPr>
        <w:spacing w:after="0" w:line="240" w:lineRule="auto"/>
        <w:jc w:val="both"/>
        <w:rPr>
          <w:rFonts w:eastAsia="Times New Roman" w:cs="Arial"/>
          <w:bCs/>
          <w:color w:val="000000"/>
          <w:lang w:eastAsia="bg-BG"/>
        </w:rPr>
      </w:pPr>
      <w:r w:rsidRPr="00EE754B">
        <w:rPr>
          <w:rFonts w:eastAsia="Times New Roman" w:cs="Arial"/>
          <w:bCs/>
          <w:color w:val="000000"/>
          <w:lang w:eastAsia="bg-BG"/>
        </w:rPr>
        <w:t>С най-голям дял са приходите от потребителски такси и тези от частни инвестиции – близо 29% всяко.</w:t>
      </w:r>
    </w:p>
    <w:p w:rsidR="00EE754B" w:rsidRPr="00EE754B" w:rsidRDefault="00EE754B" w:rsidP="00C43A5F">
      <w:pPr>
        <w:spacing w:before="240" w:after="0" w:line="240" w:lineRule="auto"/>
        <w:jc w:val="both"/>
        <w:rPr>
          <w:rFonts w:eastAsia="Times New Roman" w:cs="Arial"/>
          <w:bCs/>
          <w:color w:val="000000"/>
          <w:lang w:eastAsia="bg-BG"/>
        </w:rPr>
      </w:pPr>
      <w:r w:rsidRPr="00EE754B">
        <w:rPr>
          <w:rFonts w:eastAsia="Times New Roman" w:cs="Arial"/>
          <w:bCs/>
          <w:color w:val="000000"/>
          <w:lang w:eastAsia="bg-BG"/>
        </w:rPr>
        <w:t xml:space="preserve">Отговорилите </w:t>
      </w:r>
      <w:r w:rsidR="00E74BDD" w:rsidRPr="00EE754B">
        <w:rPr>
          <w:rFonts w:eastAsia="Times New Roman" w:cs="Arial"/>
          <w:bCs/>
          <w:color w:val="000000"/>
          <w:lang w:eastAsia="bg-BG"/>
        </w:rPr>
        <w:t>респонденти</w:t>
      </w:r>
      <w:r w:rsidRPr="00EE754B">
        <w:rPr>
          <w:rFonts w:eastAsia="Times New Roman" w:cs="Arial"/>
          <w:bCs/>
          <w:color w:val="000000"/>
          <w:lang w:eastAsia="bg-BG"/>
        </w:rPr>
        <w:t xml:space="preserve"> също така проявяват интерес към ПЧП (57%) и концесия (43%)в областта си на дейност. </w:t>
      </w:r>
    </w:p>
    <w:p w:rsidR="00EE754B" w:rsidRPr="00EE754B" w:rsidRDefault="00E74BDD" w:rsidP="00C43A5F">
      <w:pPr>
        <w:spacing w:before="240" w:after="0" w:line="240" w:lineRule="auto"/>
        <w:jc w:val="both"/>
        <w:rPr>
          <w:rFonts w:eastAsia="Times New Roman" w:cs="Arial"/>
          <w:bCs/>
          <w:color w:val="000000"/>
          <w:lang w:eastAsia="bg-BG"/>
        </w:rPr>
      </w:pPr>
      <w:r w:rsidRPr="00EE754B">
        <w:rPr>
          <w:rFonts w:eastAsia="Times New Roman" w:cs="Arial"/>
          <w:bCs/>
          <w:color w:val="000000"/>
          <w:lang w:eastAsia="bg-BG"/>
        </w:rPr>
        <w:t>Респондентите</w:t>
      </w:r>
      <w:r w:rsidR="00EE754B" w:rsidRPr="00EE754B">
        <w:rPr>
          <w:rFonts w:eastAsia="Times New Roman" w:cs="Arial"/>
          <w:bCs/>
          <w:color w:val="000000"/>
          <w:lang w:eastAsia="bg-BG"/>
        </w:rPr>
        <w:t xml:space="preserve"> посочват, че проявяват интерес към използване на ФИ с цел реализиране на дейности по оползотворяване на отпадъците.</w:t>
      </w:r>
    </w:p>
    <w:p w:rsidR="00EE754B" w:rsidRPr="00EE754B" w:rsidRDefault="00ED3990" w:rsidP="00ED3990">
      <w:pPr>
        <w:spacing w:before="240" w:line="240" w:lineRule="auto"/>
        <w:jc w:val="center"/>
        <w:rPr>
          <w:rFonts w:eastAsia="Times New Roman" w:cs="Arial"/>
          <w:bCs/>
          <w:color w:val="000000"/>
          <w:lang w:eastAsia="bg-BG"/>
        </w:rPr>
      </w:pPr>
      <w:bookmarkStart w:id="113" w:name="_Toc399494635"/>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50</w:t>
      </w:r>
      <w:bookmarkEnd w:id="113"/>
      <w:r w:rsidR="008E6461" w:rsidRPr="005C4B92">
        <w:rPr>
          <w:b/>
          <w:sz w:val="20"/>
          <w:szCs w:val="20"/>
        </w:rPr>
        <w:fldChar w:fldCharType="end"/>
      </w:r>
    </w:p>
    <w:p w:rsidR="00EE754B" w:rsidRPr="00EE754B" w:rsidRDefault="00ED3990" w:rsidP="00ED3990">
      <w:pPr>
        <w:spacing w:after="200" w:line="240" w:lineRule="auto"/>
        <w:jc w:val="center"/>
        <w:rPr>
          <w:rFonts w:eastAsia="Times New Roman" w:cs="Arial"/>
          <w:b/>
          <w:bCs/>
          <w:color w:val="000000"/>
          <w:lang w:val="en-US" w:eastAsia="bg-BG"/>
        </w:rPr>
      </w:pPr>
      <w:r>
        <w:rPr>
          <w:rFonts w:eastAsia="Times New Roman" w:cs="Arial"/>
          <w:b/>
          <w:bCs/>
          <w:noProof/>
          <w:color w:val="000000"/>
          <w:lang w:eastAsia="bg-BG"/>
        </w:rPr>
        <w:drawing>
          <wp:inline distT="0" distB="0" distL="0" distR="0">
            <wp:extent cx="4695825" cy="2014347"/>
            <wp:effectExtent l="19050" t="0" r="952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0" cstate="print"/>
                    <a:srcRect/>
                    <a:stretch>
                      <a:fillRect/>
                    </a:stretch>
                  </pic:blipFill>
                  <pic:spPr bwMode="auto">
                    <a:xfrm>
                      <a:off x="0" y="0"/>
                      <a:ext cx="4695825" cy="2014347"/>
                    </a:xfrm>
                    <a:prstGeom prst="rect">
                      <a:avLst/>
                    </a:prstGeom>
                    <a:noFill/>
                  </pic:spPr>
                </pic:pic>
              </a:graphicData>
            </a:graphic>
          </wp:inline>
        </w:drawing>
      </w:r>
    </w:p>
    <w:p w:rsidR="00C43A5F" w:rsidRDefault="00C43A5F" w:rsidP="00B462AB">
      <w:pPr>
        <w:spacing w:after="0" w:line="240" w:lineRule="auto"/>
        <w:jc w:val="both"/>
        <w:rPr>
          <w:rFonts w:eastAsia="Times New Roman" w:cs="Arial"/>
          <w:bCs/>
          <w:color w:val="000000"/>
          <w:lang w:eastAsia="bg-BG"/>
        </w:rPr>
      </w:pPr>
    </w:p>
    <w:p w:rsid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 xml:space="preserve">Запитани да уточнят какъв тип финансов инструмент биха използвали </w:t>
      </w:r>
      <w:r w:rsidR="00E74BDD" w:rsidRPr="00EE754B">
        <w:rPr>
          <w:rFonts w:eastAsia="Times New Roman" w:cs="Arial"/>
          <w:bCs/>
          <w:color w:val="000000"/>
          <w:lang w:eastAsia="bg-BG"/>
        </w:rPr>
        <w:t>респондентите</w:t>
      </w:r>
      <w:r w:rsidRPr="00EE754B">
        <w:rPr>
          <w:rFonts w:eastAsia="Times New Roman" w:cs="Arial"/>
          <w:bCs/>
          <w:color w:val="000000"/>
          <w:lang w:eastAsia="bg-BG"/>
        </w:rPr>
        <w:t xml:space="preserve"> посочват следното разпределение:</w:t>
      </w:r>
    </w:p>
    <w:p w:rsidR="00C43A5F" w:rsidRDefault="00C43A5F" w:rsidP="00B462AB">
      <w:pPr>
        <w:spacing w:after="0" w:line="240" w:lineRule="auto"/>
        <w:jc w:val="both"/>
        <w:rPr>
          <w:rFonts w:eastAsia="Times New Roman" w:cs="Arial"/>
          <w:bCs/>
          <w:color w:val="000000"/>
          <w:lang w:eastAsia="bg-BG"/>
        </w:rPr>
      </w:pPr>
    </w:p>
    <w:p w:rsidR="00C43A5F" w:rsidRDefault="00C43A5F" w:rsidP="00B462AB">
      <w:pPr>
        <w:spacing w:after="0" w:line="240" w:lineRule="auto"/>
        <w:jc w:val="both"/>
        <w:rPr>
          <w:rFonts w:eastAsia="Times New Roman" w:cs="Arial"/>
          <w:bCs/>
          <w:color w:val="000000"/>
          <w:lang w:eastAsia="bg-BG"/>
        </w:rPr>
      </w:pPr>
    </w:p>
    <w:p w:rsidR="00C43A5F" w:rsidRDefault="00C43A5F" w:rsidP="00B462AB">
      <w:pPr>
        <w:spacing w:after="0" w:line="240" w:lineRule="auto"/>
        <w:jc w:val="both"/>
        <w:rPr>
          <w:rFonts w:eastAsia="Times New Roman" w:cs="Arial"/>
          <w:bCs/>
          <w:color w:val="000000"/>
          <w:lang w:eastAsia="bg-BG"/>
        </w:rPr>
      </w:pPr>
    </w:p>
    <w:p w:rsidR="00C43A5F" w:rsidRDefault="00C43A5F" w:rsidP="00B462AB">
      <w:pPr>
        <w:spacing w:after="0" w:line="240" w:lineRule="auto"/>
        <w:jc w:val="both"/>
        <w:rPr>
          <w:rFonts w:eastAsia="Times New Roman" w:cs="Arial"/>
          <w:bCs/>
          <w:color w:val="000000"/>
          <w:lang w:eastAsia="bg-BG"/>
        </w:rPr>
      </w:pPr>
    </w:p>
    <w:p w:rsidR="00C43A5F" w:rsidRDefault="00C43A5F" w:rsidP="00B462AB">
      <w:pPr>
        <w:spacing w:after="0" w:line="240" w:lineRule="auto"/>
        <w:jc w:val="both"/>
        <w:rPr>
          <w:rFonts w:eastAsia="Times New Roman" w:cs="Arial"/>
          <w:bCs/>
          <w:color w:val="000000"/>
          <w:lang w:eastAsia="bg-BG"/>
        </w:rPr>
      </w:pPr>
    </w:p>
    <w:p w:rsidR="00C43A5F" w:rsidRDefault="00C43A5F" w:rsidP="00B462AB">
      <w:pPr>
        <w:spacing w:after="0" w:line="240" w:lineRule="auto"/>
        <w:jc w:val="both"/>
        <w:rPr>
          <w:rFonts w:eastAsia="Times New Roman" w:cs="Arial"/>
          <w:bCs/>
          <w:color w:val="000000"/>
          <w:lang w:eastAsia="bg-BG"/>
        </w:rPr>
      </w:pPr>
    </w:p>
    <w:p w:rsidR="00ED3990" w:rsidRPr="00ED3990" w:rsidRDefault="00ED3990" w:rsidP="00A82D1C">
      <w:pPr>
        <w:keepNext/>
        <w:spacing w:before="240" w:line="240" w:lineRule="auto"/>
        <w:jc w:val="center"/>
        <w:rPr>
          <w:b/>
          <w:sz w:val="20"/>
          <w:szCs w:val="20"/>
        </w:rPr>
      </w:pPr>
      <w:bookmarkStart w:id="114" w:name="_Toc399494636"/>
      <w:r w:rsidRPr="005C4B92">
        <w:rPr>
          <w:b/>
          <w:sz w:val="20"/>
          <w:szCs w:val="20"/>
        </w:rPr>
        <w:lastRenderedPageBreak/>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51</w:t>
      </w:r>
      <w:r w:rsidR="008E6461" w:rsidRPr="005C4B92">
        <w:rPr>
          <w:b/>
          <w:sz w:val="20"/>
          <w:szCs w:val="20"/>
        </w:rPr>
        <w:fldChar w:fldCharType="end"/>
      </w:r>
      <w:r>
        <w:rPr>
          <w:b/>
          <w:sz w:val="20"/>
          <w:szCs w:val="20"/>
        </w:rPr>
        <w:t xml:space="preserve">: </w:t>
      </w:r>
      <w:r w:rsidRPr="00ED3990">
        <w:rPr>
          <w:b/>
          <w:sz w:val="20"/>
          <w:szCs w:val="20"/>
        </w:rPr>
        <w:t xml:space="preserve"> Тип ФИ, които биха използвали търговските дружества</w:t>
      </w:r>
      <w:bookmarkEnd w:id="114"/>
    </w:p>
    <w:p w:rsidR="00EE754B" w:rsidRPr="00EE754B" w:rsidRDefault="00ED3990" w:rsidP="00ED3990">
      <w:pPr>
        <w:spacing w:after="0" w:line="240" w:lineRule="auto"/>
        <w:jc w:val="center"/>
        <w:rPr>
          <w:rFonts w:eastAsia="Times New Roman" w:cs="Arial"/>
          <w:b/>
          <w:bCs/>
          <w:color w:val="000000"/>
          <w:lang w:val="en-US" w:eastAsia="bg-BG"/>
        </w:rPr>
      </w:pPr>
      <w:r>
        <w:rPr>
          <w:rFonts w:eastAsia="Times New Roman" w:cs="Arial"/>
          <w:b/>
          <w:bCs/>
          <w:noProof/>
          <w:color w:val="000000"/>
          <w:lang w:eastAsia="bg-BG"/>
        </w:rPr>
        <w:drawing>
          <wp:inline distT="0" distB="0" distL="0" distR="0">
            <wp:extent cx="5153025" cy="2110963"/>
            <wp:effectExtent l="19050" t="0" r="952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1" cstate="print"/>
                    <a:srcRect/>
                    <a:stretch>
                      <a:fillRect/>
                    </a:stretch>
                  </pic:blipFill>
                  <pic:spPr bwMode="auto">
                    <a:xfrm>
                      <a:off x="0" y="0"/>
                      <a:ext cx="5153025" cy="2110963"/>
                    </a:xfrm>
                    <a:prstGeom prst="rect">
                      <a:avLst/>
                    </a:prstGeom>
                    <a:noFill/>
                  </pic:spPr>
                </pic:pic>
              </a:graphicData>
            </a:graphic>
          </wp:inline>
        </w:drawing>
      </w:r>
    </w:p>
    <w:p w:rsidR="00EE754B" w:rsidRPr="00EE754B" w:rsidRDefault="00EE754B" w:rsidP="00B462AB">
      <w:pPr>
        <w:spacing w:after="0" w:line="240" w:lineRule="auto"/>
        <w:jc w:val="both"/>
        <w:rPr>
          <w:rFonts w:eastAsia="Times New Roman" w:cs="Arial"/>
          <w:bCs/>
          <w:color w:val="000000"/>
          <w:lang w:eastAsia="bg-BG"/>
        </w:rPr>
      </w:pP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 xml:space="preserve">57% от отговорилите сочат, че използването на финансови инструменти за реализиране на инвестиционната програма ще увеличи свободният финансов ресурс (ликвидните средства на дружеството), с който те ще разполагат. </w:t>
      </w:r>
    </w:p>
    <w:p w:rsidR="00EE754B" w:rsidRPr="00EE754B" w:rsidRDefault="00EE754B" w:rsidP="00B462AB">
      <w:pPr>
        <w:spacing w:after="0" w:line="240" w:lineRule="auto"/>
        <w:jc w:val="both"/>
        <w:rPr>
          <w:rFonts w:eastAsia="Times New Roman" w:cs="Arial"/>
          <w:color w:val="000000"/>
          <w:lang w:eastAsia="bg-BG"/>
        </w:rPr>
      </w:pPr>
      <w:r w:rsidRPr="00EE754B">
        <w:rPr>
          <w:rFonts w:eastAsia="Times New Roman" w:cs="Arial"/>
          <w:color w:val="000000"/>
          <w:lang w:eastAsia="bg-BG"/>
        </w:rPr>
        <w:t>Респективно, в дългосрочен аспект, респондентите са посочили, че очакват ефектът от използването на финансови инструменти да бъде положителен (57%).</w:t>
      </w:r>
    </w:p>
    <w:p w:rsidR="00EE754B" w:rsidRPr="00EE754B" w:rsidRDefault="00EE754B" w:rsidP="00B462AB">
      <w:pPr>
        <w:spacing w:after="0" w:line="240" w:lineRule="auto"/>
        <w:jc w:val="both"/>
        <w:rPr>
          <w:rFonts w:eastAsia="Times New Roman" w:cs="Arial"/>
          <w:bCs/>
          <w:color w:val="000000"/>
          <w:lang w:eastAsia="bg-BG"/>
        </w:rPr>
      </w:pP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Равен дял от респондентите посочват опит и липсата на такъв в управление на инвестиции, финансирани чрез финансови инструменти и/или безвъзмездна финансова помощ – по 43%.</w:t>
      </w: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Съответно, 57% считат, че им е необходима техническа помощ за управление на финансови инструменти.</w:t>
      </w:r>
    </w:p>
    <w:p w:rsidR="00ED3990" w:rsidRDefault="00EE754B" w:rsidP="00ED3990">
      <w:pPr>
        <w:spacing w:before="240" w:after="120" w:line="240" w:lineRule="auto"/>
        <w:rPr>
          <w:rFonts w:eastAsia="Times New Roman" w:cs="Arial"/>
          <w:bCs/>
          <w:color w:val="000000"/>
          <w:lang w:eastAsia="bg-BG"/>
        </w:rPr>
      </w:pPr>
      <w:r w:rsidRPr="00EE754B">
        <w:rPr>
          <w:rFonts w:eastAsia="Times New Roman" w:cs="Arial"/>
          <w:bCs/>
          <w:color w:val="000000"/>
          <w:lang w:eastAsia="bg-BG"/>
        </w:rPr>
        <w:t>В тази област е зададен и въпрос относно склонността за инвестиции в почистваща техника:</w:t>
      </w:r>
    </w:p>
    <w:p w:rsidR="00ED3990" w:rsidRPr="00EE754B" w:rsidRDefault="00ED3990" w:rsidP="002F7478">
      <w:pPr>
        <w:spacing w:before="240" w:after="120" w:line="240" w:lineRule="auto"/>
        <w:jc w:val="center"/>
        <w:rPr>
          <w:rFonts w:eastAsia="Times New Roman" w:cs="Arial"/>
          <w:b/>
          <w:smallCaps/>
          <w:color w:val="000000"/>
          <w:spacing w:val="10"/>
          <w:lang w:eastAsia="bg-BG"/>
        </w:rPr>
      </w:pPr>
      <w:bookmarkStart w:id="115" w:name="_Toc399494637"/>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52</w:t>
      </w:r>
      <w:r w:rsidR="008E6461" w:rsidRPr="005C4B92">
        <w:rPr>
          <w:b/>
          <w:sz w:val="20"/>
          <w:szCs w:val="20"/>
        </w:rPr>
        <w:fldChar w:fldCharType="end"/>
      </w:r>
      <w:r>
        <w:rPr>
          <w:b/>
          <w:sz w:val="20"/>
          <w:szCs w:val="20"/>
        </w:rPr>
        <w:t xml:space="preserve">: </w:t>
      </w:r>
      <w:r w:rsidRPr="00ED3990">
        <w:rPr>
          <w:b/>
          <w:sz w:val="20"/>
          <w:szCs w:val="20"/>
        </w:rPr>
        <w:t xml:space="preserve"> Ако имате възможност да ползвате финансови инструменти, бихте ли закупили почистваща техника за измиване на пътни платна, площади и тротоари?</w:t>
      </w:r>
      <w:bookmarkEnd w:id="115"/>
    </w:p>
    <w:p w:rsidR="00EE754B" w:rsidRPr="00EE754B" w:rsidRDefault="00EE754B" w:rsidP="00B462AB">
      <w:pPr>
        <w:spacing w:after="0" w:line="240" w:lineRule="auto"/>
        <w:rPr>
          <w:rFonts w:eastAsia="Times New Roman" w:cs="Arial"/>
          <w:bCs/>
          <w:color w:val="000000"/>
          <w:lang w:eastAsia="bg-BG"/>
        </w:rPr>
      </w:pPr>
    </w:p>
    <w:p w:rsidR="00EE754B" w:rsidRPr="00EE754B" w:rsidRDefault="00ED3990" w:rsidP="002F7478">
      <w:pPr>
        <w:spacing w:after="0" w:line="240" w:lineRule="auto"/>
        <w:jc w:val="center"/>
        <w:rPr>
          <w:rFonts w:eastAsia="Times New Roman" w:cs="Arial"/>
          <w:b/>
          <w:bCs/>
          <w:color w:val="000000"/>
          <w:lang w:val="en-US" w:eastAsia="bg-BG"/>
        </w:rPr>
      </w:pPr>
      <w:r>
        <w:rPr>
          <w:rFonts w:eastAsia="Times New Roman" w:cs="Arial"/>
          <w:b/>
          <w:bCs/>
          <w:noProof/>
          <w:color w:val="000000"/>
          <w:lang w:eastAsia="bg-BG"/>
        </w:rPr>
        <w:drawing>
          <wp:inline distT="0" distB="0" distL="0" distR="0">
            <wp:extent cx="4981575" cy="2160341"/>
            <wp:effectExtent l="19050" t="0" r="9525"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92" cstate="print"/>
                    <a:srcRect/>
                    <a:stretch>
                      <a:fillRect/>
                    </a:stretch>
                  </pic:blipFill>
                  <pic:spPr bwMode="auto">
                    <a:xfrm>
                      <a:off x="0" y="0"/>
                      <a:ext cx="4985675" cy="2162119"/>
                    </a:xfrm>
                    <a:prstGeom prst="rect">
                      <a:avLst/>
                    </a:prstGeom>
                    <a:noFill/>
                  </pic:spPr>
                </pic:pic>
              </a:graphicData>
            </a:graphic>
          </wp:inline>
        </w:drawing>
      </w:r>
    </w:p>
    <w:p w:rsidR="00ED3990" w:rsidRDefault="00ED3990" w:rsidP="00B462AB">
      <w:pPr>
        <w:spacing w:after="0" w:line="240" w:lineRule="auto"/>
        <w:jc w:val="both"/>
        <w:rPr>
          <w:rFonts w:eastAsia="Times New Roman" w:cs="Arial"/>
          <w:bCs/>
          <w:color w:val="000000"/>
          <w:lang w:eastAsia="bg-BG"/>
        </w:rPr>
      </w:pP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 xml:space="preserve">57% отговарят, че не биха направили такава инвестиция, 29% не могат да преценят и едва 14% отговарят утвърдително. От тях са посочили, че биха инвестирали до5 млн. лв. </w:t>
      </w:r>
    </w:p>
    <w:p w:rsidR="00EE754B" w:rsidRPr="00EE754B" w:rsidRDefault="00EE754B" w:rsidP="00B462AB">
      <w:pPr>
        <w:spacing w:after="0" w:line="240" w:lineRule="auto"/>
        <w:rPr>
          <w:rFonts w:eastAsia="Times New Roman" w:cs="Arial"/>
          <w:bCs/>
          <w:i/>
          <w:iCs/>
          <w:color w:val="000000"/>
          <w:lang w:eastAsia="bg-BG"/>
        </w:rPr>
      </w:pPr>
    </w:p>
    <w:p w:rsidR="00EE754B" w:rsidRPr="00ED3990" w:rsidRDefault="00EE754B" w:rsidP="00B462AB">
      <w:pPr>
        <w:spacing w:before="240" w:after="120" w:line="240" w:lineRule="auto"/>
        <w:outlineLvl w:val="3"/>
        <w:rPr>
          <w:rFonts w:ascii="Calibri" w:eastAsia="Calibri" w:hAnsi="Calibri" w:cs="Times New Roman"/>
          <w:b/>
          <w:i/>
          <w:color w:val="4F81BD"/>
        </w:rPr>
      </w:pPr>
      <w:r w:rsidRPr="00ED3990">
        <w:rPr>
          <w:rFonts w:ascii="Calibri" w:eastAsia="Calibri" w:hAnsi="Calibri" w:cs="Times New Roman"/>
          <w:b/>
          <w:i/>
          <w:color w:val="4F81BD"/>
        </w:rPr>
        <w:lastRenderedPageBreak/>
        <w:t>Транспорт (градски)</w:t>
      </w:r>
    </w:p>
    <w:p w:rsidR="00EE754B" w:rsidRPr="00EE754B" w:rsidRDefault="00EE754B" w:rsidP="00B462AB">
      <w:pPr>
        <w:spacing w:after="0" w:line="240" w:lineRule="auto"/>
        <w:rPr>
          <w:rFonts w:eastAsia="Times New Roman" w:cs="Arial"/>
          <w:bCs/>
          <w:i/>
          <w:iCs/>
          <w:color w:val="000000"/>
          <w:lang w:eastAsia="bg-BG"/>
        </w:rPr>
      </w:pPr>
      <w:r w:rsidRPr="00EE754B">
        <w:rPr>
          <w:rFonts w:eastAsia="Times New Roman" w:cs="Arial"/>
          <w:bCs/>
          <w:i/>
          <w:iCs/>
          <w:color w:val="000000"/>
          <w:lang w:eastAsia="bg-BG"/>
        </w:rPr>
        <w:t xml:space="preserve">* Въпроси от 45 до 51 се задават на посочилите </w:t>
      </w:r>
      <w:r w:rsidRPr="00EE754B">
        <w:rPr>
          <w:rFonts w:eastAsia="Times New Roman" w:cs="Arial"/>
          <w:bCs/>
          <w:i/>
          <w:iCs/>
          <w:color w:val="000000"/>
          <w:u w:val="single"/>
          <w:lang w:eastAsia="bg-BG"/>
        </w:rPr>
        <w:t xml:space="preserve">"сектор Транспорт" </w:t>
      </w:r>
      <w:r w:rsidRPr="00EE754B">
        <w:rPr>
          <w:rFonts w:eastAsia="Times New Roman" w:cs="Arial"/>
          <w:bCs/>
          <w:i/>
          <w:iCs/>
          <w:color w:val="000000"/>
          <w:lang w:eastAsia="bg-BG"/>
        </w:rPr>
        <w:t>на в.2</w:t>
      </w:r>
    </w:p>
    <w:p w:rsidR="00EE754B" w:rsidRPr="00EE754B" w:rsidRDefault="00EE754B" w:rsidP="00B462AB">
      <w:pPr>
        <w:spacing w:after="0" w:line="240" w:lineRule="auto"/>
        <w:rPr>
          <w:rFonts w:eastAsia="Arial" w:cs="Times New Roman"/>
          <w:color w:val="000000"/>
        </w:rPr>
      </w:pPr>
    </w:p>
    <w:p w:rsidR="00EE754B" w:rsidRPr="00EE754B" w:rsidRDefault="00EE754B" w:rsidP="00B462AB">
      <w:pPr>
        <w:spacing w:after="0" w:line="240" w:lineRule="auto"/>
        <w:rPr>
          <w:rFonts w:eastAsia="Arial" w:cs="Times New Roman"/>
          <w:color w:val="000000"/>
        </w:rPr>
      </w:pPr>
      <w:r w:rsidRPr="00EE754B">
        <w:rPr>
          <w:rFonts w:eastAsia="Arial" w:cs="Times New Roman"/>
          <w:color w:val="000000"/>
        </w:rPr>
        <w:t xml:space="preserve">Зададени са и специализирани въпроси на предприятия, опериращи в сектор транспорт (градски). </w:t>
      </w:r>
    </w:p>
    <w:p w:rsidR="00EE754B" w:rsidRPr="00EE754B" w:rsidRDefault="00EE754B" w:rsidP="00B462AB">
      <w:pPr>
        <w:spacing w:after="0" w:line="240" w:lineRule="auto"/>
        <w:rPr>
          <w:rFonts w:eastAsia="Arial" w:cs="Times New Roman"/>
          <w:color w:val="000000"/>
        </w:rPr>
      </w:pPr>
      <w:r w:rsidRPr="00EE754B">
        <w:rPr>
          <w:rFonts w:eastAsia="Arial" w:cs="Times New Roman"/>
          <w:color w:val="000000"/>
        </w:rPr>
        <w:t>Респондентите са отговорили, че дейността им се финансира от няколко източника:</w:t>
      </w:r>
    </w:p>
    <w:p w:rsidR="00EE754B" w:rsidRPr="00EE754B" w:rsidRDefault="00ED3990" w:rsidP="00ED3990">
      <w:pPr>
        <w:spacing w:before="240" w:after="200" w:line="240" w:lineRule="auto"/>
        <w:jc w:val="center"/>
        <w:rPr>
          <w:rFonts w:eastAsia="Arial" w:cs="Times New Roman"/>
          <w:bCs/>
          <w:smallCaps/>
          <w:color w:val="DD8047"/>
          <w:spacing w:val="10"/>
        </w:rPr>
      </w:pPr>
      <w:bookmarkStart w:id="116" w:name="_Toc399494638"/>
      <w:r w:rsidRPr="005C4B92">
        <w:rPr>
          <w:b/>
          <w:sz w:val="20"/>
          <w:szCs w:val="20"/>
        </w:rPr>
        <w:t xml:space="preserve">Фигура </w:t>
      </w:r>
      <w:r w:rsidR="008E6461" w:rsidRPr="005C4B92">
        <w:rPr>
          <w:b/>
          <w:sz w:val="20"/>
          <w:szCs w:val="20"/>
        </w:rPr>
        <w:fldChar w:fldCharType="begin"/>
      </w:r>
      <w:r w:rsidRPr="005C4B92">
        <w:rPr>
          <w:b/>
          <w:sz w:val="20"/>
          <w:szCs w:val="20"/>
        </w:rPr>
        <w:instrText xml:space="preserve"> SEQ фигура \* ARABIC </w:instrText>
      </w:r>
      <w:r w:rsidR="008E6461" w:rsidRPr="005C4B92">
        <w:rPr>
          <w:b/>
          <w:sz w:val="20"/>
          <w:szCs w:val="20"/>
        </w:rPr>
        <w:fldChar w:fldCharType="separate"/>
      </w:r>
      <w:r w:rsidR="003A69A7">
        <w:rPr>
          <w:b/>
          <w:noProof/>
          <w:sz w:val="20"/>
          <w:szCs w:val="20"/>
        </w:rPr>
        <w:t>53</w:t>
      </w:r>
      <w:r w:rsidR="008E6461" w:rsidRPr="005C4B92">
        <w:rPr>
          <w:b/>
          <w:sz w:val="20"/>
          <w:szCs w:val="20"/>
        </w:rPr>
        <w:fldChar w:fldCharType="end"/>
      </w:r>
      <w:r>
        <w:rPr>
          <w:b/>
          <w:sz w:val="20"/>
          <w:szCs w:val="20"/>
        </w:rPr>
        <w:t xml:space="preserve">: </w:t>
      </w:r>
      <w:r w:rsidRPr="00ED3990">
        <w:rPr>
          <w:b/>
          <w:sz w:val="20"/>
          <w:szCs w:val="20"/>
        </w:rPr>
        <w:t xml:space="preserve"> </w:t>
      </w:r>
      <w:r w:rsidR="00EE754B" w:rsidRPr="00ED3990">
        <w:rPr>
          <w:b/>
          <w:sz w:val="20"/>
          <w:szCs w:val="20"/>
        </w:rPr>
        <w:t>Източници на приходи за финансиране на дейността</w:t>
      </w:r>
      <w:bookmarkEnd w:id="116"/>
    </w:p>
    <w:p w:rsidR="002F7478" w:rsidRDefault="00ED3990" w:rsidP="002F7478">
      <w:pPr>
        <w:spacing w:before="120" w:after="240" w:line="240" w:lineRule="auto"/>
        <w:jc w:val="center"/>
        <w:rPr>
          <w:rFonts w:eastAsia="Arial" w:cs="Times New Roman"/>
          <w:color w:val="000000"/>
        </w:rPr>
      </w:pPr>
      <w:r>
        <w:rPr>
          <w:rFonts w:eastAsia="Arial" w:cs="Times New Roman"/>
          <w:noProof/>
          <w:color w:val="000000"/>
          <w:lang w:eastAsia="bg-BG"/>
        </w:rPr>
        <w:drawing>
          <wp:inline distT="0" distB="0" distL="0" distR="0">
            <wp:extent cx="5153025" cy="2110963"/>
            <wp:effectExtent l="19050" t="0" r="9525"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93" cstate="print"/>
                    <a:srcRect/>
                    <a:stretch>
                      <a:fillRect/>
                    </a:stretch>
                  </pic:blipFill>
                  <pic:spPr bwMode="auto">
                    <a:xfrm>
                      <a:off x="0" y="0"/>
                      <a:ext cx="5153025" cy="2110963"/>
                    </a:xfrm>
                    <a:prstGeom prst="rect">
                      <a:avLst/>
                    </a:prstGeom>
                    <a:noFill/>
                  </pic:spPr>
                </pic:pic>
              </a:graphicData>
            </a:graphic>
          </wp:inline>
        </w:drawing>
      </w:r>
    </w:p>
    <w:p w:rsidR="00EE754B" w:rsidRPr="00EE754B" w:rsidRDefault="00EE754B" w:rsidP="00B462AB">
      <w:pPr>
        <w:spacing w:before="120" w:after="240" w:line="240" w:lineRule="auto"/>
        <w:jc w:val="both"/>
        <w:rPr>
          <w:rFonts w:eastAsia="Arial" w:cs="Times New Roman"/>
          <w:color w:val="000000"/>
        </w:rPr>
      </w:pPr>
      <w:r w:rsidRPr="00EE754B">
        <w:rPr>
          <w:rFonts w:eastAsia="Arial" w:cs="Times New Roman"/>
          <w:color w:val="000000"/>
        </w:rPr>
        <w:t>Основният източник е приходи от продажбата на карти и билети, следван от привлечени средства и субсидии.</w:t>
      </w:r>
    </w:p>
    <w:p w:rsidR="00EE754B" w:rsidRPr="00EE754B" w:rsidRDefault="00EE754B" w:rsidP="00B462AB">
      <w:pPr>
        <w:spacing w:before="120" w:after="240" w:line="240" w:lineRule="auto"/>
        <w:jc w:val="both"/>
        <w:rPr>
          <w:rFonts w:eastAsia="Arial" w:cs="Times New Roman"/>
          <w:color w:val="000000"/>
        </w:rPr>
      </w:pPr>
      <w:r w:rsidRPr="00EE754B">
        <w:rPr>
          <w:rFonts w:eastAsia="Arial" w:cs="Times New Roman"/>
          <w:color w:val="000000"/>
        </w:rPr>
        <w:t xml:space="preserve">На въпрос дали биха използвали ФИ с цел </w:t>
      </w:r>
      <w:r w:rsidRPr="00EE754B">
        <w:rPr>
          <w:rFonts w:eastAsia="Times New Roman" w:cs="Times New Roman"/>
          <w:color w:val="000000"/>
        </w:rPr>
        <w:t xml:space="preserve">намаляване емисиите вредни газове, отделяни от транспортните средства във въздух, 100% посочват, че биха използвали ФИ за закупуване на нови превозни средства. По отношение на това, какъв ФИ биха използвали, 20% предпочитат Дялов капитал и 100% - използването на заем. </w:t>
      </w: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color w:val="000000"/>
          <w:lang w:eastAsia="bg-BG"/>
        </w:rPr>
        <w:t xml:space="preserve">40% от отговорилите респонденти споделят, че имат опит в </w:t>
      </w:r>
      <w:r w:rsidR="00E74BDD">
        <w:rPr>
          <w:rFonts w:eastAsia="Times New Roman" w:cs="Arial"/>
          <w:color w:val="000000"/>
          <w:lang w:eastAsia="bg-BG"/>
        </w:rPr>
        <w:t>у</w:t>
      </w:r>
      <w:r w:rsidRPr="00EE754B">
        <w:rPr>
          <w:rFonts w:eastAsia="Times New Roman" w:cs="Arial"/>
          <w:bCs/>
          <w:color w:val="000000"/>
          <w:lang w:eastAsia="bg-BG"/>
        </w:rPr>
        <w:t>правление на инвестиции, финансирани чрез  финансови инструменти и/или безвъзмездна финансова помощ.</w:t>
      </w:r>
    </w:p>
    <w:p w:rsidR="00EE754B" w:rsidRPr="00EE754B" w:rsidRDefault="00EE754B" w:rsidP="00B462AB">
      <w:pPr>
        <w:spacing w:after="0" w:line="240" w:lineRule="auto"/>
        <w:rPr>
          <w:rFonts w:eastAsia="Times New Roman" w:cs="Arial"/>
          <w:b/>
          <w:color w:val="000000"/>
          <w:lang w:eastAsia="bg-BG"/>
        </w:rPr>
      </w:pP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Въпреки това, едва 20% посочват, че им е необходима техническа помощ при управление на ФИ, а другите 80% или се колебаят или считат, че не им е необходима такава.</w:t>
      </w: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Все пак 100% от отговорилите считат, че</w:t>
      </w:r>
      <w:r w:rsidR="002F7478">
        <w:rPr>
          <w:rFonts w:eastAsia="Times New Roman" w:cs="Arial"/>
          <w:bCs/>
          <w:color w:val="000000"/>
          <w:lang w:eastAsia="bg-BG"/>
        </w:rPr>
        <w:t xml:space="preserve"> </w:t>
      </w:r>
      <w:r w:rsidRPr="00EE754B">
        <w:rPr>
          <w:rFonts w:eastAsia="Times New Roman" w:cs="Arial"/>
          <w:bCs/>
          <w:color w:val="000000"/>
          <w:lang w:eastAsia="bg-BG"/>
        </w:rPr>
        <w:t>в дългосрочен план ефектът от използване на ФИ ще е по-скоро положителен.</w:t>
      </w:r>
    </w:p>
    <w:p w:rsidR="00EE754B" w:rsidRPr="00EE754B" w:rsidRDefault="00EE754B" w:rsidP="00B462AB">
      <w:pPr>
        <w:spacing w:after="0" w:line="240" w:lineRule="auto"/>
        <w:rPr>
          <w:rFonts w:eastAsia="Times New Roman" w:cs="Arial"/>
          <w:b/>
          <w:bCs/>
          <w:color w:val="000000"/>
          <w:lang w:eastAsia="bg-BG"/>
        </w:rPr>
      </w:pPr>
    </w:p>
    <w:p w:rsidR="00EE754B" w:rsidRPr="002F7478" w:rsidRDefault="002F7478" w:rsidP="001A036E">
      <w:pPr>
        <w:numPr>
          <w:ilvl w:val="0"/>
          <w:numId w:val="69"/>
        </w:numPr>
        <w:spacing w:before="240" w:after="120" w:line="240" w:lineRule="auto"/>
        <w:outlineLvl w:val="3"/>
        <w:rPr>
          <w:rFonts w:ascii="Calibri" w:eastAsia="Calibri" w:hAnsi="Calibri" w:cs="Times New Roman"/>
          <w:b/>
          <w:color w:val="4F81BD"/>
        </w:rPr>
      </w:pPr>
      <w:r w:rsidRPr="002F7478">
        <w:rPr>
          <w:rFonts w:ascii="Calibri" w:eastAsia="Calibri" w:hAnsi="Calibri" w:cs="Times New Roman"/>
          <w:b/>
          <w:color w:val="4F81BD"/>
        </w:rPr>
        <w:t>Изводи</w:t>
      </w:r>
    </w:p>
    <w:p w:rsidR="00EE754B" w:rsidRPr="00EE754B" w:rsidRDefault="00EE754B" w:rsidP="002F7478">
      <w:pPr>
        <w:spacing w:before="240" w:after="0" w:line="240" w:lineRule="auto"/>
        <w:jc w:val="both"/>
        <w:rPr>
          <w:rFonts w:eastAsia="Times New Roman" w:cs="Arial"/>
          <w:bCs/>
          <w:color w:val="000000"/>
          <w:lang w:eastAsia="bg-BG"/>
        </w:rPr>
      </w:pPr>
      <w:r w:rsidRPr="00EE754B">
        <w:rPr>
          <w:rFonts w:eastAsia="Times New Roman" w:cs="Arial"/>
          <w:bCs/>
          <w:color w:val="000000"/>
          <w:lang w:eastAsia="bg-BG"/>
        </w:rPr>
        <w:t xml:space="preserve">Слабият интерес от страна на </w:t>
      </w:r>
      <w:r w:rsidR="00E74BDD" w:rsidRPr="00EE754B">
        <w:rPr>
          <w:rFonts w:eastAsia="Times New Roman" w:cs="Arial"/>
          <w:bCs/>
          <w:color w:val="000000"/>
          <w:lang w:eastAsia="bg-BG"/>
        </w:rPr>
        <w:t>респондентите</w:t>
      </w:r>
      <w:r w:rsidRPr="00EE754B">
        <w:rPr>
          <w:rFonts w:eastAsia="Times New Roman" w:cs="Arial"/>
          <w:bCs/>
          <w:color w:val="000000"/>
          <w:lang w:eastAsia="bg-BG"/>
        </w:rPr>
        <w:t xml:space="preserve"> е показателен за непознаване на темата и липсата на интерес към темата.</w:t>
      </w:r>
    </w:p>
    <w:p w:rsidR="00EE754B" w:rsidRPr="00EE754B" w:rsidRDefault="00EE754B" w:rsidP="002F7478">
      <w:pPr>
        <w:spacing w:before="240" w:after="0" w:line="240" w:lineRule="auto"/>
        <w:jc w:val="both"/>
        <w:rPr>
          <w:rFonts w:eastAsia="Times New Roman" w:cs="Arial"/>
          <w:bCs/>
          <w:color w:val="000000"/>
          <w:lang w:eastAsia="bg-BG"/>
        </w:rPr>
      </w:pPr>
      <w:r w:rsidRPr="00EE754B">
        <w:rPr>
          <w:rFonts w:eastAsia="Times New Roman" w:cs="Arial"/>
          <w:bCs/>
          <w:color w:val="000000"/>
          <w:lang w:eastAsia="bg-BG"/>
        </w:rPr>
        <w:t>Основната част от отговорилите респонденти са от сектор Води, по-малко в сектор Отпадъци и най-малко в сектор Градски транспорт. Това се обуславя и от относително структурираните оператори в сектор Води – ВиК дружествата, които са с разнообразна форма на собственост. В сектор Отпадъци дружествата са разнообразни по форма и дейност.</w:t>
      </w:r>
    </w:p>
    <w:p w:rsidR="00EE754B" w:rsidRP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lastRenderedPageBreak/>
        <w:t>По отношение на опита с различни финансови институции, потенциалните бенефициенти посочват разнопосочен опит, но основно с български търговски банки – 75%, по-малко – 25% със Световната банка, 14% с ЕБВР и други чуждестранни банки. Малък дял сочат опит с фонд ФЛАГ  и ЕИБ – по 7%.</w:t>
      </w: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Респондентите не са добре запознати с възможностите за използване на ФИ, особено по отношение на Околна среда, не знаят и какви са предимствата и потенциалния ефект. Голяма част от отговорилите споделят, че няма достатъчно информация.</w:t>
      </w:r>
    </w:p>
    <w:p w:rsidR="00EE754B" w:rsidRPr="00EE754B" w:rsidRDefault="00EE754B" w:rsidP="00B462AB">
      <w:pPr>
        <w:spacing w:before="240" w:after="120" w:line="240" w:lineRule="auto"/>
        <w:jc w:val="both"/>
        <w:rPr>
          <w:rFonts w:eastAsia="Arial" w:cs="Times New Roman"/>
          <w:color w:val="000000"/>
        </w:rPr>
      </w:pPr>
      <w:r w:rsidRPr="00EE754B">
        <w:rPr>
          <w:rFonts w:eastAsia="Arial" w:cs="Times New Roman"/>
          <w:color w:val="000000"/>
        </w:rPr>
        <w:t>Макар и не голяма част от отговорилите да са запознати с ФИ и ползите от тях, при добро популяризиране и условия, ФИ имат потенциала да привлекат потенциалните бенефициенти.</w:t>
      </w: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Това се обуславя от факта, че 61% от отговорилите срещат трудности при осигуряване на финансиране за инвестиции, най-вече поради невъзможност да осигурят исканото обезпечение или недостатъчно проходи.</w:t>
      </w:r>
    </w:p>
    <w:p w:rsidR="00EE754B" w:rsidRPr="00EE754B" w:rsidRDefault="00EE754B" w:rsidP="00B462AB">
      <w:pPr>
        <w:spacing w:after="0" w:line="240" w:lineRule="auto"/>
        <w:jc w:val="both"/>
        <w:rPr>
          <w:rFonts w:eastAsia="Times New Roman" w:cs="Arial"/>
          <w:bCs/>
          <w:color w:val="000000"/>
          <w:lang w:val="en-US" w:eastAsia="bg-BG"/>
        </w:rPr>
      </w:pP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Основната част от отговорилите (84%) имат стратегия за  развитие, съгласувана с основните стратегически документи в сектора. За голяма част от дружествата, стратегията е подкрепена и с инвестиционна програма.</w:t>
      </w:r>
    </w:p>
    <w:p w:rsidR="00EE754B" w:rsidRPr="00EE754B" w:rsidRDefault="00EE754B" w:rsidP="00B462AB">
      <w:pPr>
        <w:spacing w:after="0" w:line="240" w:lineRule="auto"/>
        <w:jc w:val="both"/>
        <w:rPr>
          <w:rFonts w:eastAsia="Times New Roman" w:cs="Arial"/>
          <w:bCs/>
          <w:color w:val="000000"/>
          <w:lang w:eastAsia="bg-BG"/>
        </w:rPr>
      </w:pPr>
    </w:p>
    <w:p w:rsidR="002F7478" w:rsidRDefault="00EE754B" w:rsidP="00B462AB">
      <w:pPr>
        <w:spacing w:after="0" w:line="240" w:lineRule="auto"/>
        <w:jc w:val="both"/>
        <w:rPr>
          <w:rFonts w:ascii="Calibri" w:eastAsia="Calibri" w:hAnsi="Calibri" w:cs="Times New Roman"/>
          <w:b/>
          <w:i/>
          <w:color w:val="4F81BD"/>
        </w:rPr>
      </w:pPr>
      <w:r w:rsidRPr="002F7478">
        <w:rPr>
          <w:rFonts w:ascii="Calibri" w:eastAsia="Calibri" w:hAnsi="Calibri" w:cs="Times New Roman"/>
          <w:b/>
          <w:i/>
          <w:color w:val="4F81BD"/>
        </w:rPr>
        <w:t>Сектор Води</w:t>
      </w:r>
    </w:p>
    <w:p w:rsidR="00EE754B" w:rsidRPr="00EE754B" w:rsidRDefault="00E74BDD" w:rsidP="002F7478">
      <w:pPr>
        <w:spacing w:before="240" w:after="0" w:line="240" w:lineRule="auto"/>
        <w:jc w:val="both"/>
        <w:rPr>
          <w:rFonts w:eastAsia="Times New Roman" w:cs="Arial"/>
          <w:bCs/>
          <w:color w:val="000000"/>
          <w:lang w:eastAsia="bg-BG"/>
        </w:rPr>
      </w:pPr>
      <w:r w:rsidRPr="00EE754B">
        <w:rPr>
          <w:rFonts w:eastAsia="Times New Roman" w:cs="Arial"/>
          <w:bCs/>
          <w:color w:val="000000"/>
          <w:lang w:eastAsia="bg-BG"/>
        </w:rPr>
        <w:t>Респондентите</w:t>
      </w:r>
      <w:r w:rsidR="00EE754B" w:rsidRPr="00EE754B">
        <w:rPr>
          <w:rFonts w:eastAsia="Times New Roman" w:cs="Arial"/>
          <w:bCs/>
          <w:color w:val="000000"/>
          <w:lang w:eastAsia="bg-BG"/>
        </w:rPr>
        <w:t xml:space="preserve"> посочват, че имат инвестиционни нужди и биха използвали финансови инструменти, като основната част подкрепят заемен капитал, а по-малка част – Гаранции и дялов капитал.</w:t>
      </w: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color w:val="000000"/>
          <w:lang w:eastAsia="bg-BG"/>
        </w:rPr>
        <w:t xml:space="preserve">Едва 31% от отговорилите имат опит в управлението на </w:t>
      </w:r>
      <w:r w:rsidRPr="00EE754B">
        <w:rPr>
          <w:rFonts w:eastAsia="Times New Roman" w:cs="Arial"/>
          <w:bCs/>
          <w:color w:val="000000"/>
          <w:lang w:eastAsia="bg-BG"/>
        </w:rPr>
        <w:t>инвестиции, финансирани чрез  фин. инструменти и/или безвъзмездна финансова помощ  и съответно 63% имат нужда от техническа помощ в това отношение.</w:t>
      </w:r>
    </w:p>
    <w:p w:rsidR="00EE754B" w:rsidRPr="00EE754B" w:rsidRDefault="00EE754B" w:rsidP="00B462AB">
      <w:pPr>
        <w:spacing w:after="0" w:line="240" w:lineRule="auto"/>
        <w:rPr>
          <w:rFonts w:eastAsia="Times New Roman" w:cs="Arial"/>
          <w:b/>
          <w:color w:val="000000"/>
          <w:lang w:eastAsia="bg-BG"/>
        </w:rPr>
      </w:pPr>
    </w:p>
    <w:p w:rsidR="002F7478" w:rsidRDefault="00EE754B" w:rsidP="00B462AB">
      <w:pPr>
        <w:spacing w:after="0" w:line="240" w:lineRule="auto"/>
        <w:jc w:val="both"/>
        <w:rPr>
          <w:rFonts w:eastAsia="Times New Roman" w:cs="Arial"/>
          <w:b/>
          <w:color w:val="000000"/>
          <w:lang w:eastAsia="bg-BG"/>
        </w:rPr>
      </w:pPr>
      <w:r w:rsidRPr="002F7478">
        <w:rPr>
          <w:rFonts w:ascii="Calibri" w:eastAsia="Calibri" w:hAnsi="Calibri" w:cs="Times New Roman"/>
          <w:b/>
          <w:i/>
          <w:color w:val="4F81BD"/>
        </w:rPr>
        <w:t>Сектор Отпадъци</w:t>
      </w:r>
    </w:p>
    <w:p w:rsidR="00EE754B" w:rsidRPr="00EE754B" w:rsidRDefault="00EE754B" w:rsidP="002F7478">
      <w:pPr>
        <w:spacing w:before="240" w:after="0" w:line="240" w:lineRule="auto"/>
        <w:jc w:val="both"/>
        <w:rPr>
          <w:rFonts w:eastAsia="Times New Roman" w:cs="Arial"/>
          <w:bCs/>
          <w:color w:val="000000"/>
          <w:lang w:eastAsia="bg-BG"/>
        </w:rPr>
      </w:pPr>
      <w:r w:rsidRPr="00EE754B">
        <w:rPr>
          <w:rFonts w:eastAsia="Times New Roman" w:cs="Arial"/>
          <w:color w:val="000000"/>
          <w:lang w:eastAsia="bg-BG"/>
        </w:rPr>
        <w:t xml:space="preserve">86% от респондентите посочват, че биха използвали финансови инструменти за покриване на инвестиционните си нужди, като равен дял посочват Гаранции и Заем. </w:t>
      </w:r>
      <w:r w:rsidRPr="00EE754B">
        <w:rPr>
          <w:rFonts w:eastAsia="Times New Roman" w:cs="Arial"/>
          <w:bCs/>
          <w:color w:val="000000"/>
          <w:lang w:eastAsia="bg-BG"/>
        </w:rPr>
        <w:t>Равен дял от респондентите посочват опит и липсата на такъв в управление на инвестиции, финансирани чрез финансови инструменти и/или безвъзмездна финансова помощ – по 43%. Съответно, 57% считат, че им е необходима техническа помощ за управление на финансови инструменти.</w:t>
      </w:r>
    </w:p>
    <w:p w:rsidR="00EE754B" w:rsidRPr="00EE754B" w:rsidRDefault="00EE754B" w:rsidP="00B462AB">
      <w:pPr>
        <w:spacing w:after="0" w:line="240" w:lineRule="auto"/>
        <w:jc w:val="both"/>
        <w:rPr>
          <w:rFonts w:eastAsia="Times New Roman" w:cs="Arial"/>
          <w:color w:val="000000"/>
          <w:lang w:eastAsia="bg-BG"/>
        </w:rPr>
      </w:pPr>
    </w:p>
    <w:p w:rsidR="002F7478" w:rsidRDefault="00EE754B" w:rsidP="00B462AB">
      <w:pPr>
        <w:spacing w:before="120" w:after="240" w:line="240" w:lineRule="auto"/>
        <w:jc w:val="both"/>
        <w:rPr>
          <w:rFonts w:ascii="Calibri" w:eastAsia="Calibri" w:hAnsi="Calibri" w:cs="Times New Roman"/>
          <w:b/>
          <w:i/>
          <w:color w:val="4F81BD"/>
        </w:rPr>
      </w:pPr>
      <w:r w:rsidRPr="002F7478">
        <w:rPr>
          <w:rFonts w:ascii="Calibri" w:eastAsia="Calibri" w:hAnsi="Calibri" w:cs="Times New Roman"/>
          <w:b/>
          <w:i/>
          <w:color w:val="4F81BD"/>
        </w:rPr>
        <w:t>Сектор Транспорт</w:t>
      </w:r>
    </w:p>
    <w:p w:rsidR="00EE754B" w:rsidRPr="00EE754B" w:rsidRDefault="00EE754B" w:rsidP="00B462AB">
      <w:pPr>
        <w:spacing w:before="120" w:after="240" w:line="240" w:lineRule="auto"/>
        <w:jc w:val="both"/>
        <w:rPr>
          <w:rFonts w:eastAsia="Arial" w:cs="Times New Roman"/>
          <w:color w:val="000000"/>
        </w:rPr>
      </w:pPr>
      <w:r w:rsidRPr="00EE754B">
        <w:rPr>
          <w:rFonts w:eastAsia="Times New Roman" w:cs="Times New Roman"/>
          <w:color w:val="000000"/>
        </w:rPr>
        <w:t xml:space="preserve">100% посочват, че биха използвали ФИ за закупуване на нови превозни средства. По отношение на това, какъв ФИ биха използвали, 20% предпочитат Дялов капитал и 100% - използването на заем. </w:t>
      </w: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color w:val="000000"/>
          <w:lang w:eastAsia="bg-BG"/>
        </w:rPr>
        <w:t>40% от отговорилите респо</w:t>
      </w:r>
      <w:r w:rsidR="009C30F5">
        <w:rPr>
          <w:rFonts w:eastAsia="Times New Roman" w:cs="Arial"/>
          <w:color w:val="000000"/>
          <w:lang w:eastAsia="bg-BG"/>
        </w:rPr>
        <w:t>нденти споделят, че имат опит в</w:t>
      </w:r>
      <w:r w:rsidRPr="00EE754B">
        <w:rPr>
          <w:rFonts w:eastAsia="Times New Roman" w:cs="Arial"/>
          <w:bCs/>
          <w:color w:val="000000"/>
          <w:lang w:eastAsia="bg-BG"/>
        </w:rPr>
        <w:t xml:space="preserve"> управление на инвестиции, финансирани чрез  финансови инструменти и/или безвъзмездна финансова помощ.</w:t>
      </w:r>
    </w:p>
    <w:p w:rsidR="00EE754B" w:rsidRPr="00EE754B" w:rsidRDefault="00EE754B" w:rsidP="00B462AB">
      <w:pPr>
        <w:spacing w:after="0" w:line="240" w:lineRule="auto"/>
        <w:rPr>
          <w:rFonts w:eastAsia="Times New Roman" w:cs="Arial"/>
          <w:b/>
          <w:color w:val="000000"/>
          <w:lang w:eastAsia="bg-BG"/>
        </w:rPr>
      </w:pPr>
    </w:p>
    <w:p w:rsidR="00EE754B" w:rsidRPr="00EE754B" w:rsidRDefault="00EE754B" w:rsidP="00B462AB">
      <w:pPr>
        <w:spacing w:after="0" w:line="240" w:lineRule="auto"/>
        <w:jc w:val="both"/>
        <w:rPr>
          <w:rFonts w:eastAsia="Times New Roman" w:cs="Arial"/>
          <w:bCs/>
          <w:color w:val="000000"/>
          <w:lang w:eastAsia="bg-BG"/>
        </w:rPr>
      </w:pPr>
      <w:r w:rsidRPr="00EE754B">
        <w:rPr>
          <w:rFonts w:eastAsia="Times New Roman" w:cs="Arial"/>
          <w:bCs/>
          <w:color w:val="000000"/>
          <w:lang w:eastAsia="bg-BG"/>
        </w:rPr>
        <w:t>Въпреки това, едва 20% посочват, че им е необходима техническа помощ при управление на ФИ, а другите 80% или се колебаят или считат, че не им е необходима такава.</w:t>
      </w:r>
    </w:p>
    <w:p w:rsidR="00EE754B" w:rsidRPr="00EE754B" w:rsidRDefault="00EE754B" w:rsidP="002F7478">
      <w:pPr>
        <w:spacing w:before="240" w:after="0" w:line="240" w:lineRule="auto"/>
        <w:jc w:val="both"/>
        <w:rPr>
          <w:rFonts w:eastAsia="Times New Roman" w:cs="Arial"/>
          <w:bCs/>
          <w:color w:val="000000"/>
          <w:lang w:eastAsia="bg-BG"/>
        </w:rPr>
      </w:pPr>
      <w:r w:rsidRPr="00EE754B">
        <w:rPr>
          <w:rFonts w:eastAsia="Times New Roman" w:cs="Arial"/>
          <w:bCs/>
          <w:color w:val="000000"/>
          <w:lang w:eastAsia="bg-BG"/>
        </w:rPr>
        <w:t>Все пак 100% от отговорилите считат, че</w:t>
      </w:r>
      <w:r w:rsidR="002F7478">
        <w:rPr>
          <w:rFonts w:eastAsia="Times New Roman" w:cs="Arial"/>
          <w:bCs/>
          <w:color w:val="000000"/>
          <w:lang w:eastAsia="bg-BG"/>
        </w:rPr>
        <w:t xml:space="preserve"> </w:t>
      </w:r>
      <w:r w:rsidRPr="00EE754B">
        <w:rPr>
          <w:rFonts w:eastAsia="Times New Roman" w:cs="Arial"/>
          <w:bCs/>
          <w:color w:val="000000"/>
          <w:lang w:eastAsia="bg-BG"/>
        </w:rPr>
        <w:t>в дългосрочен план ефектът от използване на ФИ ще е по-скоро положителен.</w:t>
      </w:r>
    </w:p>
    <w:p w:rsidR="008E4057" w:rsidRDefault="008E4057" w:rsidP="00B462AB">
      <w:pPr>
        <w:spacing w:line="240" w:lineRule="auto"/>
        <w:rPr>
          <w:rFonts w:eastAsia="Times New Roman" w:cs="Arial"/>
          <w:color w:val="000000"/>
          <w:lang w:eastAsia="bg-BG"/>
        </w:rPr>
      </w:pPr>
    </w:p>
    <w:p w:rsidR="008E4057" w:rsidRPr="008E4057" w:rsidRDefault="008E4057" w:rsidP="008E4057">
      <w:pPr>
        <w:keepNext/>
        <w:keepLines/>
        <w:spacing w:before="120" w:after="120"/>
        <w:outlineLvl w:val="2"/>
        <w:rPr>
          <w:rFonts w:ascii="Calibri" w:eastAsia="Calibri" w:hAnsi="Calibri" w:cs="Times New Roman"/>
          <w:color w:val="243F60"/>
          <w:sz w:val="24"/>
          <w:szCs w:val="24"/>
        </w:rPr>
      </w:pPr>
      <w:bookmarkStart w:id="117" w:name="_Toc399494537"/>
      <w:r w:rsidRPr="009C30F5">
        <w:rPr>
          <w:rFonts w:ascii="Calibri" w:eastAsia="Calibri" w:hAnsi="Calibri" w:cs="Times New Roman"/>
          <w:color w:val="243F60"/>
          <w:sz w:val="24"/>
          <w:szCs w:val="24"/>
        </w:rPr>
        <w:lastRenderedPageBreak/>
        <w:t xml:space="preserve">1.4.3. </w:t>
      </w:r>
      <w:r w:rsidR="00280CB9" w:rsidRPr="009C30F5">
        <w:rPr>
          <w:rFonts w:ascii="Calibri" w:eastAsia="Calibri" w:hAnsi="Calibri" w:cs="Times New Roman"/>
          <w:color w:val="243F60"/>
          <w:sz w:val="24"/>
          <w:szCs w:val="24"/>
        </w:rPr>
        <w:t>Обобщение на търсенето и предлагането на финансови инструменти в сектор Околна среда в България</w:t>
      </w:r>
      <w:bookmarkEnd w:id="117"/>
    </w:p>
    <w:p w:rsidR="009C30F5" w:rsidRDefault="009C30F5" w:rsidP="009C30F5">
      <w:pPr>
        <w:jc w:val="both"/>
      </w:pPr>
      <w:r>
        <w:t>На първо място, следва да се отбележи, към днешна дата в сектор Околна среда като цяло няма търсене и пред</w:t>
      </w:r>
      <w:r w:rsidR="00AF004C">
        <w:t>лагане на финансови инструменти, които биха могли да се приложат в периода 2014-2020 г. предвид изискванията на Регламент 1303/2013</w:t>
      </w:r>
      <w:r w:rsidR="00AF004C">
        <w:rPr>
          <w:rStyle w:val="FootnoteReference"/>
        </w:rPr>
        <w:footnoteReference w:id="46"/>
      </w:r>
      <w:r w:rsidR="00AF004C">
        <w:t>. Заемно финансиране за инвестиции е осигурено за някои проекти от сектор Води и сектор Отпадъци в пред-присъединителния период, както и в периода 2007-2013 г., което обаче не може да се счита за инструмент на финансовия инженеринг</w:t>
      </w:r>
      <w:r w:rsidR="000E360C">
        <w:t xml:space="preserve"> в смисъла, в който се анализират финансовите инструменти в настоящия доклад.</w:t>
      </w:r>
    </w:p>
    <w:p w:rsidR="000E360C" w:rsidRDefault="000E360C" w:rsidP="009C30F5">
      <w:pPr>
        <w:jc w:val="both"/>
      </w:pPr>
    </w:p>
    <w:p w:rsidR="000E360C" w:rsidRDefault="009C30F5" w:rsidP="009C30F5">
      <w:pPr>
        <w:jc w:val="both"/>
      </w:pPr>
      <w:r>
        <w:t xml:space="preserve">Отчитайки </w:t>
      </w:r>
      <w:r w:rsidR="000E360C">
        <w:t xml:space="preserve">този факт, както и </w:t>
      </w:r>
      <w:r>
        <w:t>спецификата на всеки един от секторите Води и Отпадъци и потенциалните бенефициенти на финансови инструменти</w:t>
      </w:r>
      <w:r w:rsidR="000E360C">
        <w:t xml:space="preserve"> в двата сектора може да се направи заключението, че най-подходящи за прилагане в сферата на околната среда са инструментите за </w:t>
      </w:r>
      <w:r w:rsidR="000E360C" w:rsidRPr="000964B6">
        <w:rPr>
          <w:b/>
        </w:rPr>
        <w:t>дългово финансиране</w:t>
      </w:r>
      <w:r w:rsidR="000E360C">
        <w:t xml:space="preserve">, в частност </w:t>
      </w:r>
      <w:r w:rsidR="000E360C" w:rsidRPr="000964B6">
        <w:rPr>
          <w:i/>
        </w:rPr>
        <w:t>заеми и гаранции</w:t>
      </w:r>
      <w:r w:rsidR="000E360C">
        <w:t>, поради следните причини:</w:t>
      </w:r>
    </w:p>
    <w:p w:rsidR="00A1309B" w:rsidRDefault="000E360C" w:rsidP="001A036E">
      <w:pPr>
        <w:numPr>
          <w:ilvl w:val="0"/>
          <w:numId w:val="71"/>
        </w:numPr>
        <w:jc w:val="both"/>
      </w:pPr>
      <w:r>
        <w:t>Собствеността на ВиК дружествата и статута на общините като органи на местното самоуправление не позволяват използване на капиталово финансиране, при което се придобива право на собственост и управление</w:t>
      </w:r>
    </w:p>
    <w:p w:rsidR="000E360C" w:rsidRDefault="000E360C" w:rsidP="001A036E">
      <w:pPr>
        <w:numPr>
          <w:ilvl w:val="0"/>
          <w:numId w:val="71"/>
        </w:numPr>
        <w:jc w:val="both"/>
      </w:pPr>
      <w:r>
        <w:t>Дори и при бенефициент частна фирма (в сектор Отпадъци) придобитите активи в резултат от проектите не биха се приемали от банките като обезпечение, тъй като те не са ликвидни</w:t>
      </w:r>
      <w:r w:rsidR="000964B6">
        <w:rPr>
          <w:rStyle w:val="FootnoteReference"/>
        </w:rPr>
        <w:footnoteReference w:id="47"/>
      </w:r>
    </w:p>
    <w:p w:rsidR="000964B6" w:rsidRDefault="000964B6" w:rsidP="001A036E">
      <w:pPr>
        <w:numPr>
          <w:ilvl w:val="0"/>
          <w:numId w:val="71"/>
        </w:numPr>
        <w:jc w:val="both"/>
      </w:pPr>
      <w:r>
        <w:t>И в двата сектора проектите, които е необходимо да бъдат реализирани са свързани с публични услуги, т.е. капиталово финансиране като мецанин или дялов капитал не се считат за адекватен инструмент.</w:t>
      </w:r>
    </w:p>
    <w:p w:rsidR="000964B6" w:rsidRDefault="000964B6" w:rsidP="000964B6">
      <w:pPr>
        <w:jc w:val="both"/>
      </w:pPr>
      <w:r>
        <w:t>По-подробна оценка на възможните форми на подкрепа, предоставяни чрез финансови инструменти е направена в следващата точка.</w:t>
      </w:r>
    </w:p>
    <w:p w:rsidR="00F00027" w:rsidRDefault="00F00027" w:rsidP="000964B6">
      <w:pPr>
        <w:jc w:val="both"/>
        <w:sectPr w:rsidR="00F00027" w:rsidSect="006E39EC">
          <w:pgSz w:w="11906" w:h="16838"/>
          <w:pgMar w:top="851" w:right="991" w:bottom="1560" w:left="1417" w:header="708" w:footer="94" w:gutter="0"/>
          <w:cols w:space="708"/>
          <w:titlePg/>
          <w:docGrid w:linePitch="360"/>
        </w:sectPr>
      </w:pPr>
    </w:p>
    <w:p w:rsidR="00B40F53" w:rsidRPr="00E74BDD" w:rsidRDefault="00181C9C" w:rsidP="00181C9C">
      <w:pPr>
        <w:pStyle w:val="Heading1"/>
        <w:rPr>
          <w:rFonts w:asciiTheme="minorHAnsi" w:hAnsiTheme="minorHAnsi" w:cs="Times New Roman"/>
          <w:b/>
        </w:rPr>
      </w:pPr>
      <w:bookmarkStart w:id="118" w:name="_Toc399494538"/>
      <w:r w:rsidRPr="00817A5B">
        <w:rPr>
          <w:rFonts w:asciiTheme="minorHAnsi" w:hAnsiTheme="minorHAnsi" w:cs="Times New Roman"/>
          <w:b/>
        </w:rPr>
        <w:lastRenderedPageBreak/>
        <w:t xml:space="preserve">2. </w:t>
      </w:r>
      <w:r w:rsidR="00B40F53" w:rsidRPr="00E74BDD">
        <w:rPr>
          <w:rFonts w:asciiTheme="minorHAnsi" w:hAnsiTheme="minorHAnsi" w:cs="Times New Roman"/>
          <w:b/>
        </w:rPr>
        <w:t>Добавена стойност на финансовите инструменти</w:t>
      </w:r>
      <w:bookmarkEnd w:id="118"/>
    </w:p>
    <w:p w:rsidR="00B40F53" w:rsidRDefault="00B40F53" w:rsidP="000964B6">
      <w:pPr>
        <w:pStyle w:val="Heading2"/>
        <w:jc w:val="both"/>
        <w:rPr>
          <w:rFonts w:asciiTheme="minorHAnsi" w:hAnsiTheme="minorHAnsi" w:cs="Times New Roman"/>
        </w:rPr>
      </w:pPr>
      <w:bookmarkStart w:id="119" w:name="_Toc399494539"/>
      <w:r w:rsidRPr="00C370EC">
        <w:rPr>
          <w:rFonts w:asciiTheme="minorHAnsi" w:hAnsiTheme="minorHAnsi" w:cs="Times New Roman"/>
        </w:rPr>
        <w:t xml:space="preserve">2.1. Анализ  на </w:t>
      </w:r>
      <w:r w:rsidR="0075338F" w:rsidRPr="00C370EC">
        <w:rPr>
          <w:rFonts w:asciiTheme="minorHAnsi" w:hAnsiTheme="minorHAnsi" w:cs="Times New Roman"/>
        </w:rPr>
        <w:t>възможните видове</w:t>
      </w:r>
      <w:r w:rsidRPr="00C370EC">
        <w:rPr>
          <w:rFonts w:asciiTheme="minorHAnsi" w:hAnsiTheme="minorHAnsi" w:cs="Times New Roman"/>
        </w:rPr>
        <w:t xml:space="preserve"> форми на подкрепа, предоставяни чрез финансови инструменти – заеми, дялово участие, гаранции, др., както и техни специфични под-видове съобразно сферата на интервенция по ОПОС</w:t>
      </w:r>
      <w:r w:rsidR="00315141">
        <w:rPr>
          <w:rFonts w:asciiTheme="minorHAnsi" w:hAnsiTheme="minorHAnsi" w:cs="Times New Roman"/>
        </w:rPr>
        <w:t xml:space="preserve"> </w:t>
      </w:r>
      <w:r w:rsidR="00315141" w:rsidRPr="00E747A6">
        <w:rPr>
          <w:rFonts w:asciiTheme="minorHAnsi" w:hAnsiTheme="minorHAnsi" w:cs="Times New Roman"/>
        </w:rPr>
        <w:t>(количествено и качествено измерение на добавената стойност на всеки от възможните видове финансови инструменти)</w:t>
      </w:r>
      <w:bookmarkEnd w:id="119"/>
    </w:p>
    <w:p w:rsidR="000964B6" w:rsidRDefault="000964B6" w:rsidP="000964B6"/>
    <w:p w:rsidR="000964B6" w:rsidRDefault="000964B6" w:rsidP="000964B6">
      <w:pPr>
        <w:jc w:val="both"/>
      </w:pPr>
      <w:r>
        <w:t>Основните стъпки, през които е необходимо да премине оценката на добавената стойност финансовите инструменти съгласно Методологията за предварителна оценка на тяхната приложимост са следните:</w:t>
      </w:r>
    </w:p>
    <w:p w:rsidR="000964B6" w:rsidRDefault="000964B6" w:rsidP="000964B6">
      <w:pPr>
        <w:jc w:val="both"/>
      </w:pPr>
      <w:r>
        <w:rPr>
          <w:noProof/>
          <w:lang w:eastAsia="bg-BG"/>
        </w:rPr>
        <w:drawing>
          <wp:inline distT="0" distB="0" distL="0" distR="0">
            <wp:extent cx="5676900" cy="3200400"/>
            <wp:effectExtent l="0" t="0" r="1905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p>
    <w:p w:rsidR="00977AE5" w:rsidRDefault="00977AE5" w:rsidP="00977AE5">
      <w:pPr>
        <w:keepNext/>
        <w:keepLines/>
        <w:spacing w:before="120" w:after="120"/>
        <w:outlineLvl w:val="2"/>
        <w:rPr>
          <w:rFonts w:ascii="Calibri" w:eastAsia="Calibri" w:hAnsi="Calibri" w:cs="Times New Roman"/>
          <w:color w:val="243F60"/>
          <w:sz w:val="24"/>
          <w:szCs w:val="24"/>
        </w:rPr>
      </w:pPr>
      <w:bookmarkStart w:id="120" w:name="_Toc399494540"/>
      <w:r w:rsidRPr="00977AE5">
        <w:rPr>
          <w:rFonts w:ascii="Calibri" w:eastAsia="Calibri" w:hAnsi="Calibri" w:cs="Times New Roman"/>
          <w:color w:val="243F60"/>
          <w:sz w:val="24"/>
          <w:szCs w:val="24"/>
        </w:rPr>
        <w:t xml:space="preserve">2.1.1. </w:t>
      </w:r>
      <w:r>
        <w:rPr>
          <w:rFonts w:ascii="Calibri" w:eastAsia="Calibri" w:hAnsi="Calibri" w:cs="Times New Roman"/>
          <w:color w:val="243F60"/>
          <w:sz w:val="24"/>
          <w:szCs w:val="24"/>
        </w:rPr>
        <w:t xml:space="preserve">Обща характеристика на </w:t>
      </w:r>
      <w:r w:rsidR="003F2979">
        <w:rPr>
          <w:rFonts w:ascii="Calibri" w:eastAsia="Calibri" w:hAnsi="Calibri" w:cs="Times New Roman"/>
          <w:color w:val="243F60"/>
          <w:sz w:val="24"/>
          <w:szCs w:val="24"/>
        </w:rPr>
        <w:t>възможните</w:t>
      </w:r>
      <w:r>
        <w:rPr>
          <w:rFonts w:ascii="Calibri" w:eastAsia="Calibri" w:hAnsi="Calibri" w:cs="Times New Roman"/>
          <w:color w:val="243F60"/>
          <w:sz w:val="24"/>
          <w:szCs w:val="24"/>
        </w:rPr>
        <w:t xml:space="preserve"> финансови инструменти</w:t>
      </w:r>
      <w:bookmarkEnd w:id="120"/>
    </w:p>
    <w:p w:rsidR="00F73E88" w:rsidRDefault="00F73E88" w:rsidP="00F73E88">
      <w:pPr>
        <w:jc w:val="both"/>
        <w:rPr>
          <w:rFonts w:cs="Georgia"/>
          <w:color w:val="000000"/>
        </w:rPr>
      </w:pPr>
      <w:r>
        <w:rPr>
          <w:rFonts w:cs="Georgia"/>
          <w:color w:val="000000"/>
        </w:rPr>
        <w:t>„</w:t>
      </w:r>
      <w:r w:rsidRPr="00F73E88">
        <w:rPr>
          <w:rFonts w:cs="Georgia"/>
          <w:b/>
          <w:color w:val="000000"/>
        </w:rPr>
        <w:t>Финансови инструменти</w:t>
      </w:r>
      <w:r w:rsidRPr="00F73E88">
        <w:rPr>
          <w:rFonts w:cs="Georgia"/>
          <w:color w:val="000000"/>
        </w:rPr>
        <w:t>“ означава мерките на Съюза за финансова подкрепа, предоставяна като допълнителна подкрепа от бюджета с цел реализиране на една или повече конкретни цели на политиките на Съюза. Инструментите може да бъдат под формата на капиталови или квазикапиталови инвестиции, заеми или гаранции или други инструменти за поделяне на риска, като по целесъобразност може да бъдат комбинирани с безвъзмездни средства</w:t>
      </w:r>
      <w:r w:rsidR="0012234C">
        <w:rPr>
          <w:rStyle w:val="FootnoteReference"/>
          <w:rFonts w:cs="Georgia"/>
          <w:color w:val="000000"/>
        </w:rPr>
        <w:footnoteReference w:id="48"/>
      </w:r>
      <w:r w:rsidR="0012234C">
        <w:rPr>
          <w:rFonts w:cs="Georgia"/>
          <w:color w:val="000000"/>
        </w:rPr>
        <w:t>.</w:t>
      </w:r>
    </w:p>
    <w:p w:rsidR="00977AE5" w:rsidRDefault="00221221" w:rsidP="00221221">
      <w:pPr>
        <w:jc w:val="both"/>
        <w:rPr>
          <w:rFonts w:cs="Georgia"/>
          <w:color w:val="000000"/>
        </w:rPr>
      </w:pPr>
      <w:r w:rsidRPr="00221221">
        <w:rPr>
          <w:rFonts w:cs="Georgia"/>
          <w:color w:val="000000"/>
        </w:rPr>
        <w:t xml:space="preserve">Най-общо </w:t>
      </w:r>
      <w:r>
        <w:rPr>
          <w:rFonts w:cs="Georgia"/>
          <w:color w:val="000000"/>
        </w:rPr>
        <w:t xml:space="preserve">финансовите инструменти </w:t>
      </w:r>
      <w:r w:rsidR="00597F29">
        <w:rPr>
          <w:rFonts w:cs="Georgia"/>
          <w:color w:val="000000"/>
        </w:rPr>
        <w:t xml:space="preserve">(без безвъзмездната помощ) </w:t>
      </w:r>
      <w:r>
        <w:rPr>
          <w:rFonts w:cs="Georgia"/>
          <w:color w:val="000000"/>
        </w:rPr>
        <w:t>могат да бъдат отнесени към две категории – капиталово финансиране и дългово финансиране. Характеристиките на всяка една от двете категории са представени накратко както следва:</w:t>
      </w:r>
    </w:p>
    <w:p w:rsidR="00221221" w:rsidRDefault="00221221" w:rsidP="00221221">
      <w:pPr>
        <w:jc w:val="both"/>
        <w:rPr>
          <w:rFonts w:cs="Georgia"/>
          <w:color w:val="000000"/>
        </w:rPr>
      </w:pPr>
    </w:p>
    <w:p w:rsidR="00221221" w:rsidRPr="00221221" w:rsidRDefault="00221221" w:rsidP="00221221">
      <w:pPr>
        <w:jc w:val="both"/>
        <w:rPr>
          <w:rFonts w:cs="Georgia"/>
          <w:color w:val="000000"/>
        </w:rPr>
      </w:pPr>
      <w:r w:rsidRPr="00221221">
        <w:rPr>
          <w:rFonts w:cs="Georgia"/>
          <w:noProof/>
          <w:color w:val="000000"/>
          <w:lang w:eastAsia="bg-BG"/>
        </w:rPr>
        <w:lastRenderedPageBreak/>
        <w:drawing>
          <wp:inline distT="0" distB="0" distL="0" distR="0">
            <wp:extent cx="5946991" cy="4779034"/>
            <wp:effectExtent l="0" t="19050" r="15875" b="2540"/>
            <wp:docPr id="1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rsidR="00221221" w:rsidRPr="001C60E1" w:rsidRDefault="00221221" w:rsidP="00977AE5">
      <w:pPr>
        <w:keepNext/>
        <w:keepLines/>
        <w:spacing w:before="120" w:after="120"/>
        <w:outlineLvl w:val="2"/>
        <w:rPr>
          <w:rFonts w:cs="Georgia"/>
          <w:color w:val="000000"/>
        </w:rPr>
      </w:pPr>
    </w:p>
    <w:p w:rsidR="001C60E1" w:rsidRDefault="001C60E1" w:rsidP="001C60E1">
      <w:pPr>
        <w:pStyle w:val="Default"/>
        <w:jc w:val="both"/>
        <w:rPr>
          <w:rFonts w:cs="Georgia"/>
        </w:rPr>
      </w:pPr>
      <w:r w:rsidRPr="001C60E1">
        <w:rPr>
          <w:rFonts w:asciiTheme="minorHAnsi" w:eastAsiaTheme="minorHAnsi" w:hAnsiTheme="minorHAnsi" w:cs="Georgia"/>
          <w:sz w:val="22"/>
          <w:szCs w:val="22"/>
        </w:rPr>
        <w:t xml:space="preserve">Предвид дефинираните в т. 1.4.3. по-горе най-приложими за сектор Околна среда финансови инструменти, по смисъла на </w:t>
      </w:r>
      <w:r w:rsidRPr="001C60E1">
        <w:rPr>
          <w:rFonts w:asciiTheme="minorHAnsi" w:hAnsiTheme="minorHAnsi" w:cs="Georgia"/>
          <w:sz w:val="22"/>
          <w:szCs w:val="22"/>
        </w:rPr>
        <w:t>РЕГЛАМЕНТ (ЕС, ЕВРАТОМ) № 966/2012 НА ЕВРОПЕЙСКИЯ ПАРЛАМЕНТ И НА СЪВЕТА от 25 октомври 2012 относно финансовите правила, приложими за общия бюджет на Съюза и за отмяна на Регламент (ЕО, Евратом) № 1605/2002 на Съвета</w:t>
      </w:r>
      <w:r>
        <w:rPr>
          <w:rFonts w:asciiTheme="minorHAnsi" w:hAnsiTheme="minorHAnsi" w:cs="Georgia"/>
          <w:sz w:val="22"/>
          <w:szCs w:val="22"/>
        </w:rPr>
        <w:t xml:space="preserve"> (Финансовият регламент), те са дефинирани както следва:</w:t>
      </w:r>
    </w:p>
    <w:p w:rsidR="001C60E1" w:rsidRDefault="001C60E1" w:rsidP="001C60E1">
      <w:pPr>
        <w:rPr>
          <w:rFonts w:cs="Georgia"/>
          <w:color w:val="000000"/>
        </w:rPr>
      </w:pPr>
    </w:p>
    <w:p w:rsidR="001C60E1" w:rsidRDefault="004410E0" w:rsidP="001A036E">
      <w:pPr>
        <w:numPr>
          <w:ilvl w:val="0"/>
          <w:numId w:val="72"/>
        </w:numPr>
        <w:autoSpaceDE w:val="0"/>
        <w:autoSpaceDN w:val="0"/>
        <w:adjustRightInd w:val="0"/>
        <w:spacing w:line="240" w:lineRule="auto"/>
        <w:jc w:val="both"/>
        <w:rPr>
          <w:rFonts w:cs="Georgia"/>
          <w:color w:val="000000"/>
        </w:rPr>
      </w:pPr>
      <w:r>
        <w:rPr>
          <w:rFonts w:cs="Georgia"/>
          <w:b/>
          <w:color w:val="000000"/>
        </w:rPr>
        <w:t>„З</w:t>
      </w:r>
      <w:r w:rsidR="001C60E1" w:rsidRPr="001C60E1">
        <w:rPr>
          <w:rFonts w:cs="Georgia"/>
          <w:b/>
          <w:color w:val="000000"/>
        </w:rPr>
        <w:t>аем“</w:t>
      </w:r>
      <w:r w:rsidR="001C60E1" w:rsidRPr="001C60E1">
        <w:rPr>
          <w:rFonts w:cs="Georgia"/>
          <w:color w:val="000000"/>
        </w:rPr>
        <w:t xml:space="preserve"> означава споразумение, което задължава заемодателя да предостави на заемополучателя договорена парична сума за договорения срок и според което заемополучателят е длъжен да изплати тази сума в рамките на договорения срок</w:t>
      </w:r>
    </w:p>
    <w:p w:rsidR="001C60E1" w:rsidRDefault="004410E0" w:rsidP="001A036E">
      <w:pPr>
        <w:numPr>
          <w:ilvl w:val="0"/>
          <w:numId w:val="72"/>
        </w:numPr>
        <w:autoSpaceDE w:val="0"/>
        <w:autoSpaceDN w:val="0"/>
        <w:adjustRightInd w:val="0"/>
        <w:spacing w:before="60" w:after="60" w:line="240" w:lineRule="auto"/>
        <w:jc w:val="both"/>
        <w:rPr>
          <w:rFonts w:cs="Georgia"/>
          <w:color w:val="000000"/>
        </w:rPr>
      </w:pPr>
      <w:r>
        <w:rPr>
          <w:rFonts w:cs="Georgia"/>
          <w:b/>
          <w:color w:val="000000"/>
        </w:rPr>
        <w:t>„Г</w:t>
      </w:r>
      <w:r w:rsidR="001C60E1" w:rsidRPr="001C60E1">
        <w:rPr>
          <w:rFonts w:cs="Georgia"/>
          <w:b/>
          <w:color w:val="000000"/>
        </w:rPr>
        <w:t>аранция“</w:t>
      </w:r>
      <w:r w:rsidR="001C60E1" w:rsidRPr="001C60E1">
        <w:rPr>
          <w:rFonts w:cs="Georgia"/>
          <w:color w:val="000000"/>
        </w:rPr>
        <w:t xml:space="preserve"> означава писмен ангажимент за поемане на отговорност за целия или за част от дълга или задължение на трета страна или за успешното изпълнение от тази трета страна на нейните задължения, в случай, който води до подаването на иск за плащане по гаранцията, като например неизпълнението на задължението за плащане по заем</w:t>
      </w:r>
    </w:p>
    <w:p w:rsidR="001C60E1" w:rsidRDefault="001C60E1" w:rsidP="001C60E1">
      <w:pPr>
        <w:autoSpaceDE w:val="0"/>
        <w:autoSpaceDN w:val="0"/>
        <w:adjustRightInd w:val="0"/>
        <w:spacing w:before="60" w:after="60" w:line="240" w:lineRule="auto"/>
        <w:jc w:val="both"/>
        <w:rPr>
          <w:rFonts w:cs="Georgia"/>
          <w:color w:val="000000"/>
        </w:rPr>
      </w:pPr>
    </w:p>
    <w:p w:rsidR="001C60E1" w:rsidRPr="001C60E1" w:rsidRDefault="001C60E1" w:rsidP="001C60E1">
      <w:pPr>
        <w:pStyle w:val="CM1"/>
        <w:spacing w:before="200" w:after="200"/>
        <w:jc w:val="both"/>
        <w:rPr>
          <w:rFonts w:asciiTheme="minorHAnsi" w:eastAsiaTheme="minorHAnsi" w:hAnsiTheme="minorHAnsi" w:cs="Georgia"/>
          <w:sz w:val="22"/>
          <w:szCs w:val="22"/>
        </w:rPr>
      </w:pPr>
      <w:r w:rsidRPr="001C60E1">
        <w:rPr>
          <w:rFonts w:asciiTheme="minorHAnsi" w:eastAsiaTheme="minorHAnsi" w:hAnsiTheme="minorHAnsi" w:cs="Georgia"/>
          <w:sz w:val="22"/>
          <w:szCs w:val="22"/>
        </w:rPr>
        <w:lastRenderedPageBreak/>
        <w:t>От друга страна РЕГЛАМЕНТ (ЕС) № 1303/2013 НА ЕВРОПЕЙСКИЯ ПАРЛАМЕНТ И НА СЪВЕТА от 17 декември 2013 година дели финансовите инструменти за подкрепа на дейности и крайни получатели, които</w:t>
      </w:r>
      <w:r w:rsidR="003F2979">
        <w:rPr>
          <w:rFonts w:asciiTheme="minorHAnsi" w:eastAsiaTheme="minorHAnsi" w:hAnsiTheme="minorHAnsi" w:cs="Georgia"/>
          <w:sz w:val="22"/>
          <w:szCs w:val="22"/>
        </w:rPr>
        <w:t xml:space="preserve"> са в съответствие с програмата</w:t>
      </w:r>
      <w:r w:rsidR="003F2979">
        <w:rPr>
          <w:rFonts w:asciiTheme="minorHAnsi" w:eastAsiaTheme="minorHAnsi" w:hAnsiTheme="minorHAnsi" w:cs="Georgia"/>
          <w:sz w:val="22"/>
          <w:szCs w:val="22"/>
          <w:lang w:val="en-US"/>
        </w:rPr>
        <w:t xml:space="preserve"> </w:t>
      </w:r>
      <w:r w:rsidRPr="001C60E1">
        <w:rPr>
          <w:rFonts w:asciiTheme="minorHAnsi" w:eastAsiaTheme="minorHAnsi" w:hAnsiTheme="minorHAnsi" w:cs="Georgia"/>
          <w:sz w:val="22"/>
          <w:szCs w:val="22"/>
        </w:rPr>
        <w:t>на два типа:</w:t>
      </w:r>
    </w:p>
    <w:p w:rsidR="001C60E1" w:rsidRPr="0012234C" w:rsidRDefault="00F73E88" w:rsidP="001A036E">
      <w:pPr>
        <w:numPr>
          <w:ilvl w:val="0"/>
          <w:numId w:val="72"/>
        </w:numPr>
        <w:autoSpaceDE w:val="0"/>
        <w:autoSpaceDN w:val="0"/>
        <w:adjustRightInd w:val="0"/>
        <w:spacing w:before="240" w:line="240" w:lineRule="auto"/>
        <w:jc w:val="both"/>
        <w:rPr>
          <w:rFonts w:cs="Georgia"/>
          <w:color w:val="000000"/>
        </w:rPr>
      </w:pPr>
      <w:r w:rsidRPr="0012234C">
        <w:rPr>
          <w:rFonts w:cs="Georgia"/>
          <w:color w:val="000000"/>
        </w:rPr>
        <w:t>Финансови инструменти, съответстващи на станд</w:t>
      </w:r>
      <w:r w:rsidR="0012234C" w:rsidRPr="0012234C">
        <w:rPr>
          <w:rFonts w:cs="Georgia"/>
          <w:color w:val="000000"/>
        </w:rPr>
        <w:t>артните условия, определени от К</w:t>
      </w:r>
      <w:r w:rsidRPr="0012234C">
        <w:rPr>
          <w:rFonts w:cs="Georgia"/>
          <w:color w:val="000000"/>
        </w:rPr>
        <w:t xml:space="preserve">омисията </w:t>
      </w:r>
      <w:r w:rsidRPr="0012234C">
        <w:rPr>
          <w:rFonts w:cs="Georgia"/>
          <w:color w:val="000000"/>
          <w:lang w:val="en-US"/>
        </w:rPr>
        <w:t xml:space="preserve"> </w:t>
      </w:r>
      <w:r w:rsidR="001C60E1" w:rsidRPr="0012234C">
        <w:rPr>
          <w:rFonts w:cs="Georgia"/>
          <w:color w:val="000000"/>
          <w:lang w:val="en-US"/>
        </w:rPr>
        <w:t>(off-the-shelf)</w:t>
      </w:r>
      <w:r w:rsidR="001C60E1" w:rsidRPr="0012234C">
        <w:rPr>
          <w:rFonts w:cs="Georgia"/>
          <w:color w:val="000000"/>
        </w:rPr>
        <w:t xml:space="preserve">, или </w:t>
      </w:r>
    </w:p>
    <w:p w:rsidR="001C60E1" w:rsidRPr="001C60E1" w:rsidRDefault="00F73E88" w:rsidP="001A036E">
      <w:pPr>
        <w:numPr>
          <w:ilvl w:val="0"/>
          <w:numId w:val="72"/>
        </w:numPr>
        <w:autoSpaceDE w:val="0"/>
        <w:autoSpaceDN w:val="0"/>
        <w:adjustRightInd w:val="0"/>
        <w:spacing w:before="240" w:line="240" w:lineRule="auto"/>
        <w:jc w:val="both"/>
        <w:rPr>
          <w:rFonts w:cs="Georgia"/>
          <w:color w:val="000000"/>
        </w:rPr>
      </w:pPr>
      <w:r>
        <w:rPr>
          <w:rFonts w:cs="Georgia"/>
          <w:color w:val="000000"/>
        </w:rPr>
        <w:t xml:space="preserve">Съществуващи или </w:t>
      </w:r>
      <w:r w:rsidR="001C60E1" w:rsidRPr="001C60E1">
        <w:rPr>
          <w:rFonts w:cs="Georgia"/>
          <w:color w:val="000000"/>
        </w:rPr>
        <w:t>новосъздадени финансови инструменти</w:t>
      </w:r>
      <w:r w:rsidR="001C60E1">
        <w:rPr>
          <w:rFonts w:cs="Georgia"/>
          <w:color w:val="000000"/>
        </w:rPr>
        <w:t xml:space="preserve"> </w:t>
      </w:r>
      <w:r w:rsidR="001C60E1">
        <w:rPr>
          <w:rFonts w:cs="Georgia"/>
          <w:color w:val="000000"/>
          <w:lang w:val="en-US"/>
        </w:rPr>
        <w:t>(tailor-made)</w:t>
      </w:r>
      <w:r w:rsidR="001C60E1" w:rsidRPr="001C60E1">
        <w:rPr>
          <w:rFonts w:cs="Georgia"/>
          <w:color w:val="000000"/>
        </w:rPr>
        <w:t>, които са специално разработени с цел постигане на специфичните цели, изложени в рамките на съответния приоритет.</w:t>
      </w:r>
    </w:p>
    <w:p w:rsidR="00147A9C" w:rsidRDefault="003F2979" w:rsidP="003F2979">
      <w:pPr>
        <w:jc w:val="both"/>
        <w:rPr>
          <w:rFonts w:cs="Georgia"/>
          <w:color w:val="000000"/>
        </w:rPr>
      </w:pPr>
      <w:r w:rsidRPr="00E907E4">
        <w:rPr>
          <w:rFonts w:cs="Georgia"/>
          <w:color w:val="000000"/>
        </w:rPr>
        <w:t>Възможните инструменти по отношение на техния вид и тип за сектор Отпадъци и сектор ВиК, както и обосновка за това са представени в следваща таблица:</w:t>
      </w:r>
    </w:p>
    <w:p w:rsidR="00E907E4" w:rsidRPr="00E907E4" w:rsidRDefault="00E907E4" w:rsidP="003F2979">
      <w:pPr>
        <w:jc w:val="both"/>
        <w:rPr>
          <w:rFonts w:cs="Georgia"/>
          <w:color w:val="000000"/>
        </w:rPr>
        <w:sectPr w:rsidR="00E907E4" w:rsidRPr="00E907E4" w:rsidSect="006E39EC">
          <w:pgSz w:w="11906" w:h="16838"/>
          <w:pgMar w:top="851" w:right="991" w:bottom="1560" w:left="1417" w:header="708" w:footer="94" w:gutter="0"/>
          <w:cols w:space="708"/>
          <w:titlePg/>
          <w:docGrid w:linePitch="360"/>
        </w:sectPr>
      </w:pPr>
    </w:p>
    <w:p w:rsidR="00221221" w:rsidRDefault="00221221" w:rsidP="003F2979">
      <w:pPr>
        <w:jc w:val="both"/>
        <w:rPr>
          <w:rFonts w:ascii="Calibri" w:eastAsia="Calibri" w:hAnsi="Calibri" w:cs="Times New Roman"/>
          <w:sz w:val="24"/>
          <w:szCs w:val="24"/>
        </w:rPr>
      </w:pPr>
    </w:p>
    <w:tbl>
      <w:tblPr>
        <w:tblStyle w:val="MediumGrid3-Accent52"/>
        <w:tblW w:w="0" w:type="auto"/>
        <w:tblLook w:val="04A0" w:firstRow="1" w:lastRow="0" w:firstColumn="1" w:lastColumn="0" w:noHBand="0" w:noVBand="1"/>
      </w:tblPr>
      <w:tblGrid>
        <w:gridCol w:w="1240"/>
        <w:gridCol w:w="1802"/>
        <w:gridCol w:w="2284"/>
        <w:gridCol w:w="9081"/>
      </w:tblGrid>
      <w:tr w:rsidR="003F2979" w:rsidRPr="00147A9C" w:rsidTr="00E907E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42" w:type="dxa"/>
          </w:tcPr>
          <w:p w:rsidR="003F2979" w:rsidRPr="00147A9C" w:rsidRDefault="003F2979" w:rsidP="003F2979">
            <w:pPr>
              <w:jc w:val="center"/>
              <w:rPr>
                <w:rFonts w:ascii="Calibri" w:eastAsia="Calibri" w:hAnsi="Calibri" w:cs="Times New Roman"/>
                <w:b w:val="0"/>
              </w:rPr>
            </w:pPr>
            <w:r w:rsidRPr="00147A9C">
              <w:rPr>
                <w:rFonts w:ascii="Calibri" w:eastAsia="Calibri" w:hAnsi="Calibri" w:cs="Times New Roman"/>
                <w:b w:val="0"/>
              </w:rPr>
              <w:t>Сектор</w:t>
            </w:r>
          </w:p>
        </w:tc>
        <w:tc>
          <w:tcPr>
            <w:tcW w:w="1812" w:type="dxa"/>
          </w:tcPr>
          <w:p w:rsidR="003F2979" w:rsidRPr="00147A9C" w:rsidRDefault="003F2979" w:rsidP="003F297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147A9C">
              <w:rPr>
                <w:rFonts w:ascii="Calibri" w:eastAsia="Calibri" w:hAnsi="Calibri" w:cs="Times New Roman"/>
                <w:b w:val="0"/>
              </w:rPr>
              <w:t>Финансов инструмент</w:t>
            </w:r>
          </w:p>
        </w:tc>
        <w:tc>
          <w:tcPr>
            <w:tcW w:w="2299" w:type="dxa"/>
          </w:tcPr>
          <w:p w:rsidR="003F2979" w:rsidRPr="00147A9C" w:rsidRDefault="003F2979" w:rsidP="003F297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147A9C">
              <w:rPr>
                <w:rFonts w:ascii="Calibri" w:eastAsia="Calibri" w:hAnsi="Calibri" w:cs="Times New Roman"/>
                <w:b w:val="0"/>
              </w:rPr>
              <w:t>Тип на инструмента</w:t>
            </w:r>
          </w:p>
        </w:tc>
        <w:tc>
          <w:tcPr>
            <w:tcW w:w="9214" w:type="dxa"/>
          </w:tcPr>
          <w:p w:rsidR="003F2979" w:rsidRPr="00147A9C" w:rsidRDefault="003F2979" w:rsidP="003F297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b w:val="0"/>
              </w:rPr>
            </w:pPr>
            <w:r w:rsidRPr="00147A9C">
              <w:rPr>
                <w:rFonts w:ascii="Calibri" w:eastAsia="Calibri" w:hAnsi="Calibri" w:cs="Times New Roman"/>
                <w:b w:val="0"/>
              </w:rPr>
              <w:t>Обосновка</w:t>
            </w:r>
          </w:p>
        </w:tc>
      </w:tr>
      <w:tr w:rsidR="003F2979" w:rsidRPr="00147A9C" w:rsidTr="00E907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Merge w:val="restart"/>
          </w:tcPr>
          <w:p w:rsidR="003F2979" w:rsidRPr="00147A9C" w:rsidRDefault="003F2979" w:rsidP="003F2979">
            <w:pPr>
              <w:rPr>
                <w:rFonts w:ascii="Calibri" w:eastAsia="Calibri" w:hAnsi="Calibri" w:cs="Times New Roman"/>
                <w:b w:val="0"/>
              </w:rPr>
            </w:pPr>
            <w:r w:rsidRPr="00147A9C">
              <w:rPr>
                <w:rFonts w:ascii="Calibri" w:eastAsia="Calibri" w:hAnsi="Calibri" w:cs="Times New Roman"/>
                <w:b w:val="0"/>
              </w:rPr>
              <w:t>Сектор Води</w:t>
            </w:r>
          </w:p>
        </w:tc>
        <w:tc>
          <w:tcPr>
            <w:tcW w:w="1812" w:type="dxa"/>
          </w:tcPr>
          <w:p w:rsidR="003F2979" w:rsidRPr="00147A9C" w:rsidRDefault="003F2979" w:rsidP="003F2979">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Заем</w:t>
            </w:r>
          </w:p>
        </w:tc>
        <w:tc>
          <w:tcPr>
            <w:tcW w:w="2299" w:type="dxa"/>
            <w:vMerge w:val="restart"/>
          </w:tcPr>
          <w:p w:rsidR="003F2979" w:rsidRPr="00147A9C" w:rsidRDefault="00F73E88" w:rsidP="00F73E88">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cs="Georgia"/>
                <w:color w:val="000000"/>
              </w:rPr>
              <w:t>Съществуващ или н</w:t>
            </w:r>
            <w:r w:rsidR="003F2979" w:rsidRPr="00147A9C">
              <w:rPr>
                <w:rFonts w:cs="Georgia"/>
                <w:color w:val="000000"/>
              </w:rPr>
              <w:t xml:space="preserve">овосъздаден финансов инструмент </w:t>
            </w:r>
            <w:r w:rsidR="003F2979" w:rsidRPr="00147A9C">
              <w:rPr>
                <w:rFonts w:cs="Georgia"/>
                <w:color w:val="000000"/>
                <w:lang w:val="en-US"/>
              </w:rPr>
              <w:t>(tailor-made)</w:t>
            </w:r>
          </w:p>
        </w:tc>
        <w:tc>
          <w:tcPr>
            <w:tcW w:w="9214" w:type="dxa"/>
          </w:tcPr>
          <w:p w:rsidR="003F2979" w:rsidRPr="00147A9C" w:rsidRDefault="0006680C" w:rsidP="00147A9C">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 xml:space="preserve">Предвид изключително големия инвестиционен недостиг в сектора, е необходимо част от разходите по отделните проекти </w:t>
            </w:r>
            <w:r w:rsidR="00147A9C" w:rsidRPr="00147A9C">
              <w:rPr>
                <w:rFonts w:ascii="Calibri" w:eastAsia="Calibri" w:hAnsi="Calibri" w:cs="Times New Roman"/>
              </w:rPr>
              <w:t xml:space="preserve">(20-25% в зависимост от обхвата на проекта и финансовия потенциал на ВиК дружеството), </w:t>
            </w:r>
            <w:r w:rsidRPr="00147A9C">
              <w:rPr>
                <w:rFonts w:ascii="Calibri" w:eastAsia="Calibri" w:hAnsi="Calibri" w:cs="Times New Roman"/>
              </w:rPr>
              <w:t>да бъдат съфинансирани чрез заем, отпускан</w:t>
            </w:r>
            <w:r w:rsidR="00794454" w:rsidRPr="00147A9C">
              <w:rPr>
                <w:rFonts w:ascii="Calibri" w:eastAsia="Calibri" w:hAnsi="Calibri" w:cs="Times New Roman"/>
              </w:rPr>
              <w:t>и</w:t>
            </w:r>
            <w:r w:rsidRPr="00147A9C">
              <w:rPr>
                <w:rFonts w:ascii="Calibri" w:eastAsia="Calibri" w:hAnsi="Calibri" w:cs="Times New Roman"/>
              </w:rPr>
              <w:t xml:space="preserve"> на съответн</w:t>
            </w:r>
            <w:r w:rsidR="00794454" w:rsidRPr="00147A9C">
              <w:rPr>
                <w:rFonts w:ascii="Calibri" w:eastAsia="Calibri" w:hAnsi="Calibri" w:cs="Times New Roman"/>
              </w:rPr>
              <w:t>ите</w:t>
            </w:r>
            <w:r w:rsidRPr="00147A9C">
              <w:rPr>
                <w:rFonts w:ascii="Calibri" w:eastAsia="Calibri" w:hAnsi="Calibri" w:cs="Times New Roman"/>
              </w:rPr>
              <w:t xml:space="preserve"> ВиК дружеств</w:t>
            </w:r>
            <w:r w:rsidR="00794454" w:rsidRPr="00147A9C">
              <w:rPr>
                <w:rFonts w:ascii="Calibri" w:eastAsia="Calibri" w:hAnsi="Calibri" w:cs="Times New Roman"/>
              </w:rPr>
              <w:t>а</w:t>
            </w:r>
            <w:r w:rsidRPr="00147A9C">
              <w:rPr>
                <w:rFonts w:ascii="Calibri" w:eastAsia="Calibri" w:hAnsi="Calibri" w:cs="Times New Roman"/>
              </w:rPr>
              <w:t xml:space="preserve"> – бенефициент</w:t>
            </w:r>
            <w:r w:rsidR="00794454" w:rsidRPr="00147A9C">
              <w:rPr>
                <w:rFonts w:ascii="Calibri" w:eastAsia="Calibri" w:hAnsi="Calibri" w:cs="Times New Roman"/>
              </w:rPr>
              <w:t>и</w:t>
            </w:r>
            <w:r w:rsidRPr="00147A9C">
              <w:rPr>
                <w:rFonts w:ascii="Calibri" w:eastAsia="Calibri" w:hAnsi="Calibri" w:cs="Times New Roman"/>
              </w:rPr>
              <w:t xml:space="preserve"> по ОПОС. </w:t>
            </w:r>
            <w:r w:rsidR="00794454" w:rsidRPr="00147A9C">
              <w:rPr>
                <w:rFonts w:ascii="Calibri" w:eastAsia="Calibri" w:hAnsi="Calibri" w:cs="Times New Roman"/>
              </w:rPr>
              <w:t>Тъй като в България Водният сектор е регулиран, финансовото състояние на ВиК операторите не им позволява да получат кредитиране от търговските банки на пазарни цени. Това обуславя нуждата да бъде предложен финансов инструмент, чрез който ВиК дружествата ще могат да осигурят по-голяма част необходимото съфинансиране на проектите при облекчени условия.</w:t>
            </w:r>
          </w:p>
          <w:p w:rsidR="00147A9C" w:rsidRDefault="00794454" w:rsidP="00147A9C">
            <w:pPr>
              <w:spacing w:before="24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От друга страна, поради спецификата на сектора, както и поради факта, че към настоящия момент в страната няма съществуващ финансов инструмент по смисъла на Регламент 1303/2013, е необходимо да бъде създаден самостоятелен такъв, който да е съобразен както с определените от ЕК условия, така и с конкретните нужди на ВиК операторите, които са публични търговски субекти.</w:t>
            </w:r>
          </w:p>
          <w:p w:rsidR="00147A9C" w:rsidRPr="00147A9C" w:rsidRDefault="00147A9C" w:rsidP="00147A9C">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r>
      <w:tr w:rsidR="003F2979" w:rsidRPr="00147A9C" w:rsidTr="00E907E4">
        <w:tc>
          <w:tcPr>
            <w:cnfStyle w:val="001000000000" w:firstRow="0" w:lastRow="0" w:firstColumn="1" w:lastColumn="0" w:oddVBand="0" w:evenVBand="0" w:oddHBand="0" w:evenHBand="0" w:firstRowFirstColumn="0" w:firstRowLastColumn="0" w:lastRowFirstColumn="0" w:lastRowLastColumn="0"/>
            <w:tcW w:w="1242" w:type="dxa"/>
            <w:vMerge/>
          </w:tcPr>
          <w:p w:rsidR="003F2979" w:rsidRPr="00147A9C" w:rsidRDefault="003F2979" w:rsidP="003F2979">
            <w:pPr>
              <w:rPr>
                <w:rFonts w:ascii="Calibri" w:eastAsia="Calibri" w:hAnsi="Calibri" w:cs="Times New Roman"/>
                <w:b w:val="0"/>
              </w:rPr>
            </w:pPr>
          </w:p>
        </w:tc>
        <w:tc>
          <w:tcPr>
            <w:tcW w:w="1812" w:type="dxa"/>
          </w:tcPr>
          <w:p w:rsidR="003F2979" w:rsidRPr="00147A9C" w:rsidRDefault="003F2979" w:rsidP="003F2979">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Гаранция</w:t>
            </w:r>
          </w:p>
        </w:tc>
        <w:tc>
          <w:tcPr>
            <w:tcW w:w="2299" w:type="dxa"/>
            <w:vMerge/>
          </w:tcPr>
          <w:p w:rsidR="003F2979" w:rsidRPr="00147A9C" w:rsidRDefault="003F2979" w:rsidP="003F2979">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c>
          <w:tcPr>
            <w:tcW w:w="9214" w:type="dxa"/>
          </w:tcPr>
          <w:p w:rsidR="003F2979" w:rsidRDefault="00794454" w:rsidP="00147A9C">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 xml:space="preserve">За увеличаване на т.нар. ливъридж ефект, както и отчитайки факта, че банковата система в страната  е достатъчно ликвидна, е възможно осигуряване на паралелно финансиране чрез създаване на гаранционен механизъм. Чрез него, търговските банки ще получат стимули да отпускат кредити </w:t>
            </w:r>
            <w:r w:rsidR="00147A9C">
              <w:rPr>
                <w:rFonts w:ascii="Calibri" w:eastAsia="Calibri" w:hAnsi="Calibri" w:cs="Times New Roman"/>
              </w:rPr>
              <w:t xml:space="preserve">(среден размер - 1,5 млн. евро) </w:t>
            </w:r>
            <w:r w:rsidRPr="00147A9C">
              <w:rPr>
                <w:rFonts w:ascii="Calibri" w:eastAsia="Calibri" w:hAnsi="Calibri" w:cs="Times New Roman"/>
              </w:rPr>
              <w:t>при облекчени условия на ВиК операторите, посредством които последните ще допълнят портфолиото от ресурс за съфинансиране на проектите в сектора</w:t>
            </w:r>
            <w:r w:rsidR="009B73A8" w:rsidRPr="00147A9C">
              <w:rPr>
                <w:rFonts w:ascii="Calibri" w:eastAsia="Calibri" w:hAnsi="Calibri" w:cs="Times New Roman"/>
              </w:rPr>
              <w:t>.</w:t>
            </w:r>
          </w:p>
          <w:p w:rsidR="00147A9C" w:rsidRPr="00147A9C" w:rsidRDefault="00147A9C" w:rsidP="00147A9C">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tc>
      </w:tr>
      <w:tr w:rsidR="003F2979" w:rsidRPr="00147A9C" w:rsidTr="00E907E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vMerge w:val="restart"/>
          </w:tcPr>
          <w:p w:rsidR="003F2979" w:rsidRPr="00147A9C" w:rsidRDefault="003F2979" w:rsidP="003F2979">
            <w:pPr>
              <w:rPr>
                <w:rFonts w:ascii="Calibri" w:eastAsia="Calibri" w:hAnsi="Calibri" w:cs="Times New Roman"/>
                <w:b w:val="0"/>
              </w:rPr>
            </w:pPr>
            <w:r w:rsidRPr="00147A9C">
              <w:rPr>
                <w:rFonts w:ascii="Calibri" w:eastAsia="Calibri" w:hAnsi="Calibri" w:cs="Times New Roman"/>
                <w:b w:val="0"/>
              </w:rPr>
              <w:t>Сектор Отпадъци</w:t>
            </w:r>
          </w:p>
        </w:tc>
        <w:tc>
          <w:tcPr>
            <w:tcW w:w="1812" w:type="dxa"/>
          </w:tcPr>
          <w:p w:rsidR="003F2979" w:rsidRPr="00147A9C" w:rsidRDefault="003F2979" w:rsidP="003F2979">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Гаранция</w:t>
            </w:r>
            <w:r w:rsidR="006413C6" w:rsidRPr="00147A9C">
              <w:rPr>
                <w:rFonts w:ascii="Calibri" w:eastAsia="Calibri" w:hAnsi="Calibri" w:cs="Times New Roman"/>
              </w:rPr>
              <w:t xml:space="preserve"> за МСП</w:t>
            </w:r>
            <w:r w:rsidR="006413C6" w:rsidRPr="00147A9C">
              <w:rPr>
                <w:rFonts w:ascii="Calibri" w:eastAsia="Calibri" w:hAnsi="Calibri" w:cs="Times New Roman"/>
                <w:lang w:val="en-US"/>
              </w:rPr>
              <w:t>*</w:t>
            </w:r>
          </w:p>
        </w:tc>
        <w:tc>
          <w:tcPr>
            <w:tcW w:w="2299" w:type="dxa"/>
          </w:tcPr>
          <w:p w:rsidR="003F2979" w:rsidRPr="00147A9C" w:rsidRDefault="0012234C" w:rsidP="0012234C">
            <w:pP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cs="Georgia"/>
                <w:color w:val="000000"/>
              </w:rPr>
              <w:t xml:space="preserve">Финансов инструмент, съответстващ на стандартните условия, определени </w:t>
            </w:r>
            <w:r w:rsidRPr="00147A9C">
              <w:rPr>
                <w:rFonts w:cs="Georgia"/>
                <w:color w:val="000000"/>
              </w:rPr>
              <w:lastRenderedPageBreak/>
              <w:t xml:space="preserve">от Комисията </w:t>
            </w:r>
            <w:r w:rsidRPr="00147A9C">
              <w:rPr>
                <w:rFonts w:cs="Georgia"/>
                <w:color w:val="000000"/>
                <w:lang w:val="en-US"/>
              </w:rPr>
              <w:t xml:space="preserve"> </w:t>
            </w:r>
            <w:r w:rsidR="003F2979" w:rsidRPr="00147A9C">
              <w:rPr>
                <w:rFonts w:cs="Georgia"/>
                <w:color w:val="000000"/>
                <w:lang w:val="en-US"/>
              </w:rPr>
              <w:t>(off-the-shelf)</w:t>
            </w:r>
          </w:p>
        </w:tc>
        <w:tc>
          <w:tcPr>
            <w:tcW w:w="9214" w:type="dxa"/>
          </w:tcPr>
          <w:p w:rsidR="003F2979" w:rsidRDefault="006413C6" w:rsidP="006413C6">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lastRenderedPageBreak/>
              <w:t>За финансиране на инвестиции в сектор отпадъци е възможно да се приложи гаранция, като финансов инструмент  съответстващ на стандартните условия, определени от ЕК. Принципите на такъв тип финансов инструмент са:</w:t>
            </w:r>
          </w:p>
          <w:p w:rsidR="00E907E4" w:rsidRDefault="00E907E4" w:rsidP="00E907E4">
            <w:pPr>
              <w:ind w:left="72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p w:rsidR="006413C6" w:rsidRPr="00147A9C" w:rsidRDefault="006413C6" w:rsidP="001A036E">
            <w:pPr>
              <w:numPr>
                <w:ilvl w:val="0"/>
                <w:numId w:val="73"/>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Съответствие с правилата за държавна помощ, т.е. няма нужда от нотифициране;</w:t>
            </w:r>
          </w:p>
          <w:p w:rsidR="006413C6" w:rsidRPr="00147A9C" w:rsidRDefault="006413C6" w:rsidP="001A036E">
            <w:pPr>
              <w:numPr>
                <w:ilvl w:val="0"/>
                <w:numId w:val="73"/>
              </w:numPr>
              <w:spacing w:before="24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lastRenderedPageBreak/>
              <w:t>Общи хармонизирани условия за кредитиране;</w:t>
            </w:r>
          </w:p>
          <w:p w:rsidR="006413C6" w:rsidRPr="00147A9C" w:rsidRDefault="006413C6" w:rsidP="001A036E">
            <w:pPr>
              <w:numPr>
                <w:ilvl w:val="0"/>
                <w:numId w:val="73"/>
              </w:numPr>
              <w:spacing w:before="24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Липса на припокриване със съществуващи финансови инструменти;</w:t>
            </w:r>
          </w:p>
          <w:p w:rsidR="006413C6" w:rsidRDefault="006413C6" w:rsidP="001A036E">
            <w:pPr>
              <w:numPr>
                <w:ilvl w:val="0"/>
                <w:numId w:val="73"/>
              </w:numPr>
              <w:spacing w:before="24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Изпълнение в съответствие с пазарната практика.</w:t>
            </w:r>
          </w:p>
          <w:p w:rsidR="00147A9C" w:rsidRPr="00147A9C" w:rsidRDefault="00147A9C" w:rsidP="00147A9C">
            <w:pPr>
              <w:ind w:left="72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p w:rsidR="006413C6" w:rsidRPr="00147A9C" w:rsidRDefault="006413C6" w:rsidP="00147A9C">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Основните характеристики на т.нар. ограничена гаранция са следните:</w:t>
            </w:r>
          </w:p>
          <w:p w:rsidR="006413C6" w:rsidRPr="00147A9C" w:rsidRDefault="006413C6" w:rsidP="001A036E">
            <w:pPr>
              <w:numPr>
                <w:ilvl w:val="0"/>
                <w:numId w:val="74"/>
              </w:numPr>
              <w:spacing w:before="24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Покритие на кредитния риск до определен лимит</w:t>
            </w:r>
            <w:r w:rsidR="00B66448" w:rsidRPr="00147A9C">
              <w:rPr>
                <w:rFonts w:ascii="Calibri" w:eastAsia="Calibri" w:hAnsi="Calibri" w:cs="Times New Roman"/>
              </w:rPr>
              <w:t>, което позволява на финансовия посредник да улесни достъпа на МСП до финансиране на преференциални условия;</w:t>
            </w:r>
          </w:p>
          <w:p w:rsidR="00B66448" w:rsidRP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Приносът на програмата към инструмента е обикновено между 5 и 30 млн. евро;</w:t>
            </w:r>
          </w:p>
          <w:p w:rsidR="00B66448" w:rsidRP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Таван на гаранцията – до 80% в зависимост от конкретния заем (кредитния риск в размер на не по-малко от 20% се поема от финансовия посредник)</w:t>
            </w:r>
          </w:p>
          <w:p w:rsidR="00B66448" w:rsidRP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 xml:space="preserve">Нивото на ограничение на гаранцията (т.нар. </w:t>
            </w:r>
            <w:r w:rsidRPr="00147A9C">
              <w:rPr>
                <w:rFonts w:ascii="Calibri" w:eastAsia="Calibri" w:hAnsi="Calibri" w:cs="Times New Roman"/>
                <w:lang w:val="en-US"/>
              </w:rPr>
              <w:t>“cap rate”</w:t>
            </w:r>
            <w:r w:rsidRPr="00147A9C">
              <w:rPr>
                <w:rFonts w:ascii="Calibri" w:eastAsia="Calibri" w:hAnsi="Calibri" w:cs="Times New Roman"/>
              </w:rPr>
              <w:t>) се определя предварително при оценката на риска, но не повече от 25%</w:t>
            </w:r>
          </w:p>
          <w:p w:rsidR="00B66448" w:rsidRP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Ливъридж – между 4 и 6 пъти</w:t>
            </w:r>
          </w:p>
          <w:p w:rsidR="00B66448" w:rsidRP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 xml:space="preserve">Не се счита за държавна помощ на нивото на финансовия посредник, а на нивото на МСП се прилага режим </w:t>
            </w:r>
            <w:r w:rsidRPr="00147A9C">
              <w:rPr>
                <w:rFonts w:ascii="Calibri" w:eastAsia="Calibri" w:hAnsi="Calibri" w:cs="Times New Roman"/>
                <w:lang w:val="en-US"/>
              </w:rPr>
              <w:t>de minimis</w:t>
            </w:r>
          </w:p>
          <w:p w:rsidR="00B66448" w:rsidRP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Цел на заема – финансиране на материални и нематериални активи и оборотен капитал, свързан с финансираната инвестиция;</w:t>
            </w:r>
          </w:p>
          <w:p w:rsidR="00B66448" w:rsidRP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Период на погасяване – между 1 и 10 години;</w:t>
            </w:r>
          </w:p>
          <w:p w:rsidR="00B66448" w:rsidRP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Стойност на заема – до 1,5 млн. евро</w:t>
            </w:r>
          </w:p>
          <w:p w:rsidR="00147A9C" w:rsidRDefault="00B66448" w:rsidP="001A036E">
            <w:pPr>
              <w:numPr>
                <w:ilvl w:val="0"/>
                <w:numId w:val="74"/>
              </w:num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Предимство за МСП – достъп до финансиране на преференциални условия (по-ниска лихва и такси за обслужване)</w:t>
            </w:r>
          </w:p>
          <w:p w:rsidR="00E907E4" w:rsidRPr="00147A9C" w:rsidRDefault="00E907E4" w:rsidP="00E907E4">
            <w:pPr>
              <w:ind w:left="720"/>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tc>
      </w:tr>
      <w:tr w:rsidR="003F2979" w:rsidRPr="00147A9C" w:rsidTr="00E907E4">
        <w:tc>
          <w:tcPr>
            <w:cnfStyle w:val="001000000000" w:firstRow="0" w:lastRow="0" w:firstColumn="1" w:lastColumn="0" w:oddVBand="0" w:evenVBand="0" w:oddHBand="0" w:evenHBand="0" w:firstRowFirstColumn="0" w:firstRowLastColumn="0" w:lastRowFirstColumn="0" w:lastRowLastColumn="0"/>
            <w:tcW w:w="1242" w:type="dxa"/>
            <w:vMerge/>
          </w:tcPr>
          <w:p w:rsidR="003F2979" w:rsidRPr="00147A9C" w:rsidRDefault="003F2979" w:rsidP="003F2979">
            <w:pPr>
              <w:rPr>
                <w:rFonts w:ascii="Calibri" w:eastAsia="Calibri" w:hAnsi="Calibri" w:cs="Times New Roman"/>
              </w:rPr>
            </w:pPr>
          </w:p>
        </w:tc>
        <w:tc>
          <w:tcPr>
            <w:tcW w:w="1812" w:type="dxa"/>
          </w:tcPr>
          <w:p w:rsidR="003F2979" w:rsidRPr="00147A9C" w:rsidRDefault="003F2979" w:rsidP="003F2979">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147A9C">
              <w:rPr>
                <w:rFonts w:ascii="Calibri" w:eastAsia="Calibri" w:hAnsi="Calibri" w:cs="Times New Roman"/>
              </w:rPr>
              <w:t>Гаранция</w:t>
            </w:r>
          </w:p>
        </w:tc>
        <w:tc>
          <w:tcPr>
            <w:tcW w:w="2299" w:type="dxa"/>
          </w:tcPr>
          <w:p w:rsidR="003F2979" w:rsidRPr="00147A9C" w:rsidRDefault="00F73E88" w:rsidP="00F73E88">
            <w:pP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sidRPr="00147A9C">
              <w:rPr>
                <w:rFonts w:cs="Georgia"/>
                <w:color w:val="000000"/>
              </w:rPr>
              <w:t>Съществуващ или н</w:t>
            </w:r>
            <w:r w:rsidR="003F2979" w:rsidRPr="00147A9C">
              <w:rPr>
                <w:rFonts w:cs="Georgia"/>
                <w:color w:val="000000"/>
              </w:rPr>
              <w:t xml:space="preserve">овосъздаден финансов инструмент </w:t>
            </w:r>
            <w:r w:rsidR="003F2979" w:rsidRPr="00147A9C">
              <w:rPr>
                <w:rFonts w:cs="Georgia"/>
                <w:color w:val="000000"/>
                <w:lang w:val="en-US"/>
              </w:rPr>
              <w:t>(tailor-made)</w:t>
            </w:r>
          </w:p>
        </w:tc>
        <w:tc>
          <w:tcPr>
            <w:tcW w:w="9214" w:type="dxa"/>
          </w:tcPr>
          <w:p w:rsidR="003F2979" w:rsidRDefault="00E907E4" w:rsidP="00E907E4">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Pr>
                <w:rFonts w:ascii="Calibri" w:eastAsia="Calibri" w:hAnsi="Calibri" w:cs="Times New Roman"/>
              </w:rPr>
              <w:t>Възможно да бъде създаден и гаранционен механизъм, чиито параметри да бъдат по-различни от тези на гореописаната гаранция за МСП по отношение стойността на заема</w:t>
            </w:r>
            <w:r w:rsidR="00E747A6">
              <w:rPr>
                <w:rFonts w:ascii="Calibri" w:eastAsia="Calibri" w:hAnsi="Calibri" w:cs="Times New Roman"/>
              </w:rPr>
              <w:t xml:space="preserve"> (напр. средно 2 млн. евро)</w:t>
            </w:r>
            <w:r>
              <w:rPr>
                <w:rFonts w:ascii="Calibri" w:eastAsia="Calibri" w:hAnsi="Calibri" w:cs="Times New Roman"/>
              </w:rPr>
              <w:t xml:space="preserve"> и потенциалните бенефициенти, тъй като общинските предприятия „Чистота” също биха могли да бъдат потенциални бенефициенти за мерки в сектор Отпадъци, но гаранцията, съответстваща на стандартните условия на Комисията не е приложима за тях, поради факта, че тези предприятия са дружества с публично участие и не се третират като МСП.</w:t>
            </w:r>
          </w:p>
          <w:p w:rsidR="00E907E4" w:rsidRPr="00147A9C" w:rsidRDefault="00E907E4" w:rsidP="00E907E4">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r>
              <w:rPr>
                <w:rFonts w:ascii="Calibri" w:eastAsia="Calibri" w:hAnsi="Calibri" w:cs="Times New Roman"/>
              </w:rPr>
              <w:t>В този случай, ще бъде необходимо да се приложи процедура по нотификация за държавна помощ, както е описано в т. 2.4. по-долу.</w:t>
            </w:r>
          </w:p>
        </w:tc>
      </w:tr>
    </w:tbl>
    <w:p w:rsidR="00E907E4" w:rsidRDefault="006413C6" w:rsidP="00E907E4">
      <w:pPr>
        <w:spacing w:before="240"/>
        <w:ind w:left="142" w:hanging="142"/>
        <w:jc w:val="both"/>
        <w:rPr>
          <w:rFonts w:ascii="Calibri" w:eastAsia="Calibri" w:hAnsi="Calibri" w:cs="Times New Roman"/>
          <w:sz w:val="20"/>
          <w:szCs w:val="20"/>
        </w:rPr>
      </w:pPr>
      <w:r>
        <w:rPr>
          <w:rFonts w:ascii="Calibri" w:eastAsia="Calibri" w:hAnsi="Calibri" w:cs="Times New Roman"/>
          <w:sz w:val="24"/>
          <w:szCs w:val="24"/>
          <w:lang w:val="en-US"/>
        </w:rPr>
        <w:t>*</w:t>
      </w:r>
      <w:r w:rsidRPr="00B66448">
        <w:rPr>
          <w:rFonts w:ascii="Calibri" w:eastAsia="Calibri" w:hAnsi="Calibri" w:cs="Times New Roman"/>
          <w:sz w:val="20"/>
          <w:szCs w:val="20"/>
        </w:rPr>
        <w:t xml:space="preserve">Предложената гаранция за МСП като </w:t>
      </w:r>
      <w:r w:rsidRPr="00B66448">
        <w:rPr>
          <w:rFonts w:ascii="Calibri" w:eastAsia="Calibri" w:hAnsi="Calibri" w:cs="Times New Roman"/>
          <w:sz w:val="20"/>
          <w:szCs w:val="20"/>
          <w:lang w:val="en-US"/>
        </w:rPr>
        <w:t>off-the-shelf</w:t>
      </w:r>
      <w:r w:rsidRPr="00B66448">
        <w:rPr>
          <w:rFonts w:ascii="Calibri" w:eastAsia="Calibri" w:hAnsi="Calibri" w:cs="Times New Roman"/>
          <w:sz w:val="20"/>
          <w:szCs w:val="20"/>
        </w:rPr>
        <w:t xml:space="preserve"> инструмент е приложима в случай, че се прилага за определени мерки/дейн</w:t>
      </w:r>
      <w:r w:rsidR="00147A9C">
        <w:rPr>
          <w:rFonts w:ascii="Calibri" w:eastAsia="Calibri" w:hAnsi="Calibri" w:cs="Times New Roman"/>
          <w:sz w:val="20"/>
          <w:szCs w:val="20"/>
        </w:rPr>
        <w:t xml:space="preserve">ости по ОПОС в сектор Отпадъци, които потенциално </w:t>
      </w:r>
      <w:r w:rsidR="00E907E4">
        <w:rPr>
          <w:rFonts w:ascii="Calibri" w:eastAsia="Calibri" w:hAnsi="Calibri" w:cs="Times New Roman"/>
          <w:sz w:val="20"/>
          <w:szCs w:val="20"/>
        </w:rPr>
        <w:t xml:space="preserve">ще </w:t>
      </w:r>
      <w:r w:rsidR="00147A9C">
        <w:rPr>
          <w:rFonts w:ascii="Calibri" w:eastAsia="Calibri" w:hAnsi="Calibri" w:cs="Times New Roman"/>
          <w:sz w:val="20"/>
          <w:szCs w:val="20"/>
        </w:rPr>
        <w:t xml:space="preserve">носят печалба на бенефициенти </w:t>
      </w:r>
      <w:r w:rsidRPr="00B66448">
        <w:rPr>
          <w:rFonts w:ascii="Calibri" w:eastAsia="Calibri" w:hAnsi="Calibri" w:cs="Times New Roman"/>
          <w:sz w:val="20"/>
          <w:szCs w:val="20"/>
        </w:rPr>
        <w:t xml:space="preserve">МСП – самостоятелно </w:t>
      </w:r>
      <w:r w:rsidR="00E907E4">
        <w:rPr>
          <w:rFonts w:ascii="Calibri" w:eastAsia="Calibri" w:hAnsi="Calibri" w:cs="Times New Roman"/>
          <w:sz w:val="20"/>
          <w:szCs w:val="20"/>
        </w:rPr>
        <w:t>или чрез участие в ПЧП с община. В случай на ПЧП кредитополучателят също следва да бъде МСП, тъй като то ще е субектът, който ще оперира с изградената инфраструктура и ще реализира приходи от стопанска дейност.</w:t>
      </w:r>
    </w:p>
    <w:p w:rsidR="00E907E4" w:rsidRPr="00E907E4" w:rsidRDefault="00E907E4" w:rsidP="00E907E4">
      <w:pPr>
        <w:spacing w:before="240"/>
        <w:ind w:left="142" w:hanging="142"/>
        <w:jc w:val="both"/>
        <w:rPr>
          <w:rFonts w:ascii="Calibri" w:eastAsia="Calibri" w:hAnsi="Calibri" w:cs="Times New Roman"/>
          <w:sz w:val="20"/>
          <w:szCs w:val="20"/>
        </w:rPr>
        <w:sectPr w:rsidR="00E907E4" w:rsidRPr="00E907E4" w:rsidSect="006E39EC">
          <w:pgSz w:w="16838" w:h="11906" w:orient="landscape"/>
          <w:pgMar w:top="1417" w:right="851" w:bottom="991" w:left="1560" w:header="708" w:footer="94" w:gutter="0"/>
          <w:cols w:space="708"/>
          <w:titlePg/>
          <w:docGrid w:linePitch="360"/>
        </w:sectPr>
      </w:pPr>
    </w:p>
    <w:p w:rsidR="00315141" w:rsidRPr="00977AE5" w:rsidRDefault="00977AE5" w:rsidP="00977AE5">
      <w:pPr>
        <w:keepNext/>
        <w:keepLines/>
        <w:spacing w:before="120" w:after="120"/>
        <w:outlineLvl w:val="2"/>
        <w:rPr>
          <w:rFonts w:ascii="Calibri" w:eastAsia="Calibri" w:hAnsi="Calibri" w:cs="Times New Roman"/>
          <w:color w:val="243F60"/>
          <w:sz w:val="24"/>
          <w:szCs w:val="24"/>
        </w:rPr>
      </w:pPr>
      <w:bookmarkStart w:id="121" w:name="_Toc399494541"/>
      <w:r w:rsidRPr="00977AE5">
        <w:rPr>
          <w:rFonts w:ascii="Calibri" w:eastAsia="Calibri" w:hAnsi="Calibri" w:cs="Times New Roman"/>
          <w:color w:val="243F60"/>
          <w:sz w:val="24"/>
          <w:szCs w:val="24"/>
        </w:rPr>
        <w:lastRenderedPageBreak/>
        <w:t>2.1.</w:t>
      </w:r>
      <w:r>
        <w:rPr>
          <w:rFonts w:ascii="Calibri" w:eastAsia="Calibri" w:hAnsi="Calibri" w:cs="Times New Roman"/>
          <w:color w:val="243F60"/>
          <w:sz w:val="24"/>
          <w:szCs w:val="24"/>
        </w:rPr>
        <w:t>2</w:t>
      </w:r>
      <w:r w:rsidRPr="00977AE5">
        <w:rPr>
          <w:rFonts w:ascii="Calibri" w:eastAsia="Calibri" w:hAnsi="Calibri" w:cs="Times New Roman"/>
          <w:color w:val="243F60"/>
          <w:sz w:val="24"/>
          <w:szCs w:val="24"/>
        </w:rPr>
        <w:t>. Оценка на количественото измерение на добавената стойност</w:t>
      </w:r>
      <w:bookmarkEnd w:id="121"/>
      <w:r w:rsidRPr="00977AE5">
        <w:rPr>
          <w:rFonts w:ascii="Calibri" w:eastAsia="Calibri" w:hAnsi="Calibri" w:cs="Times New Roman"/>
          <w:color w:val="243F60"/>
          <w:sz w:val="24"/>
          <w:szCs w:val="24"/>
        </w:rPr>
        <w:t xml:space="preserve"> </w:t>
      </w:r>
    </w:p>
    <w:p w:rsidR="00D07F67" w:rsidRDefault="00D07F67" w:rsidP="00315141">
      <w:pPr>
        <w:autoSpaceDE w:val="0"/>
        <w:autoSpaceDN w:val="0"/>
        <w:adjustRightInd w:val="0"/>
        <w:spacing w:after="0" w:line="240" w:lineRule="auto"/>
        <w:rPr>
          <w:rFonts w:cs="Georgia"/>
          <w:color w:val="000000"/>
        </w:rPr>
      </w:pPr>
      <w:r>
        <w:rPr>
          <w:rFonts w:cs="Georgia"/>
          <w:color w:val="000000"/>
        </w:rPr>
        <w:t>Количественото измерение на добавената стойност следва да бъде анализирана по отношение на:</w:t>
      </w:r>
    </w:p>
    <w:p w:rsidR="00D07F67" w:rsidRDefault="00C34428" w:rsidP="001A036E">
      <w:pPr>
        <w:pStyle w:val="HTMLPreformatted"/>
        <w:numPr>
          <w:ilvl w:val="0"/>
          <w:numId w:val="75"/>
        </w:numPr>
        <w:shd w:val="clear" w:color="auto" w:fill="FFFFFF"/>
        <w:spacing w:before="240"/>
        <w:jc w:val="both"/>
        <w:rPr>
          <w:rFonts w:asciiTheme="minorHAnsi" w:eastAsiaTheme="minorHAnsi" w:hAnsiTheme="minorHAnsi" w:cs="Georgia"/>
          <w:color w:val="000000"/>
          <w:sz w:val="22"/>
          <w:szCs w:val="22"/>
          <w:lang w:eastAsia="en-US"/>
        </w:rPr>
      </w:pPr>
      <w:r>
        <w:rPr>
          <w:rFonts w:asciiTheme="minorHAnsi" w:eastAsiaTheme="minorHAnsi" w:hAnsiTheme="minorHAnsi" w:cs="Georgia"/>
          <w:color w:val="000000"/>
          <w:sz w:val="22"/>
          <w:szCs w:val="22"/>
          <w:lang w:eastAsia="en-US"/>
        </w:rPr>
        <w:t>Ефект на лоста</w:t>
      </w:r>
      <w:r w:rsidR="00D07F67" w:rsidRPr="00D07F67">
        <w:rPr>
          <w:rFonts w:asciiTheme="minorHAnsi" w:eastAsiaTheme="minorHAnsi" w:hAnsiTheme="minorHAnsi" w:cs="Georgia"/>
          <w:color w:val="000000"/>
          <w:sz w:val="22"/>
          <w:szCs w:val="22"/>
          <w:lang w:eastAsia="en-US"/>
        </w:rPr>
        <w:t xml:space="preserve"> на приноса на ЕС за допълнителни вноски към инвестиционните</w:t>
      </w:r>
      <w:r w:rsidR="00D07F67">
        <w:rPr>
          <w:rFonts w:asciiTheme="minorHAnsi" w:eastAsiaTheme="minorHAnsi" w:hAnsiTheme="minorHAnsi" w:cs="Georgia"/>
          <w:color w:val="000000"/>
          <w:sz w:val="22"/>
          <w:szCs w:val="22"/>
          <w:lang w:eastAsia="en-US"/>
        </w:rPr>
        <w:t xml:space="preserve"> </w:t>
      </w:r>
      <w:r w:rsidR="004759DB">
        <w:rPr>
          <w:rFonts w:asciiTheme="minorHAnsi" w:eastAsiaTheme="minorHAnsi" w:hAnsiTheme="minorHAnsi" w:cs="Georgia"/>
          <w:color w:val="000000"/>
          <w:sz w:val="22"/>
          <w:szCs w:val="22"/>
          <w:lang w:eastAsia="en-US"/>
        </w:rPr>
        <w:t xml:space="preserve">проекти </w:t>
      </w:r>
      <w:r w:rsidR="00D07F67">
        <w:rPr>
          <w:rFonts w:asciiTheme="minorHAnsi" w:eastAsiaTheme="minorHAnsi" w:hAnsiTheme="minorHAnsi" w:cs="Georgia"/>
          <w:color w:val="000000"/>
          <w:sz w:val="22"/>
          <w:szCs w:val="22"/>
          <w:lang w:eastAsia="en-US"/>
        </w:rPr>
        <w:t>на всички нива, вкл. до нивото на крайния бенефициент. Колкото по-висок е ефектът на лоста на финансовия инструмент, толкова по-голяма е добавената стойност</w:t>
      </w:r>
      <w:r w:rsidR="004759DB">
        <w:rPr>
          <w:rFonts w:asciiTheme="minorHAnsi" w:eastAsiaTheme="minorHAnsi" w:hAnsiTheme="minorHAnsi" w:cs="Georgia"/>
          <w:color w:val="000000"/>
          <w:sz w:val="22"/>
          <w:szCs w:val="22"/>
          <w:lang w:eastAsia="en-US"/>
        </w:rPr>
        <w:t>;</w:t>
      </w:r>
    </w:p>
    <w:p w:rsidR="00D07F67" w:rsidRDefault="001C2CFD" w:rsidP="001A036E">
      <w:pPr>
        <w:pStyle w:val="HTMLPreformatted"/>
        <w:numPr>
          <w:ilvl w:val="0"/>
          <w:numId w:val="75"/>
        </w:numPr>
        <w:shd w:val="clear" w:color="auto" w:fill="FFFFFF"/>
        <w:spacing w:before="240"/>
        <w:jc w:val="both"/>
        <w:rPr>
          <w:rFonts w:asciiTheme="minorHAnsi" w:eastAsiaTheme="minorHAnsi" w:hAnsiTheme="minorHAnsi" w:cs="Georgia"/>
          <w:color w:val="000000"/>
          <w:sz w:val="22"/>
          <w:szCs w:val="22"/>
          <w:lang w:eastAsia="en-US"/>
        </w:rPr>
      </w:pPr>
      <w:r>
        <w:rPr>
          <w:rFonts w:asciiTheme="minorHAnsi" w:eastAsiaTheme="minorHAnsi" w:hAnsiTheme="minorHAnsi" w:cs="Georgia"/>
          <w:color w:val="000000"/>
          <w:sz w:val="22"/>
          <w:szCs w:val="22"/>
          <w:lang w:eastAsia="en-US"/>
        </w:rPr>
        <w:t>Интензитет</w:t>
      </w:r>
      <w:r w:rsidR="00D07F67">
        <w:rPr>
          <w:rFonts w:asciiTheme="minorHAnsi" w:eastAsiaTheme="minorHAnsi" w:hAnsiTheme="minorHAnsi" w:cs="Georgia"/>
          <w:color w:val="000000"/>
          <w:sz w:val="22"/>
          <w:szCs w:val="22"/>
          <w:lang w:eastAsia="en-US"/>
        </w:rPr>
        <w:t xml:space="preserve"> на субсидията на финансовия инструмент. Колкото по-малък е интензитетът на </w:t>
      </w:r>
      <w:r>
        <w:rPr>
          <w:rFonts w:asciiTheme="minorHAnsi" w:eastAsiaTheme="minorHAnsi" w:hAnsiTheme="minorHAnsi" w:cs="Georgia"/>
          <w:color w:val="000000"/>
          <w:sz w:val="22"/>
          <w:szCs w:val="22"/>
          <w:lang w:eastAsia="en-US"/>
        </w:rPr>
        <w:t xml:space="preserve">субсидията за </w:t>
      </w:r>
      <w:r w:rsidR="00D07F67">
        <w:rPr>
          <w:rFonts w:asciiTheme="minorHAnsi" w:eastAsiaTheme="minorHAnsi" w:hAnsiTheme="minorHAnsi" w:cs="Georgia"/>
          <w:color w:val="000000"/>
          <w:sz w:val="22"/>
          <w:szCs w:val="22"/>
          <w:lang w:eastAsia="en-US"/>
        </w:rPr>
        <w:t>даден проект или група проекти, толкова по-висока е добавената стойност;</w:t>
      </w:r>
    </w:p>
    <w:p w:rsidR="00D07F67" w:rsidRDefault="001C2CFD" w:rsidP="001A036E">
      <w:pPr>
        <w:pStyle w:val="HTMLPreformatted"/>
        <w:numPr>
          <w:ilvl w:val="0"/>
          <w:numId w:val="75"/>
        </w:numPr>
        <w:shd w:val="clear" w:color="auto" w:fill="FFFFFF"/>
        <w:spacing w:before="240"/>
        <w:jc w:val="both"/>
        <w:rPr>
          <w:rFonts w:asciiTheme="minorHAnsi" w:eastAsiaTheme="minorHAnsi" w:hAnsiTheme="minorHAnsi" w:cs="Georgia"/>
          <w:color w:val="000000"/>
          <w:sz w:val="22"/>
          <w:szCs w:val="22"/>
          <w:lang w:eastAsia="en-US"/>
        </w:rPr>
      </w:pPr>
      <w:r>
        <w:rPr>
          <w:rFonts w:asciiTheme="minorHAnsi" w:eastAsiaTheme="minorHAnsi" w:hAnsiTheme="minorHAnsi" w:cs="Georgia"/>
          <w:color w:val="000000"/>
          <w:sz w:val="22"/>
          <w:szCs w:val="22"/>
          <w:lang w:eastAsia="en-US"/>
        </w:rPr>
        <w:t>Револвиращ</w:t>
      </w:r>
      <w:r w:rsidR="00D07F67">
        <w:rPr>
          <w:rFonts w:asciiTheme="minorHAnsi" w:eastAsiaTheme="minorHAnsi" w:hAnsiTheme="minorHAnsi" w:cs="Georgia"/>
          <w:color w:val="000000"/>
          <w:sz w:val="22"/>
          <w:szCs w:val="22"/>
          <w:lang w:eastAsia="en-US"/>
        </w:rPr>
        <w:t xml:space="preserve"> ефект, позволяващ рециклирането на фондовете; и</w:t>
      </w:r>
    </w:p>
    <w:p w:rsidR="00D07F67" w:rsidRPr="00D07F67" w:rsidRDefault="001C2CFD" w:rsidP="001A036E">
      <w:pPr>
        <w:pStyle w:val="HTMLPreformatted"/>
        <w:numPr>
          <w:ilvl w:val="0"/>
          <w:numId w:val="75"/>
        </w:numPr>
        <w:shd w:val="clear" w:color="auto" w:fill="FFFFFF"/>
        <w:spacing w:before="240"/>
        <w:jc w:val="both"/>
        <w:rPr>
          <w:rFonts w:asciiTheme="minorHAnsi" w:eastAsiaTheme="minorHAnsi" w:hAnsiTheme="minorHAnsi" w:cs="Georgia"/>
          <w:color w:val="000000"/>
          <w:sz w:val="22"/>
          <w:szCs w:val="22"/>
          <w:lang w:eastAsia="en-US"/>
        </w:rPr>
      </w:pPr>
      <w:r>
        <w:rPr>
          <w:rFonts w:asciiTheme="minorHAnsi" w:eastAsiaTheme="minorHAnsi" w:hAnsiTheme="minorHAnsi" w:cs="Georgia"/>
          <w:color w:val="000000"/>
          <w:sz w:val="22"/>
          <w:szCs w:val="22"/>
          <w:lang w:eastAsia="en-US"/>
        </w:rPr>
        <w:t>Допълнителен</w:t>
      </w:r>
      <w:r w:rsidR="00D07F67">
        <w:rPr>
          <w:rFonts w:asciiTheme="minorHAnsi" w:eastAsiaTheme="minorHAnsi" w:hAnsiTheme="minorHAnsi" w:cs="Georgia"/>
          <w:color w:val="000000"/>
          <w:sz w:val="22"/>
          <w:szCs w:val="22"/>
          <w:lang w:eastAsia="en-US"/>
        </w:rPr>
        <w:t xml:space="preserve"> принос на кра</w:t>
      </w:r>
      <w:r w:rsidR="005B0A7C">
        <w:rPr>
          <w:rFonts w:asciiTheme="minorHAnsi" w:eastAsiaTheme="minorHAnsi" w:hAnsiTheme="minorHAnsi" w:cs="Georgia"/>
          <w:color w:val="000000"/>
          <w:sz w:val="22"/>
          <w:szCs w:val="22"/>
          <w:lang w:eastAsia="en-US"/>
        </w:rPr>
        <w:t>й</w:t>
      </w:r>
      <w:r w:rsidR="00D07F67">
        <w:rPr>
          <w:rFonts w:asciiTheme="minorHAnsi" w:eastAsiaTheme="minorHAnsi" w:hAnsiTheme="minorHAnsi" w:cs="Georgia"/>
          <w:color w:val="000000"/>
          <w:sz w:val="22"/>
          <w:szCs w:val="22"/>
          <w:lang w:eastAsia="en-US"/>
        </w:rPr>
        <w:t>ните получатели, тъй като той се изключва от изчисленията на ефекта на лоста.</w:t>
      </w:r>
    </w:p>
    <w:p w:rsidR="00315141" w:rsidRDefault="00315141" w:rsidP="00315141">
      <w:pPr>
        <w:autoSpaceDE w:val="0"/>
        <w:autoSpaceDN w:val="0"/>
        <w:adjustRightInd w:val="0"/>
        <w:spacing w:after="0" w:line="240" w:lineRule="auto"/>
        <w:rPr>
          <w:rFonts w:cs="Georgia"/>
          <w:color w:val="000000"/>
        </w:rPr>
      </w:pPr>
    </w:p>
    <w:p w:rsidR="005B0A7C" w:rsidRDefault="005B0A7C" w:rsidP="00315141">
      <w:pPr>
        <w:autoSpaceDE w:val="0"/>
        <w:autoSpaceDN w:val="0"/>
        <w:adjustRightInd w:val="0"/>
        <w:spacing w:after="0" w:line="240" w:lineRule="auto"/>
        <w:rPr>
          <w:rFonts w:cs="Georgia"/>
          <w:color w:val="000000"/>
        </w:rPr>
      </w:pPr>
      <w:r>
        <w:rPr>
          <w:rFonts w:cs="Georgia"/>
          <w:color w:val="000000"/>
        </w:rPr>
        <w:t>Оперативна програма „Околна среда 2014-2020 г.” попада в третия сценарий, както е посочено в т. 4.1.1. от том 1 на Методология за предварителна оценка, а именно:</w:t>
      </w:r>
    </w:p>
    <w:p w:rsidR="005B0A7C" w:rsidRDefault="005B0A7C" w:rsidP="00315141">
      <w:pPr>
        <w:autoSpaceDE w:val="0"/>
        <w:autoSpaceDN w:val="0"/>
        <w:adjustRightInd w:val="0"/>
        <w:spacing w:after="0" w:line="240" w:lineRule="auto"/>
        <w:rPr>
          <w:rFonts w:cs="Georgia"/>
          <w:color w:val="000000"/>
        </w:rPr>
      </w:pPr>
    </w:p>
    <w:p w:rsidR="005B0A7C" w:rsidRDefault="00896C88" w:rsidP="00315141">
      <w:pPr>
        <w:autoSpaceDE w:val="0"/>
        <w:autoSpaceDN w:val="0"/>
        <w:adjustRightInd w:val="0"/>
        <w:spacing w:after="0" w:line="240" w:lineRule="auto"/>
        <w:rPr>
          <w:rFonts w:cs="Georgia"/>
          <w:color w:val="000000"/>
        </w:rPr>
      </w:pPr>
      <w:r>
        <w:rPr>
          <w:noProof/>
          <w:lang w:eastAsia="bg-BG"/>
        </w:rPr>
        <mc:AlternateContent>
          <mc:Choice Requires="wps">
            <w:drawing>
              <wp:anchor distT="0" distB="0" distL="114300" distR="114300" simplePos="0" relativeHeight="251676672" behindDoc="0" locked="0" layoutInCell="1" allowOverlap="1" wp14:anchorId="32C7A78A">
                <wp:simplePos x="0" y="0"/>
                <wp:positionH relativeFrom="column">
                  <wp:posOffset>-16510</wp:posOffset>
                </wp:positionH>
                <wp:positionV relativeFrom="paragraph">
                  <wp:posOffset>66040</wp:posOffset>
                </wp:positionV>
                <wp:extent cx="5979160" cy="445135"/>
                <wp:effectExtent l="0" t="0" r="40640" b="50165"/>
                <wp:wrapSquare wrapText="bothSides"/>
                <wp:docPr id="202"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9160" cy="445135"/>
                        </a:xfrm>
                        <a:prstGeom prst="rect">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EA2176" w:rsidRDefault="00EA2176" w:rsidP="00C34428">
                            <w:pPr>
                              <w:autoSpaceDE w:val="0"/>
                              <w:autoSpaceDN w:val="0"/>
                              <w:adjustRightInd w:val="0"/>
                              <w:spacing w:after="0" w:line="240" w:lineRule="auto"/>
                              <w:jc w:val="center"/>
                              <w:rPr>
                                <w:rFonts w:cs="Georgia"/>
                                <w:b/>
                                <w:color w:val="000000"/>
                              </w:rPr>
                            </w:pPr>
                            <w:r w:rsidRPr="005B0A7C">
                              <w:rPr>
                                <w:rFonts w:cs="Georgia"/>
                                <w:b/>
                                <w:color w:val="000000"/>
                              </w:rPr>
                              <w:t>Финансов инструмент сравнен с</w:t>
                            </w:r>
                            <w:r>
                              <w:rPr>
                                <w:rFonts w:cs="Georgia"/>
                                <w:b/>
                                <w:color w:val="000000"/>
                              </w:rPr>
                              <w:t xml:space="preserve">ъс </w:t>
                            </w:r>
                            <w:r w:rsidRPr="005B0A7C">
                              <w:rPr>
                                <w:rFonts w:cs="Georgia"/>
                                <w:b/>
                                <w:color w:val="000000"/>
                              </w:rPr>
                              <w:t>схема</w:t>
                            </w:r>
                            <w:r>
                              <w:rPr>
                                <w:rFonts w:cs="Georgia"/>
                                <w:b/>
                                <w:color w:val="000000"/>
                              </w:rPr>
                              <w:t xml:space="preserve"> за БФП</w:t>
                            </w:r>
                            <w:r w:rsidRPr="005B0A7C">
                              <w:rPr>
                                <w:rFonts w:cs="Georgia"/>
                                <w:b/>
                                <w:color w:val="000000"/>
                              </w:rPr>
                              <w:t xml:space="preserve"> в по-сабо развитите региони на ЕС</w:t>
                            </w:r>
                          </w:p>
                          <w:p w:rsidR="00EA2176" w:rsidRPr="007E1FA0" w:rsidRDefault="00EA2176" w:rsidP="00C34428">
                            <w:pPr>
                              <w:autoSpaceDE w:val="0"/>
                              <w:autoSpaceDN w:val="0"/>
                              <w:adjustRightInd w:val="0"/>
                              <w:spacing w:after="0" w:line="240" w:lineRule="auto"/>
                              <w:jc w:val="center"/>
                              <w:rPr>
                                <w:rFonts w:cs="Georgia"/>
                                <w:b/>
                                <w:color w:val="000000"/>
                              </w:rPr>
                            </w:pPr>
                            <w:r>
                              <w:rPr>
                                <w:rFonts w:cs="Georgia"/>
                                <w:b/>
                                <w:color w:val="000000"/>
                              </w:rPr>
                              <w:t>Помощта от ЕСИФ подкрепя 85% от допустимите разходи, а националното финансиране – 15%</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2C7A78A" id="Text Box 129" o:spid="_x0000_s1029" type="#_x0000_t202" style="position:absolute;margin-left:-1.3pt;margin-top:5.2pt;width:470.8pt;height:35.05pt;z-index:2516766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" fillcolor="#8eaadb [1944]" strokecolor="#8eaadb [1944]" strokeweight="1pt">
                <v:fill color2="#d9e2f3 [664]" angle="135" focus="50%" type="gradient"/>
                <v:shadow on="t" color="#1f3763 [1608]" opacity=".5" offset="1pt"/>
                <v:textbox style="mso-fit-shape-to-text:t">
                  <w:txbxContent>
                    <w:p w:rsidR="00EA2176" w:rsidRDefault="00EA2176" w:rsidP="00C34428">
                      <w:pPr>
                        <w:autoSpaceDE w:val="0"/>
                        <w:autoSpaceDN w:val="0"/>
                        <w:adjustRightInd w:val="0"/>
                        <w:spacing w:after="0" w:line="240" w:lineRule="auto"/>
                        <w:jc w:val="center"/>
                        <w:rPr>
                          <w:rFonts w:cs="Georgia"/>
                          <w:b/>
                          <w:color w:val="000000"/>
                        </w:rPr>
                      </w:pPr>
                      <w:r w:rsidRPr="005B0A7C">
                        <w:rPr>
                          <w:rFonts w:cs="Georgia"/>
                          <w:b/>
                          <w:color w:val="000000"/>
                        </w:rPr>
                        <w:t>Финансов инструмент сравнен с</w:t>
                      </w:r>
                      <w:r>
                        <w:rPr>
                          <w:rFonts w:cs="Georgia"/>
                          <w:b/>
                          <w:color w:val="000000"/>
                        </w:rPr>
                        <w:t xml:space="preserve">ъс </w:t>
                      </w:r>
                      <w:r w:rsidRPr="005B0A7C">
                        <w:rPr>
                          <w:rFonts w:cs="Georgia"/>
                          <w:b/>
                          <w:color w:val="000000"/>
                        </w:rPr>
                        <w:t>схема</w:t>
                      </w:r>
                      <w:r>
                        <w:rPr>
                          <w:rFonts w:cs="Georgia"/>
                          <w:b/>
                          <w:color w:val="000000"/>
                        </w:rPr>
                        <w:t xml:space="preserve"> за БФП</w:t>
                      </w:r>
                      <w:r w:rsidRPr="005B0A7C">
                        <w:rPr>
                          <w:rFonts w:cs="Georgia"/>
                          <w:b/>
                          <w:color w:val="000000"/>
                        </w:rPr>
                        <w:t xml:space="preserve"> в по-сабо развитите региони на ЕС</w:t>
                      </w:r>
                    </w:p>
                    <w:p w:rsidR="00EA2176" w:rsidRPr="007E1FA0" w:rsidRDefault="00EA2176" w:rsidP="00C34428">
                      <w:pPr>
                        <w:autoSpaceDE w:val="0"/>
                        <w:autoSpaceDN w:val="0"/>
                        <w:adjustRightInd w:val="0"/>
                        <w:spacing w:after="0" w:line="240" w:lineRule="auto"/>
                        <w:jc w:val="center"/>
                        <w:rPr>
                          <w:rFonts w:cs="Georgia"/>
                          <w:b/>
                          <w:color w:val="000000"/>
                        </w:rPr>
                      </w:pPr>
                      <w:r>
                        <w:rPr>
                          <w:rFonts w:cs="Georgia"/>
                          <w:b/>
                          <w:color w:val="000000"/>
                        </w:rPr>
                        <w:t>Помощта от ЕСИФ подкрепя 85% от допустимите разходи, а националното финансиране – 15%</w:t>
                      </w:r>
                    </w:p>
                  </w:txbxContent>
                </v:textbox>
                <w10:wrap type="square"/>
              </v:shape>
            </w:pict>
          </mc:Fallback>
        </mc:AlternateContent>
      </w:r>
    </w:p>
    <w:p w:rsidR="005B0A7C" w:rsidRDefault="004759DB" w:rsidP="00315141">
      <w:pPr>
        <w:autoSpaceDE w:val="0"/>
        <w:autoSpaceDN w:val="0"/>
        <w:adjustRightInd w:val="0"/>
        <w:spacing w:after="0" w:line="240" w:lineRule="auto"/>
        <w:rPr>
          <w:rFonts w:cs="Georgia"/>
          <w:color w:val="000000"/>
        </w:rPr>
      </w:pPr>
      <w:r>
        <w:rPr>
          <w:rFonts w:cs="Georgia"/>
          <w:color w:val="000000"/>
        </w:rPr>
        <w:t>Според Финансовия регламент ефектът на лоста на финансирането от фондовете на ЕС се равнява на размера на финансиране на крайните</w:t>
      </w:r>
      <w:r w:rsidR="00C34428">
        <w:rPr>
          <w:rFonts w:cs="Georgia"/>
          <w:color w:val="000000"/>
        </w:rPr>
        <w:t xml:space="preserve"> бенефициенти разделен на стойността на финансирането от ЕС, т.е.:</w:t>
      </w:r>
    </w:p>
    <w:p w:rsidR="00C34428" w:rsidRDefault="00C34428" w:rsidP="00315141">
      <w:pPr>
        <w:autoSpaceDE w:val="0"/>
        <w:autoSpaceDN w:val="0"/>
        <w:adjustRightInd w:val="0"/>
        <w:spacing w:after="0" w:line="240" w:lineRule="auto"/>
        <w:rPr>
          <w:rFonts w:cs="Georgia"/>
          <w:color w:val="000000"/>
        </w:rPr>
      </w:pPr>
    </w:p>
    <w:p w:rsidR="00C34428" w:rsidRPr="00C34428" w:rsidRDefault="00C34428" w:rsidP="00315141">
      <w:pPr>
        <w:autoSpaceDE w:val="0"/>
        <w:autoSpaceDN w:val="0"/>
        <w:adjustRightInd w:val="0"/>
        <w:spacing w:after="0" w:line="240" w:lineRule="auto"/>
        <w:rPr>
          <w:rFonts w:cstheme="minorHAnsi"/>
          <w:b/>
          <w:i/>
          <w:color w:val="000000"/>
        </w:rPr>
      </w:pPr>
      <m:oMathPara>
        <m:oMathParaPr>
          <m:jc m:val="center"/>
        </m:oMathParaPr>
        <m:oMath>
          <m:r>
            <m:rPr>
              <m:sty m:val="bi"/>
            </m:rPr>
            <w:rPr>
              <w:rFonts w:ascii="Cambria Math" w:cstheme="minorHAnsi"/>
              <w:color w:val="000000"/>
            </w:rPr>
            <m:t>Ефект</m:t>
          </m:r>
          <m:r>
            <m:rPr>
              <m:sty m:val="bi"/>
            </m:rPr>
            <w:rPr>
              <w:rFonts w:ascii="Cambria Math" w:cstheme="minorHAnsi"/>
              <w:color w:val="000000"/>
            </w:rPr>
            <m:t xml:space="preserve"> </m:t>
          </m:r>
          <m:r>
            <m:rPr>
              <m:sty m:val="bi"/>
            </m:rPr>
            <w:rPr>
              <w:rFonts w:ascii="Cambria Math" w:cstheme="minorHAnsi"/>
              <w:color w:val="000000"/>
            </w:rPr>
            <m:t>на</m:t>
          </m:r>
          <m:r>
            <m:rPr>
              <m:sty m:val="bi"/>
            </m:rPr>
            <w:rPr>
              <w:rFonts w:ascii="Cambria Math" w:cstheme="minorHAnsi"/>
              <w:color w:val="000000"/>
            </w:rPr>
            <m:t xml:space="preserve"> </m:t>
          </m:r>
          <m:r>
            <m:rPr>
              <m:sty m:val="bi"/>
            </m:rPr>
            <w:rPr>
              <w:rFonts w:ascii="Cambria Math" w:cstheme="minorHAnsi"/>
              <w:color w:val="000000"/>
            </w:rPr>
            <m:t>лоста</m:t>
          </m:r>
          <m:r>
            <m:rPr>
              <m:sty m:val="bi"/>
            </m:rPr>
            <w:rPr>
              <w:rFonts w:ascii="Cambria Math" w:cstheme="minorHAnsi"/>
              <w:color w:val="000000"/>
            </w:rPr>
            <m:t>=</m:t>
          </m:r>
          <m:r>
            <m:rPr>
              <m:sty m:val="bi"/>
            </m:rPr>
            <w:rPr>
              <w:rFonts w:ascii="Cambria Math" w:cstheme="minorHAnsi"/>
              <w:color w:val="000000"/>
            </w:rPr>
            <m:t>Общо</m:t>
          </m:r>
          <m:r>
            <m:rPr>
              <m:sty m:val="bi"/>
            </m:rPr>
            <w:rPr>
              <w:rFonts w:ascii="Cambria Math" w:cstheme="minorHAnsi"/>
              <w:color w:val="000000"/>
            </w:rPr>
            <m:t xml:space="preserve"> </m:t>
          </m:r>
          <m:r>
            <m:rPr>
              <m:sty m:val="bi"/>
            </m:rPr>
            <w:rPr>
              <w:rFonts w:ascii="Cambria Math" w:cstheme="minorHAnsi"/>
              <w:color w:val="000000"/>
            </w:rPr>
            <m:t>разходи÷Принос</m:t>
          </m:r>
          <m:r>
            <m:rPr>
              <m:sty m:val="bi"/>
            </m:rPr>
            <w:rPr>
              <w:rFonts w:ascii="Cambria Math" w:cstheme="minorHAnsi"/>
              <w:color w:val="000000"/>
            </w:rPr>
            <m:t xml:space="preserve"> </m:t>
          </m:r>
          <m:r>
            <m:rPr>
              <m:sty m:val="bi"/>
            </m:rPr>
            <w:rPr>
              <w:rFonts w:ascii="Cambria Math" w:cstheme="minorHAnsi"/>
              <w:color w:val="000000"/>
            </w:rPr>
            <m:t>от</m:t>
          </m:r>
          <m:r>
            <m:rPr>
              <m:sty m:val="bi"/>
            </m:rPr>
            <w:rPr>
              <w:rFonts w:ascii="Cambria Math" w:cstheme="minorHAnsi"/>
              <w:color w:val="000000"/>
            </w:rPr>
            <m:t xml:space="preserve"> </m:t>
          </m:r>
          <m:r>
            <m:rPr>
              <m:sty m:val="bi"/>
            </m:rPr>
            <w:rPr>
              <w:rFonts w:ascii="Cambria Math" w:cstheme="minorHAnsi"/>
              <w:color w:val="000000"/>
            </w:rPr>
            <m:t>ЕС</m:t>
          </m:r>
        </m:oMath>
      </m:oMathPara>
    </w:p>
    <w:p w:rsidR="005B0A7C" w:rsidRDefault="005B0A7C" w:rsidP="00315141">
      <w:pPr>
        <w:autoSpaceDE w:val="0"/>
        <w:autoSpaceDN w:val="0"/>
        <w:adjustRightInd w:val="0"/>
        <w:spacing w:after="0" w:line="240" w:lineRule="auto"/>
        <w:rPr>
          <w:rFonts w:cs="Georgia"/>
          <w:color w:val="000000"/>
        </w:rPr>
      </w:pPr>
    </w:p>
    <w:p w:rsidR="005B0A7C" w:rsidRDefault="00C34428" w:rsidP="00C10307">
      <w:pPr>
        <w:autoSpaceDE w:val="0"/>
        <w:autoSpaceDN w:val="0"/>
        <w:adjustRightInd w:val="0"/>
        <w:spacing w:after="0" w:line="240" w:lineRule="auto"/>
        <w:jc w:val="both"/>
        <w:rPr>
          <w:rFonts w:cs="Georgia"/>
          <w:color w:val="000000"/>
        </w:rPr>
      </w:pPr>
      <w:r>
        <w:rPr>
          <w:rFonts w:cs="Georgia"/>
          <w:color w:val="000000"/>
        </w:rPr>
        <w:t>На базата на тази формула, е изчислен ефектът на лоста за секторите Води и Отпадъци</w:t>
      </w:r>
      <w:r w:rsidR="00C10307">
        <w:rPr>
          <w:rFonts w:cs="Georgia"/>
          <w:color w:val="000000"/>
        </w:rPr>
        <w:t>, който заедно с интензитета на субсидията, револвиращия ефект и допълнителния принос на крайните бенефициенти за видовете финансови инструменти са представени по-долу.</w:t>
      </w:r>
    </w:p>
    <w:p w:rsidR="00C34428" w:rsidRDefault="00C34428" w:rsidP="00315141">
      <w:pPr>
        <w:autoSpaceDE w:val="0"/>
        <w:autoSpaceDN w:val="0"/>
        <w:adjustRightInd w:val="0"/>
        <w:spacing w:after="0" w:line="240" w:lineRule="auto"/>
        <w:rPr>
          <w:rFonts w:cs="Georgia"/>
          <w:color w:val="000000"/>
        </w:rPr>
      </w:pPr>
    </w:p>
    <w:p w:rsidR="00C34428" w:rsidRPr="00D55B8A" w:rsidRDefault="00C34428" w:rsidP="00D55B8A">
      <w:pPr>
        <w:rPr>
          <w:rFonts w:ascii="Calibri" w:eastAsia="Calibri" w:hAnsi="Calibri" w:cs="Times New Roman"/>
          <w:b/>
          <w:i/>
          <w:color w:val="2E74B5" w:themeColor="accent1" w:themeShade="BF"/>
        </w:rPr>
      </w:pPr>
      <w:r w:rsidRPr="00D55B8A">
        <w:rPr>
          <w:rFonts w:ascii="Calibri" w:eastAsia="Calibri" w:hAnsi="Calibri" w:cs="Times New Roman"/>
          <w:b/>
          <w:i/>
          <w:color w:val="2E74B5" w:themeColor="accent1" w:themeShade="BF"/>
        </w:rPr>
        <w:t>Сектор Води</w:t>
      </w:r>
    </w:p>
    <w:p w:rsidR="009F1D89" w:rsidRDefault="009F1D89" w:rsidP="009F1D89">
      <w:pPr>
        <w:autoSpaceDE w:val="0"/>
        <w:autoSpaceDN w:val="0"/>
        <w:adjustRightInd w:val="0"/>
        <w:spacing w:after="0" w:line="240" w:lineRule="auto"/>
        <w:jc w:val="both"/>
        <w:rPr>
          <w:rFonts w:cs="Georgia"/>
          <w:color w:val="000000"/>
        </w:rPr>
      </w:pPr>
      <w:r>
        <w:rPr>
          <w:rFonts w:cs="Georgia"/>
          <w:color w:val="000000"/>
        </w:rPr>
        <w:t>За целите на изчисление на ефекта на лоста са направени следните допускания:</w:t>
      </w:r>
    </w:p>
    <w:p w:rsidR="009F1D89" w:rsidRDefault="009F1D89" w:rsidP="009F1D89">
      <w:pPr>
        <w:autoSpaceDE w:val="0"/>
        <w:autoSpaceDN w:val="0"/>
        <w:adjustRightInd w:val="0"/>
        <w:spacing w:after="0" w:line="240" w:lineRule="auto"/>
        <w:jc w:val="both"/>
        <w:rPr>
          <w:rFonts w:cs="Georgia"/>
          <w:color w:val="000000"/>
        </w:rPr>
      </w:pPr>
    </w:p>
    <w:p w:rsidR="009F1D89" w:rsidRDefault="009F1D89" w:rsidP="001A036E">
      <w:pPr>
        <w:numPr>
          <w:ilvl w:val="0"/>
          <w:numId w:val="77"/>
        </w:numPr>
        <w:autoSpaceDE w:val="0"/>
        <w:autoSpaceDN w:val="0"/>
        <w:adjustRightInd w:val="0"/>
        <w:spacing w:after="0" w:line="240" w:lineRule="auto"/>
        <w:jc w:val="both"/>
        <w:rPr>
          <w:rFonts w:cs="Georgia"/>
          <w:color w:val="000000"/>
        </w:rPr>
      </w:pPr>
      <w:r>
        <w:rPr>
          <w:rFonts w:cs="Georgia"/>
          <w:color w:val="000000"/>
        </w:rPr>
        <w:lastRenderedPageBreak/>
        <w:t>Разгледани 3 вида проекти</w:t>
      </w:r>
      <w:r w:rsidR="00367041">
        <w:rPr>
          <w:rStyle w:val="FootnoteReference"/>
          <w:rFonts w:cs="Georgia"/>
          <w:color w:val="000000"/>
        </w:rPr>
        <w:footnoteReference w:id="49"/>
      </w:r>
      <w:r>
        <w:rPr>
          <w:rFonts w:cs="Georgia"/>
          <w:color w:val="000000"/>
        </w:rPr>
        <w:t xml:space="preserve">: </w:t>
      </w:r>
      <w:r w:rsidR="00E74BDD">
        <w:rPr>
          <w:rFonts w:cs="Georgia"/>
          <w:color w:val="000000"/>
        </w:rPr>
        <w:t>1) с размер на съ</w:t>
      </w:r>
      <w:r>
        <w:rPr>
          <w:rFonts w:cs="Georgia"/>
          <w:color w:val="000000"/>
        </w:rPr>
        <w:t>финансирането от други източници</w:t>
      </w:r>
      <w:r w:rsidR="00DF0550">
        <w:rPr>
          <w:rStyle w:val="FootnoteReference"/>
          <w:rFonts w:cs="Georgia"/>
          <w:color w:val="000000"/>
        </w:rPr>
        <w:footnoteReference w:id="50"/>
      </w:r>
      <w:r>
        <w:rPr>
          <w:rFonts w:cs="Georgia"/>
          <w:color w:val="000000"/>
        </w:rPr>
        <w:t xml:space="preserve"> – 15%; 2) с размер на съфинансирането от други източници – 20%; и 3) размер на съфинансирането от други източници – 25%. </w:t>
      </w:r>
      <w:r w:rsidR="00D55B8A">
        <w:rPr>
          <w:rFonts w:cs="Georgia"/>
          <w:color w:val="000000"/>
        </w:rPr>
        <w:t>Това допускане е направено на база преглед на анализа на финансовото състояние на ВиК дружествата и интервюта с потенциални бенефициенти и банкови институции, в резултат от което е изведено заключението, че ВиК дружествата не биха могли да съфинансират повече от 25% от общата стойност на инвестициите.</w:t>
      </w:r>
    </w:p>
    <w:p w:rsidR="009F1D89" w:rsidRDefault="009F1D89" w:rsidP="001A036E">
      <w:pPr>
        <w:numPr>
          <w:ilvl w:val="0"/>
          <w:numId w:val="77"/>
        </w:numPr>
        <w:autoSpaceDE w:val="0"/>
        <w:autoSpaceDN w:val="0"/>
        <w:adjustRightInd w:val="0"/>
        <w:spacing w:after="0" w:line="240" w:lineRule="auto"/>
        <w:jc w:val="both"/>
        <w:rPr>
          <w:rFonts w:cs="Georgia"/>
          <w:color w:val="000000"/>
        </w:rPr>
      </w:pPr>
      <w:r>
        <w:rPr>
          <w:rFonts w:cs="Georgia"/>
          <w:color w:val="000000"/>
        </w:rPr>
        <w:t>Приета е средна стойност на проект от 50 млн. евро</w:t>
      </w:r>
      <w:r w:rsidR="00FE59D3">
        <w:rPr>
          <w:rStyle w:val="FootnoteReference"/>
          <w:rFonts w:cs="Georgia"/>
          <w:color w:val="000000"/>
        </w:rPr>
        <w:footnoteReference w:id="51"/>
      </w:r>
      <w:r>
        <w:rPr>
          <w:rFonts w:cs="Georgia"/>
          <w:color w:val="000000"/>
        </w:rPr>
        <w:t>.</w:t>
      </w:r>
    </w:p>
    <w:p w:rsidR="009F1D89" w:rsidRDefault="009F1D89" w:rsidP="009F1D89">
      <w:pPr>
        <w:autoSpaceDE w:val="0"/>
        <w:autoSpaceDN w:val="0"/>
        <w:adjustRightInd w:val="0"/>
        <w:spacing w:after="0" w:line="240" w:lineRule="auto"/>
        <w:jc w:val="both"/>
        <w:rPr>
          <w:rFonts w:cs="Georgia"/>
          <w:color w:val="000000"/>
        </w:rPr>
      </w:pPr>
    </w:p>
    <w:p w:rsidR="009F1D89" w:rsidRDefault="009F1D89" w:rsidP="009F1D89">
      <w:pPr>
        <w:autoSpaceDE w:val="0"/>
        <w:autoSpaceDN w:val="0"/>
        <w:adjustRightInd w:val="0"/>
        <w:spacing w:after="0" w:line="240" w:lineRule="auto"/>
        <w:jc w:val="both"/>
        <w:rPr>
          <w:rFonts w:cs="Georgia"/>
          <w:color w:val="000000"/>
        </w:rPr>
      </w:pPr>
      <w:r>
        <w:rPr>
          <w:rFonts w:cs="Georgia"/>
          <w:color w:val="000000"/>
        </w:rPr>
        <w:t>Резултатите от изчисленията са представени на следващата фигура:</w:t>
      </w:r>
    </w:p>
    <w:p w:rsidR="00CB775D" w:rsidRDefault="00CB775D" w:rsidP="000B28E1">
      <w:pPr>
        <w:pStyle w:val="Caption"/>
        <w:jc w:val="center"/>
        <w:rPr>
          <w:rFonts w:asciiTheme="minorHAnsi" w:hAnsiTheme="minorHAnsi" w:cstheme="minorHAnsi"/>
        </w:rPr>
      </w:pPr>
    </w:p>
    <w:p w:rsidR="009F1D89" w:rsidRPr="00C10307" w:rsidRDefault="009F1D89" w:rsidP="000B28E1">
      <w:pPr>
        <w:pStyle w:val="Caption"/>
        <w:jc w:val="center"/>
        <w:rPr>
          <w:rFonts w:asciiTheme="minorHAnsi" w:hAnsiTheme="minorHAnsi" w:cstheme="minorHAnsi"/>
          <w:color w:val="000000"/>
        </w:rPr>
      </w:pPr>
      <w:bookmarkStart w:id="122" w:name="_Toc399494639"/>
      <w:r w:rsidRPr="00C10307">
        <w:rPr>
          <w:rFonts w:asciiTheme="minorHAnsi" w:hAnsiTheme="minorHAnsi" w:cstheme="minorHAnsi"/>
        </w:rPr>
        <w:t xml:space="preserve">Фигура </w:t>
      </w:r>
      <w:r w:rsidR="008E6461" w:rsidRPr="00C10307">
        <w:rPr>
          <w:rFonts w:asciiTheme="minorHAnsi" w:hAnsiTheme="minorHAnsi" w:cstheme="minorHAnsi"/>
        </w:rPr>
        <w:fldChar w:fldCharType="begin"/>
      </w:r>
      <w:r w:rsidRPr="00C10307">
        <w:rPr>
          <w:rFonts w:asciiTheme="minorHAnsi" w:hAnsiTheme="minorHAnsi" w:cstheme="minorHAnsi"/>
        </w:rPr>
        <w:instrText xml:space="preserve"> SEQ фигура \* ARABIC </w:instrText>
      </w:r>
      <w:r w:rsidR="008E6461" w:rsidRPr="00C10307">
        <w:rPr>
          <w:rFonts w:asciiTheme="minorHAnsi" w:hAnsiTheme="minorHAnsi" w:cstheme="minorHAnsi"/>
        </w:rPr>
        <w:fldChar w:fldCharType="separate"/>
      </w:r>
      <w:r w:rsidR="003A69A7">
        <w:rPr>
          <w:rFonts w:asciiTheme="minorHAnsi" w:hAnsiTheme="minorHAnsi" w:cstheme="minorHAnsi"/>
          <w:noProof/>
        </w:rPr>
        <w:t>54</w:t>
      </w:r>
      <w:r w:rsidR="008E6461" w:rsidRPr="00C10307">
        <w:rPr>
          <w:rFonts w:asciiTheme="minorHAnsi" w:hAnsiTheme="minorHAnsi" w:cstheme="minorHAnsi"/>
        </w:rPr>
        <w:fldChar w:fldCharType="end"/>
      </w:r>
      <w:r w:rsidRPr="00C10307">
        <w:rPr>
          <w:rFonts w:asciiTheme="minorHAnsi" w:hAnsiTheme="minorHAnsi" w:cstheme="minorHAnsi"/>
        </w:rPr>
        <w:t>: Ефект на лоста на проектите във ВиК сектора</w:t>
      </w:r>
      <w:bookmarkEnd w:id="122"/>
    </w:p>
    <w:p w:rsidR="009F1D89" w:rsidRDefault="009F1D89" w:rsidP="000B28E1">
      <w:pPr>
        <w:autoSpaceDE w:val="0"/>
        <w:autoSpaceDN w:val="0"/>
        <w:adjustRightInd w:val="0"/>
        <w:spacing w:before="240" w:after="0" w:line="240" w:lineRule="auto"/>
        <w:jc w:val="center"/>
        <w:rPr>
          <w:rFonts w:cs="Georgia"/>
          <w:color w:val="000000"/>
        </w:rPr>
      </w:pPr>
      <w:r>
        <w:rPr>
          <w:rFonts w:cs="Georgia"/>
          <w:noProof/>
          <w:color w:val="000000"/>
          <w:lang w:eastAsia="bg-BG"/>
        </w:rPr>
        <w:drawing>
          <wp:inline distT="0" distB="0" distL="0" distR="0">
            <wp:extent cx="4820369" cy="2098787"/>
            <wp:effectExtent l="1905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04" cstate="print"/>
                    <a:srcRect/>
                    <a:stretch>
                      <a:fillRect/>
                    </a:stretch>
                  </pic:blipFill>
                  <pic:spPr bwMode="auto">
                    <a:xfrm>
                      <a:off x="0" y="0"/>
                      <a:ext cx="4827668" cy="2101965"/>
                    </a:xfrm>
                    <a:prstGeom prst="rect">
                      <a:avLst/>
                    </a:prstGeom>
                    <a:noFill/>
                  </pic:spPr>
                </pic:pic>
              </a:graphicData>
            </a:graphic>
          </wp:inline>
        </w:drawing>
      </w:r>
    </w:p>
    <w:p w:rsidR="00E12B6D" w:rsidRDefault="000E2E53" w:rsidP="00E12B6D">
      <w:pPr>
        <w:autoSpaceDE w:val="0"/>
        <w:autoSpaceDN w:val="0"/>
        <w:adjustRightInd w:val="0"/>
        <w:spacing w:before="240" w:after="0" w:line="240" w:lineRule="auto"/>
        <w:jc w:val="both"/>
        <w:rPr>
          <w:rFonts w:cs="Georgia"/>
          <w:color w:val="000000"/>
        </w:rPr>
      </w:pPr>
      <w:r>
        <w:rPr>
          <w:rFonts w:cs="Georgia"/>
          <w:color w:val="000000"/>
        </w:rPr>
        <w:t xml:space="preserve">Както е видно от представената информация, ефектът на лоста на помощта от ЕС за трите типа проекти </w:t>
      </w:r>
      <w:r w:rsidR="00D55B8A">
        <w:rPr>
          <w:rFonts w:cs="Georgia"/>
          <w:color w:val="000000"/>
        </w:rPr>
        <w:t xml:space="preserve">във ВиК сектора </w:t>
      </w:r>
      <w:r w:rsidR="00E12B6D">
        <w:rPr>
          <w:rFonts w:cs="Georgia"/>
          <w:color w:val="000000"/>
        </w:rPr>
        <w:t>е между 1,4 и 1,6.</w:t>
      </w:r>
    </w:p>
    <w:p w:rsidR="001C2CFD" w:rsidRPr="00D55B8A" w:rsidRDefault="00D55B8A" w:rsidP="00E12B6D">
      <w:pPr>
        <w:autoSpaceDE w:val="0"/>
        <w:autoSpaceDN w:val="0"/>
        <w:adjustRightInd w:val="0"/>
        <w:spacing w:before="240" w:after="0" w:line="240" w:lineRule="auto"/>
        <w:jc w:val="both"/>
        <w:rPr>
          <w:rFonts w:cs="Georgia"/>
          <w:b/>
          <w:i/>
          <w:color w:val="2E74B5" w:themeColor="accent1" w:themeShade="BF"/>
        </w:rPr>
      </w:pPr>
      <w:r w:rsidRPr="00D55B8A">
        <w:rPr>
          <w:rFonts w:cs="Georgia"/>
          <w:b/>
          <w:i/>
          <w:color w:val="2E74B5" w:themeColor="accent1" w:themeShade="BF"/>
        </w:rPr>
        <w:t>Сектор Отпадъци</w:t>
      </w:r>
    </w:p>
    <w:p w:rsidR="00D55B8A" w:rsidRDefault="00D55B8A" w:rsidP="00E12B6D">
      <w:pPr>
        <w:autoSpaceDE w:val="0"/>
        <w:autoSpaceDN w:val="0"/>
        <w:adjustRightInd w:val="0"/>
        <w:spacing w:before="240" w:after="0" w:line="240" w:lineRule="auto"/>
        <w:jc w:val="both"/>
        <w:rPr>
          <w:rFonts w:cs="Georgia"/>
          <w:color w:val="000000"/>
        </w:rPr>
      </w:pPr>
      <w:r>
        <w:rPr>
          <w:rFonts w:cs="Georgia"/>
          <w:color w:val="000000"/>
        </w:rPr>
        <w:t>За изчислението на ефекта на лоста в този сектор са направени следните допускания:</w:t>
      </w:r>
    </w:p>
    <w:p w:rsidR="00D55B8A" w:rsidRDefault="00F65A64" w:rsidP="001A036E">
      <w:pPr>
        <w:numPr>
          <w:ilvl w:val="0"/>
          <w:numId w:val="78"/>
        </w:numPr>
        <w:autoSpaceDE w:val="0"/>
        <w:autoSpaceDN w:val="0"/>
        <w:adjustRightInd w:val="0"/>
        <w:spacing w:before="240" w:after="0" w:line="240" w:lineRule="auto"/>
        <w:jc w:val="both"/>
        <w:rPr>
          <w:rFonts w:cs="Georgia"/>
          <w:color w:val="000000"/>
        </w:rPr>
      </w:pPr>
      <w:r>
        <w:rPr>
          <w:rFonts w:cs="Georgia"/>
          <w:color w:val="000000"/>
        </w:rPr>
        <w:lastRenderedPageBreak/>
        <w:t>При сравнително по-малки първоначални разходи (2-3 млн. евро)</w:t>
      </w:r>
      <w:r w:rsidR="00D55B8A">
        <w:rPr>
          <w:rFonts w:cs="Georgia"/>
          <w:color w:val="000000"/>
        </w:rPr>
        <w:t xml:space="preserve">, проектите биха могли да се реализират изцяло </w:t>
      </w:r>
      <w:r>
        <w:rPr>
          <w:rFonts w:cs="Georgia"/>
          <w:color w:val="000000"/>
        </w:rPr>
        <w:t xml:space="preserve">от търговски субекти </w:t>
      </w:r>
      <w:r w:rsidR="00D55B8A">
        <w:rPr>
          <w:rFonts w:cs="Georgia"/>
          <w:color w:val="000000"/>
        </w:rPr>
        <w:t xml:space="preserve">чрез </w:t>
      </w:r>
      <w:r>
        <w:rPr>
          <w:rFonts w:cs="Georgia"/>
          <w:color w:val="000000"/>
        </w:rPr>
        <w:t>заемни средства</w:t>
      </w:r>
    </w:p>
    <w:p w:rsidR="00F65A64" w:rsidRDefault="00F65A64" w:rsidP="001A036E">
      <w:pPr>
        <w:numPr>
          <w:ilvl w:val="0"/>
          <w:numId w:val="78"/>
        </w:numPr>
        <w:autoSpaceDE w:val="0"/>
        <w:autoSpaceDN w:val="0"/>
        <w:adjustRightInd w:val="0"/>
        <w:spacing w:after="0" w:line="240" w:lineRule="auto"/>
        <w:jc w:val="both"/>
        <w:rPr>
          <w:rFonts w:cs="Georgia"/>
          <w:color w:val="000000"/>
        </w:rPr>
      </w:pPr>
      <w:r>
        <w:rPr>
          <w:rFonts w:cs="Georgia"/>
          <w:color w:val="000000"/>
        </w:rPr>
        <w:t>При по-голяма стойност на първоначалните разходи (25 млн. евро) са разгледани 2 типа проекти: 1) БФП</w:t>
      </w:r>
      <w:r>
        <w:rPr>
          <w:rStyle w:val="FootnoteReference"/>
          <w:rFonts w:cs="Georgia"/>
          <w:color w:val="000000"/>
        </w:rPr>
        <w:footnoteReference w:id="52"/>
      </w:r>
      <w:r>
        <w:rPr>
          <w:rFonts w:cs="Georgia"/>
          <w:color w:val="000000"/>
        </w:rPr>
        <w:t xml:space="preserve"> и заемно финансиране в съотношение 50:50; и 2) БФП и заемно финансиране в съотношение 75:25.</w:t>
      </w:r>
    </w:p>
    <w:p w:rsidR="00F65A64" w:rsidRDefault="00F65A64" w:rsidP="00F65A64">
      <w:pPr>
        <w:autoSpaceDE w:val="0"/>
        <w:autoSpaceDN w:val="0"/>
        <w:adjustRightInd w:val="0"/>
        <w:spacing w:after="0" w:line="240" w:lineRule="auto"/>
        <w:jc w:val="both"/>
        <w:rPr>
          <w:rFonts w:cs="Georgia"/>
          <w:color w:val="000000"/>
        </w:rPr>
      </w:pPr>
    </w:p>
    <w:p w:rsidR="00F65A64" w:rsidRDefault="00F65A64" w:rsidP="00F65A64">
      <w:pPr>
        <w:autoSpaceDE w:val="0"/>
        <w:autoSpaceDN w:val="0"/>
        <w:adjustRightInd w:val="0"/>
        <w:spacing w:after="0" w:line="240" w:lineRule="auto"/>
        <w:jc w:val="both"/>
        <w:rPr>
          <w:rFonts w:cs="Georgia"/>
          <w:color w:val="000000"/>
        </w:rPr>
      </w:pPr>
      <w:r>
        <w:rPr>
          <w:rFonts w:cs="Georgia"/>
          <w:color w:val="000000"/>
        </w:rPr>
        <w:t>Резултатите от изчисленията са представени на следващата фигура:</w:t>
      </w:r>
    </w:p>
    <w:p w:rsidR="000B28E1" w:rsidRDefault="000B28E1" w:rsidP="00F65A64">
      <w:pPr>
        <w:autoSpaceDE w:val="0"/>
        <w:autoSpaceDN w:val="0"/>
        <w:adjustRightInd w:val="0"/>
        <w:spacing w:after="0" w:line="240" w:lineRule="auto"/>
        <w:jc w:val="both"/>
        <w:rPr>
          <w:rFonts w:cs="Georgia"/>
          <w:color w:val="000000"/>
        </w:rPr>
      </w:pPr>
    </w:p>
    <w:p w:rsidR="000B28E1" w:rsidRPr="00C10307" w:rsidRDefault="000B28E1" w:rsidP="000B28E1">
      <w:pPr>
        <w:pStyle w:val="Caption"/>
        <w:jc w:val="center"/>
        <w:rPr>
          <w:rFonts w:asciiTheme="minorHAnsi" w:hAnsiTheme="minorHAnsi" w:cstheme="minorHAnsi"/>
          <w:color w:val="000000"/>
        </w:rPr>
      </w:pPr>
      <w:bookmarkStart w:id="123" w:name="_Toc399494640"/>
      <w:r w:rsidRPr="00C10307">
        <w:rPr>
          <w:rFonts w:asciiTheme="minorHAnsi" w:hAnsiTheme="minorHAnsi" w:cstheme="minorHAnsi"/>
        </w:rPr>
        <w:t xml:space="preserve">Фигура </w:t>
      </w:r>
      <w:r w:rsidR="008E6461" w:rsidRPr="00C10307">
        <w:rPr>
          <w:rFonts w:asciiTheme="minorHAnsi" w:hAnsiTheme="minorHAnsi" w:cstheme="minorHAnsi"/>
        </w:rPr>
        <w:fldChar w:fldCharType="begin"/>
      </w:r>
      <w:r w:rsidRPr="00C10307">
        <w:rPr>
          <w:rFonts w:asciiTheme="minorHAnsi" w:hAnsiTheme="minorHAnsi" w:cstheme="minorHAnsi"/>
        </w:rPr>
        <w:instrText xml:space="preserve"> SEQ фигура \* ARABIC </w:instrText>
      </w:r>
      <w:r w:rsidR="008E6461" w:rsidRPr="00C10307">
        <w:rPr>
          <w:rFonts w:asciiTheme="minorHAnsi" w:hAnsiTheme="minorHAnsi" w:cstheme="minorHAnsi"/>
        </w:rPr>
        <w:fldChar w:fldCharType="separate"/>
      </w:r>
      <w:r w:rsidR="003A69A7">
        <w:rPr>
          <w:rFonts w:asciiTheme="minorHAnsi" w:hAnsiTheme="minorHAnsi" w:cstheme="minorHAnsi"/>
          <w:noProof/>
        </w:rPr>
        <w:t>55</w:t>
      </w:r>
      <w:r w:rsidR="008E6461" w:rsidRPr="00C10307">
        <w:rPr>
          <w:rFonts w:asciiTheme="minorHAnsi" w:hAnsiTheme="minorHAnsi" w:cstheme="minorHAnsi"/>
        </w:rPr>
        <w:fldChar w:fldCharType="end"/>
      </w:r>
      <w:r w:rsidRPr="00C10307">
        <w:rPr>
          <w:rFonts w:asciiTheme="minorHAnsi" w:hAnsiTheme="minorHAnsi" w:cstheme="minorHAnsi"/>
        </w:rPr>
        <w:t xml:space="preserve">: Ефект на лоста на проектите </w:t>
      </w:r>
      <w:r>
        <w:rPr>
          <w:rFonts w:asciiTheme="minorHAnsi" w:hAnsiTheme="minorHAnsi" w:cstheme="minorHAnsi"/>
        </w:rPr>
        <w:t>в сектор Отпадъци</w:t>
      </w:r>
      <w:bookmarkEnd w:id="123"/>
    </w:p>
    <w:p w:rsidR="00F65A64" w:rsidRPr="00E12B6D" w:rsidRDefault="000B28E1" w:rsidP="000B28E1">
      <w:pPr>
        <w:autoSpaceDE w:val="0"/>
        <w:autoSpaceDN w:val="0"/>
        <w:adjustRightInd w:val="0"/>
        <w:spacing w:before="240" w:after="0" w:line="240" w:lineRule="auto"/>
        <w:jc w:val="center"/>
        <w:rPr>
          <w:rFonts w:cs="Georgia"/>
          <w:color w:val="000000"/>
        </w:rPr>
      </w:pPr>
      <w:r>
        <w:rPr>
          <w:rFonts w:cs="Georgia"/>
          <w:noProof/>
          <w:color w:val="000000"/>
          <w:lang w:eastAsia="bg-BG"/>
        </w:rPr>
        <w:drawing>
          <wp:inline distT="0" distB="0" distL="0" distR="0">
            <wp:extent cx="4671963" cy="2406769"/>
            <wp:effectExtent l="1905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05" cstate="print"/>
                    <a:srcRect/>
                    <a:stretch>
                      <a:fillRect/>
                    </a:stretch>
                  </pic:blipFill>
                  <pic:spPr bwMode="auto">
                    <a:xfrm>
                      <a:off x="0" y="0"/>
                      <a:ext cx="4679026" cy="2410408"/>
                    </a:xfrm>
                    <a:prstGeom prst="rect">
                      <a:avLst/>
                    </a:prstGeom>
                    <a:noFill/>
                  </pic:spPr>
                </pic:pic>
              </a:graphicData>
            </a:graphic>
          </wp:inline>
        </w:drawing>
      </w:r>
    </w:p>
    <w:p w:rsidR="00FE59D3" w:rsidRDefault="00FE59D3" w:rsidP="00315141">
      <w:pPr>
        <w:autoSpaceDE w:val="0"/>
        <w:autoSpaceDN w:val="0"/>
        <w:adjustRightInd w:val="0"/>
        <w:spacing w:after="0" w:line="240" w:lineRule="auto"/>
        <w:rPr>
          <w:rFonts w:cs="Georgia"/>
          <w:color w:val="000000"/>
        </w:rPr>
      </w:pPr>
    </w:p>
    <w:p w:rsidR="00C34428" w:rsidRDefault="000B28E1" w:rsidP="00315141">
      <w:pPr>
        <w:autoSpaceDE w:val="0"/>
        <w:autoSpaceDN w:val="0"/>
        <w:adjustRightInd w:val="0"/>
        <w:spacing w:after="0" w:line="240" w:lineRule="auto"/>
        <w:rPr>
          <w:rFonts w:cs="Georgia"/>
          <w:color w:val="000000"/>
        </w:rPr>
      </w:pPr>
      <w:r w:rsidRPr="000B28E1">
        <w:rPr>
          <w:rFonts w:cs="Georgia"/>
          <w:color w:val="000000"/>
        </w:rPr>
        <w:t>Както е видно от</w:t>
      </w:r>
      <w:r>
        <w:rPr>
          <w:rFonts w:cs="Georgia"/>
          <w:color w:val="000000"/>
        </w:rPr>
        <w:t xml:space="preserve"> горната фигура, в сектор Отпадъци би могъл да се получи по-голям ефект на лоста на БФП при проектите, които 50% от необходимия ресурс се осигурява чрез заемно финансиране.</w:t>
      </w:r>
    </w:p>
    <w:p w:rsidR="000B28E1" w:rsidRDefault="000B28E1" w:rsidP="00B52813">
      <w:pPr>
        <w:autoSpaceDE w:val="0"/>
        <w:autoSpaceDN w:val="0"/>
        <w:adjustRightInd w:val="0"/>
        <w:spacing w:before="240" w:after="0" w:line="240" w:lineRule="auto"/>
        <w:jc w:val="both"/>
        <w:rPr>
          <w:rFonts w:cs="Georgia"/>
          <w:color w:val="000000"/>
        </w:rPr>
      </w:pPr>
      <w:r>
        <w:rPr>
          <w:rFonts w:cs="Georgia"/>
          <w:color w:val="000000"/>
        </w:rPr>
        <w:t xml:space="preserve">По отношение на интензитета на субсидията </w:t>
      </w:r>
      <w:r w:rsidR="00590236">
        <w:rPr>
          <w:rFonts w:cs="Georgia"/>
          <w:color w:val="000000"/>
        </w:rPr>
        <w:t>във всеки един от предложените финансови инструменти, са направени следните изчисления:</w:t>
      </w:r>
    </w:p>
    <w:p w:rsidR="00590236" w:rsidRDefault="00590236" w:rsidP="00590236">
      <w:pPr>
        <w:autoSpaceDE w:val="0"/>
        <w:autoSpaceDN w:val="0"/>
        <w:adjustRightInd w:val="0"/>
        <w:spacing w:after="0" w:line="240" w:lineRule="auto"/>
        <w:jc w:val="both"/>
        <w:rPr>
          <w:rFonts w:cs="Georgia"/>
          <w:color w:val="000000"/>
        </w:rPr>
      </w:pPr>
    </w:p>
    <w:p w:rsidR="00590236" w:rsidRDefault="00590236" w:rsidP="00590236">
      <w:pPr>
        <w:autoSpaceDE w:val="0"/>
        <w:autoSpaceDN w:val="0"/>
        <w:adjustRightInd w:val="0"/>
        <w:spacing w:after="0" w:line="240" w:lineRule="auto"/>
        <w:jc w:val="both"/>
        <w:rPr>
          <w:rFonts w:cs="Georgia"/>
          <w:b/>
          <w:i/>
          <w:color w:val="2E74B5" w:themeColor="accent1" w:themeShade="BF"/>
        </w:rPr>
      </w:pPr>
      <w:r w:rsidRPr="00590236">
        <w:rPr>
          <w:rFonts w:cs="Georgia"/>
          <w:b/>
          <w:i/>
          <w:color w:val="2E74B5" w:themeColor="accent1" w:themeShade="BF"/>
        </w:rPr>
        <w:t>Заеми</w:t>
      </w:r>
    </w:p>
    <w:p w:rsidR="00590236" w:rsidRDefault="00590236" w:rsidP="00590236">
      <w:pPr>
        <w:autoSpaceDE w:val="0"/>
        <w:autoSpaceDN w:val="0"/>
        <w:adjustRightInd w:val="0"/>
        <w:spacing w:after="0" w:line="240" w:lineRule="auto"/>
        <w:jc w:val="both"/>
        <w:rPr>
          <w:rFonts w:cs="Georgia"/>
          <w:b/>
          <w:i/>
          <w:color w:val="2E74B5" w:themeColor="accent1" w:themeShade="BF"/>
        </w:rPr>
      </w:pPr>
    </w:p>
    <w:p w:rsidR="00590236" w:rsidRDefault="00590236" w:rsidP="00590236">
      <w:pPr>
        <w:autoSpaceDE w:val="0"/>
        <w:autoSpaceDN w:val="0"/>
        <w:adjustRightInd w:val="0"/>
        <w:spacing w:after="0" w:line="240" w:lineRule="auto"/>
        <w:jc w:val="both"/>
        <w:rPr>
          <w:rFonts w:cs="Georgia"/>
        </w:rPr>
      </w:pPr>
      <w:r>
        <w:rPr>
          <w:rFonts w:cs="Georgia"/>
        </w:rPr>
        <w:t xml:space="preserve">За да бъде един заем предложен на по-атрактивни условия, част от кредитния риск следва да бъде покрит чрез безвъзмездна помощ от ЕС. Тук </w:t>
      </w:r>
      <w:r w:rsidR="00F92171">
        <w:rPr>
          <w:rFonts w:cs="Georgia"/>
        </w:rPr>
        <w:t xml:space="preserve">проучването </w:t>
      </w:r>
      <w:r>
        <w:rPr>
          <w:rFonts w:cs="Georgia"/>
        </w:rPr>
        <w:t>показва, че при структуриране на фонд, в който БФП играе ролята на подчинен капитал</w:t>
      </w:r>
      <w:r w:rsidR="00F92171">
        <w:rPr>
          <w:rFonts w:cs="Georgia"/>
        </w:rPr>
        <w:t>, оптималното съотношение между БФП и външен ресурс от международни финансови институции е между 15% и 35%. Т.е. за проект във ВиК сектора на средна стойност 50 млн. евро, различният размер на интензитета в структурата на заема дава следните резултати:</w:t>
      </w:r>
    </w:p>
    <w:p w:rsidR="00F92171" w:rsidRDefault="00F92171" w:rsidP="00590236">
      <w:pPr>
        <w:autoSpaceDE w:val="0"/>
        <w:autoSpaceDN w:val="0"/>
        <w:adjustRightInd w:val="0"/>
        <w:spacing w:after="0" w:line="240" w:lineRule="auto"/>
        <w:jc w:val="both"/>
        <w:rPr>
          <w:rFonts w:cs="Georgia"/>
        </w:rPr>
      </w:pPr>
    </w:p>
    <w:p w:rsidR="00972531" w:rsidRPr="00972531" w:rsidRDefault="00972531" w:rsidP="00972531">
      <w:pPr>
        <w:pStyle w:val="Caption"/>
        <w:jc w:val="center"/>
        <w:rPr>
          <w:rFonts w:asciiTheme="minorHAnsi" w:hAnsiTheme="minorHAnsi" w:cstheme="minorHAnsi"/>
        </w:rPr>
      </w:pPr>
      <w:bookmarkStart w:id="124" w:name="_Toc399494908"/>
      <w:r w:rsidRPr="00972531">
        <w:rPr>
          <w:rFonts w:asciiTheme="minorHAnsi" w:hAnsiTheme="minorHAnsi" w:cstheme="minorHAnsi"/>
        </w:rPr>
        <w:t xml:space="preserve">Таблица </w:t>
      </w:r>
      <w:r w:rsidR="008E6461" w:rsidRPr="00972531">
        <w:rPr>
          <w:rFonts w:asciiTheme="minorHAnsi" w:hAnsiTheme="minorHAnsi" w:cstheme="minorHAnsi"/>
        </w:rPr>
        <w:fldChar w:fldCharType="begin"/>
      </w:r>
      <w:r w:rsidRPr="00972531">
        <w:rPr>
          <w:rFonts w:asciiTheme="minorHAnsi" w:hAnsiTheme="minorHAnsi" w:cstheme="minorHAnsi"/>
        </w:rPr>
        <w:instrText xml:space="preserve"> SEQ таблица \* ARABIC </w:instrText>
      </w:r>
      <w:r w:rsidR="008E6461" w:rsidRPr="00972531">
        <w:rPr>
          <w:rFonts w:asciiTheme="minorHAnsi" w:hAnsiTheme="minorHAnsi" w:cstheme="minorHAnsi"/>
        </w:rPr>
        <w:fldChar w:fldCharType="separate"/>
      </w:r>
      <w:r w:rsidR="003A69A7">
        <w:rPr>
          <w:rFonts w:asciiTheme="minorHAnsi" w:hAnsiTheme="minorHAnsi" w:cstheme="minorHAnsi"/>
          <w:noProof/>
        </w:rPr>
        <w:t>28</w:t>
      </w:r>
      <w:r w:rsidR="008E6461" w:rsidRPr="00972531">
        <w:rPr>
          <w:rFonts w:asciiTheme="minorHAnsi" w:hAnsiTheme="minorHAnsi" w:cstheme="minorHAnsi"/>
        </w:rPr>
        <w:fldChar w:fldCharType="end"/>
      </w:r>
      <w:r w:rsidRPr="00972531">
        <w:rPr>
          <w:rFonts w:asciiTheme="minorHAnsi" w:hAnsiTheme="minorHAnsi" w:cstheme="minorHAnsi"/>
        </w:rPr>
        <w:t>:</w:t>
      </w:r>
      <w:r>
        <w:rPr>
          <w:rFonts w:asciiTheme="minorHAnsi" w:hAnsiTheme="minorHAnsi" w:cstheme="minorHAnsi"/>
        </w:rPr>
        <w:t xml:space="preserve"> Интензитет на субсидията в структурата на заема за проекти от ВиК сектора</w:t>
      </w:r>
      <w:bookmarkEnd w:id="124"/>
    </w:p>
    <w:p w:rsidR="00972531" w:rsidRDefault="00972531" w:rsidP="00590236">
      <w:pPr>
        <w:autoSpaceDE w:val="0"/>
        <w:autoSpaceDN w:val="0"/>
        <w:adjustRightInd w:val="0"/>
        <w:spacing w:after="0" w:line="240" w:lineRule="auto"/>
        <w:jc w:val="both"/>
        <w:rPr>
          <w:rFonts w:cs="Georgia"/>
        </w:rPr>
      </w:pPr>
    </w:p>
    <w:tbl>
      <w:tblPr>
        <w:tblStyle w:val="LightShading-Accent11"/>
        <w:tblW w:w="9807" w:type="dxa"/>
        <w:tblLook w:val="04A0" w:firstRow="1" w:lastRow="0" w:firstColumn="1" w:lastColumn="0" w:noHBand="0" w:noVBand="1"/>
      </w:tblPr>
      <w:tblGrid>
        <w:gridCol w:w="1433"/>
        <w:gridCol w:w="960"/>
        <w:gridCol w:w="960"/>
        <w:gridCol w:w="960"/>
        <w:gridCol w:w="1420"/>
        <w:gridCol w:w="1418"/>
        <w:gridCol w:w="1080"/>
        <w:gridCol w:w="1576"/>
      </w:tblGrid>
      <w:tr w:rsidR="006B1A43" w:rsidRPr="006B1A43" w:rsidTr="00686657">
        <w:trPr>
          <w:cnfStyle w:val="100000000000" w:firstRow="1" w:lastRow="0" w:firstColumn="0" w:lastColumn="0" w:oddVBand="0" w:evenVBand="0" w:oddHBand="0" w:evenHBand="0" w:firstRowFirstColumn="0" w:firstRowLastColumn="0" w:lastRowFirstColumn="0" w:lastRowLastColumn="0"/>
          <w:trHeight w:val="672"/>
        </w:trPr>
        <w:tc>
          <w:tcPr>
            <w:cnfStyle w:val="001000000000" w:firstRow="0" w:lastRow="0" w:firstColumn="1" w:lastColumn="0" w:oddVBand="0" w:evenVBand="0" w:oddHBand="0" w:evenHBand="0" w:firstRowFirstColumn="0" w:firstRowLastColumn="0" w:lastRowFirstColumn="0" w:lastRowLastColumn="0"/>
            <w:tcW w:w="1433" w:type="dxa"/>
            <w:vMerge w:val="restart"/>
            <w:hideMark/>
          </w:tcPr>
          <w:p w:rsidR="006B1A43" w:rsidRPr="006B1A43" w:rsidRDefault="006B1A43" w:rsidP="006B1A43">
            <w:pPr>
              <w:jc w:val="center"/>
              <w:rPr>
                <w:rFonts w:ascii="Calibri" w:eastAsia="Times New Roman" w:hAnsi="Calibri" w:cs="Calibri"/>
                <w:color w:val="000000"/>
                <w:sz w:val="20"/>
                <w:szCs w:val="20"/>
                <w:lang w:eastAsia="bg-BG"/>
              </w:rPr>
            </w:pPr>
            <w:r w:rsidRPr="006B1A43">
              <w:rPr>
                <w:rFonts w:ascii="Calibri" w:eastAsia="Times New Roman" w:hAnsi="Calibri" w:cs="Calibri"/>
                <w:color w:val="000000"/>
                <w:sz w:val="20"/>
                <w:szCs w:val="20"/>
                <w:lang w:eastAsia="bg-BG"/>
              </w:rPr>
              <w:t>Общ размер на проекта</w:t>
            </w:r>
          </w:p>
        </w:tc>
        <w:tc>
          <w:tcPr>
            <w:tcW w:w="2880" w:type="dxa"/>
            <w:gridSpan w:val="3"/>
            <w:hideMark/>
          </w:tcPr>
          <w:p w:rsidR="006B1A43" w:rsidRPr="006B1A43" w:rsidRDefault="006B1A43" w:rsidP="006B1A4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bg-BG"/>
              </w:rPr>
            </w:pPr>
            <w:r w:rsidRPr="006B1A43">
              <w:rPr>
                <w:rFonts w:ascii="Calibri" w:eastAsia="Times New Roman" w:hAnsi="Calibri" w:cs="Calibri"/>
                <w:color w:val="000000"/>
                <w:sz w:val="20"/>
                <w:szCs w:val="20"/>
                <w:lang w:eastAsia="bg-BG"/>
              </w:rPr>
              <w:t>БФП</w:t>
            </w:r>
          </w:p>
        </w:tc>
        <w:tc>
          <w:tcPr>
            <w:tcW w:w="3918" w:type="dxa"/>
            <w:gridSpan w:val="3"/>
            <w:hideMark/>
          </w:tcPr>
          <w:p w:rsidR="006B1A43" w:rsidRPr="006B1A43" w:rsidRDefault="006B1A43" w:rsidP="006B1A4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bg-BG"/>
              </w:rPr>
            </w:pPr>
            <w:r w:rsidRPr="006B1A43">
              <w:rPr>
                <w:rFonts w:ascii="Calibri" w:eastAsia="Times New Roman" w:hAnsi="Calibri" w:cs="Calibri"/>
                <w:color w:val="000000"/>
                <w:sz w:val="20"/>
                <w:szCs w:val="20"/>
                <w:lang w:eastAsia="bg-BG"/>
              </w:rPr>
              <w:t>Съ-финансиране чрез привлечен външен ресурс</w:t>
            </w:r>
          </w:p>
        </w:tc>
        <w:tc>
          <w:tcPr>
            <w:tcW w:w="1576" w:type="dxa"/>
            <w:vMerge w:val="restart"/>
            <w:hideMark/>
          </w:tcPr>
          <w:p w:rsidR="006B1A43" w:rsidRPr="006B1A43" w:rsidRDefault="006B1A43" w:rsidP="006B1A43">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bg-BG"/>
              </w:rPr>
            </w:pPr>
            <w:r w:rsidRPr="006B1A43">
              <w:rPr>
                <w:rFonts w:ascii="Calibri" w:eastAsia="Times New Roman" w:hAnsi="Calibri" w:cs="Calibri"/>
                <w:color w:val="000000"/>
                <w:sz w:val="20"/>
                <w:szCs w:val="20"/>
                <w:lang w:eastAsia="bg-BG"/>
              </w:rPr>
              <w:t>Общ размер на финансирането от ЕС</w:t>
            </w:r>
          </w:p>
        </w:tc>
      </w:tr>
      <w:tr w:rsidR="006B1A43" w:rsidRPr="006B1A43" w:rsidTr="00686657">
        <w:trPr>
          <w:cnfStyle w:val="000000100000" w:firstRow="0" w:lastRow="0" w:firstColumn="0" w:lastColumn="0" w:oddVBand="0" w:evenVBand="0" w:oddHBand="1" w:evenHBand="0" w:firstRowFirstColumn="0" w:firstRowLastColumn="0" w:lastRowFirstColumn="0" w:lastRowLastColumn="0"/>
          <w:trHeight w:val="718"/>
        </w:trPr>
        <w:tc>
          <w:tcPr>
            <w:cnfStyle w:val="001000000000" w:firstRow="0" w:lastRow="0" w:firstColumn="1" w:lastColumn="0" w:oddVBand="0" w:evenVBand="0" w:oddHBand="0" w:evenHBand="0" w:firstRowFirstColumn="0" w:firstRowLastColumn="0" w:lastRowFirstColumn="0" w:lastRowLastColumn="0"/>
            <w:tcW w:w="1433" w:type="dxa"/>
            <w:vMerge/>
            <w:hideMark/>
          </w:tcPr>
          <w:p w:rsidR="006B1A43" w:rsidRPr="006B1A43" w:rsidRDefault="006B1A43" w:rsidP="006B1A43">
            <w:pPr>
              <w:rPr>
                <w:rFonts w:ascii="Calibri" w:eastAsia="Times New Roman" w:hAnsi="Calibri" w:cs="Calibri"/>
                <w:color w:val="000000"/>
                <w:sz w:val="20"/>
                <w:szCs w:val="20"/>
                <w:lang w:eastAsia="bg-BG"/>
              </w:rPr>
            </w:pPr>
          </w:p>
        </w:tc>
        <w:tc>
          <w:tcPr>
            <w:tcW w:w="96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КФ 85%</w:t>
            </w:r>
          </w:p>
        </w:tc>
        <w:tc>
          <w:tcPr>
            <w:tcW w:w="96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ДБ 15%</w:t>
            </w:r>
          </w:p>
        </w:tc>
        <w:tc>
          <w:tcPr>
            <w:tcW w:w="96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Общо</w:t>
            </w:r>
          </w:p>
        </w:tc>
        <w:tc>
          <w:tcPr>
            <w:tcW w:w="142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КФ като подчинен капитал 15%</w:t>
            </w:r>
          </w:p>
        </w:tc>
        <w:tc>
          <w:tcPr>
            <w:tcW w:w="1418" w:type="dxa"/>
            <w:hideMark/>
          </w:tcPr>
          <w:p w:rsidR="006B1A43" w:rsidRPr="006B1A43" w:rsidRDefault="00120BCE"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120BCE">
              <w:rPr>
                <w:rFonts w:ascii="Calibri" w:eastAsia="Times New Roman" w:hAnsi="Calibri" w:cs="Calibri"/>
                <w:b/>
                <w:bCs/>
                <w:color w:val="000000"/>
                <w:sz w:val="20"/>
                <w:szCs w:val="20"/>
                <w:lang w:eastAsia="bg-BG"/>
              </w:rPr>
              <w:t xml:space="preserve">Финансиране от други източници </w:t>
            </w:r>
            <w:r w:rsidR="006B1A43" w:rsidRPr="006B1A43">
              <w:rPr>
                <w:rFonts w:ascii="Calibri" w:eastAsia="Times New Roman" w:hAnsi="Calibri" w:cs="Calibri"/>
                <w:b/>
                <w:bCs/>
                <w:color w:val="000000"/>
                <w:sz w:val="20"/>
                <w:szCs w:val="20"/>
                <w:lang w:eastAsia="bg-BG"/>
              </w:rPr>
              <w:t>85%</w:t>
            </w:r>
          </w:p>
        </w:tc>
        <w:tc>
          <w:tcPr>
            <w:tcW w:w="108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Общо</w:t>
            </w:r>
          </w:p>
        </w:tc>
        <w:tc>
          <w:tcPr>
            <w:tcW w:w="1576" w:type="dxa"/>
            <w:vMerge/>
            <w:hideMark/>
          </w:tcPr>
          <w:p w:rsidR="006B1A43" w:rsidRPr="006B1A43" w:rsidRDefault="006B1A43" w:rsidP="006B1A43">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p>
        </w:tc>
      </w:tr>
      <w:tr w:rsidR="006B1A43" w:rsidRPr="006B1A43" w:rsidTr="00686657">
        <w:trPr>
          <w:trHeight w:val="330"/>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lastRenderedPageBreak/>
              <w:t>50</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36,13</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6,38</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42,50</w:t>
            </w:r>
          </w:p>
        </w:tc>
        <w:tc>
          <w:tcPr>
            <w:tcW w:w="142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1,13</w:t>
            </w:r>
          </w:p>
        </w:tc>
        <w:tc>
          <w:tcPr>
            <w:tcW w:w="1418"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6,38</w:t>
            </w:r>
          </w:p>
        </w:tc>
        <w:tc>
          <w:tcPr>
            <w:tcW w:w="108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7,50</w:t>
            </w:r>
          </w:p>
        </w:tc>
        <w:tc>
          <w:tcPr>
            <w:tcW w:w="1576"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37,25</w:t>
            </w:r>
          </w:p>
        </w:tc>
      </w:tr>
      <w:tr w:rsidR="006B1A43" w:rsidRPr="006B1A43" w:rsidTr="0068665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t>50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34,00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6,00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40,00</w:t>
            </w:r>
          </w:p>
        </w:tc>
        <w:tc>
          <w:tcPr>
            <w:tcW w:w="142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1,50</w:t>
            </w:r>
          </w:p>
        </w:tc>
        <w:tc>
          <w:tcPr>
            <w:tcW w:w="1418"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8,50</w:t>
            </w:r>
          </w:p>
        </w:tc>
        <w:tc>
          <w:tcPr>
            <w:tcW w:w="108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10,00</w:t>
            </w:r>
          </w:p>
        </w:tc>
        <w:tc>
          <w:tcPr>
            <w:tcW w:w="1576"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35,50</w:t>
            </w:r>
          </w:p>
        </w:tc>
      </w:tr>
      <w:tr w:rsidR="006B1A43" w:rsidRPr="006B1A43" w:rsidTr="00686657">
        <w:trPr>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t>50</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31,88</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5,63</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37,50</w:t>
            </w:r>
          </w:p>
        </w:tc>
        <w:tc>
          <w:tcPr>
            <w:tcW w:w="142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1,88</w:t>
            </w:r>
          </w:p>
        </w:tc>
        <w:tc>
          <w:tcPr>
            <w:tcW w:w="1418"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10,63</w:t>
            </w:r>
          </w:p>
        </w:tc>
        <w:tc>
          <w:tcPr>
            <w:tcW w:w="108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12,50</w:t>
            </w:r>
          </w:p>
        </w:tc>
        <w:tc>
          <w:tcPr>
            <w:tcW w:w="1576"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33,75</w:t>
            </w:r>
          </w:p>
        </w:tc>
      </w:tr>
      <w:tr w:rsidR="00686657" w:rsidRPr="006B1A43" w:rsidTr="0068665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86657" w:rsidRPr="006B1A43" w:rsidRDefault="00686657" w:rsidP="006B1A43">
            <w:pPr>
              <w:jc w:val="right"/>
              <w:rPr>
                <w:rFonts w:ascii="Calibri" w:eastAsia="Times New Roman" w:hAnsi="Calibri" w:cs="Calibri"/>
                <w:color w:val="000000"/>
                <w:lang w:eastAsia="bg-BG"/>
              </w:rPr>
            </w:pPr>
          </w:p>
        </w:tc>
        <w:tc>
          <w:tcPr>
            <w:tcW w:w="96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96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96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142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1418"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108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1576"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r>
      <w:tr w:rsidR="00686657" w:rsidRPr="006B1A43" w:rsidTr="00120BCE">
        <w:trPr>
          <w:trHeight w:val="658"/>
        </w:trPr>
        <w:tc>
          <w:tcPr>
            <w:cnfStyle w:val="001000000000" w:firstRow="0" w:lastRow="0" w:firstColumn="1" w:lastColumn="0" w:oddVBand="0" w:evenVBand="0" w:oddHBand="0" w:evenHBand="0" w:firstRowFirstColumn="0" w:firstRowLastColumn="0" w:lastRowFirstColumn="0" w:lastRowLastColumn="0"/>
            <w:tcW w:w="1433" w:type="dxa"/>
            <w:vMerge w:val="restart"/>
            <w:hideMark/>
          </w:tcPr>
          <w:p w:rsidR="00686657" w:rsidRPr="006B1A43" w:rsidRDefault="00686657" w:rsidP="006B1A43">
            <w:pPr>
              <w:jc w:val="center"/>
              <w:rPr>
                <w:rFonts w:ascii="Calibri" w:eastAsia="Times New Roman" w:hAnsi="Calibri" w:cs="Calibri"/>
                <w:color w:val="000000"/>
                <w:sz w:val="20"/>
                <w:szCs w:val="20"/>
                <w:lang w:eastAsia="bg-BG"/>
              </w:rPr>
            </w:pPr>
            <w:r w:rsidRPr="006B1A43">
              <w:rPr>
                <w:rFonts w:ascii="Calibri" w:eastAsia="Times New Roman" w:hAnsi="Calibri" w:cs="Calibri"/>
                <w:color w:val="000000"/>
                <w:sz w:val="20"/>
                <w:szCs w:val="20"/>
                <w:lang w:eastAsia="bg-BG"/>
              </w:rPr>
              <w:t>Общ размер на проекта</w:t>
            </w:r>
          </w:p>
        </w:tc>
        <w:tc>
          <w:tcPr>
            <w:tcW w:w="2880" w:type="dxa"/>
            <w:gridSpan w:val="3"/>
            <w:hideMark/>
          </w:tcPr>
          <w:p w:rsidR="00686657" w:rsidRPr="006B1A43" w:rsidRDefault="00686657" w:rsidP="006B1A4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БФП</w:t>
            </w:r>
          </w:p>
        </w:tc>
        <w:tc>
          <w:tcPr>
            <w:tcW w:w="3918" w:type="dxa"/>
            <w:gridSpan w:val="3"/>
            <w:hideMark/>
          </w:tcPr>
          <w:p w:rsidR="00686657" w:rsidRPr="006B1A43" w:rsidRDefault="00686657" w:rsidP="006B1A4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Съ-финансиране чрез привлечен външен ресурс</w:t>
            </w:r>
          </w:p>
        </w:tc>
        <w:tc>
          <w:tcPr>
            <w:tcW w:w="1576" w:type="dxa"/>
            <w:vMerge w:val="restart"/>
            <w:hideMark/>
          </w:tcPr>
          <w:p w:rsidR="00686657" w:rsidRPr="006B1A43" w:rsidRDefault="00686657" w:rsidP="006B1A4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Общ размер на финансирането от ЕС</w:t>
            </w:r>
          </w:p>
        </w:tc>
      </w:tr>
      <w:tr w:rsidR="006B1A43" w:rsidRPr="006B1A43" w:rsidTr="00686657">
        <w:trPr>
          <w:cnfStyle w:val="000000100000" w:firstRow="0" w:lastRow="0" w:firstColumn="0" w:lastColumn="0" w:oddVBand="0" w:evenVBand="0" w:oddHBand="1" w:evenHBand="0" w:firstRowFirstColumn="0" w:firstRowLastColumn="0" w:lastRowFirstColumn="0" w:lastRowLastColumn="0"/>
          <w:trHeight w:val="800"/>
        </w:trPr>
        <w:tc>
          <w:tcPr>
            <w:cnfStyle w:val="001000000000" w:firstRow="0" w:lastRow="0" w:firstColumn="1" w:lastColumn="0" w:oddVBand="0" w:evenVBand="0" w:oddHBand="0" w:evenHBand="0" w:firstRowFirstColumn="0" w:firstRowLastColumn="0" w:lastRowFirstColumn="0" w:lastRowLastColumn="0"/>
            <w:tcW w:w="1433" w:type="dxa"/>
            <w:vMerge/>
            <w:hideMark/>
          </w:tcPr>
          <w:p w:rsidR="006B1A43" w:rsidRPr="006B1A43" w:rsidRDefault="006B1A43" w:rsidP="006B1A43">
            <w:pPr>
              <w:rPr>
                <w:rFonts w:ascii="Calibri" w:eastAsia="Times New Roman" w:hAnsi="Calibri" w:cs="Calibri"/>
                <w:color w:val="000000"/>
                <w:sz w:val="20"/>
                <w:szCs w:val="20"/>
                <w:lang w:eastAsia="bg-BG"/>
              </w:rPr>
            </w:pPr>
          </w:p>
        </w:tc>
        <w:tc>
          <w:tcPr>
            <w:tcW w:w="96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КФ 85%</w:t>
            </w:r>
          </w:p>
        </w:tc>
        <w:tc>
          <w:tcPr>
            <w:tcW w:w="96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ДБ 15%</w:t>
            </w:r>
          </w:p>
        </w:tc>
        <w:tc>
          <w:tcPr>
            <w:tcW w:w="960" w:type="dxa"/>
            <w:hideMark/>
          </w:tcPr>
          <w:p w:rsidR="006B1A43" w:rsidRPr="006B1A43" w:rsidRDefault="00686657"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Pr>
                <w:rFonts w:ascii="Calibri" w:eastAsia="Times New Roman" w:hAnsi="Calibri" w:cs="Calibri"/>
                <w:b/>
                <w:bCs/>
                <w:color w:val="000000"/>
                <w:sz w:val="20"/>
                <w:szCs w:val="20"/>
                <w:lang w:eastAsia="bg-BG"/>
              </w:rPr>
              <w:t>Общо</w:t>
            </w:r>
          </w:p>
        </w:tc>
        <w:tc>
          <w:tcPr>
            <w:tcW w:w="142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КФ като подчинен капитал 25%</w:t>
            </w:r>
          </w:p>
        </w:tc>
        <w:tc>
          <w:tcPr>
            <w:tcW w:w="1418" w:type="dxa"/>
            <w:hideMark/>
          </w:tcPr>
          <w:p w:rsidR="006B1A43" w:rsidRPr="006B1A43" w:rsidRDefault="00120BCE"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120BCE">
              <w:rPr>
                <w:rFonts w:ascii="Calibri" w:eastAsia="Times New Roman" w:hAnsi="Calibri" w:cs="Calibri"/>
                <w:b/>
                <w:bCs/>
                <w:color w:val="000000"/>
                <w:sz w:val="20"/>
                <w:szCs w:val="20"/>
                <w:lang w:eastAsia="bg-BG"/>
              </w:rPr>
              <w:t xml:space="preserve">Финансиране от други източници </w:t>
            </w:r>
            <w:r w:rsidR="006B1A43" w:rsidRPr="006B1A43">
              <w:rPr>
                <w:rFonts w:ascii="Calibri" w:eastAsia="Times New Roman" w:hAnsi="Calibri" w:cs="Calibri"/>
                <w:b/>
                <w:bCs/>
                <w:color w:val="000000"/>
                <w:sz w:val="20"/>
                <w:szCs w:val="20"/>
                <w:lang w:eastAsia="bg-BG"/>
              </w:rPr>
              <w:t>75%</w:t>
            </w:r>
          </w:p>
        </w:tc>
        <w:tc>
          <w:tcPr>
            <w:tcW w:w="1080" w:type="dxa"/>
            <w:hideMark/>
          </w:tcPr>
          <w:p w:rsidR="006B1A43" w:rsidRPr="006B1A43" w:rsidRDefault="00686657"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Pr>
                <w:rFonts w:ascii="Calibri" w:eastAsia="Times New Roman" w:hAnsi="Calibri" w:cs="Calibri"/>
                <w:b/>
                <w:bCs/>
                <w:color w:val="000000"/>
                <w:sz w:val="20"/>
                <w:szCs w:val="20"/>
                <w:lang w:eastAsia="bg-BG"/>
              </w:rPr>
              <w:t>Общо</w:t>
            </w:r>
          </w:p>
        </w:tc>
        <w:tc>
          <w:tcPr>
            <w:tcW w:w="1576" w:type="dxa"/>
            <w:vMerge/>
            <w:hideMark/>
          </w:tcPr>
          <w:p w:rsidR="006B1A43" w:rsidRPr="006B1A43" w:rsidRDefault="006B1A43" w:rsidP="006B1A43">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p>
        </w:tc>
      </w:tr>
      <w:tr w:rsidR="006B1A43" w:rsidRPr="006B1A43" w:rsidTr="00686657">
        <w:trPr>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t>50</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36,13</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6,38</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42,50</w:t>
            </w:r>
          </w:p>
        </w:tc>
        <w:tc>
          <w:tcPr>
            <w:tcW w:w="142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1,88</w:t>
            </w:r>
          </w:p>
        </w:tc>
        <w:tc>
          <w:tcPr>
            <w:tcW w:w="1418"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5,63</w:t>
            </w:r>
          </w:p>
        </w:tc>
        <w:tc>
          <w:tcPr>
            <w:tcW w:w="108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7,50</w:t>
            </w:r>
          </w:p>
        </w:tc>
        <w:tc>
          <w:tcPr>
            <w:tcW w:w="1576"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38,00</w:t>
            </w:r>
          </w:p>
        </w:tc>
      </w:tr>
      <w:tr w:rsidR="006B1A43" w:rsidRPr="006B1A43" w:rsidTr="0068665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t>50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34,00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6,00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40,00</w:t>
            </w:r>
          </w:p>
        </w:tc>
        <w:tc>
          <w:tcPr>
            <w:tcW w:w="142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2,50</w:t>
            </w:r>
          </w:p>
        </w:tc>
        <w:tc>
          <w:tcPr>
            <w:tcW w:w="1418"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7,50</w:t>
            </w:r>
          </w:p>
        </w:tc>
        <w:tc>
          <w:tcPr>
            <w:tcW w:w="108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10,00</w:t>
            </w:r>
          </w:p>
        </w:tc>
        <w:tc>
          <w:tcPr>
            <w:tcW w:w="1576"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36,50</w:t>
            </w:r>
          </w:p>
        </w:tc>
      </w:tr>
      <w:tr w:rsidR="006B1A43" w:rsidRPr="006B1A43" w:rsidTr="00686657">
        <w:trPr>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t>50</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31,88</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5,63</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37,50</w:t>
            </w:r>
          </w:p>
        </w:tc>
        <w:tc>
          <w:tcPr>
            <w:tcW w:w="142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3,13</w:t>
            </w:r>
          </w:p>
        </w:tc>
        <w:tc>
          <w:tcPr>
            <w:tcW w:w="1418"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9,38</w:t>
            </w:r>
          </w:p>
        </w:tc>
        <w:tc>
          <w:tcPr>
            <w:tcW w:w="108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12,50</w:t>
            </w:r>
          </w:p>
        </w:tc>
        <w:tc>
          <w:tcPr>
            <w:tcW w:w="1576"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35,00</w:t>
            </w:r>
          </w:p>
        </w:tc>
      </w:tr>
      <w:tr w:rsidR="00686657" w:rsidRPr="006B1A43" w:rsidTr="0068665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86657" w:rsidRPr="006B1A43" w:rsidRDefault="00686657" w:rsidP="006B1A43">
            <w:pPr>
              <w:jc w:val="right"/>
              <w:rPr>
                <w:rFonts w:ascii="Calibri" w:eastAsia="Times New Roman" w:hAnsi="Calibri" w:cs="Calibri"/>
                <w:color w:val="000000"/>
                <w:lang w:eastAsia="bg-BG"/>
              </w:rPr>
            </w:pPr>
          </w:p>
        </w:tc>
        <w:tc>
          <w:tcPr>
            <w:tcW w:w="96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96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96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142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1418"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1080"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c>
          <w:tcPr>
            <w:tcW w:w="1576" w:type="dxa"/>
            <w:noWrap/>
            <w:hideMark/>
          </w:tcPr>
          <w:p w:rsidR="00686657" w:rsidRPr="006B1A43" w:rsidRDefault="00686657"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p>
        </w:tc>
      </w:tr>
      <w:tr w:rsidR="00686657" w:rsidRPr="006B1A43" w:rsidTr="00686657">
        <w:trPr>
          <w:trHeight w:val="756"/>
        </w:trPr>
        <w:tc>
          <w:tcPr>
            <w:cnfStyle w:val="001000000000" w:firstRow="0" w:lastRow="0" w:firstColumn="1" w:lastColumn="0" w:oddVBand="0" w:evenVBand="0" w:oddHBand="0" w:evenHBand="0" w:firstRowFirstColumn="0" w:firstRowLastColumn="0" w:lastRowFirstColumn="0" w:lastRowLastColumn="0"/>
            <w:tcW w:w="1433" w:type="dxa"/>
            <w:vMerge w:val="restart"/>
            <w:hideMark/>
          </w:tcPr>
          <w:p w:rsidR="00686657" w:rsidRPr="006B1A43" w:rsidRDefault="00686657" w:rsidP="006B1A43">
            <w:pPr>
              <w:jc w:val="center"/>
              <w:rPr>
                <w:rFonts w:ascii="Calibri" w:eastAsia="Times New Roman" w:hAnsi="Calibri" w:cs="Calibri"/>
                <w:color w:val="000000"/>
                <w:sz w:val="20"/>
                <w:szCs w:val="20"/>
                <w:lang w:eastAsia="bg-BG"/>
              </w:rPr>
            </w:pPr>
            <w:r w:rsidRPr="006B1A43">
              <w:rPr>
                <w:rFonts w:ascii="Calibri" w:eastAsia="Times New Roman" w:hAnsi="Calibri" w:cs="Calibri"/>
                <w:color w:val="000000"/>
                <w:sz w:val="20"/>
                <w:szCs w:val="20"/>
                <w:lang w:eastAsia="bg-BG"/>
              </w:rPr>
              <w:t>Общ размер на проекта</w:t>
            </w:r>
          </w:p>
        </w:tc>
        <w:tc>
          <w:tcPr>
            <w:tcW w:w="2880" w:type="dxa"/>
            <w:gridSpan w:val="3"/>
            <w:hideMark/>
          </w:tcPr>
          <w:p w:rsidR="00686657" w:rsidRPr="006B1A43" w:rsidRDefault="00686657" w:rsidP="006B1A4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БФП</w:t>
            </w:r>
          </w:p>
        </w:tc>
        <w:tc>
          <w:tcPr>
            <w:tcW w:w="3918" w:type="dxa"/>
            <w:gridSpan w:val="3"/>
            <w:hideMark/>
          </w:tcPr>
          <w:p w:rsidR="00686657" w:rsidRPr="006B1A43" w:rsidRDefault="00686657" w:rsidP="006B1A4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Съ-финансиране чрез привлечен външен ресурс</w:t>
            </w:r>
          </w:p>
        </w:tc>
        <w:tc>
          <w:tcPr>
            <w:tcW w:w="1576" w:type="dxa"/>
            <w:vMerge w:val="restart"/>
            <w:hideMark/>
          </w:tcPr>
          <w:p w:rsidR="00686657" w:rsidRPr="006B1A43" w:rsidRDefault="00686657" w:rsidP="006B1A43">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Общ размер на финансирането от ЕС</w:t>
            </w:r>
          </w:p>
        </w:tc>
      </w:tr>
      <w:tr w:rsidR="00686657" w:rsidRPr="006B1A43" w:rsidTr="00686657">
        <w:trPr>
          <w:cnfStyle w:val="000000100000" w:firstRow="0" w:lastRow="0" w:firstColumn="0" w:lastColumn="0" w:oddVBand="0" w:evenVBand="0" w:oddHBand="1" w:evenHBand="0" w:firstRowFirstColumn="0" w:firstRowLastColumn="0" w:lastRowFirstColumn="0" w:lastRowLastColumn="0"/>
          <w:trHeight w:val="1035"/>
        </w:trPr>
        <w:tc>
          <w:tcPr>
            <w:cnfStyle w:val="001000000000" w:firstRow="0" w:lastRow="0" w:firstColumn="1" w:lastColumn="0" w:oddVBand="0" w:evenVBand="0" w:oddHBand="0" w:evenHBand="0" w:firstRowFirstColumn="0" w:firstRowLastColumn="0" w:lastRowFirstColumn="0" w:lastRowLastColumn="0"/>
            <w:tcW w:w="1433" w:type="dxa"/>
            <w:vMerge/>
            <w:hideMark/>
          </w:tcPr>
          <w:p w:rsidR="006B1A43" w:rsidRPr="006B1A43" w:rsidRDefault="006B1A43" w:rsidP="006B1A43">
            <w:pPr>
              <w:rPr>
                <w:rFonts w:ascii="Calibri" w:eastAsia="Times New Roman" w:hAnsi="Calibri" w:cs="Calibri"/>
                <w:color w:val="000000"/>
                <w:sz w:val="20"/>
                <w:szCs w:val="20"/>
                <w:lang w:eastAsia="bg-BG"/>
              </w:rPr>
            </w:pPr>
          </w:p>
        </w:tc>
        <w:tc>
          <w:tcPr>
            <w:tcW w:w="96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КФ 85%</w:t>
            </w:r>
          </w:p>
        </w:tc>
        <w:tc>
          <w:tcPr>
            <w:tcW w:w="96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ДБ 15%</w:t>
            </w:r>
          </w:p>
        </w:tc>
        <w:tc>
          <w:tcPr>
            <w:tcW w:w="960" w:type="dxa"/>
            <w:hideMark/>
          </w:tcPr>
          <w:p w:rsidR="006B1A43" w:rsidRPr="006B1A43" w:rsidRDefault="00686657"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Pr>
                <w:rFonts w:ascii="Calibri" w:eastAsia="Times New Roman" w:hAnsi="Calibri" w:cs="Calibri"/>
                <w:b/>
                <w:bCs/>
                <w:color w:val="000000"/>
                <w:sz w:val="20"/>
                <w:szCs w:val="20"/>
                <w:lang w:eastAsia="bg-BG"/>
              </w:rPr>
              <w:t>Общо</w:t>
            </w:r>
          </w:p>
        </w:tc>
        <w:tc>
          <w:tcPr>
            <w:tcW w:w="1420" w:type="dxa"/>
            <w:hideMark/>
          </w:tcPr>
          <w:p w:rsidR="006B1A43" w:rsidRPr="006B1A43" w:rsidRDefault="006B1A43"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6B1A43">
              <w:rPr>
                <w:rFonts w:ascii="Calibri" w:eastAsia="Times New Roman" w:hAnsi="Calibri" w:cs="Calibri"/>
                <w:b/>
                <w:bCs/>
                <w:color w:val="000000"/>
                <w:sz w:val="20"/>
                <w:szCs w:val="20"/>
                <w:lang w:eastAsia="bg-BG"/>
              </w:rPr>
              <w:t>КФ като подчинен капитал 35%</w:t>
            </w:r>
          </w:p>
        </w:tc>
        <w:tc>
          <w:tcPr>
            <w:tcW w:w="1418" w:type="dxa"/>
            <w:hideMark/>
          </w:tcPr>
          <w:p w:rsidR="006B1A43" w:rsidRPr="006B1A43" w:rsidRDefault="00120BCE"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sidRPr="00120BCE">
              <w:rPr>
                <w:rFonts w:ascii="Calibri" w:eastAsia="Times New Roman" w:hAnsi="Calibri" w:cs="Calibri"/>
                <w:b/>
                <w:bCs/>
                <w:color w:val="000000"/>
                <w:sz w:val="20"/>
                <w:szCs w:val="20"/>
                <w:lang w:eastAsia="bg-BG"/>
              </w:rPr>
              <w:t xml:space="preserve">Финансиране от други източници </w:t>
            </w:r>
            <w:r w:rsidR="006B1A43" w:rsidRPr="006B1A43">
              <w:rPr>
                <w:rFonts w:ascii="Calibri" w:eastAsia="Times New Roman" w:hAnsi="Calibri" w:cs="Calibri"/>
                <w:b/>
                <w:bCs/>
                <w:color w:val="000000"/>
                <w:sz w:val="20"/>
                <w:szCs w:val="20"/>
                <w:lang w:eastAsia="bg-BG"/>
              </w:rPr>
              <w:t>65%</w:t>
            </w:r>
          </w:p>
        </w:tc>
        <w:tc>
          <w:tcPr>
            <w:tcW w:w="1080" w:type="dxa"/>
            <w:hideMark/>
          </w:tcPr>
          <w:p w:rsidR="006B1A43" w:rsidRPr="006B1A43" w:rsidRDefault="00686657" w:rsidP="006B1A43">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r>
              <w:rPr>
                <w:rFonts w:ascii="Calibri" w:eastAsia="Times New Roman" w:hAnsi="Calibri" w:cs="Calibri"/>
                <w:b/>
                <w:bCs/>
                <w:color w:val="000000"/>
                <w:sz w:val="20"/>
                <w:szCs w:val="20"/>
                <w:lang w:eastAsia="bg-BG"/>
              </w:rPr>
              <w:t>Общо</w:t>
            </w:r>
          </w:p>
        </w:tc>
        <w:tc>
          <w:tcPr>
            <w:tcW w:w="1576" w:type="dxa"/>
            <w:vMerge/>
            <w:hideMark/>
          </w:tcPr>
          <w:p w:rsidR="006B1A43" w:rsidRPr="006B1A43" w:rsidRDefault="006B1A43" w:rsidP="006B1A43">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20"/>
                <w:szCs w:val="20"/>
                <w:lang w:eastAsia="bg-BG"/>
              </w:rPr>
            </w:pPr>
          </w:p>
        </w:tc>
      </w:tr>
      <w:tr w:rsidR="006B1A43" w:rsidRPr="006B1A43" w:rsidTr="00686657">
        <w:trPr>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t>50</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36,13</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6,38</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42,50</w:t>
            </w:r>
          </w:p>
        </w:tc>
        <w:tc>
          <w:tcPr>
            <w:tcW w:w="142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2,63</w:t>
            </w:r>
          </w:p>
        </w:tc>
        <w:tc>
          <w:tcPr>
            <w:tcW w:w="1418"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4,88</w:t>
            </w:r>
          </w:p>
        </w:tc>
        <w:tc>
          <w:tcPr>
            <w:tcW w:w="108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7,50</w:t>
            </w:r>
          </w:p>
        </w:tc>
        <w:tc>
          <w:tcPr>
            <w:tcW w:w="1576"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38,75</w:t>
            </w:r>
          </w:p>
        </w:tc>
      </w:tr>
      <w:tr w:rsidR="00686657" w:rsidRPr="006B1A43" w:rsidTr="00686657">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t>50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34,00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6,00</w:t>
            </w:r>
          </w:p>
        </w:tc>
        <w:tc>
          <w:tcPr>
            <w:tcW w:w="96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40,00</w:t>
            </w:r>
          </w:p>
        </w:tc>
        <w:tc>
          <w:tcPr>
            <w:tcW w:w="142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3,50</w:t>
            </w:r>
          </w:p>
        </w:tc>
        <w:tc>
          <w:tcPr>
            <w:tcW w:w="1418"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6,50</w:t>
            </w:r>
          </w:p>
        </w:tc>
        <w:tc>
          <w:tcPr>
            <w:tcW w:w="1080"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10,00</w:t>
            </w:r>
          </w:p>
        </w:tc>
        <w:tc>
          <w:tcPr>
            <w:tcW w:w="1576" w:type="dxa"/>
            <w:noWrap/>
            <w:hideMark/>
          </w:tcPr>
          <w:p w:rsidR="006B1A43" w:rsidRPr="006B1A43" w:rsidRDefault="006B1A43" w:rsidP="006B1A43">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37,50</w:t>
            </w:r>
          </w:p>
        </w:tc>
      </w:tr>
      <w:tr w:rsidR="006B1A43" w:rsidRPr="006B1A43" w:rsidTr="00686657">
        <w:trPr>
          <w:trHeight w:val="315"/>
        </w:trPr>
        <w:tc>
          <w:tcPr>
            <w:cnfStyle w:val="001000000000" w:firstRow="0" w:lastRow="0" w:firstColumn="1" w:lastColumn="0" w:oddVBand="0" w:evenVBand="0" w:oddHBand="0" w:evenHBand="0" w:firstRowFirstColumn="0" w:firstRowLastColumn="0" w:lastRowFirstColumn="0" w:lastRowLastColumn="0"/>
            <w:tcW w:w="1433" w:type="dxa"/>
            <w:noWrap/>
            <w:hideMark/>
          </w:tcPr>
          <w:p w:rsidR="006B1A43" w:rsidRPr="006B1A43" w:rsidRDefault="006B1A43" w:rsidP="006B1A43">
            <w:pPr>
              <w:jc w:val="right"/>
              <w:rPr>
                <w:rFonts w:ascii="Calibri" w:eastAsia="Times New Roman" w:hAnsi="Calibri" w:cs="Calibri"/>
                <w:color w:val="000000"/>
                <w:lang w:eastAsia="bg-BG"/>
              </w:rPr>
            </w:pPr>
            <w:r w:rsidRPr="006B1A43">
              <w:rPr>
                <w:rFonts w:ascii="Calibri" w:eastAsia="Times New Roman" w:hAnsi="Calibri" w:cs="Calibri"/>
                <w:color w:val="000000"/>
                <w:lang w:eastAsia="bg-BG"/>
              </w:rPr>
              <w:t>50</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31,88</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5,63</w:t>
            </w:r>
          </w:p>
        </w:tc>
        <w:tc>
          <w:tcPr>
            <w:tcW w:w="96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37,50</w:t>
            </w:r>
          </w:p>
        </w:tc>
        <w:tc>
          <w:tcPr>
            <w:tcW w:w="142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4,38</w:t>
            </w:r>
          </w:p>
        </w:tc>
        <w:tc>
          <w:tcPr>
            <w:tcW w:w="1418"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8,13</w:t>
            </w:r>
          </w:p>
        </w:tc>
        <w:tc>
          <w:tcPr>
            <w:tcW w:w="1080"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12,50</w:t>
            </w:r>
          </w:p>
        </w:tc>
        <w:tc>
          <w:tcPr>
            <w:tcW w:w="1576" w:type="dxa"/>
            <w:noWrap/>
            <w:hideMark/>
          </w:tcPr>
          <w:p w:rsidR="006B1A43" w:rsidRPr="006B1A43" w:rsidRDefault="006B1A43" w:rsidP="006B1A43">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B1A43">
              <w:rPr>
                <w:rFonts w:ascii="Calibri" w:eastAsia="Times New Roman" w:hAnsi="Calibri" w:cs="Calibri"/>
                <w:color w:val="000000"/>
                <w:lang w:eastAsia="bg-BG"/>
              </w:rPr>
              <w:t>36,25</w:t>
            </w:r>
          </w:p>
        </w:tc>
      </w:tr>
    </w:tbl>
    <w:p w:rsidR="006B1A43" w:rsidRDefault="006B1A43" w:rsidP="00590236">
      <w:pPr>
        <w:autoSpaceDE w:val="0"/>
        <w:autoSpaceDN w:val="0"/>
        <w:adjustRightInd w:val="0"/>
        <w:spacing w:after="0" w:line="240" w:lineRule="auto"/>
        <w:jc w:val="both"/>
        <w:rPr>
          <w:rFonts w:cs="Georgia"/>
        </w:rPr>
      </w:pPr>
    </w:p>
    <w:p w:rsidR="004876A9" w:rsidRDefault="004876A9" w:rsidP="00590236">
      <w:pPr>
        <w:autoSpaceDE w:val="0"/>
        <w:autoSpaceDN w:val="0"/>
        <w:adjustRightInd w:val="0"/>
        <w:spacing w:after="0" w:line="240" w:lineRule="auto"/>
        <w:jc w:val="both"/>
        <w:rPr>
          <w:rFonts w:cs="Georgia"/>
          <w:i/>
          <w:sz w:val="20"/>
          <w:szCs w:val="20"/>
        </w:rPr>
      </w:pPr>
      <w:r w:rsidRPr="004876A9">
        <w:rPr>
          <w:rFonts w:cs="Georgia"/>
          <w:i/>
          <w:sz w:val="20"/>
          <w:szCs w:val="20"/>
          <w:u w:val="single"/>
        </w:rPr>
        <w:t>Забележка:</w:t>
      </w:r>
      <w:r w:rsidRPr="00686657">
        <w:rPr>
          <w:rFonts w:cs="Georgia"/>
          <w:sz w:val="20"/>
          <w:szCs w:val="20"/>
        </w:rPr>
        <w:t xml:space="preserve"> </w:t>
      </w:r>
      <w:r w:rsidRPr="004876A9">
        <w:rPr>
          <w:rFonts w:cs="Georgia"/>
          <w:i/>
          <w:sz w:val="20"/>
          <w:szCs w:val="20"/>
        </w:rPr>
        <w:t>Всички стойности са в млн. евро</w:t>
      </w:r>
      <w:r>
        <w:rPr>
          <w:rFonts w:cs="Georgia"/>
          <w:i/>
          <w:sz w:val="20"/>
          <w:szCs w:val="20"/>
        </w:rPr>
        <w:t>.</w:t>
      </w:r>
      <w:r w:rsidR="003C73FF">
        <w:rPr>
          <w:rFonts w:cs="Georgia"/>
          <w:i/>
          <w:sz w:val="20"/>
          <w:szCs w:val="20"/>
        </w:rPr>
        <w:t xml:space="preserve"> Изчисленията са направени по следните формули:</w:t>
      </w:r>
    </w:p>
    <w:p w:rsidR="003C73FF" w:rsidRDefault="003C73FF" w:rsidP="00590236">
      <w:pPr>
        <w:autoSpaceDE w:val="0"/>
        <w:autoSpaceDN w:val="0"/>
        <w:adjustRightInd w:val="0"/>
        <w:spacing w:after="0" w:line="240" w:lineRule="auto"/>
        <w:jc w:val="both"/>
        <w:rPr>
          <w:rFonts w:cs="Georgia"/>
          <w:i/>
          <w:sz w:val="20"/>
          <w:szCs w:val="20"/>
        </w:rPr>
      </w:pPr>
    </w:p>
    <w:tbl>
      <w:tblPr>
        <w:tblW w:w="3984" w:type="dxa"/>
        <w:tblInd w:w="55" w:type="dxa"/>
        <w:tblCellMar>
          <w:left w:w="70" w:type="dxa"/>
          <w:right w:w="70" w:type="dxa"/>
        </w:tblCellMar>
        <w:tblLook w:val="04A0" w:firstRow="1" w:lastRow="0" w:firstColumn="1" w:lastColumn="0" w:noHBand="0" w:noVBand="1"/>
      </w:tblPr>
      <w:tblGrid>
        <w:gridCol w:w="3984"/>
      </w:tblGrid>
      <w:tr w:rsidR="003C73FF" w:rsidRPr="003C73FF" w:rsidTr="003C73FF">
        <w:trPr>
          <w:trHeight w:val="330"/>
        </w:trPr>
        <w:tc>
          <w:tcPr>
            <w:tcW w:w="3984" w:type="dxa"/>
            <w:tcBorders>
              <w:top w:val="nil"/>
              <w:left w:val="nil"/>
              <w:bottom w:val="nil"/>
              <w:right w:val="nil"/>
            </w:tcBorders>
            <w:shd w:val="clear" w:color="auto" w:fill="auto"/>
            <w:noWrap/>
            <w:vAlign w:val="bottom"/>
            <w:hideMark/>
          </w:tcPr>
          <w:p w:rsidR="003C73FF" w:rsidRPr="003C73FF" w:rsidRDefault="003C73FF" w:rsidP="003C73FF">
            <w:pPr>
              <w:spacing w:after="0" w:line="240" w:lineRule="auto"/>
              <w:rPr>
                <w:rFonts w:ascii="Calibri" w:eastAsia="Times New Roman" w:hAnsi="Calibri" w:cs="Calibri"/>
                <w:color w:val="000000"/>
                <w:lang w:eastAsia="bg-BG"/>
              </w:rPr>
            </w:pPr>
            <w:r w:rsidRPr="003C73FF">
              <w:rPr>
                <w:rFonts w:ascii="Calibri" w:eastAsia="Times New Roman" w:hAnsi="Calibri" w:cs="Calibri"/>
                <w:color w:val="000000"/>
                <w:lang w:eastAsia="bg-BG"/>
              </w:rPr>
              <w:t>БФПO = (ОРП*85% + ОРП*15%)</w:t>
            </w:r>
          </w:p>
        </w:tc>
      </w:tr>
      <w:tr w:rsidR="003C73FF" w:rsidRPr="003C73FF" w:rsidTr="003C73FF">
        <w:trPr>
          <w:trHeight w:val="315"/>
        </w:trPr>
        <w:tc>
          <w:tcPr>
            <w:tcW w:w="3984" w:type="dxa"/>
            <w:tcBorders>
              <w:top w:val="nil"/>
              <w:left w:val="nil"/>
              <w:bottom w:val="nil"/>
              <w:right w:val="nil"/>
            </w:tcBorders>
            <w:shd w:val="clear" w:color="auto" w:fill="auto"/>
            <w:noWrap/>
            <w:vAlign w:val="bottom"/>
            <w:hideMark/>
          </w:tcPr>
          <w:p w:rsidR="003C73FF" w:rsidRPr="003C73FF" w:rsidRDefault="003C73FF" w:rsidP="003C73FF">
            <w:pPr>
              <w:spacing w:after="0" w:line="240" w:lineRule="auto"/>
              <w:rPr>
                <w:rFonts w:ascii="Calibri" w:eastAsia="Times New Roman" w:hAnsi="Calibri" w:cs="Calibri"/>
                <w:color w:val="000000"/>
                <w:lang w:eastAsia="bg-BG"/>
              </w:rPr>
            </w:pPr>
            <w:r w:rsidRPr="003C73FF">
              <w:rPr>
                <w:rFonts w:ascii="Calibri" w:eastAsia="Times New Roman" w:hAnsi="Calibri" w:cs="Calibri"/>
                <w:color w:val="000000"/>
                <w:lang w:eastAsia="bg-BG"/>
              </w:rPr>
              <w:t>ПВР = (РЗФ*РПК% + РЗФ*ФДИ%)</w:t>
            </w:r>
          </w:p>
        </w:tc>
      </w:tr>
    </w:tbl>
    <w:p w:rsidR="003C73FF" w:rsidRDefault="003C73FF" w:rsidP="00590236">
      <w:pPr>
        <w:autoSpaceDE w:val="0"/>
        <w:autoSpaceDN w:val="0"/>
        <w:adjustRightInd w:val="0"/>
        <w:spacing w:after="0" w:line="240" w:lineRule="auto"/>
        <w:jc w:val="both"/>
        <w:rPr>
          <w:rFonts w:cs="Georgia"/>
          <w:i/>
          <w:sz w:val="20"/>
          <w:szCs w:val="20"/>
        </w:rPr>
      </w:pPr>
    </w:p>
    <w:p w:rsidR="003C73FF" w:rsidRDefault="003C73FF" w:rsidP="00590236">
      <w:pPr>
        <w:autoSpaceDE w:val="0"/>
        <w:autoSpaceDN w:val="0"/>
        <w:adjustRightInd w:val="0"/>
        <w:spacing w:after="0" w:line="240" w:lineRule="auto"/>
        <w:jc w:val="both"/>
        <w:rPr>
          <w:rFonts w:cs="Georgia"/>
          <w:i/>
          <w:sz w:val="20"/>
          <w:szCs w:val="20"/>
        </w:rPr>
      </w:pPr>
      <w:r>
        <w:rPr>
          <w:rFonts w:cs="Georgia"/>
          <w:i/>
          <w:sz w:val="20"/>
          <w:szCs w:val="20"/>
        </w:rPr>
        <w:t>Където:</w:t>
      </w:r>
    </w:p>
    <w:p w:rsidR="003C73FF" w:rsidRDefault="003C73FF" w:rsidP="00590236">
      <w:pPr>
        <w:autoSpaceDE w:val="0"/>
        <w:autoSpaceDN w:val="0"/>
        <w:adjustRightInd w:val="0"/>
        <w:spacing w:after="0" w:line="240" w:lineRule="auto"/>
        <w:jc w:val="both"/>
        <w:rPr>
          <w:rFonts w:cs="Georgia"/>
          <w:i/>
          <w:sz w:val="20"/>
          <w:szCs w:val="20"/>
        </w:rPr>
      </w:pPr>
    </w:p>
    <w:tbl>
      <w:tblPr>
        <w:tblW w:w="5402" w:type="dxa"/>
        <w:tblInd w:w="55" w:type="dxa"/>
        <w:tblCellMar>
          <w:left w:w="70" w:type="dxa"/>
          <w:right w:w="70" w:type="dxa"/>
        </w:tblCellMar>
        <w:tblLook w:val="04A0" w:firstRow="1" w:lastRow="0" w:firstColumn="1" w:lastColumn="0" w:noHBand="0" w:noVBand="1"/>
      </w:tblPr>
      <w:tblGrid>
        <w:gridCol w:w="5402"/>
      </w:tblGrid>
      <w:tr w:rsidR="003C73FF" w:rsidRPr="003C73FF" w:rsidTr="003C73FF">
        <w:trPr>
          <w:trHeight w:val="315"/>
        </w:trPr>
        <w:tc>
          <w:tcPr>
            <w:tcW w:w="5402" w:type="dxa"/>
            <w:tcBorders>
              <w:top w:val="nil"/>
              <w:left w:val="nil"/>
              <w:bottom w:val="nil"/>
              <w:right w:val="nil"/>
            </w:tcBorders>
            <w:shd w:val="clear" w:color="auto" w:fill="auto"/>
            <w:noWrap/>
            <w:vAlign w:val="bottom"/>
            <w:hideMark/>
          </w:tcPr>
          <w:p w:rsidR="003C73FF" w:rsidRPr="003C73FF" w:rsidRDefault="003C73FF" w:rsidP="003C73FF">
            <w:pPr>
              <w:spacing w:after="0" w:line="240" w:lineRule="auto"/>
              <w:rPr>
                <w:rFonts w:ascii="Calibri" w:eastAsia="Times New Roman" w:hAnsi="Calibri" w:cs="Calibri"/>
                <w:color w:val="000000"/>
                <w:lang w:eastAsia="bg-BG"/>
              </w:rPr>
            </w:pPr>
            <w:r w:rsidRPr="003C73FF">
              <w:rPr>
                <w:rFonts w:ascii="Calibri" w:eastAsia="Times New Roman" w:hAnsi="Calibri" w:cs="Calibri"/>
                <w:color w:val="000000"/>
                <w:lang w:eastAsia="bg-BG"/>
              </w:rPr>
              <w:t>БФПО - Общ размер на БФП</w:t>
            </w:r>
          </w:p>
        </w:tc>
      </w:tr>
      <w:tr w:rsidR="003C73FF" w:rsidRPr="003C73FF" w:rsidTr="003C73FF">
        <w:trPr>
          <w:trHeight w:val="315"/>
        </w:trPr>
        <w:tc>
          <w:tcPr>
            <w:tcW w:w="5402" w:type="dxa"/>
            <w:tcBorders>
              <w:top w:val="nil"/>
              <w:left w:val="nil"/>
              <w:bottom w:val="nil"/>
              <w:right w:val="nil"/>
            </w:tcBorders>
            <w:shd w:val="clear" w:color="auto" w:fill="auto"/>
            <w:noWrap/>
            <w:vAlign w:val="bottom"/>
            <w:hideMark/>
          </w:tcPr>
          <w:p w:rsidR="003C73FF" w:rsidRPr="003C73FF" w:rsidRDefault="003C73FF" w:rsidP="003C73FF">
            <w:pPr>
              <w:spacing w:after="0" w:line="240" w:lineRule="auto"/>
              <w:rPr>
                <w:rFonts w:ascii="Calibri" w:eastAsia="Times New Roman" w:hAnsi="Calibri" w:cs="Calibri"/>
                <w:color w:val="000000"/>
                <w:lang w:eastAsia="bg-BG"/>
              </w:rPr>
            </w:pPr>
            <w:r w:rsidRPr="003C73FF">
              <w:rPr>
                <w:rFonts w:ascii="Calibri" w:eastAsia="Times New Roman" w:hAnsi="Calibri" w:cs="Calibri"/>
                <w:color w:val="000000"/>
                <w:lang w:eastAsia="bg-BG"/>
              </w:rPr>
              <w:t>ОРП - Общ размер на проекта</w:t>
            </w:r>
          </w:p>
        </w:tc>
      </w:tr>
      <w:tr w:rsidR="003C73FF" w:rsidRPr="003C73FF" w:rsidTr="003C73FF">
        <w:trPr>
          <w:trHeight w:val="315"/>
        </w:trPr>
        <w:tc>
          <w:tcPr>
            <w:tcW w:w="5402" w:type="dxa"/>
            <w:tcBorders>
              <w:top w:val="nil"/>
              <w:left w:val="nil"/>
              <w:bottom w:val="nil"/>
              <w:right w:val="nil"/>
            </w:tcBorders>
            <w:shd w:val="clear" w:color="auto" w:fill="auto"/>
            <w:noWrap/>
            <w:vAlign w:val="bottom"/>
            <w:hideMark/>
          </w:tcPr>
          <w:p w:rsidR="003C73FF" w:rsidRPr="003C73FF" w:rsidRDefault="003C73FF" w:rsidP="003C73FF">
            <w:pPr>
              <w:spacing w:after="0" w:line="240" w:lineRule="auto"/>
              <w:rPr>
                <w:rFonts w:ascii="Calibri" w:eastAsia="Times New Roman" w:hAnsi="Calibri" w:cs="Calibri"/>
                <w:color w:val="000000"/>
                <w:lang w:eastAsia="bg-BG"/>
              </w:rPr>
            </w:pPr>
            <w:r w:rsidRPr="003C73FF">
              <w:rPr>
                <w:rFonts w:ascii="Calibri" w:eastAsia="Times New Roman" w:hAnsi="Calibri" w:cs="Calibri"/>
                <w:color w:val="000000"/>
                <w:lang w:eastAsia="bg-BG"/>
              </w:rPr>
              <w:t>ПВР - привлечен външен ресурс</w:t>
            </w:r>
          </w:p>
        </w:tc>
      </w:tr>
      <w:tr w:rsidR="003C73FF" w:rsidRPr="003C73FF" w:rsidTr="003C73FF">
        <w:trPr>
          <w:trHeight w:val="401"/>
        </w:trPr>
        <w:tc>
          <w:tcPr>
            <w:tcW w:w="5402" w:type="dxa"/>
            <w:tcBorders>
              <w:top w:val="nil"/>
              <w:left w:val="nil"/>
              <w:bottom w:val="nil"/>
              <w:right w:val="nil"/>
            </w:tcBorders>
            <w:shd w:val="clear" w:color="auto" w:fill="auto"/>
            <w:noWrap/>
            <w:vAlign w:val="bottom"/>
            <w:hideMark/>
          </w:tcPr>
          <w:p w:rsidR="003C73FF" w:rsidRPr="003C73FF" w:rsidRDefault="003C73FF" w:rsidP="003C73FF">
            <w:pPr>
              <w:spacing w:after="0" w:line="240" w:lineRule="auto"/>
              <w:rPr>
                <w:rFonts w:ascii="Calibri" w:eastAsia="Times New Roman" w:hAnsi="Calibri" w:cs="Calibri"/>
                <w:color w:val="000000"/>
                <w:lang w:eastAsia="bg-BG"/>
              </w:rPr>
            </w:pPr>
            <w:r w:rsidRPr="003C73FF">
              <w:rPr>
                <w:rFonts w:ascii="Calibri" w:eastAsia="Times New Roman" w:hAnsi="Calibri" w:cs="Calibri"/>
                <w:color w:val="000000"/>
                <w:lang w:eastAsia="bg-BG"/>
              </w:rPr>
              <w:t>РЗФ - размер на заемно финансиране</w:t>
            </w:r>
          </w:p>
        </w:tc>
      </w:tr>
      <w:tr w:rsidR="003C73FF" w:rsidRPr="003C73FF" w:rsidTr="003C73FF">
        <w:trPr>
          <w:trHeight w:val="315"/>
        </w:trPr>
        <w:tc>
          <w:tcPr>
            <w:tcW w:w="5402" w:type="dxa"/>
            <w:tcBorders>
              <w:top w:val="nil"/>
              <w:left w:val="nil"/>
              <w:bottom w:val="nil"/>
              <w:right w:val="nil"/>
            </w:tcBorders>
            <w:shd w:val="clear" w:color="auto" w:fill="auto"/>
            <w:noWrap/>
            <w:vAlign w:val="bottom"/>
            <w:hideMark/>
          </w:tcPr>
          <w:p w:rsidR="003C73FF" w:rsidRPr="003C73FF" w:rsidRDefault="003C73FF" w:rsidP="003C73FF">
            <w:pPr>
              <w:spacing w:after="0" w:line="240" w:lineRule="auto"/>
              <w:rPr>
                <w:rFonts w:ascii="Calibri" w:eastAsia="Times New Roman" w:hAnsi="Calibri" w:cs="Calibri"/>
                <w:color w:val="000000"/>
                <w:lang w:eastAsia="bg-BG"/>
              </w:rPr>
            </w:pPr>
            <w:r w:rsidRPr="003C73FF">
              <w:rPr>
                <w:rFonts w:ascii="Calibri" w:eastAsia="Times New Roman" w:hAnsi="Calibri" w:cs="Calibri"/>
                <w:color w:val="000000"/>
                <w:lang w:eastAsia="bg-BG"/>
              </w:rPr>
              <w:t>РПК - размер на подчинения капитал</w:t>
            </w:r>
          </w:p>
        </w:tc>
      </w:tr>
      <w:tr w:rsidR="003C73FF" w:rsidRPr="003C73FF" w:rsidTr="003C73FF">
        <w:trPr>
          <w:trHeight w:val="315"/>
        </w:trPr>
        <w:tc>
          <w:tcPr>
            <w:tcW w:w="5402" w:type="dxa"/>
            <w:tcBorders>
              <w:top w:val="nil"/>
              <w:left w:val="nil"/>
              <w:bottom w:val="nil"/>
              <w:right w:val="nil"/>
            </w:tcBorders>
            <w:shd w:val="clear" w:color="auto" w:fill="auto"/>
            <w:noWrap/>
            <w:vAlign w:val="bottom"/>
            <w:hideMark/>
          </w:tcPr>
          <w:p w:rsidR="003C73FF" w:rsidRPr="003C73FF" w:rsidRDefault="003C73FF" w:rsidP="003C73FF">
            <w:pPr>
              <w:spacing w:after="0" w:line="240" w:lineRule="auto"/>
              <w:rPr>
                <w:rFonts w:ascii="Calibri" w:eastAsia="Times New Roman" w:hAnsi="Calibri" w:cs="Calibri"/>
                <w:color w:val="000000"/>
                <w:lang w:eastAsia="bg-BG"/>
              </w:rPr>
            </w:pPr>
            <w:r w:rsidRPr="003C73FF">
              <w:rPr>
                <w:rFonts w:ascii="Calibri" w:eastAsia="Times New Roman" w:hAnsi="Calibri" w:cs="Calibri"/>
                <w:color w:val="000000"/>
                <w:lang w:eastAsia="bg-BG"/>
              </w:rPr>
              <w:t>ФДИ - финансиране от други източници</w:t>
            </w:r>
          </w:p>
        </w:tc>
      </w:tr>
    </w:tbl>
    <w:p w:rsidR="003C73FF" w:rsidRPr="004876A9" w:rsidRDefault="003C73FF" w:rsidP="00590236">
      <w:pPr>
        <w:autoSpaceDE w:val="0"/>
        <w:autoSpaceDN w:val="0"/>
        <w:adjustRightInd w:val="0"/>
        <w:spacing w:after="0" w:line="240" w:lineRule="auto"/>
        <w:jc w:val="both"/>
        <w:rPr>
          <w:rFonts w:cs="Georgia"/>
          <w:i/>
          <w:sz w:val="20"/>
          <w:szCs w:val="20"/>
        </w:rPr>
      </w:pPr>
    </w:p>
    <w:p w:rsidR="004876A9" w:rsidRDefault="004876A9" w:rsidP="00590236">
      <w:pPr>
        <w:autoSpaceDE w:val="0"/>
        <w:autoSpaceDN w:val="0"/>
        <w:adjustRightInd w:val="0"/>
        <w:spacing w:after="0" w:line="240" w:lineRule="auto"/>
        <w:jc w:val="both"/>
        <w:rPr>
          <w:rFonts w:cs="Georgia"/>
        </w:rPr>
      </w:pPr>
    </w:p>
    <w:p w:rsidR="00972531" w:rsidRDefault="00972531" w:rsidP="00972531">
      <w:pPr>
        <w:autoSpaceDE w:val="0"/>
        <w:autoSpaceDN w:val="0"/>
        <w:adjustRightInd w:val="0"/>
        <w:spacing w:after="0" w:line="240" w:lineRule="auto"/>
        <w:jc w:val="both"/>
        <w:rPr>
          <w:rFonts w:cs="Georgia"/>
          <w:color w:val="000000"/>
        </w:rPr>
      </w:pPr>
      <w:r>
        <w:rPr>
          <w:rFonts w:cs="Georgia"/>
          <w:color w:val="000000"/>
        </w:rPr>
        <w:lastRenderedPageBreak/>
        <w:t xml:space="preserve">От тук ясно се вижда, че колкото е по-голям интензитетът на </w:t>
      </w:r>
      <w:r w:rsidR="004876A9">
        <w:rPr>
          <w:rFonts w:cs="Georgia"/>
          <w:color w:val="000000"/>
        </w:rPr>
        <w:t>приноса от КФ</w:t>
      </w:r>
      <w:r>
        <w:rPr>
          <w:rFonts w:cs="Georgia"/>
          <w:color w:val="000000"/>
        </w:rPr>
        <w:t xml:space="preserve"> в заема и колкото е по-малък размерът на външното заемно финансиране, толкова по-малка е стойността на привлеченото външно финансиране. Средната стойност на привлечения външен ресурс за трите вида проекти с различен интензитет на субсидията в структурата на заема е обобщена на следната графика:</w:t>
      </w:r>
    </w:p>
    <w:p w:rsidR="00972531" w:rsidRDefault="00972531" w:rsidP="00972531">
      <w:pPr>
        <w:autoSpaceDE w:val="0"/>
        <w:autoSpaceDN w:val="0"/>
        <w:adjustRightInd w:val="0"/>
        <w:spacing w:line="240" w:lineRule="auto"/>
        <w:jc w:val="both"/>
        <w:rPr>
          <w:rFonts w:cs="Georgia"/>
          <w:color w:val="000000"/>
        </w:rPr>
      </w:pPr>
    </w:p>
    <w:p w:rsidR="003C73FF" w:rsidRDefault="003C73FF" w:rsidP="00972531">
      <w:pPr>
        <w:autoSpaceDE w:val="0"/>
        <w:autoSpaceDN w:val="0"/>
        <w:adjustRightInd w:val="0"/>
        <w:spacing w:line="240" w:lineRule="auto"/>
        <w:jc w:val="both"/>
        <w:rPr>
          <w:rFonts w:cs="Georgia"/>
          <w:color w:val="000000"/>
        </w:rPr>
      </w:pPr>
    </w:p>
    <w:p w:rsidR="003C73FF" w:rsidRDefault="003C73FF" w:rsidP="00972531">
      <w:pPr>
        <w:autoSpaceDE w:val="0"/>
        <w:autoSpaceDN w:val="0"/>
        <w:adjustRightInd w:val="0"/>
        <w:spacing w:line="240" w:lineRule="auto"/>
        <w:jc w:val="both"/>
        <w:rPr>
          <w:rFonts w:cs="Georgia"/>
          <w:color w:val="000000"/>
        </w:rPr>
      </w:pPr>
    </w:p>
    <w:p w:rsidR="00972531" w:rsidRPr="00C10307" w:rsidRDefault="00972531" w:rsidP="00972531">
      <w:pPr>
        <w:pStyle w:val="Caption"/>
        <w:jc w:val="center"/>
        <w:rPr>
          <w:rFonts w:asciiTheme="minorHAnsi" w:hAnsiTheme="minorHAnsi" w:cstheme="minorHAnsi"/>
          <w:color w:val="000000"/>
        </w:rPr>
      </w:pPr>
      <w:bookmarkStart w:id="125" w:name="_Toc399494641"/>
      <w:r w:rsidRPr="00C10307">
        <w:rPr>
          <w:rFonts w:asciiTheme="minorHAnsi" w:hAnsiTheme="minorHAnsi" w:cstheme="minorHAnsi"/>
        </w:rPr>
        <w:t xml:space="preserve">Фигура </w:t>
      </w:r>
      <w:r w:rsidR="008E6461" w:rsidRPr="00C10307">
        <w:rPr>
          <w:rFonts w:asciiTheme="minorHAnsi" w:hAnsiTheme="minorHAnsi" w:cstheme="minorHAnsi"/>
        </w:rPr>
        <w:fldChar w:fldCharType="begin"/>
      </w:r>
      <w:r w:rsidRPr="00C10307">
        <w:rPr>
          <w:rFonts w:asciiTheme="minorHAnsi" w:hAnsiTheme="minorHAnsi" w:cstheme="minorHAnsi"/>
        </w:rPr>
        <w:instrText xml:space="preserve"> SEQ фигура \* ARABIC </w:instrText>
      </w:r>
      <w:r w:rsidR="008E6461" w:rsidRPr="00C10307">
        <w:rPr>
          <w:rFonts w:asciiTheme="minorHAnsi" w:hAnsiTheme="minorHAnsi" w:cstheme="minorHAnsi"/>
        </w:rPr>
        <w:fldChar w:fldCharType="separate"/>
      </w:r>
      <w:r w:rsidR="003A69A7">
        <w:rPr>
          <w:rFonts w:asciiTheme="minorHAnsi" w:hAnsiTheme="minorHAnsi" w:cstheme="minorHAnsi"/>
          <w:noProof/>
        </w:rPr>
        <w:t>56</w:t>
      </w:r>
      <w:r w:rsidR="008E6461" w:rsidRPr="00C10307">
        <w:rPr>
          <w:rFonts w:asciiTheme="minorHAnsi" w:hAnsiTheme="minorHAnsi" w:cstheme="minorHAnsi"/>
        </w:rPr>
        <w:fldChar w:fldCharType="end"/>
      </w:r>
      <w:r w:rsidRPr="00C10307">
        <w:rPr>
          <w:rFonts w:asciiTheme="minorHAnsi" w:hAnsiTheme="minorHAnsi" w:cstheme="minorHAnsi"/>
        </w:rPr>
        <w:t xml:space="preserve">: </w:t>
      </w:r>
      <w:r>
        <w:rPr>
          <w:rFonts w:asciiTheme="minorHAnsi" w:hAnsiTheme="minorHAnsi" w:cstheme="minorHAnsi"/>
        </w:rPr>
        <w:t>Средна стойност на привлечения външен ресурс</w:t>
      </w:r>
      <w:r w:rsidR="00CF55F6">
        <w:rPr>
          <w:rFonts w:asciiTheme="minorHAnsi" w:hAnsiTheme="minorHAnsi" w:cstheme="minorHAnsi"/>
        </w:rPr>
        <w:t xml:space="preserve"> за проекти от ВиК сектора</w:t>
      </w:r>
      <w:bookmarkEnd w:id="125"/>
    </w:p>
    <w:p w:rsidR="00972531" w:rsidRDefault="00972531" w:rsidP="00972531">
      <w:pPr>
        <w:autoSpaceDE w:val="0"/>
        <w:autoSpaceDN w:val="0"/>
        <w:adjustRightInd w:val="0"/>
        <w:spacing w:line="240" w:lineRule="auto"/>
        <w:jc w:val="both"/>
        <w:rPr>
          <w:rFonts w:cs="Georgia"/>
          <w:color w:val="000000"/>
        </w:rPr>
      </w:pPr>
    </w:p>
    <w:p w:rsidR="00972531" w:rsidRDefault="00972531" w:rsidP="00972531">
      <w:pPr>
        <w:autoSpaceDE w:val="0"/>
        <w:autoSpaceDN w:val="0"/>
        <w:adjustRightInd w:val="0"/>
        <w:spacing w:after="0" w:line="240" w:lineRule="auto"/>
        <w:jc w:val="center"/>
        <w:rPr>
          <w:rFonts w:cs="Georgia"/>
          <w:color w:val="000000"/>
        </w:rPr>
      </w:pPr>
      <w:r>
        <w:rPr>
          <w:rFonts w:cs="Georgia"/>
          <w:noProof/>
          <w:color w:val="000000"/>
          <w:lang w:eastAsia="bg-BG"/>
        </w:rPr>
        <w:drawing>
          <wp:inline distT="0" distB="0" distL="0" distR="0">
            <wp:extent cx="4440806" cy="2442444"/>
            <wp:effectExtent l="1905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06" cstate="print"/>
                    <a:srcRect/>
                    <a:stretch>
                      <a:fillRect/>
                    </a:stretch>
                  </pic:blipFill>
                  <pic:spPr bwMode="auto">
                    <a:xfrm>
                      <a:off x="0" y="0"/>
                      <a:ext cx="4442393" cy="2443317"/>
                    </a:xfrm>
                    <a:prstGeom prst="rect">
                      <a:avLst/>
                    </a:prstGeom>
                    <a:noFill/>
                  </pic:spPr>
                </pic:pic>
              </a:graphicData>
            </a:graphic>
          </wp:inline>
        </w:drawing>
      </w:r>
    </w:p>
    <w:p w:rsidR="00CF55F6" w:rsidRDefault="00CF55F6" w:rsidP="00972531">
      <w:pPr>
        <w:autoSpaceDE w:val="0"/>
        <w:autoSpaceDN w:val="0"/>
        <w:adjustRightInd w:val="0"/>
        <w:spacing w:after="0" w:line="240" w:lineRule="auto"/>
        <w:jc w:val="center"/>
        <w:rPr>
          <w:rFonts w:cs="Georgia"/>
          <w:color w:val="000000"/>
        </w:rPr>
      </w:pPr>
    </w:p>
    <w:p w:rsidR="00CF55F6" w:rsidRDefault="00CF55F6" w:rsidP="00CF55F6">
      <w:pPr>
        <w:autoSpaceDE w:val="0"/>
        <w:autoSpaceDN w:val="0"/>
        <w:adjustRightInd w:val="0"/>
        <w:spacing w:after="0" w:line="240" w:lineRule="auto"/>
        <w:jc w:val="both"/>
        <w:rPr>
          <w:rFonts w:cs="Georgia"/>
          <w:color w:val="000000"/>
        </w:rPr>
      </w:pPr>
      <w:r>
        <w:rPr>
          <w:rFonts w:cs="Georgia"/>
          <w:color w:val="000000"/>
        </w:rPr>
        <w:t>С цел оптимизиране на риска и осигуряване на изгодни условия за заемно финансиране за проектите от ВиК сектора, е препоръчително да се възприеме подход за дял на БФП в общата стойност на заема като финансов инструмент в диапазона 20-25%, чрез който ще се постигне лостов ефект от 1:3 или 1:4.</w:t>
      </w:r>
    </w:p>
    <w:p w:rsidR="00CF55F6" w:rsidRDefault="00CF55F6" w:rsidP="00CF55F6">
      <w:pPr>
        <w:autoSpaceDE w:val="0"/>
        <w:autoSpaceDN w:val="0"/>
        <w:adjustRightInd w:val="0"/>
        <w:spacing w:after="0" w:line="240" w:lineRule="auto"/>
        <w:jc w:val="both"/>
        <w:rPr>
          <w:rFonts w:cs="Georgia"/>
          <w:color w:val="000000"/>
        </w:rPr>
      </w:pPr>
    </w:p>
    <w:p w:rsidR="0066481F" w:rsidRDefault="0066481F" w:rsidP="00CF55F6">
      <w:pPr>
        <w:autoSpaceDE w:val="0"/>
        <w:autoSpaceDN w:val="0"/>
        <w:adjustRightInd w:val="0"/>
        <w:spacing w:after="0" w:line="240" w:lineRule="auto"/>
        <w:jc w:val="both"/>
        <w:rPr>
          <w:rFonts w:cs="Georgia"/>
          <w:b/>
          <w:i/>
          <w:color w:val="2E74B5" w:themeColor="accent1" w:themeShade="BF"/>
        </w:rPr>
      </w:pPr>
    </w:p>
    <w:p w:rsidR="00CF55F6" w:rsidRPr="00CF55F6" w:rsidRDefault="00CF55F6" w:rsidP="00CF55F6">
      <w:pPr>
        <w:autoSpaceDE w:val="0"/>
        <w:autoSpaceDN w:val="0"/>
        <w:adjustRightInd w:val="0"/>
        <w:spacing w:after="0" w:line="240" w:lineRule="auto"/>
        <w:jc w:val="both"/>
        <w:rPr>
          <w:rFonts w:cs="Georgia"/>
          <w:b/>
          <w:i/>
          <w:color w:val="2E74B5" w:themeColor="accent1" w:themeShade="BF"/>
        </w:rPr>
      </w:pPr>
      <w:r w:rsidRPr="00CF55F6">
        <w:rPr>
          <w:rFonts w:cs="Georgia"/>
          <w:b/>
          <w:i/>
          <w:color w:val="2E74B5" w:themeColor="accent1" w:themeShade="BF"/>
        </w:rPr>
        <w:t>Гаранции</w:t>
      </w:r>
    </w:p>
    <w:p w:rsidR="00972531" w:rsidRDefault="00972531" w:rsidP="00972531">
      <w:pPr>
        <w:autoSpaceDE w:val="0"/>
        <w:autoSpaceDN w:val="0"/>
        <w:adjustRightInd w:val="0"/>
        <w:spacing w:after="0" w:line="240" w:lineRule="auto"/>
        <w:jc w:val="both"/>
        <w:rPr>
          <w:rFonts w:cs="Georgia"/>
          <w:color w:val="000000"/>
        </w:rPr>
      </w:pPr>
    </w:p>
    <w:p w:rsidR="00604D15" w:rsidRDefault="00604D15" w:rsidP="00972531">
      <w:pPr>
        <w:autoSpaceDE w:val="0"/>
        <w:autoSpaceDN w:val="0"/>
        <w:adjustRightInd w:val="0"/>
        <w:spacing w:after="0" w:line="240" w:lineRule="auto"/>
        <w:jc w:val="both"/>
        <w:rPr>
          <w:rFonts w:cs="Georgia"/>
          <w:color w:val="000000"/>
        </w:rPr>
      </w:pPr>
      <w:r>
        <w:rPr>
          <w:rFonts w:cs="Georgia"/>
          <w:color w:val="000000"/>
        </w:rPr>
        <w:t>Гаранциите, които могат да бъдат използвани за проекти и от двата сектора са за привличане на финансиране от търговските банки на принципа на предлаганите към момента гаранции за МСП</w:t>
      </w:r>
      <w:r>
        <w:rPr>
          <w:rStyle w:val="FootnoteReference"/>
          <w:rFonts w:cs="Georgia"/>
          <w:color w:val="000000"/>
        </w:rPr>
        <w:footnoteReference w:id="53"/>
      </w:r>
      <w:r>
        <w:rPr>
          <w:rFonts w:cs="Georgia"/>
          <w:color w:val="000000"/>
        </w:rPr>
        <w:t>. Тук разграничение може да се направи по отношение на видовете бенефициенти (ВиК дружества за сектор Води и МСП или общински предприятия за сектор Отпадъци) и размера на кредитите:</w:t>
      </w:r>
    </w:p>
    <w:p w:rsidR="00604D15" w:rsidRDefault="00604D15" w:rsidP="001A036E">
      <w:pPr>
        <w:numPr>
          <w:ilvl w:val="0"/>
          <w:numId w:val="79"/>
        </w:numPr>
        <w:autoSpaceDE w:val="0"/>
        <w:autoSpaceDN w:val="0"/>
        <w:adjustRightInd w:val="0"/>
        <w:spacing w:before="240" w:after="0" w:line="240" w:lineRule="auto"/>
        <w:jc w:val="both"/>
        <w:rPr>
          <w:rFonts w:cs="Georgia"/>
          <w:color w:val="000000"/>
        </w:rPr>
      </w:pPr>
      <w:r>
        <w:rPr>
          <w:rFonts w:cs="Georgia"/>
          <w:color w:val="000000"/>
        </w:rPr>
        <w:t>За сектор Води – гаранции за кредити на средна стойност 1,5 млн. евро като паралелно финансиране на заеми от фонд за инвестиции във ВиК сектора</w:t>
      </w:r>
    </w:p>
    <w:p w:rsidR="00604D15" w:rsidRDefault="00604D15" w:rsidP="001A036E">
      <w:pPr>
        <w:numPr>
          <w:ilvl w:val="0"/>
          <w:numId w:val="79"/>
        </w:numPr>
        <w:autoSpaceDE w:val="0"/>
        <w:autoSpaceDN w:val="0"/>
        <w:adjustRightInd w:val="0"/>
        <w:spacing w:before="240" w:after="0" w:line="240" w:lineRule="auto"/>
        <w:jc w:val="both"/>
        <w:rPr>
          <w:rFonts w:cs="Georgia"/>
          <w:color w:val="000000"/>
        </w:rPr>
      </w:pPr>
      <w:r>
        <w:rPr>
          <w:rFonts w:cs="Georgia"/>
          <w:color w:val="000000"/>
        </w:rPr>
        <w:t>За сектор отпадъци:</w:t>
      </w:r>
    </w:p>
    <w:p w:rsidR="00604D15" w:rsidRDefault="00604D15" w:rsidP="001A036E">
      <w:pPr>
        <w:numPr>
          <w:ilvl w:val="1"/>
          <w:numId w:val="79"/>
        </w:numPr>
        <w:autoSpaceDE w:val="0"/>
        <w:autoSpaceDN w:val="0"/>
        <w:adjustRightInd w:val="0"/>
        <w:spacing w:before="240" w:after="0" w:line="240" w:lineRule="auto"/>
        <w:jc w:val="both"/>
        <w:rPr>
          <w:rFonts w:cs="Georgia"/>
          <w:color w:val="000000"/>
        </w:rPr>
      </w:pPr>
      <w:r>
        <w:rPr>
          <w:rFonts w:cs="Georgia"/>
          <w:color w:val="000000"/>
        </w:rPr>
        <w:lastRenderedPageBreak/>
        <w:t>Гаранции за кредити на стойност до 1,5 млн. евро за финансиране на МСП за инвестиции в проекти за управление на отпадъците (</w:t>
      </w:r>
      <w:r>
        <w:rPr>
          <w:rFonts w:cs="Georgia"/>
          <w:color w:val="000000"/>
          <w:lang w:val="en-US"/>
        </w:rPr>
        <w:t>off-the-shelf</w:t>
      </w:r>
      <w:r>
        <w:rPr>
          <w:rFonts w:cs="Georgia"/>
          <w:color w:val="000000"/>
        </w:rPr>
        <w:t xml:space="preserve"> финансов инструмент</w:t>
      </w:r>
      <w:r>
        <w:rPr>
          <w:rFonts w:cs="Georgia"/>
          <w:color w:val="000000"/>
          <w:lang w:val="en-US"/>
        </w:rPr>
        <w:t>)</w:t>
      </w:r>
    </w:p>
    <w:p w:rsidR="00604D15" w:rsidRDefault="00604D15" w:rsidP="001A036E">
      <w:pPr>
        <w:numPr>
          <w:ilvl w:val="1"/>
          <w:numId w:val="79"/>
        </w:numPr>
        <w:autoSpaceDE w:val="0"/>
        <w:autoSpaceDN w:val="0"/>
        <w:adjustRightInd w:val="0"/>
        <w:spacing w:before="240" w:after="0" w:line="240" w:lineRule="auto"/>
        <w:jc w:val="both"/>
        <w:rPr>
          <w:rFonts w:cs="Georgia"/>
          <w:color w:val="000000"/>
        </w:rPr>
      </w:pPr>
      <w:r>
        <w:rPr>
          <w:rFonts w:cs="Georgia"/>
          <w:color w:val="000000"/>
        </w:rPr>
        <w:t>Гаранции за кредити</w:t>
      </w:r>
      <w:r>
        <w:rPr>
          <w:rFonts w:cs="Georgia"/>
          <w:color w:val="000000"/>
          <w:lang w:val="en-US"/>
        </w:rPr>
        <w:t xml:space="preserve"> </w:t>
      </w:r>
      <w:r>
        <w:rPr>
          <w:rFonts w:cs="Georgia"/>
          <w:color w:val="000000"/>
        </w:rPr>
        <w:t>на средна стойност 2 млн. евро за финансиране на общински предприятия по чистота (</w:t>
      </w:r>
      <w:r>
        <w:rPr>
          <w:rFonts w:cs="Georgia"/>
          <w:color w:val="000000"/>
          <w:lang w:val="en-US"/>
        </w:rPr>
        <w:t>tailor-made</w:t>
      </w:r>
      <w:r>
        <w:rPr>
          <w:rFonts w:cs="Georgia"/>
          <w:color w:val="000000"/>
        </w:rPr>
        <w:t xml:space="preserve"> финансов инструмент)</w:t>
      </w:r>
      <w:r>
        <w:rPr>
          <w:rStyle w:val="FootnoteReference"/>
          <w:rFonts w:cs="Georgia"/>
          <w:color w:val="000000"/>
        </w:rPr>
        <w:footnoteReference w:id="54"/>
      </w:r>
    </w:p>
    <w:p w:rsidR="00695315" w:rsidRDefault="00695315" w:rsidP="00972531">
      <w:pPr>
        <w:autoSpaceDE w:val="0"/>
        <w:autoSpaceDN w:val="0"/>
        <w:adjustRightInd w:val="0"/>
        <w:spacing w:after="0" w:line="240" w:lineRule="auto"/>
        <w:jc w:val="both"/>
        <w:rPr>
          <w:rFonts w:cs="Georgia"/>
          <w:color w:val="000000"/>
        </w:rPr>
      </w:pPr>
    </w:p>
    <w:p w:rsidR="00972531" w:rsidRDefault="00695315" w:rsidP="00972531">
      <w:pPr>
        <w:autoSpaceDE w:val="0"/>
        <w:autoSpaceDN w:val="0"/>
        <w:adjustRightInd w:val="0"/>
        <w:spacing w:after="0" w:line="240" w:lineRule="auto"/>
        <w:jc w:val="both"/>
        <w:rPr>
          <w:rFonts w:cs="Georgia"/>
          <w:color w:val="000000"/>
        </w:rPr>
      </w:pPr>
      <w:r>
        <w:rPr>
          <w:rFonts w:cs="Georgia"/>
          <w:color w:val="000000"/>
        </w:rPr>
        <w:t>В който и да е от случаите, интензитетът на БФП в структурата на финансовия инструмент зависи от:</w:t>
      </w:r>
    </w:p>
    <w:p w:rsidR="00695315" w:rsidRPr="00695315" w:rsidRDefault="00695315" w:rsidP="001A036E">
      <w:pPr>
        <w:numPr>
          <w:ilvl w:val="0"/>
          <w:numId w:val="79"/>
        </w:numPr>
        <w:autoSpaceDE w:val="0"/>
        <w:autoSpaceDN w:val="0"/>
        <w:adjustRightInd w:val="0"/>
        <w:spacing w:before="240" w:after="0" w:line="240" w:lineRule="auto"/>
        <w:jc w:val="both"/>
        <w:rPr>
          <w:rFonts w:cs="Georgia"/>
          <w:color w:val="000000"/>
        </w:rPr>
      </w:pPr>
      <w:r w:rsidRPr="00695315">
        <w:rPr>
          <w:rFonts w:cs="Georgia"/>
          <w:color w:val="000000"/>
        </w:rPr>
        <w:t>Таван</w:t>
      </w:r>
      <w:r>
        <w:rPr>
          <w:rFonts w:cs="Georgia"/>
          <w:color w:val="000000"/>
        </w:rPr>
        <w:t>а</w:t>
      </w:r>
      <w:r w:rsidRPr="00695315">
        <w:rPr>
          <w:rFonts w:cs="Georgia"/>
          <w:color w:val="000000"/>
        </w:rPr>
        <w:t xml:space="preserve"> на гаранцията – до 80% в зависимост от конкретния заем (кредитния риск в размер на не по-малко от 20% се поема от финансовия посредник)</w:t>
      </w:r>
    </w:p>
    <w:p w:rsidR="00695315" w:rsidRDefault="00695315" w:rsidP="001A036E">
      <w:pPr>
        <w:numPr>
          <w:ilvl w:val="0"/>
          <w:numId w:val="79"/>
        </w:numPr>
        <w:autoSpaceDE w:val="0"/>
        <w:autoSpaceDN w:val="0"/>
        <w:adjustRightInd w:val="0"/>
        <w:spacing w:before="240" w:after="0" w:line="240" w:lineRule="auto"/>
        <w:jc w:val="both"/>
        <w:rPr>
          <w:rFonts w:cs="Georgia"/>
          <w:color w:val="000000"/>
        </w:rPr>
      </w:pPr>
      <w:r w:rsidRPr="00695315">
        <w:rPr>
          <w:rFonts w:cs="Georgia"/>
          <w:color w:val="000000"/>
        </w:rPr>
        <w:t>Нивото на ограничение на гаранцията (т.нар. “cap rate”) се определя предварително при оценката на риска, но не повече от 25%</w:t>
      </w:r>
    </w:p>
    <w:p w:rsidR="00695315" w:rsidRDefault="00695315" w:rsidP="00695315">
      <w:pPr>
        <w:autoSpaceDE w:val="0"/>
        <w:autoSpaceDN w:val="0"/>
        <w:adjustRightInd w:val="0"/>
        <w:spacing w:before="240" w:after="0" w:line="240" w:lineRule="auto"/>
        <w:jc w:val="both"/>
        <w:rPr>
          <w:rFonts w:cs="Georgia"/>
          <w:color w:val="000000"/>
        </w:rPr>
      </w:pPr>
      <w:r>
        <w:rPr>
          <w:rFonts w:cs="Georgia"/>
          <w:color w:val="000000"/>
        </w:rPr>
        <w:t>Това на практика означава следното:</w:t>
      </w:r>
    </w:p>
    <w:p w:rsidR="009E7A5C" w:rsidRDefault="009E7A5C" w:rsidP="00695315">
      <w:pPr>
        <w:autoSpaceDE w:val="0"/>
        <w:autoSpaceDN w:val="0"/>
        <w:adjustRightInd w:val="0"/>
        <w:spacing w:before="240" w:after="0" w:line="240" w:lineRule="auto"/>
        <w:jc w:val="both"/>
        <w:rPr>
          <w:rFonts w:cs="Georgia"/>
          <w:color w:val="000000"/>
        </w:rPr>
      </w:pPr>
    </w:p>
    <w:p w:rsidR="009E7A5C" w:rsidRDefault="00896C88" w:rsidP="00695315">
      <w:pPr>
        <w:autoSpaceDE w:val="0"/>
        <w:autoSpaceDN w:val="0"/>
        <w:adjustRightInd w:val="0"/>
        <w:spacing w:before="240" w:after="0" w:line="240" w:lineRule="auto"/>
        <w:jc w:val="both"/>
        <w:rPr>
          <w:rFonts w:cs="Georgia"/>
          <w:color w:val="000000"/>
        </w:rPr>
      </w:pPr>
      <w:r>
        <w:rPr>
          <w:rFonts w:cs="Georgia"/>
          <w:noProof/>
          <w:color w:val="000000"/>
          <w:lang w:eastAsia="bg-BG"/>
        </w:rPr>
        <mc:AlternateContent>
          <mc:Choice Requires="wpg">
            <w:drawing>
              <wp:anchor distT="0" distB="0" distL="114300" distR="114300" simplePos="0" relativeHeight="251718656" behindDoc="0" locked="0" layoutInCell="1" allowOverlap="1" wp14:anchorId="07487172">
                <wp:simplePos x="0" y="0"/>
                <wp:positionH relativeFrom="column">
                  <wp:posOffset>-23495</wp:posOffset>
                </wp:positionH>
                <wp:positionV relativeFrom="paragraph">
                  <wp:posOffset>111125</wp:posOffset>
                </wp:positionV>
                <wp:extent cx="5812155" cy="4222115"/>
                <wp:effectExtent l="0" t="0" r="0" b="6985"/>
                <wp:wrapNone/>
                <wp:docPr id="188"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2155" cy="4222115"/>
                          <a:chOff x="1380" y="5983"/>
                          <a:chExt cx="9153" cy="6649"/>
                        </a:xfrm>
                      </wpg:grpSpPr>
                      <wps:wsp>
                        <wps:cNvPr id="189" name="AutoShape 138"/>
                        <wps:cNvSpPr>
                          <a:spLocks noChangeArrowheads="1"/>
                        </wps:cNvSpPr>
                        <wps:spPr bwMode="auto">
                          <a:xfrm>
                            <a:off x="6589" y="7848"/>
                            <a:ext cx="693" cy="3451"/>
                          </a:xfrm>
                          <a:prstGeom prst="bracePair">
                            <a:avLst>
                              <a:gd name="adj" fmla="val 8333"/>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 name="Text Box 135"/>
                        <wps:cNvSpPr txBox="1">
                          <a:spLocks noChangeArrowheads="1"/>
                        </wps:cNvSpPr>
                        <wps:spPr bwMode="auto">
                          <a:xfrm>
                            <a:off x="2281" y="7848"/>
                            <a:ext cx="842" cy="3451"/>
                          </a:xfrm>
                          <a:prstGeom prst="rect">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txbx>
                          <w:txbxContent>
                            <w:p w:rsidR="00EA2176" w:rsidRPr="00695315" w:rsidRDefault="00EA2176" w:rsidP="00695315">
                              <w:pPr>
                                <w:jc w:val="center"/>
                                <w:rPr>
                                  <w:b/>
                                </w:rPr>
                              </w:pPr>
                              <w:r w:rsidRPr="00695315">
                                <w:rPr>
                                  <w:b/>
                                </w:rPr>
                                <w:t>Собствен риск на финансовия посредник</w:t>
                              </w:r>
                            </w:p>
                          </w:txbxContent>
                        </wps:txbx>
                        <wps:bodyPr rot="0" vert="vert270" wrap="square" lIns="91440" tIns="45720" rIns="91440" bIns="45720" anchor="t" anchorCtr="0" upright="1">
                          <a:noAutofit/>
                        </wps:bodyPr>
                      </wps:wsp>
                      <wps:wsp>
                        <wps:cNvPr id="191" name="Rectangle 136"/>
                        <wps:cNvSpPr>
                          <a:spLocks noChangeArrowheads="1"/>
                        </wps:cNvSpPr>
                        <wps:spPr bwMode="auto">
                          <a:xfrm>
                            <a:off x="3179" y="7848"/>
                            <a:ext cx="3790" cy="2680"/>
                          </a:xfrm>
                          <a:prstGeom prst="rect">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s:wsp>
                        <wps:cNvPr id="192" name="Text Box 137"/>
                        <wps:cNvSpPr txBox="1">
                          <a:spLocks noChangeArrowheads="1"/>
                        </wps:cNvSpPr>
                        <wps:spPr bwMode="auto">
                          <a:xfrm>
                            <a:off x="3179" y="10528"/>
                            <a:ext cx="3790" cy="771"/>
                          </a:xfrm>
                          <a:prstGeom prst="rect">
                            <a:avLst/>
                          </a:prstGeom>
                          <a:gradFill rotWithShape="0">
                            <a:gsLst>
                              <a:gs pos="0">
                                <a:schemeClr val="accent1">
                                  <a:lumMod val="60000"/>
                                  <a:lumOff val="40000"/>
                                </a:schemeClr>
                              </a:gs>
                              <a:gs pos="50000">
                                <a:schemeClr val="accent1">
                                  <a:lumMod val="100000"/>
                                  <a:lumOff val="0"/>
                                </a:schemeClr>
                              </a:gs>
                              <a:gs pos="100000">
                                <a:schemeClr val="accent1">
                                  <a:lumMod val="60000"/>
                                  <a:lumOff val="40000"/>
                                </a:schemeClr>
                              </a:gs>
                            </a:gsLst>
                            <a:lin ang="5400000" scaled="1"/>
                          </a:gradFill>
                          <a:ln w="12700">
                            <a:solidFill>
                              <a:schemeClr val="accent1">
                                <a:lumMod val="100000"/>
                                <a:lumOff val="0"/>
                              </a:schemeClr>
                            </a:solidFill>
                            <a:miter lim="800000"/>
                            <a:headEnd/>
                            <a:tailEnd/>
                          </a:ln>
                          <a:effectLst>
                            <a:outerShdw dist="28398" dir="3806097" algn="ctr" rotWithShape="0">
                              <a:schemeClr val="accent1">
                                <a:lumMod val="50000"/>
                                <a:lumOff val="0"/>
                              </a:schemeClr>
                            </a:outerShdw>
                          </a:effectLst>
                        </wps:spPr>
                        <wps:txbx>
                          <w:txbxContent>
                            <w:p w:rsidR="00EA2176" w:rsidRPr="00C61787" w:rsidRDefault="00EA2176" w:rsidP="009E7A5C">
                              <w:pPr>
                                <w:spacing w:after="0"/>
                                <w:jc w:val="center"/>
                                <w:rPr>
                                  <w:b/>
                                  <w:sz w:val="12"/>
                                  <w:szCs w:val="12"/>
                                </w:rPr>
                              </w:pPr>
                            </w:p>
                            <w:p w:rsidR="00EA2176" w:rsidRPr="00695315" w:rsidRDefault="00EA2176" w:rsidP="009E7A5C">
                              <w:pPr>
                                <w:jc w:val="center"/>
                                <w:rPr>
                                  <w:b/>
                                </w:rPr>
                              </w:pPr>
                              <w:r w:rsidRPr="00695315">
                                <w:rPr>
                                  <w:b/>
                                </w:rPr>
                                <w:t>Принос на ОПОС</w:t>
                              </w:r>
                              <w:r>
                                <w:rPr>
                                  <w:b/>
                                </w:rPr>
                                <w:t xml:space="preserve"> – 20%</w:t>
                              </w:r>
                            </w:p>
                          </w:txbxContent>
                        </wps:txbx>
                        <wps:bodyPr rot="0" vert="horz" wrap="square" lIns="91440" tIns="45720" rIns="91440" bIns="45720" anchor="t" anchorCtr="0" upright="1">
                          <a:noAutofit/>
                        </wps:bodyPr>
                      </wps:wsp>
                      <wps:wsp>
                        <wps:cNvPr id="193" name="AutoShape 139"/>
                        <wps:cNvCnPr>
                          <a:cxnSpLocks noChangeShapeType="1"/>
                        </wps:cNvCnPr>
                        <wps:spPr bwMode="auto">
                          <a:xfrm>
                            <a:off x="6969" y="10527"/>
                            <a:ext cx="1114"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4" name="Text Box 140"/>
                        <wps:cNvSpPr txBox="1">
                          <a:spLocks noChangeArrowheads="1"/>
                        </wps:cNvSpPr>
                        <wps:spPr bwMode="auto">
                          <a:xfrm>
                            <a:off x="8237" y="10229"/>
                            <a:ext cx="2296" cy="67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Pr="009E7A5C" w:rsidRDefault="00EA2176" w:rsidP="009E7A5C">
                              <w:pPr>
                                <w:jc w:val="center"/>
                                <w:rPr>
                                  <w:sz w:val="18"/>
                                  <w:szCs w:val="18"/>
                                </w:rPr>
                              </w:pPr>
                              <w:r w:rsidRPr="009E7A5C">
                                <w:rPr>
                                  <w:sz w:val="18"/>
                                  <w:szCs w:val="18"/>
                                </w:rPr>
                                <w:t>Ниво на ограничение на гаранцията</w:t>
                              </w:r>
                              <w:r>
                                <w:rPr>
                                  <w:sz w:val="18"/>
                                  <w:szCs w:val="18"/>
                                </w:rPr>
                                <w:t xml:space="preserve"> – 25%</w:t>
                              </w:r>
                            </w:p>
                          </w:txbxContent>
                        </wps:txbx>
                        <wps:bodyPr rot="0" vert="horz" wrap="square" lIns="91440" tIns="45720" rIns="91440" bIns="45720" anchor="t" anchorCtr="0" upright="1">
                          <a:noAutofit/>
                        </wps:bodyPr>
                      </wps:wsp>
                      <wps:wsp>
                        <wps:cNvPr id="195" name="Text Box 141"/>
                        <wps:cNvSpPr txBox="1">
                          <a:spLocks noChangeArrowheads="1"/>
                        </wps:cNvSpPr>
                        <wps:spPr bwMode="auto">
                          <a:xfrm>
                            <a:off x="7504" y="9195"/>
                            <a:ext cx="2296" cy="7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Pr="00C61787" w:rsidRDefault="00EA2176" w:rsidP="009E7A5C">
                              <w:pPr>
                                <w:jc w:val="center"/>
                                <w:rPr>
                                  <w:b/>
                                </w:rPr>
                              </w:pPr>
                              <w:r w:rsidRPr="00C61787">
                                <w:rPr>
                                  <w:b/>
                                </w:rPr>
                                <w:t>Сравнително висок ефект на лоста 1:5</w:t>
                              </w:r>
                            </w:p>
                          </w:txbxContent>
                        </wps:txbx>
                        <wps:bodyPr rot="0" vert="horz" wrap="square" lIns="91440" tIns="45720" rIns="91440" bIns="45720" anchor="t" anchorCtr="0" upright="1">
                          <a:noAutofit/>
                        </wps:bodyPr>
                      </wps:wsp>
                      <wps:wsp>
                        <wps:cNvPr id="196" name="AutoShape 143"/>
                        <wps:cNvCnPr>
                          <a:cxnSpLocks noChangeShapeType="1"/>
                        </wps:cNvCnPr>
                        <wps:spPr bwMode="auto">
                          <a:xfrm>
                            <a:off x="3165" y="11299"/>
                            <a:ext cx="0" cy="47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Text Box 144"/>
                        <wps:cNvSpPr txBox="1">
                          <a:spLocks noChangeArrowheads="1"/>
                        </wps:cNvSpPr>
                        <wps:spPr bwMode="auto">
                          <a:xfrm>
                            <a:off x="2155" y="11776"/>
                            <a:ext cx="2024" cy="8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Pr="009E7A5C" w:rsidRDefault="00EA2176" w:rsidP="009E7A5C">
                              <w:pPr>
                                <w:jc w:val="center"/>
                                <w:rPr>
                                  <w:sz w:val="18"/>
                                  <w:szCs w:val="18"/>
                                </w:rPr>
                              </w:pPr>
                              <w:r w:rsidRPr="009E7A5C">
                                <w:rPr>
                                  <w:sz w:val="18"/>
                                  <w:szCs w:val="18"/>
                                </w:rPr>
                                <w:t>Таван на гаранцията до 80%</w:t>
                              </w:r>
                              <w:r>
                                <w:rPr>
                                  <w:sz w:val="18"/>
                                  <w:szCs w:val="18"/>
                                </w:rPr>
                                <w:t xml:space="preserve"> в зависимост от заема</w:t>
                              </w:r>
                            </w:p>
                          </w:txbxContent>
                        </wps:txbx>
                        <wps:bodyPr rot="0" vert="horz" wrap="square" lIns="91440" tIns="45720" rIns="91440" bIns="45720" anchor="t" anchorCtr="0" upright="1">
                          <a:noAutofit/>
                        </wps:bodyPr>
                      </wps:wsp>
                      <wps:wsp>
                        <wps:cNvPr id="198" name="Text Box 145"/>
                        <wps:cNvSpPr txBox="1">
                          <a:spLocks noChangeArrowheads="1"/>
                        </wps:cNvSpPr>
                        <wps:spPr bwMode="auto">
                          <a:xfrm>
                            <a:off x="1380" y="5983"/>
                            <a:ext cx="2613" cy="652"/>
                          </a:xfrm>
                          <a:prstGeom prst="rect">
                            <a:avLst/>
                          </a:prstGeom>
                          <a:solidFill>
                            <a:srgbClr val="FFFFFF"/>
                          </a:solidFill>
                          <a:ln w="9525">
                            <a:solidFill>
                              <a:schemeClr val="bg1">
                                <a:lumMod val="100000"/>
                                <a:lumOff val="0"/>
                              </a:schemeClr>
                            </a:solidFill>
                            <a:miter lim="800000"/>
                            <a:headEnd/>
                            <a:tailEnd/>
                          </a:ln>
                        </wps:spPr>
                        <wps:txbx>
                          <w:txbxContent>
                            <w:p w:rsidR="00EA2176" w:rsidRPr="009E7A5C" w:rsidRDefault="00EA2176" w:rsidP="009E7A5C">
                              <w:pPr>
                                <w:jc w:val="center"/>
                                <w:rPr>
                                  <w:sz w:val="18"/>
                                  <w:szCs w:val="18"/>
                                </w:rPr>
                              </w:pPr>
                              <w:r w:rsidRPr="009E7A5C">
                                <w:rPr>
                                  <w:sz w:val="18"/>
                                  <w:szCs w:val="18"/>
                                </w:rPr>
                                <w:t>Собствен риск на фин. посредник: 20% (100%-80%)</w:t>
                              </w:r>
                            </w:p>
                          </w:txbxContent>
                        </wps:txbx>
                        <wps:bodyPr rot="0" vert="horz" wrap="square" lIns="91440" tIns="45720" rIns="91440" bIns="45720" anchor="t" anchorCtr="0" upright="1">
                          <a:noAutofit/>
                        </wps:bodyPr>
                      </wps:wsp>
                      <wps:wsp>
                        <wps:cNvPr id="199" name="AutoShape 146"/>
                        <wps:cNvCnPr>
                          <a:cxnSpLocks noChangeShapeType="1"/>
                        </wps:cNvCnPr>
                        <wps:spPr bwMode="auto">
                          <a:xfrm>
                            <a:off x="2663" y="6593"/>
                            <a:ext cx="0" cy="121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 name="Text Box 147"/>
                        <wps:cNvSpPr txBox="1">
                          <a:spLocks noChangeArrowheads="1"/>
                        </wps:cNvSpPr>
                        <wps:spPr bwMode="auto">
                          <a:xfrm>
                            <a:off x="4836" y="5983"/>
                            <a:ext cx="5611" cy="6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Pr="00C61787" w:rsidRDefault="00EA2176">
                              <w:pPr>
                                <w:rPr>
                                  <w:sz w:val="18"/>
                                  <w:szCs w:val="18"/>
                                </w:rPr>
                              </w:pPr>
                              <w:r w:rsidRPr="00C61787">
                                <w:rPr>
                                  <w:sz w:val="18"/>
                                  <w:szCs w:val="18"/>
                                </w:rPr>
                                <w:t>Финансов посредник, избран чрез обществена поръчка</w:t>
                              </w:r>
                              <w:r>
                                <w:rPr>
                                  <w:sz w:val="18"/>
                                  <w:szCs w:val="18"/>
                                </w:rPr>
                                <w:t xml:space="preserve"> (отговорен за изпълнение на инструмента и докладва на Фонда на фондовете)</w:t>
                              </w:r>
                            </w:p>
                          </w:txbxContent>
                        </wps:txbx>
                        <wps:bodyPr rot="0" vert="horz" wrap="square" lIns="91440" tIns="45720" rIns="91440" bIns="45720" anchor="t" anchorCtr="0" upright="1">
                          <a:noAutofit/>
                        </wps:bodyPr>
                      </wps:wsp>
                      <wps:wsp>
                        <wps:cNvPr id="201" name="AutoShape 148"/>
                        <wps:cNvCnPr>
                          <a:cxnSpLocks noChangeShapeType="1"/>
                        </wps:cNvCnPr>
                        <wps:spPr bwMode="auto">
                          <a:xfrm>
                            <a:off x="6165" y="6595"/>
                            <a:ext cx="0" cy="121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7487172" id="Group 151" o:spid="_x0000_s1030" style="position:absolute;left:0;text-align:left;margin-left:-1.85pt;margin-top:8.75pt;width:457.65pt;height:332.45pt;z-index:251718656" coordorigin="1380,5983" coordsize="9153,6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">
                <v:shapetype id="_x0000_t186" coordsize="21600,21600" o:spt="186" adj="1800" path="m@9,nfqx@0@0l@0@7qy0@4@0@8l@0@6qy@9,21600em@10,nfqx@5@0l@5@7qy21600@4@5@8l@5@6qy@10,21600em@9,nsqx@0@0l@0@7qy0@4@0@8l@0@6qy@9,21600l@10,21600qx@5@6l@5@8qy21600@4@5@7l@5@0qy@10,xe" filled="f">
                  <v:formulas>
                    <v:f eqn="val #0"/>
                    <v:f eqn="val width"/>
                    <v:f eqn="val height"/>
                    <v:f eqn="prod width 1 2"/>
                    <v:f eqn="prod height 1 2"/>
                    <v:f eqn="sum width 0 #0"/>
                    <v:f eqn="sum height 0 #0"/>
                    <v:f eqn="sum @4 0 #0"/>
                    <v:f eqn="sum @4 #0 0"/>
                    <v:f eqn="prod #0 2 1"/>
                    <v:f eqn="sum width 0 @9"/>
                    <v:f eqn="prod #0 9598 32768"/>
                    <v:f eqn="sum height 0 @11"/>
                    <v:f eqn="sum @11 #0 0"/>
                    <v:f eqn="sum width 0 @13"/>
                  </v:formulas>
                  <v:path o:extrusionok="f" limo="10800,10800" o:connecttype="custom" o:connectlocs="@3,0;0,@4;@3,@2;@1,@4" textboxrect="@13,@11,@14,@12"/>
                  <v:handles>
                    <v:h position="topLeft,#0" switch="" yrange="0,5400"/>
                  </v:handles>
                </v:shapetype>
                <v:shape id="AutoShape 138" o:spid="_x0000_s1031" type="#_x0000_t186" style="position:absolute;left:6589;top:7848;width:693;height:3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AsDsAA&#10;AADcAAAADwAAAGRycy9kb3ducmV2LnhtbERPTYvCMBC9L+x/CLPgbU1VkNo1iggr7q1WYa9DM7bF&#10;ZtJNoq3/fiMI3ubxPme5HkwrbuR8Y1nBZJyAIC6tbrhScDp+f6YgfEDW2FomBXfysF69vy0x07bn&#10;A92KUIkYwj5DBXUIXSalL2sy6Me2I47c2TqDIUJXSe2wj+GmldMkmUuDDceGGjva1lReiqtRsGhm&#10;/jf/S3c/us3xWvbbee4KpUYfw+YLRKAhvMRP917H+ekCHs/EC+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HAsDsAAAADcAAAADwAAAAAAAAAAAAAAAACYAgAAZHJzL2Rvd25y&#10;ZXYueG1sUEsFBgAAAAAEAAQA9QAAAIUDAAAAAA==&#10;"/>
                <v:shape id="Text Box 135" o:spid="_x0000_s1032" type="#_x0000_t202" style="position:absolute;left:2281;top:7848;width:842;height:3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GMsQA&#10;AADcAAAADwAAAGRycy9kb3ducmV2LnhtbESPQW/CMAyF75P2HyJP2gVBOg5oLQS0TUL0hoAddrQS&#10;01Y0TpUE6P79fJjEzdZ7fu/zajP6Xt0opi6wgbdZAYrYBtdxY+D7tJ2+g0oZ2WEfmAz8UoLN+vlp&#10;hZULdz7Q7ZgbJSGcKjTQ5jxUWifbksc0CwOxaOcQPWZZY6NdxLuE+17Pi2KhPXYsDS0O9NWSvRyv&#10;3sBkvv8JzcR+2jqW5X630NcatTGvL+PHElSmMT/M/9e1E/xS8OUZmU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fxjLEAAAA3AAAAA8AAAAAAAAAAAAAAAAAmAIAAGRycy9k&#10;b3ducmV2LnhtbFBLBQYAAAAABAAEAPUAAACJAwAAAAA=&#10;" fillcolor="#c9c9c9 [1942]" strokecolor="#c9c9c9 [1942]" strokeweight="1pt">
                  <v:fill color2="#ededed [662]" angle="135" focus="50%" type="gradient"/>
                  <v:shadow on="t" color="#525252 [1606]" opacity=".5" offset="1pt"/>
                  <v:textbox style="layout-flow:vertical;mso-layout-flow-alt:bottom-to-top">
                    <w:txbxContent>
                      <w:p w:rsidR="00EA2176" w:rsidRPr="00695315" w:rsidRDefault="00EA2176" w:rsidP="00695315">
                        <w:pPr>
                          <w:jc w:val="center"/>
                          <w:rPr>
                            <w:b/>
                          </w:rPr>
                        </w:pPr>
                        <w:r w:rsidRPr="00695315">
                          <w:rPr>
                            <w:b/>
                          </w:rPr>
                          <w:t>Собствен риск на финансовия посредник</w:t>
                        </w:r>
                      </w:p>
                    </w:txbxContent>
                  </v:textbox>
                </v:shape>
                <v:rect id="Rectangle 136" o:spid="_x0000_s1033" style="position:absolute;left:3179;top:7848;width:3790;height:2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PR1sQA&#10;AADcAAAADwAAAGRycy9kb3ducmV2LnhtbERPTWvCQBC9C/0Pywi96SYlSE2zETWkSA8FbS/ehuw0&#10;CWZnQ3YbY399t1DwNo/3OdlmMp0YaXCtZQXxMgJBXFndcq3g86NcPINwHlljZ5kU3MjBJn+YZZhq&#10;e+UjjSdfixDCLkUFjfd9KqWrGjLolrYnDtyXHQz6AIda6gGvIdx08imKVtJgy6GhwZ72DVWX07dR&#10;UEx8Pl72SRm/JbedfN8Vr+vzj1KP82n7AsLT5O/if/dBh/nrGP6eCR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z0dbEAAAA3AAAAA8AAAAAAAAAAAAAAAAAmAIAAGRycy9k&#10;b3ducmV2LnhtbFBLBQYAAAAABAAEAPUAAACJAwAAAAA=&#10;" fillcolor="#c9c9c9 [1942]" strokecolor="#c9c9c9 [1942]" strokeweight="1pt">
                  <v:fill color2="#ededed [662]" angle="135" focus="50%" type="gradient"/>
                  <v:shadow on="t" color="#525252 [1606]" opacity=".5" offset="1pt"/>
                </v:rect>
                <v:shape id="Text Box 137" o:spid="_x0000_s1034" type="#_x0000_t202" style="position:absolute;left:3179;top:10528;width:3790;height: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q8cUA&#10;AADcAAAADwAAAGRycy9kb3ducmV2LnhtbESPQWvCQBCF7wX/wzJCb3VjDmKjq6hYkIIUrd7H7JhE&#10;s7Nxdxvjv+8Khd5meG/e92Y670wtWnK+sqxgOEhAEOdWV1woOHx/vI1B+ICssbZMCh7kYT7rvUwx&#10;0/bOO2r3oRAxhH2GCsoQmkxKn5dk0A9sQxy1s3UGQ1xdIbXDeww3tUyTZCQNVhwJJTa0Kim/7n9M&#10;5H66ejS+LLe3Tbq4no7r5Mu1a6Ve+91iAiJQF/7Nf9cbHeu/p/B8Jk4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nOrxxQAAANwAAAAPAAAAAAAAAAAAAAAAAJgCAABkcnMv&#10;ZG93bnJldi54bWxQSwUGAAAAAAQABAD1AAAAigMAAAAA&#10;" fillcolor="#9cc2e5 [1940]" strokecolor="#5b9bd5 [3204]" strokeweight="1pt">
                  <v:fill color2="#5b9bd5 [3204]" focus="50%" type="gradient"/>
                  <v:shadow on="t" color="#1f4d78 [1604]" offset="1pt"/>
                  <v:textbox>
                    <w:txbxContent>
                      <w:p w:rsidR="00EA2176" w:rsidRPr="00C61787" w:rsidRDefault="00EA2176" w:rsidP="009E7A5C">
                        <w:pPr>
                          <w:spacing w:after="0"/>
                          <w:jc w:val="center"/>
                          <w:rPr>
                            <w:b/>
                            <w:sz w:val="12"/>
                            <w:szCs w:val="12"/>
                          </w:rPr>
                        </w:pPr>
                      </w:p>
                      <w:p w:rsidR="00EA2176" w:rsidRPr="00695315" w:rsidRDefault="00EA2176" w:rsidP="009E7A5C">
                        <w:pPr>
                          <w:jc w:val="center"/>
                          <w:rPr>
                            <w:b/>
                          </w:rPr>
                        </w:pPr>
                        <w:r w:rsidRPr="00695315">
                          <w:rPr>
                            <w:b/>
                          </w:rPr>
                          <w:t>Принос на ОПОС</w:t>
                        </w:r>
                        <w:r>
                          <w:rPr>
                            <w:b/>
                          </w:rPr>
                          <w:t xml:space="preserve"> – 20%</w:t>
                        </w:r>
                      </w:p>
                    </w:txbxContent>
                  </v:textbox>
                </v:shape>
                <v:shapetype id="_x0000_t32" coordsize="21600,21600" o:spt="32" o:oned="t" path="m,l21600,21600e" filled="f">
                  <v:path arrowok="t" fillok="f" o:connecttype="none"/>
                  <o:lock v:ext="edit" shapetype="t"/>
                </v:shapetype>
                <v:shape id="AutoShape 139" o:spid="_x0000_s1035" type="#_x0000_t32" style="position:absolute;left:6969;top:10527;width:111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Text Box 140" o:spid="_x0000_s1036" type="#_x0000_t202" style="position:absolute;left:8237;top:10229;width:2296;height: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3clcEA&#10;AADcAAAADwAAAGRycy9kb3ducmV2LnhtbERP22rCQBB9F/oPyxT6IrqxxFt0DVZo8dXLB4zZMQlm&#10;Z0N2m8vfu4WCb3M419mmvalES40rLSuYTSMQxJnVJecKrpfvyQqE88gaK8ukYCAH6e5ttMVE245P&#10;1J59LkIIuwQVFN7XiZQuK8igm9qaOHB32xj0ATa51A12IdxU8jOKFtJgyaGhwJoOBWWP869RcD92&#10;4/m6u/346/IUL76wXN7soNTHe7/fgPDU+5f4333UYf46hr9nwgVy9w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t3JXBAAAA3AAAAA8AAAAAAAAAAAAAAAAAmAIAAGRycy9kb3du&#10;cmV2LnhtbFBLBQYAAAAABAAEAPUAAACGAwAAAAA=&#10;" stroked="f">
                  <v:textbox>
                    <w:txbxContent>
                      <w:p w:rsidR="00EA2176" w:rsidRPr="009E7A5C" w:rsidRDefault="00EA2176" w:rsidP="009E7A5C">
                        <w:pPr>
                          <w:jc w:val="center"/>
                          <w:rPr>
                            <w:sz w:val="18"/>
                            <w:szCs w:val="18"/>
                          </w:rPr>
                        </w:pPr>
                        <w:r w:rsidRPr="009E7A5C">
                          <w:rPr>
                            <w:sz w:val="18"/>
                            <w:szCs w:val="18"/>
                          </w:rPr>
                          <w:t>Ниво на ограничение на гаранцията</w:t>
                        </w:r>
                        <w:r>
                          <w:rPr>
                            <w:sz w:val="18"/>
                            <w:szCs w:val="18"/>
                          </w:rPr>
                          <w:t xml:space="preserve"> – 25%</w:t>
                        </w:r>
                      </w:p>
                    </w:txbxContent>
                  </v:textbox>
                </v:shape>
                <v:shape id="Text Box 141" o:spid="_x0000_s1037" type="#_x0000_t202" style="position:absolute;left:7504;top:9195;width:2296;height:7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5DsEA&#10;AADcAAAADwAAAGRycy9kb3ducmV2LnhtbERPyWrDMBC9F/oPYgq9lFhOyepGMWkhxVcn+YCxNbFN&#10;rZGxVC9/XxUKvc3jrXNIJ9OKgXrXWFawjGIQxKXVDVcKbtfzYgfCeWSNrWVSMJOD9Pj4cMBE25Fz&#10;Gi6+EiGEXYIKau+7REpX1mTQRbYjDtzd9gZ9gH0ldY9jCDetfI3jjTTYcGiosaOPmsqvy7dRcM/G&#10;l/V+LD79bZuvNu/YbAs7K/X8NJ3eQHia/L/4z53pMH+/ht9nwgXy+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heQ7BAAAA3AAAAA8AAAAAAAAAAAAAAAAAmAIAAGRycy9kb3du&#10;cmV2LnhtbFBLBQYAAAAABAAEAPUAAACGAwAAAAA=&#10;" stroked="f">
                  <v:textbox>
                    <w:txbxContent>
                      <w:p w:rsidR="00EA2176" w:rsidRPr="00C61787" w:rsidRDefault="00EA2176" w:rsidP="009E7A5C">
                        <w:pPr>
                          <w:jc w:val="center"/>
                          <w:rPr>
                            <w:b/>
                          </w:rPr>
                        </w:pPr>
                        <w:r w:rsidRPr="00C61787">
                          <w:rPr>
                            <w:b/>
                          </w:rPr>
                          <w:t>Сравнително висок ефект на лоста 1:5</w:t>
                        </w:r>
                      </w:p>
                    </w:txbxContent>
                  </v:textbox>
                </v:shape>
                <v:shape id="AutoShape 143" o:spid="_x0000_s1038" type="#_x0000_t32" style="position:absolute;left:3165;top:11299;width:0;height:4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Text Box 144" o:spid="_x0000_s1039" type="#_x0000_t202" style="position:absolute;left:2155;top:11776;width:2024;height:8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9C4sEA&#10;AADcAAAADwAAAGRycy9kb3ducmV2LnhtbERP24rCMBB9X/Afwgi+LGuquNZWo6yC4quuHzA20ws2&#10;k9Jkbf17Iwj7NodzndWmN7W4U+sqywom4wgEcWZ1xYWCy+/+awHCeWSNtWVS8CAHm/XgY4Wpth2f&#10;6H72hQgh7FJUUHrfpFK6rCSDbmwb4sDltjXoA2wLqVvsQrip5TSK5tJgxaGhxIZ2JWW3859RkB+7&#10;z++kux78JT7N5lus4qt9KDUa9j9LEJ56/y9+u486zE9ieD0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QuLBAAAA3AAAAA8AAAAAAAAAAAAAAAAAmAIAAGRycy9kb3du&#10;cmV2LnhtbFBLBQYAAAAABAAEAPUAAACGAwAAAAA=&#10;" stroked="f">
                  <v:textbox>
                    <w:txbxContent>
                      <w:p w:rsidR="00EA2176" w:rsidRPr="009E7A5C" w:rsidRDefault="00EA2176" w:rsidP="009E7A5C">
                        <w:pPr>
                          <w:jc w:val="center"/>
                          <w:rPr>
                            <w:sz w:val="18"/>
                            <w:szCs w:val="18"/>
                          </w:rPr>
                        </w:pPr>
                        <w:r w:rsidRPr="009E7A5C">
                          <w:rPr>
                            <w:sz w:val="18"/>
                            <w:szCs w:val="18"/>
                          </w:rPr>
                          <w:t>Таван на гаранцията до 80%</w:t>
                        </w:r>
                        <w:r>
                          <w:rPr>
                            <w:sz w:val="18"/>
                            <w:szCs w:val="18"/>
                          </w:rPr>
                          <w:t xml:space="preserve"> в зависимост от заема</w:t>
                        </w:r>
                      </w:p>
                    </w:txbxContent>
                  </v:textbox>
                </v:shape>
                <v:shape id="Text Box 145" o:spid="_x0000_s1040" type="#_x0000_t202" style="position:absolute;left:1380;top:5983;width:2613;height:6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rmhcYA&#10;AADcAAAADwAAAGRycy9kb3ducmV2LnhtbESPQWvCQBCF70L/wzKF3nTTUsREVyktFS9STIt6HLPT&#10;JDQ7G7Krxv565yB4m+G9ee+b2aJ3jTpRF2rPBp5HCSjiwtuaSwM/35/DCagQkS02nsnAhQIs5g+D&#10;GWbWn3lDpzyWSkI4ZGigirHNtA5FRQ7DyLfEov36zmGUtSu17fAs4a7RL0ky1g5rloYKW3qvqPjL&#10;j85AKJLx9us13+4Oekn/qbUf++XamKfH/m0KKlIf7+bb9coKfiq08oxMo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JrmhcYAAADcAAAADwAAAAAAAAAAAAAAAACYAgAAZHJz&#10;L2Rvd25yZXYueG1sUEsFBgAAAAAEAAQA9QAAAIsDAAAAAA==&#10;" strokecolor="white [3212]">
                  <v:textbox>
                    <w:txbxContent>
                      <w:p w:rsidR="00EA2176" w:rsidRPr="009E7A5C" w:rsidRDefault="00EA2176" w:rsidP="009E7A5C">
                        <w:pPr>
                          <w:jc w:val="center"/>
                          <w:rPr>
                            <w:sz w:val="18"/>
                            <w:szCs w:val="18"/>
                          </w:rPr>
                        </w:pPr>
                        <w:r w:rsidRPr="009E7A5C">
                          <w:rPr>
                            <w:sz w:val="18"/>
                            <w:szCs w:val="18"/>
                          </w:rPr>
                          <w:t>Собствен риск на фин. посредник: 20% (100%-80%)</w:t>
                        </w:r>
                      </w:p>
                    </w:txbxContent>
                  </v:textbox>
                </v:shape>
                <v:shape id="AutoShape 146" o:spid="_x0000_s1041" type="#_x0000_t32" style="position:absolute;left:2663;top:6593;width:0;height:12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8SjsMAAADcAAAADwAAAGRycy9kb3ducmV2LnhtbERPTWvCQBC9C/0PyxR60016KE10DaWg&#10;FKWHqgS9DdlpEpqdDburRn99VxC8zeN9zqwYTCdO5HxrWUE6SUAQV1a3XCvYbRfjdxA+IGvsLJOC&#10;C3ko5k+jGebanvmHTptQixjCPkcFTQh9LqWvGjLoJ7YnjtyvdQZDhK6W2uE5hptOvibJmzTYcmxo&#10;sKfPhqq/zdEo2K+zY3kpv2lVptnqgM7463ap1Mvz8DEFEWgID/Hd/aXj/Cy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6PEo7DAAAA3AAAAA8AAAAAAAAAAAAA&#10;AAAAoQIAAGRycy9kb3ducmV2LnhtbFBLBQYAAAAABAAEAPkAAACRAwAAAAA=&#10;">
                  <v:stroke endarrow="block"/>
                </v:shape>
                <v:shape id="Text Box 147" o:spid="_x0000_s1042" type="#_x0000_t202" style="position:absolute;left:4836;top:5983;width:5611;height:6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kubcIA&#10;AADcAAAADwAAAGRycy9kb3ducmV2LnhtbESP3YrCMBSE7xd8h3AEbxabKq4/1SiroHjrzwOcNse2&#10;2JyUJmvr2xtB2MthZr5hVpvOVOJBjSstKxhFMQjizOqScwXXy344B+E8ssbKMil4koPNuve1wkTb&#10;lk/0OPtcBAi7BBUU3teJlC4ryKCLbE0cvJttDPogm1zqBtsAN5Ucx/FUGiw5LBRY066g7H7+Mwpu&#10;x/b7Z9GmB3+dnSbTLZaz1D6VGvS73yUIT53/D3/aR60gEOF9JhwB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uS5twgAAANwAAAAPAAAAAAAAAAAAAAAAAJgCAABkcnMvZG93&#10;bnJldi54bWxQSwUGAAAAAAQABAD1AAAAhwMAAAAA&#10;" stroked="f">
                  <v:textbox>
                    <w:txbxContent>
                      <w:p w:rsidR="00EA2176" w:rsidRPr="00C61787" w:rsidRDefault="00EA2176">
                        <w:pPr>
                          <w:rPr>
                            <w:sz w:val="18"/>
                            <w:szCs w:val="18"/>
                          </w:rPr>
                        </w:pPr>
                        <w:r w:rsidRPr="00C61787">
                          <w:rPr>
                            <w:sz w:val="18"/>
                            <w:szCs w:val="18"/>
                          </w:rPr>
                          <w:t>Финансов посредник, избран чрез обществена поръчка</w:t>
                        </w:r>
                        <w:r>
                          <w:rPr>
                            <w:sz w:val="18"/>
                            <w:szCs w:val="18"/>
                          </w:rPr>
                          <w:t xml:space="preserve"> (отговорен за изпълнение на инструмента и докладва на Фонда на фондовете)</w:t>
                        </w:r>
                      </w:p>
                    </w:txbxContent>
                  </v:textbox>
                </v:shape>
                <v:shape id="AutoShape 148" o:spid="_x0000_s1043" type="#_x0000_t32" style="position:absolute;left:6165;top:6595;width:0;height:12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bqc8UAAADcAAAADwAAAGRycy9kb3ducmV2LnhtbESPQWvCQBSE7wX/w/IEb3UTD6LRVYqg&#10;iOJBLcHeHtnXJDT7NuyuGv31bqHQ4zAz3zDzZWcacSPna8sK0mECgriwuuZSwed5/T4B4QOyxsYy&#10;KXiQh+Wi9zbHTNs7H+l2CqWIEPYZKqhCaDMpfVGRQT+0LXH0vq0zGKJ0pdQO7xFuGjlKkrE0WHNc&#10;qLClVUXFz+lqFFz202v+yA+0y9Pp7gud8c/zRqlBv/uYgQjUhf/wX3urFYySFH7PxCMgF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9bqc8UAAADcAAAADwAAAAAAAAAA&#10;AAAAAAChAgAAZHJzL2Rvd25yZXYueG1sUEsFBgAAAAAEAAQA+QAAAJMDAAAAAA==&#10;">
                  <v:stroke endarrow="block"/>
                </v:shape>
              </v:group>
            </w:pict>
          </mc:Fallback>
        </mc:AlternateContent>
      </w:r>
    </w:p>
    <w:p w:rsidR="00695315" w:rsidRDefault="00695315" w:rsidP="00695315">
      <w:pPr>
        <w:autoSpaceDE w:val="0"/>
        <w:autoSpaceDN w:val="0"/>
        <w:adjustRightInd w:val="0"/>
        <w:spacing w:before="240" w:after="0" w:line="240" w:lineRule="auto"/>
        <w:jc w:val="both"/>
        <w:rPr>
          <w:rFonts w:cs="Georgia"/>
          <w:color w:val="000000"/>
        </w:rPr>
      </w:pPr>
    </w:p>
    <w:p w:rsidR="009E7A5C" w:rsidRDefault="009E7A5C" w:rsidP="00695315">
      <w:pPr>
        <w:autoSpaceDE w:val="0"/>
        <w:autoSpaceDN w:val="0"/>
        <w:adjustRightInd w:val="0"/>
        <w:spacing w:before="240" w:after="0" w:line="240" w:lineRule="auto"/>
        <w:jc w:val="both"/>
        <w:rPr>
          <w:rFonts w:cs="Georgia"/>
          <w:color w:val="000000"/>
        </w:rPr>
      </w:pPr>
    </w:p>
    <w:p w:rsidR="009E7A5C" w:rsidRDefault="009E7A5C" w:rsidP="00695315">
      <w:pPr>
        <w:autoSpaceDE w:val="0"/>
        <w:autoSpaceDN w:val="0"/>
        <w:adjustRightInd w:val="0"/>
        <w:spacing w:before="240" w:after="0" w:line="240" w:lineRule="auto"/>
        <w:jc w:val="both"/>
        <w:rPr>
          <w:rFonts w:cs="Georgia"/>
          <w:color w:val="000000"/>
        </w:rPr>
      </w:pPr>
    </w:p>
    <w:p w:rsidR="00695315" w:rsidRDefault="00695315" w:rsidP="00695315">
      <w:pPr>
        <w:autoSpaceDE w:val="0"/>
        <w:autoSpaceDN w:val="0"/>
        <w:adjustRightInd w:val="0"/>
        <w:spacing w:before="240" w:after="0" w:line="240" w:lineRule="auto"/>
        <w:jc w:val="both"/>
        <w:rPr>
          <w:rFonts w:cs="Georgia"/>
          <w:color w:val="000000"/>
        </w:rPr>
      </w:pPr>
    </w:p>
    <w:p w:rsidR="00695315" w:rsidRDefault="00695315" w:rsidP="00695315">
      <w:pPr>
        <w:autoSpaceDE w:val="0"/>
        <w:autoSpaceDN w:val="0"/>
        <w:adjustRightInd w:val="0"/>
        <w:spacing w:before="240" w:after="0" w:line="240" w:lineRule="auto"/>
        <w:jc w:val="both"/>
        <w:rPr>
          <w:rFonts w:cs="Georgia"/>
          <w:color w:val="000000"/>
        </w:rPr>
      </w:pPr>
    </w:p>
    <w:p w:rsidR="00695315" w:rsidRDefault="00695315" w:rsidP="00695315">
      <w:pPr>
        <w:autoSpaceDE w:val="0"/>
        <w:autoSpaceDN w:val="0"/>
        <w:adjustRightInd w:val="0"/>
        <w:spacing w:before="240" w:after="0" w:line="240" w:lineRule="auto"/>
        <w:jc w:val="both"/>
        <w:rPr>
          <w:rFonts w:cs="Georgia"/>
          <w:color w:val="000000"/>
        </w:rPr>
      </w:pPr>
    </w:p>
    <w:p w:rsidR="00695315" w:rsidRDefault="00695315" w:rsidP="00695315">
      <w:pPr>
        <w:autoSpaceDE w:val="0"/>
        <w:autoSpaceDN w:val="0"/>
        <w:adjustRightInd w:val="0"/>
        <w:spacing w:before="240" w:after="0" w:line="240" w:lineRule="auto"/>
        <w:jc w:val="both"/>
        <w:rPr>
          <w:rFonts w:cs="Georgia"/>
          <w:color w:val="000000"/>
        </w:rPr>
      </w:pPr>
    </w:p>
    <w:p w:rsidR="00695315" w:rsidRDefault="00695315" w:rsidP="00695315">
      <w:pPr>
        <w:autoSpaceDE w:val="0"/>
        <w:autoSpaceDN w:val="0"/>
        <w:adjustRightInd w:val="0"/>
        <w:spacing w:before="240" w:after="0" w:line="240" w:lineRule="auto"/>
        <w:jc w:val="both"/>
        <w:rPr>
          <w:rFonts w:cs="Georgia"/>
          <w:color w:val="000000"/>
        </w:rPr>
      </w:pPr>
    </w:p>
    <w:p w:rsidR="00695315" w:rsidRDefault="00695315" w:rsidP="00695315">
      <w:pPr>
        <w:autoSpaceDE w:val="0"/>
        <w:autoSpaceDN w:val="0"/>
        <w:adjustRightInd w:val="0"/>
        <w:spacing w:before="240" w:after="0" w:line="240" w:lineRule="auto"/>
        <w:jc w:val="both"/>
        <w:rPr>
          <w:rFonts w:cs="Georgia"/>
          <w:color w:val="000000"/>
        </w:rPr>
      </w:pPr>
    </w:p>
    <w:p w:rsidR="00695315" w:rsidRDefault="00695315" w:rsidP="00695315">
      <w:pPr>
        <w:autoSpaceDE w:val="0"/>
        <w:autoSpaceDN w:val="0"/>
        <w:adjustRightInd w:val="0"/>
        <w:spacing w:before="240" w:after="0" w:line="240" w:lineRule="auto"/>
        <w:jc w:val="both"/>
        <w:rPr>
          <w:rFonts w:cs="Georgia"/>
          <w:color w:val="000000"/>
        </w:rPr>
      </w:pPr>
    </w:p>
    <w:p w:rsidR="00695315" w:rsidRPr="00695315" w:rsidRDefault="00695315" w:rsidP="00695315">
      <w:pPr>
        <w:autoSpaceDE w:val="0"/>
        <w:autoSpaceDN w:val="0"/>
        <w:adjustRightInd w:val="0"/>
        <w:spacing w:before="240" w:after="0" w:line="240" w:lineRule="auto"/>
        <w:jc w:val="both"/>
        <w:rPr>
          <w:rFonts w:cs="Georgia"/>
          <w:color w:val="000000"/>
        </w:rPr>
      </w:pPr>
    </w:p>
    <w:p w:rsidR="00695315" w:rsidRDefault="00695315" w:rsidP="00972531">
      <w:pPr>
        <w:autoSpaceDE w:val="0"/>
        <w:autoSpaceDN w:val="0"/>
        <w:adjustRightInd w:val="0"/>
        <w:spacing w:after="0" w:line="240" w:lineRule="auto"/>
        <w:jc w:val="both"/>
        <w:rPr>
          <w:rFonts w:cs="Georgia"/>
          <w:color w:val="000000"/>
        </w:rPr>
      </w:pPr>
    </w:p>
    <w:p w:rsidR="009E7A5C" w:rsidRDefault="009E7A5C" w:rsidP="00972531">
      <w:pPr>
        <w:autoSpaceDE w:val="0"/>
        <w:autoSpaceDN w:val="0"/>
        <w:adjustRightInd w:val="0"/>
        <w:spacing w:after="0" w:line="240" w:lineRule="auto"/>
        <w:jc w:val="both"/>
        <w:rPr>
          <w:rFonts w:cs="Georgia"/>
          <w:color w:val="000000"/>
        </w:rPr>
      </w:pPr>
    </w:p>
    <w:p w:rsidR="009E7A5C" w:rsidRDefault="009E7A5C" w:rsidP="00972531">
      <w:pPr>
        <w:autoSpaceDE w:val="0"/>
        <w:autoSpaceDN w:val="0"/>
        <w:adjustRightInd w:val="0"/>
        <w:spacing w:after="0" w:line="240" w:lineRule="auto"/>
        <w:jc w:val="both"/>
        <w:rPr>
          <w:rFonts w:cs="Georgia"/>
          <w:color w:val="000000"/>
        </w:rPr>
      </w:pPr>
    </w:p>
    <w:p w:rsidR="009E7A5C" w:rsidRPr="00722616" w:rsidRDefault="00722616" w:rsidP="00722616">
      <w:pPr>
        <w:pStyle w:val="Default"/>
        <w:rPr>
          <w:rFonts w:asciiTheme="minorHAnsi" w:eastAsiaTheme="minorHAnsi" w:hAnsiTheme="minorHAnsi" w:cs="Georgia"/>
          <w:i/>
          <w:sz w:val="20"/>
          <w:szCs w:val="20"/>
          <w:lang w:val="en-US"/>
        </w:rPr>
      </w:pPr>
      <w:r w:rsidRPr="00722616">
        <w:rPr>
          <w:rFonts w:asciiTheme="minorHAnsi" w:eastAsiaTheme="minorHAnsi" w:hAnsiTheme="minorHAnsi" w:cs="Georgia"/>
          <w:i/>
          <w:sz w:val="20"/>
          <w:szCs w:val="20"/>
          <w:u w:val="single"/>
        </w:rPr>
        <w:t>Източник:</w:t>
      </w:r>
      <w:r w:rsidRPr="00722616">
        <w:rPr>
          <w:rFonts w:asciiTheme="minorHAnsi" w:eastAsiaTheme="minorHAnsi" w:hAnsiTheme="minorHAnsi" w:cs="Georgia"/>
          <w:i/>
          <w:sz w:val="20"/>
          <w:szCs w:val="20"/>
        </w:rPr>
        <w:t xml:space="preserve">  Directorate-General for Regional and Urban Poli</w:t>
      </w:r>
      <w:r>
        <w:rPr>
          <w:rFonts w:asciiTheme="minorHAnsi" w:eastAsiaTheme="minorHAnsi" w:hAnsiTheme="minorHAnsi" w:cs="Georgia"/>
          <w:i/>
          <w:sz w:val="20"/>
          <w:szCs w:val="20"/>
          <w:lang w:val="en-US"/>
        </w:rPr>
        <w:t>cy</w:t>
      </w:r>
    </w:p>
    <w:p w:rsidR="00722616" w:rsidRDefault="00722616" w:rsidP="00972531">
      <w:pPr>
        <w:autoSpaceDE w:val="0"/>
        <w:autoSpaceDN w:val="0"/>
        <w:adjustRightInd w:val="0"/>
        <w:spacing w:after="0" w:line="240" w:lineRule="auto"/>
        <w:jc w:val="both"/>
        <w:rPr>
          <w:rFonts w:cs="Georgia"/>
          <w:color w:val="000000"/>
        </w:rPr>
      </w:pPr>
    </w:p>
    <w:p w:rsidR="00C61787" w:rsidRDefault="007D6437" w:rsidP="00972531">
      <w:pPr>
        <w:autoSpaceDE w:val="0"/>
        <w:autoSpaceDN w:val="0"/>
        <w:adjustRightInd w:val="0"/>
        <w:spacing w:after="0" w:line="240" w:lineRule="auto"/>
        <w:jc w:val="both"/>
        <w:rPr>
          <w:rFonts w:cs="Georgia"/>
          <w:color w:val="000000"/>
        </w:rPr>
      </w:pPr>
      <w:r>
        <w:rPr>
          <w:rFonts w:cs="Georgia"/>
          <w:color w:val="000000"/>
        </w:rPr>
        <w:lastRenderedPageBreak/>
        <w:t>Т.е. ако приносът на ОПОС представлява 20% или 30% от финансирането на проекта под формата на гаранция, интензитета на помощта от ЕС в двата случая би бил следния:</w:t>
      </w:r>
    </w:p>
    <w:p w:rsidR="007D6437" w:rsidRDefault="007D6437" w:rsidP="00972531">
      <w:pPr>
        <w:autoSpaceDE w:val="0"/>
        <w:autoSpaceDN w:val="0"/>
        <w:adjustRightInd w:val="0"/>
        <w:spacing w:after="0" w:line="240" w:lineRule="auto"/>
        <w:jc w:val="both"/>
        <w:rPr>
          <w:rFonts w:cs="Georgia"/>
          <w:color w:val="000000"/>
        </w:rPr>
      </w:pPr>
    </w:p>
    <w:p w:rsidR="00017319" w:rsidRDefault="00017319" w:rsidP="00972531">
      <w:pPr>
        <w:autoSpaceDE w:val="0"/>
        <w:autoSpaceDN w:val="0"/>
        <w:adjustRightInd w:val="0"/>
        <w:spacing w:after="0" w:line="240" w:lineRule="auto"/>
        <w:jc w:val="both"/>
        <w:rPr>
          <w:rFonts w:cs="Georgia"/>
          <w:color w:val="000000"/>
        </w:rPr>
      </w:pPr>
    </w:p>
    <w:p w:rsidR="008C77F6" w:rsidRDefault="008C77F6" w:rsidP="00972531">
      <w:pPr>
        <w:autoSpaceDE w:val="0"/>
        <w:autoSpaceDN w:val="0"/>
        <w:adjustRightInd w:val="0"/>
        <w:spacing w:after="0" w:line="240" w:lineRule="auto"/>
        <w:jc w:val="both"/>
        <w:rPr>
          <w:rFonts w:cs="Georgia"/>
          <w:color w:val="000000"/>
        </w:rPr>
      </w:pPr>
    </w:p>
    <w:p w:rsidR="008C77F6" w:rsidRDefault="008C77F6" w:rsidP="00972531">
      <w:pPr>
        <w:autoSpaceDE w:val="0"/>
        <w:autoSpaceDN w:val="0"/>
        <w:adjustRightInd w:val="0"/>
        <w:spacing w:after="0" w:line="240" w:lineRule="auto"/>
        <w:jc w:val="both"/>
        <w:rPr>
          <w:rFonts w:cs="Georgia"/>
          <w:color w:val="000000"/>
        </w:rPr>
      </w:pPr>
    </w:p>
    <w:p w:rsidR="008C77F6" w:rsidRDefault="008C77F6" w:rsidP="00972531">
      <w:pPr>
        <w:autoSpaceDE w:val="0"/>
        <w:autoSpaceDN w:val="0"/>
        <w:adjustRightInd w:val="0"/>
        <w:spacing w:after="0" w:line="240" w:lineRule="auto"/>
        <w:jc w:val="both"/>
        <w:rPr>
          <w:rFonts w:cs="Georgia"/>
          <w:color w:val="000000"/>
        </w:rPr>
      </w:pPr>
    </w:p>
    <w:p w:rsidR="008C77F6" w:rsidRDefault="008C77F6" w:rsidP="00972531">
      <w:pPr>
        <w:autoSpaceDE w:val="0"/>
        <w:autoSpaceDN w:val="0"/>
        <w:adjustRightInd w:val="0"/>
        <w:spacing w:after="0" w:line="240" w:lineRule="auto"/>
        <w:jc w:val="both"/>
        <w:rPr>
          <w:rFonts w:cs="Georgia"/>
          <w:color w:val="000000"/>
        </w:rPr>
      </w:pPr>
    </w:p>
    <w:p w:rsidR="008C77F6" w:rsidRDefault="008C77F6" w:rsidP="00972531">
      <w:pPr>
        <w:autoSpaceDE w:val="0"/>
        <w:autoSpaceDN w:val="0"/>
        <w:adjustRightInd w:val="0"/>
        <w:spacing w:after="0" w:line="240" w:lineRule="auto"/>
        <w:jc w:val="both"/>
        <w:rPr>
          <w:rFonts w:cs="Georgia"/>
          <w:color w:val="000000"/>
        </w:rPr>
      </w:pPr>
    </w:p>
    <w:p w:rsidR="008C77F6" w:rsidRDefault="008C77F6" w:rsidP="00972531">
      <w:pPr>
        <w:autoSpaceDE w:val="0"/>
        <w:autoSpaceDN w:val="0"/>
        <w:adjustRightInd w:val="0"/>
        <w:spacing w:after="0" w:line="240" w:lineRule="auto"/>
        <w:jc w:val="both"/>
        <w:rPr>
          <w:rFonts w:cs="Georgia"/>
          <w:color w:val="000000"/>
        </w:rPr>
      </w:pPr>
    </w:p>
    <w:p w:rsidR="008C77F6" w:rsidRDefault="008C77F6" w:rsidP="00972531">
      <w:pPr>
        <w:autoSpaceDE w:val="0"/>
        <w:autoSpaceDN w:val="0"/>
        <w:adjustRightInd w:val="0"/>
        <w:spacing w:after="0" w:line="240" w:lineRule="auto"/>
        <w:jc w:val="both"/>
        <w:rPr>
          <w:rFonts w:cs="Georgia"/>
          <w:color w:val="000000"/>
        </w:rPr>
      </w:pPr>
    </w:p>
    <w:p w:rsidR="00017319" w:rsidRPr="00017319" w:rsidRDefault="00017319" w:rsidP="00972531">
      <w:pPr>
        <w:autoSpaceDE w:val="0"/>
        <w:autoSpaceDN w:val="0"/>
        <w:adjustRightInd w:val="0"/>
        <w:spacing w:line="240" w:lineRule="auto"/>
        <w:jc w:val="both"/>
        <w:rPr>
          <w:rFonts w:cs="Georgia"/>
          <w:b/>
          <w:color w:val="000000"/>
          <w:sz w:val="20"/>
          <w:szCs w:val="20"/>
        </w:rPr>
      </w:pPr>
      <w:bookmarkStart w:id="126" w:name="_Toc399494642"/>
      <w:r w:rsidRPr="00017319">
        <w:rPr>
          <w:rFonts w:cstheme="minorHAnsi"/>
          <w:b/>
          <w:sz w:val="20"/>
          <w:szCs w:val="20"/>
        </w:rPr>
        <w:t xml:space="preserve">Фигура </w:t>
      </w:r>
      <w:r w:rsidR="008E6461" w:rsidRPr="00017319">
        <w:rPr>
          <w:rFonts w:cstheme="minorHAnsi"/>
          <w:b/>
          <w:sz w:val="20"/>
          <w:szCs w:val="20"/>
        </w:rPr>
        <w:fldChar w:fldCharType="begin"/>
      </w:r>
      <w:r w:rsidRPr="00017319">
        <w:rPr>
          <w:rFonts w:cstheme="minorHAnsi"/>
          <w:b/>
          <w:sz w:val="20"/>
          <w:szCs w:val="20"/>
        </w:rPr>
        <w:instrText xml:space="preserve"> SEQ фигура \* ARABIC </w:instrText>
      </w:r>
      <w:r w:rsidR="008E6461" w:rsidRPr="00017319">
        <w:rPr>
          <w:rFonts w:cstheme="minorHAnsi"/>
          <w:b/>
          <w:sz w:val="20"/>
          <w:szCs w:val="20"/>
        </w:rPr>
        <w:fldChar w:fldCharType="separate"/>
      </w:r>
      <w:r w:rsidR="003A69A7">
        <w:rPr>
          <w:rFonts w:cstheme="minorHAnsi"/>
          <w:b/>
          <w:noProof/>
          <w:sz w:val="20"/>
          <w:szCs w:val="20"/>
        </w:rPr>
        <w:t>57</w:t>
      </w:r>
      <w:r w:rsidR="008E6461" w:rsidRPr="00017319">
        <w:rPr>
          <w:rFonts w:cstheme="minorHAnsi"/>
          <w:b/>
          <w:sz w:val="20"/>
          <w:szCs w:val="20"/>
        </w:rPr>
        <w:fldChar w:fldCharType="end"/>
      </w:r>
      <w:r w:rsidRPr="00017319">
        <w:rPr>
          <w:rFonts w:cstheme="minorHAnsi"/>
          <w:b/>
          <w:sz w:val="20"/>
          <w:szCs w:val="20"/>
        </w:rPr>
        <w:t>:</w:t>
      </w:r>
      <w:r>
        <w:rPr>
          <w:rFonts w:cstheme="minorHAnsi"/>
          <w:b/>
          <w:sz w:val="20"/>
          <w:szCs w:val="20"/>
        </w:rPr>
        <w:t xml:space="preserve"> Интензитет на помощта от ЕС в гаранционен механизъм</w:t>
      </w:r>
      <w:bookmarkEnd w:id="126"/>
    </w:p>
    <w:tbl>
      <w:tblPr>
        <w:tblStyle w:val="TableGrid"/>
        <w:tblW w:w="0" w:type="auto"/>
        <w:tblLook w:val="04A0" w:firstRow="1" w:lastRow="0" w:firstColumn="1" w:lastColumn="0" w:noHBand="0" w:noVBand="1"/>
      </w:tblPr>
      <w:tblGrid>
        <w:gridCol w:w="4799"/>
        <w:gridCol w:w="4689"/>
      </w:tblGrid>
      <w:tr w:rsidR="007D6437" w:rsidTr="007D6437">
        <w:tc>
          <w:tcPr>
            <w:tcW w:w="4819" w:type="dxa"/>
          </w:tcPr>
          <w:p w:rsidR="007D6437" w:rsidRDefault="007D6437" w:rsidP="007D6437">
            <w:pPr>
              <w:autoSpaceDE w:val="0"/>
              <w:autoSpaceDN w:val="0"/>
              <w:adjustRightInd w:val="0"/>
              <w:ind w:left="-142" w:right="-109"/>
              <w:jc w:val="both"/>
              <w:rPr>
                <w:rFonts w:cs="Georgia"/>
                <w:color w:val="000000"/>
              </w:rPr>
            </w:pPr>
            <w:r>
              <w:rPr>
                <w:rFonts w:cs="Georgia"/>
                <w:noProof/>
                <w:color w:val="000000"/>
                <w:lang w:eastAsia="bg-BG"/>
              </w:rPr>
              <w:drawing>
                <wp:inline distT="0" distB="0" distL="0" distR="0">
                  <wp:extent cx="3152563" cy="2087593"/>
                  <wp:effectExtent l="1905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07" cstate="print"/>
                          <a:srcRect/>
                          <a:stretch>
                            <a:fillRect/>
                          </a:stretch>
                        </pic:blipFill>
                        <pic:spPr bwMode="auto">
                          <a:xfrm>
                            <a:off x="0" y="0"/>
                            <a:ext cx="3152563" cy="2087593"/>
                          </a:xfrm>
                          <a:prstGeom prst="rect">
                            <a:avLst/>
                          </a:prstGeom>
                          <a:noFill/>
                        </pic:spPr>
                      </pic:pic>
                    </a:graphicData>
                  </a:graphic>
                </wp:inline>
              </w:drawing>
            </w:r>
          </w:p>
        </w:tc>
        <w:tc>
          <w:tcPr>
            <w:tcW w:w="4819" w:type="dxa"/>
          </w:tcPr>
          <w:p w:rsidR="007D6437" w:rsidRDefault="00017319" w:rsidP="00017319">
            <w:pPr>
              <w:autoSpaceDE w:val="0"/>
              <w:autoSpaceDN w:val="0"/>
              <w:adjustRightInd w:val="0"/>
              <w:ind w:left="-169" w:right="-141"/>
              <w:jc w:val="both"/>
              <w:rPr>
                <w:rFonts w:cs="Georgia"/>
                <w:color w:val="000000"/>
              </w:rPr>
            </w:pPr>
            <w:r>
              <w:rPr>
                <w:rFonts w:cs="Georgia"/>
                <w:noProof/>
                <w:color w:val="000000"/>
                <w:lang w:eastAsia="bg-BG"/>
              </w:rPr>
              <w:drawing>
                <wp:inline distT="0" distB="0" distL="0" distR="0">
                  <wp:extent cx="3095086" cy="2087593"/>
                  <wp:effectExtent l="1905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08" cstate="print"/>
                          <a:srcRect/>
                          <a:stretch>
                            <a:fillRect/>
                          </a:stretch>
                        </pic:blipFill>
                        <pic:spPr bwMode="auto">
                          <a:xfrm>
                            <a:off x="0" y="0"/>
                            <a:ext cx="3098091" cy="2089620"/>
                          </a:xfrm>
                          <a:prstGeom prst="rect">
                            <a:avLst/>
                          </a:prstGeom>
                          <a:noFill/>
                        </pic:spPr>
                      </pic:pic>
                    </a:graphicData>
                  </a:graphic>
                </wp:inline>
              </w:drawing>
            </w:r>
          </w:p>
        </w:tc>
      </w:tr>
    </w:tbl>
    <w:p w:rsidR="007D6437" w:rsidRDefault="007D6437" w:rsidP="00972531">
      <w:pPr>
        <w:autoSpaceDE w:val="0"/>
        <w:autoSpaceDN w:val="0"/>
        <w:adjustRightInd w:val="0"/>
        <w:spacing w:after="0" w:line="240" w:lineRule="auto"/>
        <w:jc w:val="both"/>
        <w:rPr>
          <w:rFonts w:cs="Georgia"/>
          <w:color w:val="000000"/>
        </w:rPr>
      </w:pPr>
    </w:p>
    <w:p w:rsidR="00017319" w:rsidRDefault="00017319" w:rsidP="00972531">
      <w:pPr>
        <w:autoSpaceDE w:val="0"/>
        <w:autoSpaceDN w:val="0"/>
        <w:adjustRightInd w:val="0"/>
        <w:spacing w:after="0" w:line="240" w:lineRule="auto"/>
        <w:jc w:val="both"/>
        <w:rPr>
          <w:rFonts w:cs="Georgia"/>
          <w:color w:val="000000"/>
        </w:rPr>
      </w:pPr>
      <w:r>
        <w:rPr>
          <w:rFonts w:cs="Georgia"/>
          <w:color w:val="000000"/>
        </w:rPr>
        <w:t>Рециклирането на фондовете зависи от няколко фактора:</w:t>
      </w:r>
    </w:p>
    <w:p w:rsidR="00017319" w:rsidRDefault="00017319" w:rsidP="001A036E">
      <w:pPr>
        <w:numPr>
          <w:ilvl w:val="0"/>
          <w:numId w:val="80"/>
        </w:numPr>
        <w:autoSpaceDE w:val="0"/>
        <w:autoSpaceDN w:val="0"/>
        <w:adjustRightInd w:val="0"/>
        <w:spacing w:before="240" w:after="0" w:line="240" w:lineRule="auto"/>
        <w:jc w:val="both"/>
        <w:rPr>
          <w:rFonts w:cs="Georgia"/>
          <w:color w:val="000000"/>
        </w:rPr>
      </w:pPr>
      <w:r>
        <w:rPr>
          <w:rFonts w:cs="Georgia"/>
          <w:color w:val="000000"/>
        </w:rPr>
        <w:t>Срокът за изпълнение на инвестиционните проекти, който следва да се равнява на гратисния период за изплащане на дълга</w:t>
      </w:r>
    </w:p>
    <w:p w:rsidR="00017319" w:rsidRDefault="00017319" w:rsidP="001A036E">
      <w:pPr>
        <w:numPr>
          <w:ilvl w:val="0"/>
          <w:numId w:val="80"/>
        </w:numPr>
        <w:autoSpaceDE w:val="0"/>
        <w:autoSpaceDN w:val="0"/>
        <w:adjustRightInd w:val="0"/>
        <w:spacing w:before="240" w:after="0" w:line="240" w:lineRule="auto"/>
        <w:jc w:val="both"/>
        <w:rPr>
          <w:rFonts w:cs="Georgia"/>
          <w:color w:val="000000"/>
        </w:rPr>
      </w:pPr>
      <w:r>
        <w:rPr>
          <w:rFonts w:cs="Georgia"/>
          <w:color w:val="000000"/>
        </w:rPr>
        <w:t>Срокът за погасяване на заема, който от своя страна зависи от размера на инвестицията и периода на нейното изплащане.</w:t>
      </w:r>
    </w:p>
    <w:p w:rsidR="00017319" w:rsidRDefault="00730406" w:rsidP="00017319">
      <w:pPr>
        <w:autoSpaceDE w:val="0"/>
        <w:autoSpaceDN w:val="0"/>
        <w:adjustRightInd w:val="0"/>
        <w:spacing w:before="240" w:after="0" w:line="240" w:lineRule="auto"/>
        <w:jc w:val="both"/>
        <w:rPr>
          <w:rFonts w:cs="Georgia"/>
          <w:color w:val="000000"/>
        </w:rPr>
      </w:pPr>
      <w:r>
        <w:rPr>
          <w:rFonts w:cs="Georgia"/>
          <w:color w:val="000000"/>
        </w:rPr>
        <w:t>Предвид факта, че проектите в секторите Води и Отпадъци имат различни характеристики по отношение на горепосочените фактори, то рециклирането на фондовете в двата сектора ще бъде различно.</w:t>
      </w:r>
    </w:p>
    <w:p w:rsidR="00730406" w:rsidRPr="00730406" w:rsidRDefault="00730406" w:rsidP="00017319">
      <w:pPr>
        <w:autoSpaceDE w:val="0"/>
        <w:autoSpaceDN w:val="0"/>
        <w:adjustRightInd w:val="0"/>
        <w:spacing w:before="240" w:after="0" w:line="240" w:lineRule="auto"/>
        <w:jc w:val="both"/>
        <w:rPr>
          <w:rFonts w:cs="Georgia"/>
          <w:b/>
          <w:i/>
          <w:color w:val="2E74B5" w:themeColor="accent1" w:themeShade="BF"/>
        </w:rPr>
      </w:pPr>
      <w:r w:rsidRPr="00730406">
        <w:rPr>
          <w:rFonts w:cs="Georgia"/>
          <w:b/>
          <w:i/>
          <w:color w:val="2E74B5" w:themeColor="accent1" w:themeShade="BF"/>
        </w:rPr>
        <w:t>Сектор Води</w:t>
      </w:r>
    </w:p>
    <w:p w:rsidR="00730406" w:rsidRDefault="00730406" w:rsidP="00017319">
      <w:pPr>
        <w:autoSpaceDE w:val="0"/>
        <w:autoSpaceDN w:val="0"/>
        <w:adjustRightInd w:val="0"/>
        <w:spacing w:before="240" w:after="0" w:line="240" w:lineRule="auto"/>
        <w:jc w:val="both"/>
        <w:rPr>
          <w:rFonts w:cs="Georgia"/>
          <w:color w:val="000000"/>
        </w:rPr>
      </w:pPr>
      <w:r>
        <w:rPr>
          <w:rFonts w:cs="Georgia"/>
          <w:color w:val="000000"/>
        </w:rPr>
        <w:t>Досегашният опит показва, че срокът за реализиране на проектите във</w:t>
      </w:r>
      <w:r w:rsidR="005E1543">
        <w:rPr>
          <w:rFonts w:cs="Georgia"/>
          <w:color w:val="000000"/>
        </w:rPr>
        <w:t xml:space="preserve"> ВиК сектора е средно 3 години, предвид мащаба на инвестиционните проекти, погасяването на дълга не би следвало да бъде по-кратко от 10 г. На базата на тези допускания, за проект на стойност 50 млн. е</w:t>
      </w:r>
      <w:r w:rsidR="00E74BDD">
        <w:rPr>
          <w:rFonts w:cs="Georgia"/>
          <w:color w:val="000000"/>
        </w:rPr>
        <w:t>вро със стойност на заемното съ</w:t>
      </w:r>
      <w:r w:rsidR="005E1543">
        <w:rPr>
          <w:rFonts w:cs="Georgia"/>
          <w:color w:val="000000"/>
        </w:rPr>
        <w:t>финансиране в размер на с</w:t>
      </w:r>
      <w:r w:rsidR="001200F1">
        <w:rPr>
          <w:rFonts w:cs="Georgia"/>
          <w:color w:val="000000"/>
        </w:rPr>
        <w:t>р</w:t>
      </w:r>
      <w:r w:rsidR="005E1543">
        <w:rPr>
          <w:rFonts w:cs="Georgia"/>
          <w:color w:val="000000"/>
        </w:rPr>
        <w:t xml:space="preserve">едно 20%, </w:t>
      </w:r>
      <w:r w:rsidR="00CA2CB2">
        <w:rPr>
          <w:rFonts w:cs="Georgia"/>
          <w:color w:val="000000"/>
        </w:rPr>
        <w:t>всяка година се рециклират ~ 12% от средствата от КФ или пълното рециклиране на БФП е за период от ~ 8 години</w:t>
      </w:r>
      <w:r w:rsidR="005E1543">
        <w:rPr>
          <w:rFonts w:cs="Georgia"/>
          <w:color w:val="000000"/>
        </w:rPr>
        <w:t>:</w:t>
      </w:r>
    </w:p>
    <w:p w:rsidR="005E1543" w:rsidRDefault="001200F1" w:rsidP="00017319">
      <w:pPr>
        <w:autoSpaceDE w:val="0"/>
        <w:autoSpaceDN w:val="0"/>
        <w:adjustRightInd w:val="0"/>
        <w:spacing w:before="240" w:after="0" w:line="240" w:lineRule="auto"/>
        <w:jc w:val="both"/>
        <w:rPr>
          <w:rFonts w:cs="Georgia"/>
          <w:color w:val="000000"/>
        </w:rPr>
      </w:pPr>
      <w:bookmarkStart w:id="127" w:name="_Toc399494643"/>
      <w:r w:rsidRPr="00017319">
        <w:rPr>
          <w:rFonts w:cstheme="minorHAnsi"/>
          <w:b/>
          <w:sz w:val="20"/>
          <w:szCs w:val="20"/>
        </w:rPr>
        <w:t xml:space="preserve">Фигура </w:t>
      </w:r>
      <w:r w:rsidR="008E6461" w:rsidRPr="00017319">
        <w:rPr>
          <w:rFonts w:cstheme="minorHAnsi"/>
          <w:b/>
          <w:sz w:val="20"/>
          <w:szCs w:val="20"/>
        </w:rPr>
        <w:fldChar w:fldCharType="begin"/>
      </w:r>
      <w:r w:rsidRPr="00017319">
        <w:rPr>
          <w:rFonts w:cstheme="minorHAnsi"/>
          <w:b/>
          <w:sz w:val="20"/>
          <w:szCs w:val="20"/>
        </w:rPr>
        <w:instrText xml:space="preserve"> SEQ фигура \* ARABIC </w:instrText>
      </w:r>
      <w:r w:rsidR="008E6461" w:rsidRPr="00017319">
        <w:rPr>
          <w:rFonts w:cstheme="minorHAnsi"/>
          <w:b/>
          <w:sz w:val="20"/>
          <w:szCs w:val="20"/>
        </w:rPr>
        <w:fldChar w:fldCharType="separate"/>
      </w:r>
      <w:r w:rsidR="003A69A7">
        <w:rPr>
          <w:rFonts w:cstheme="minorHAnsi"/>
          <w:b/>
          <w:noProof/>
          <w:sz w:val="20"/>
          <w:szCs w:val="20"/>
        </w:rPr>
        <w:t>58</w:t>
      </w:r>
      <w:r w:rsidR="008E6461" w:rsidRPr="00017319">
        <w:rPr>
          <w:rFonts w:cstheme="minorHAnsi"/>
          <w:b/>
          <w:sz w:val="20"/>
          <w:szCs w:val="20"/>
        </w:rPr>
        <w:fldChar w:fldCharType="end"/>
      </w:r>
      <w:r w:rsidRPr="00017319">
        <w:rPr>
          <w:rFonts w:cstheme="minorHAnsi"/>
          <w:b/>
          <w:sz w:val="20"/>
          <w:szCs w:val="20"/>
        </w:rPr>
        <w:t>:</w:t>
      </w:r>
      <w:r>
        <w:rPr>
          <w:rFonts w:cstheme="minorHAnsi"/>
          <w:b/>
          <w:sz w:val="20"/>
          <w:szCs w:val="20"/>
        </w:rPr>
        <w:t xml:space="preserve"> Примерен погасителен план на заемно финансиране за проект във ВиК сектора</w:t>
      </w:r>
      <w:bookmarkEnd w:id="127"/>
    </w:p>
    <w:p w:rsidR="005E1543" w:rsidRDefault="001200F1" w:rsidP="001200F1">
      <w:pPr>
        <w:autoSpaceDE w:val="0"/>
        <w:autoSpaceDN w:val="0"/>
        <w:adjustRightInd w:val="0"/>
        <w:spacing w:before="240" w:after="0" w:line="240" w:lineRule="auto"/>
        <w:ind w:left="-142"/>
        <w:jc w:val="center"/>
        <w:rPr>
          <w:rFonts w:cs="Georgia"/>
          <w:color w:val="000000"/>
        </w:rPr>
      </w:pPr>
      <w:r w:rsidRPr="001200F1">
        <w:rPr>
          <w:noProof/>
          <w:lang w:eastAsia="bg-BG"/>
        </w:rPr>
        <w:lastRenderedPageBreak/>
        <w:drawing>
          <wp:inline distT="0" distB="0" distL="0" distR="0">
            <wp:extent cx="6329992" cy="1362973"/>
            <wp:effectExtent l="19050" t="0" r="0" b="0"/>
            <wp:docPr id="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9" cstate="print"/>
                    <a:srcRect/>
                    <a:stretch>
                      <a:fillRect/>
                    </a:stretch>
                  </pic:blipFill>
                  <pic:spPr bwMode="auto">
                    <a:xfrm>
                      <a:off x="0" y="0"/>
                      <a:ext cx="6336545" cy="1364384"/>
                    </a:xfrm>
                    <a:prstGeom prst="rect">
                      <a:avLst/>
                    </a:prstGeom>
                    <a:noFill/>
                    <a:ln w="9525">
                      <a:noFill/>
                      <a:miter lim="800000"/>
                      <a:headEnd/>
                      <a:tailEnd/>
                    </a:ln>
                  </pic:spPr>
                </pic:pic>
              </a:graphicData>
            </a:graphic>
          </wp:inline>
        </w:drawing>
      </w:r>
    </w:p>
    <w:p w:rsidR="00730406" w:rsidRPr="00017319" w:rsidRDefault="00CA2CB2" w:rsidP="00017319">
      <w:pPr>
        <w:autoSpaceDE w:val="0"/>
        <w:autoSpaceDN w:val="0"/>
        <w:adjustRightInd w:val="0"/>
        <w:spacing w:before="240" w:after="0" w:line="240" w:lineRule="auto"/>
        <w:jc w:val="both"/>
        <w:rPr>
          <w:rFonts w:cs="Georgia"/>
          <w:color w:val="000000"/>
        </w:rPr>
      </w:pPr>
      <w:r>
        <w:rPr>
          <w:rFonts w:cs="Georgia"/>
          <w:color w:val="000000"/>
        </w:rPr>
        <w:t>Това на практика означава, че половината от средствата от КФ могат да се вложат два пъти за периода на действието на програмата, ако финансовият инструмент се структурира през първите 2 години от програмния период.</w:t>
      </w:r>
    </w:p>
    <w:p w:rsidR="00CA2CB2" w:rsidRPr="00730406" w:rsidRDefault="00CA2CB2" w:rsidP="00CA2CB2">
      <w:pPr>
        <w:autoSpaceDE w:val="0"/>
        <w:autoSpaceDN w:val="0"/>
        <w:adjustRightInd w:val="0"/>
        <w:spacing w:before="240" w:after="0" w:line="240" w:lineRule="auto"/>
        <w:jc w:val="both"/>
        <w:rPr>
          <w:rFonts w:cs="Georgia"/>
          <w:b/>
          <w:i/>
          <w:color w:val="2E74B5" w:themeColor="accent1" w:themeShade="BF"/>
        </w:rPr>
      </w:pPr>
      <w:r w:rsidRPr="00730406">
        <w:rPr>
          <w:rFonts w:cs="Georgia"/>
          <w:b/>
          <w:i/>
          <w:color w:val="2E74B5" w:themeColor="accent1" w:themeShade="BF"/>
        </w:rPr>
        <w:t xml:space="preserve">Сектор </w:t>
      </w:r>
      <w:r>
        <w:rPr>
          <w:rFonts w:cs="Georgia"/>
          <w:b/>
          <w:i/>
          <w:color w:val="2E74B5" w:themeColor="accent1" w:themeShade="BF"/>
        </w:rPr>
        <w:t>Отпадъци</w:t>
      </w:r>
    </w:p>
    <w:p w:rsidR="00A349F8" w:rsidRDefault="006D4B35" w:rsidP="006D4B35">
      <w:pPr>
        <w:autoSpaceDE w:val="0"/>
        <w:autoSpaceDN w:val="0"/>
        <w:adjustRightInd w:val="0"/>
        <w:spacing w:before="240" w:after="0" w:line="240" w:lineRule="auto"/>
        <w:jc w:val="both"/>
        <w:rPr>
          <w:rFonts w:cs="Georgia"/>
        </w:rPr>
      </w:pPr>
      <w:r>
        <w:rPr>
          <w:rFonts w:cs="Georgia"/>
        </w:rPr>
        <w:t>Мерките, предвидени за финансиране в сектор Отпадъци по ОПОС 2014-2020 г. се различават от тези, финансирани в периода 2007-2013 г.</w:t>
      </w:r>
      <w:r w:rsidR="00C86914">
        <w:rPr>
          <w:rFonts w:cs="Georgia"/>
        </w:rPr>
        <w:t xml:space="preserve"> Въпреки това, се очаква средният срок за изпълнение на проектите да е сходен с този на инвестициите във Водния се</w:t>
      </w:r>
      <w:r w:rsidR="00A349F8">
        <w:rPr>
          <w:rFonts w:cs="Georgia"/>
        </w:rPr>
        <w:t>ктор, т.е. 3 години. Ако приемем обаче, че средният размер на проектите в сектор Отпадъци</w:t>
      </w:r>
      <w:r w:rsidR="00A349F8" w:rsidRPr="00A349F8">
        <w:rPr>
          <w:rFonts w:cs="Georgia"/>
        </w:rPr>
        <w:t xml:space="preserve"> </w:t>
      </w:r>
      <w:r w:rsidR="00A349F8">
        <w:rPr>
          <w:rFonts w:cs="Georgia"/>
        </w:rPr>
        <w:t>е 2 млн. евро, които ще се изплащат изцяло чрез финансов инструмент, а периодът на изплащане на заемното финансиране – 5 години, тогава резултатът е следния:</w:t>
      </w:r>
    </w:p>
    <w:p w:rsidR="00A349F8" w:rsidRDefault="00C86914" w:rsidP="00A349F8">
      <w:pPr>
        <w:autoSpaceDE w:val="0"/>
        <w:autoSpaceDN w:val="0"/>
        <w:adjustRightInd w:val="0"/>
        <w:spacing w:before="240" w:after="0" w:line="240" w:lineRule="auto"/>
        <w:jc w:val="both"/>
        <w:rPr>
          <w:rFonts w:cs="Georgia"/>
          <w:color w:val="000000"/>
        </w:rPr>
      </w:pPr>
      <w:r>
        <w:rPr>
          <w:rFonts w:cs="Georgia"/>
        </w:rPr>
        <w:t xml:space="preserve"> </w:t>
      </w:r>
      <w:bookmarkStart w:id="128" w:name="_Toc399494644"/>
      <w:r w:rsidR="00A349F8" w:rsidRPr="00017319">
        <w:rPr>
          <w:rFonts w:cstheme="minorHAnsi"/>
          <w:b/>
          <w:sz w:val="20"/>
          <w:szCs w:val="20"/>
        </w:rPr>
        <w:t xml:space="preserve">Фигура </w:t>
      </w:r>
      <w:r w:rsidR="008E6461" w:rsidRPr="00017319">
        <w:rPr>
          <w:rFonts w:cstheme="minorHAnsi"/>
          <w:b/>
          <w:sz w:val="20"/>
          <w:szCs w:val="20"/>
        </w:rPr>
        <w:fldChar w:fldCharType="begin"/>
      </w:r>
      <w:r w:rsidR="00A349F8" w:rsidRPr="00017319">
        <w:rPr>
          <w:rFonts w:cstheme="minorHAnsi"/>
          <w:b/>
          <w:sz w:val="20"/>
          <w:szCs w:val="20"/>
        </w:rPr>
        <w:instrText xml:space="preserve"> SEQ фигура \* ARABIC </w:instrText>
      </w:r>
      <w:r w:rsidR="008E6461" w:rsidRPr="00017319">
        <w:rPr>
          <w:rFonts w:cstheme="minorHAnsi"/>
          <w:b/>
          <w:sz w:val="20"/>
          <w:szCs w:val="20"/>
        </w:rPr>
        <w:fldChar w:fldCharType="separate"/>
      </w:r>
      <w:r w:rsidR="003A69A7">
        <w:rPr>
          <w:rFonts w:cstheme="minorHAnsi"/>
          <w:b/>
          <w:noProof/>
          <w:sz w:val="20"/>
          <w:szCs w:val="20"/>
        </w:rPr>
        <w:t>59</w:t>
      </w:r>
      <w:r w:rsidR="008E6461" w:rsidRPr="00017319">
        <w:rPr>
          <w:rFonts w:cstheme="minorHAnsi"/>
          <w:b/>
          <w:sz w:val="20"/>
          <w:szCs w:val="20"/>
        </w:rPr>
        <w:fldChar w:fldCharType="end"/>
      </w:r>
      <w:r w:rsidR="00A349F8" w:rsidRPr="00017319">
        <w:rPr>
          <w:rFonts w:cstheme="minorHAnsi"/>
          <w:b/>
          <w:sz w:val="20"/>
          <w:szCs w:val="20"/>
        </w:rPr>
        <w:t>:</w:t>
      </w:r>
      <w:r w:rsidR="00A349F8">
        <w:rPr>
          <w:rFonts w:cstheme="minorHAnsi"/>
          <w:b/>
          <w:sz w:val="20"/>
          <w:szCs w:val="20"/>
        </w:rPr>
        <w:t xml:space="preserve"> Примерен погасителен план на заемно финансиране за проект в сектор Отпадъци</w:t>
      </w:r>
      <w:bookmarkEnd w:id="128"/>
    </w:p>
    <w:p w:rsidR="00017319" w:rsidRPr="006D4B35" w:rsidRDefault="00A349F8" w:rsidP="006D4B35">
      <w:pPr>
        <w:autoSpaceDE w:val="0"/>
        <w:autoSpaceDN w:val="0"/>
        <w:adjustRightInd w:val="0"/>
        <w:spacing w:before="240" w:after="0" w:line="240" w:lineRule="auto"/>
        <w:jc w:val="both"/>
        <w:rPr>
          <w:rFonts w:cs="Georgia"/>
        </w:rPr>
      </w:pPr>
      <w:r w:rsidRPr="00A349F8">
        <w:rPr>
          <w:noProof/>
          <w:lang w:eastAsia="bg-BG"/>
        </w:rPr>
        <w:drawing>
          <wp:inline distT="0" distB="0" distL="0" distR="0">
            <wp:extent cx="6011740" cy="1026543"/>
            <wp:effectExtent l="19050" t="0" r="8060" b="0"/>
            <wp:docPr id="2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0" cstate="print"/>
                    <a:srcRect/>
                    <a:stretch>
                      <a:fillRect/>
                    </a:stretch>
                  </pic:blipFill>
                  <pic:spPr bwMode="auto">
                    <a:xfrm>
                      <a:off x="0" y="0"/>
                      <a:ext cx="6031230" cy="1029871"/>
                    </a:xfrm>
                    <a:prstGeom prst="rect">
                      <a:avLst/>
                    </a:prstGeom>
                    <a:noFill/>
                    <a:ln w="9525">
                      <a:noFill/>
                      <a:miter lim="800000"/>
                      <a:headEnd/>
                      <a:tailEnd/>
                    </a:ln>
                  </pic:spPr>
                </pic:pic>
              </a:graphicData>
            </a:graphic>
          </wp:inline>
        </w:drawing>
      </w:r>
    </w:p>
    <w:p w:rsidR="00A349F8" w:rsidRPr="00017319" w:rsidRDefault="00A349F8" w:rsidP="00A349F8">
      <w:pPr>
        <w:autoSpaceDE w:val="0"/>
        <w:autoSpaceDN w:val="0"/>
        <w:adjustRightInd w:val="0"/>
        <w:spacing w:before="240" w:line="240" w:lineRule="auto"/>
        <w:jc w:val="both"/>
        <w:rPr>
          <w:rFonts w:cs="Georgia"/>
          <w:color w:val="000000"/>
        </w:rPr>
      </w:pPr>
      <w:r>
        <w:rPr>
          <w:rFonts w:cs="Georgia"/>
          <w:color w:val="000000"/>
        </w:rPr>
        <w:t>Т.е., целият размер на средствата от ЕФРР могат да се вложат два пъти за периода на действието на програмата, ако финансовият инструмент се структурира през първите 2 години от програмния период.</w:t>
      </w:r>
    </w:p>
    <w:p w:rsidR="00A349F8" w:rsidRDefault="00A349F8" w:rsidP="00972531">
      <w:pPr>
        <w:autoSpaceDE w:val="0"/>
        <w:autoSpaceDN w:val="0"/>
        <w:adjustRightInd w:val="0"/>
        <w:spacing w:after="0" w:line="240" w:lineRule="auto"/>
        <w:jc w:val="both"/>
        <w:rPr>
          <w:rFonts w:cs="Georgia"/>
          <w:color w:val="000000"/>
        </w:rPr>
      </w:pPr>
      <w:r>
        <w:rPr>
          <w:rFonts w:cs="Georgia"/>
          <w:color w:val="000000"/>
        </w:rPr>
        <w:t>Допълнителният принос на крайните получатели, който ще се мобилизира в резултат от изпълнение на проекти в двата сектора може да се отнесе към 2 категории:</w:t>
      </w:r>
    </w:p>
    <w:p w:rsidR="00A349F8" w:rsidRDefault="00E74BDD" w:rsidP="001A036E">
      <w:pPr>
        <w:numPr>
          <w:ilvl w:val="0"/>
          <w:numId w:val="81"/>
        </w:numPr>
        <w:autoSpaceDE w:val="0"/>
        <w:autoSpaceDN w:val="0"/>
        <w:adjustRightInd w:val="0"/>
        <w:spacing w:before="240" w:line="240" w:lineRule="auto"/>
        <w:jc w:val="both"/>
        <w:rPr>
          <w:rFonts w:cs="Georgia"/>
          <w:color w:val="000000"/>
        </w:rPr>
      </w:pPr>
      <w:r>
        <w:rPr>
          <w:rFonts w:cs="Georgia"/>
          <w:color w:val="000000"/>
        </w:rPr>
        <w:t>Собствени средства за съ</w:t>
      </w:r>
      <w:r w:rsidR="00A349F8">
        <w:rPr>
          <w:rFonts w:cs="Georgia"/>
          <w:color w:val="000000"/>
        </w:rPr>
        <w:t>финансиране на проектите</w:t>
      </w:r>
    </w:p>
    <w:p w:rsidR="00A349F8" w:rsidRDefault="00A349F8" w:rsidP="001A036E">
      <w:pPr>
        <w:numPr>
          <w:ilvl w:val="0"/>
          <w:numId w:val="81"/>
        </w:numPr>
        <w:autoSpaceDE w:val="0"/>
        <w:autoSpaceDN w:val="0"/>
        <w:adjustRightInd w:val="0"/>
        <w:spacing w:after="0" w:line="240" w:lineRule="auto"/>
        <w:jc w:val="both"/>
        <w:rPr>
          <w:rFonts w:cs="Georgia"/>
          <w:color w:val="000000"/>
        </w:rPr>
      </w:pPr>
      <w:r>
        <w:rPr>
          <w:rFonts w:cs="Georgia"/>
          <w:color w:val="000000"/>
        </w:rPr>
        <w:t>Лих</w:t>
      </w:r>
      <w:r w:rsidR="006F5B4C">
        <w:rPr>
          <w:rFonts w:cs="Georgia"/>
          <w:color w:val="000000"/>
        </w:rPr>
        <w:t>ви, изплащани обратно към финансиращата институция</w:t>
      </w:r>
    </w:p>
    <w:p w:rsidR="006F5B4C" w:rsidRDefault="006F5B4C" w:rsidP="006F5B4C">
      <w:pPr>
        <w:autoSpaceDE w:val="0"/>
        <w:autoSpaceDN w:val="0"/>
        <w:adjustRightInd w:val="0"/>
        <w:spacing w:before="240" w:after="0" w:line="240" w:lineRule="auto"/>
        <w:jc w:val="both"/>
        <w:rPr>
          <w:rFonts w:cs="Georgia"/>
          <w:color w:val="000000"/>
        </w:rPr>
      </w:pPr>
      <w:r>
        <w:rPr>
          <w:rFonts w:cs="Georgia"/>
          <w:color w:val="000000"/>
        </w:rPr>
        <w:t>За проектите в сектор Води може да се твърди, че допълнителният принос на крайните получатели, който ще се мобилизира ще бъде основно от лихви, тъй като малка част от ВиК дружествата ще могат да ос</w:t>
      </w:r>
      <w:r w:rsidR="00E74BDD">
        <w:rPr>
          <w:rFonts w:cs="Georgia"/>
          <w:color w:val="000000"/>
        </w:rPr>
        <w:t>игурят собствени средства за съ</w:t>
      </w:r>
      <w:r>
        <w:rPr>
          <w:rFonts w:cs="Georgia"/>
          <w:color w:val="000000"/>
        </w:rPr>
        <w:t>финансиране. Т.е</w:t>
      </w:r>
      <w:r w:rsidR="00E74BDD">
        <w:rPr>
          <w:rFonts w:cs="Georgia"/>
          <w:color w:val="000000"/>
        </w:rPr>
        <w:t>.</w:t>
      </w:r>
      <w:r>
        <w:rPr>
          <w:rFonts w:cs="Georgia"/>
          <w:color w:val="000000"/>
        </w:rPr>
        <w:t>, ако приемем, че 3,5% е средният размер на разходите по заемното финансиране на инвестициите, то при 25% БФП в структурата на заема, допълнителния ресурс, който ще се мобилизира от страна на крайния получател</w:t>
      </w:r>
      <w:r w:rsidR="007665EC">
        <w:rPr>
          <w:rFonts w:cs="Georgia"/>
          <w:color w:val="000000"/>
        </w:rPr>
        <w:t xml:space="preserve"> в рамките на проект</w:t>
      </w:r>
      <w:r>
        <w:rPr>
          <w:rFonts w:cs="Georgia"/>
          <w:color w:val="000000"/>
        </w:rPr>
        <w:t xml:space="preserve"> на средна стойност 50 млн. евро се равнява на </w:t>
      </w:r>
      <w:r w:rsidR="007665EC">
        <w:rPr>
          <w:rFonts w:cs="Georgia"/>
          <w:color w:val="000000"/>
        </w:rPr>
        <w:t xml:space="preserve">2 </w:t>
      </w:r>
      <w:r>
        <w:rPr>
          <w:rFonts w:cs="Georgia"/>
          <w:color w:val="000000"/>
        </w:rPr>
        <w:t>млн. евро</w:t>
      </w:r>
      <w:r w:rsidR="007665EC">
        <w:rPr>
          <w:rFonts w:cs="Georgia"/>
          <w:color w:val="000000"/>
        </w:rPr>
        <w:t>, от които 0,5 млн. евро биха могли да се реинвестират отново във фонда</w:t>
      </w:r>
      <w:r>
        <w:rPr>
          <w:rFonts w:cs="Georgia"/>
          <w:color w:val="000000"/>
        </w:rPr>
        <w:t>:</w:t>
      </w:r>
    </w:p>
    <w:p w:rsidR="007665EC" w:rsidRDefault="007665EC" w:rsidP="00CB775D">
      <w:pPr>
        <w:keepNext/>
        <w:autoSpaceDE w:val="0"/>
        <w:autoSpaceDN w:val="0"/>
        <w:adjustRightInd w:val="0"/>
        <w:spacing w:before="240" w:after="0" w:line="240" w:lineRule="auto"/>
        <w:jc w:val="center"/>
        <w:rPr>
          <w:rFonts w:cs="Georgia"/>
          <w:color w:val="000000"/>
        </w:rPr>
      </w:pPr>
      <w:bookmarkStart w:id="129" w:name="_Toc399494645"/>
      <w:r w:rsidRPr="00017319">
        <w:rPr>
          <w:rFonts w:cstheme="minorHAnsi"/>
          <w:b/>
          <w:sz w:val="20"/>
          <w:szCs w:val="20"/>
        </w:rPr>
        <w:lastRenderedPageBreak/>
        <w:t xml:space="preserve">Фигура </w:t>
      </w:r>
      <w:r w:rsidR="008E6461" w:rsidRPr="00017319">
        <w:rPr>
          <w:rFonts w:cstheme="minorHAnsi"/>
          <w:b/>
          <w:sz w:val="20"/>
          <w:szCs w:val="20"/>
        </w:rPr>
        <w:fldChar w:fldCharType="begin"/>
      </w:r>
      <w:r w:rsidRPr="00017319">
        <w:rPr>
          <w:rFonts w:cstheme="minorHAnsi"/>
          <w:b/>
          <w:sz w:val="20"/>
          <w:szCs w:val="20"/>
        </w:rPr>
        <w:instrText xml:space="preserve"> SEQ фигура \* ARABIC </w:instrText>
      </w:r>
      <w:r w:rsidR="008E6461" w:rsidRPr="00017319">
        <w:rPr>
          <w:rFonts w:cstheme="minorHAnsi"/>
          <w:b/>
          <w:sz w:val="20"/>
          <w:szCs w:val="20"/>
        </w:rPr>
        <w:fldChar w:fldCharType="separate"/>
      </w:r>
      <w:r w:rsidR="003A69A7">
        <w:rPr>
          <w:rFonts w:cstheme="minorHAnsi"/>
          <w:b/>
          <w:noProof/>
          <w:sz w:val="20"/>
          <w:szCs w:val="20"/>
        </w:rPr>
        <w:t>60</w:t>
      </w:r>
      <w:r w:rsidR="008E6461" w:rsidRPr="00017319">
        <w:rPr>
          <w:rFonts w:cstheme="minorHAnsi"/>
          <w:b/>
          <w:sz w:val="20"/>
          <w:szCs w:val="20"/>
        </w:rPr>
        <w:fldChar w:fldCharType="end"/>
      </w:r>
      <w:r w:rsidRPr="00017319">
        <w:rPr>
          <w:rFonts w:cstheme="minorHAnsi"/>
          <w:b/>
          <w:sz w:val="20"/>
          <w:szCs w:val="20"/>
        </w:rPr>
        <w:t>:</w:t>
      </w:r>
      <w:r>
        <w:rPr>
          <w:rFonts w:cstheme="minorHAnsi"/>
          <w:b/>
          <w:sz w:val="20"/>
          <w:szCs w:val="20"/>
        </w:rPr>
        <w:t xml:space="preserve"> Допълнителен финансов ресурс на ниво краен получател във ВиК сектора</w:t>
      </w:r>
      <w:bookmarkEnd w:id="129"/>
    </w:p>
    <w:p w:rsidR="007665EC" w:rsidRDefault="007665EC" w:rsidP="007665EC">
      <w:pPr>
        <w:autoSpaceDE w:val="0"/>
        <w:autoSpaceDN w:val="0"/>
        <w:adjustRightInd w:val="0"/>
        <w:spacing w:before="240" w:after="0" w:line="240" w:lineRule="auto"/>
        <w:jc w:val="center"/>
        <w:rPr>
          <w:rFonts w:cs="Georgia"/>
          <w:color w:val="000000"/>
        </w:rPr>
      </w:pPr>
      <w:r>
        <w:rPr>
          <w:rFonts w:cs="Georgia"/>
          <w:noProof/>
          <w:color w:val="000000"/>
          <w:lang w:eastAsia="bg-BG"/>
        </w:rPr>
        <w:drawing>
          <wp:inline distT="0" distB="0" distL="0" distR="0">
            <wp:extent cx="4012350" cy="2415396"/>
            <wp:effectExtent l="19050" t="0" r="720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11" cstate="print"/>
                    <a:srcRect/>
                    <a:stretch>
                      <a:fillRect/>
                    </a:stretch>
                  </pic:blipFill>
                  <pic:spPr bwMode="auto">
                    <a:xfrm>
                      <a:off x="0" y="0"/>
                      <a:ext cx="4013195" cy="2415905"/>
                    </a:xfrm>
                    <a:prstGeom prst="rect">
                      <a:avLst/>
                    </a:prstGeom>
                    <a:noFill/>
                  </pic:spPr>
                </pic:pic>
              </a:graphicData>
            </a:graphic>
          </wp:inline>
        </w:drawing>
      </w:r>
    </w:p>
    <w:p w:rsidR="00A349F8" w:rsidRDefault="00A349F8" w:rsidP="00972531">
      <w:pPr>
        <w:autoSpaceDE w:val="0"/>
        <w:autoSpaceDN w:val="0"/>
        <w:adjustRightInd w:val="0"/>
        <w:spacing w:after="0" w:line="240" w:lineRule="auto"/>
        <w:jc w:val="both"/>
        <w:rPr>
          <w:rFonts w:cs="Georgia"/>
          <w:color w:val="000000"/>
        </w:rPr>
      </w:pPr>
    </w:p>
    <w:p w:rsidR="000E2C03" w:rsidRDefault="000E2C03" w:rsidP="00972531">
      <w:pPr>
        <w:autoSpaceDE w:val="0"/>
        <w:autoSpaceDN w:val="0"/>
        <w:adjustRightInd w:val="0"/>
        <w:spacing w:after="0" w:line="240" w:lineRule="auto"/>
        <w:jc w:val="both"/>
        <w:rPr>
          <w:rFonts w:cs="Georgia"/>
          <w:color w:val="000000"/>
        </w:rPr>
      </w:pPr>
      <w:r>
        <w:rPr>
          <w:rFonts w:cs="Georgia"/>
          <w:color w:val="000000"/>
        </w:rPr>
        <w:t xml:space="preserve">Това означава, че при следващия цикъл на рециклиране БФП, която ще може да се вложи в кредитния портфейл е с 20% повече, което при ефект на лоста от 1:4, означава, че </w:t>
      </w:r>
      <w:r w:rsidR="00FD490C">
        <w:rPr>
          <w:rFonts w:cs="Georgia"/>
          <w:color w:val="000000"/>
        </w:rPr>
        <w:t>за 1 евро БФП ще бъдат мобилизирани допълнително 4 евро от международни финансови институции.</w:t>
      </w:r>
    </w:p>
    <w:p w:rsidR="000E2C03" w:rsidRDefault="000E2C03" w:rsidP="00972531">
      <w:pPr>
        <w:autoSpaceDE w:val="0"/>
        <w:autoSpaceDN w:val="0"/>
        <w:adjustRightInd w:val="0"/>
        <w:spacing w:after="0" w:line="240" w:lineRule="auto"/>
        <w:jc w:val="both"/>
        <w:rPr>
          <w:rFonts w:cs="Georgia"/>
          <w:color w:val="000000"/>
        </w:rPr>
      </w:pPr>
    </w:p>
    <w:p w:rsidR="007665EC" w:rsidRDefault="003154B0" w:rsidP="00972531">
      <w:pPr>
        <w:autoSpaceDE w:val="0"/>
        <w:autoSpaceDN w:val="0"/>
        <w:adjustRightInd w:val="0"/>
        <w:spacing w:after="0" w:line="240" w:lineRule="auto"/>
        <w:jc w:val="both"/>
        <w:rPr>
          <w:rFonts w:cs="Georgia"/>
          <w:color w:val="000000"/>
        </w:rPr>
      </w:pPr>
      <w:r>
        <w:rPr>
          <w:rFonts w:cs="Georgia"/>
          <w:color w:val="000000"/>
        </w:rPr>
        <w:t>За сектор О</w:t>
      </w:r>
      <w:r w:rsidR="000E2C03">
        <w:rPr>
          <w:rFonts w:cs="Georgia"/>
          <w:color w:val="000000"/>
        </w:rPr>
        <w:t>тпадъци</w:t>
      </w:r>
      <w:r w:rsidR="00FD490C">
        <w:rPr>
          <w:rFonts w:cs="Georgia"/>
          <w:color w:val="000000"/>
        </w:rPr>
        <w:t xml:space="preserve"> могат да бъдат разгледани два случая, при които ще бъде мобилизиран допълнителен финансов ресурс: 1) чрез собствени средства за съфинансиране на проектите; и 2) лихвите, които ще бъдат изплатени обратно с погасяването на кредита.</w:t>
      </w:r>
    </w:p>
    <w:p w:rsidR="00FD490C" w:rsidRDefault="00FD490C" w:rsidP="00972531">
      <w:pPr>
        <w:autoSpaceDE w:val="0"/>
        <w:autoSpaceDN w:val="0"/>
        <w:adjustRightInd w:val="0"/>
        <w:spacing w:after="0" w:line="240" w:lineRule="auto"/>
        <w:jc w:val="both"/>
        <w:rPr>
          <w:rFonts w:cs="Georgia"/>
          <w:color w:val="000000"/>
        </w:rPr>
      </w:pPr>
    </w:p>
    <w:p w:rsidR="00FD490C" w:rsidRDefault="00FD490C" w:rsidP="00972531">
      <w:pPr>
        <w:autoSpaceDE w:val="0"/>
        <w:autoSpaceDN w:val="0"/>
        <w:adjustRightInd w:val="0"/>
        <w:spacing w:after="0" w:line="240" w:lineRule="auto"/>
        <w:jc w:val="both"/>
        <w:rPr>
          <w:rFonts w:cs="Georgia"/>
          <w:color w:val="000000"/>
        </w:rPr>
      </w:pPr>
      <w:r>
        <w:rPr>
          <w:rFonts w:cs="Georgia"/>
          <w:color w:val="000000"/>
        </w:rPr>
        <w:t xml:space="preserve">При първия случай, може да се направи допускането, че средно 25% от общата стойност на инвестицията може да се осигури чрез собствени средства на бенефициента. Това значи, че за проект на средна стойност от 2 млн. евро 1,5 млн. ще бъдат осигурени чрез заем. Ако отново приемем, че 3,5% е средният размер на разходите по заемното финансиране на инвестициите, то при 20% БФП в структурата на заема, допълнителния ресурс, който ще се мобилизира от страна на крайния получател в рамките на проект на средна стойност 2 млн. евро, от които 75% заемно финансиране се равнява на </w:t>
      </w:r>
      <w:r w:rsidR="003154B0">
        <w:rPr>
          <w:rFonts w:cs="Georgia"/>
          <w:color w:val="000000"/>
        </w:rPr>
        <w:t>0,661</w:t>
      </w:r>
      <w:r>
        <w:rPr>
          <w:rFonts w:cs="Georgia"/>
          <w:color w:val="000000"/>
        </w:rPr>
        <w:t xml:space="preserve"> млн. евро</w:t>
      </w:r>
      <w:r w:rsidR="003154B0">
        <w:rPr>
          <w:rFonts w:cs="Georgia"/>
          <w:color w:val="000000"/>
        </w:rPr>
        <w:t xml:space="preserve"> (0,5 млн. евро собствен принос и 0,161 млн. евро изплащане оскъпяването на кредита), от които 0,032</w:t>
      </w:r>
      <w:r>
        <w:rPr>
          <w:rFonts w:cs="Georgia"/>
          <w:color w:val="000000"/>
        </w:rPr>
        <w:t xml:space="preserve"> млн. евро биха могл</w:t>
      </w:r>
      <w:r w:rsidR="00AF6CCE">
        <w:rPr>
          <w:rFonts w:cs="Georgia"/>
          <w:color w:val="000000"/>
        </w:rPr>
        <w:t>и да се реинвестират отново</w:t>
      </w:r>
      <w:r>
        <w:rPr>
          <w:rFonts w:cs="Georgia"/>
          <w:color w:val="000000"/>
        </w:rPr>
        <w:t>:</w:t>
      </w:r>
    </w:p>
    <w:p w:rsidR="00E74BDD" w:rsidRDefault="00E74BDD" w:rsidP="00972531">
      <w:pPr>
        <w:autoSpaceDE w:val="0"/>
        <w:autoSpaceDN w:val="0"/>
        <w:adjustRightInd w:val="0"/>
        <w:spacing w:after="0" w:line="240" w:lineRule="auto"/>
        <w:jc w:val="both"/>
        <w:rPr>
          <w:rFonts w:cs="Georgia"/>
          <w:color w:val="000000"/>
        </w:rPr>
      </w:pPr>
    </w:p>
    <w:p w:rsidR="003154B0" w:rsidRDefault="00A7593F" w:rsidP="002D3BE2">
      <w:pPr>
        <w:keepNext/>
        <w:autoSpaceDE w:val="0"/>
        <w:autoSpaceDN w:val="0"/>
        <w:adjustRightInd w:val="0"/>
        <w:spacing w:before="240" w:after="0" w:line="240" w:lineRule="auto"/>
        <w:jc w:val="center"/>
        <w:rPr>
          <w:rFonts w:cs="Georgia"/>
          <w:color w:val="000000"/>
        </w:rPr>
      </w:pPr>
      <w:bookmarkStart w:id="130" w:name="_Toc399494646"/>
      <w:r>
        <w:rPr>
          <w:rFonts w:cstheme="minorHAnsi"/>
          <w:b/>
          <w:sz w:val="20"/>
          <w:szCs w:val="20"/>
        </w:rPr>
        <w:lastRenderedPageBreak/>
        <w:t>Ф</w:t>
      </w:r>
      <w:r w:rsidR="003154B0" w:rsidRPr="00017319">
        <w:rPr>
          <w:rFonts w:cstheme="minorHAnsi"/>
          <w:b/>
          <w:sz w:val="20"/>
          <w:szCs w:val="20"/>
        </w:rPr>
        <w:t xml:space="preserve">игура </w:t>
      </w:r>
      <w:r w:rsidR="008E6461" w:rsidRPr="00017319">
        <w:rPr>
          <w:rFonts w:cstheme="minorHAnsi"/>
          <w:b/>
          <w:sz w:val="20"/>
          <w:szCs w:val="20"/>
        </w:rPr>
        <w:fldChar w:fldCharType="begin"/>
      </w:r>
      <w:r w:rsidR="003154B0" w:rsidRPr="00017319">
        <w:rPr>
          <w:rFonts w:cstheme="minorHAnsi"/>
          <w:b/>
          <w:sz w:val="20"/>
          <w:szCs w:val="20"/>
        </w:rPr>
        <w:instrText xml:space="preserve"> SEQ фигура \* ARABIC </w:instrText>
      </w:r>
      <w:r w:rsidR="008E6461" w:rsidRPr="00017319">
        <w:rPr>
          <w:rFonts w:cstheme="minorHAnsi"/>
          <w:b/>
          <w:sz w:val="20"/>
          <w:szCs w:val="20"/>
        </w:rPr>
        <w:fldChar w:fldCharType="separate"/>
      </w:r>
      <w:r w:rsidR="003A69A7">
        <w:rPr>
          <w:rFonts w:cstheme="minorHAnsi"/>
          <w:b/>
          <w:noProof/>
          <w:sz w:val="20"/>
          <w:szCs w:val="20"/>
        </w:rPr>
        <w:t>61</w:t>
      </w:r>
      <w:r w:rsidR="008E6461" w:rsidRPr="00017319">
        <w:rPr>
          <w:rFonts w:cstheme="minorHAnsi"/>
          <w:b/>
          <w:sz w:val="20"/>
          <w:szCs w:val="20"/>
        </w:rPr>
        <w:fldChar w:fldCharType="end"/>
      </w:r>
      <w:r w:rsidR="003154B0" w:rsidRPr="00017319">
        <w:rPr>
          <w:rFonts w:cstheme="minorHAnsi"/>
          <w:b/>
          <w:sz w:val="20"/>
          <w:szCs w:val="20"/>
        </w:rPr>
        <w:t>:</w:t>
      </w:r>
      <w:r w:rsidR="003154B0">
        <w:rPr>
          <w:rFonts w:cstheme="minorHAnsi"/>
          <w:b/>
          <w:sz w:val="20"/>
          <w:szCs w:val="20"/>
        </w:rPr>
        <w:t xml:space="preserve"> Допълнителен финансов ресурс на ниво краен получател сектор Отпадъци</w:t>
      </w:r>
      <w:bookmarkEnd w:id="130"/>
    </w:p>
    <w:p w:rsidR="000E2C03" w:rsidRDefault="003154B0" w:rsidP="003154B0">
      <w:pPr>
        <w:autoSpaceDE w:val="0"/>
        <w:autoSpaceDN w:val="0"/>
        <w:adjustRightInd w:val="0"/>
        <w:spacing w:after="0" w:line="240" w:lineRule="auto"/>
        <w:jc w:val="center"/>
        <w:rPr>
          <w:rFonts w:cs="Georgia"/>
          <w:color w:val="000000"/>
        </w:rPr>
      </w:pPr>
      <w:r>
        <w:rPr>
          <w:rFonts w:cs="Georgia"/>
          <w:noProof/>
          <w:color w:val="000000"/>
          <w:lang w:eastAsia="bg-BG"/>
        </w:rPr>
        <w:drawing>
          <wp:inline distT="0" distB="0" distL="0" distR="0">
            <wp:extent cx="3914361" cy="2409825"/>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12" cstate="print"/>
                    <a:srcRect/>
                    <a:stretch>
                      <a:fillRect/>
                    </a:stretch>
                  </pic:blipFill>
                  <pic:spPr bwMode="auto">
                    <a:xfrm>
                      <a:off x="0" y="0"/>
                      <a:ext cx="3924225" cy="2415897"/>
                    </a:xfrm>
                    <a:prstGeom prst="rect">
                      <a:avLst/>
                    </a:prstGeom>
                    <a:noFill/>
                  </pic:spPr>
                </pic:pic>
              </a:graphicData>
            </a:graphic>
          </wp:inline>
        </w:drawing>
      </w:r>
    </w:p>
    <w:p w:rsidR="003154B0" w:rsidRDefault="003154B0" w:rsidP="003154B0">
      <w:pPr>
        <w:autoSpaceDE w:val="0"/>
        <w:autoSpaceDN w:val="0"/>
        <w:adjustRightInd w:val="0"/>
        <w:spacing w:after="0" w:line="240" w:lineRule="auto"/>
        <w:jc w:val="center"/>
        <w:rPr>
          <w:rFonts w:cs="Georgia"/>
          <w:color w:val="000000"/>
        </w:rPr>
      </w:pPr>
    </w:p>
    <w:p w:rsidR="003154B0" w:rsidRDefault="003154B0" w:rsidP="003154B0">
      <w:pPr>
        <w:autoSpaceDE w:val="0"/>
        <w:autoSpaceDN w:val="0"/>
        <w:adjustRightInd w:val="0"/>
        <w:spacing w:after="0" w:line="240" w:lineRule="auto"/>
        <w:jc w:val="both"/>
        <w:rPr>
          <w:rFonts w:cs="Georgia"/>
          <w:color w:val="000000"/>
        </w:rPr>
      </w:pPr>
      <w:r>
        <w:rPr>
          <w:rFonts w:cs="Georgia"/>
          <w:color w:val="000000"/>
        </w:rPr>
        <w:t>Това означава, че при следващия цикъл на рециклиране БФП, която ще може да се вложи в кредитния портфейл е с 10,5% повече, което при ефект на лоста от 1:5, означава, че за 1 евро БФП ще бъдат мобилизирани допълнително 5 евро от финансови институции.</w:t>
      </w:r>
    </w:p>
    <w:p w:rsidR="00AF6CCE" w:rsidRDefault="00AF6CCE" w:rsidP="003154B0">
      <w:pPr>
        <w:autoSpaceDE w:val="0"/>
        <w:autoSpaceDN w:val="0"/>
        <w:adjustRightInd w:val="0"/>
        <w:spacing w:after="0" w:line="240" w:lineRule="auto"/>
        <w:jc w:val="both"/>
        <w:rPr>
          <w:rFonts w:cs="Georgia"/>
          <w:color w:val="000000"/>
        </w:rPr>
      </w:pPr>
    </w:p>
    <w:p w:rsidR="00AF6CCE" w:rsidRDefault="00AF6CCE" w:rsidP="00AF6CCE">
      <w:pPr>
        <w:autoSpaceDE w:val="0"/>
        <w:autoSpaceDN w:val="0"/>
        <w:adjustRightInd w:val="0"/>
        <w:spacing w:after="0" w:line="240" w:lineRule="auto"/>
        <w:jc w:val="both"/>
        <w:rPr>
          <w:rFonts w:cs="Georgia"/>
          <w:color w:val="000000"/>
        </w:rPr>
      </w:pPr>
      <w:r>
        <w:rPr>
          <w:rFonts w:cs="Georgia"/>
          <w:color w:val="000000"/>
        </w:rPr>
        <w:t>Във втори</w:t>
      </w:r>
      <w:r w:rsidR="00A7593F">
        <w:rPr>
          <w:rFonts w:cs="Georgia"/>
          <w:color w:val="000000"/>
        </w:rPr>
        <w:t>я</w:t>
      </w:r>
      <w:r>
        <w:rPr>
          <w:rFonts w:cs="Georgia"/>
          <w:color w:val="000000"/>
        </w:rPr>
        <w:t xml:space="preserve"> случай, целият ресурс на инвестицията се мобилизира чрез заемно финансиране, което означава, че при 3,5% </w:t>
      </w:r>
      <w:r w:rsidR="00A7593F">
        <w:rPr>
          <w:rFonts w:cs="Georgia"/>
          <w:color w:val="000000"/>
        </w:rPr>
        <w:t>среден</w:t>
      </w:r>
      <w:r>
        <w:rPr>
          <w:rFonts w:cs="Georgia"/>
          <w:color w:val="000000"/>
        </w:rPr>
        <w:t xml:space="preserve"> размер на разходите по заемното финансиране и при 20% БФП в структурата на заема, допълнителния</w:t>
      </w:r>
      <w:r w:rsidR="00A7593F">
        <w:rPr>
          <w:rFonts w:cs="Georgia"/>
          <w:color w:val="000000"/>
        </w:rPr>
        <w:t>т</w:t>
      </w:r>
      <w:r>
        <w:rPr>
          <w:rFonts w:cs="Georgia"/>
          <w:color w:val="000000"/>
        </w:rPr>
        <w:t xml:space="preserve"> ресурс, който ще се мобилизира от страна на крайния получател в рамките на проект на средна стойност 2 млн. евро, се равнява на 0,714 млн. евро от които 0,143 млн. евро биха могли да се реинвестират отново:</w:t>
      </w:r>
    </w:p>
    <w:p w:rsidR="00AF6CCE" w:rsidRDefault="00AF6CCE" w:rsidP="00AF6CCE">
      <w:pPr>
        <w:autoSpaceDE w:val="0"/>
        <w:autoSpaceDN w:val="0"/>
        <w:adjustRightInd w:val="0"/>
        <w:spacing w:before="240" w:after="0" w:line="240" w:lineRule="auto"/>
        <w:jc w:val="center"/>
        <w:rPr>
          <w:rFonts w:cs="Georgia"/>
          <w:color w:val="000000"/>
        </w:rPr>
      </w:pPr>
      <w:bookmarkStart w:id="131" w:name="_Toc399494647"/>
      <w:r w:rsidRPr="00017319">
        <w:rPr>
          <w:rFonts w:cstheme="minorHAnsi"/>
          <w:b/>
          <w:sz w:val="20"/>
          <w:szCs w:val="20"/>
        </w:rPr>
        <w:t xml:space="preserve">Фигура </w:t>
      </w:r>
      <w:r w:rsidR="008E6461" w:rsidRPr="00017319">
        <w:rPr>
          <w:rFonts w:cstheme="minorHAnsi"/>
          <w:b/>
          <w:sz w:val="20"/>
          <w:szCs w:val="20"/>
        </w:rPr>
        <w:fldChar w:fldCharType="begin"/>
      </w:r>
      <w:r w:rsidRPr="00017319">
        <w:rPr>
          <w:rFonts w:cstheme="minorHAnsi"/>
          <w:b/>
          <w:sz w:val="20"/>
          <w:szCs w:val="20"/>
        </w:rPr>
        <w:instrText xml:space="preserve"> SEQ фигура \* ARABIC </w:instrText>
      </w:r>
      <w:r w:rsidR="008E6461" w:rsidRPr="00017319">
        <w:rPr>
          <w:rFonts w:cstheme="minorHAnsi"/>
          <w:b/>
          <w:sz w:val="20"/>
          <w:szCs w:val="20"/>
        </w:rPr>
        <w:fldChar w:fldCharType="separate"/>
      </w:r>
      <w:r w:rsidR="003A69A7">
        <w:rPr>
          <w:rFonts w:cstheme="minorHAnsi"/>
          <w:b/>
          <w:noProof/>
          <w:sz w:val="20"/>
          <w:szCs w:val="20"/>
        </w:rPr>
        <w:t>62</w:t>
      </w:r>
      <w:r w:rsidR="008E6461" w:rsidRPr="00017319">
        <w:rPr>
          <w:rFonts w:cstheme="minorHAnsi"/>
          <w:b/>
          <w:sz w:val="20"/>
          <w:szCs w:val="20"/>
        </w:rPr>
        <w:fldChar w:fldCharType="end"/>
      </w:r>
      <w:r w:rsidRPr="00017319">
        <w:rPr>
          <w:rFonts w:cstheme="minorHAnsi"/>
          <w:b/>
          <w:sz w:val="20"/>
          <w:szCs w:val="20"/>
        </w:rPr>
        <w:t>:</w:t>
      </w:r>
      <w:r>
        <w:rPr>
          <w:rFonts w:cstheme="minorHAnsi"/>
          <w:b/>
          <w:sz w:val="20"/>
          <w:szCs w:val="20"/>
        </w:rPr>
        <w:t xml:space="preserve"> Допълнителен финансов ресурс на ниво краен получател сектор Отпадъци</w:t>
      </w:r>
      <w:bookmarkEnd w:id="131"/>
    </w:p>
    <w:p w:rsidR="00AF6CCE" w:rsidRDefault="00AF6CCE" w:rsidP="003154B0">
      <w:pPr>
        <w:autoSpaceDE w:val="0"/>
        <w:autoSpaceDN w:val="0"/>
        <w:adjustRightInd w:val="0"/>
        <w:spacing w:after="0" w:line="240" w:lineRule="auto"/>
        <w:jc w:val="both"/>
        <w:rPr>
          <w:rFonts w:cs="Georgia"/>
          <w:color w:val="000000"/>
        </w:rPr>
      </w:pPr>
    </w:p>
    <w:p w:rsidR="00AF6CCE" w:rsidRDefault="00AF6CCE" w:rsidP="00AF6CCE">
      <w:pPr>
        <w:autoSpaceDE w:val="0"/>
        <w:autoSpaceDN w:val="0"/>
        <w:adjustRightInd w:val="0"/>
        <w:spacing w:after="0" w:line="240" w:lineRule="auto"/>
        <w:jc w:val="center"/>
        <w:rPr>
          <w:rFonts w:cs="Georgia"/>
          <w:color w:val="000000"/>
        </w:rPr>
      </w:pPr>
      <w:r>
        <w:rPr>
          <w:rFonts w:cs="Georgia"/>
          <w:noProof/>
          <w:color w:val="000000"/>
          <w:lang w:eastAsia="bg-BG"/>
        </w:rPr>
        <w:drawing>
          <wp:inline distT="0" distB="0" distL="0" distR="0">
            <wp:extent cx="4268279" cy="2739343"/>
            <wp:effectExtent l="1905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13" cstate="print"/>
                    <a:srcRect/>
                    <a:stretch>
                      <a:fillRect/>
                    </a:stretch>
                  </pic:blipFill>
                  <pic:spPr bwMode="auto">
                    <a:xfrm>
                      <a:off x="0" y="0"/>
                      <a:ext cx="4267144" cy="2738615"/>
                    </a:xfrm>
                    <a:prstGeom prst="rect">
                      <a:avLst/>
                    </a:prstGeom>
                    <a:noFill/>
                  </pic:spPr>
                </pic:pic>
              </a:graphicData>
            </a:graphic>
          </wp:inline>
        </w:drawing>
      </w:r>
    </w:p>
    <w:p w:rsidR="003154B0" w:rsidRDefault="003154B0" w:rsidP="003154B0">
      <w:pPr>
        <w:autoSpaceDE w:val="0"/>
        <w:autoSpaceDN w:val="0"/>
        <w:adjustRightInd w:val="0"/>
        <w:spacing w:after="0" w:line="240" w:lineRule="auto"/>
        <w:jc w:val="center"/>
        <w:rPr>
          <w:rFonts w:cs="Georgia"/>
          <w:color w:val="000000"/>
        </w:rPr>
      </w:pPr>
    </w:p>
    <w:p w:rsidR="00D07F67" w:rsidRPr="00977AE5" w:rsidRDefault="00D07F67" w:rsidP="00D07F67">
      <w:pPr>
        <w:keepNext/>
        <w:keepLines/>
        <w:spacing w:before="120" w:after="120"/>
        <w:outlineLvl w:val="2"/>
        <w:rPr>
          <w:rFonts w:ascii="Calibri" w:eastAsia="Calibri" w:hAnsi="Calibri" w:cs="Times New Roman"/>
          <w:color w:val="243F60"/>
          <w:sz w:val="24"/>
          <w:szCs w:val="24"/>
        </w:rPr>
      </w:pPr>
      <w:bookmarkStart w:id="132" w:name="_Toc399494542"/>
      <w:r w:rsidRPr="00977AE5">
        <w:rPr>
          <w:rFonts w:ascii="Calibri" w:eastAsia="Calibri" w:hAnsi="Calibri" w:cs="Times New Roman"/>
          <w:color w:val="243F60"/>
          <w:sz w:val="24"/>
          <w:szCs w:val="24"/>
        </w:rPr>
        <w:lastRenderedPageBreak/>
        <w:t>2.1.</w:t>
      </w:r>
      <w:r>
        <w:rPr>
          <w:rFonts w:ascii="Calibri" w:eastAsia="Calibri" w:hAnsi="Calibri" w:cs="Times New Roman"/>
          <w:color w:val="243F60"/>
          <w:sz w:val="24"/>
          <w:szCs w:val="24"/>
        </w:rPr>
        <w:t>3</w:t>
      </w:r>
      <w:r w:rsidRPr="00977AE5">
        <w:rPr>
          <w:rFonts w:ascii="Calibri" w:eastAsia="Calibri" w:hAnsi="Calibri" w:cs="Times New Roman"/>
          <w:color w:val="243F60"/>
          <w:sz w:val="24"/>
          <w:szCs w:val="24"/>
        </w:rPr>
        <w:t xml:space="preserve">. Оценка на </w:t>
      </w:r>
      <w:r>
        <w:rPr>
          <w:rFonts w:ascii="Calibri" w:eastAsia="Calibri" w:hAnsi="Calibri" w:cs="Times New Roman"/>
          <w:color w:val="243F60"/>
          <w:sz w:val="24"/>
          <w:szCs w:val="24"/>
        </w:rPr>
        <w:t>качественото</w:t>
      </w:r>
      <w:r w:rsidRPr="00977AE5">
        <w:rPr>
          <w:rFonts w:ascii="Calibri" w:eastAsia="Calibri" w:hAnsi="Calibri" w:cs="Times New Roman"/>
          <w:color w:val="243F60"/>
          <w:sz w:val="24"/>
          <w:szCs w:val="24"/>
        </w:rPr>
        <w:t xml:space="preserve"> измерение на добавената стойност</w:t>
      </w:r>
      <w:bookmarkEnd w:id="132"/>
      <w:r w:rsidRPr="00977AE5">
        <w:rPr>
          <w:rFonts w:ascii="Calibri" w:eastAsia="Calibri" w:hAnsi="Calibri" w:cs="Times New Roman"/>
          <w:color w:val="243F60"/>
          <w:sz w:val="24"/>
          <w:szCs w:val="24"/>
        </w:rPr>
        <w:t xml:space="preserve"> </w:t>
      </w:r>
    </w:p>
    <w:p w:rsidR="00315141" w:rsidRDefault="00D07F67" w:rsidP="00315141">
      <w:pPr>
        <w:autoSpaceDE w:val="0"/>
        <w:autoSpaceDN w:val="0"/>
        <w:adjustRightInd w:val="0"/>
        <w:spacing w:after="0" w:line="240" w:lineRule="auto"/>
        <w:rPr>
          <w:rFonts w:cs="Georgia"/>
          <w:color w:val="000000"/>
        </w:rPr>
      </w:pPr>
      <w:r>
        <w:rPr>
          <w:rFonts w:cs="Georgia"/>
          <w:color w:val="000000"/>
        </w:rPr>
        <w:t>Качественото измерение на добавената стойност може да включва</w:t>
      </w:r>
      <w:r w:rsidR="005B0A7C">
        <w:rPr>
          <w:rFonts w:cs="Georgia"/>
          <w:color w:val="000000"/>
        </w:rPr>
        <w:t xml:space="preserve"> например</w:t>
      </w:r>
      <w:r w:rsidR="00411C22">
        <w:rPr>
          <w:rStyle w:val="FootnoteReference"/>
          <w:rFonts w:cs="Georgia"/>
          <w:color w:val="000000"/>
        </w:rPr>
        <w:footnoteReference w:id="55"/>
      </w:r>
      <w:r>
        <w:rPr>
          <w:rFonts w:cs="Georgia"/>
          <w:color w:val="000000"/>
        </w:rPr>
        <w:t>:</w:t>
      </w:r>
    </w:p>
    <w:p w:rsidR="00D07F67" w:rsidRDefault="005B0A7C" w:rsidP="001A036E">
      <w:pPr>
        <w:numPr>
          <w:ilvl w:val="0"/>
          <w:numId w:val="76"/>
        </w:numPr>
        <w:autoSpaceDE w:val="0"/>
        <w:autoSpaceDN w:val="0"/>
        <w:adjustRightInd w:val="0"/>
        <w:spacing w:before="240" w:after="0" w:line="240" w:lineRule="auto"/>
        <w:jc w:val="both"/>
        <w:rPr>
          <w:rFonts w:cs="Georgia"/>
          <w:color w:val="000000"/>
        </w:rPr>
      </w:pPr>
      <w:r>
        <w:rPr>
          <w:rFonts w:cs="Georgia"/>
          <w:color w:val="000000"/>
        </w:rPr>
        <w:t>Предлагане на финансов продукт, който точно отговаря на пазарния недостиг без да застрашава конкуренцията;</w:t>
      </w:r>
    </w:p>
    <w:p w:rsidR="005B0A7C" w:rsidRDefault="005B0A7C" w:rsidP="001A036E">
      <w:pPr>
        <w:numPr>
          <w:ilvl w:val="0"/>
          <w:numId w:val="76"/>
        </w:numPr>
        <w:autoSpaceDE w:val="0"/>
        <w:autoSpaceDN w:val="0"/>
        <w:adjustRightInd w:val="0"/>
        <w:spacing w:after="0" w:line="240" w:lineRule="auto"/>
        <w:jc w:val="both"/>
        <w:rPr>
          <w:rFonts w:cs="Georgia"/>
          <w:color w:val="000000"/>
        </w:rPr>
      </w:pPr>
      <w:r>
        <w:rPr>
          <w:rFonts w:cs="Georgia"/>
          <w:color w:val="000000"/>
        </w:rPr>
        <w:t>Разработване на нов финансов продукт под формата на финансов инструмент, който не е предлаган преди това;</w:t>
      </w:r>
    </w:p>
    <w:p w:rsidR="005B0A7C" w:rsidRDefault="005B0A7C" w:rsidP="001A036E">
      <w:pPr>
        <w:numPr>
          <w:ilvl w:val="0"/>
          <w:numId w:val="76"/>
        </w:numPr>
        <w:autoSpaceDE w:val="0"/>
        <w:autoSpaceDN w:val="0"/>
        <w:adjustRightInd w:val="0"/>
        <w:spacing w:after="0" w:line="240" w:lineRule="auto"/>
        <w:jc w:val="both"/>
        <w:rPr>
          <w:rFonts w:cs="Georgia"/>
          <w:color w:val="000000"/>
        </w:rPr>
      </w:pPr>
      <w:r>
        <w:rPr>
          <w:rFonts w:cs="Georgia"/>
          <w:color w:val="000000"/>
        </w:rPr>
        <w:t>Подкрепа за реформиране и изграждане на капацитет в сектора;</w:t>
      </w:r>
    </w:p>
    <w:p w:rsidR="005B0A7C" w:rsidRDefault="005B0A7C" w:rsidP="001A036E">
      <w:pPr>
        <w:numPr>
          <w:ilvl w:val="0"/>
          <w:numId w:val="76"/>
        </w:numPr>
        <w:autoSpaceDE w:val="0"/>
        <w:autoSpaceDN w:val="0"/>
        <w:adjustRightInd w:val="0"/>
        <w:spacing w:after="0" w:line="240" w:lineRule="auto"/>
        <w:jc w:val="both"/>
        <w:rPr>
          <w:rFonts w:cs="Georgia"/>
          <w:color w:val="000000"/>
        </w:rPr>
      </w:pPr>
      <w:r>
        <w:rPr>
          <w:rFonts w:cs="Georgia"/>
          <w:color w:val="000000"/>
        </w:rPr>
        <w:t>Даване на предимство на финансов инструмент, който осигуряв</w:t>
      </w:r>
      <w:r w:rsidR="00E74BDD">
        <w:rPr>
          <w:rFonts w:cs="Georgia"/>
          <w:color w:val="000000"/>
        </w:rPr>
        <w:t>а ликвидност под формата на пре</w:t>
      </w:r>
      <w:r>
        <w:rPr>
          <w:rFonts w:cs="Georgia"/>
          <w:color w:val="000000"/>
        </w:rPr>
        <w:t>финансиране на инвестицията;</w:t>
      </w:r>
    </w:p>
    <w:p w:rsidR="005B0A7C" w:rsidRDefault="005B0A7C" w:rsidP="001A036E">
      <w:pPr>
        <w:numPr>
          <w:ilvl w:val="0"/>
          <w:numId w:val="76"/>
        </w:numPr>
        <w:autoSpaceDE w:val="0"/>
        <w:autoSpaceDN w:val="0"/>
        <w:adjustRightInd w:val="0"/>
        <w:spacing w:after="0" w:line="240" w:lineRule="auto"/>
        <w:jc w:val="both"/>
        <w:rPr>
          <w:rFonts w:cs="Georgia"/>
          <w:color w:val="000000"/>
        </w:rPr>
      </w:pPr>
      <w:r>
        <w:rPr>
          <w:rFonts w:cs="Georgia"/>
          <w:color w:val="000000"/>
        </w:rPr>
        <w:t>Преодоляване на специфичен пазарен неуспех;</w:t>
      </w:r>
    </w:p>
    <w:p w:rsidR="005B0A7C" w:rsidRPr="005B0A7C" w:rsidRDefault="005B0A7C" w:rsidP="001A036E">
      <w:pPr>
        <w:numPr>
          <w:ilvl w:val="0"/>
          <w:numId w:val="76"/>
        </w:numPr>
        <w:autoSpaceDE w:val="0"/>
        <w:autoSpaceDN w:val="0"/>
        <w:adjustRightInd w:val="0"/>
        <w:spacing w:after="0" w:line="240" w:lineRule="auto"/>
        <w:jc w:val="both"/>
        <w:rPr>
          <w:rFonts w:cs="Georgia"/>
          <w:color w:val="000000"/>
        </w:rPr>
      </w:pPr>
      <w:r>
        <w:rPr>
          <w:rFonts w:cs="Georgia"/>
          <w:color w:val="000000"/>
        </w:rPr>
        <w:t xml:space="preserve">Привличане на допълнителни източници на експертиза и ноу-хау в процеса на подкрепа на крайните бенефициенти. </w:t>
      </w:r>
    </w:p>
    <w:p w:rsidR="00C042D5" w:rsidRDefault="00AF6CCE" w:rsidP="00AF6CCE">
      <w:pPr>
        <w:tabs>
          <w:tab w:val="left" w:pos="8115"/>
        </w:tabs>
        <w:spacing w:before="240"/>
        <w:rPr>
          <w:rFonts w:cs="Times New Roman"/>
        </w:rPr>
        <w:sectPr w:rsidR="00C042D5" w:rsidSect="006E39EC">
          <w:footerReference w:type="first" r:id="rId114"/>
          <w:pgSz w:w="11906" w:h="16838"/>
          <w:pgMar w:top="851" w:right="991" w:bottom="1560" w:left="1417" w:header="708" w:footer="94" w:gutter="0"/>
          <w:cols w:space="708"/>
          <w:titlePg/>
          <w:docGrid w:linePitch="360"/>
        </w:sectPr>
      </w:pPr>
      <w:r>
        <w:rPr>
          <w:rFonts w:cs="Times New Roman"/>
        </w:rPr>
        <w:t xml:space="preserve">Качественото измерение на добавената стойност за двата сектора </w:t>
      </w:r>
      <w:r w:rsidR="00C042D5">
        <w:rPr>
          <w:rFonts w:cs="Times New Roman"/>
        </w:rPr>
        <w:t>е п</w:t>
      </w:r>
      <w:r w:rsidR="00411C22">
        <w:rPr>
          <w:rFonts w:cs="Times New Roman"/>
        </w:rPr>
        <w:t>редставена в следващата таблица</w:t>
      </w:r>
      <w:r w:rsidR="00C042D5">
        <w:rPr>
          <w:rFonts w:cs="Times New Roman"/>
        </w:rPr>
        <w:t>:</w:t>
      </w:r>
    </w:p>
    <w:p w:rsidR="00C042D5" w:rsidRDefault="00C042D5" w:rsidP="00AF6CCE">
      <w:pPr>
        <w:tabs>
          <w:tab w:val="left" w:pos="8115"/>
        </w:tabs>
        <w:spacing w:before="240"/>
        <w:rPr>
          <w:rFonts w:cs="Times New Roman"/>
        </w:rPr>
      </w:pPr>
    </w:p>
    <w:tbl>
      <w:tblPr>
        <w:tblStyle w:val="LightShading-Accent5"/>
        <w:tblW w:w="0" w:type="auto"/>
        <w:tblLook w:val="04A0" w:firstRow="1" w:lastRow="0" w:firstColumn="1" w:lastColumn="0" w:noHBand="0" w:noVBand="1"/>
      </w:tblPr>
      <w:tblGrid>
        <w:gridCol w:w="3030"/>
        <w:gridCol w:w="5300"/>
        <w:gridCol w:w="5528"/>
      </w:tblGrid>
      <w:tr w:rsidR="00C042D5" w:rsidRPr="00C042D5" w:rsidTr="00C042D5">
        <w:trPr>
          <w:cnfStyle w:val="100000000000" w:firstRow="1" w:lastRow="0" w:firstColumn="0" w:lastColumn="0" w:oddVBand="0" w:evenVBand="0" w:oddHBand="0" w:evenHBand="0" w:firstRowFirstColumn="0" w:firstRowLastColumn="0" w:lastRowFirstColumn="0" w:lastRowLastColumn="0"/>
          <w:trHeight w:val="462"/>
          <w:tblHeader/>
        </w:trPr>
        <w:tc>
          <w:tcPr>
            <w:cnfStyle w:val="001000000000" w:firstRow="0" w:lastRow="0" w:firstColumn="1" w:lastColumn="0" w:oddVBand="0" w:evenVBand="0" w:oddHBand="0" w:evenHBand="0" w:firstRowFirstColumn="0" w:firstRowLastColumn="0" w:lastRowFirstColumn="0" w:lastRowLastColumn="0"/>
            <w:tcW w:w="3030" w:type="dxa"/>
          </w:tcPr>
          <w:p w:rsidR="00C042D5" w:rsidRPr="00C042D5" w:rsidRDefault="00C042D5" w:rsidP="00C042D5">
            <w:pPr>
              <w:tabs>
                <w:tab w:val="left" w:pos="8115"/>
              </w:tabs>
              <w:spacing w:before="240"/>
              <w:jc w:val="center"/>
              <w:rPr>
                <w:rFonts w:cs="Times New Roman"/>
              </w:rPr>
            </w:pPr>
            <w:r>
              <w:rPr>
                <w:rFonts w:cs="Times New Roman"/>
              </w:rPr>
              <w:t>Качествено измерение на добавената стойност</w:t>
            </w:r>
          </w:p>
        </w:tc>
        <w:tc>
          <w:tcPr>
            <w:tcW w:w="5300" w:type="dxa"/>
            <w:vAlign w:val="center"/>
          </w:tcPr>
          <w:p w:rsidR="00C042D5" w:rsidRPr="00C042D5" w:rsidRDefault="00C042D5" w:rsidP="00C042D5">
            <w:pPr>
              <w:tabs>
                <w:tab w:val="left" w:pos="8115"/>
              </w:tabs>
              <w:spacing w:before="240"/>
              <w:jc w:val="center"/>
              <w:cnfStyle w:val="100000000000" w:firstRow="1" w:lastRow="0" w:firstColumn="0" w:lastColumn="0" w:oddVBand="0" w:evenVBand="0" w:oddHBand="0" w:evenHBand="0" w:firstRowFirstColumn="0" w:firstRowLastColumn="0" w:lastRowFirstColumn="0" w:lastRowLastColumn="0"/>
              <w:rPr>
                <w:rFonts w:cs="Times New Roman"/>
              </w:rPr>
            </w:pPr>
            <w:r w:rsidRPr="00C042D5">
              <w:rPr>
                <w:rFonts w:cs="Times New Roman"/>
              </w:rPr>
              <w:t>Сектор Води</w:t>
            </w:r>
          </w:p>
        </w:tc>
        <w:tc>
          <w:tcPr>
            <w:tcW w:w="5528" w:type="dxa"/>
            <w:vAlign w:val="center"/>
          </w:tcPr>
          <w:p w:rsidR="00C042D5" w:rsidRPr="00C042D5" w:rsidRDefault="00C042D5" w:rsidP="00C042D5">
            <w:pPr>
              <w:tabs>
                <w:tab w:val="left" w:pos="8115"/>
              </w:tabs>
              <w:spacing w:before="240"/>
              <w:jc w:val="center"/>
              <w:cnfStyle w:val="100000000000" w:firstRow="1" w:lastRow="0" w:firstColumn="0" w:lastColumn="0" w:oddVBand="0" w:evenVBand="0" w:oddHBand="0" w:evenHBand="0" w:firstRowFirstColumn="0" w:firstRowLastColumn="0" w:lastRowFirstColumn="0" w:lastRowLastColumn="0"/>
              <w:rPr>
                <w:rFonts w:cs="Times New Roman"/>
              </w:rPr>
            </w:pPr>
            <w:r w:rsidRPr="00C042D5">
              <w:rPr>
                <w:rFonts w:cs="Times New Roman"/>
              </w:rPr>
              <w:t>Сектор Отпадъци</w:t>
            </w:r>
          </w:p>
        </w:tc>
      </w:tr>
      <w:tr w:rsidR="00C042D5" w:rsidTr="00C04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30" w:type="dxa"/>
          </w:tcPr>
          <w:p w:rsidR="00C042D5" w:rsidRDefault="00C042D5" w:rsidP="00AF6CCE">
            <w:pPr>
              <w:tabs>
                <w:tab w:val="left" w:pos="8115"/>
              </w:tabs>
              <w:spacing w:before="240"/>
              <w:rPr>
                <w:rFonts w:cs="Times New Roman"/>
              </w:rPr>
            </w:pPr>
            <w:r>
              <w:rPr>
                <w:rFonts w:cs="Georgia"/>
                <w:color w:val="000000"/>
              </w:rPr>
              <w:t>Предлагане на финансов продукт, който точно отговаря на пазарния недостиг без да застрашава конкуренцията</w:t>
            </w:r>
          </w:p>
        </w:tc>
        <w:tc>
          <w:tcPr>
            <w:tcW w:w="5300" w:type="dxa"/>
          </w:tcPr>
          <w:p w:rsidR="00C042D5" w:rsidRDefault="00C042D5" w:rsidP="009B15D7">
            <w:pPr>
              <w:tabs>
                <w:tab w:val="left" w:pos="8115"/>
              </w:tabs>
              <w:spacing w:before="240"/>
              <w:jc w:val="both"/>
              <w:cnfStyle w:val="000000100000" w:firstRow="0" w:lastRow="0" w:firstColumn="0" w:lastColumn="0" w:oddVBand="0" w:evenVBand="0" w:oddHBand="1" w:evenHBand="0" w:firstRowFirstColumn="0" w:firstRowLastColumn="0" w:lastRowFirstColumn="0" w:lastRowLastColumn="0"/>
              <w:rPr>
                <w:rFonts w:cs="Times New Roman"/>
              </w:rPr>
            </w:pPr>
            <w:r>
              <w:rPr>
                <w:rFonts w:cs="Times New Roman"/>
              </w:rPr>
              <w:t>Както бе споменато в анализа на пазара, във ВиК сектора е налице изкуствен монопол, поради собствеността на ВиК операторите и районирането на услугите. Това означава, че едно ВиК дружество обслужва определена територия</w:t>
            </w:r>
            <w:r w:rsidR="009B15D7">
              <w:rPr>
                <w:rFonts w:cs="Times New Roman"/>
              </w:rPr>
              <w:t xml:space="preserve"> без конкуренция. В този смисъл, финансовият продукт под формата на фонд за инвестиции, който може да осигурява заемно финансиране и паралелно финансиране чрез гаранции ще отговори на пазарния недостиг без да застрашава конкуренцията, тъй като на практика такава към момента във Водния сектор няма.</w:t>
            </w:r>
          </w:p>
        </w:tc>
        <w:tc>
          <w:tcPr>
            <w:tcW w:w="5528" w:type="dxa"/>
          </w:tcPr>
          <w:p w:rsidR="00C042D5" w:rsidRPr="009B15D7" w:rsidRDefault="009B15D7" w:rsidP="009B15D7">
            <w:pPr>
              <w:tabs>
                <w:tab w:val="left" w:pos="8115"/>
              </w:tabs>
              <w:spacing w:before="240"/>
              <w:jc w:val="both"/>
              <w:cnfStyle w:val="000000100000" w:firstRow="0" w:lastRow="0" w:firstColumn="0" w:lastColumn="0" w:oddVBand="0" w:evenVBand="0" w:oddHBand="1" w:evenHBand="0" w:firstRowFirstColumn="0" w:firstRowLastColumn="0" w:lastRowFirstColumn="0" w:lastRowLastColumn="0"/>
              <w:rPr>
                <w:rFonts w:cs="Times New Roman"/>
              </w:rPr>
            </w:pPr>
            <w:r>
              <w:rPr>
                <w:rFonts w:cs="Times New Roman"/>
              </w:rPr>
              <w:t xml:space="preserve">В Сектор отпадъци гаранционния механизъм би подпомогнал частния сектор да мобилизира допълнителен ресурс за реализиране на инвестиции. В зависимост от формата, която ще бъде избрана </w:t>
            </w:r>
            <w:r>
              <w:rPr>
                <w:rFonts w:cs="Times New Roman"/>
                <w:lang w:val="en-US"/>
              </w:rPr>
              <w:t>(off-the-shelf</w:t>
            </w:r>
            <w:r>
              <w:rPr>
                <w:rFonts w:cs="Times New Roman"/>
              </w:rPr>
              <w:t xml:space="preserve"> или </w:t>
            </w:r>
            <w:r>
              <w:rPr>
                <w:rFonts w:cs="Times New Roman"/>
                <w:lang w:val="en-US"/>
              </w:rPr>
              <w:t xml:space="preserve">tailored-made </w:t>
            </w:r>
            <w:r>
              <w:rPr>
                <w:rFonts w:cs="Times New Roman"/>
              </w:rPr>
              <w:t xml:space="preserve">финансов инструмент) конкуренцията не би следвало да бъде застрашена, тъй като в първия случай ЕК вече е разрешила отпускането на държавна помощ при определени условия, а във втория </w:t>
            </w:r>
            <w:r w:rsidR="0008594B">
              <w:rPr>
                <w:rFonts w:cs="Times New Roman"/>
              </w:rPr>
              <w:t>ще бъде проведена процедура по нотификация, в резултат от която ще бъдат дефинирани параметрите на допустимата държавна помощ.</w:t>
            </w:r>
          </w:p>
        </w:tc>
      </w:tr>
      <w:tr w:rsidR="00C042D5" w:rsidTr="00C042D5">
        <w:tc>
          <w:tcPr>
            <w:cnfStyle w:val="001000000000" w:firstRow="0" w:lastRow="0" w:firstColumn="1" w:lastColumn="0" w:oddVBand="0" w:evenVBand="0" w:oddHBand="0" w:evenHBand="0" w:firstRowFirstColumn="0" w:firstRowLastColumn="0" w:lastRowFirstColumn="0" w:lastRowLastColumn="0"/>
            <w:tcW w:w="3030" w:type="dxa"/>
          </w:tcPr>
          <w:p w:rsidR="00C042D5" w:rsidRDefault="00C042D5" w:rsidP="00AF6CCE">
            <w:pPr>
              <w:tabs>
                <w:tab w:val="left" w:pos="8115"/>
              </w:tabs>
              <w:spacing w:before="240"/>
              <w:rPr>
                <w:rFonts w:cs="Times New Roman"/>
              </w:rPr>
            </w:pPr>
            <w:r>
              <w:rPr>
                <w:rFonts w:cs="Georgia"/>
                <w:color w:val="000000"/>
              </w:rPr>
              <w:t>Разработване на нов финансов продукт под формата на финансов инструмент, който не е предлаган преди това</w:t>
            </w:r>
          </w:p>
        </w:tc>
        <w:tc>
          <w:tcPr>
            <w:tcW w:w="5300" w:type="dxa"/>
          </w:tcPr>
          <w:p w:rsidR="00C042D5" w:rsidRDefault="0008594B" w:rsidP="0008594B">
            <w:pPr>
              <w:tabs>
                <w:tab w:val="left" w:pos="8115"/>
              </w:tabs>
              <w:spacing w:before="240"/>
              <w:jc w:val="both"/>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Към настоящия момент в сектора няма предлагане на финансови инструменти по смисъла на Регламент 1303/2013 г. Структурирането на нов финансов продукт ще увеличи ефекта на лоста в съотношение минимум 1:3 и ще спомогне да бъде запълнен поне частично значителния недостиг на финансиране в сектора.</w:t>
            </w:r>
          </w:p>
        </w:tc>
        <w:tc>
          <w:tcPr>
            <w:tcW w:w="5528" w:type="dxa"/>
          </w:tcPr>
          <w:p w:rsidR="00C042D5" w:rsidRDefault="0008594B" w:rsidP="0008594B">
            <w:pPr>
              <w:tabs>
                <w:tab w:val="left" w:pos="8115"/>
              </w:tabs>
              <w:spacing w:before="240"/>
              <w:jc w:val="both"/>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Гаранционен механизъм, който да подпомага достъпа до финансиране на частни и общински предприятия за реализиране на проекти по управление на отпадъците към момента не съществува в страната. Разработването на такъв продукт по модела на вече съществуващия гаранционен механизъм за МСП ще мобилизира 5 пъти повече финансов ресурс от страна на финансовите институции и ще спомогне за преодоляване на зависимостта от безвъзмездно финансиране  за постигане на целите в сектора.</w:t>
            </w:r>
          </w:p>
        </w:tc>
      </w:tr>
      <w:tr w:rsidR="00C042D5" w:rsidTr="00C04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30" w:type="dxa"/>
          </w:tcPr>
          <w:p w:rsidR="00C042D5" w:rsidRDefault="00C042D5" w:rsidP="00AF6CCE">
            <w:pPr>
              <w:tabs>
                <w:tab w:val="left" w:pos="8115"/>
              </w:tabs>
              <w:spacing w:before="240"/>
              <w:rPr>
                <w:rFonts w:cs="Times New Roman"/>
              </w:rPr>
            </w:pPr>
            <w:r>
              <w:rPr>
                <w:rFonts w:cs="Georgia"/>
                <w:color w:val="000000"/>
              </w:rPr>
              <w:lastRenderedPageBreak/>
              <w:t>Подкрепа за реформиране и изграждане на капацитет в сектора</w:t>
            </w:r>
          </w:p>
        </w:tc>
        <w:tc>
          <w:tcPr>
            <w:tcW w:w="5300" w:type="dxa"/>
          </w:tcPr>
          <w:p w:rsidR="00C042D5" w:rsidRDefault="0008594B" w:rsidP="00CC5029">
            <w:pPr>
              <w:tabs>
                <w:tab w:val="left" w:pos="8115"/>
              </w:tabs>
              <w:spacing w:before="240"/>
              <w:jc w:val="both"/>
              <w:cnfStyle w:val="000000100000" w:firstRow="0" w:lastRow="0" w:firstColumn="0" w:lastColumn="0" w:oddVBand="0" w:evenVBand="0" w:oddHBand="1" w:evenHBand="0" w:firstRowFirstColumn="0" w:firstRowLastColumn="0" w:lastRowFirstColumn="0" w:lastRowLastColumn="0"/>
              <w:rPr>
                <w:rFonts w:cs="Times New Roman"/>
              </w:rPr>
            </w:pPr>
            <w:r>
              <w:rPr>
                <w:rFonts w:cs="Times New Roman"/>
              </w:rPr>
              <w:t>Въвеждане на финансов инструмент във ВиК сектора ще ускори изпълнението на реформите, тъй като ще наложи определени условия за финансиране на ВиК операторите и ще дисциплинира тяхното управление. По този начин ще стартира подобряване финансовото състояние на ВиК операторите, които чрез реализиране на по-мащабни инвестиции</w:t>
            </w:r>
            <w:r w:rsidR="00CC5029">
              <w:rPr>
                <w:rFonts w:cs="Times New Roman"/>
              </w:rPr>
              <w:t xml:space="preserve"> (до момента отговорност предимно от общините и държавата), ще натрупат капацитет за по-ефективно реализиране на инвестиционните си програми в бъдеще, вкл. чрез използване на външно финансиране.</w:t>
            </w:r>
          </w:p>
        </w:tc>
        <w:tc>
          <w:tcPr>
            <w:tcW w:w="5528" w:type="dxa"/>
          </w:tcPr>
          <w:p w:rsidR="00C042D5" w:rsidRDefault="00CC5029" w:rsidP="00CC5029">
            <w:pPr>
              <w:tabs>
                <w:tab w:val="left" w:pos="8115"/>
              </w:tabs>
              <w:spacing w:before="240"/>
              <w:jc w:val="both"/>
              <w:cnfStyle w:val="000000100000" w:firstRow="0" w:lastRow="0" w:firstColumn="0" w:lastColumn="0" w:oddVBand="0" w:evenVBand="0" w:oddHBand="1" w:evenHBand="0" w:firstRowFirstColumn="0" w:firstRowLastColumn="0" w:lastRowFirstColumn="0" w:lastRowLastColumn="0"/>
              <w:rPr>
                <w:rFonts w:cs="Times New Roman"/>
              </w:rPr>
            </w:pPr>
            <w:r>
              <w:rPr>
                <w:rFonts w:cs="Times New Roman"/>
              </w:rPr>
              <w:t>Въпреки, че вече има известно навлизане на частни субекти в сектора, в по-голямата си част мерките по управление на отпадъците все още се реализират предимно от общините под формата на публични услуги, което води до неефективно оползотворяване на ресурсите. Чрез създаване на стимули посредством финансови инструменти за по-активното навлизане на бизнеса, в т.ч. чрез създаване на ПЧП, ще се мобилизира капацитета на частния сектор за реализиране и управление на инвестиции и ще се създаде предпоставка за преминаване към икономика на кръговете, в която по-голяма част от отпадъците се рециклират и връщат обратно в производството.</w:t>
            </w:r>
          </w:p>
        </w:tc>
      </w:tr>
      <w:tr w:rsidR="00CC5029" w:rsidTr="00CC5029">
        <w:tc>
          <w:tcPr>
            <w:cnfStyle w:val="001000000000" w:firstRow="0" w:lastRow="0" w:firstColumn="1" w:lastColumn="0" w:oddVBand="0" w:evenVBand="0" w:oddHBand="0" w:evenHBand="0" w:firstRowFirstColumn="0" w:firstRowLastColumn="0" w:lastRowFirstColumn="0" w:lastRowLastColumn="0"/>
            <w:tcW w:w="3030" w:type="dxa"/>
          </w:tcPr>
          <w:p w:rsidR="00CC5029" w:rsidRDefault="00CC5029" w:rsidP="00E74BDD">
            <w:pPr>
              <w:tabs>
                <w:tab w:val="left" w:pos="8115"/>
              </w:tabs>
              <w:spacing w:before="240"/>
              <w:rPr>
                <w:rFonts w:cs="Georgia"/>
                <w:color w:val="000000"/>
              </w:rPr>
            </w:pPr>
            <w:r>
              <w:rPr>
                <w:rFonts w:cs="Georgia"/>
                <w:color w:val="000000"/>
              </w:rPr>
              <w:t>Даване на предимство на финансов инструмент, който осигурява ликвидност под формата на префинансиране на инвестицията</w:t>
            </w:r>
          </w:p>
        </w:tc>
        <w:tc>
          <w:tcPr>
            <w:tcW w:w="10828" w:type="dxa"/>
            <w:gridSpan w:val="2"/>
          </w:tcPr>
          <w:p w:rsidR="00CC5029" w:rsidRDefault="00CC5029" w:rsidP="00E74BDD">
            <w:pPr>
              <w:tabs>
                <w:tab w:val="left" w:pos="8115"/>
              </w:tabs>
              <w:spacing w:before="240"/>
              <w:jc w:val="both"/>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Заемното съфинансиране на проектите и в двата сектора може да бъде осигурено преди отпускането на БФП, в случай че в рамките на съответния проект е предвидена такава. По този начин ще бъде осигурена ликвидност за из</w:t>
            </w:r>
            <w:r w:rsidR="00E74BDD">
              <w:rPr>
                <w:rFonts w:cs="Times New Roman"/>
              </w:rPr>
              <w:t>пълнение на инвестициите, а пре</w:t>
            </w:r>
            <w:r>
              <w:rPr>
                <w:rFonts w:cs="Times New Roman"/>
              </w:rPr>
              <w:t xml:space="preserve">финансирането им ще ускори </w:t>
            </w:r>
            <w:r w:rsidR="00411C22">
              <w:rPr>
                <w:rFonts w:cs="Times New Roman"/>
              </w:rPr>
              <w:t>процеса на реализация, което означава, че периодът, в който един проект започва да се изплаща може да бъде изтеглен по-рано, респективно да бъде удължен. Това ще донесе допълнителна добавена стойност за крайния бенефициент, който ще може да се възползва от предимството да реинвестира допълнителния финансов ресурс, мобилизиран от по-ранните приходи.</w:t>
            </w:r>
          </w:p>
        </w:tc>
      </w:tr>
      <w:tr w:rsidR="00C042D5" w:rsidTr="00C04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30" w:type="dxa"/>
          </w:tcPr>
          <w:p w:rsidR="00C042D5" w:rsidRDefault="00C042D5" w:rsidP="00AF6CCE">
            <w:pPr>
              <w:tabs>
                <w:tab w:val="left" w:pos="8115"/>
              </w:tabs>
              <w:spacing w:before="240"/>
              <w:rPr>
                <w:rFonts w:cs="Georgia"/>
                <w:color w:val="000000"/>
              </w:rPr>
            </w:pPr>
            <w:r>
              <w:rPr>
                <w:rFonts w:cs="Georgia"/>
                <w:color w:val="000000"/>
              </w:rPr>
              <w:t>Преодоляване на специфичен пазарен неуспех</w:t>
            </w:r>
          </w:p>
        </w:tc>
        <w:tc>
          <w:tcPr>
            <w:tcW w:w="5300" w:type="dxa"/>
          </w:tcPr>
          <w:p w:rsidR="00C042D5" w:rsidRDefault="00411C22" w:rsidP="00411C22">
            <w:pPr>
              <w:tabs>
                <w:tab w:val="left" w:pos="8115"/>
              </w:tabs>
              <w:spacing w:before="240"/>
              <w:jc w:val="both"/>
              <w:cnfStyle w:val="000000100000" w:firstRow="0" w:lastRow="0" w:firstColumn="0" w:lastColumn="0" w:oddVBand="0" w:evenVBand="0" w:oddHBand="1" w:evenHBand="0" w:firstRowFirstColumn="0" w:firstRowLastColumn="0" w:lastRowFirstColumn="0" w:lastRowLastColumn="0"/>
              <w:rPr>
                <w:rFonts w:cs="Times New Roman"/>
              </w:rPr>
            </w:pPr>
            <w:r>
              <w:rPr>
                <w:rFonts w:cs="Times New Roman"/>
              </w:rPr>
              <w:t xml:space="preserve">Въвеждането на финансов инструмент в сектора ще даде възможност на ВиК операторите да ползват кредитен ресурс, до който те нямат достъп на пазарен принцип, поради сравнително слабата им финансова </w:t>
            </w:r>
            <w:r>
              <w:rPr>
                <w:rFonts w:cs="Times New Roman"/>
              </w:rPr>
              <w:lastRenderedPageBreak/>
              <w:t>ефективност, породена от регулирането на сектора. По този начин ще бъдат създадени условия за поне частично запълване на финансовия недостиг, както и за дисциплиниране на сектора като цяло.</w:t>
            </w:r>
          </w:p>
        </w:tc>
        <w:tc>
          <w:tcPr>
            <w:tcW w:w="5528" w:type="dxa"/>
          </w:tcPr>
          <w:p w:rsidR="00C042D5" w:rsidRDefault="00411C22" w:rsidP="001946DA">
            <w:pPr>
              <w:tabs>
                <w:tab w:val="left" w:pos="8115"/>
              </w:tabs>
              <w:spacing w:before="240"/>
              <w:jc w:val="both"/>
              <w:cnfStyle w:val="000000100000" w:firstRow="0" w:lastRow="0" w:firstColumn="0" w:lastColumn="0" w:oddVBand="0" w:evenVBand="0" w:oddHBand="1" w:evenHBand="0" w:firstRowFirstColumn="0" w:firstRowLastColumn="0" w:lastRowFirstColumn="0" w:lastRowLastColumn="0"/>
              <w:rPr>
                <w:rFonts w:cs="Times New Roman"/>
              </w:rPr>
            </w:pPr>
            <w:r>
              <w:rPr>
                <w:rFonts w:cs="Times New Roman"/>
              </w:rPr>
              <w:lastRenderedPageBreak/>
              <w:t xml:space="preserve">Както бе споменато и в анализа на пазара, основният пазарен неуспех е липсата на сътрудничество между публичния сектор и бизнеса, което затруднява процеса на постигане съответствие с изискванията на </w:t>
            </w:r>
            <w:r>
              <w:rPr>
                <w:rFonts w:cs="Times New Roman"/>
              </w:rPr>
              <w:lastRenderedPageBreak/>
              <w:t xml:space="preserve">европейското и национално законодателство. </w:t>
            </w:r>
            <w:r w:rsidR="001946DA">
              <w:rPr>
                <w:rFonts w:cs="Times New Roman"/>
              </w:rPr>
              <w:t>Чрез създаване на стимули за частния сектор за навлизане по-активно в дейностите по управление на отпадъците, ще се преодолее липсата на ефективна връзка между собственика на отпадъка (общините) и субекта, който би могъл да ги оползотворява (бизнеса), като и двете страни биха могли да реализират приходи от това.</w:t>
            </w:r>
          </w:p>
        </w:tc>
      </w:tr>
      <w:tr w:rsidR="00C042D5" w:rsidTr="00C042D5">
        <w:tc>
          <w:tcPr>
            <w:cnfStyle w:val="001000000000" w:firstRow="0" w:lastRow="0" w:firstColumn="1" w:lastColumn="0" w:oddVBand="0" w:evenVBand="0" w:oddHBand="0" w:evenHBand="0" w:firstRowFirstColumn="0" w:firstRowLastColumn="0" w:lastRowFirstColumn="0" w:lastRowLastColumn="0"/>
            <w:tcW w:w="3030" w:type="dxa"/>
          </w:tcPr>
          <w:p w:rsidR="00C042D5" w:rsidRDefault="00C042D5" w:rsidP="00AF6CCE">
            <w:pPr>
              <w:tabs>
                <w:tab w:val="left" w:pos="8115"/>
              </w:tabs>
              <w:spacing w:before="240"/>
              <w:rPr>
                <w:rFonts w:cs="Georgia"/>
                <w:color w:val="000000"/>
              </w:rPr>
            </w:pPr>
            <w:r>
              <w:rPr>
                <w:rFonts w:cs="Georgia"/>
                <w:color w:val="000000"/>
              </w:rPr>
              <w:lastRenderedPageBreak/>
              <w:t>Привличане на допълнителни източници на експертиза и ноу-хау в процеса на подкрепа на крайните бенефициенти</w:t>
            </w:r>
          </w:p>
        </w:tc>
        <w:tc>
          <w:tcPr>
            <w:tcW w:w="5300" w:type="dxa"/>
          </w:tcPr>
          <w:p w:rsidR="00C042D5" w:rsidRDefault="001946DA" w:rsidP="008E3AF1">
            <w:pPr>
              <w:tabs>
                <w:tab w:val="left" w:pos="8115"/>
              </w:tabs>
              <w:spacing w:before="240"/>
              <w:jc w:val="both"/>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Структуриране на финансов инструмент с участието на международните финансови институции и предвиждане на техническа помощ за крайните бенефициенти при реализиране на инвестициите, ще привлече капацитета на банковите институции за по-ефективно управление на финансовия ресурс. В  резултат от първоначалната оценка на финансовото състояние на ВиК дружеств</w:t>
            </w:r>
            <w:r w:rsidR="008E3AF1">
              <w:rPr>
                <w:rFonts w:cs="Times New Roman"/>
              </w:rPr>
              <w:t>ата за целите на структуриране на финансовия портфейл на проектите,</w:t>
            </w:r>
            <w:r>
              <w:rPr>
                <w:rFonts w:cs="Times New Roman"/>
              </w:rPr>
              <w:t xml:space="preserve"> ще бъдат идентифицирани мерки, които да подобрят капацитета на крайните бенефициенти в дългосрочен аспект.</w:t>
            </w:r>
          </w:p>
        </w:tc>
        <w:tc>
          <w:tcPr>
            <w:tcW w:w="5528" w:type="dxa"/>
          </w:tcPr>
          <w:p w:rsidR="00C042D5" w:rsidRDefault="008E3AF1" w:rsidP="008E3AF1">
            <w:pPr>
              <w:tabs>
                <w:tab w:val="left" w:pos="8115"/>
              </w:tabs>
              <w:spacing w:before="240"/>
              <w:jc w:val="both"/>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Чрез мобилизиране на търговските банки на българския пазар посредством реализиране на гаранционен механизъм за проекти в сектор Отпадъци, ще бъде привлечена и тяхната експертизата в процеса на структуриране на схемата на финансиране на отделните проекти. По този начин ще бъде оказана подкрепа на крайните бенефициенти за изготвяне на инвестиционна стратегия и оценка и комбиниране на различните инвестиционни възможности.</w:t>
            </w:r>
          </w:p>
        </w:tc>
      </w:tr>
    </w:tbl>
    <w:p w:rsidR="00392731" w:rsidRDefault="00AF6CCE" w:rsidP="00AF6CCE">
      <w:pPr>
        <w:tabs>
          <w:tab w:val="left" w:pos="8115"/>
        </w:tabs>
        <w:spacing w:before="240"/>
        <w:rPr>
          <w:rFonts w:cs="Times New Roman"/>
        </w:rPr>
      </w:pPr>
      <w:r>
        <w:rPr>
          <w:rFonts w:cs="Times New Roman"/>
        </w:rPr>
        <w:t xml:space="preserve"> </w:t>
      </w:r>
    </w:p>
    <w:p w:rsidR="00C042D5" w:rsidRDefault="00C042D5" w:rsidP="00AF6CCE">
      <w:pPr>
        <w:tabs>
          <w:tab w:val="left" w:pos="8115"/>
        </w:tabs>
        <w:spacing w:before="240"/>
        <w:rPr>
          <w:rFonts w:cs="Times New Roman"/>
        </w:rPr>
        <w:sectPr w:rsidR="00C042D5" w:rsidSect="006E39EC">
          <w:pgSz w:w="16838" w:h="11906" w:orient="landscape"/>
          <w:pgMar w:top="1417" w:right="851" w:bottom="991" w:left="1560" w:header="708" w:footer="94" w:gutter="0"/>
          <w:cols w:space="708"/>
          <w:titlePg/>
          <w:docGrid w:linePitch="360"/>
        </w:sectPr>
      </w:pPr>
    </w:p>
    <w:p w:rsidR="00392731" w:rsidRPr="00C370EC" w:rsidRDefault="00392731" w:rsidP="000964B6">
      <w:pPr>
        <w:pStyle w:val="Heading2"/>
        <w:jc w:val="both"/>
        <w:rPr>
          <w:rFonts w:asciiTheme="minorHAnsi" w:hAnsiTheme="minorHAnsi" w:cs="Times New Roman"/>
        </w:rPr>
      </w:pPr>
      <w:bookmarkStart w:id="133" w:name="_Toc399494543"/>
      <w:r w:rsidRPr="00C370EC">
        <w:rPr>
          <w:rFonts w:asciiTheme="minorHAnsi" w:hAnsiTheme="minorHAnsi" w:cs="Times New Roman"/>
        </w:rPr>
        <w:lastRenderedPageBreak/>
        <w:t>2.2. Съпоставка между финансовия инструмент, в качеството му на специфична форма на предоставяне на финансова помощ за постигане на определени цели и резултати, и други алтернативни форми на предоставяне на финансова помощ (грантове, награди и възстановима помощ) по правилата на отделните фондове на ЕС, които могат да бъдат реализирани за постигане на същите цели и резултати, чиято реализация преследва финансовият инструмент</w:t>
      </w:r>
      <w:bookmarkEnd w:id="133"/>
    </w:p>
    <w:p w:rsidR="00A42F68" w:rsidRDefault="00A42F68" w:rsidP="00650D7A">
      <w:pPr>
        <w:jc w:val="both"/>
        <w:rPr>
          <w:rFonts w:cs="Times New Roman"/>
          <w:highlight w:val="yellow"/>
        </w:rPr>
      </w:pPr>
    </w:p>
    <w:p w:rsidR="00650D7A" w:rsidRDefault="00A42F68" w:rsidP="00650D7A">
      <w:pPr>
        <w:jc w:val="both"/>
        <w:rPr>
          <w:rFonts w:cstheme="minorHAnsi"/>
          <w:color w:val="000000"/>
        </w:rPr>
      </w:pPr>
      <w:r>
        <w:rPr>
          <w:rFonts w:cstheme="minorHAnsi"/>
          <w:color w:val="000000"/>
        </w:rPr>
        <w:t>Тясна връзка с оценката на добавената стойност има нуждата с осигуряване на съгласуваност с други форми на публична интервенция, вкл. безвъзмездна помощ. Основните аспекти на оценката са свързани с припокриването или конфликта с други форми на публична интервенция в същия сегмент, в т.ч.:</w:t>
      </w:r>
    </w:p>
    <w:p w:rsidR="00A42F68" w:rsidRDefault="00A42F68" w:rsidP="001A036E">
      <w:pPr>
        <w:numPr>
          <w:ilvl w:val="0"/>
          <w:numId w:val="82"/>
        </w:numPr>
        <w:jc w:val="both"/>
        <w:rPr>
          <w:rFonts w:cstheme="minorHAnsi"/>
          <w:color w:val="000000"/>
        </w:rPr>
      </w:pPr>
      <w:r>
        <w:rPr>
          <w:rFonts w:cstheme="minorHAnsi"/>
          <w:color w:val="000000"/>
        </w:rPr>
        <w:t>Нормативни/регулаторни изисквания, вкл.:</w:t>
      </w:r>
    </w:p>
    <w:p w:rsidR="00A42F68" w:rsidRPr="00A42F68" w:rsidRDefault="00A42F68" w:rsidP="001A036E">
      <w:pPr>
        <w:numPr>
          <w:ilvl w:val="1"/>
          <w:numId w:val="82"/>
        </w:numPr>
        <w:spacing w:after="0"/>
        <w:jc w:val="both"/>
        <w:rPr>
          <w:rFonts w:cstheme="minorHAnsi"/>
          <w:color w:val="000000"/>
        </w:rPr>
      </w:pPr>
      <w:r>
        <w:rPr>
          <w:rFonts w:cstheme="minorHAnsi"/>
          <w:color w:val="000000"/>
        </w:rPr>
        <w:t>Закони</w:t>
      </w:r>
      <w:r w:rsidRPr="00A42F68">
        <w:rPr>
          <w:rFonts w:cstheme="minorHAnsi"/>
          <w:color w:val="000000"/>
        </w:rPr>
        <w:t>, изпълняващи целта на предвиждан</w:t>
      </w:r>
      <w:r>
        <w:rPr>
          <w:rFonts w:cstheme="minorHAnsi"/>
          <w:color w:val="000000"/>
        </w:rPr>
        <w:t>ите финансови инструменти</w:t>
      </w:r>
      <w:r w:rsidRPr="00A42F68">
        <w:rPr>
          <w:rFonts w:cstheme="minorHAnsi"/>
          <w:color w:val="000000"/>
        </w:rPr>
        <w:t xml:space="preserve">, които могат да правят </w:t>
      </w:r>
      <w:r>
        <w:rPr>
          <w:rFonts w:cstheme="minorHAnsi"/>
          <w:color w:val="000000"/>
        </w:rPr>
        <w:t xml:space="preserve">тези инструменти </w:t>
      </w:r>
      <w:r w:rsidRPr="00A42F68">
        <w:rPr>
          <w:rFonts w:cstheme="minorHAnsi"/>
          <w:color w:val="000000"/>
        </w:rPr>
        <w:t>излишни</w:t>
      </w:r>
    </w:p>
    <w:p w:rsidR="00A42F68" w:rsidRPr="00A42F68" w:rsidRDefault="00A42F68" w:rsidP="001A036E">
      <w:pPr>
        <w:numPr>
          <w:ilvl w:val="1"/>
          <w:numId w:val="82"/>
        </w:numPr>
        <w:jc w:val="both"/>
        <w:rPr>
          <w:rFonts w:cstheme="minorHAnsi"/>
          <w:color w:val="000000"/>
        </w:rPr>
      </w:pPr>
      <w:r>
        <w:rPr>
          <w:rFonts w:cstheme="minorHAnsi"/>
          <w:color w:val="000000"/>
        </w:rPr>
        <w:t xml:space="preserve"> Закони, изключващи целта на финансовите инструменти</w:t>
      </w:r>
    </w:p>
    <w:p w:rsidR="00AE26C5" w:rsidRDefault="00A42F68" w:rsidP="001A036E">
      <w:pPr>
        <w:numPr>
          <w:ilvl w:val="0"/>
          <w:numId w:val="82"/>
        </w:numPr>
        <w:jc w:val="both"/>
        <w:rPr>
          <w:rFonts w:cstheme="minorHAnsi"/>
          <w:color w:val="000000"/>
        </w:rPr>
      </w:pPr>
      <w:r>
        <w:rPr>
          <w:rFonts w:cstheme="minorHAnsi"/>
          <w:color w:val="000000"/>
        </w:rPr>
        <w:t>Фискални интервенции, като например</w:t>
      </w:r>
      <w:r w:rsidR="00AE26C5">
        <w:rPr>
          <w:rFonts w:cstheme="minorHAnsi"/>
          <w:color w:val="000000"/>
        </w:rPr>
        <w:t>:</w:t>
      </w:r>
    </w:p>
    <w:p w:rsidR="00650D7A" w:rsidRDefault="00AE26C5" w:rsidP="001A036E">
      <w:pPr>
        <w:numPr>
          <w:ilvl w:val="1"/>
          <w:numId w:val="82"/>
        </w:numPr>
        <w:spacing w:after="0"/>
        <w:jc w:val="both"/>
        <w:rPr>
          <w:rFonts w:cstheme="minorHAnsi"/>
          <w:color w:val="000000"/>
        </w:rPr>
      </w:pPr>
      <w:r>
        <w:rPr>
          <w:rFonts w:cstheme="minorHAnsi"/>
          <w:color w:val="000000"/>
        </w:rPr>
        <w:t>Н</w:t>
      </w:r>
      <w:r w:rsidR="00A42F68">
        <w:rPr>
          <w:rFonts w:cstheme="minorHAnsi"/>
          <w:color w:val="000000"/>
        </w:rPr>
        <w:t>амаляване или освобождаване от такси</w:t>
      </w:r>
    </w:p>
    <w:p w:rsidR="00AE26C5" w:rsidRDefault="00AE26C5" w:rsidP="001A036E">
      <w:pPr>
        <w:numPr>
          <w:ilvl w:val="1"/>
          <w:numId w:val="82"/>
        </w:numPr>
        <w:jc w:val="both"/>
        <w:rPr>
          <w:rFonts w:cstheme="minorHAnsi"/>
          <w:color w:val="000000"/>
        </w:rPr>
      </w:pPr>
      <w:r>
        <w:rPr>
          <w:rFonts w:cstheme="minorHAnsi"/>
          <w:color w:val="000000"/>
        </w:rPr>
        <w:t>Държавни трансфери</w:t>
      </w:r>
    </w:p>
    <w:p w:rsidR="00AE26C5" w:rsidRDefault="00AE26C5" w:rsidP="001A036E">
      <w:pPr>
        <w:numPr>
          <w:ilvl w:val="0"/>
          <w:numId w:val="82"/>
        </w:numPr>
        <w:jc w:val="both"/>
        <w:rPr>
          <w:rFonts w:cstheme="minorHAnsi"/>
          <w:color w:val="000000"/>
        </w:rPr>
      </w:pPr>
      <w:r>
        <w:rPr>
          <w:rFonts w:cstheme="minorHAnsi"/>
          <w:color w:val="000000"/>
        </w:rPr>
        <w:t>Други форми на публична интервенция, напр.:</w:t>
      </w:r>
    </w:p>
    <w:p w:rsidR="00AE26C5" w:rsidRDefault="00AE26C5" w:rsidP="001A036E">
      <w:pPr>
        <w:numPr>
          <w:ilvl w:val="1"/>
          <w:numId w:val="82"/>
        </w:numPr>
        <w:spacing w:after="0"/>
        <w:jc w:val="both"/>
        <w:rPr>
          <w:rFonts w:cstheme="minorHAnsi"/>
          <w:color w:val="000000"/>
        </w:rPr>
      </w:pPr>
      <w:r>
        <w:rPr>
          <w:rFonts w:cstheme="minorHAnsi"/>
          <w:color w:val="000000"/>
        </w:rPr>
        <w:t>Донорски програми</w:t>
      </w:r>
    </w:p>
    <w:p w:rsidR="00AE26C5" w:rsidRDefault="00AE26C5" w:rsidP="001A036E">
      <w:pPr>
        <w:numPr>
          <w:ilvl w:val="1"/>
          <w:numId w:val="82"/>
        </w:numPr>
        <w:spacing w:after="0"/>
        <w:jc w:val="both"/>
        <w:rPr>
          <w:rFonts w:cstheme="minorHAnsi"/>
          <w:color w:val="000000"/>
        </w:rPr>
      </w:pPr>
      <w:r>
        <w:rPr>
          <w:rFonts w:cstheme="minorHAnsi"/>
          <w:color w:val="000000"/>
        </w:rPr>
        <w:t>Други финансови инструменти</w:t>
      </w:r>
    </w:p>
    <w:p w:rsidR="00AE26C5" w:rsidRDefault="00AE26C5" w:rsidP="001A036E">
      <w:pPr>
        <w:numPr>
          <w:ilvl w:val="1"/>
          <w:numId w:val="82"/>
        </w:numPr>
        <w:spacing w:after="0"/>
        <w:jc w:val="both"/>
        <w:rPr>
          <w:rFonts w:cstheme="minorHAnsi"/>
          <w:color w:val="000000"/>
        </w:rPr>
      </w:pPr>
      <w:r>
        <w:rPr>
          <w:rFonts w:cstheme="minorHAnsi"/>
          <w:color w:val="000000"/>
        </w:rPr>
        <w:t>Дейности от други източници на финансиране и други нива на администрация</w:t>
      </w:r>
    </w:p>
    <w:p w:rsidR="00AE26C5" w:rsidRPr="00A42F68" w:rsidRDefault="00AE26C5" w:rsidP="001A036E">
      <w:pPr>
        <w:numPr>
          <w:ilvl w:val="1"/>
          <w:numId w:val="82"/>
        </w:numPr>
        <w:jc w:val="both"/>
        <w:rPr>
          <w:rFonts w:cstheme="minorHAnsi"/>
          <w:color w:val="000000"/>
        </w:rPr>
      </w:pPr>
      <w:r>
        <w:rPr>
          <w:rFonts w:cstheme="minorHAnsi"/>
          <w:color w:val="000000"/>
        </w:rPr>
        <w:t>Подкрепа, предлагана от управляващите органи от всички съществуващи револвиращи фондове</w:t>
      </w:r>
    </w:p>
    <w:p w:rsidR="00650D7A" w:rsidRDefault="00752FF6" w:rsidP="00650D7A">
      <w:pPr>
        <w:autoSpaceDE w:val="0"/>
        <w:autoSpaceDN w:val="0"/>
        <w:adjustRightInd w:val="0"/>
        <w:spacing w:after="0" w:line="240" w:lineRule="auto"/>
        <w:rPr>
          <w:rFonts w:cstheme="minorHAnsi"/>
          <w:color w:val="000000"/>
        </w:rPr>
      </w:pPr>
      <w:r>
        <w:rPr>
          <w:rFonts w:cstheme="minorHAnsi"/>
          <w:color w:val="000000"/>
        </w:rPr>
        <w:t>Резултатите от оценката по отношение на съгласуваност на предложените финансови инструменти с други форми на публична интервенция са представени в следващата таблица:</w:t>
      </w:r>
    </w:p>
    <w:p w:rsidR="00752FF6" w:rsidRDefault="00752FF6" w:rsidP="00650D7A">
      <w:pPr>
        <w:autoSpaceDE w:val="0"/>
        <w:autoSpaceDN w:val="0"/>
        <w:adjustRightInd w:val="0"/>
        <w:spacing w:after="0" w:line="240" w:lineRule="auto"/>
        <w:rPr>
          <w:rFonts w:cstheme="minorHAnsi"/>
          <w:color w:val="000000"/>
        </w:rPr>
      </w:pPr>
    </w:p>
    <w:p w:rsidR="00752FF6" w:rsidRDefault="00752FF6" w:rsidP="00650D7A">
      <w:pPr>
        <w:autoSpaceDE w:val="0"/>
        <w:autoSpaceDN w:val="0"/>
        <w:adjustRightInd w:val="0"/>
        <w:spacing w:after="0" w:line="240" w:lineRule="auto"/>
        <w:rPr>
          <w:rFonts w:cstheme="minorHAnsi"/>
          <w:color w:val="000000"/>
        </w:rPr>
        <w:sectPr w:rsidR="00752FF6" w:rsidSect="006E39EC">
          <w:pgSz w:w="11906" w:h="16838"/>
          <w:pgMar w:top="851" w:right="991" w:bottom="1560" w:left="1417" w:header="708" w:footer="94" w:gutter="0"/>
          <w:cols w:space="708"/>
          <w:titlePg/>
          <w:docGrid w:linePitch="360"/>
        </w:sectPr>
      </w:pPr>
    </w:p>
    <w:p w:rsidR="00752FF6" w:rsidRDefault="00752FF6" w:rsidP="00650D7A">
      <w:pPr>
        <w:autoSpaceDE w:val="0"/>
        <w:autoSpaceDN w:val="0"/>
        <w:adjustRightInd w:val="0"/>
        <w:spacing w:after="0" w:line="240" w:lineRule="auto"/>
        <w:rPr>
          <w:rFonts w:cstheme="minorHAnsi"/>
          <w:color w:val="000000"/>
        </w:rPr>
      </w:pPr>
    </w:p>
    <w:tbl>
      <w:tblPr>
        <w:tblStyle w:val="MediumGrid3-Accent51"/>
        <w:tblW w:w="14425" w:type="dxa"/>
        <w:tblLook w:val="04A0" w:firstRow="1" w:lastRow="0" w:firstColumn="1" w:lastColumn="0" w:noHBand="0" w:noVBand="1"/>
      </w:tblPr>
      <w:tblGrid>
        <w:gridCol w:w="2711"/>
        <w:gridCol w:w="3067"/>
        <w:gridCol w:w="3943"/>
        <w:gridCol w:w="4704"/>
      </w:tblGrid>
      <w:tr w:rsidR="00B20A72" w:rsidTr="003946D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778" w:type="dxa"/>
            <w:gridSpan w:val="2"/>
          </w:tcPr>
          <w:p w:rsidR="00B20A72" w:rsidRDefault="00B20A72" w:rsidP="00752FF6">
            <w:pPr>
              <w:autoSpaceDE w:val="0"/>
              <w:autoSpaceDN w:val="0"/>
              <w:adjustRightInd w:val="0"/>
              <w:jc w:val="center"/>
              <w:rPr>
                <w:rFonts w:cstheme="minorHAnsi"/>
                <w:color w:val="000000"/>
              </w:rPr>
            </w:pPr>
            <w:r>
              <w:rPr>
                <w:rFonts w:cstheme="minorHAnsi"/>
                <w:color w:val="000000"/>
              </w:rPr>
              <w:t>Категории публични интервенции</w:t>
            </w:r>
          </w:p>
        </w:tc>
        <w:tc>
          <w:tcPr>
            <w:tcW w:w="3943" w:type="dxa"/>
          </w:tcPr>
          <w:p w:rsidR="00B20A72" w:rsidRDefault="00627AD7" w:rsidP="00752FF6">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Финансови инструменти в сектор Води</w:t>
            </w:r>
          </w:p>
        </w:tc>
        <w:tc>
          <w:tcPr>
            <w:tcW w:w="4704" w:type="dxa"/>
          </w:tcPr>
          <w:p w:rsidR="00B20A72" w:rsidRDefault="00627AD7" w:rsidP="00627AD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Финансови инструменти в сектор Отпадъци</w:t>
            </w:r>
          </w:p>
        </w:tc>
      </w:tr>
      <w:tr w:rsidR="00B20A72" w:rsidTr="004E2B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11" w:type="dxa"/>
            <w:vMerge w:val="restart"/>
          </w:tcPr>
          <w:p w:rsidR="00B20A72" w:rsidRDefault="00B20A72" w:rsidP="00650D7A">
            <w:pPr>
              <w:autoSpaceDE w:val="0"/>
              <w:autoSpaceDN w:val="0"/>
              <w:adjustRightInd w:val="0"/>
              <w:rPr>
                <w:rFonts w:cstheme="minorHAnsi"/>
                <w:color w:val="000000"/>
              </w:rPr>
            </w:pPr>
            <w:r>
              <w:rPr>
                <w:rFonts w:cstheme="minorHAnsi"/>
                <w:color w:val="000000"/>
              </w:rPr>
              <w:t>Нормативни/регулаторни изисквания</w:t>
            </w:r>
          </w:p>
        </w:tc>
        <w:tc>
          <w:tcPr>
            <w:tcW w:w="3067" w:type="dxa"/>
          </w:tcPr>
          <w:p w:rsidR="00B20A72" w:rsidRPr="00A42F68" w:rsidRDefault="00B20A72" w:rsidP="00752FF6">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Закони</w:t>
            </w:r>
            <w:r w:rsidRPr="00A42F68">
              <w:rPr>
                <w:rFonts w:cstheme="minorHAnsi"/>
                <w:color w:val="000000"/>
              </w:rPr>
              <w:t>, изпълняващи целта на предвиждан</w:t>
            </w:r>
            <w:r>
              <w:rPr>
                <w:rFonts w:cstheme="minorHAnsi"/>
                <w:color w:val="000000"/>
              </w:rPr>
              <w:t>ите финансови инструменти</w:t>
            </w:r>
            <w:r w:rsidRPr="00A42F68">
              <w:rPr>
                <w:rFonts w:cstheme="minorHAnsi"/>
                <w:color w:val="000000"/>
              </w:rPr>
              <w:t xml:space="preserve">, които могат да правят </w:t>
            </w:r>
            <w:r>
              <w:rPr>
                <w:rFonts w:cstheme="minorHAnsi"/>
                <w:color w:val="000000"/>
              </w:rPr>
              <w:t xml:space="preserve">тези инструменти </w:t>
            </w:r>
            <w:r w:rsidRPr="00A42F68">
              <w:rPr>
                <w:rFonts w:cstheme="minorHAnsi"/>
                <w:color w:val="000000"/>
              </w:rPr>
              <w:t>излишни</w:t>
            </w:r>
          </w:p>
          <w:p w:rsidR="00B20A72" w:rsidRDefault="00B20A72" w:rsidP="00650D7A">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heme="minorHAnsi"/>
                <w:color w:val="000000"/>
              </w:rPr>
            </w:pPr>
          </w:p>
        </w:tc>
        <w:tc>
          <w:tcPr>
            <w:tcW w:w="3943" w:type="dxa"/>
          </w:tcPr>
          <w:p w:rsidR="00B20A72" w:rsidRDefault="003F3609" w:rsidP="003F3609">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Съгласно Закона за регулиране на ВиК услугите, цените на тези услуги се регулират от ДКЕВР. Тази регулация обаче, не може да се оцени като изпълняваща целта на предвидените финансови инструменти в сектора, а по-скоро обратното, тъй като ограничава финансовия потенциал на ВиК операторите, респективно размера на инвестициите и поражда инвестиционния недостиг в сектора.</w:t>
            </w:r>
          </w:p>
        </w:tc>
        <w:tc>
          <w:tcPr>
            <w:tcW w:w="4704" w:type="dxa"/>
          </w:tcPr>
          <w:p w:rsidR="004E2BFB" w:rsidRPr="004E2BFB" w:rsidRDefault="004E2BFB" w:rsidP="004E2BFB">
            <w:pPr>
              <w:spacing w:after="200" w:line="276" w:lineRule="auto"/>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Pr>
                <w:rFonts w:ascii="Calibri" w:eastAsia="Calibri" w:hAnsi="Calibri" w:cs="Times New Roman"/>
              </w:rPr>
              <w:t>В страната съществуват следните икономически стимули и инструменти по силата на законодателството:</w:t>
            </w:r>
          </w:p>
          <w:p w:rsidR="004E2BFB" w:rsidRPr="004E2BFB" w:rsidRDefault="004E2BFB" w:rsidP="001A036E">
            <w:pPr>
              <w:numPr>
                <w:ilvl w:val="0"/>
                <w:numId w:val="83"/>
              </w:numPr>
              <w:spacing w:line="276" w:lineRule="auto"/>
              <w:ind w:left="318"/>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i/>
              </w:rPr>
            </w:pPr>
            <w:r w:rsidRPr="004E2BFB">
              <w:rPr>
                <w:rFonts w:ascii="Calibri" w:eastAsia="Calibri" w:hAnsi="Calibri" w:cs="Times New Roman"/>
                <w:b/>
                <w:i/>
              </w:rPr>
              <w:t>Такси за депониране и третиране</w:t>
            </w:r>
          </w:p>
          <w:p w:rsidR="004E2BFB" w:rsidRPr="004E2BFB" w:rsidRDefault="004E2BFB" w:rsidP="001A036E">
            <w:pPr>
              <w:numPr>
                <w:ilvl w:val="1"/>
                <w:numId w:val="84"/>
              </w:numPr>
              <w:spacing w:line="276" w:lineRule="auto"/>
              <w:ind w:left="459"/>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4E2BFB">
              <w:rPr>
                <w:rFonts w:ascii="Calibri" w:eastAsia="Calibri" w:hAnsi="Calibri" w:cs="Times New Roman"/>
              </w:rPr>
              <w:t>Обезпечения за покриване на последващи разходи за затваряне на депата и отчисления за депониране на отпадъци</w:t>
            </w:r>
          </w:p>
          <w:p w:rsidR="004E2BFB" w:rsidRPr="004E2BFB" w:rsidRDefault="004E2BFB" w:rsidP="001A036E">
            <w:pPr>
              <w:numPr>
                <w:ilvl w:val="1"/>
                <w:numId w:val="84"/>
              </w:numPr>
              <w:spacing w:line="276" w:lineRule="auto"/>
              <w:ind w:left="459"/>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4E2BFB">
              <w:rPr>
                <w:rFonts w:ascii="Calibri" w:eastAsia="Calibri" w:hAnsi="Calibri" w:cs="Times New Roman"/>
              </w:rPr>
              <w:t>Такса битови отпадъци и разходи за управление на битовите отпадъци на общините</w:t>
            </w:r>
          </w:p>
          <w:p w:rsidR="004E2BFB" w:rsidRPr="004E2BFB" w:rsidRDefault="004E2BFB" w:rsidP="001A036E">
            <w:pPr>
              <w:numPr>
                <w:ilvl w:val="0"/>
                <w:numId w:val="83"/>
              </w:numPr>
              <w:spacing w:line="276" w:lineRule="auto"/>
              <w:ind w:left="318"/>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i/>
              </w:rPr>
            </w:pPr>
            <w:r w:rsidRPr="004E2BFB">
              <w:rPr>
                <w:rFonts w:ascii="Calibri" w:eastAsia="Calibri" w:hAnsi="Calibri" w:cs="Times New Roman"/>
                <w:b/>
                <w:i/>
              </w:rPr>
              <w:t>Екологични данъци и такси</w:t>
            </w:r>
          </w:p>
          <w:p w:rsidR="004E2BFB" w:rsidRPr="004E2BFB" w:rsidRDefault="004E2BFB" w:rsidP="001A036E">
            <w:pPr>
              <w:numPr>
                <w:ilvl w:val="0"/>
                <w:numId w:val="83"/>
              </w:numPr>
              <w:spacing w:line="276" w:lineRule="auto"/>
              <w:ind w:left="318"/>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i/>
              </w:rPr>
            </w:pPr>
            <w:r w:rsidRPr="004E2BFB">
              <w:rPr>
                <w:rFonts w:ascii="Calibri" w:eastAsia="Calibri" w:hAnsi="Calibri" w:cs="Times New Roman"/>
                <w:b/>
                <w:i/>
              </w:rPr>
              <w:t>Схеми за отговорност на производителя</w:t>
            </w:r>
          </w:p>
          <w:p w:rsidR="004E2BFB" w:rsidRDefault="004E2BFB" w:rsidP="001A036E">
            <w:pPr>
              <w:numPr>
                <w:ilvl w:val="0"/>
                <w:numId w:val="83"/>
              </w:numPr>
              <w:spacing w:line="276" w:lineRule="auto"/>
              <w:ind w:left="318"/>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i/>
              </w:rPr>
            </w:pPr>
            <w:r w:rsidRPr="004E2BFB">
              <w:rPr>
                <w:rFonts w:ascii="Calibri" w:eastAsia="Calibri" w:hAnsi="Calibri" w:cs="Times New Roman"/>
                <w:b/>
                <w:i/>
              </w:rPr>
              <w:t>Финансови гаранции и застраховки</w:t>
            </w:r>
          </w:p>
          <w:p w:rsidR="00B20A72" w:rsidRDefault="004E2BFB" w:rsidP="004E2BFB">
            <w:pPr>
              <w:spacing w:before="240" w:line="276" w:lineRule="auto"/>
              <w:ind w:left="-42"/>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ascii="Calibri" w:eastAsia="Calibri" w:hAnsi="Calibri" w:cs="Times New Roman"/>
              </w:rPr>
              <w:t>Нито един от тези инструменти обаче, не изпълнява целта на предвижданите финансови инструменти, а по-скоро някои от икономическите стимули биха генерирали ресурс за изплащане на финансовите инструменти или осигуряване на допълващо финансиране.</w:t>
            </w:r>
          </w:p>
        </w:tc>
      </w:tr>
      <w:tr w:rsidR="00B20A72" w:rsidTr="004E2BFB">
        <w:tc>
          <w:tcPr>
            <w:cnfStyle w:val="001000000000" w:firstRow="0" w:lastRow="0" w:firstColumn="1" w:lastColumn="0" w:oddVBand="0" w:evenVBand="0" w:oddHBand="0" w:evenHBand="0" w:firstRowFirstColumn="0" w:firstRowLastColumn="0" w:lastRowFirstColumn="0" w:lastRowLastColumn="0"/>
            <w:tcW w:w="2711" w:type="dxa"/>
            <w:vMerge/>
          </w:tcPr>
          <w:p w:rsidR="00B20A72" w:rsidRDefault="00B20A72" w:rsidP="00650D7A">
            <w:pPr>
              <w:autoSpaceDE w:val="0"/>
              <w:autoSpaceDN w:val="0"/>
              <w:adjustRightInd w:val="0"/>
              <w:rPr>
                <w:rFonts w:cstheme="minorHAnsi"/>
                <w:color w:val="000000"/>
              </w:rPr>
            </w:pPr>
          </w:p>
        </w:tc>
        <w:tc>
          <w:tcPr>
            <w:tcW w:w="3067" w:type="dxa"/>
          </w:tcPr>
          <w:p w:rsidR="00B20A72" w:rsidRDefault="00B20A72" w:rsidP="00B20A72">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Закони, изключващи целта на финансовите инструменти</w:t>
            </w:r>
          </w:p>
        </w:tc>
        <w:tc>
          <w:tcPr>
            <w:tcW w:w="3943" w:type="dxa"/>
          </w:tcPr>
          <w:p w:rsidR="00B20A72" w:rsidRDefault="003F3609" w:rsidP="00650D7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Няма</w:t>
            </w:r>
          </w:p>
        </w:tc>
        <w:tc>
          <w:tcPr>
            <w:tcW w:w="4704" w:type="dxa"/>
          </w:tcPr>
          <w:p w:rsidR="00B20A72" w:rsidRDefault="003F3609" w:rsidP="00650D7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Няма</w:t>
            </w:r>
          </w:p>
        </w:tc>
      </w:tr>
      <w:tr w:rsidR="00B20A72" w:rsidTr="004E2BFB">
        <w:trPr>
          <w:cnfStyle w:val="000000100000" w:firstRow="0" w:lastRow="0" w:firstColumn="0" w:lastColumn="0" w:oddVBand="0" w:evenVBand="0" w:oddHBand="1" w:evenHBand="0" w:firstRowFirstColumn="0" w:firstRowLastColumn="0" w:lastRowFirstColumn="0" w:lastRowLastColumn="0"/>
          <w:trHeight w:val="546"/>
        </w:trPr>
        <w:tc>
          <w:tcPr>
            <w:cnfStyle w:val="001000000000" w:firstRow="0" w:lastRow="0" w:firstColumn="1" w:lastColumn="0" w:oddVBand="0" w:evenVBand="0" w:oddHBand="0" w:evenHBand="0" w:firstRowFirstColumn="0" w:firstRowLastColumn="0" w:lastRowFirstColumn="0" w:lastRowLastColumn="0"/>
            <w:tcW w:w="2711" w:type="dxa"/>
            <w:vMerge w:val="restart"/>
          </w:tcPr>
          <w:p w:rsidR="00B20A72" w:rsidRDefault="00B20A72" w:rsidP="00650D7A">
            <w:pPr>
              <w:autoSpaceDE w:val="0"/>
              <w:autoSpaceDN w:val="0"/>
              <w:adjustRightInd w:val="0"/>
              <w:rPr>
                <w:rFonts w:cstheme="minorHAnsi"/>
                <w:color w:val="000000"/>
              </w:rPr>
            </w:pPr>
            <w:r>
              <w:rPr>
                <w:rFonts w:cstheme="minorHAnsi"/>
                <w:color w:val="000000"/>
              </w:rPr>
              <w:t>Фискални интервенции</w:t>
            </w:r>
          </w:p>
        </w:tc>
        <w:tc>
          <w:tcPr>
            <w:tcW w:w="3067" w:type="dxa"/>
          </w:tcPr>
          <w:p w:rsidR="00B20A72" w:rsidRDefault="00B20A72" w:rsidP="00B20A72">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Намаляване или освобождаване от такси</w:t>
            </w:r>
          </w:p>
          <w:p w:rsidR="00B20A72" w:rsidRDefault="00B20A72" w:rsidP="00B20A7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theme="minorHAnsi"/>
                <w:color w:val="000000"/>
              </w:rPr>
            </w:pPr>
          </w:p>
        </w:tc>
        <w:tc>
          <w:tcPr>
            <w:tcW w:w="3943" w:type="dxa"/>
          </w:tcPr>
          <w:p w:rsidR="003946D2" w:rsidRDefault="00494E35" w:rsidP="003946D2">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 xml:space="preserve">Законът за регулиране на ВиК услугите въвежда понятието „социална поносимост” на тарифите, която се определя на 4% от нетния разполагаем доход на домакинствата. Това </w:t>
            </w:r>
            <w:r w:rsidR="003946D2">
              <w:rPr>
                <w:rFonts w:cstheme="minorHAnsi"/>
                <w:color w:val="000000"/>
              </w:rPr>
              <w:t>означава, че таксите, заплащани от потребителите на ВиК услуги имат таван, но потребителите не са освободени от такива. Това означава, че ресурсът за инвестиции е регулаторно ограничен, но същевременно не може да се твърди, че при либерализиране на тарифите, ще се генерира достатъчен финансов ресурс за инвестиции в сектора, респективно финансовият инструмент не може да измести пазарното финансиране поради прекалено големия финансов недостиг. Напротив, приложен адекватно в настоящата ситуация, финансовият инструмент ще изиграе ролята на катализатор на бъдещи приходи за инвестиции чрез дисциплиниране на сектора, но това може да се очаква в дългосрочен план.</w:t>
            </w:r>
          </w:p>
        </w:tc>
        <w:tc>
          <w:tcPr>
            <w:tcW w:w="4704" w:type="dxa"/>
          </w:tcPr>
          <w:p w:rsidR="00B20A72" w:rsidRDefault="003946D2" w:rsidP="003946D2">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Към настоящия момент такса битови отпадъци не се формира на принципа „замърсителят плаща”. Нормативната уредба предвижда от 2015 г. този проблем да бъде преодолян. Въпреки това, тези такси се използват предимно за услугите по сметосъбиране и извозване на отпадъците генерирани от домакинствата и подобни на тях източници. Пазарният неуспех в сектора, свързан със слабото присъствие на бизнеса в дейностите по оползотворяване на отпадъчния ресурс, предполага въвеждане на допълнителни стимули чр</w:t>
            </w:r>
            <w:r w:rsidR="00631640">
              <w:rPr>
                <w:rFonts w:cstheme="minorHAnsi"/>
                <w:color w:val="000000"/>
              </w:rPr>
              <w:t>ез финансови инструменти, които не биха заменили финансирането на пазарен принцип, доказателство за което е и липсата на инвестиционен интерес в подобни дейности, дължащ се на недофинансиране на сектора и неспособността на публичния сектор да създаде предпоставки за успешно партньорство с бизнеса.</w:t>
            </w:r>
          </w:p>
        </w:tc>
      </w:tr>
      <w:tr w:rsidR="00B20A72" w:rsidTr="004E2BFB">
        <w:trPr>
          <w:trHeight w:val="546"/>
        </w:trPr>
        <w:tc>
          <w:tcPr>
            <w:cnfStyle w:val="001000000000" w:firstRow="0" w:lastRow="0" w:firstColumn="1" w:lastColumn="0" w:oddVBand="0" w:evenVBand="0" w:oddHBand="0" w:evenHBand="0" w:firstRowFirstColumn="0" w:firstRowLastColumn="0" w:lastRowFirstColumn="0" w:lastRowLastColumn="0"/>
            <w:tcW w:w="2711" w:type="dxa"/>
            <w:vMerge/>
          </w:tcPr>
          <w:p w:rsidR="00B20A72" w:rsidRDefault="00B20A72" w:rsidP="00650D7A">
            <w:pPr>
              <w:autoSpaceDE w:val="0"/>
              <w:autoSpaceDN w:val="0"/>
              <w:adjustRightInd w:val="0"/>
              <w:rPr>
                <w:rFonts w:cstheme="minorHAnsi"/>
                <w:color w:val="000000"/>
              </w:rPr>
            </w:pPr>
          </w:p>
        </w:tc>
        <w:tc>
          <w:tcPr>
            <w:tcW w:w="3067" w:type="dxa"/>
          </w:tcPr>
          <w:p w:rsidR="00B20A72" w:rsidRDefault="00B20A72" w:rsidP="00650D7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Държавни трансфери</w:t>
            </w:r>
          </w:p>
        </w:tc>
        <w:tc>
          <w:tcPr>
            <w:tcW w:w="3943" w:type="dxa"/>
          </w:tcPr>
          <w:p w:rsidR="00B20A72" w:rsidRDefault="00933C29" w:rsidP="00650D7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Няма</w:t>
            </w:r>
          </w:p>
        </w:tc>
        <w:tc>
          <w:tcPr>
            <w:tcW w:w="4704" w:type="dxa"/>
          </w:tcPr>
          <w:p w:rsidR="00B20A72" w:rsidRDefault="00933C29" w:rsidP="00650D7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Няма</w:t>
            </w:r>
          </w:p>
        </w:tc>
      </w:tr>
      <w:tr w:rsidR="004E2BFB" w:rsidTr="004E2B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11" w:type="dxa"/>
            <w:vMerge w:val="restart"/>
          </w:tcPr>
          <w:p w:rsidR="004E2BFB" w:rsidRDefault="004E2BFB" w:rsidP="00650D7A">
            <w:pPr>
              <w:autoSpaceDE w:val="0"/>
              <w:autoSpaceDN w:val="0"/>
              <w:adjustRightInd w:val="0"/>
              <w:rPr>
                <w:rFonts w:cstheme="minorHAnsi"/>
                <w:color w:val="000000"/>
              </w:rPr>
            </w:pPr>
            <w:r>
              <w:rPr>
                <w:rFonts w:cstheme="minorHAnsi"/>
                <w:color w:val="000000"/>
              </w:rPr>
              <w:t>Други форми на публична интервенция</w:t>
            </w:r>
          </w:p>
        </w:tc>
        <w:tc>
          <w:tcPr>
            <w:tcW w:w="3067" w:type="dxa"/>
          </w:tcPr>
          <w:p w:rsidR="004E2BFB" w:rsidRDefault="004E2BFB" w:rsidP="00B20A72">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Донорски програми</w:t>
            </w:r>
          </w:p>
        </w:tc>
        <w:tc>
          <w:tcPr>
            <w:tcW w:w="8647" w:type="dxa"/>
            <w:gridSpan w:val="2"/>
          </w:tcPr>
          <w:p w:rsidR="004E2BFB" w:rsidRDefault="004E2BFB" w:rsidP="004E2BFB">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 xml:space="preserve">Финансиране за проекти в секторите Води и Отпадъци се предлага и по други донорски програми, вкл. с източник на финансиране ЕС. По силата на приложимите нормативни актове, обаче не се допуска финансиране на едни и същи дейности от различни източници (т.е. дублиране на разходите), за което се извършва предварителна проверка за двойно финансиране преди подписване на споразумение/договор. </w:t>
            </w:r>
            <w:r w:rsidR="00494E35">
              <w:rPr>
                <w:rFonts w:cstheme="minorHAnsi"/>
                <w:color w:val="000000"/>
              </w:rPr>
              <w:t>В този смисъл финансовите инструменти за двата сектора по-скоро ще допълнят инвестиционния портфейл</w:t>
            </w:r>
          </w:p>
        </w:tc>
      </w:tr>
      <w:tr w:rsidR="00B20A72" w:rsidTr="004E2BFB">
        <w:tc>
          <w:tcPr>
            <w:cnfStyle w:val="001000000000" w:firstRow="0" w:lastRow="0" w:firstColumn="1" w:lastColumn="0" w:oddVBand="0" w:evenVBand="0" w:oddHBand="0" w:evenHBand="0" w:firstRowFirstColumn="0" w:firstRowLastColumn="0" w:lastRowFirstColumn="0" w:lastRowLastColumn="0"/>
            <w:tcW w:w="2711" w:type="dxa"/>
            <w:vMerge/>
          </w:tcPr>
          <w:p w:rsidR="00B20A72" w:rsidRDefault="00B20A72" w:rsidP="00650D7A">
            <w:pPr>
              <w:autoSpaceDE w:val="0"/>
              <w:autoSpaceDN w:val="0"/>
              <w:adjustRightInd w:val="0"/>
              <w:rPr>
                <w:rFonts w:cstheme="minorHAnsi"/>
                <w:color w:val="000000"/>
              </w:rPr>
            </w:pPr>
          </w:p>
        </w:tc>
        <w:tc>
          <w:tcPr>
            <w:tcW w:w="3067" w:type="dxa"/>
          </w:tcPr>
          <w:p w:rsidR="00B20A72" w:rsidRDefault="00B20A72" w:rsidP="00B20A72">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Други финансови инструменти</w:t>
            </w:r>
          </w:p>
          <w:p w:rsidR="00B20A72" w:rsidRDefault="00B20A72" w:rsidP="00B20A7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3943" w:type="dxa"/>
          </w:tcPr>
          <w:p w:rsidR="00B20A72" w:rsidRDefault="004E2BFB" w:rsidP="00650D7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Във ВиК сектора не се предлагат други финансови инструменти по смисъла на Регламент 1303/2013</w:t>
            </w:r>
          </w:p>
        </w:tc>
        <w:tc>
          <w:tcPr>
            <w:tcW w:w="4704" w:type="dxa"/>
          </w:tcPr>
          <w:p w:rsidR="00B20A72" w:rsidRPr="00494E35" w:rsidRDefault="00494E35" w:rsidP="00494E35">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 xml:space="preserve">Финансовите инструменти по инициативата </w:t>
            </w:r>
            <w:r>
              <w:rPr>
                <w:rFonts w:cstheme="minorHAnsi"/>
                <w:color w:val="000000"/>
                <w:lang w:val="en-US"/>
              </w:rPr>
              <w:t>Jeremie</w:t>
            </w:r>
            <w:r>
              <w:rPr>
                <w:rFonts w:cstheme="minorHAnsi"/>
                <w:color w:val="000000"/>
              </w:rPr>
              <w:t xml:space="preserve"> потенциално се явяват източник на финансиране на проекти в сектор Околна среда. Към момента обаче, поради по-големия размер на инвестициите в дейности по оползотворяване на отпадъците, няма финансирани проекти в сектора от тази инициатива. </w:t>
            </w:r>
          </w:p>
        </w:tc>
      </w:tr>
      <w:tr w:rsidR="00697BD5" w:rsidTr="00CA35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11" w:type="dxa"/>
            <w:vMerge/>
          </w:tcPr>
          <w:p w:rsidR="00697BD5" w:rsidRDefault="00697BD5" w:rsidP="00650D7A">
            <w:pPr>
              <w:autoSpaceDE w:val="0"/>
              <w:autoSpaceDN w:val="0"/>
              <w:adjustRightInd w:val="0"/>
              <w:rPr>
                <w:rFonts w:cstheme="minorHAnsi"/>
                <w:color w:val="000000"/>
              </w:rPr>
            </w:pPr>
          </w:p>
        </w:tc>
        <w:tc>
          <w:tcPr>
            <w:tcW w:w="3067" w:type="dxa"/>
          </w:tcPr>
          <w:p w:rsidR="00697BD5" w:rsidRDefault="00697BD5" w:rsidP="00BC2F15">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Дейности от други източници на финансиране и други нива на администрация</w:t>
            </w:r>
          </w:p>
        </w:tc>
        <w:tc>
          <w:tcPr>
            <w:tcW w:w="8647" w:type="dxa"/>
            <w:gridSpan w:val="2"/>
          </w:tcPr>
          <w:p w:rsidR="00697BD5" w:rsidRDefault="00697BD5" w:rsidP="00BC2F15">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 xml:space="preserve">ПУДООС набира финансов ресурс </w:t>
            </w:r>
            <w:r w:rsidR="00BC2F15">
              <w:rPr>
                <w:rFonts w:cstheme="minorHAnsi"/>
                <w:color w:val="000000"/>
              </w:rPr>
              <w:t>предимно от:</w:t>
            </w:r>
          </w:p>
          <w:p w:rsidR="00BC2F15" w:rsidRDefault="00BC2F15" w:rsidP="001A036E">
            <w:pPr>
              <w:numPr>
                <w:ilvl w:val="0"/>
                <w:numId w:val="85"/>
              </w:num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Такси определени със законодателството в сферата на околната среда;</w:t>
            </w:r>
          </w:p>
          <w:p w:rsidR="00BC2F15" w:rsidRDefault="00BC2F15" w:rsidP="001A036E">
            <w:pPr>
              <w:numPr>
                <w:ilvl w:val="0"/>
                <w:numId w:val="85"/>
              </w:num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Целево предоставени средства от държавния бюджет;</w:t>
            </w:r>
          </w:p>
          <w:p w:rsidR="00BC2F15" w:rsidRDefault="00BC2F15" w:rsidP="001A036E">
            <w:pPr>
              <w:numPr>
                <w:ilvl w:val="0"/>
                <w:numId w:val="85"/>
              </w:num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Глоби и имуществени санкции по ЗООС;</w:t>
            </w:r>
          </w:p>
          <w:p w:rsidR="00BC2F15" w:rsidRDefault="00BC2F15" w:rsidP="001A036E">
            <w:pPr>
              <w:numPr>
                <w:ilvl w:val="0"/>
                <w:numId w:val="85"/>
              </w:num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Приходи от портфейлни инвестиции с краткосрочни ДЦК и облигации; и др.</w:t>
            </w:r>
          </w:p>
          <w:p w:rsidR="00BC2F15" w:rsidRDefault="00BC2F15" w:rsidP="00BC2F15">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Бенефициенти на ПУДООС са основно публични институции – общини, а финансирането се предоставя най-вече под формата или на БФП за финансиране на проекти или под формата на безлихвени кредити за мостово финансиране.</w:t>
            </w:r>
          </w:p>
          <w:p w:rsidR="00BC2F15" w:rsidRDefault="00BC2F15" w:rsidP="00BC2F15">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По отношение на предвидените финансови инструменти, ПУДООС би могло да се използва като допълващо финансиране, но не и да се счита, че финансовите инструменти биха заменили този вид финансов ресурс.</w:t>
            </w:r>
          </w:p>
        </w:tc>
      </w:tr>
      <w:tr w:rsidR="00B20A72" w:rsidTr="004E2BFB">
        <w:tc>
          <w:tcPr>
            <w:cnfStyle w:val="001000000000" w:firstRow="0" w:lastRow="0" w:firstColumn="1" w:lastColumn="0" w:oddVBand="0" w:evenVBand="0" w:oddHBand="0" w:evenHBand="0" w:firstRowFirstColumn="0" w:firstRowLastColumn="0" w:lastRowFirstColumn="0" w:lastRowLastColumn="0"/>
            <w:tcW w:w="2711" w:type="dxa"/>
            <w:vMerge/>
          </w:tcPr>
          <w:p w:rsidR="00B20A72" w:rsidRDefault="00B20A72" w:rsidP="00650D7A">
            <w:pPr>
              <w:autoSpaceDE w:val="0"/>
              <w:autoSpaceDN w:val="0"/>
              <w:adjustRightInd w:val="0"/>
              <w:rPr>
                <w:rFonts w:cstheme="minorHAnsi"/>
                <w:color w:val="000000"/>
              </w:rPr>
            </w:pPr>
          </w:p>
        </w:tc>
        <w:tc>
          <w:tcPr>
            <w:tcW w:w="3067" w:type="dxa"/>
          </w:tcPr>
          <w:p w:rsidR="00B20A72" w:rsidRPr="00A42F68" w:rsidRDefault="00B20A72" w:rsidP="00B20A72">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Подкрепа, предлагана от управляващите органи от всички съществуващи револвиращи фондове</w:t>
            </w:r>
          </w:p>
          <w:p w:rsidR="00B20A72" w:rsidRDefault="00B20A72" w:rsidP="00B20A72">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3943" w:type="dxa"/>
          </w:tcPr>
          <w:p w:rsidR="00B20A72" w:rsidRDefault="00BC2F15" w:rsidP="00650D7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Няма</w:t>
            </w:r>
          </w:p>
        </w:tc>
        <w:tc>
          <w:tcPr>
            <w:tcW w:w="4704" w:type="dxa"/>
          </w:tcPr>
          <w:p w:rsidR="00B20A72" w:rsidRDefault="00BC2F15" w:rsidP="00650D7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Няма</w:t>
            </w:r>
          </w:p>
        </w:tc>
      </w:tr>
    </w:tbl>
    <w:p w:rsidR="00752FF6" w:rsidRDefault="00752FF6" w:rsidP="00650D7A">
      <w:pPr>
        <w:autoSpaceDE w:val="0"/>
        <w:autoSpaceDN w:val="0"/>
        <w:adjustRightInd w:val="0"/>
        <w:spacing w:after="0" w:line="240" w:lineRule="auto"/>
        <w:rPr>
          <w:rFonts w:cstheme="minorHAnsi"/>
          <w:color w:val="000000"/>
        </w:rPr>
        <w:sectPr w:rsidR="00752FF6" w:rsidSect="006E39EC">
          <w:pgSz w:w="16838" w:h="11906" w:orient="landscape"/>
          <w:pgMar w:top="1417" w:right="851" w:bottom="991" w:left="1560" w:header="708" w:footer="94" w:gutter="0"/>
          <w:cols w:space="708"/>
          <w:titlePg/>
          <w:docGrid w:linePitch="360"/>
        </w:sectPr>
      </w:pPr>
    </w:p>
    <w:p w:rsidR="00181C9C" w:rsidRDefault="00392731" w:rsidP="000964B6">
      <w:pPr>
        <w:pStyle w:val="Heading2"/>
        <w:jc w:val="both"/>
        <w:rPr>
          <w:rFonts w:asciiTheme="minorHAnsi" w:hAnsiTheme="minorHAnsi" w:cs="Times New Roman"/>
        </w:rPr>
      </w:pPr>
      <w:bookmarkStart w:id="134" w:name="_Toc399494544"/>
      <w:r w:rsidRPr="00C370EC">
        <w:rPr>
          <w:rFonts w:asciiTheme="minorHAnsi" w:hAnsiTheme="minorHAnsi" w:cs="Times New Roman"/>
        </w:rPr>
        <w:lastRenderedPageBreak/>
        <w:t>2.3. Оценка на възможностите за комбиниране на финансови инструменти и други форми на подкрепа (грантове, награди, възстановима помощ) за пости</w:t>
      </w:r>
      <w:r w:rsidR="00A84492" w:rsidRPr="00C370EC">
        <w:rPr>
          <w:rFonts w:asciiTheme="minorHAnsi" w:hAnsiTheme="minorHAnsi" w:cs="Times New Roman"/>
        </w:rPr>
        <w:t>гане на синергичен ефект за съответната сфера на интервенция</w:t>
      </w:r>
      <w:bookmarkEnd w:id="134"/>
    </w:p>
    <w:p w:rsidR="00CA358A" w:rsidRDefault="00D46218" w:rsidP="00085A28">
      <w:pPr>
        <w:spacing w:before="240"/>
        <w:jc w:val="both"/>
      </w:pPr>
      <w:r>
        <w:t>В резултат от съпоставката на предвидените финансови инструменти с други форми на публична интервенция, направена в предходната точка от настоящия анализ, може да се направи изводът, че комбинирането на БФП с финансови инструменти има потенциал за постигане на синергичен ефект. Сенергичният ефект е в пряка зависимост от размера на БФП от съответната приоритетна ос на ОПОС 2014-2020, която ще се задели за финансови инструменти. Това означава, че колкото по-голям размер на средствата от съответната приоритетна ос бъдат заделени за финансови инструменти, ще бъде постигнат по-го</w:t>
      </w:r>
      <w:r w:rsidR="005B1DBC">
        <w:t>лям синергичен ефект, предвид</w:t>
      </w:r>
      <w:r>
        <w:t xml:space="preserve"> очаквания лостов ефект за сектор Води </w:t>
      </w:r>
      <w:r w:rsidR="00085A28">
        <w:t xml:space="preserve">от </w:t>
      </w:r>
      <w:r>
        <w:t>1:</w:t>
      </w:r>
      <w:r w:rsidR="00085A28">
        <w:t>4</w:t>
      </w:r>
      <w:r>
        <w:t>, а за сектор Отпадъци – 1:5.</w:t>
      </w:r>
    </w:p>
    <w:p w:rsidR="00D46218" w:rsidRDefault="00D46218" w:rsidP="00D46218">
      <w:pPr>
        <w:jc w:val="both"/>
      </w:pPr>
      <w:r>
        <w:t>Синергичният ефект за веки един от двата сектора, който би могъл да се генерира в зависимост от БФП, която би се отделила като ресурс от всяка една от разглежданите приоритетни оси, е представен на следващите фигури:</w:t>
      </w:r>
    </w:p>
    <w:p w:rsidR="00D46218" w:rsidRDefault="00D46218" w:rsidP="00D46218">
      <w:pPr>
        <w:jc w:val="both"/>
        <w:rPr>
          <w:b/>
          <w:i/>
          <w:color w:val="2E74B5" w:themeColor="accent1" w:themeShade="BF"/>
        </w:rPr>
      </w:pPr>
      <w:r w:rsidRPr="00D46218">
        <w:rPr>
          <w:b/>
          <w:i/>
          <w:color w:val="2E74B5" w:themeColor="accent1" w:themeShade="BF"/>
        </w:rPr>
        <w:t>Сектор Води</w:t>
      </w:r>
    </w:p>
    <w:p w:rsidR="00085A28" w:rsidRPr="00085A28" w:rsidRDefault="00085A28" w:rsidP="00D46218">
      <w:pPr>
        <w:jc w:val="both"/>
        <w:rPr>
          <w:b/>
          <w:u w:val="single"/>
        </w:rPr>
      </w:pPr>
      <w:r w:rsidRPr="00085A28">
        <w:rPr>
          <w:b/>
          <w:u w:val="single"/>
        </w:rPr>
        <w:t>Вариант І</w:t>
      </w:r>
    </w:p>
    <w:tbl>
      <w:tblPr>
        <w:tblStyle w:val="LightShading-Accent113"/>
        <w:tblW w:w="7184" w:type="dxa"/>
        <w:jc w:val="center"/>
        <w:tblLook w:val="04A0" w:firstRow="1" w:lastRow="0" w:firstColumn="1" w:lastColumn="0" w:noHBand="0" w:noVBand="1"/>
      </w:tblPr>
      <w:tblGrid>
        <w:gridCol w:w="5340"/>
        <w:gridCol w:w="1844"/>
      </w:tblGrid>
      <w:tr w:rsidR="00085A28" w:rsidRPr="00085A28" w:rsidTr="00EA0218">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EA0218">
            <w:pPr>
              <w:rPr>
                <w:rFonts w:ascii="Calibri" w:eastAsia="Times New Roman" w:hAnsi="Calibri" w:cs="Calibri"/>
                <w:color w:val="000000"/>
                <w:lang w:eastAsia="bg-BG"/>
              </w:rPr>
            </w:pPr>
            <w:r w:rsidRPr="00085A28">
              <w:rPr>
                <w:rFonts w:ascii="Calibri" w:eastAsia="Times New Roman" w:hAnsi="Calibri" w:cs="Calibri"/>
                <w:color w:val="000000"/>
                <w:lang w:eastAsia="bg-BG"/>
              </w:rPr>
              <w:t>Финансов недостиг</w:t>
            </w:r>
          </w:p>
        </w:tc>
        <w:tc>
          <w:tcPr>
            <w:tcW w:w="1844" w:type="dxa"/>
            <w:noWrap/>
            <w:hideMark/>
          </w:tcPr>
          <w:p w:rsidR="00085A28" w:rsidRPr="00085A28" w:rsidRDefault="00085A28" w:rsidP="00085A28">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7,5</w:t>
            </w:r>
            <w:r w:rsidR="00EA0218">
              <w:rPr>
                <w:rFonts w:ascii="Calibri" w:eastAsia="Times New Roman" w:hAnsi="Calibri" w:cs="Calibri"/>
                <w:color w:val="000000"/>
                <w:lang w:eastAsia="bg-BG"/>
              </w:rPr>
              <w:t xml:space="preserve"> млрд. евро</w:t>
            </w:r>
          </w:p>
        </w:tc>
      </w:tr>
      <w:tr w:rsidR="00085A28" w:rsidRPr="00085A2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EA0218">
            <w:pPr>
              <w:rPr>
                <w:rFonts w:ascii="Calibri" w:eastAsia="Times New Roman" w:hAnsi="Calibri" w:cs="Calibri"/>
                <w:color w:val="000000"/>
                <w:lang w:eastAsia="bg-BG"/>
              </w:rPr>
            </w:pPr>
            <w:r w:rsidRPr="00085A28">
              <w:rPr>
                <w:rFonts w:ascii="Calibri" w:eastAsia="Times New Roman" w:hAnsi="Calibri" w:cs="Calibri"/>
                <w:color w:val="000000"/>
                <w:lang w:eastAsia="bg-BG"/>
              </w:rPr>
              <w:t>Наличен ресурс по ОПОС за инвестиции</w:t>
            </w:r>
          </w:p>
        </w:tc>
        <w:tc>
          <w:tcPr>
            <w:tcW w:w="1844" w:type="dxa"/>
            <w:noWrap/>
            <w:hideMark/>
          </w:tcPr>
          <w:p w:rsidR="00085A28" w:rsidRPr="00085A28" w:rsidRDefault="00085A28" w:rsidP="00085A2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1</w:t>
            </w:r>
            <w:r w:rsidR="00EA0218">
              <w:rPr>
                <w:rFonts w:ascii="Calibri" w:eastAsia="Times New Roman" w:hAnsi="Calibri" w:cs="Calibri"/>
                <w:color w:val="000000"/>
                <w:lang w:eastAsia="bg-BG"/>
              </w:rPr>
              <w:t xml:space="preserve"> млрд. евро</w:t>
            </w:r>
          </w:p>
        </w:tc>
      </w:tr>
      <w:tr w:rsidR="00085A28" w:rsidRPr="00085A2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 xml:space="preserve">Ефект на лоста </w:t>
            </w:r>
          </w:p>
        </w:tc>
        <w:tc>
          <w:tcPr>
            <w:tcW w:w="1844" w:type="dxa"/>
            <w:noWrap/>
            <w:hideMark/>
          </w:tcPr>
          <w:p w:rsidR="00085A28" w:rsidRPr="00085A28" w:rsidRDefault="00085A28" w:rsidP="00085A2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1:4</w:t>
            </w:r>
          </w:p>
        </w:tc>
      </w:tr>
      <w:tr w:rsidR="00085A28" w:rsidRPr="00085A2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БФП</w:t>
            </w:r>
          </w:p>
        </w:tc>
        <w:tc>
          <w:tcPr>
            <w:tcW w:w="1844" w:type="dxa"/>
            <w:noWrap/>
            <w:hideMark/>
          </w:tcPr>
          <w:p w:rsidR="00085A28" w:rsidRPr="00085A28" w:rsidRDefault="00EA0218" w:rsidP="00085A2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Pr>
                <w:rFonts w:ascii="Calibri" w:eastAsia="Times New Roman" w:hAnsi="Calibri" w:cs="Calibri"/>
                <w:color w:val="000000"/>
                <w:lang w:eastAsia="bg-BG"/>
              </w:rPr>
              <w:t>75%</w:t>
            </w:r>
          </w:p>
        </w:tc>
      </w:tr>
      <w:tr w:rsidR="00085A28" w:rsidRPr="00085A2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Дял на БФП във ФИ - 25%</w:t>
            </w:r>
            <w:r w:rsidR="00EA0218">
              <w:rPr>
                <w:rFonts w:ascii="Calibri" w:eastAsia="Times New Roman" w:hAnsi="Calibri" w:cs="Calibri"/>
                <w:color w:val="000000"/>
                <w:lang w:eastAsia="bg-BG"/>
              </w:rPr>
              <w:t xml:space="preserve"> от Приоритетната ос</w:t>
            </w:r>
          </w:p>
        </w:tc>
        <w:tc>
          <w:tcPr>
            <w:tcW w:w="1844" w:type="dxa"/>
            <w:noWrap/>
            <w:hideMark/>
          </w:tcPr>
          <w:p w:rsidR="00085A28" w:rsidRPr="00085A28" w:rsidRDefault="00085A28" w:rsidP="00EA021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25</w:t>
            </w:r>
            <w:r w:rsidR="00EA0218">
              <w:rPr>
                <w:rFonts w:ascii="Calibri" w:eastAsia="Times New Roman" w:hAnsi="Calibri" w:cs="Calibri"/>
                <w:color w:val="000000"/>
                <w:lang w:eastAsia="bg-BG"/>
              </w:rPr>
              <w:t>%</w:t>
            </w:r>
          </w:p>
        </w:tc>
      </w:tr>
      <w:tr w:rsidR="00085A28" w:rsidRPr="00085A2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Дял на МФИ във ФИ</w:t>
            </w:r>
          </w:p>
        </w:tc>
        <w:tc>
          <w:tcPr>
            <w:tcW w:w="1844" w:type="dxa"/>
            <w:noWrap/>
            <w:hideMark/>
          </w:tcPr>
          <w:p w:rsidR="00085A28" w:rsidRPr="00085A28" w:rsidRDefault="00085A28" w:rsidP="00085A2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1</w:t>
            </w:r>
            <w:r w:rsidR="00EA0218">
              <w:rPr>
                <w:rFonts w:ascii="Calibri" w:eastAsia="Times New Roman" w:hAnsi="Calibri" w:cs="Calibri"/>
                <w:color w:val="000000"/>
                <w:lang w:eastAsia="bg-BG"/>
              </w:rPr>
              <w:t xml:space="preserve"> млрд. евро</w:t>
            </w:r>
          </w:p>
        </w:tc>
      </w:tr>
      <w:tr w:rsidR="00085A28" w:rsidRPr="00085A2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Общ инвестиционен портфейл</w:t>
            </w:r>
          </w:p>
        </w:tc>
        <w:tc>
          <w:tcPr>
            <w:tcW w:w="1844" w:type="dxa"/>
            <w:noWrap/>
            <w:hideMark/>
          </w:tcPr>
          <w:p w:rsidR="00085A28" w:rsidRPr="00085A28" w:rsidRDefault="00085A28" w:rsidP="00085A2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2</w:t>
            </w:r>
            <w:r w:rsidR="00EA0218">
              <w:rPr>
                <w:rFonts w:ascii="Calibri" w:eastAsia="Times New Roman" w:hAnsi="Calibri" w:cs="Calibri"/>
                <w:color w:val="000000"/>
                <w:lang w:eastAsia="bg-BG"/>
              </w:rPr>
              <w:t xml:space="preserve"> млрд. евро</w:t>
            </w:r>
          </w:p>
        </w:tc>
      </w:tr>
      <w:tr w:rsidR="00085A28" w:rsidRPr="00085A2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Оставащ финансов недостиг</w:t>
            </w:r>
          </w:p>
        </w:tc>
        <w:tc>
          <w:tcPr>
            <w:tcW w:w="1844" w:type="dxa"/>
            <w:noWrap/>
            <w:hideMark/>
          </w:tcPr>
          <w:p w:rsidR="00085A28" w:rsidRPr="00085A28" w:rsidRDefault="00085A28" w:rsidP="00085A2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5,5</w:t>
            </w:r>
            <w:r w:rsidR="00EA0218">
              <w:rPr>
                <w:rFonts w:ascii="Calibri" w:eastAsia="Times New Roman" w:hAnsi="Calibri" w:cs="Calibri"/>
                <w:color w:val="000000"/>
                <w:lang w:eastAsia="bg-BG"/>
              </w:rPr>
              <w:t xml:space="preserve"> млрд. евро</w:t>
            </w:r>
          </w:p>
        </w:tc>
      </w:tr>
    </w:tbl>
    <w:p w:rsidR="00181C9C" w:rsidRPr="00085A28" w:rsidRDefault="00085A28" w:rsidP="00085A28">
      <w:pPr>
        <w:spacing w:before="240"/>
        <w:jc w:val="center"/>
        <w:rPr>
          <w:rFonts w:cs="Times New Roman"/>
        </w:rPr>
      </w:pPr>
      <w:bookmarkStart w:id="135" w:name="_Toc399494648"/>
      <w:r w:rsidRPr="00085A28">
        <w:rPr>
          <w:rFonts w:cstheme="minorHAnsi"/>
          <w:b/>
          <w:sz w:val="20"/>
          <w:szCs w:val="20"/>
        </w:rPr>
        <w:t xml:space="preserve">Фигура </w:t>
      </w:r>
      <w:r w:rsidR="008E6461" w:rsidRPr="00085A28">
        <w:rPr>
          <w:rFonts w:cstheme="minorHAnsi"/>
          <w:b/>
          <w:sz w:val="20"/>
          <w:szCs w:val="20"/>
        </w:rPr>
        <w:fldChar w:fldCharType="begin"/>
      </w:r>
      <w:r w:rsidRPr="00085A28">
        <w:rPr>
          <w:rFonts w:cstheme="minorHAnsi"/>
          <w:b/>
          <w:sz w:val="20"/>
          <w:szCs w:val="20"/>
        </w:rPr>
        <w:instrText xml:space="preserve"> SEQ фигура \* ARABIC </w:instrText>
      </w:r>
      <w:r w:rsidR="008E6461" w:rsidRPr="00085A28">
        <w:rPr>
          <w:rFonts w:cstheme="minorHAnsi"/>
          <w:b/>
          <w:sz w:val="20"/>
          <w:szCs w:val="20"/>
        </w:rPr>
        <w:fldChar w:fldCharType="separate"/>
      </w:r>
      <w:r w:rsidR="003A69A7">
        <w:rPr>
          <w:rFonts w:cstheme="minorHAnsi"/>
          <w:b/>
          <w:noProof/>
          <w:sz w:val="20"/>
          <w:szCs w:val="20"/>
        </w:rPr>
        <w:t>63</w:t>
      </w:r>
      <w:r w:rsidR="008E6461" w:rsidRPr="00085A28">
        <w:rPr>
          <w:rFonts w:cstheme="minorHAnsi"/>
          <w:b/>
          <w:sz w:val="20"/>
          <w:szCs w:val="20"/>
        </w:rPr>
        <w:fldChar w:fldCharType="end"/>
      </w:r>
      <w:r w:rsidRPr="00085A28">
        <w:rPr>
          <w:rFonts w:cstheme="minorHAnsi"/>
          <w:b/>
          <w:sz w:val="20"/>
          <w:szCs w:val="20"/>
        </w:rPr>
        <w:t>:</w:t>
      </w:r>
      <w:r w:rsidR="006659FC">
        <w:rPr>
          <w:rFonts w:cstheme="minorHAnsi"/>
          <w:b/>
          <w:sz w:val="20"/>
          <w:szCs w:val="20"/>
        </w:rPr>
        <w:t xml:space="preserve"> </w:t>
      </w:r>
      <w:r>
        <w:rPr>
          <w:rFonts w:cstheme="minorHAnsi"/>
          <w:b/>
          <w:sz w:val="20"/>
          <w:szCs w:val="20"/>
        </w:rPr>
        <w:t>Синергичен ефект І вариант – сектор ВиК</w:t>
      </w:r>
      <w:bookmarkEnd w:id="135"/>
    </w:p>
    <w:p w:rsidR="00D46218" w:rsidRDefault="00085A28" w:rsidP="00085A28">
      <w:pPr>
        <w:jc w:val="center"/>
      </w:pPr>
      <w:r>
        <w:rPr>
          <w:noProof/>
          <w:lang w:eastAsia="bg-BG"/>
        </w:rPr>
        <w:drawing>
          <wp:inline distT="0" distB="0" distL="0" distR="0">
            <wp:extent cx="3952875" cy="2379591"/>
            <wp:effectExtent l="19050" t="0" r="9525"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15" cstate="print"/>
                    <a:srcRect/>
                    <a:stretch>
                      <a:fillRect/>
                    </a:stretch>
                  </pic:blipFill>
                  <pic:spPr bwMode="auto">
                    <a:xfrm>
                      <a:off x="0" y="0"/>
                      <a:ext cx="3958327" cy="2382873"/>
                    </a:xfrm>
                    <a:prstGeom prst="rect">
                      <a:avLst/>
                    </a:prstGeom>
                    <a:noFill/>
                  </pic:spPr>
                </pic:pic>
              </a:graphicData>
            </a:graphic>
          </wp:inline>
        </w:drawing>
      </w:r>
    </w:p>
    <w:p w:rsidR="00085A28" w:rsidRDefault="00085A28" w:rsidP="00085A28">
      <w:pPr>
        <w:jc w:val="both"/>
        <w:rPr>
          <w:b/>
          <w:u w:val="single"/>
        </w:rPr>
      </w:pPr>
      <w:r w:rsidRPr="00085A28">
        <w:rPr>
          <w:b/>
          <w:u w:val="single"/>
        </w:rPr>
        <w:lastRenderedPageBreak/>
        <w:t>Вариант І</w:t>
      </w:r>
      <w:r>
        <w:rPr>
          <w:b/>
          <w:u w:val="single"/>
        </w:rPr>
        <w:t>І</w:t>
      </w:r>
    </w:p>
    <w:tbl>
      <w:tblPr>
        <w:tblStyle w:val="LightShading-Accent11"/>
        <w:tblW w:w="6998" w:type="dxa"/>
        <w:jc w:val="center"/>
        <w:tblLook w:val="04A0" w:firstRow="1" w:lastRow="0" w:firstColumn="1" w:lastColumn="0" w:noHBand="0" w:noVBand="1"/>
      </w:tblPr>
      <w:tblGrid>
        <w:gridCol w:w="5340"/>
        <w:gridCol w:w="1658"/>
      </w:tblGrid>
      <w:tr w:rsidR="00085A28" w:rsidRPr="00085A28" w:rsidTr="00EA0218">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Финансов недостиг (млрд. евро)</w:t>
            </w:r>
          </w:p>
        </w:tc>
        <w:tc>
          <w:tcPr>
            <w:tcW w:w="1658" w:type="dxa"/>
            <w:noWrap/>
            <w:hideMark/>
          </w:tcPr>
          <w:p w:rsidR="00085A28" w:rsidRPr="00085A28" w:rsidRDefault="00085A28" w:rsidP="00085A28">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7,5</w:t>
            </w:r>
            <w:r w:rsidR="00EA0218">
              <w:rPr>
                <w:rFonts w:ascii="Calibri" w:eastAsia="Times New Roman" w:hAnsi="Calibri" w:cs="Calibri"/>
                <w:color w:val="000000"/>
                <w:lang w:eastAsia="bg-BG"/>
              </w:rPr>
              <w:t>млрд. евро</w:t>
            </w:r>
          </w:p>
        </w:tc>
      </w:tr>
      <w:tr w:rsidR="00085A28" w:rsidRPr="00085A2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Наличен ресурс по ОПОС за инвестиции (млрд. евро)</w:t>
            </w:r>
          </w:p>
        </w:tc>
        <w:tc>
          <w:tcPr>
            <w:tcW w:w="1658" w:type="dxa"/>
            <w:noWrap/>
            <w:hideMark/>
          </w:tcPr>
          <w:p w:rsidR="00085A28" w:rsidRPr="00085A28" w:rsidRDefault="00085A28" w:rsidP="00085A2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1</w:t>
            </w:r>
            <w:r w:rsidR="00EA0218">
              <w:rPr>
                <w:rFonts w:ascii="Calibri" w:eastAsia="Times New Roman" w:hAnsi="Calibri" w:cs="Calibri"/>
                <w:color w:val="000000"/>
                <w:lang w:eastAsia="bg-BG"/>
              </w:rPr>
              <w:t xml:space="preserve"> млрд. евро</w:t>
            </w:r>
          </w:p>
        </w:tc>
      </w:tr>
      <w:tr w:rsidR="00085A28" w:rsidRPr="00085A2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 xml:space="preserve">Ефект на лоста </w:t>
            </w:r>
          </w:p>
        </w:tc>
        <w:tc>
          <w:tcPr>
            <w:tcW w:w="1658" w:type="dxa"/>
            <w:noWrap/>
            <w:hideMark/>
          </w:tcPr>
          <w:p w:rsidR="00085A28" w:rsidRPr="00085A28" w:rsidRDefault="00085A28" w:rsidP="00085A2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1:4</w:t>
            </w:r>
          </w:p>
        </w:tc>
      </w:tr>
      <w:tr w:rsidR="00085A28" w:rsidRPr="00085A2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БФП</w:t>
            </w:r>
          </w:p>
        </w:tc>
        <w:tc>
          <w:tcPr>
            <w:tcW w:w="1658" w:type="dxa"/>
            <w:noWrap/>
            <w:hideMark/>
          </w:tcPr>
          <w:p w:rsidR="00085A28" w:rsidRPr="00085A28" w:rsidRDefault="00EA0218" w:rsidP="00085A2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Pr>
                <w:rFonts w:ascii="Calibri" w:eastAsia="Times New Roman" w:hAnsi="Calibri" w:cs="Calibri"/>
                <w:color w:val="000000"/>
                <w:lang w:eastAsia="bg-BG"/>
              </w:rPr>
              <w:t>50%</w:t>
            </w:r>
          </w:p>
        </w:tc>
      </w:tr>
      <w:tr w:rsidR="00085A28" w:rsidRPr="00085A2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EA0218" w:rsidP="00085A28">
            <w:pPr>
              <w:rPr>
                <w:rFonts w:ascii="Calibri" w:eastAsia="Times New Roman" w:hAnsi="Calibri" w:cs="Calibri"/>
                <w:color w:val="000000"/>
                <w:lang w:eastAsia="bg-BG"/>
              </w:rPr>
            </w:pPr>
            <w:r>
              <w:rPr>
                <w:rFonts w:ascii="Calibri" w:eastAsia="Times New Roman" w:hAnsi="Calibri" w:cs="Calibri"/>
                <w:color w:val="000000"/>
                <w:lang w:eastAsia="bg-BG"/>
              </w:rPr>
              <w:t>Дял на БФП във ФИ – 50</w:t>
            </w:r>
            <w:r w:rsidR="00085A28" w:rsidRPr="00085A28">
              <w:rPr>
                <w:rFonts w:ascii="Calibri" w:eastAsia="Times New Roman" w:hAnsi="Calibri" w:cs="Calibri"/>
                <w:color w:val="000000"/>
                <w:lang w:eastAsia="bg-BG"/>
              </w:rPr>
              <w:t>%</w:t>
            </w:r>
            <w:r>
              <w:rPr>
                <w:rFonts w:ascii="Calibri" w:eastAsia="Times New Roman" w:hAnsi="Calibri" w:cs="Calibri"/>
                <w:color w:val="000000"/>
                <w:lang w:eastAsia="bg-BG"/>
              </w:rPr>
              <w:t xml:space="preserve"> от Приоритетната ос</w:t>
            </w:r>
          </w:p>
        </w:tc>
        <w:tc>
          <w:tcPr>
            <w:tcW w:w="1658" w:type="dxa"/>
            <w:noWrap/>
            <w:hideMark/>
          </w:tcPr>
          <w:p w:rsidR="00085A28" w:rsidRPr="00085A28" w:rsidRDefault="00EA0218" w:rsidP="00085A2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Pr>
                <w:rFonts w:ascii="Calibri" w:eastAsia="Times New Roman" w:hAnsi="Calibri" w:cs="Calibri"/>
                <w:color w:val="000000"/>
                <w:lang w:eastAsia="bg-BG"/>
              </w:rPr>
              <w:t>50%</w:t>
            </w:r>
          </w:p>
        </w:tc>
      </w:tr>
      <w:tr w:rsidR="00085A28" w:rsidRPr="00085A2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Дял на МФИ във ФИ</w:t>
            </w:r>
          </w:p>
        </w:tc>
        <w:tc>
          <w:tcPr>
            <w:tcW w:w="1658" w:type="dxa"/>
            <w:noWrap/>
            <w:hideMark/>
          </w:tcPr>
          <w:p w:rsidR="00085A28" w:rsidRPr="00085A28" w:rsidRDefault="00085A28" w:rsidP="00085A2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2</w:t>
            </w:r>
            <w:r w:rsidR="00EA0218">
              <w:rPr>
                <w:rFonts w:ascii="Calibri" w:eastAsia="Times New Roman" w:hAnsi="Calibri" w:cs="Calibri"/>
                <w:color w:val="000000"/>
                <w:lang w:eastAsia="bg-BG"/>
              </w:rPr>
              <w:t xml:space="preserve"> млрд. евро</w:t>
            </w:r>
          </w:p>
        </w:tc>
      </w:tr>
      <w:tr w:rsidR="00085A28" w:rsidRPr="00085A2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Общ инвестиционен портфейл</w:t>
            </w:r>
          </w:p>
        </w:tc>
        <w:tc>
          <w:tcPr>
            <w:tcW w:w="1658" w:type="dxa"/>
            <w:noWrap/>
            <w:hideMark/>
          </w:tcPr>
          <w:p w:rsidR="00085A28" w:rsidRPr="00085A28" w:rsidRDefault="00085A28" w:rsidP="00085A2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3</w:t>
            </w:r>
            <w:r w:rsidR="00EA0218">
              <w:rPr>
                <w:rFonts w:ascii="Calibri" w:eastAsia="Times New Roman" w:hAnsi="Calibri" w:cs="Calibri"/>
                <w:color w:val="000000"/>
                <w:lang w:eastAsia="bg-BG"/>
              </w:rPr>
              <w:t xml:space="preserve"> млрд. евро</w:t>
            </w:r>
          </w:p>
        </w:tc>
      </w:tr>
      <w:tr w:rsidR="00085A28" w:rsidRPr="00085A2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085A28" w:rsidRPr="00085A28" w:rsidRDefault="00085A28" w:rsidP="00085A28">
            <w:pPr>
              <w:rPr>
                <w:rFonts w:ascii="Calibri" w:eastAsia="Times New Roman" w:hAnsi="Calibri" w:cs="Calibri"/>
                <w:color w:val="000000"/>
                <w:lang w:eastAsia="bg-BG"/>
              </w:rPr>
            </w:pPr>
            <w:r w:rsidRPr="00085A28">
              <w:rPr>
                <w:rFonts w:ascii="Calibri" w:eastAsia="Times New Roman" w:hAnsi="Calibri" w:cs="Calibri"/>
                <w:color w:val="000000"/>
                <w:lang w:eastAsia="bg-BG"/>
              </w:rPr>
              <w:t>Оставащ финансов недостиг</w:t>
            </w:r>
          </w:p>
        </w:tc>
        <w:tc>
          <w:tcPr>
            <w:tcW w:w="1658" w:type="dxa"/>
            <w:noWrap/>
            <w:hideMark/>
          </w:tcPr>
          <w:p w:rsidR="00085A28" w:rsidRPr="00085A28" w:rsidRDefault="00085A28" w:rsidP="00085A2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085A28">
              <w:rPr>
                <w:rFonts w:ascii="Calibri" w:eastAsia="Times New Roman" w:hAnsi="Calibri" w:cs="Calibri"/>
                <w:color w:val="000000"/>
                <w:lang w:eastAsia="bg-BG"/>
              </w:rPr>
              <w:t>4,5</w:t>
            </w:r>
            <w:r w:rsidR="00EA0218">
              <w:rPr>
                <w:rFonts w:ascii="Calibri" w:eastAsia="Times New Roman" w:hAnsi="Calibri" w:cs="Calibri"/>
                <w:color w:val="000000"/>
                <w:lang w:eastAsia="bg-BG"/>
              </w:rPr>
              <w:t xml:space="preserve"> млрд. евро</w:t>
            </w:r>
          </w:p>
        </w:tc>
      </w:tr>
    </w:tbl>
    <w:p w:rsidR="00085A28" w:rsidRPr="00085A28" w:rsidRDefault="00085A28" w:rsidP="00085A28">
      <w:pPr>
        <w:spacing w:before="240"/>
        <w:jc w:val="center"/>
        <w:rPr>
          <w:rFonts w:cs="Times New Roman"/>
        </w:rPr>
      </w:pPr>
      <w:bookmarkStart w:id="136" w:name="_Toc399494649"/>
      <w:r w:rsidRPr="00085A28">
        <w:rPr>
          <w:rFonts w:cstheme="minorHAnsi"/>
          <w:b/>
          <w:sz w:val="20"/>
          <w:szCs w:val="20"/>
        </w:rPr>
        <w:t xml:space="preserve">Фигура </w:t>
      </w:r>
      <w:r w:rsidR="008E6461" w:rsidRPr="00085A28">
        <w:rPr>
          <w:rFonts w:cstheme="minorHAnsi"/>
          <w:b/>
          <w:sz w:val="20"/>
          <w:szCs w:val="20"/>
        </w:rPr>
        <w:fldChar w:fldCharType="begin"/>
      </w:r>
      <w:r w:rsidRPr="00085A28">
        <w:rPr>
          <w:rFonts w:cstheme="minorHAnsi"/>
          <w:b/>
          <w:sz w:val="20"/>
          <w:szCs w:val="20"/>
        </w:rPr>
        <w:instrText xml:space="preserve"> SEQ фигура \* ARABIC </w:instrText>
      </w:r>
      <w:r w:rsidR="008E6461" w:rsidRPr="00085A28">
        <w:rPr>
          <w:rFonts w:cstheme="minorHAnsi"/>
          <w:b/>
          <w:sz w:val="20"/>
          <w:szCs w:val="20"/>
        </w:rPr>
        <w:fldChar w:fldCharType="separate"/>
      </w:r>
      <w:r w:rsidR="003A69A7">
        <w:rPr>
          <w:rFonts w:cstheme="minorHAnsi"/>
          <w:b/>
          <w:noProof/>
          <w:sz w:val="20"/>
          <w:szCs w:val="20"/>
        </w:rPr>
        <w:t>64</w:t>
      </w:r>
      <w:r w:rsidR="008E6461" w:rsidRPr="00085A28">
        <w:rPr>
          <w:rFonts w:cstheme="minorHAnsi"/>
          <w:b/>
          <w:sz w:val="20"/>
          <w:szCs w:val="20"/>
        </w:rPr>
        <w:fldChar w:fldCharType="end"/>
      </w:r>
      <w:r w:rsidRPr="00085A28">
        <w:rPr>
          <w:rFonts w:cstheme="minorHAnsi"/>
          <w:b/>
          <w:sz w:val="20"/>
          <w:szCs w:val="20"/>
        </w:rPr>
        <w:t>:</w:t>
      </w:r>
      <w:r w:rsidR="006659FC">
        <w:rPr>
          <w:rFonts w:cstheme="minorHAnsi"/>
          <w:b/>
          <w:sz w:val="20"/>
          <w:szCs w:val="20"/>
        </w:rPr>
        <w:t xml:space="preserve"> </w:t>
      </w:r>
      <w:r>
        <w:rPr>
          <w:rFonts w:cstheme="minorHAnsi"/>
          <w:b/>
          <w:sz w:val="20"/>
          <w:szCs w:val="20"/>
        </w:rPr>
        <w:t>Синергичен ефект ІІ вариант – сектор ВиК</w:t>
      </w:r>
      <w:bookmarkEnd w:id="136"/>
    </w:p>
    <w:p w:rsidR="00085A28" w:rsidRPr="00085A28" w:rsidRDefault="00EA0218" w:rsidP="00085A28">
      <w:pPr>
        <w:jc w:val="center"/>
        <w:rPr>
          <w:b/>
          <w:u w:val="single"/>
        </w:rPr>
      </w:pPr>
      <w:r>
        <w:rPr>
          <w:b/>
          <w:noProof/>
          <w:u w:val="single"/>
          <w:lang w:eastAsia="bg-BG"/>
        </w:rPr>
        <w:drawing>
          <wp:inline distT="0" distB="0" distL="0" distR="0">
            <wp:extent cx="3933825" cy="2361600"/>
            <wp:effectExtent l="19050" t="0" r="9525" b="0"/>
            <wp:docPr id="30"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16" cstate="print"/>
                    <a:srcRect/>
                    <a:stretch>
                      <a:fillRect/>
                    </a:stretch>
                  </pic:blipFill>
                  <pic:spPr bwMode="auto">
                    <a:xfrm>
                      <a:off x="0" y="0"/>
                      <a:ext cx="3937090" cy="2363560"/>
                    </a:xfrm>
                    <a:prstGeom prst="rect">
                      <a:avLst/>
                    </a:prstGeom>
                    <a:noFill/>
                  </pic:spPr>
                </pic:pic>
              </a:graphicData>
            </a:graphic>
          </wp:inline>
        </w:drawing>
      </w:r>
    </w:p>
    <w:p w:rsidR="00085A28" w:rsidRDefault="00085A28" w:rsidP="00085A28">
      <w:pPr>
        <w:jc w:val="both"/>
        <w:rPr>
          <w:b/>
          <w:u w:val="single"/>
        </w:rPr>
      </w:pPr>
    </w:p>
    <w:p w:rsidR="00085A28" w:rsidRDefault="00085A28" w:rsidP="00085A28">
      <w:pPr>
        <w:jc w:val="both"/>
        <w:rPr>
          <w:b/>
          <w:u w:val="single"/>
        </w:rPr>
      </w:pPr>
      <w:r w:rsidRPr="00085A28">
        <w:rPr>
          <w:b/>
          <w:u w:val="single"/>
        </w:rPr>
        <w:t>Вариант І</w:t>
      </w:r>
      <w:r>
        <w:rPr>
          <w:b/>
          <w:u w:val="single"/>
        </w:rPr>
        <w:t>ІІ</w:t>
      </w:r>
    </w:p>
    <w:tbl>
      <w:tblPr>
        <w:tblStyle w:val="LightShading-Accent112"/>
        <w:tblW w:w="7209" w:type="dxa"/>
        <w:jc w:val="center"/>
        <w:tblLook w:val="04A0" w:firstRow="1" w:lastRow="0" w:firstColumn="1" w:lastColumn="0" w:noHBand="0" w:noVBand="1"/>
      </w:tblPr>
      <w:tblGrid>
        <w:gridCol w:w="5340"/>
        <w:gridCol w:w="1869"/>
      </w:tblGrid>
      <w:tr w:rsidR="00EA0218" w:rsidRPr="00EA0218" w:rsidTr="00EA0218">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EA0218" w:rsidRPr="00EA0218" w:rsidRDefault="00EA0218" w:rsidP="00EA0218">
            <w:pPr>
              <w:rPr>
                <w:rFonts w:ascii="Calibri" w:eastAsia="Times New Roman" w:hAnsi="Calibri" w:cs="Calibri"/>
                <w:color w:val="000000"/>
                <w:lang w:eastAsia="bg-BG"/>
              </w:rPr>
            </w:pPr>
            <w:r w:rsidRPr="00EA0218">
              <w:rPr>
                <w:rFonts w:ascii="Calibri" w:eastAsia="Times New Roman" w:hAnsi="Calibri" w:cs="Calibri"/>
                <w:color w:val="000000"/>
                <w:lang w:eastAsia="bg-BG"/>
              </w:rPr>
              <w:t>Финансов недостиг (млрд. евро)</w:t>
            </w:r>
          </w:p>
        </w:tc>
        <w:tc>
          <w:tcPr>
            <w:tcW w:w="1869" w:type="dxa"/>
            <w:noWrap/>
            <w:hideMark/>
          </w:tcPr>
          <w:p w:rsidR="00EA0218" w:rsidRPr="00EA0218" w:rsidRDefault="00EA0218" w:rsidP="00EA0218">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A0218">
              <w:rPr>
                <w:rFonts w:ascii="Calibri" w:eastAsia="Times New Roman" w:hAnsi="Calibri" w:cs="Calibri"/>
                <w:color w:val="000000"/>
                <w:lang w:eastAsia="bg-BG"/>
              </w:rPr>
              <w:t>7,5</w:t>
            </w:r>
            <w:r>
              <w:rPr>
                <w:rFonts w:ascii="Calibri" w:eastAsia="Times New Roman" w:hAnsi="Calibri" w:cs="Calibri"/>
                <w:color w:val="000000"/>
                <w:lang w:eastAsia="bg-BG"/>
              </w:rPr>
              <w:t xml:space="preserve"> млрд. евро</w:t>
            </w:r>
          </w:p>
        </w:tc>
      </w:tr>
      <w:tr w:rsidR="00EA0218" w:rsidRPr="00EA021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EA0218" w:rsidRPr="00EA0218" w:rsidRDefault="00EA0218" w:rsidP="00EA0218">
            <w:pPr>
              <w:rPr>
                <w:rFonts w:ascii="Calibri" w:eastAsia="Times New Roman" w:hAnsi="Calibri" w:cs="Calibri"/>
                <w:color w:val="000000"/>
                <w:lang w:eastAsia="bg-BG"/>
              </w:rPr>
            </w:pPr>
            <w:r w:rsidRPr="00EA0218">
              <w:rPr>
                <w:rFonts w:ascii="Calibri" w:eastAsia="Times New Roman" w:hAnsi="Calibri" w:cs="Calibri"/>
                <w:color w:val="000000"/>
                <w:lang w:eastAsia="bg-BG"/>
              </w:rPr>
              <w:t>Наличен ресурс по ОПОС за инвестиции (млрд. евро)</w:t>
            </w:r>
          </w:p>
        </w:tc>
        <w:tc>
          <w:tcPr>
            <w:tcW w:w="1869" w:type="dxa"/>
            <w:noWrap/>
            <w:hideMark/>
          </w:tcPr>
          <w:p w:rsidR="00EA0218" w:rsidRPr="00EA0218" w:rsidRDefault="00EA0218" w:rsidP="00EA021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A0218">
              <w:rPr>
                <w:rFonts w:ascii="Calibri" w:eastAsia="Times New Roman" w:hAnsi="Calibri" w:cs="Calibri"/>
                <w:color w:val="000000"/>
                <w:lang w:eastAsia="bg-BG"/>
              </w:rPr>
              <w:t>1</w:t>
            </w:r>
            <w:r>
              <w:rPr>
                <w:rFonts w:ascii="Calibri" w:eastAsia="Times New Roman" w:hAnsi="Calibri" w:cs="Calibri"/>
                <w:color w:val="000000"/>
                <w:lang w:eastAsia="bg-BG"/>
              </w:rPr>
              <w:t xml:space="preserve"> млрд. евро</w:t>
            </w:r>
          </w:p>
        </w:tc>
      </w:tr>
      <w:tr w:rsidR="00EA0218" w:rsidRPr="00EA021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EA0218" w:rsidRPr="00EA0218" w:rsidRDefault="00EA0218" w:rsidP="00EA0218">
            <w:pPr>
              <w:rPr>
                <w:rFonts w:ascii="Calibri" w:eastAsia="Times New Roman" w:hAnsi="Calibri" w:cs="Calibri"/>
                <w:color w:val="000000"/>
                <w:lang w:eastAsia="bg-BG"/>
              </w:rPr>
            </w:pPr>
            <w:r w:rsidRPr="00EA0218">
              <w:rPr>
                <w:rFonts w:ascii="Calibri" w:eastAsia="Times New Roman" w:hAnsi="Calibri" w:cs="Calibri"/>
                <w:color w:val="000000"/>
                <w:lang w:eastAsia="bg-BG"/>
              </w:rPr>
              <w:t xml:space="preserve">Ефект на лоста </w:t>
            </w:r>
          </w:p>
        </w:tc>
        <w:tc>
          <w:tcPr>
            <w:tcW w:w="1869" w:type="dxa"/>
            <w:noWrap/>
            <w:hideMark/>
          </w:tcPr>
          <w:p w:rsidR="00EA0218" w:rsidRPr="00EA0218" w:rsidRDefault="00EA0218" w:rsidP="00EA021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A0218">
              <w:rPr>
                <w:rFonts w:ascii="Calibri" w:eastAsia="Times New Roman" w:hAnsi="Calibri" w:cs="Calibri"/>
                <w:color w:val="000000"/>
                <w:lang w:eastAsia="bg-BG"/>
              </w:rPr>
              <w:t>1:4</w:t>
            </w:r>
          </w:p>
        </w:tc>
      </w:tr>
      <w:tr w:rsidR="00EA0218" w:rsidRPr="00EA021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EA0218" w:rsidRPr="00EA0218" w:rsidRDefault="00EA0218" w:rsidP="00EA0218">
            <w:pPr>
              <w:rPr>
                <w:rFonts w:ascii="Calibri" w:eastAsia="Times New Roman" w:hAnsi="Calibri" w:cs="Calibri"/>
                <w:color w:val="000000"/>
                <w:lang w:eastAsia="bg-BG"/>
              </w:rPr>
            </w:pPr>
            <w:r w:rsidRPr="00EA0218">
              <w:rPr>
                <w:rFonts w:ascii="Calibri" w:eastAsia="Times New Roman" w:hAnsi="Calibri" w:cs="Calibri"/>
                <w:color w:val="000000"/>
                <w:lang w:eastAsia="bg-BG"/>
              </w:rPr>
              <w:t>БФП</w:t>
            </w:r>
          </w:p>
        </w:tc>
        <w:tc>
          <w:tcPr>
            <w:tcW w:w="1869" w:type="dxa"/>
            <w:noWrap/>
            <w:hideMark/>
          </w:tcPr>
          <w:p w:rsidR="00EA0218" w:rsidRPr="00EA0218" w:rsidRDefault="00EA0218" w:rsidP="00EA021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Pr>
                <w:rFonts w:ascii="Calibri" w:eastAsia="Times New Roman" w:hAnsi="Calibri" w:cs="Calibri"/>
                <w:color w:val="000000"/>
                <w:lang w:eastAsia="bg-BG"/>
              </w:rPr>
              <w:t>25%</w:t>
            </w:r>
          </w:p>
        </w:tc>
      </w:tr>
      <w:tr w:rsidR="00EA0218" w:rsidRPr="00EA021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EA0218" w:rsidRPr="00EA0218" w:rsidRDefault="00EA0218" w:rsidP="00EA0218">
            <w:pPr>
              <w:rPr>
                <w:rFonts w:ascii="Calibri" w:eastAsia="Times New Roman" w:hAnsi="Calibri" w:cs="Calibri"/>
                <w:color w:val="000000"/>
                <w:lang w:eastAsia="bg-BG"/>
              </w:rPr>
            </w:pPr>
            <w:r w:rsidRPr="00EA0218">
              <w:rPr>
                <w:rFonts w:ascii="Calibri" w:eastAsia="Times New Roman" w:hAnsi="Calibri" w:cs="Calibri"/>
                <w:color w:val="000000"/>
                <w:lang w:eastAsia="bg-BG"/>
              </w:rPr>
              <w:t>Дял на БФП във ФИ - 75%</w:t>
            </w:r>
            <w:r>
              <w:rPr>
                <w:rFonts w:ascii="Calibri" w:eastAsia="Times New Roman" w:hAnsi="Calibri" w:cs="Calibri"/>
                <w:color w:val="000000"/>
                <w:lang w:eastAsia="bg-BG"/>
              </w:rPr>
              <w:t xml:space="preserve"> от Приоритетната ос</w:t>
            </w:r>
          </w:p>
        </w:tc>
        <w:tc>
          <w:tcPr>
            <w:tcW w:w="1869" w:type="dxa"/>
            <w:noWrap/>
            <w:hideMark/>
          </w:tcPr>
          <w:p w:rsidR="00EA0218" w:rsidRPr="00EA0218" w:rsidRDefault="00EA0218" w:rsidP="00EA021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Pr>
                <w:rFonts w:ascii="Calibri" w:eastAsia="Times New Roman" w:hAnsi="Calibri" w:cs="Calibri"/>
                <w:color w:val="000000"/>
                <w:lang w:eastAsia="bg-BG"/>
              </w:rPr>
              <w:t>75%</w:t>
            </w:r>
          </w:p>
        </w:tc>
      </w:tr>
      <w:tr w:rsidR="00EA0218" w:rsidRPr="00EA021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EA0218" w:rsidRPr="00EA0218" w:rsidRDefault="00EA0218" w:rsidP="00EA0218">
            <w:pPr>
              <w:rPr>
                <w:rFonts w:ascii="Calibri" w:eastAsia="Times New Roman" w:hAnsi="Calibri" w:cs="Calibri"/>
                <w:color w:val="000000"/>
                <w:lang w:eastAsia="bg-BG"/>
              </w:rPr>
            </w:pPr>
            <w:r w:rsidRPr="00EA0218">
              <w:rPr>
                <w:rFonts w:ascii="Calibri" w:eastAsia="Times New Roman" w:hAnsi="Calibri" w:cs="Calibri"/>
                <w:color w:val="000000"/>
                <w:lang w:eastAsia="bg-BG"/>
              </w:rPr>
              <w:t>Дял на МФИ във ФИ</w:t>
            </w:r>
          </w:p>
        </w:tc>
        <w:tc>
          <w:tcPr>
            <w:tcW w:w="1869" w:type="dxa"/>
            <w:noWrap/>
            <w:hideMark/>
          </w:tcPr>
          <w:p w:rsidR="00EA0218" w:rsidRPr="00EA0218" w:rsidRDefault="00EA0218" w:rsidP="00EA021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A0218">
              <w:rPr>
                <w:rFonts w:ascii="Calibri" w:eastAsia="Times New Roman" w:hAnsi="Calibri" w:cs="Calibri"/>
                <w:color w:val="000000"/>
                <w:lang w:eastAsia="bg-BG"/>
              </w:rPr>
              <w:t>3</w:t>
            </w:r>
            <w:r>
              <w:rPr>
                <w:rFonts w:ascii="Calibri" w:eastAsia="Times New Roman" w:hAnsi="Calibri" w:cs="Calibri"/>
                <w:color w:val="000000"/>
                <w:lang w:eastAsia="bg-BG"/>
              </w:rPr>
              <w:t xml:space="preserve"> млрд. евро</w:t>
            </w:r>
          </w:p>
        </w:tc>
      </w:tr>
      <w:tr w:rsidR="00EA0218" w:rsidRPr="00EA0218" w:rsidTr="00EA0218">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EA0218" w:rsidRPr="00EA0218" w:rsidRDefault="00EA0218" w:rsidP="00EA0218">
            <w:pPr>
              <w:rPr>
                <w:rFonts w:ascii="Calibri" w:eastAsia="Times New Roman" w:hAnsi="Calibri" w:cs="Calibri"/>
                <w:color w:val="000000"/>
                <w:lang w:eastAsia="bg-BG"/>
              </w:rPr>
            </w:pPr>
            <w:r w:rsidRPr="00EA0218">
              <w:rPr>
                <w:rFonts w:ascii="Calibri" w:eastAsia="Times New Roman" w:hAnsi="Calibri" w:cs="Calibri"/>
                <w:color w:val="000000"/>
                <w:lang w:eastAsia="bg-BG"/>
              </w:rPr>
              <w:t>Общ инвестиционен портфейл</w:t>
            </w:r>
          </w:p>
        </w:tc>
        <w:tc>
          <w:tcPr>
            <w:tcW w:w="1869" w:type="dxa"/>
            <w:noWrap/>
            <w:hideMark/>
          </w:tcPr>
          <w:p w:rsidR="00EA0218" w:rsidRPr="00EA0218" w:rsidRDefault="00EA0218" w:rsidP="00EA0218">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A0218">
              <w:rPr>
                <w:rFonts w:ascii="Calibri" w:eastAsia="Times New Roman" w:hAnsi="Calibri" w:cs="Calibri"/>
                <w:color w:val="000000"/>
                <w:lang w:eastAsia="bg-BG"/>
              </w:rPr>
              <w:t>4</w:t>
            </w:r>
            <w:r>
              <w:rPr>
                <w:rFonts w:ascii="Calibri" w:eastAsia="Times New Roman" w:hAnsi="Calibri" w:cs="Calibri"/>
                <w:color w:val="000000"/>
                <w:lang w:eastAsia="bg-BG"/>
              </w:rPr>
              <w:t xml:space="preserve"> млрд. евро</w:t>
            </w:r>
          </w:p>
        </w:tc>
      </w:tr>
      <w:tr w:rsidR="00EA0218" w:rsidRPr="00EA0218" w:rsidTr="00EA021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EA0218" w:rsidRPr="00EA0218" w:rsidRDefault="00EA0218" w:rsidP="00EA0218">
            <w:pPr>
              <w:rPr>
                <w:rFonts w:ascii="Calibri" w:eastAsia="Times New Roman" w:hAnsi="Calibri" w:cs="Calibri"/>
                <w:color w:val="000000"/>
                <w:lang w:eastAsia="bg-BG"/>
              </w:rPr>
            </w:pPr>
            <w:r w:rsidRPr="00EA0218">
              <w:rPr>
                <w:rFonts w:ascii="Calibri" w:eastAsia="Times New Roman" w:hAnsi="Calibri" w:cs="Calibri"/>
                <w:color w:val="000000"/>
                <w:lang w:eastAsia="bg-BG"/>
              </w:rPr>
              <w:t>Оставащ финансов недостиг</w:t>
            </w:r>
          </w:p>
        </w:tc>
        <w:tc>
          <w:tcPr>
            <w:tcW w:w="1869" w:type="dxa"/>
            <w:noWrap/>
            <w:hideMark/>
          </w:tcPr>
          <w:p w:rsidR="00EA0218" w:rsidRPr="00EA0218" w:rsidRDefault="00EA0218" w:rsidP="00EA0218">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A0218">
              <w:rPr>
                <w:rFonts w:ascii="Calibri" w:eastAsia="Times New Roman" w:hAnsi="Calibri" w:cs="Calibri"/>
                <w:color w:val="000000"/>
                <w:lang w:eastAsia="bg-BG"/>
              </w:rPr>
              <w:t>3,5</w:t>
            </w:r>
            <w:r>
              <w:rPr>
                <w:rFonts w:ascii="Calibri" w:eastAsia="Times New Roman" w:hAnsi="Calibri" w:cs="Calibri"/>
                <w:color w:val="000000"/>
                <w:lang w:eastAsia="bg-BG"/>
              </w:rPr>
              <w:t xml:space="preserve"> млрд. евро</w:t>
            </w:r>
          </w:p>
        </w:tc>
      </w:tr>
    </w:tbl>
    <w:p w:rsidR="00EA0218" w:rsidRDefault="00EA0218" w:rsidP="00EA0218">
      <w:pPr>
        <w:spacing w:before="240"/>
        <w:jc w:val="center"/>
        <w:rPr>
          <w:rFonts w:cstheme="minorHAnsi"/>
          <w:b/>
          <w:sz w:val="20"/>
          <w:szCs w:val="20"/>
        </w:rPr>
      </w:pPr>
    </w:p>
    <w:p w:rsidR="00EA0218" w:rsidRDefault="00EA0218" w:rsidP="00EA0218">
      <w:pPr>
        <w:spacing w:before="240"/>
        <w:jc w:val="center"/>
        <w:rPr>
          <w:rFonts w:cstheme="minorHAnsi"/>
          <w:b/>
          <w:sz w:val="20"/>
          <w:szCs w:val="20"/>
        </w:rPr>
      </w:pPr>
    </w:p>
    <w:p w:rsidR="00EA0218" w:rsidRDefault="00EA0218" w:rsidP="00EA0218">
      <w:pPr>
        <w:spacing w:before="240"/>
        <w:jc w:val="center"/>
        <w:rPr>
          <w:rFonts w:cstheme="minorHAnsi"/>
          <w:b/>
          <w:sz w:val="20"/>
          <w:szCs w:val="20"/>
        </w:rPr>
      </w:pPr>
    </w:p>
    <w:p w:rsidR="00EA0218" w:rsidRDefault="00EA0218" w:rsidP="004529A5">
      <w:pPr>
        <w:keepNext/>
        <w:spacing w:before="240"/>
        <w:jc w:val="center"/>
        <w:rPr>
          <w:rFonts w:cstheme="minorHAnsi"/>
          <w:b/>
          <w:sz w:val="20"/>
          <w:szCs w:val="20"/>
        </w:rPr>
      </w:pPr>
      <w:bookmarkStart w:id="137" w:name="_Toc399494650"/>
      <w:r w:rsidRPr="00085A28">
        <w:rPr>
          <w:rFonts w:cstheme="minorHAnsi"/>
          <w:b/>
          <w:sz w:val="20"/>
          <w:szCs w:val="20"/>
        </w:rPr>
        <w:lastRenderedPageBreak/>
        <w:t xml:space="preserve">Фигура </w:t>
      </w:r>
      <w:r w:rsidR="008E6461" w:rsidRPr="00085A28">
        <w:rPr>
          <w:rFonts w:cstheme="minorHAnsi"/>
          <w:b/>
          <w:sz w:val="20"/>
          <w:szCs w:val="20"/>
        </w:rPr>
        <w:fldChar w:fldCharType="begin"/>
      </w:r>
      <w:r w:rsidRPr="00085A28">
        <w:rPr>
          <w:rFonts w:cstheme="minorHAnsi"/>
          <w:b/>
          <w:sz w:val="20"/>
          <w:szCs w:val="20"/>
        </w:rPr>
        <w:instrText xml:space="preserve"> SEQ фигура \* ARABIC </w:instrText>
      </w:r>
      <w:r w:rsidR="008E6461" w:rsidRPr="00085A28">
        <w:rPr>
          <w:rFonts w:cstheme="minorHAnsi"/>
          <w:b/>
          <w:sz w:val="20"/>
          <w:szCs w:val="20"/>
        </w:rPr>
        <w:fldChar w:fldCharType="separate"/>
      </w:r>
      <w:r w:rsidR="003A69A7">
        <w:rPr>
          <w:rFonts w:cstheme="minorHAnsi"/>
          <w:b/>
          <w:noProof/>
          <w:sz w:val="20"/>
          <w:szCs w:val="20"/>
        </w:rPr>
        <w:t>65</w:t>
      </w:r>
      <w:r w:rsidR="008E6461" w:rsidRPr="00085A28">
        <w:rPr>
          <w:rFonts w:cstheme="minorHAnsi"/>
          <w:b/>
          <w:sz w:val="20"/>
          <w:szCs w:val="20"/>
        </w:rPr>
        <w:fldChar w:fldCharType="end"/>
      </w:r>
      <w:r w:rsidRPr="00085A28">
        <w:rPr>
          <w:rFonts w:cstheme="minorHAnsi"/>
          <w:b/>
          <w:sz w:val="20"/>
          <w:szCs w:val="20"/>
        </w:rPr>
        <w:t>:</w:t>
      </w:r>
      <w:r w:rsidR="006659FC">
        <w:rPr>
          <w:rFonts w:cstheme="minorHAnsi"/>
          <w:b/>
          <w:sz w:val="20"/>
          <w:szCs w:val="20"/>
        </w:rPr>
        <w:t xml:space="preserve"> </w:t>
      </w:r>
      <w:r>
        <w:rPr>
          <w:rFonts w:cstheme="minorHAnsi"/>
          <w:b/>
          <w:sz w:val="20"/>
          <w:szCs w:val="20"/>
        </w:rPr>
        <w:t>Синергичен ефект ІІІ вариант – сектор ВиК</w:t>
      </w:r>
      <w:bookmarkEnd w:id="137"/>
    </w:p>
    <w:p w:rsidR="00EA0218" w:rsidRPr="00085A28" w:rsidRDefault="00EA0218" w:rsidP="00EA0218">
      <w:pPr>
        <w:spacing w:before="240"/>
        <w:jc w:val="center"/>
        <w:rPr>
          <w:rFonts w:cs="Times New Roman"/>
        </w:rPr>
      </w:pPr>
      <w:r>
        <w:rPr>
          <w:rFonts w:cs="Times New Roman"/>
          <w:noProof/>
          <w:lang w:eastAsia="bg-BG"/>
        </w:rPr>
        <w:drawing>
          <wp:inline distT="0" distB="0" distL="0" distR="0">
            <wp:extent cx="4324350" cy="2596045"/>
            <wp:effectExtent l="1905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17" cstate="print"/>
                    <a:srcRect/>
                    <a:stretch>
                      <a:fillRect/>
                    </a:stretch>
                  </pic:blipFill>
                  <pic:spPr bwMode="auto">
                    <a:xfrm>
                      <a:off x="0" y="0"/>
                      <a:ext cx="4327939" cy="2598199"/>
                    </a:xfrm>
                    <a:prstGeom prst="rect">
                      <a:avLst/>
                    </a:prstGeom>
                    <a:noFill/>
                  </pic:spPr>
                </pic:pic>
              </a:graphicData>
            </a:graphic>
          </wp:inline>
        </w:drawing>
      </w:r>
    </w:p>
    <w:p w:rsidR="00553A5E" w:rsidRDefault="00553A5E" w:rsidP="00553A5E">
      <w:pPr>
        <w:jc w:val="both"/>
        <w:rPr>
          <w:b/>
          <w:i/>
          <w:color w:val="2E74B5" w:themeColor="accent1" w:themeShade="BF"/>
        </w:rPr>
      </w:pPr>
    </w:p>
    <w:p w:rsidR="00553A5E" w:rsidRDefault="00553A5E" w:rsidP="00553A5E">
      <w:pPr>
        <w:jc w:val="both"/>
        <w:rPr>
          <w:b/>
          <w:i/>
          <w:color w:val="2E74B5" w:themeColor="accent1" w:themeShade="BF"/>
          <w:lang w:val="en-US"/>
        </w:rPr>
      </w:pPr>
      <w:r w:rsidRPr="00D46218">
        <w:rPr>
          <w:b/>
          <w:i/>
          <w:color w:val="2E74B5" w:themeColor="accent1" w:themeShade="BF"/>
        </w:rPr>
        <w:t xml:space="preserve">Сектор </w:t>
      </w:r>
      <w:r>
        <w:rPr>
          <w:b/>
          <w:i/>
          <w:color w:val="2E74B5" w:themeColor="accent1" w:themeShade="BF"/>
        </w:rPr>
        <w:t>Отпадъци</w:t>
      </w:r>
    </w:p>
    <w:p w:rsidR="005B1DBC" w:rsidRDefault="006659FC" w:rsidP="00553A5E">
      <w:pPr>
        <w:jc w:val="both"/>
        <w:rPr>
          <w:b/>
          <w:u w:val="single"/>
        </w:rPr>
      </w:pPr>
      <w:r w:rsidRPr="006659FC">
        <w:rPr>
          <w:b/>
          <w:u w:val="single"/>
        </w:rPr>
        <w:t>Вариант І</w:t>
      </w:r>
    </w:p>
    <w:tbl>
      <w:tblPr>
        <w:tblStyle w:val="LightShading-Accent113"/>
        <w:tblW w:w="6300" w:type="dxa"/>
        <w:jc w:val="center"/>
        <w:tblLook w:val="04A0" w:firstRow="1" w:lastRow="0" w:firstColumn="1" w:lastColumn="0" w:noHBand="0" w:noVBand="1"/>
      </w:tblPr>
      <w:tblGrid>
        <w:gridCol w:w="5340"/>
        <w:gridCol w:w="960"/>
      </w:tblGrid>
      <w:tr w:rsidR="005B1DBC" w:rsidRPr="005B1DBC" w:rsidTr="005B1DBC">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5B1DBC" w:rsidRPr="005B1DBC" w:rsidRDefault="005B1DBC" w:rsidP="005B1DBC">
            <w:pPr>
              <w:rPr>
                <w:rFonts w:ascii="Calibri" w:eastAsia="Times New Roman" w:hAnsi="Calibri" w:cs="Calibri"/>
                <w:color w:val="000000"/>
                <w:lang w:eastAsia="bg-BG"/>
              </w:rPr>
            </w:pPr>
            <w:r w:rsidRPr="005B1DBC">
              <w:rPr>
                <w:rFonts w:ascii="Calibri" w:eastAsia="Times New Roman" w:hAnsi="Calibri" w:cs="Calibri"/>
                <w:color w:val="000000"/>
                <w:lang w:eastAsia="bg-BG"/>
              </w:rPr>
              <w:t>Финансов недостиг (млрд. евро)</w:t>
            </w:r>
          </w:p>
        </w:tc>
        <w:tc>
          <w:tcPr>
            <w:tcW w:w="960" w:type="dxa"/>
            <w:noWrap/>
            <w:hideMark/>
          </w:tcPr>
          <w:p w:rsidR="005B1DBC" w:rsidRPr="005B1DBC" w:rsidRDefault="005B1DBC" w:rsidP="005B1DBC">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5B1DBC">
              <w:rPr>
                <w:rFonts w:ascii="Calibri" w:eastAsia="Times New Roman" w:hAnsi="Calibri" w:cs="Calibri"/>
                <w:color w:val="000000"/>
                <w:lang w:eastAsia="bg-BG"/>
              </w:rPr>
              <w:t>1,254</w:t>
            </w:r>
          </w:p>
        </w:tc>
      </w:tr>
      <w:tr w:rsidR="005B1DBC" w:rsidRPr="005B1DBC" w:rsidTr="005B1DB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5B1DBC" w:rsidRPr="005B1DBC" w:rsidRDefault="005B1DBC" w:rsidP="005B1DBC">
            <w:pPr>
              <w:rPr>
                <w:rFonts w:ascii="Calibri" w:eastAsia="Times New Roman" w:hAnsi="Calibri" w:cs="Calibri"/>
                <w:color w:val="000000"/>
                <w:lang w:eastAsia="bg-BG"/>
              </w:rPr>
            </w:pPr>
            <w:r w:rsidRPr="005B1DBC">
              <w:rPr>
                <w:rFonts w:ascii="Calibri" w:eastAsia="Times New Roman" w:hAnsi="Calibri" w:cs="Calibri"/>
                <w:color w:val="000000"/>
                <w:lang w:eastAsia="bg-BG"/>
              </w:rPr>
              <w:t>Наличен ресурс по ОПОС за инвестиции (млрд. евро)</w:t>
            </w:r>
          </w:p>
        </w:tc>
        <w:tc>
          <w:tcPr>
            <w:tcW w:w="960" w:type="dxa"/>
            <w:noWrap/>
            <w:hideMark/>
          </w:tcPr>
          <w:p w:rsidR="005B1DBC" w:rsidRPr="005B1DBC" w:rsidRDefault="005B1DBC" w:rsidP="005B1DB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5B1DBC">
              <w:rPr>
                <w:rFonts w:ascii="Calibri" w:eastAsia="Times New Roman" w:hAnsi="Calibri" w:cs="Calibri"/>
                <w:color w:val="000000"/>
                <w:lang w:eastAsia="bg-BG"/>
              </w:rPr>
              <w:t>0,504</w:t>
            </w:r>
          </w:p>
        </w:tc>
      </w:tr>
      <w:tr w:rsidR="005B1DBC" w:rsidRPr="005B1DBC" w:rsidTr="005B1DB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5B1DBC" w:rsidRPr="005B1DBC" w:rsidRDefault="005B1DBC" w:rsidP="005B1DBC">
            <w:pPr>
              <w:rPr>
                <w:rFonts w:ascii="Calibri" w:eastAsia="Times New Roman" w:hAnsi="Calibri" w:cs="Calibri"/>
                <w:color w:val="000000"/>
                <w:lang w:eastAsia="bg-BG"/>
              </w:rPr>
            </w:pPr>
            <w:r w:rsidRPr="005B1DBC">
              <w:rPr>
                <w:rFonts w:ascii="Calibri" w:eastAsia="Times New Roman" w:hAnsi="Calibri" w:cs="Calibri"/>
                <w:color w:val="000000"/>
                <w:lang w:eastAsia="bg-BG"/>
              </w:rPr>
              <w:t xml:space="preserve">Ефект на лоста </w:t>
            </w:r>
          </w:p>
        </w:tc>
        <w:tc>
          <w:tcPr>
            <w:tcW w:w="960" w:type="dxa"/>
            <w:noWrap/>
            <w:hideMark/>
          </w:tcPr>
          <w:p w:rsidR="005B1DBC" w:rsidRPr="005B1DBC" w:rsidRDefault="005B1DBC" w:rsidP="005B1DB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5B1DBC">
              <w:rPr>
                <w:rFonts w:ascii="Calibri" w:eastAsia="Times New Roman" w:hAnsi="Calibri" w:cs="Calibri"/>
                <w:color w:val="000000"/>
                <w:lang w:eastAsia="bg-BG"/>
              </w:rPr>
              <w:t>1:5</w:t>
            </w:r>
          </w:p>
        </w:tc>
      </w:tr>
      <w:tr w:rsidR="005B1DBC" w:rsidRPr="005B1DBC" w:rsidTr="005B1DB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5B1DBC" w:rsidRPr="005B1DBC" w:rsidRDefault="005B1DBC" w:rsidP="005B1DBC">
            <w:pPr>
              <w:rPr>
                <w:rFonts w:ascii="Calibri" w:eastAsia="Times New Roman" w:hAnsi="Calibri" w:cs="Calibri"/>
                <w:color w:val="000000"/>
                <w:lang w:eastAsia="bg-BG"/>
              </w:rPr>
            </w:pPr>
            <w:r w:rsidRPr="005B1DBC">
              <w:rPr>
                <w:rFonts w:ascii="Calibri" w:eastAsia="Times New Roman" w:hAnsi="Calibri" w:cs="Calibri"/>
                <w:color w:val="000000"/>
                <w:lang w:eastAsia="bg-BG"/>
              </w:rPr>
              <w:t>БФП</w:t>
            </w:r>
          </w:p>
        </w:tc>
        <w:tc>
          <w:tcPr>
            <w:tcW w:w="960" w:type="dxa"/>
            <w:noWrap/>
            <w:hideMark/>
          </w:tcPr>
          <w:p w:rsidR="005B1DBC" w:rsidRPr="005B1DBC" w:rsidRDefault="005B1DBC" w:rsidP="005B1DB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5B1DBC">
              <w:rPr>
                <w:rFonts w:ascii="Calibri" w:eastAsia="Times New Roman" w:hAnsi="Calibri" w:cs="Calibri"/>
                <w:color w:val="000000"/>
                <w:lang w:eastAsia="bg-BG"/>
              </w:rPr>
              <w:t>0,454</w:t>
            </w:r>
          </w:p>
        </w:tc>
      </w:tr>
      <w:tr w:rsidR="005B1DBC" w:rsidRPr="005B1DBC" w:rsidTr="005B1DB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5B1DBC" w:rsidRPr="005B1DBC" w:rsidRDefault="005B1DBC" w:rsidP="005B1DBC">
            <w:pPr>
              <w:rPr>
                <w:rFonts w:ascii="Calibri" w:eastAsia="Times New Roman" w:hAnsi="Calibri" w:cs="Calibri"/>
                <w:color w:val="000000"/>
                <w:lang w:eastAsia="bg-BG"/>
              </w:rPr>
            </w:pPr>
            <w:r w:rsidRPr="005B1DBC">
              <w:rPr>
                <w:rFonts w:ascii="Calibri" w:eastAsia="Times New Roman" w:hAnsi="Calibri" w:cs="Calibri"/>
                <w:color w:val="000000"/>
                <w:lang w:eastAsia="bg-BG"/>
              </w:rPr>
              <w:t>Дя</w:t>
            </w:r>
            <w:r>
              <w:rPr>
                <w:rFonts w:ascii="Calibri" w:eastAsia="Times New Roman" w:hAnsi="Calibri" w:cs="Calibri"/>
                <w:color w:val="000000"/>
                <w:lang w:eastAsia="bg-BG"/>
              </w:rPr>
              <w:t>л на БФП във ФИ - 10% от Приори</w:t>
            </w:r>
            <w:r w:rsidRPr="005B1DBC">
              <w:rPr>
                <w:rFonts w:ascii="Calibri" w:eastAsia="Times New Roman" w:hAnsi="Calibri" w:cs="Calibri"/>
                <w:color w:val="000000"/>
                <w:lang w:eastAsia="bg-BG"/>
              </w:rPr>
              <w:t>тетната ос</w:t>
            </w:r>
          </w:p>
        </w:tc>
        <w:tc>
          <w:tcPr>
            <w:tcW w:w="960" w:type="dxa"/>
            <w:noWrap/>
            <w:hideMark/>
          </w:tcPr>
          <w:p w:rsidR="005B1DBC" w:rsidRPr="005B1DBC" w:rsidRDefault="005B1DBC" w:rsidP="005B1DB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5B1DBC">
              <w:rPr>
                <w:rFonts w:ascii="Calibri" w:eastAsia="Times New Roman" w:hAnsi="Calibri" w:cs="Calibri"/>
                <w:color w:val="000000"/>
                <w:lang w:eastAsia="bg-BG"/>
              </w:rPr>
              <w:t>0,050</w:t>
            </w:r>
          </w:p>
        </w:tc>
      </w:tr>
      <w:tr w:rsidR="005B1DBC" w:rsidRPr="005B1DBC" w:rsidTr="005B1DB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5B1DBC" w:rsidRPr="005B1DBC" w:rsidRDefault="005B1DBC" w:rsidP="005B1DBC">
            <w:pPr>
              <w:rPr>
                <w:rFonts w:ascii="Calibri" w:eastAsia="Times New Roman" w:hAnsi="Calibri" w:cs="Calibri"/>
                <w:color w:val="000000"/>
                <w:lang w:eastAsia="bg-BG"/>
              </w:rPr>
            </w:pPr>
            <w:r w:rsidRPr="005B1DBC">
              <w:rPr>
                <w:rFonts w:ascii="Calibri" w:eastAsia="Times New Roman" w:hAnsi="Calibri" w:cs="Calibri"/>
                <w:color w:val="000000"/>
                <w:lang w:eastAsia="bg-BG"/>
              </w:rPr>
              <w:t>Дял на финансови институции във ФИ</w:t>
            </w:r>
          </w:p>
        </w:tc>
        <w:tc>
          <w:tcPr>
            <w:tcW w:w="960" w:type="dxa"/>
            <w:noWrap/>
            <w:hideMark/>
          </w:tcPr>
          <w:p w:rsidR="005B1DBC" w:rsidRPr="005B1DBC" w:rsidRDefault="005B1DBC" w:rsidP="005B1DB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5B1DBC">
              <w:rPr>
                <w:rFonts w:ascii="Calibri" w:eastAsia="Times New Roman" w:hAnsi="Calibri" w:cs="Calibri"/>
                <w:color w:val="000000"/>
                <w:lang w:eastAsia="bg-BG"/>
              </w:rPr>
              <w:t>0,252</w:t>
            </w:r>
          </w:p>
        </w:tc>
      </w:tr>
      <w:tr w:rsidR="005B1DBC" w:rsidRPr="005B1DBC" w:rsidTr="005B1DB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5B1DBC" w:rsidRPr="005B1DBC" w:rsidRDefault="005B1DBC" w:rsidP="005B1DBC">
            <w:pPr>
              <w:rPr>
                <w:rFonts w:ascii="Calibri" w:eastAsia="Times New Roman" w:hAnsi="Calibri" w:cs="Calibri"/>
                <w:color w:val="000000"/>
                <w:lang w:eastAsia="bg-BG"/>
              </w:rPr>
            </w:pPr>
            <w:r w:rsidRPr="005B1DBC">
              <w:rPr>
                <w:rFonts w:ascii="Calibri" w:eastAsia="Times New Roman" w:hAnsi="Calibri" w:cs="Calibri"/>
                <w:color w:val="000000"/>
                <w:lang w:eastAsia="bg-BG"/>
              </w:rPr>
              <w:t>Общ инвестиционен портфейл</w:t>
            </w:r>
          </w:p>
        </w:tc>
        <w:tc>
          <w:tcPr>
            <w:tcW w:w="960" w:type="dxa"/>
            <w:noWrap/>
            <w:hideMark/>
          </w:tcPr>
          <w:p w:rsidR="005B1DBC" w:rsidRPr="005B1DBC" w:rsidRDefault="005B1DBC" w:rsidP="005B1DB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5B1DBC">
              <w:rPr>
                <w:rFonts w:ascii="Calibri" w:eastAsia="Times New Roman" w:hAnsi="Calibri" w:cs="Calibri"/>
                <w:color w:val="000000"/>
                <w:lang w:eastAsia="bg-BG"/>
              </w:rPr>
              <w:t>0,756</w:t>
            </w:r>
          </w:p>
        </w:tc>
      </w:tr>
      <w:tr w:rsidR="005B1DBC" w:rsidRPr="005B1DBC" w:rsidTr="005B1DB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5B1DBC" w:rsidRPr="005B1DBC" w:rsidRDefault="005B1DBC" w:rsidP="005B1DBC">
            <w:pPr>
              <w:rPr>
                <w:rFonts w:ascii="Calibri" w:eastAsia="Times New Roman" w:hAnsi="Calibri" w:cs="Calibri"/>
                <w:color w:val="000000"/>
                <w:lang w:eastAsia="bg-BG"/>
              </w:rPr>
            </w:pPr>
            <w:r w:rsidRPr="005B1DBC">
              <w:rPr>
                <w:rFonts w:ascii="Calibri" w:eastAsia="Times New Roman" w:hAnsi="Calibri" w:cs="Calibri"/>
                <w:color w:val="000000"/>
                <w:lang w:eastAsia="bg-BG"/>
              </w:rPr>
              <w:t>Оставащ финансов недостиг</w:t>
            </w:r>
          </w:p>
        </w:tc>
        <w:tc>
          <w:tcPr>
            <w:tcW w:w="960" w:type="dxa"/>
            <w:noWrap/>
            <w:hideMark/>
          </w:tcPr>
          <w:p w:rsidR="005B1DBC" w:rsidRPr="005B1DBC" w:rsidRDefault="005B1DBC" w:rsidP="005B1DB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5B1DBC">
              <w:rPr>
                <w:rFonts w:ascii="Calibri" w:eastAsia="Times New Roman" w:hAnsi="Calibri" w:cs="Calibri"/>
                <w:color w:val="000000"/>
                <w:lang w:eastAsia="bg-BG"/>
              </w:rPr>
              <w:t>0,498</w:t>
            </w:r>
          </w:p>
        </w:tc>
      </w:tr>
    </w:tbl>
    <w:p w:rsidR="006659FC" w:rsidRDefault="006659FC" w:rsidP="004529A5">
      <w:pPr>
        <w:keepNext/>
        <w:spacing w:before="240"/>
        <w:jc w:val="center"/>
        <w:rPr>
          <w:rFonts w:cstheme="minorHAnsi"/>
          <w:b/>
          <w:sz w:val="20"/>
          <w:szCs w:val="20"/>
        </w:rPr>
      </w:pPr>
      <w:bookmarkStart w:id="138" w:name="_Toc399494651"/>
      <w:r w:rsidRPr="00085A28">
        <w:rPr>
          <w:rFonts w:cstheme="minorHAnsi"/>
          <w:b/>
          <w:sz w:val="20"/>
          <w:szCs w:val="20"/>
        </w:rPr>
        <w:lastRenderedPageBreak/>
        <w:t xml:space="preserve">Фигура </w:t>
      </w:r>
      <w:r w:rsidR="008E6461" w:rsidRPr="00085A28">
        <w:rPr>
          <w:rFonts w:cstheme="minorHAnsi"/>
          <w:b/>
          <w:sz w:val="20"/>
          <w:szCs w:val="20"/>
        </w:rPr>
        <w:fldChar w:fldCharType="begin"/>
      </w:r>
      <w:r w:rsidRPr="00085A28">
        <w:rPr>
          <w:rFonts w:cstheme="minorHAnsi"/>
          <w:b/>
          <w:sz w:val="20"/>
          <w:szCs w:val="20"/>
        </w:rPr>
        <w:instrText xml:space="preserve"> SEQ фигура \* ARABIC </w:instrText>
      </w:r>
      <w:r w:rsidR="008E6461" w:rsidRPr="00085A28">
        <w:rPr>
          <w:rFonts w:cstheme="minorHAnsi"/>
          <w:b/>
          <w:sz w:val="20"/>
          <w:szCs w:val="20"/>
        </w:rPr>
        <w:fldChar w:fldCharType="separate"/>
      </w:r>
      <w:r w:rsidR="003A69A7">
        <w:rPr>
          <w:rFonts w:cstheme="minorHAnsi"/>
          <w:b/>
          <w:noProof/>
          <w:sz w:val="20"/>
          <w:szCs w:val="20"/>
        </w:rPr>
        <w:t>66</w:t>
      </w:r>
      <w:r w:rsidR="008E6461" w:rsidRPr="00085A28">
        <w:rPr>
          <w:rFonts w:cstheme="minorHAnsi"/>
          <w:b/>
          <w:sz w:val="20"/>
          <w:szCs w:val="20"/>
        </w:rPr>
        <w:fldChar w:fldCharType="end"/>
      </w:r>
      <w:r w:rsidRPr="00085A28">
        <w:rPr>
          <w:rFonts w:cstheme="minorHAnsi"/>
          <w:b/>
          <w:sz w:val="20"/>
          <w:szCs w:val="20"/>
        </w:rPr>
        <w:t>:</w:t>
      </w:r>
      <w:r>
        <w:rPr>
          <w:rFonts w:cstheme="minorHAnsi"/>
          <w:b/>
          <w:sz w:val="20"/>
          <w:szCs w:val="20"/>
        </w:rPr>
        <w:t xml:space="preserve"> Синергичен ефект І вариант – сектор Отпадъци</w:t>
      </w:r>
      <w:bookmarkEnd w:id="138"/>
    </w:p>
    <w:p w:rsidR="005B1DBC" w:rsidRDefault="005B1DBC" w:rsidP="00085A28">
      <w:pPr>
        <w:jc w:val="center"/>
      </w:pPr>
      <w:r>
        <w:rPr>
          <w:noProof/>
          <w:lang w:eastAsia="bg-BG"/>
        </w:rPr>
        <w:drawing>
          <wp:inline distT="0" distB="0" distL="0" distR="0">
            <wp:extent cx="4400550" cy="2641790"/>
            <wp:effectExtent l="19050" t="0" r="0" b="0"/>
            <wp:docPr id="29"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18" cstate="print"/>
                    <a:srcRect/>
                    <a:stretch>
                      <a:fillRect/>
                    </a:stretch>
                  </pic:blipFill>
                  <pic:spPr bwMode="auto">
                    <a:xfrm>
                      <a:off x="0" y="0"/>
                      <a:ext cx="4404202" cy="2643982"/>
                    </a:xfrm>
                    <a:prstGeom prst="rect">
                      <a:avLst/>
                    </a:prstGeom>
                    <a:noFill/>
                  </pic:spPr>
                </pic:pic>
              </a:graphicData>
            </a:graphic>
          </wp:inline>
        </w:drawing>
      </w:r>
    </w:p>
    <w:p w:rsidR="006659FC" w:rsidRDefault="006659FC" w:rsidP="006659FC">
      <w:pPr>
        <w:spacing w:before="240"/>
        <w:jc w:val="both"/>
        <w:rPr>
          <w:b/>
          <w:u w:val="single"/>
        </w:rPr>
      </w:pPr>
      <w:r w:rsidRPr="006659FC">
        <w:rPr>
          <w:b/>
          <w:u w:val="single"/>
        </w:rPr>
        <w:t>Вариант І</w:t>
      </w:r>
      <w:r>
        <w:rPr>
          <w:b/>
          <w:u w:val="single"/>
        </w:rPr>
        <w:t>І</w:t>
      </w:r>
    </w:p>
    <w:tbl>
      <w:tblPr>
        <w:tblStyle w:val="LightShading-Accent113"/>
        <w:tblW w:w="6300" w:type="dxa"/>
        <w:jc w:val="center"/>
        <w:tblLook w:val="04A0" w:firstRow="1" w:lastRow="0" w:firstColumn="1" w:lastColumn="0" w:noHBand="0" w:noVBand="1"/>
      </w:tblPr>
      <w:tblGrid>
        <w:gridCol w:w="5340"/>
        <w:gridCol w:w="960"/>
      </w:tblGrid>
      <w:tr w:rsidR="006659FC" w:rsidRPr="006659FC" w:rsidTr="006659FC">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Финансов недостиг (млрд. евро)</w:t>
            </w:r>
          </w:p>
        </w:tc>
        <w:tc>
          <w:tcPr>
            <w:tcW w:w="960" w:type="dxa"/>
            <w:noWrap/>
            <w:hideMark/>
          </w:tcPr>
          <w:p w:rsidR="006659FC" w:rsidRPr="006659FC" w:rsidRDefault="006659FC" w:rsidP="006659FC">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1,254</w:t>
            </w:r>
          </w:p>
        </w:tc>
      </w:tr>
      <w:tr w:rsidR="006659FC" w:rsidRPr="006659FC" w:rsidTr="006659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Наличен ресурс по ОПОС за инвестиции (млрд. евро)</w:t>
            </w:r>
          </w:p>
        </w:tc>
        <w:tc>
          <w:tcPr>
            <w:tcW w:w="960" w:type="dxa"/>
            <w:noWrap/>
            <w:hideMark/>
          </w:tcPr>
          <w:p w:rsidR="006659FC" w:rsidRPr="006659FC" w:rsidRDefault="006659FC" w:rsidP="006659F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0,504</w:t>
            </w:r>
          </w:p>
        </w:tc>
      </w:tr>
      <w:tr w:rsidR="006659FC" w:rsidRPr="006659FC" w:rsidTr="006659F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 xml:space="preserve">Ефект на лоста </w:t>
            </w:r>
          </w:p>
        </w:tc>
        <w:tc>
          <w:tcPr>
            <w:tcW w:w="960" w:type="dxa"/>
            <w:noWrap/>
            <w:hideMark/>
          </w:tcPr>
          <w:p w:rsidR="006659FC" w:rsidRPr="006659FC" w:rsidRDefault="006659FC" w:rsidP="006659F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1:5</w:t>
            </w:r>
          </w:p>
        </w:tc>
      </w:tr>
      <w:tr w:rsidR="006659FC" w:rsidRPr="006659FC" w:rsidTr="006659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БФП</w:t>
            </w:r>
          </w:p>
        </w:tc>
        <w:tc>
          <w:tcPr>
            <w:tcW w:w="960" w:type="dxa"/>
            <w:noWrap/>
            <w:hideMark/>
          </w:tcPr>
          <w:p w:rsidR="006659FC" w:rsidRPr="006659FC" w:rsidRDefault="006659FC" w:rsidP="006659F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0,403</w:t>
            </w:r>
          </w:p>
        </w:tc>
      </w:tr>
      <w:tr w:rsidR="006659FC" w:rsidRPr="006659FC" w:rsidTr="006659F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Дял на БФП във ФИ - 20% от Приоритетната ос</w:t>
            </w:r>
          </w:p>
        </w:tc>
        <w:tc>
          <w:tcPr>
            <w:tcW w:w="960" w:type="dxa"/>
            <w:noWrap/>
            <w:hideMark/>
          </w:tcPr>
          <w:p w:rsidR="006659FC" w:rsidRPr="006659FC" w:rsidRDefault="006659FC" w:rsidP="006659F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0,101</w:t>
            </w:r>
          </w:p>
        </w:tc>
      </w:tr>
      <w:tr w:rsidR="006659FC" w:rsidRPr="006659FC" w:rsidTr="006659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Дял на финансови институции във ФИ</w:t>
            </w:r>
          </w:p>
        </w:tc>
        <w:tc>
          <w:tcPr>
            <w:tcW w:w="960" w:type="dxa"/>
            <w:noWrap/>
            <w:hideMark/>
          </w:tcPr>
          <w:p w:rsidR="006659FC" w:rsidRPr="006659FC" w:rsidRDefault="006659FC" w:rsidP="006659F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0,504</w:t>
            </w:r>
          </w:p>
        </w:tc>
      </w:tr>
      <w:tr w:rsidR="006659FC" w:rsidRPr="006659FC" w:rsidTr="006659F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Общ инвестиционен портфейл</w:t>
            </w:r>
          </w:p>
        </w:tc>
        <w:tc>
          <w:tcPr>
            <w:tcW w:w="960" w:type="dxa"/>
            <w:noWrap/>
            <w:hideMark/>
          </w:tcPr>
          <w:p w:rsidR="006659FC" w:rsidRPr="006659FC" w:rsidRDefault="006659FC" w:rsidP="006659F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1,008</w:t>
            </w:r>
          </w:p>
        </w:tc>
      </w:tr>
      <w:tr w:rsidR="006659FC" w:rsidRPr="006659FC" w:rsidTr="006659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Оставащ финансов недостиг</w:t>
            </w:r>
          </w:p>
        </w:tc>
        <w:tc>
          <w:tcPr>
            <w:tcW w:w="960" w:type="dxa"/>
            <w:noWrap/>
            <w:hideMark/>
          </w:tcPr>
          <w:p w:rsidR="006659FC" w:rsidRPr="006659FC" w:rsidRDefault="006659FC" w:rsidP="006659F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0,246</w:t>
            </w:r>
          </w:p>
        </w:tc>
      </w:tr>
    </w:tbl>
    <w:p w:rsidR="006659FC" w:rsidRPr="006659FC" w:rsidRDefault="006659FC" w:rsidP="00085A28">
      <w:pPr>
        <w:jc w:val="center"/>
      </w:pPr>
    </w:p>
    <w:p w:rsidR="006659FC" w:rsidRDefault="006659FC" w:rsidP="006659FC">
      <w:pPr>
        <w:spacing w:before="240"/>
        <w:jc w:val="center"/>
        <w:rPr>
          <w:rFonts w:cstheme="minorHAnsi"/>
          <w:b/>
          <w:sz w:val="20"/>
          <w:szCs w:val="20"/>
        </w:rPr>
      </w:pPr>
      <w:bookmarkStart w:id="139" w:name="_Toc399494652"/>
      <w:r w:rsidRPr="00085A28">
        <w:rPr>
          <w:rFonts w:cstheme="minorHAnsi"/>
          <w:b/>
          <w:sz w:val="20"/>
          <w:szCs w:val="20"/>
        </w:rPr>
        <w:t xml:space="preserve">Фигура </w:t>
      </w:r>
      <w:r w:rsidR="008E6461" w:rsidRPr="00085A28">
        <w:rPr>
          <w:rFonts w:cstheme="minorHAnsi"/>
          <w:b/>
          <w:sz w:val="20"/>
          <w:szCs w:val="20"/>
        </w:rPr>
        <w:fldChar w:fldCharType="begin"/>
      </w:r>
      <w:r w:rsidRPr="00085A28">
        <w:rPr>
          <w:rFonts w:cstheme="minorHAnsi"/>
          <w:b/>
          <w:sz w:val="20"/>
          <w:szCs w:val="20"/>
        </w:rPr>
        <w:instrText xml:space="preserve"> SEQ фигура \* ARABIC </w:instrText>
      </w:r>
      <w:r w:rsidR="008E6461" w:rsidRPr="00085A28">
        <w:rPr>
          <w:rFonts w:cstheme="minorHAnsi"/>
          <w:b/>
          <w:sz w:val="20"/>
          <w:szCs w:val="20"/>
        </w:rPr>
        <w:fldChar w:fldCharType="separate"/>
      </w:r>
      <w:r w:rsidR="003A69A7">
        <w:rPr>
          <w:rFonts w:cstheme="minorHAnsi"/>
          <w:b/>
          <w:noProof/>
          <w:sz w:val="20"/>
          <w:szCs w:val="20"/>
        </w:rPr>
        <w:t>67</w:t>
      </w:r>
      <w:r w:rsidR="008E6461" w:rsidRPr="00085A28">
        <w:rPr>
          <w:rFonts w:cstheme="minorHAnsi"/>
          <w:b/>
          <w:sz w:val="20"/>
          <w:szCs w:val="20"/>
        </w:rPr>
        <w:fldChar w:fldCharType="end"/>
      </w:r>
      <w:r w:rsidRPr="00085A28">
        <w:rPr>
          <w:rFonts w:cstheme="minorHAnsi"/>
          <w:b/>
          <w:sz w:val="20"/>
          <w:szCs w:val="20"/>
        </w:rPr>
        <w:t>:</w:t>
      </w:r>
      <w:r>
        <w:rPr>
          <w:rFonts w:cstheme="minorHAnsi"/>
          <w:b/>
          <w:sz w:val="20"/>
          <w:szCs w:val="20"/>
        </w:rPr>
        <w:t xml:space="preserve"> Синергичен ефект ІІ вариант – сектор Отпадъци</w:t>
      </w:r>
      <w:bookmarkEnd w:id="139"/>
    </w:p>
    <w:p w:rsidR="00553A5E" w:rsidRDefault="006659FC" w:rsidP="00085A28">
      <w:pPr>
        <w:jc w:val="center"/>
      </w:pPr>
      <w:r>
        <w:rPr>
          <w:noProof/>
          <w:lang w:eastAsia="bg-BG"/>
        </w:rPr>
        <w:drawing>
          <wp:inline distT="0" distB="0" distL="0" distR="0">
            <wp:extent cx="4188683" cy="2514600"/>
            <wp:effectExtent l="19050" t="0" r="2317" b="0"/>
            <wp:docPr id="31"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19" cstate="print"/>
                    <a:srcRect/>
                    <a:stretch>
                      <a:fillRect/>
                    </a:stretch>
                  </pic:blipFill>
                  <pic:spPr bwMode="auto">
                    <a:xfrm>
                      <a:off x="0" y="0"/>
                      <a:ext cx="4192160" cy="2516687"/>
                    </a:xfrm>
                    <a:prstGeom prst="rect">
                      <a:avLst/>
                    </a:prstGeom>
                    <a:noFill/>
                  </pic:spPr>
                </pic:pic>
              </a:graphicData>
            </a:graphic>
          </wp:inline>
        </w:drawing>
      </w:r>
    </w:p>
    <w:p w:rsidR="006659FC" w:rsidRDefault="006659FC" w:rsidP="006659FC">
      <w:pPr>
        <w:spacing w:before="240"/>
        <w:jc w:val="both"/>
        <w:rPr>
          <w:b/>
          <w:u w:val="single"/>
        </w:rPr>
      </w:pPr>
      <w:r w:rsidRPr="006659FC">
        <w:rPr>
          <w:b/>
          <w:u w:val="single"/>
        </w:rPr>
        <w:lastRenderedPageBreak/>
        <w:t>Вариант І</w:t>
      </w:r>
      <w:r>
        <w:rPr>
          <w:b/>
          <w:u w:val="single"/>
        </w:rPr>
        <w:t>ІІ</w:t>
      </w:r>
    </w:p>
    <w:tbl>
      <w:tblPr>
        <w:tblStyle w:val="LightShading-Accent113"/>
        <w:tblW w:w="6300" w:type="dxa"/>
        <w:jc w:val="center"/>
        <w:tblLook w:val="04A0" w:firstRow="1" w:lastRow="0" w:firstColumn="1" w:lastColumn="0" w:noHBand="0" w:noVBand="1"/>
      </w:tblPr>
      <w:tblGrid>
        <w:gridCol w:w="5340"/>
        <w:gridCol w:w="960"/>
      </w:tblGrid>
      <w:tr w:rsidR="006659FC" w:rsidRPr="006659FC" w:rsidTr="006659FC">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Финансов недостиг (млрд. евро)</w:t>
            </w:r>
          </w:p>
        </w:tc>
        <w:tc>
          <w:tcPr>
            <w:tcW w:w="960" w:type="dxa"/>
            <w:noWrap/>
            <w:hideMark/>
          </w:tcPr>
          <w:p w:rsidR="006659FC" w:rsidRPr="006659FC" w:rsidRDefault="006659FC" w:rsidP="006659FC">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1,254</w:t>
            </w:r>
          </w:p>
        </w:tc>
      </w:tr>
      <w:tr w:rsidR="006659FC" w:rsidRPr="006659FC" w:rsidTr="006659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Наличен ресурс по ОПОС за инвестиции (млрд. евро)</w:t>
            </w:r>
          </w:p>
        </w:tc>
        <w:tc>
          <w:tcPr>
            <w:tcW w:w="960" w:type="dxa"/>
            <w:noWrap/>
            <w:hideMark/>
          </w:tcPr>
          <w:p w:rsidR="006659FC" w:rsidRPr="006659FC" w:rsidRDefault="006659FC" w:rsidP="006659F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0,504</w:t>
            </w:r>
          </w:p>
        </w:tc>
      </w:tr>
      <w:tr w:rsidR="006659FC" w:rsidRPr="006659FC" w:rsidTr="006659F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 xml:space="preserve">Ефект на лоста </w:t>
            </w:r>
          </w:p>
        </w:tc>
        <w:tc>
          <w:tcPr>
            <w:tcW w:w="960" w:type="dxa"/>
            <w:noWrap/>
            <w:hideMark/>
          </w:tcPr>
          <w:p w:rsidR="006659FC" w:rsidRPr="006659FC" w:rsidRDefault="006659FC" w:rsidP="006659F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1:5</w:t>
            </w:r>
          </w:p>
        </w:tc>
      </w:tr>
      <w:tr w:rsidR="006659FC" w:rsidRPr="006659FC" w:rsidTr="006659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БФП</w:t>
            </w:r>
          </w:p>
        </w:tc>
        <w:tc>
          <w:tcPr>
            <w:tcW w:w="960" w:type="dxa"/>
            <w:noWrap/>
            <w:hideMark/>
          </w:tcPr>
          <w:p w:rsidR="006659FC" w:rsidRPr="006659FC" w:rsidRDefault="006659FC" w:rsidP="006659F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0,353</w:t>
            </w:r>
          </w:p>
        </w:tc>
      </w:tr>
      <w:tr w:rsidR="006659FC" w:rsidRPr="006659FC" w:rsidTr="006659F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Дял на БФП във ФИ - 30% от Приоритетната ос</w:t>
            </w:r>
          </w:p>
        </w:tc>
        <w:tc>
          <w:tcPr>
            <w:tcW w:w="960" w:type="dxa"/>
            <w:noWrap/>
            <w:hideMark/>
          </w:tcPr>
          <w:p w:rsidR="006659FC" w:rsidRPr="006659FC" w:rsidRDefault="006659FC" w:rsidP="006659F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0,151</w:t>
            </w:r>
          </w:p>
        </w:tc>
      </w:tr>
      <w:tr w:rsidR="006659FC" w:rsidRPr="006659FC" w:rsidTr="006659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Дял на финансови институции във ФИ</w:t>
            </w:r>
          </w:p>
        </w:tc>
        <w:tc>
          <w:tcPr>
            <w:tcW w:w="960" w:type="dxa"/>
            <w:noWrap/>
            <w:hideMark/>
          </w:tcPr>
          <w:p w:rsidR="006659FC" w:rsidRPr="006659FC" w:rsidRDefault="006659FC" w:rsidP="006659F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0,756</w:t>
            </w:r>
          </w:p>
        </w:tc>
      </w:tr>
      <w:tr w:rsidR="006659FC" w:rsidRPr="006659FC" w:rsidTr="006659FC">
        <w:trPr>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Общ инвестиционен портфейл</w:t>
            </w:r>
          </w:p>
        </w:tc>
        <w:tc>
          <w:tcPr>
            <w:tcW w:w="960" w:type="dxa"/>
            <w:noWrap/>
            <w:hideMark/>
          </w:tcPr>
          <w:p w:rsidR="006659FC" w:rsidRPr="006659FC" w:rsidRDefault="006659FC" w:rsidP="006659FC">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1,260</w:t>
            </w:r>
          </w:p>
        </w:tc>
      </w:tr>
      <w:tr w:rsidR="006659FC" w:rsidRPr="006659FC" w:rsidTr="006659F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5340" w:type="dxa"/>
            <w:noWrap/>
            <w:hideMark/>
          </w:tcPr>
          <w:p w:rsidR="006659FC" w:rsidRPr="006659FC" w:rsidRDefault="006659FC" w:rsidP="006659FC">
            <w:pPr>
              <w:rPr>
                <w:rFonts w:ascii="Calibri" w:eastAsia="Times New Roman" w:hAnsi="Calibri" w:cs="Calibri"/>
                <w:color w:val="000000"/>
                <w:lang w:eastAsia="bg-BG"/>
              </w:rPr>
            </w:pPr>
            <w:r w:rsidRPr="006659FC">
              <w:rPr>
                <w:rFonts w:ascii="Calibri" w:eastAsia="Times New Roman" w:hAnsi="Calibri" w:cs="Calibri"/>
                <w:color w:val="000000"/>
                <w:lang w:eastAsia="bg-BG"/>
              </w:rPr>
              <w:t>Оставащ финансов недостиг</w:t>
            </w:r>
          </w:p>
        </w:tc>
        <w:tc>
          <w:tcPr>
            <w:tcW w:w="960" w:type="dxa"/>
            <w:noWrap/>
            <w:hideMark/>
          </w:tcPr>
          <w:p w:rsidR="006659FC" w:rsidRPr="006659FC" w:rsidRDefault="006659FC" w:rsidP="006659FC">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6659FC">
              <w:rPr>
                <w:rFonts w:ascii="Calibri" w:eastAsia="Times New Roman" w:hAnsi="Calibri" w:cs="Calibri"/>
                <w:color w:val="000000"/>
                <w:lang w:eastAsia="bg-BG"/>
              </w:rPr>
              <w:t>0,000</w:t>
            </w:r>
          </w:p>
        </w:tc>
      </w:tr>
    </w:tbl>
    <w:p w:rsidR="006659FC" w:rsidRDefault="006659FC" w:rsidP="006659FC">
      <w:pPr>
        <w:spacing w:before="240"/>
        <w:jc w:val="center"/>
        <w:rPr>
          <w:rFonts w:cstheme="minorHAnsi"/>
          <w:b/>
          <w:sz w:val="20"/>
          <w:szCs w:val="20"/>
        </w:rPr>
      </w:pPr>
      <w:bookmarkStart w:id="140" w:name="_Toc399494653"/>
      <w:r w:rsidRPr="00085A28">
        <w:rPr>
          <w:rFonts w:cstheme="minorHAnsi"/>
          <w:b/>
          <w:sz w:val="20"/>
          <w:szCs w:val="20"/>
        </w:rPr>
        <w:t xml:space="preserve">Фигура </w:t>
      </w:r>
      <w:r w:rsidR="008E6461" w:rsidRPr="00085A28">
        <w:rPr>
          <w:rFonts w:cstheme="minorHAnsi"/>
          <w:b/>
          <w:sz w:val="20"/>
          <w:szCs w:val="20"/>
        </w:rPr>
        <w:fldChar w:fldCharType="begin"/>
      </w:r>
      <w:r w:rsidRPr="00085A28">
        <w:rPr>
          <w:rFonts w:cstheme="minorHAnsi"/>
          <w:b/>
          <w:sz w:val="20"/>
          <w:szCs w:val="20"/>
        </w:rPr>
        <w:instrText xml:space="preserve"> SEQ фигура \* ARABIC </w:instrText>
      </w:r>
      <w:r w:rsidR="008E6461" w:rsidRPr="00085A28">
        <w:rPr>
          <w:rFonts w:cstheme="minorHAnsi"/>
          <w:b/>
          <w:sz w:val="20"/>
          <w:szCs w:val="20"/>
        </w:rPr>
        <w:fldChar w:fldCharType="separate"/>
      </w:r>
      <w:r w:rsidR="003A69A7">
        <w:rPr>
          <w:rFonts w:cstheme="minorHAnsi"/>
          <w:b/>
          <w:noProof/>
          <w:sz w:val="20"/>
          <w:szCs w:val="20"/>
        </w:rPr>
        <w:t>68</w:t>
      </w:r>
      <w:r w:rsidR="008E6461" w:rsidRPr="00085A28">
        <w:rPr>
          <w:rFonts w:cstheme="minorHAnsi"/>
          <w:b/>
          <w:sz w:val="20"/>
          <w:szCs w:val="20"/>
        </w:rPr>
        <w:fldChar w:fldCharType="end"/>
      </w:r>
      <w:r w:rsidRPr="00085A28">
        <w:rPr>
          <w:rFonts w:cstheme="minorHAnsi"/>
          <w:b/>
          <w:sz w:val="20"/>
          <w:szCs w:val="20"/>
        </w:rPr>
        <w:t>:</w:t>
      </w:r>
      <w:r>
        <w:rPr>
          <w:rFonts w:cstheme="minorHAnsi"/>
          <w:b/>
          <w:sz w:val="20"/>
          <w:szCs w:val="20"/>
        </w:rPr>
        <w:t xml:space="preserve"> Синергичен ефект ІІ вариант – сектор Отпадъци</w:t>
      </w:r>
      <w:bookmarkEnd w:id="140"/>
    </w:p>
    <w:p w:rsidR="006659FC" w:rsidRDefault="006659FC" w:rsidP="006659FC">
      <w:pPr>
        <w:spacing w:before="240"/>
        <w:jc w:val="center"/>
        <w:rPr>
          <w:b/>
          <w:u w:val="single"/>
        </w:rPr>
      </w:pPr>
      <w:r>
        <w:rPr>
          <w:b/>
          <w:noProof/>
          <w:u w:val="single"/>
          <w:lang w:eastAsia="bg-BG"/>
        </w:rPr>
        <w:drawing>
          <wp:inline distT="0" distB="0" distL="0" distR="0">
            <wp:extent cx="4594860" cy="2758440"/>
            <wp:effectExtent l="19050" t="0" r="0" b="0"/>
            <wp:docPr id="33"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20" cstate="print"/>
                    <a:srcRect/>
                    <a:stretch>
                      <a:fillRect/>
                    </a:stretch>
                  </pic:blipFill>
                  <pic:spPr bwMode="auto">
                    <a:xfrm>
                      <a:off x="0" y="0"/>
                      <a:ext cx="4594860" cy="2758440"/>
                    </a:xfrm>
                    <a:prstGeom prst="rect">
                      <a:avLst/>
                    </a:prstGeom>
                    <a:noFill/>
                  </pic:spPr>
                </pic:pic>
              </a:graphicData>
            </a:graphic>
          </wp:inline>
        </w:drawing>
      </w:r>
    </w:p>
    <w:p w:rsidR="006659FC" w:rsidRDefault="006659FC" w:rsidP="00085A28">
      <w:pPr>
        <w:jc w:val="center"/>
      </w:pPr>
    </w:p>
    <w:p w:rsidR="00B47466" w:rsidRDefault="00B47466" w:rsidP="00B47466">
      <w:pPr>
        <w:jc w:val="both"/>
      </w:pPr>
      <w:r>
        <w:t>Както е видно от представените по-горе графики, поради изключително големия инвестиционен недостиг в сектор Води, е необходимо да бъде заделен по-голям ресурс от бюджета по Приоритетна ос І на ОПО</w:t>
      </w:r>
      <w:r w:rsidR="00741A19">
        <w:t>С за финансови инструменти, с кой</w:t>
      </w:r>
      <w:r>
        <w:t>то да се обособи отделен фонд за инвестиции. Финансирането от този фонд допълнително може да се допълни чрез паралелно финансиране от банките чрез предоставяне на гаранции от страна на фонда, което ще у</w:t>
      </w:r>
      <w:r w:rsidR="00741A19">
        <w:t>величи допълнително синергичния</w:t>
      </w:r>
      <w:r>
        <w:t xml:space="preserve"> ефект.</w:t>
      </w:r>
    </w:p>
    <w:p w:rsidR="00B47466" w:rsidRDefault="00B47466" w:rsidP="00B47466">
      <w:pPr>
        <w:jc w:val="both"/>
      </w:pPr>
      <w:r>
        <w:t>За сектор Отпадъци е достатъчно 30% от бюджета по Приоритетна ос ІІ на ОПОС да бъде предвиден за финансови инструменти, за да бъде запълнен инвестиционният недостиг.</w:t>
      </w:r>
    </w:p>
    <w:p w:rsidR="006659FC" w:rsidRDefault="006659FC" w:rsidP="00085A28">
      <w:pPr>
        <w:jc w:val="center"/>
      </w:pPr>
    </w:p>
    <w:p w:rsidR="006659FC" w:rsidRDefault="006659FC" w:rsidP="00085A28">
      <w:pPr>
        <w:jc w:val="center"/>
      </w:pPr>
    </w:p>
    <w:p w:rsidR="006659FC" w:rsidRDefault="006659FC" w:rsidP="00085A28">
      <w:pPr>
        <w:jc w:val="center"/>
      </w:pPr>
    </w:p>
    <w:p w:rsidR="00A84492" w:rsidRDefault="00181C9C" w:rsidP="000964B6">
      <w:pPr>
        <w:pStyle w:val="Heading2"/>
        <w:jc w:val="both"/>
        <w:rPr>
          <w:rFonts w:asciiTheme="minorHAnsi" w:hAnsiTheme="minorHAnsi" w:cs="Times New Roman"/>
        </w:rPr>
      </w:pPr>
      <w:bookmarkStart w:id="141" w:name="_Toc399494545"/>
      <w:r w:rsidRPr="00C370EC">
        <w:rPr>
          <w:rFonts w:asciiTheme="minorHAnsi" w:hAnsiTheme="minorHAnsi" w:cs="Times New Roman"/>
        </w:rPr>
        <w:lastRenderedPageBreak/>
        <w:t xml:space="preserve">2.4. </w:t>
      </w:r>
      <w:r w:rsidR="00A84492" w:rsidRPr="00C370EC">
        <w:rPr>
          <w:rFonts w:asciiTheme="minorHAnsi" w:hAnsiTheme="minorHAnsi" w:cs="Times New Roman"/>
        </w:rPr>
        <w:t>Анализ и оценка на приложимост на правилата за държавни помощи, пропорционалността на предвидената намеса и мерки за минимизиране ефекта на изкривяване на пазара</w:t>
      </w:r>
      <w:bookmarkEnd w:id="141"/>
    </w:p>
    <w:p w:rsidR="006659FC" w:rsidRDefault="006659FC" w:rsidP="006659FC"/>
    <w:p w:rsidR="00B47466" w:rsidRDefault="00B47466" w:rsidP="00F66BD6">
      <w:pPr>
        <w:jc w:val="both"/>
      </w:pPr>
      <w:r>
        <w:t>Приложимостта на правилата за държавни помощи могат да бъдат разгледани в рамките на 5 отделни стъпки:</w:t>
      </w:r>
    </w:p>
    <w:p w:rsidR="00B47466" w:rsidRDefault="00B47466" w:rsidP="00F66BD6">
      <w:pPr>
        <w:ind w:left="-284"/>
      </w:pPr>
      <w:r>
        <w:rPr>
          <w:noProof/>
          <w:lang w:eastAsia="bg-BG"/>
        </w:rPr>
        <w:drawing>
          <wp:inline distT="0" distB="0" distL="0" distR="0">
            <wp:extent cx="6143625" cy="4219575"/>
            <wp:effectExtent l="0" t="0" r="9525" b="9525"/>
            <wp:docPr id="34" name="Diagram 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1" r:lo="rId122" r:qs="rId123" r:cs="rId124"/>
              </a:graphicData>
            </a:graphic>
          </wp:inline>
        </w:drawing>
      </w:r>
    </w:p>
    <w:p w:rsidR="006659FC" w:rsidRDefault="00F66BD6" w:rsidP="006659FC">
      <w:r>
        <w:t>Посочените стъпки са разгледани по-подробно в следващите точки.</w:t>
      </w:r>
    </w:p>
    <w:p w:rsidR="00F66BD6" w:rsidRPr="006659FC" w:rsidRDefault="00F66BD6" w:rsidP="006659FC"/>
    <w:p w:rsidR="00FC58CF" w:rsidRPr="00C370EC" w:rsidRDefault="00FC58CF" w:rsidP="00896933">
      <w:pPr>
        <w:pStyle w:val="Heading3"/>
        <w:rPr>
          <w:rFonts w:asciiTheme="minorHAnsi" w:hAnsiTheme="minorHAnsi" w:cs="Times New Roman"/>
        </w:rPr>
      </w:pPr>
      <w:bookmarkStart w:id="142" w:name="_Toc399494546"/>
      <w:r w:rsidRPr="00C370EC">
        <w:rPr>
          <w:rFonts w:asciiTheme="minorHAnsi" w:hAnsiTheme="minorHAnsi" w:cs="Times New Roman"/>
        </w:rPr>
        <w:t>2.4.1.Общи положения</w:t>
      </w:r>
      <w:bookmarkEnd w:id="142"/>
    </w:p>
    <w:p w:rsidR="00FC58CF" w:rsidRPr="008F308F" w:rsidRDefault="00FC58CF" w:rsidP="000028FE">
      <w:pPr>
        <w:spacing w:before="100" w:beforeAutospacing="1" w:after="120" w:line="280" w:lineRule="exact"/>
        <w:jc w:val="both"/>
        <w:rPr>
          <w:rFonts w:cstheme="minorHAnsi"/>
          <w:color w:val="000000"/>
        </w:rPr>
      </w:pPr>
      <w:r w:rsidRPr="008F308F">
        <w:rPr>
          <w:rFonts w:cstheme="minorHAnsi"/>
          <w:color w:val="000000"/>
        </w:rPr>
        <w:t>Европейската комисия и голяма част от държавите членки виждат бъдещето на Европейските структурни и инвестиционни фондове (ЕСИФ) в нарастваща подкрепа на финансовите инструменти (ФИ), които да се използват за подкрепа на жизнеспособни инвестиции, които се не могат да генерират достатъчно финансиране от пазарни източници. Когато се програмира използването на ФИ, е задължително всички участващи в програмирането и изпълнението на този вид инструменти да спазват приложимото право и най-вече в по отношение на  държавната помощ и обществените поръчки.</w:t>
      </w:r>
    </w:p>
    <w:p w:rsidR="00FC58CF" w:rsidRPr="008F308F" w:rsidRDefault="00FC58CF" w:rsidP="000028FE">
      <w:pPr>
        <w:spacing w:before="100" w:beforeAutospacing="1" w:after="120" w:line="280" w:lineRule="exact"/>
        <w:jc w:val="both"/>
        <w:rPr>
          <w:rFonts w:cstheme="minorHAnsi"/>
          <w:color w:val="000000"/>
        </w:rPr>
      </w:pPr>
      <w:r w:rsidRPr="008F308F">
        <w:rPr>
          <w:rFonts w:cstheme="minorHAnsi"/>
          <w:color w:val="000000"/>
        </w:rPr>
        <w:lastRenderedPageBreak/>
        <w:t>Съгласно чл.37 ал.2 на Регламент 1303/2013 г., предварителната оценка за подкрепата на определен финансов инструмент, с оглед на целите по дадения приоритет, следва да бъде съпроводена с оценка относно наличието или липсата на държавна помощ.</w:t>
      </w:r>
    </w:p>
    <w:p w:rsidR="00FC58CF" w:rsidRPr="008F308F" w:rsidRDefault="00FC58CF" w:rsidP="000028FE">
      <w:pPr>
        <w:spacing w:before="100" w:beforeAutospacing="1" w:after="120" w:line="280" w:lineRule="exact"/>
        <w:jc w:val="both"/>
        <w:rPr>
          <w:rFonts w:cstheme="minorHAnsi"/>
          <w:color w:val="000000"/>
        </w:rPr>
      </w:pPr>
      <w:r w:rsidRPr="008F308F">
        <w:rPr>
          <w:rFonts w:cstheme="minorHAnsi"/>
          <w:color w:val="000000"/>
        </w:rPr>
        <w:t xml:space="preserve">Предварителна оценка е неразделна част от програмния документ и има задължителен характер за Управляващия орган (УО), като цялостната оценка за държавна помощ следва да бъде предоставена, за всеки един случай, преди Управляващият орган да е взел решение за отпускане на принос от програмата на даден финансов инструмент - </w:t>
      </w:r>
      <w:r w:rsidR="00BA327C" w:rsidRPr="008F308F">
        <w:rPr>
          <w:rFonts w:cstheme="minorHAnsi"/>
          <w:color w:val="000000"/>
        </w:rPr>
        <w:t>чл. 37</w:t>
      </w:r>
      <w:r w:rsidRPr="008F308F">
        <w:rPr>
          <w:rFonts w:cstheme="minorHAnsi"/>
          <w:color w:val="000000"/>
        </w:rPr>
        <w:t xml:space="preserve"> </w:t>
      </w:r>
      <w:r w:rsidR="00BA327C" w:rsidRPr="008F308F">
        <w:rPr>
          <w:rFonts w:cstheme="minorHAnsi"/>
          <w:color w:val="000000"/>
        </w:rPr>
        <w:t>ал. 3</w:t>
      </w:r>
      <w:r w:rsidRPr="008F308F">
        <w:rPr>
          <w:rFonts w:cstheme="minorHAnsi"/>
          <w:color w:val="000000"/>
        </w:rPr>
        <w:t xml:space="preserve"> от Регламент 1303/2013 г.</w:t>
      </w:r>
    </w:p>
    <w:p w:rsidR="00FC58CF" w:rsidRPr="008F308F" w:rsidRDefault="00FC58CF" w:rsidP="000028FE">
      <w:pPr>
        <w:spacing w:before="100" w:beforeAutospacing="1" w:after="120" w:line="280" w:lineRule="exact"/>
        <w:jc w:val="both"/>
        <w:rPr>
          <w:rFonts w:cstheme="minorHAnsi"/>
          <w:color w:val="000000"/>
        </w:rPr>
      </w:pPr>
      <w:r w:rsidRPr="008F308F">
        <w:rPr>
          <w:rFonts w:cstheme="minorHAnsi"/>
          <w:color w:val="000000"/>
        </w:rPr>
        <w:t>По-този начин, Регламент 1303/2013 г. недвусмислено препраща към правната регламентация на държавните помощи в законодателството на ЕС, като основен компонент на политиката за свободната конкуренция.</w:t>
      </w:r>
      <w:r w:rsidRPr="008F308F">
        <w:rPr>
          <w:rFonts w:cstheme="minorHAnsi"/>
          <w:color w:val="000000"/>
        </w:rPr>
        <w:footnoteReference w:id="56"/>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Предоставянето на държавна помощ е принципно забранено. В </w:t>
      </w:r>
      <w:r w:rsidR="00BA327C" w:rsidRPr="00C370EC">
        <w:rPr>
          <w:rFonts w:cs="Times New Roman"/>
        </w:rPr>
        <w:t>чл. 107</w:t>
      </w:r>
      <w:r w:rsidRPr="00C370EC">
        <w:rPr>
          <w:rFonts w:cs="Times New Roman"/>
        </w:rPr>
        <w:t xml:space="preserve"> </w:t>
      </w:r>
      <w:r w:rsidRPr="00C370EC">
        <w:rPr>
          <w:rFonts w:cs="Times New Roman"/>
          <w:lang w:val="ru-RU"/>
        </w:rPr>
        <w:t xml:space="preserve">(1) </w:t>
      </w:r>
      <w:r w:rsidRPr="00C370EC">
        <w:rPr>
          <w:rFonts w:cs="Times New Roman"/>
        </w:rPr>
        <w:t xml:space="preserve">на ДФЕС, респективно §1 т.1 от ДР на </w:t>
      </w:r>
      <w:smartTag w:uri="schemas-fourth-com/fourthcoffee2" w:element="flavor2">
        <w:smartTagPr>
          <w:attr w:name="ProductID" w:val="ЗАКОН ЗА ДЪРЖАВНИТЕ ПОМОЩИ "/>
        </w:smartTagPr>
        <w:r w:rsidRPr="00C370EC">
          <w:rPr>
            <w:rFonts w:cs="Times New Roman"/>
          </w:rPr>
          <w:t>Закона за държавните помощи</w:t>
        </w:r>
      </w:smartTag>
      <w:r w:rsidRPr="00C370EC">
        <w:rPr>
          <w:rFonts w:cs="Times New Roman"/>
        </w:rPr>
        <w:t xml:space="preserve"> </w:t>
      </w:r>
      <w:r w:rsidRPr="00C370EC">
        <w:rPr>
          <w:rFonts w:cs="Times New Roman"/>
          <w:lang w:val="ru-RU"/>
        </w:rPr>
        <w:t>(</w:t>
      </w:r>
      <w:smartTag w:uri="schemas-fourth-com/fourthcoffee2" w:element="flavor2">
        <w:smartTagPr>
          <w:attr w:name="ProductID" w:val="ЗАКОН ЗА ДЪРЖАВНИЯ ПРОТОКОЛ &#10;ЗАКОН ЗА ДЪРЖАВНИТЕ ПОМОЩИ "/>
        </w:smartTagPr>
        <w:r w:rsidRPr="00C370EC">
          <w:rPr>
            <w:rFonts w:cs="Times New Roman"/>
          </w:rPr>
          <w:t>ЗДП</w:t>
        </w:r>
      </w:smartTag>
      <w:r w:rsidRPr="00C370EC">
        <w:rPr>
          <w:rFonts w:cs="Times New Roman"/>
          <w:lang w:val="ru-RU"/>
        </w:rPr>
        <w:t>)</w:t>
      </w:r>
      <w:r w:rsidRPr="00C370EC">
        <w:rPr>
          <w:rFonts w:cs="Times New Roman"/>
        </w:rPr>
        <w:t xml:space="preserve">, се дава легална дефиниция на държавната помощ като </w:t>
      </w:r>
      <w:r w:rsidRPr="00C370EC">
        <w:rPr>
          <w:rFonts w:cs="Times New Roman"/>
          <w:i/>
        </w:rPr>
        <w:t>„всяка помощ, предоставена от държавата или общината или за сметка на държавни или общински ресурси, пряко или чрез други лица, под каквото и да е форма, която нарушава или застрашава да наруши свободната конкуренция чрез поставяне в по-благоприятно положение на определени предприятия, производството и търговията на определени стоки, или предоставянето на определени услуги, доколкото се засяга търговията между държавите членки”.</w:t>
      </w:r>
    </w:p>
    <w:p w:rsidR="00FC58CF" w:rsidRPr="00C370EC" w:rsidRDefault="00FC58CF" w:rsidP="000028FE">
      <w:pPr>
        <w:spacing w:before="100" w:beforeAutospacing="1" w:after="120" w:line="280" w:lineRule="exact"/>
        <w:jc w:val="both"/>
        <w:rPr>
          <w:rFonts w:cs="Times New Roman"/>
        </w:rPr>
      </w:pPr>
      <w:r w:rsidRPr="00C370EC">
        <w:rPr>
          <w:rFonts w:cs="Times New Roman"/>
        </w:rPr>
        <w:t>Според константната съдебна практика на Общия съд на ЕС в Люксембург</w:t>
      </w:r>
      <w:r w:rsidRPr="00C370EC">
        <w:rPr>
          <w:rStyle w:val="FootnoteReference"/>
          <w:rFonts w:cs="Times New Roman"/>
        </w:rPr>
        <w:footnoteReference w:id="57"/>
      </w:r>
      <w:r w:rsidRPr="00C370EC">
        <w:rPr>
          <w:rFonts w:cs="Times New Roman"/>
        </w:rPr>
        <w:t>,</w:t>
      </w:r>
      <w:r w:rsidRPr="00C370EC">
        <w:rPr>
          <w:rFonts w:cs="Times New Roman"/>
          <w:lang w:val="ru-RU"/>
        </w:rPr>
        <w:t xml:space="preserve"> </w:t>
      </w:r>
      <w:r w:rsidRPr="00C370EC">
        <w:rPr>
          <w:rFonts w:cs="Times New Roman"/>
        </w:rPr>
        <w:t xml:space="preserve">за да се констатира държавна помощ (т.н. тест за държавна помощ) е необходимо </w:t>
      </w:r>
      <w:r w:rsidRPr="00C370EC">
        <w:rPr>
          <w:rFonts w:cs="Times New Roman"/>
          <w:b/>
        </w:rPr>
        <w:t>кумулативното</w:t>
      </w:r>
      <w:r w:rsidRPr="00C370EC">
        <w:rPr>
          <w:rFonts w:cs="Times New Roman"/>
        </w:rPr>
        <w:t xml:space="preserve"> наличие </w:t>
      </w:r>
      <w:r w:rsidR="00BA327C" w:rsidRPr="00C370EC">
        <w:rPr>
          <w:rFonts w:cs="Times New Roman"/>
        </w:rPr>
        <w:t>на следните</w:t>
      </w:r>
      <w:r w:rsidRPr="00C370EC">
        <w:rPr>
          <w:rFonts w:cs="Times New Roman"/>
        </w:rPr>
        <w:t xml:space="preserve"> условия:</w:t>
      </w:r>
    </w:p>
    <w:p w:rsidR="00FC58CF" w:rsidRPr="00C370EC" w:rsidRDefault="00FC58CF" w:rsidP="001A036E">
      <w:pPr>
        <w:numPr>
          <w:ilvl w:val="0"/>
          <w:numId w:val="93"/>
        </w:numPr>
        <w:spacing w:before="100" w:beforeAutospacing="1" w:after="120" w:line="280" w:lineRule="exact"/>
        <w:jc w:val="both"/>
        <w:rPr>
          <w:rFonts w:cs="Times New Roman"/>
        </w:rPr>
      </w:pPr>
      <w:r w:rsidRPr="00C370EC">
        <w:rPr>
          <w:rFonts w:cs="Times New Roman"/>
        </w:rPr>
        <w:t>помощта следва да се предоставя от държавни или общински ресурси;</w:t>
      </w:r>
    </w:p>
    <w:p w:rsidR="00FC58CF" w:rsidRPr="00C370EC" w:rsidRDefault="00FC58CF" w:rsidP="001A036E">
      <w:pPr>
        <w:numPr>
          <w:ilvl w:val="0"/>
          <w:numId w:val="93"/>
        </w:numPr>
        <w:spacing w:before="100" w:beforeAutospacing="1" w:after="120" w:line="280" w:lineRule="exact"/>
        <w:jc w:val="both"/>
        <w:rPr>
          <w:rFonts w:cs="Times New Roman"/>
        </w:rPr>
      </w:pPr>
      <w:r w:rsidRPr="00C370EC">
        <w:rPr>
          <w:rFonts w:cs="Times New Roman"/>
        </w:rPr>
        <w:t>получател на помощта</w:t>
      </w:r>
      <w:r w:rsidRPr="00C370EC">
        <w:rPr>
          <w:rFonts w:cs="Times New Roman"/>
          <w:lang w:val="ru-RU"/>
        </w:rPr>
        <w:t xml:space="preserve"> (</w:t>
      </w:r>
      <w:r w:rsidRPr="00C370EC">
        <w:rPr>
          <w:rFonts w:cs="Times New Roman"/>
        </w:rPr>
        <w:t>бенефициент</w:t>
      </w:r>
      <w:r w:rsidRPr="00C370EC">
        <w:rPr>
          <w:rFonts w:cs="Times New Roman"/>
          <w:lang w:val="ru-RU"/>
        </w:rPr>
        <w:t xml:space="preserve">) </w:t>
      </w:r>
      <w:r w:rsidRPr="00C370EC">
        <w:rPr>
          <w:rFonts w:cs="Times New Roman"/>
        </w:rPr>
        <w:t>трябва да бъде единствено предприятие</w:t>
      </w:r>
      <w:r w:rsidRPr="00C370EC">
        <w:rPr>
          <w:rStyle w:val="FootnoteReference"/>
          <w:rFonts w:cs="Times New Roman"/>
        </w:rPr>
        <w:footnoteReference w:id="58"/>
      </w:r>
      <w:r w:rsidRPr="00C370EC">
        <w:rPr>
          <w:rFonts w:cs="Times New Roman"/>
        </w:rPr>
        <w:t>;</w:t>
      </w:r>
    </w:p>
    <w:p w:rsidR="00FC58CF" w:rsidRPr="00C370EC" w:rsidRDefault="00FC58CF" w:rsidP="001A036E">
      <w:pPr>
        <w:numPr>
          <w:ilvl w:val="0"/>
          <w:numId w:val="93"/>
        </w:numPr>
        <w:spacing w:before="100" w:beforeAutospacing="1" w:after="120" w:line="280" w:lineRule="exact"/>
        <w:jc w:val="both"/>
        <w:rPr>
          <w:rFonts w:cs="Times New Roman"/>
        </w:rPr>
      </w:pPr>
      <w:r w:rsidRPr="00C370EC">
        <w:rPr>
          <w:rFonts w:cs="Times New Roman"/>
        </w:rPr>
        <w:t xml:space="preserve">помощта следва да предоставя икономическо предимство на бенефициента; </w:t>
      </w:r>
    </w:p>
    <w:p w:rsidR="00FC58CF" w:rsidRPr="00C370EC" w:rsidRDefault="00FC58CF" w:rsidP="001A036E">
      <w:pPr>
        <w:numPr>
          <w:ilvl w:val="0"/>
          <w:numId w:val="93"/>
        </w:numPr>
        <w:spacing w:before="100" w:beforeAutospacing="1" w:after="120" w:line="280" w:lineRule="exact"/>
        <w:jc w:val="both"/>
        <w:rPr>
          <w:rFonts w:cs="Times New Roman"/>
        </w:rPr>
      </w:pPr>
      <w:r w:rsidRPr="00C370EC">
        <w:rPr>
          <w:rFonts w:cs="Times New Roman"/>
        </w:rPr>
        <w:t xml:space="preserve">икономическото предимство следва да се предоставя на определено предприятие или определени предприятия </w:t>
      </w:r>
      <w:r w:rsidRPr="00C370EC">
        <w:rPr>
          <w:rFonts w:cs="Times New Roman"/>
          <w:lang w:val="ru-RU"/>
        </w:rPr>
        <w:t>(</w:t>
      </w:r>
      <w:r w:rsidRPr="00C370EC">
        <w:rPr>
          <w:rFonts w:cs="Times New Roman"/>
        </w:rPr>
        <w:t>селективен критерии</w:t>
      </w:r>
      <w:r w:rsidRPr="00C370EC">
        <w:rPr>
          <w:rFonts w:cs="Times New Roman"/>
          <w:lang w:val="ru-RU"/>
        </w:rPr>
        <w:t>)</w:t>
      </w:r>
      <w:r w:rsidRPr="00C370EC">
        <w:rPr>
          <w:rFonts w:cs="Times New Roman"/>
        </w:rPr>
        <w:t>;</w:t>
      </w:r>
    </w:p>
    <w:p w:rsidR="00FC58CF" w:rsidRPr="00C370EC" w:rsidRDefault="00FC58CF" w:rsidP="001A036E">
      <w:pPr>
        <w:numPr>
          <w:ilvl w:val="0"/>
          <w:numId w:val="93"/>
        </w:numPr>
        <w:spacing w:before="100" w:beforeAutospacing="1" w:after="120" w:line="280" w:lineRule="exact"/>
        <w:jc w:val="both"/>
        <w:rPr>
          <w:rFonts w:cs="Times New Roman"/>
        </w:rPr>
      </w:pPr>
      <w:r w:rsidRPr="00C370EC">
        <w:rPr>
          <w:rFonts w:cs="Times New Roman"/>
        </w:rPr>
        <w:t>помощта трябва да засяга или да породи опасност от засягане на търговията между държавните членки на ЕС;</w:t>
      </w:r>
    </w:p>
    <w:p w:rsidR="00FC58CF" w:rsidRPr="00C370EC" w:rsidRDefault="00FC58CF" w:rsidP="001A036E">
      <w:pPr>
        <w:numPr>
          <w:ilvl w:val="0"/>
          <w:numId w:val="93"/>
        </w:numPr>
        <w:spacing w:before="100" w:beforeAutospacing="1" w:after="120" w:line="280" w:lineRule="exact"/>
        <w:jc w:val="both"/>
        <w:rPr>
          <w:rFonts w:cs="Times New Roman"/>
        </w:rPr>
      </w:pPr>
      <w:r w:rsidRPr="00C370EC">
        <w:rPr>
          <w:rFonts w:cs="Times New Roman"/>
        </w:rPr>
        <w:t>помощта засяга или може да засяга конкуренцията на съответния продуктов и географски пазар.</w:t>
      </w:r>
      <w:r w:rsidRPr="00C370EC">
        <w:rPr>
          <w:rStyle w:val="FootnoteReference"/>
          <w:rFonts w:cs="Times New Roman"/>
        </w:rPr>
        <w:footnoteReference w:id="59"/>
      </w:r>
      <w:r w:rsidRPr="00C370EC">
        <w:rPr>
          <w:rFonts w:cs="Times New Roman"/>
        </w:rPr>
        <w:t xml:space="preserve">  </w:t>
      </w:r>
    </w:p>
    <w:p w:rsidR="00FC58CF" w:rsidRPr="00C370EC" w:rsidRDefault="00FC58CF" w:rsidP="000028FE">
      <w:pPr>
        <w:spacing w:before="100" w:beforeAutospacing="1" w:after="120" w:line="280" w:lineRule="exact"/>
        <w:jc w:val="both"/>
        <w:rPr>
          <w:rFonts w:cs="Times New Roman"/>
        </w:rPr>
      </w:pPr>
      <w:r w:rsidRPr="00C370EC">
        <w:rPr>
          <w:rFonts w:cs="Times New Roman"/>
        </w:rPr>
        <w:lastRenderedPageBreak/>
        <w:t>От посочената по-горе дефиниция на държавната помощ е видно, че основният критерий за оценка е свързан с въздействието на държавната интервенция върху пазара и върху конкурентните отношения в него.</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В тази връзка, следва да се отбележи, че разпореждането с държавни/общински ресурси не трябва да се ограничава до разпореждания на публични средства, осъществявани от държавни/ общински власти или от държавни/общински организации, под контрола на държавата/ общината. Сдружения, организации с нестопанска цел, на които са възложени публични функции, фондации с държавно участие и пр. правни субекти, които разходват публични средства също така, подлежат на контрол за извършени разпоредителни сделки, ако същите попадат в  приложното поле на чл.107 </w:t>
      </w:r>
      <w:r w:rsidRPr="00C370EC">
        <w:rPr>
          <w:rFonts w:cs="Times New Roman"/>
          <w:lang w:val="ru-RU"/>
        </w:rPr>
        <w:t>(1)</w:t>
      </w:r>
      <w:r w:rsidRPr="00C370EC">
        <w:rPr>
          <w:rFonts w:cs="Times New Roman"/>
        </w:rPr>
        <w:t xml:space="preserve"> на ДФЕС. </w:t>
      </w:r>
    </w:p>
    <w:p w:rsidR="00FC58CF" w:rsidRPr="00C370EC" w:rsidRDefault="00FC58CF" w:rsidP="000028FE">
      <w:pPr>
        <w:spacing w:before="100" w:beforeAutospacing="1" w:after="120" w:line="280" w:lineRule="exact"/>
        <w:jc w:val="both"/>
        <w:rPr>
          <w:rFonts w:cs="Times New Roman"/>
        </w:rPr>
      </w:pPr>
      <w:r w:rsidRPr="00C370EC">
        <w:rPr>
          <w:rFonts w:cs="Times New Roman"/>
        </w:rPr>
        <w:t>В чл.2 т.15 от Регламент 1303/2013 г. е дадена възможно най-обемната дефиниция на публични разходи като: всеки публичен принос за финансирането на операции, източник на които произхожда от бюджета на национален, регионален и местен публичен орган, от свързаните с европейските и инвестиционни фондове бюджет на Съюза, от бюджета на публичноправните организации или от бюджета на сдружения на публичноправните организации и за целите на определяне на ставката на съфинансиране за програмите и приоритетите на ЕСФ може да сключва и финансови средства, набрани съвместно от работодатели и работници.</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Особено съществено за Управляващия орган е, че контролът върху държавните помощи не включва оценка за целите/намерението на публичните власти за отпускане на конкретната държавна помощ. Наличието или липсата на държавна помощ в конкретната държавна интервенция, не зависи от целите, преследвани от властите  - например, подобряване на водоснабдяването на дадено населено място, опазване на качеството на атмосферния въздух и пр. общественополезни цели. Оценката се прави по публично оповестени критерии, регламентирани в ЕС законодателството и въз основата на съдебния прецедент от практиката на съда в Люксембург. </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Посочените от донора </w:t>
      </w:r>
      <w:r w:rsidRPr="00C370EC">
        <w:rPr>
          <w:rFonts w:cs="Times New Roman"/>
          <w:lang w:val="ru-RU"/>
        </w:rPr>
        <w:t>(</w:t>
      </w:r>
      <w:r w:rsidRPr="00C370EC">
        <w:rPr>
          <w:rFonts w:cs="Times New Roman"/>
        </w:rPr>
        <w:t>публичната власт</w:t>
      </w:r>
      <w:r w:rsidRPr="00C370EC">
        <w:rPr>
          <w:rFonts w:cs="Times New Roman"/>
          <w:lang w:val="ru-RU"/>
        </w:rPr>
        <w:t xml:space="preserve">) </w:t>
      </w:r>
      <w:r w:rsidRPr="00C370EC">
        <w:rPr>
          <w:rFonts w:cs="Times New Roman"/>
        </w:rPr>
        <w:t>цели</w:t>
      </w:r>
      <w:r w:rsidRPr="00C370EC">
        <w:rPr>
          <w:rFonts w:cs="Times New Roman"/>
          <w:lang w:val="ru-RU"/>
        </w:rPr>
        <w:t xml:space="preserve"> </w:t>
      </w:r>
      <w:r w:rsidRPr="00C370EC">
        <w:rPr>
          <w:rFonts w:cs="Times New Roman"/>
        </w:rPr>
        <w:t xml:space="preserve">ще имат значение единствено при преценката на регулатора по държавните помощи на ЕС–Европейската комисия, относно предпоставките за освобождаване от забраната за предоставяне на държавни помощи разписани в чл. 107 </w:t>
      </w:r>
      <w:r w:rsidRPr="00C370EC">
        <w:rPr>
          <w:rFonts w:cs="Times New Roman"/>
          <w:lang w:val="ru-RU"/>
        </w:rPr>
        <w:t xml:space="preserve">(2) </w:t>
      </w:r>
      <w:r w:rsidRPr="00C370EC">
        <w:rPr>
          <w:rFonts w:cs="Times New Roman"/>
        </w:rPr>
        <w:t>и 107</w:t>
      </w:r>
      <w:r w:rsidRPr="00C370EC">
        <w:rPr>
          <w:rFonts w:cs="Times New Roman"/>
          <w:lang w:val="ru-RU"/>
        </w:rPr>
        <w:t xml:space="preserve">(3) </w:t>
      </w:r>
      <w:r w:rsidRPr="00C370EC">
        <w:rPr>
          <w:rFonts w:cs="Times New Roman"/>
        </w:rPr>
        <w:t>на ДФЕС изключения.</w:t>
      </w:r>
      <w:r w:rsidRPr="00C370EC">
        <w:rPr>
          <w:rStyle w:val="FootnoteReference"/>
          <w:rFonts w:cs="Times New Roman"/>
        </w:rPr>
        <w:footnoteReference w:id="60"/>
      </w:r>
      <w:r w:rsidRPr="00C370EC">
        <w:rPr>
          <w:rFonts w:cs="Times New Roman"/>
        </w:rPr>
        <w:t xml:space="preserve"> При това, задължението да докаже наличието на изчерпателно изброените в алтернативен порядък изключения от забраната, е изключително задължение на държавата членка, като донор за държавната помощ.</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Също така, без значение за оценката, е формата/вида на държавната помощ, която държавата възнамерява да предостави. Всички видове помощи се „приравняват” по определени методика до определена сума пари, която се равнява евентуално, стойността на държавната субсидия </w:t>
      </w:r>
      <w:r w:rsidRPr="00C370EC">
        <w:rPr>
          <w:rFonts w:cs="Times New Roman"/>
          <w:lang w:val="ru-RU"/>
        </w:rPr>
        <w:t>(</w:t>
      </w:r>
      <w:r w:rsidRPr="00C370EC">
        <w:rPr>
          <w:rFonts w:cs="Times New Roman"/>
        </w:rPr>
        <w:t>безвъзмездна финансова помощ (БФП</w:t>
      </w:r>
      <w:r w:rsidRPr="00C370EC">
        <w:rPr>
          <w:rFonts w:cs="Times New Roman"/>
          <w:lang w:val="ru-RU"/>
        </w:rPr>
        <w:t>)</w:t>
      </w:r>
      <w:r w:rsidRPr="00C370EC">
        <w:rPr>
          <w:rFonts w:cs="Times New Roman"/>
        </w:rPr>
        <w:t>.</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Например: при предоставяне на заем на бенефициент без лихва/или с лихва, по-ниска от пазарната, номиналният размер на помощта се изчислява като разлика между нормалната пазарна лихва, която ще бъде начислена на бенефициента </w:t>
      </w:r>
      <w:r w:rsidRPr="00C370EC">
        <w:rPr>
          <w:rFonts w:cs="Times New Roman"/>
          <w:lang w:val="ru-RU"/>
        </w:rPr>
        <w:t>(</w:t>
      </w:r>
      <w:r w:rsidRPr="00C370EC">
        <w:rPr>
          <w:rFonts w:cs="Times New Roman"/>
        </w:rPr>
        <w:t>обикновено определена на базата на кредитния рейтинг на получателя – рискова премия</w:t>
      </w:r>
      <w:r w:rsidRPr="00C370EC">
        <w:rPr>
          <w:rFonts w:cs="Times New Roman"/>
          <w:lang w:val="ru-RU"/>
        </w:rPr>
        <w:t>)</w:t>
      </w:r>
      <w:r w:rsidRPr="00C370EC">
        <w:rPr>
          <w:rFonts w:cs="Times New Roman"/>
        </w:rPr>
        <w:t xml:space="preserve"> и предоставената лихва по конкретния заем. В определени случаи </w:t>
      </w:r>
      <w:r w:rsidRPr="00C370EC">
        <w:rPr>
          <w:rFonts w:cs="Times New Roman"/>
        </w:rPr>
        <w:lastRenderedPageBreak/>
        <w:t xml:space="preserve">обаче, целият заем може да се приеме, че представлява държавна помощ, ако не са предвидени дължимите по правилата на донора обезпечения и гаранции или, ако заемът се предоставя на икономически оператор в затруднение. </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В случай, когато помощта се предоставя чрез публична гаранция за получаване на заем от пазарен субект </w:t>
      </w:r>
      <w:r w:rsidRPr="00C370EC">
        <w:rPr>
          <w:rFonts w:cs="Times New Roman"/>
          <w:lang w:val="ru-RU"/>
        </w:rPr>
        <w:t>(</w:t>
      </w:r>
      <w:r w:rsidRPr="00C370EC">
        <w:rPr>
          <w:rFonts w:cs="Times New Roman"/>
        </w:rPr>
        <w:t>кредитна институция, фонд и т.н.</w:t>
      </w:r>
      <w:r w:rsidRPr="00C370EC">
        <w:rPr>
          <w:rFonts w:cs="Times New Roman"/>
          <w:lang w:val="ru-RU"/>
        </w:rPr>
        <w:t>),</w:t>
      </w:r>
      <w:r w:rsidRPr="00C370EC">
        <w:rPr>
          <w:rFonts w:cs="Times New Roman"/>
        </w:rPr>
        <w:t xml:space="preserve"> размерът на държавната помощ се равнява на разликата на дължимите такси, които биха изисквали кредитните институции въз основа на кредитния рейтинг на бенефициента и таксите, които реално ще се заплащат от бенефициента, като правилото е публичната гаранция да не надхвърля 80% от размера на заема.</w:t>
      </w:r>
    </w:p>
    <w:p w:rsidR="00FC58CF" w:rsidRPr="00C370EC" w:rsidRDefault="00FC58CF" w:rsidP="000028FE">
      <w:pPr>
        <w:spacing w:before="100" w:beforeAutospacing="1" w:after="120" w:line="280" w:lineRule="exact"/>
        <w:jc w:val="both"/>
        <w:rPr>
          <w:rFonts w:cs="Times New Roman"/>
        </w:rPr>
      </w:pPr>
      <w:r w:rsidRPr="00C370EC">
        <w:rPr>
          <w:rFonts w:cs="Times New Roman"/>
        </w:rPr>
        <w:t>В случаи на подкрепа на предприятия чрез капиталова „инжекция/дялова вноска/парична вноска в записания капитал на дружеството”, номиналният размер на държавната помощ е целият размер на вноската като записан или регистриран капитал.</w:t>
      </w:r>
      <w:r w:rsidRPr="00C370EC">
        <w:rPr>
          <w:rStyle w:val="FootnoteReference"/>
          <w:rFonts w:cs="Times New Roman"/>
        </w:rPr>
        <w:footnoteReference w:id="61"/>
      </w:r>
    </w:p>
    <w:p w:rsidR="00FC58CF" w:rsidRDefault="00FC58CF" w:rsidP="000028FE">
      <w:pPr>
        <w:spacing w:before="100" w:beforeAutospacing="1" w:after="120" w:line="280" w:lineRule="exact"/>
        <w:jc w:val="both"/>
        <w:rPr>
          <w:rFonts w:cs="Times New Roman"/>
        </w:rPr>
      </w:pPr>
      <w:r w:rsidRPr="00C370EC">
        <w:rPr>
          <w:rFonts w:cs="Times New Roman"/>
        </w:rPr>
        <w:t>Подобни правила съществуват и за случаи на държавна помощ под формата на данъчни облекчения или данъчни изключения, при продажбата на публични земи с или без тръжни процедури и пр. проявни форми на държавни помощи.</w:t>
      </w:r>
    </w:p>
    <w:p w:rsidR="00644D36" w:rsidRPr="00644D36" w:rsidRDefault="00644D36" w:rsidP="00644D36">
      <w:pPr>
        <w:spacing w:before="100" w:beforeAutospacing="1" w:after="120" w:line="280" w:lineRule="exact"/>
        <w:jc w:val="both"/>
        <w:rPr>
          <w:rFonts w:cs="Times New Roman"/>
        </w:rPr>
      </w:pPr>
      <w:r w:rsidRPr="00644D36">
        <w:rPr>
          <w:rFonts w:cs="Times New Roman"/>
        </w:rPr>
        <w:t>Развитието на пазара на рисково финансиране, към който спада използването от държавите членки на различни видове финансови инструменти, е сравнително ново начинание, което наложи своевременното приемане на нови нормативни актове от Европейския съюз, по отношение на оценката на съвместимостта на приложимия финансов инструмент с правилата на държавните помощи на ниво ЕС.</w:t>
      </w:r>
    </w:p>
    <w:p w:rsidR="00644D36" w:rsidRPr="00644D36" w:rsidRDefault="00644D36" w:rsidP="00644D36">
      <w:pPr>
        <w:spacing w:before="100" w:beforeAutospacing="1" w:after="120" w:line="280" w:lineRule="exact"/>
        <w:jc w:val="both"/>
        <w:rPr>
          <w:rFonts w:cs="Times New Roman"/>
        </w:rPr>
      </w:pPr>
      <w:r w:rsidRPr="00644D36">
        <w:rPr>
          <w:rFonts w:cs="Times New Roman"/>
        </w:rPr>
        <w:t>В Съобщението на Комисията „Европа 2020-стратегия за интелигентен, устойчив и приобщаващ растеж”</w:t>
      </w:r>
      <w:r w:rsidRPr="00644D36">
        <w:rPr>
          <w:rFonts w:cs="Times New Roman"/>
          <w:vertAlign w:val="superscript"/>
        </w:rPr>
        <w:footnoteReference w:id="62"/>
      </w:r>
      <w:r w:rsidRPr="00644D36">
        <w:rPr>
          <w:rFonts w:cs="Times New Roman"/>
        </w:rPr>
        <w:t xml:space="preserve"> се определя нова стратегическа рамка към индустриалната политика, включително и политиката по отношение на опазване на околната среда, която следва да постави икономиката на Съюза по пътя на динамичен растеж, като засили неговата конкурентоспособност, като се подчертава колко е важно да се улесни достъпът на предприятията и по-специално малките и средни предприятия </w:t>
      </w:r>
      <w:r w:rsidRPr="00644D36">
        <w:rPr>
          <w:rFonts w:cs="Times New Roman"/>
          <w:lang w:val="ru-RU"/>
        </w:rPr>
        <w:t>(</w:t>
      </w:r>
      <w:r w:rsidRPr="00644D36">
        <w:rPr>
          <w:rFonts w:cs="Times New Roman"/>
        </w:rPr>
        <w:t>МСП</w:t>
      </w:r>
      <w:r w:rsidRPr="00644D36">
        <w:rPr>
          <w:rFonts w:cs="Times New Roman"/>
          <w:lang w:val="ru-RU"/>
        </w:rPr>
        <w:t xml:space="preserve">) </w:t>
      </w:r>
      <w:r w:rsidRPr="00644D36">
        <w:rPr>
          <w:rFonts w:cs="Times New Roman"/>
        </w:rPr>
        <w:t xml:space="preserve">до финансовите пазари.” </w:t>
      </w:r>
    </w:p>
    <w:p w:rsidR="00644D36" w:rsidRPr="00644D36" w:rsidRDefault="00644D36" w:rsidP="00644D36">
      <w:pPr>
        <w:spacing w:before="100" w:beforeAutospacing="1" w:after="120" w:line="280" w:lineRule="exact"/>
        <w:jc w:val="both"/>
        <w:rPr>
          <w:rFonts w:cs="Times New Roman"/>
          <w:b/>
          <w:bCs/>
        </w:rPr>
      </w:pPr>
      <w:r w:rsidRPr="00644D36">
        <w:rPr>
          <w:rFonts w:cs="Times New Roman"/>
        </w:rPr>
        <w:t xml:space="preserve">Специално, по отношение на законодателството, регулиращо предоставяне на държавни помощи за опазване на околната среда, на 26.06.2014 г. Европейската комисия публикува специални </w:t>
      </w:r>
      <w:r w:rsidRPr="00644D36">
        <w:rPr>
          <w:rFonts w:cs="Times New Roman"/>
          <w:b/>
          <w:bCs/>
        </w:rPr>
        <w:t>Насоки относно държавната помощ за опазване на околната среда и за енергетика за периода 2014—2020 г.</w:t>
      </w:r>
      <w:r w:rsidRPr="00644D36">
        <w:rPr>
          <w:rFonts w:cs="Times New Roman"/>
          <w:b/>
          <w:bCs/>
          <w:vertAlign w:val="superscript"/>
        </w:rPr>
        <w:footnoteReference w:id="63"/>
      </w:r>
      <w:r w:rsidRPr="00644D36">
        <w:rPr>
          <w:rFonts w:cs="Times New Roman"/>
          <w:b/>
          <w:bCs/>
        </w:rPr>
        <w:t xml:space="preserve">. </w:t>
      </w:r>
      <w:r w:rsidRPr="00644D36">
        <w:rPr>
          <w:rFonts w:cs="Times New Roman"/>
          <w:bCs/>
        </w:rPr>
        <w:t>Комисията отново потвърждава константната си позиция, че и за новия програмен период, за всички форми на държавно подпомагане и с цел да се избегнат ситуации, в които мерките за държавна помощ могат да нанесат вреда на околната среда „</w:t>
      </w:r>
      <w:r w:rsidRPr="00644D36">
        <w:rPr>
          <w:rFonts w:cs="Times New Roman"/>
        </w:rPr>
        <w:t>държавите членки трябва по-специално да гарантират и спазване на правото на Съюза в областта на околната среда, да извършват оценка на въздействието върху околната среда, когато това се изисква съгласно правото на Съюза, и да следят за издаването на всички съответни разрешения”.</w:t>
      </w:r>
      <w:r w:rsidRPr="00644D36">
        <w:rPr>
          <w:rFonts w:cs="Times New Roman"/>
          <w:vertAlign w:val="superscript"/>
        </w:rPr>
        <w:footnoteReference w:id="64"/>
      </w:r>
    </w:p>
    <w:p w:rsidR="00644D36" w:rsidRPr="00644D36" w:rsidRDefault="00644D36" w:rsidP="00644D36">
      <w:pPr>
        <w:spacing w:before="100" w:beforeAutospacing="1" w:after="120" w:line="280" w:lineRule="exact"/>
        <w:jc w:val="both"/>
        <w:rPr>
          <w:rFonts w:cs="Times New Roman"/>
        </w:rPr>
      </w:pPr>
      <w:r w:rsidRPr="00644D36">
        <w:rPr>
          <w:rFonts w:cs="Times New Roman"/>
        </w:rPr>
        <w:lastRenderedPageBreak/>
        <w:t xml:space="preserve">На основание чл.107 </w:t>
      </w:r>
      <w:r w:rsidRPr="00644D36">
        <w:rPr>
          <w:rFonts w:cs="Times New Roman"/>
          <w:lang w:val="ru-RU"/>
        </w:rPr>
        <w:t>(1)</w:t>
      </w:r>
      <w:r w:rsidRPr="00644D36">
        <w:rPr>
          <w:rFonts w:cs="Times New Roman"/>
        </w:rPr>
        <w:t>, буква „в” от ДФЕС, комисията може да приеме за съвместими с вътрешния пазар държавни помощи, които имат за цел да улеснят някои икономически дейности, доколкото тези помощи не засягат по неблагоприятен начин условията на търговия до степен, противоречаща на  общия интерес.</w:t>
      </w:r>
    </w:p>
    <w:p w:rsidR="00644D36" w:rsidRPr="00644D36" w:rsidRDefault="00644D36" w:rsidP="00644D36">
      <w:pPr>
        <w:spacing w:before="100" w:beforeAutospacing="1" w:after="120" w:line="280" w:lineRule="exact"/>
        <w:jc w:val="both"/>
        <w:rPr>
          <w:rFonts w:cs="Times New Roman"/>
        </w:rPr>
      </w:pPr>
      <w:r w:rsidRPr="00644D36">
        <w:rPr>
          <w:rFonts w:cs="Times New Roman"/>
        </w:rPr>
        <w:t>С цел, по-добро определяне на приоритета на ЕС по отношение на дейностите по правоприлагането в областта на държавните помощи и постигане на опростяване на режима, както и за осигуряване на прозрачност, по-ефективно оценяване и контрол в спазване на правилата на държавните помощи на национално равнище и на равнище Европейски съюз, за новия програмен период 2014-</w:t>
      </w:r>
      <w:smartTag w:uri="urn:schemas-microsoft-com:office:smarttags" w:element="metricconverter">
        <w:smartTagPr>
          <w:attr w:name="ProductID" w:val="2020 г"/>
        </w:smartTagPr>
        <w:r w:rsidRPr="00644D36">
          <w:rPr>
            <w:rFonts w:cs="Times New Roman"/>
          </w:rPr>
          <w:t>2020 г</w:t>
        </w:r>
      </w:smartTag>
      <w:r w:rsidRPr="00644D36">
        <w:rPr>
          <w:rFonts w:cs="Times New Roman"/>
        </w:rPr>
        <w:t xml:space="preserve">., ЕС прие нов </w:t>
      </w:r>
      <w:r w:rsidRPr="00644D36">
        <w:rPr>
          <w:rFonts w:cs="Times New Roman"/>
          <w:b/>
        </w:rPr>
        <w:t>Регламент за освобождаване от задължението за уведомяване, при предоставянето на държавна помощ от държавата членка.</w:t>
      </w:r>
      <w:r w:rsidRPr="00644D36">
        <w:rPr>
          <w:rFonts w:cs="Times New Roman"/>
          <w:b/>
          <w:vertAlign w:val="superscript"/>
        </w:rPr>
        <w:footnoteReference w:id="65"/>
      </w:r>
      <w:r w:rsidRPr="00644D36">
        <w:rPr>
          <w:rFonts w:cs="Times New Roman"/>
          <w:b/>
          <w:lang w:val="ru-RU"/>
        </w:rPr>
        <w:t>(</w:t>
      </w:r>
      <w:r w:rsidRPr="00644D36">
        <w:rPr>
          <w:rFonts w:cs="Times New Roman"/>
          <w:b/>
          <w:lang w:val="en-US"/>
        </w:rPr>
        <w:t>GBER</w:t>
      </w:r>
      <w:r w:rsidRPr="00644D36">
        <w:rPr>
          <w:rFonts w:cs="Times New Roman"/>
          <w:lang w:val="ru-RU"/>
        </w:rPr>
        <w:t>)</w:t>
      </w:r>
    </w:p>
    <w:p w:rsidR="00644D36" w:rsidRPr="00644D36" w:rsidRDefault="00644D36" w:rsidP="00644D36">
      <w:pPr>
        <w:spacing w:before="100" w:beforeAutospacing="1" w:after="120" w:line="280" w:lineRule="exact"/>
        <w:jc w:val="both"/>
        <w:rPr>
          <w:rFonts w:cs="Times New Roman"/>
        </w:rPr>
      </w:pPr>
      <w:r w:rsidRPr="00644D36">
        <w:rPr>
          <w:rFonts w:cs="Times New Roman"/>
        </w:rPr>
        <w:t xml:space="preserve">Съгласно пар.5 и 6 на </w:t>
      </w:r>
      <w:r w:rsidRPr="00644D36">
        <w:rPr>
          <w:rFonts w:cs="Times New Roman"/>
          <w:lang w:val="en-US"/>
        </w:rPr>
        <w:t>GBER</w:t>
      </w:r>
      <w:r w:rsidRPr="00644D36">
        <w:rPr>
          <w:rFonts w:cs="Times New Roman"/>
        </w:rPr>
        <w:t xml:space="preserve">, помощи, предоставени от държавата  членка, които отговарят на всички условия в Регламента, а именно: </w:t>
      </w:r>
      <w:r w:rsidRPr="00644D36">
        <w:rPr>
          <w:rFonts w:cs="Times New Roman"/>
          <w:u w:val="single"/>
        </w:rPr>
        <w:t>на общите условия</w:t>
      </w:r>
      <w:r w:rsidRPr="00644D36">
        <w:rPr>
          <w:rFonts w:cs="Times New Roman"/>
        </w:rPr>
        <w:t xml:space="preserve"> и на </w:t>
      </w:r>
      <w:r w:rsidRPr="00644D36">
        <w:rPr>
          <w:rFonts w:cs="Times New Roman"/>
          <w:u w:val="single"/>
        </w:rPr>
        <w:t>специалните условия</w:t>
      </w:r>
      <w:r w:rsidRPr="00644D36">
        <w:rPr>
          <w:rFonts w:cs="Times New Roman"/>
        </w:rPr>
        <w:t xml:space="preserve"> за отделните категории помощ, следва да бъдат освободени от задължение за уведомяване на ЕК, установено в чл.108  </w:t>
      </w:r>
      <w:r w:rsidRPr="00644D36">
        <w:rPr>
          <w:rFonts w:cs="Times New Roman"/>
          <w:lang w:val="ru-RU"/>
        </w:rPr>
        <w:t>(1)</w:t>
      </w:r>
      <w:r w:rsidRPr="00644D36">
        <w:rPr>
          <w:rFonts w:cs="Times New Roman"/>
        </w:rPr>
        <w:t xml:space="preserve"> на ДФЕС.</w:t>
      </w:r>
    </w:p>
    <w:p w:rsidR="00644D36" w:rsidRPr="00644D36" w:rsidRDefault="00644D36" w:rsidP="00644D36">
      <w:pPr>
        <w:spacing w:before="100" w:beforeAutospacing="1" w:after="120" w:line="280" w:lineRule="exact"/>
        <w:jc w:val="both"/>
        <w:rPr>
          <w:rFonts w:cs="Times New Roman"/>
        </w:rPr>
      </w:pPr>
      <w:r w:rsidRPr="00644D36">
        <w:rPr>
          <w:rFonts w:cs="Times New Roman"/>
        </w:rPr>
        <w:t xml:space="preserve">В чл. 4 на </w:t>
      </w:r>
      <w:r w:rsidRPr="00644D36">
        <w:rPr>
          <w:rFonts w:cs="Times New Roman"/>
          <w:lang w:val="en-US"/>
        </w:rPr>
        <w:t>GBER</w:t>
      </w:r>
      <w:r w:rsidRPr="00644D36">
        <w:rPr>
          <w:rFonts w:cs="Times New Roman"/>
        </w:rPr>
        <w:t xml:space="preserve">е подробно разписана система на „прагове”-т.е.  при надхвърлянето им като размер на помощта, </w:t>
      </w:r>
      <w:r w:rsidRPr="00644D36">
        <w:rPr>
          <w:rFonts w:cs="Times New Roman"/>
          <w:lang w:val="en-US"/>
        </w:rPr>
        <w:t>GBER</w:t>
      </w:r>
      <w:r w:rsidRPr="00644D36">
        <w:rPr>
          <w:rFonts w:cs="Times New Roman"/>
        </w:rPr>
        <w:t xml:space="preserve">не се прилага. В тези случаи, държавата членка е задължена да изпрати уведомление до ЕК, изготвена въз основа на изискванията на Процедурния регламент. </w:t>
      </w:r>
    </w:p>
    <w:p w:rsidR="00644D36" w:rsidRPr="00644D36" w:rsidRDefault="00644D36" w:rsidP="00644D36">
      <w:pPr>
        <w:spacing w:before="100" w:beforeAutospacing="1" w:after="120" w:line="280" w:lineRule="exact"/>
        <w:jc w:val="both"/>
        <w:rPr>
          <w:rFonts w:cs="Times New Roman"/>
        </w:rPr>
      </w:pPr>
      <w:r w:rsidRPr="00644D36">
        <w:rPr>
          <w:rFonts w:cs="Times New Roman"/>
        </w:rPr>
        <w:t>Помощта за рисково финансиране на едно предприятие, независимо дали е предоставена чрез един или няколко финансови инструменти не трябва да надхвърля прага от 15 млн. евро.</w:t>
      </w:r>
      <w:r w:rsidRPr="00644D36">
        <w:rPr>
          <w:rFonts w:cs="Times New Roman"/>
          <w:vertAlign w:val="superscript"/>
        </w:rPr>
        <w:footnoteReference w:id="66"/>
      </w:r>
      <w:r w:rsidRPr="00644D36">
        <w:rPr>
          <w:rFonts w:cs="Times New Roman"/>
        </w:rPr>
        <w:t xml:space="preserve"> В допълнение, предоставената помощ чрез избрания финансов инструмент трябва да отговаря на изискванията на раздел „</w:t>
      </w:r>
      <w:r w:rsidR="00495A4A" w:rsidRPr="00644D36">
        <w:rPr>
          <w:rFonts w:cs="Times New Roman"/>
        </w:rPr>
        <w:t>Трети” на</w:t>
      </w:r>
      <w:r w:rsidRPr="00644D36">
        <w:rPr>
          <w:rFonts w:cs="Times New Roman"/>
        </w:rPr>
        <w:t xml:space="preserve"> </w:t>
      </w:r>
      <w:r w:rsidRPr="00644D36">
        <w:rPr>
          <w:rFonts w:cs="Times New Roman"/>
          <w:lang w:val="en-US"/>
        </w:rPr>
        <w:t>GBER</w:t>
      </w:r>
      <w:r w:rsidRPr="00644D36">
        <w:rPr>
          <w:rFonts w:cs="Times New Roman"/>
          <w:vertAlign w:val="superscript"/>
          <w:lang w:val="en-US"/>
        </w:rPr>
        <w:footnoteReference w:id="67"/>
      </w:r>
      <w:r w:rsidRPr="00644D36">
        <w:rPr>
          <w:rFonts w:cs="Times New Roman"/>
        </w:rPr>
        <w:t xml:space="preserve">, а за предоставените помощи за опазване на околната среда, е необходимо и съответствие с </w:t>
      </w:r>
      <w:r w:rsidR="00495A4A" w:rsidRPr="00644D36">
        <w:rPr>
          <w:rFonts w:cs="Times New Roman"/>
        </w:rPr>
        <w:t>изискванията на</w:t>
      </w:r>
      <w:r w:rsidRPr="00644D36">
        <w:rPr>
          <w:rFonts w:cs="Times New Roman"/>
        </w:rPr>
        <w:t xml:space="preserve"> раздел „Седми” на </w:t>
      </w:r>
      <w:r w:rsidRPr="00644D36">
        <w:rPr>
          <w:rFonts w:cs="Times New Roman"/>
          <w:lang w:val="en-US"/>
        </w:rPr>
        <w:t>GBER</w:t>
      </w:r>
      <w:r w:rsidRPr="00644D36">
        <w:rPr>
          <w:rFonts w:cs="Times New Roman"/>
          <w:vertAlign w:val="superscript"/>
          <w:lang w:val="en-US"/>
        </w:rPr>
        <w:footnoteReference w:id="68"/>
      </w:r>
      <w:r w:rsidRPr="00644D36">
        <w:rPr>
          <w:rFonts w:cs="Times New Roman"/>
        </w:rPr>
        <w:t xml:space="preserve">. </w:t>
      </w:r>
    </w:p>
    <w:p w:rsidR="00644D36" w:rsidRPr="00644D36" w:rsidRDefault="00644D36" w:rsidP="00644D36">
      <w:pPr>
        <w:spacing w:before="100" w:beforeAutospacing="1" w:after="120" w:line="280" w:lineRule="exact"/>
        <w:jc w:val="both"/>
        <w:rPr>
          <w:rFonts w:cs="Times New Roman"/>
        </w:rPr>
      </w:pPr>
      <w:r w:rsidRPr="00644D36">
        <w:rPr>
          <w:rFonts w:cs="Times New Roman"/>
        </w:rPr>
        <w:t xml:space="preserve">В чл.2 т.101 на </w:t>
      </w:r>
      <w:r w:rsidRPr="00644D36">
        <w:rPr>
          <w:rFonts w:cs="Times New Roman"/>
          <w:lang w:val="en-US"/>
        </w:rPr>
        <w:t>GBER</w:t>
      </w:r>
      <w:r w:rsidRPr="00644D36">
        <w:rPr>
          <w:rFonts w:cs="Times New Roman"/>
        </w:rPr>
        <w:t>е дадена и легална дефиниция  на дейностите относими към опазване на околната среда- т.е. „всяка дейност, която има за цел да се възстановят или предотвратят щети върху физическата среда или природните ресурси, причинени от собствени действия на бенефициента, да се намали рискът от подобни щети или да се осигури по-ефикасното използване на природните ресурси, включително мерки за спестяване на енергия и използването на възобновяеми енергийни източници”.</w:t>
      </w:r>
    </w:p>
    <w:p w:rsidR="00644D36" w:rsidRDefault="00644D36" w:rsidP="00644D36">
      <w:pPr>
        <w:spacing w:before="100" w:beforeAutospacing="1" w:after="120" w:line="280" w:lineRule="exact"/>
        <w:jc w:val="both"/>
        <w:rPr>
          <w:rFonts w:cs="Times New Roman"/>
        </w:rPr>
      </w:pPr>
      <w:r w:rsidRPr="00644D36">
        <w:rPr>
          <w:rFonts w:cs="Times New Roman"/>
        </w:rPr>
        <w:t xml:space="preserve">Особено съществено е да се подчертае, </w:t>
      </w:r>
      <w:r w:rsidR="00495A4A" w:rsidRPr="00644D36">
        <w:rPr>
          <w:rFonts w:cs="Times New Roman"/>
        </w:rPr>
        <w:t>че Регламент</w:t>
      </w:r>
      <w:r w:rsidRPr="00644D36">
        <w:rPr>
          <w:rFonts w:cs="Times New Roman"/>
        </w:rPr>
        <w:t xml:space="preserve"> </w:t>
      </w:r>
      <w:r w:rsidRPr="00644D36">
        <w:rPr>
          <w:rFonts w:cs="Times New Roman"/>
          <w:lang w:val="en-US"/>
        </w:rPr>
        <w:t>GBER</w:t>
      </w:r>
      <w:r w:rsidRPr="00644D36">
        <w:rPr>
          <w:rFonts w:cs="Times New Roman"/>
        </w:rPr>
        <w:t xml:space="preserve">е приложим единствено за </w:t>
      </w:r>
      <w:r w:rsidRPr="00644D36">
        <w:rPr>
          <w:rFonts w:cs="Times New Roman"/>
          <w:b/>
        </w:rPr>
        <w:t xml:space="preserve">схеми за рисково </w:t>
      </w:r>
      <w:r w:rsidR="00495A4A" w:rsidRPr="00644D36">
        <w:rPr>
          <w:rFonts w:cs="Times New Roman"/>
          <w:b/>
        </w:rPr>
        <w:t>подпомагане</w:t>
      </w:r>
      <w:r w:rsidR="00495A4A" w:rsidRPr="00644D36">
        <w:rPr>
          <w:rFonts w:cs="Times New Roman"/>
        </w:rPr>
        <w:t xml:space="preserve"> в</w:t>
      </w:r>
      <w:r w:rsidRPr="00644D36">
        <w:rPr>
          <w:rFonts w:cs="Times New Roman"/>
        </w:rPr>
        <w:t xml:space="preserve"> полза на МСП</w:t>
      </w:r>
      <w:r w:rsidRPr="00644D36">
        <w:rPr>
          <w:rFonts w:cs="Times New Roman"/>
          <w:vertAlign w:val="superscript"/>
        </w:rPr>
        <w:footnoteReference w:id="69"/>
      </w:r>
      <w:r w:rsidRPr="00644D36">
        <w:rPr>
          <w:rFonts w:cs="Times New Roman"/>
        </w:rPr>
        <w:t xml:space="preserve">. Предоставяне на държавна помощ на бенефициент, извън </w:t>
      </w:r>
      <w:r w:rsidRPr="00644D36">
        <w:rPr>
          <w:rFonts w:cs="Times New Roman"/>
        </w:rPr>
        <w:lastRenderedPageBreak/>
        <w:t xml:space="preserve">схема на държавна подпомагане-помощ </w:t>
      </w:r>
      <w:r w:rsidRPr="00644D36">
        <w:rPr>
          <w:rFonts w:cs="Times New Roman"/>
          <w:lang w:val="en-US"/>
        </w:rPr>
        <w:t>ad</w:t>
      </w:r>
      <w:r w:rsidRPr="00644D36">
        <w:rPr>
          <w:rFonts w:cs="Times New Roman"/>
          <w:lang w:val="ru-RU"/>
        </w:rPr>
        <w:t xml:space="preserve"> </w:t>
      </w:r>
      <w:r w:rsidRPr="00644D36">
        <w:rPr>
          <w:rFonts w:cs="Times New Roman"/>
          <w:lang w:val="en-US"/>
        </w:rPr>
        <w:t>hoc</w:t>
      </w:r>
      <w:r w:rsidRPr="00644D36">
        <w:rPr>
          <w:rFonts w:cs="Times New Roman"/>
          <w:vertAlign w:val="superscript"/>
          <w:lang w:val="en-US"/>
        </w:rPr>
        <w:footnoteReference w:id="70"/>
      </w:r>
      <w:r w:rsidRPr="00644D36">
        <w:rPr>
          <w:rFonts w:cs="Times New Roman"/>
        </w:rPr>
        <w:t xml:space="preserve">, не подлежи на оценка по Регламент </w:t>
      </w:r>
      <w:r w:rsidRPr="00644D36">
        <w:rPr>
          <w:rFonts w:cs="Times New Roman"/>
          <w:lang w:val="en-US"/>
        </w:rPr>
        <w:t>GBER</w:t>
      </w:r>
      <w:r w:rsidRPr="00644D36">
        <w:rPr>
          <w:rFonts w:cs="Times New Roman"/>
        </w:rPr>
        <w:t xml:space="preserve">и следва да бъде </w:t>
      </w:r>
      <w:r w:rsidR="00495A4A" w:rsidRPr="00644D36">
        <w:rPr>
          <w:rFonts w:cs="Times New Roman"/>
        </w:rPr>
        <w:t>нотифициране</w:t>
      </w:r>
      <w:r w:rsidRPr="00644D36">
        <w:rPr>
          <w:rFonts w:cs="Times New Roman"/>
        </w:rPr>
        <w:t xml:space="preserve"> по общия ред пред ЕК.</w:t>
      </w:r>
    </w:p>
    <w:p w:rsidR="00C43A5F" w:rsidRPr="00644D36" w:rsidRDefault="00C43A5F" w:rsidP="00644D36">
      <w:pPr>
        <w:spacing w:before="100" w:beforeAutospacing="1" w:after="120" w:line="280" w:lineRule="exact"/>
        <w:jc w:val="both"/>
        <w:rPr>
          <w:rFonts w:cs="Times New Roman"/>
        </w:rPr>
      </w:pPr>
    </w:p>
    <w:p w:rsidR="00FC58CF" w:rsidRPr="00C370EC" w:rsidRDefault="00FC58CF" w:rsidP="000028FE">
      <w:pPr>
        <w:pStyle w:val="Heading3"/>
        <w:spacing w:before="100" w:beforeAutospacing="1" w:after="120"/>
        <w:rPr>
          <w:rFonts w:asciiTheme="minorHAnsi" w:hAnsiTheme="minorHAnsi" w:cs="Times New Roman"/>
        </w:rPr>
      </w:pPr>
      <w:bookmarkStart w:id="143" w:name="_Toc399494547"/>
      <w:r w:rsidRPr="00C370EC">
        <w:rPr>
          <w:rFonts w:asciiTheme="minorHAnsi" w:hAnsiTheme="minorHAnsi" w:cs="Times New Roman"/>
        </w:rPr>
        <w:t>2.4.2.Европейски структурни и инвестиционни фонове</w:t>
      </w:r>
      <w:bookmarkEnd w:id="143"/>
    </w:p>
    <w:p w:rsidR="00FC58CF" w:rsidRPr="00C370EC" w:rsidRDefault="00FC58CF" w:rsidP="000028FE">
      <w:pPr>
        <w:spacing w:before="100" w:beforeAutospacing="1" w:after="120" w:line="280" w:lineRule="exact"/>
        <w:jc w:val="both"/>
        <w:rPr>
          <w:rFonts w:cs="Times New Roman"/>
          <w:b/>
          <w:u w:val="single"/>
        </w:rPr>
      </w:pPr>
      <w:r w:rsidRPr="00C370EC">
        <w:rPr>
          <w:rFonts w:cs="Times New Roman"/>
        </w:rPr>
        <w:t>2. В случай на подкрепа на финансови инструменти от европейските структурни и инвестиционни фондове</w:t>
      </w:r>
      <w:r w:rsidRPr="00C370EC">
        <w:rPr>
          <w:rStyle w:val="FootnoteReference"/>
          <w:rFonts w:cs="Times New Roman"/>
        </w:rPr>
        <w:footnoteReference w:id="71"/>
      </w:r>
      <w:r w:rsidRPr="00C370EC">
        <w:rPr>
          <w:rFonts w:cs="Times New Roman"/>
        </w:rPr>
        <w:t xml:space="preserve"> (ЕСИФ), трябва да се има предвид, че финансовите средства, предоставени на определени от Управляващият орган бенефициенти, следва да бъдат оценявани с оглед на правилата на държавните помощи-т.е. фактът, че тези средства се предоставят за осъществяване на европейско значими цели и за задоволяване на общоевропейски интереси в определени актуални области или политики, </w:t>
      </w:r>
      <w:r w:rsidRPr="00C370EC">
        <w:rPr>
          <w:rFonts w:cs="Times New Roman"/>
          <w:b/>
          <w:u w:val="single"/>
        </w:rPr>
        <w:t>не изключва тези финансови трансакции от приложното поле на чл.107</w:t>
      </w:r>
      <w:r w:rsidRPr="00C370EC">
        <w:rPr>
          <w:rFonts w:cs="Times New Roman"/>
          <w:b/>
          <w:u w:val="single"/>
          <w:lang w:val="ru-RU"/>
        </w:rPr>
        <w:t>(1)</w:t>
      </w:r>
      <w:r w:rsidRPr="00C370EC">
        <w:rPr>
          <w:rFonts w:cs="Times New Roman"/>
          <w:b/>
          <w:u w:val="single"/>
        </w:rPr>
        <w:t xml:space="preserve"> от ДФЕС. </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ЕСИФ, предназначени за определена държава членка, които се разходват чрез национални публични власти </w:t>
      </w:r>
      <w:r w:rsidRPr="00C370EC">
        <w:rPr>
          <w:rFonts w:cs="Times New Roman"/>
          <w:lang w:val="ru-RU"/>
        </w:rPr>
        <w:t>(</w:t>
      </w:r>
      <w:r w:rsidRPr="00C370EC">
        <w:rPr>
          <w:rFonts w:cs="Times New Roman"/>
        </w:rPr>
        <w:t>най- общо, договарящи органи</w:t>
      </w:r>
      <w:r w:rsidRPr="00C370EC">
        <w:rPr>
          <w:rFonts w:cs="Times New Roman"/>
          <w:lang w:val="ru-RU"/>
        </w:rPr>
        <w:t xml:space="preserve">) </w:t>
      </w:r>
      <w:r w:rsidRPr="00C370EC">
        <w:rPr>
          <w:rFonts w:cs="Times New Roman"/>
        </w:rPr>
        <w:t>са третирани като публични фондове, защото управляващите власти имат правомощията да определят насоките за тяхното разходване и избора на годни за получаване на помощта бенефициенти.</w:t>
      </w:r>
      <w:r w:rsidRPr="00C370EC">
        <w:rPr>
          <w:rStyle w:val="FootnoteReference"/>
          <w:rFonts w:cs="Times New Roman"/>
        </w:rPr>
        <w:footnoteReference w:id="72"/>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В този смисъл, договарящият орган </w:t>
      </w:r>
      <w:r w:rsidRPr="00C370EC">
        <w:rPr>
          <w:rFonts w:cs="Times New Roman"/>
          <w:lang w:val="ru-RU"/>
        </w:rPr>
        <w:t xml:space="preserve">(Управляващ орган или междинно звено), </w:t>
      </w:r>
      <w:r w:rsidRPr="00C370EC">
        <w:rPr>
          <w:rFonts w:cs="Times New Roman"/>
        </w:rPr>
        <w:t xml:space="preserve">в качеството му на администратор на държавна помощ, по смисъла на §1 т.4 от </w:t>
      </w:r>
      <w:smartTag w:uri="schemas-fourth-com/fourthcoffee2" w:element="flavor2">
        <w:smartTagPr>
          <w:attr w:name="ProductID" w:val="ЗАКОН ЗА ДЪРЖАВНИЯ ПРОТОКОЛ &#10;ЗАКОН ЗА ДЪРЖАВНИТЕ ПОМОЩИ "/>
        </w:smartTagPr>
        <w:r w:rsidRPr="00C370EC">
          <w:rPr>
            <w:rFonts w:cs="Times New Roman"/>
          </w:rPr>
          <w:t>ЗДП</w:t>
        </w:r>
      </w:smartTag>
      <w:r w:rsidRPr="00C370EC">
        <w:rPr>
          <w:rFonts w:cs="Times New Roman"/>
        </w:rPr>
        <w:t>, е длъжен да посочи, в насоките за кандидатстване, вида на държавната помощ, която ще се предостави, като се позове изрично на конкретното европейско законодателство за вида на държавната помощ.</w:t>
      </w:r>
      <w:r w:rsidRPr="00C370EC">
        <w:rPr>
          <w:rStyle w:val="FootnoteReference"/>
          <w:rFonts w:cs="Times New Roman"/>
        </w:rPr>
        <w:footnoteReference w:id="73"/>
      </w:r>
    </w:p>
    <w:p w:rsidR="00FC58CF" w:rsidRPr="00C370EC" w:rsidRDefault="00FC58CF" w:rsidP="000028FE">
      <w:pPr>
        <w:spacing w:before="100" w:beforeAutospacing="1" w:after="120" w:line="280" w:lineRule="exact"/>
        <w:jc w:val="both"/>
        <w:rPr>
          <w:rFonts w:cs="Times New Roman"/>
        </w:rPr>
      </w:pPr>
      <w:r w:rsidRPr="00C370EC">
        <w:rPr>
          <w:rFonts w:cs="Times New Roman"/>
        </w:rPr>
        <w:t>С оглед на достоверността на предварителната оценка на избрания финансов инструмент, когато този финансов инструмент бива подкрепен от европейски структурни и инвестиционни фондове  за съвместимост с правилата за предоставяне на държавна помощ е изключително важно, донорът на помощта, предварително да  определи кръга от възможни получатели на държавна помощ.</w:t>
      </w:r>
      <w:r w:rsidRPr="00C370EC">
        <w:rPr>
          <w:rStyle w:val="FootnoteReference"/>
          <w:rFonts w:cs="Times New Roman"/>
        </w:rPr>
        <w:footnoteReference w:id="74"/>
      </w:r>
      <w:r w:rsidRPr="00C370EC">
        <w:rPr>
          <w:rFonts w:cs="Times New Roman"/>
        </w:rPr>
        <w:t xml:space="preserve"> При условие, че възможни бенефициенти по отделните приоритетни оси на Оперативна програма „Околна среда“ (ОПОС) </w:t>
      </w:r>
      <w:r w:rsidRPr="00C370EC">
        <w:rPr>
          <w:rFonts w:cs="Times New Roman"/>
          <w:lang w:val="ru-RU"/>
        </w:rPr>
        <w:t>(</w:t>
      </w:r>
      <w:r w:rsidRPr="00C370EC">
        <w:rPr>
          <w:rFonts w:cs="Times New Roman"/>
        </w:rPr>
        <w:t>води, отпадъци, опазване качеството на атмосферния въздух</w:t>
      </w:r>
      <w:r w:rsidRPr="00C370EC">
        <w:rPr>
          <w:rFonts w:cs="Times New Roman"/>
          <w:lang w:val="ru-RU"/>
        </w:rPr>
        <w:t xml:space="preserve">) </w:t>
      </w:r>
      <w:r w:rsidRPr="00C370EC">
        <w:rPr>
          <w:rFonts w:cs="Times New Roman"/>
        </w:rPr>
        <w:t xml:space="preserve">са дружества с ограничена отговорност, акционерни дружества или най- общо, търговци, по смисъла на чл. 1 от </w:t>
      </w:r>
      <w:smartTag w:uri="schemas-fourth-com/fourthcoffee2" w:element="flavor2">
        <w:smartTagPr>
          <w:attr w:name="ProductID" w:val="ТЪРГОВСКИ ЗАКОН "/>
        </w:smartTagPr>
        <w:r w:rsidRPr="00C370EC">
          <w:rPr>
            <w:rFonts w:cs="Times New Roman"/>
          </w:rPr>
          <w:t>Търговския закон</w:t>
        </w:r>
      </w:smartTag>
      <w:r w:rsidRPr="00C370EC">
        <w:rPr>
          <w:rFonts w:cs="Times New Roman"/>
        </w:rPr>
        <w:t xml:space="preserve">, то безспорно, тези лица са предприятия и като такива следва да отговарят на критериите за икономически оператор, който осъществява стопанска дейност. </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Както беше отбелязано, критерият за определянето на един субект като бенефициент на държавна помощ не е правно-организационната му форма, а дали извършва или не стопанска дейност. Възможно е обаче, като бенефициенти да бъдат определени и юридически лица с нестопанска цел. Чл. 3 от </w:t>
      </w:r>
      <w:smartTag w:uri="schemas-fourth-com/fourthcoffee2" w:element="flavor2">
        <w:smartTagPr>
          <w:attr w:name="ProductID" w:val="ЗАКОН ЗА ЮРИДИЧЕСКИТЕ ЛИЦА С НЕСТОПАНСКА ЦЕЛ "/>
        </w:smartTagPr>
        <w:r w:rsidRPr="00C370EC">
          <w:rPr>
            <w:rFonts w:cs="Times New Roman"/>
          </w:rPr>
          <w:t>Закона за юридически лица с нестопанска цел</w:t>
        </w:r>
      </w:smartTag>
      <w:r w:rsidRPr="00C370EC">
        <w:rPr>
          <w:rFonts w:cs="Times New Roman"/>
        </w:rPr>
        <w:t xml:space="preserve">  допуска възможността, неправителствени организации да извършват стопанска дейност </w:t>
      </w:r>
      <w:r w:rsidRPr="00C370EC">
        <w:rPr>
          <w:rFonts w:cs="Times New Roman"/>
          <w:lang w:val="ru-RU"/>
        </w:rPr>
        <w:t>(</w:t>
      </w:r>
      <w:r w:rsidRPr="00C370EC">
        <w:rPr>
          <w:rFonts w:cs="Times New Roman"/>
        </w:rPr>
        <w:t>да предлагат стоки и услуги</w:t>
      </w:r>
      <w:r w:rsidRPr="00C370EC">
        <w:rPr>
          <w:rFonts w:cs="Times New Roman"/>
          <w:lang w:val="ru-RU"/>
        </w:rPr>
        <w:t>)</w:t>
      </w:r>
      <w:r w:rsidRPr="00C370EC">
        <w:rPr>
          <w:rFonts w:cs="Times New Roman"/>
        </w:rPr>
        <w:t xml:space="preserve">. Когато получатели на помощта са  организации, създадени със закон, чиято дейност или част от нея могат да бъдат </w:t>
      </w:r>
      <w:r w:rsidRPr="00C370EC">
        <w:rPr>
          <w:rFonts w:cs="Times New Roman"/>
        </w:rPr>
        <w:lastRenderedPageBreak/>
        <w:t>квалифицирани като стопанска дейност, независимо дали това е изрично  записано</w:t>
      </w:r>
      <w:r w:rsidRPr="00C370EC">
        <w:rPr>
          <w:rFonts w:cs="Times New Roman"/>
          <w:lang w:val="en-US"/>
        </w:rPr>
        <w:t>,</w:t>
      </w:r>
      <w:r w:rsidRPr="00C370EC">
        <w:rPr>
          <w:rFonts w:cs="Times New Roman"/>
        </w:rPr>
        <w:t xml:space="preserve"> или не в закона по създаването, те също се третират като предприятия. В тези случаи, правилата за държавните помощи са приложими и за тях. Този подход е широко застъпен в практиката на съда в Люксембург, като посочва „че ако едно лице е регистрирано като фондация или сдружение с нестопанска цел, не възпрепятства възможността то да осъществява стопанска дейност и като такова следва да се определи като предприятие по смисъла на правилата за държавните помощи”.</w:t>
      </w:r>
      <w:r w:rsidRPr="00C370EC">
        <w:rPr>
          <w:rStyle w:val="FootnoteReference"/>
          <w:rFonts w:cs="Times New Roman"/>
        </w:rPr>
        <w:footnoteReference w:id="75"/>
      </w:r>
      <w:r w:rsidRPr="00C370EC">
        <w:rPr>
          <w:rFonts w:cs="Times New Roman"/>
        </w:rPr>
        <w:t xml:space="preserve"> </w:t>
      </w:r>
    </w:p>
    <w:p w:rsidR="00FC58CF" w:rsidRPr="00C370EC" w:rsidRDefault="00FC58CF" w:rsidP="000028FE">
      <w:pPr>
        <w:spacing w:before="100" w:beforeAutospacing="1" w:after="120" w:line="280" w:lineRule="exact"/>
        <w:jc w:val="both"/>
        <w:rPr>
          <w:rFonts w:cs="Times New Roman"/>
        </w:rPr>
      </w:pPr>
      <w:r w:rsidRPr="00C370EC">
        <w:rPr>
          <w:rFonts w:cs="Times New Roman"/>
        </w:rPr>
        <w:t>В случаите, когато бенефициенти по програми, финансирани от фондове на ЕС са представители на централната власт, местно самоуправление и второстепенни разпоредители с бюджетни кредити, правилата за държавната помощ не се приложими спрямо тях, доколкото те не извършват стопанска дейност и не формират печалба. При условие, че посочените органи в последствие изразходват държавни средства, включително и от фондове на ЕС, чрез избор на изпълнител, действия по партньорство с частни субекти, възлагане на присъщи дейности и пр., тези действия трябва да се извършват въз основа на открити, прозрачни и недискриминационни процедури–чл.37 (1) параграф 2 на Регламент 1303/2013 г.</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В чл.2 т.10 на Регламент 1303/2013 г. е дадена легална дефиниция на бенефициер </w:t>
      </w:r>
      <w:r w:rsidRPr="00C370EC">
        <w:rPr>
          <w:rFonts w:cs="Times New Roman"/>
          <w:lang w:val="ru-RU"/>
        </w:rPr>
        <w:t>(</w:t>
      </w:r>
      <w:r w:rsidRPr="00C370EC">
        <w:rPr>
          <w:rFonts w:cs="Times New Roman"/>
        </w:rPr>
        <w:t>бенефициент</w:t>
      </w:r>
      <w:r w:rsidRPr="00C370EC">
        <w:rPr>
          <w:rFonts w:cs="Times New Roman"/>
          <w:lang w:val="ru-RU"/>
        </w:rPr>
        <w:t>)-</w:t>
      </w:r>
      <w:r w:rsidRPr="00C370EC">
        <w:rPr>
          <w:rFonts w:cs="Times New Roman"/>
        </w:rPr>
        <w:t>това е публична или частна организация, която в контекста на правилата за държавна помощ, предоставена чрез схема за държавна помощ е получател на помощта, а в контекста на прилагане на финансови инструменти е организация, която  прилага финансов инструмент или фонда на фондове, ако е уместно.</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Съществена част на предварителната оценка относно приложимостта на избрания финансов инструмент </w:t>
      </w:r>
      <w:r w:rsidR="0075338F" w:rsidRPr="00C370EC">
        <w:rPr>
          <w:rFonts w:cs="Times New Roman"/>
        </w:rPr>
        <w:t>е дали</w:t>
      </w:r>
      <w:r w:rsidRPr="00C370EC">
        <w:rPr>
          <w:rFonts w:cs="Times New Roman"/>
        </w:rPr>
        <w:t xml:space="preserve"> е възможно, чрез прилагането му, да се предостави </w:t>
      </w:r>
      <w:r w:rsidRPr="00C370EC">
        <w:rPr>
          <w:rFonts w:cs="Times New Roman"/>
          <w:b/>
        </w:rPr>
        <w:t>икономическо предимство,</w:t>
      </w:r>
      <w:r w:rsidRPr="00C370EC">
        <w:rPr>
          <w:rFonts w:cs="Times New Roman"/>
        </w:rPr>
        <w:t xml:space="preserve"> изразено най-често като намаляване на разходи или минимизиране на възможните финансови задължения (данъци, такси, осигурителни тежести и пр.), на </w:t>
      </w:r>
      <w:r w:rsidR="0075338F" w:rsidRPr="00C370EC">
        <w:rPr>
          <w:rFonts w:cs="Times New Roman"/>
        </w:rPr>
        <w:t>определено предприятие или груп</w:t>
      </w:r>
      <w:r w:rsidRPr="00C370EC">
        <w:rPr>
          <w:rFonts w:cs="Times New Roman"/>
        </w:rPr>
        <w:t xml:space="preserve">а предприятия. </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В тази посока, на базата на приложимостта на правото на съюза и въз основа на релевантната съдебна </w:t>
      </w:r>
      <w:r w:rsidR="0075338F" w:rsidRPr="00C370EC">
        <w:rPr>
          <w:rFonts w:cs="Times New Roman"/>
        </w:rPr>
        <w:t>практика</w:t>
      </w:r>
      <w:r w:rsidRPr="00C370EC">
        <w:rPr>
          <w:rFonts w:cs="Times New Roman"/>
        </w:rPr>
        <w:t xml:space="preserve"> на Съда на ЕС, ЕК е разработила определена методика за оценка на въздействието върху пазара на всяка една държавна интервенция-т.н. принципа на пазарния инвеститор в икономиката.</w:t>
      </w:r>
      <w:r w:rsidRPr="00C370EC">
        <w:rPr>
          <w:rStyle w:val="FootnoteReference"/>
          <w:rFonts w:cs="Times New Roman"/>
        </w:rPr>
        <w:footnoteReference w:id="76"/>
      </w:r>
    </w:p>
    <w:p w:rsidR="00FC58CF" w:rsidRPr="00C370EC" w:rsidRDefault="00FC58CF" w:rsidP="000028FE">
      <w:pPr>
        <w:spacing w:before="100" w:beforeAutospacing="1" w:after="120" w:line="280" w:lineRule="exact"/>
        <w:jc w:val="both"/>
        <w:rPr>
          <w:rFonts w:cs="Times New Roman"/>
        </w:rPr>
      </w:pPr>
      <w:r w:rsidRPr="00C370EC">
        <w:rPr>
          <w:rFonts w:cs="Times New Roman"/>
        </w:rPr>
        <w:t>Най-общо, оценката включва отговор на въпроса: осъществена ли е публичната инвестиция по начин сходен на поведението на частния инвеститор, в конкретната икономическа обстановка. Според посочения принцип, публичните власти могат да предоставят субсидии, заеми, гаранции, капиталови  „инжекции” и пр. по същият начин и при същите условия, при които един частен, пазарен инвеститор би предоставил тези финансови средства.</w:t>
      </w:r>
    </w:p>
    <w:p w:rsidR="00FC58CF" w:rsidRPr="00C370EC" w:rsidRDefault="00FC58CF" w:rsidP="000028FE">
      <w:pPr>
        <w:spacing w:before="100" w:beforeAutospacing="1" w:after="120" w:line="280" w:lineRule="exact"/>
        <w:jc w:val="both"/>
        <w:rPr>
          <w:rFonts w:cs="Times New Roman"/>
        </w:rPr>
      </w:pPr>
      <w:r w:rsidRPr="00C370EC">
        <w:rPr>
          <w:rFonts w:cs="Times New Roman"/>
        </w:rPr>
        <w:t>При условие, че определеният финансов инструмент се предоставя при „пазарни” условия на определения от управляващия орган бенефициент, въпреки спазването на определена административна процедура при избора на бенефициент, няма да е  налице държавна помощ.</w:t>
      </w:r>
      <w:r w:rsidRPr="00C370EC">
        <w:rPr>
          <w:rStyle w:val="FootnoteReference"/>
          <w:rFonts w:cs="Times New Roman"/>
        </w:rPr>
        <w:footnoteReference w:id="77"/>
      </w:r>
    </w:p>
    <w:p w:rsidR="00FC58CF" w:rsidRPr="00C370EC" w:rsidRDefault="00FC58CF" w:rsidP="000028FE">
      <w:pPr>
        <w:spacing w:before="100" w:beforeAutospacing="1" w:after="120" w:line="280" w:lineRule="exact"/>
        <w:jc w:val="both"/>
        <w:rPr>
          <w:rFonts w:cs="Times New Roman"/>
        </w:rPr>
      </w:pPr>
      <w:r w:rsidRPr="00C370EC">
        <w:rPr>
          <w:rFonts w:cs="Times New Roman"/>
        </w:rPr>
        <w:lastRenderedPageBreak/>
        <w:t xml:space="preserve">В определен случай, е възможно, държавата да се отклони от задължението си да действа като пазарен инвеститор, когато предоставя определени държавни помощи, които попадат в обхвата на изключението по чл. 107 </w:t>
      </w:r>
      <w:r w:rsidRPr="00C370EC">
        <w:rPr>
          <w:rFonts w:cs="Times New Roman"/>
          <w:lang w:val="ru-RU"/>
        </w:rPr>
        <w:t xml:space="preserve">(3) </w:t>
      </w:r>
      <w:r w:rsidRPr="00C370EC">
        <w:rPr>
          <w:rFonts w:cs="Times New Roman"/>
        </w:rPr>
        <w:t xml:space="preserve"> от ДФЕС.  За съвместими с вътрешния пазар  могат да се приемат:</w:t>
      </w:r>
    </w:p>
    <w:p w:rsidR="00FC58CF" w:rsidRPr="00C370EC" w:rsidRDefault="00FC58CF" w:rsidP="001A036E">
      <w:pPr>
        <w:numPr>
          <w:ilvl w:val="0"/>
          <w:numId w:val="92"/>
        </w:numPr>
        <w:spacing w:before="100" w:beforeAutospacing="1" w:after="120" w:line="280" w:lineRule="exact"/>
        <w:jc w:val="both"/>
        <w:rPr>
          <w:rFonts w:cs="Times New Roman"/>
        </w:rPr>
      </w:pPr>
      <w:r w:rsidRPr="00C370EC">
        <w:rPr>
          <w:rFonts w:cs="Times New Roman"/>
        </w:rPr>
        <w:t>помощи за насърчаването на икономическото развитие на региони, където жизненото равнище е необичайно ниско или където има високо равнище на непълна заетост, както и на регионите посочени в чл. 349, като се вземе предвид структурната, икономическата и социална ситуация в тях;</w:t>
      </w:r>
    </w:p>
    <w:p w:rsidR="00FC58CF" w:rsidRPr="00C370EC" w:rsidRDefault="00FC58CF" w:rsidP="001A036E">
      <w:pPr>
        <w:numPr>
          <w:ilvl w:val="0"/>
          <w:numId w:val="92"/>
        </w:numPr>
        <w:spacing w:before="100" w:beforeAutospacing="1" w:after="120" w:line="280" w:lineRule="exact"/>
        <w:jc w:val="both"/>
        <w:rPr>
          <w:rFonts w:cs="Times New Roman"/>
        </w:rPr>
      </w:pPr>
      <w:r w:rsidRPr="00C370EC">
        <w:rPr>
          <w:rFonts w:cs="Times New Roman"/>
        </w:rPr>
        <w:t>помощи да насърчаването на изпълнението на важен проект от общоевропейски интерес или за преодоляване на сериозни затруднения в икономиката на държавата членка;</w:t>
      </w:r>
    </w:p>
    <w:p w:rsidR="00FC58CF" w:rsidRPr="00C370EC" w:rsidRDefault="00FC58CF" w:rsidP="001A036E">
      <w:pPr>
        <w:numPr>
          <w:ilvl w:val="0"/>
          <w:numId w:val="92"/>
        </w:numPr>
        <w:spacing w:before="100" w:beforeAutospacing="1" w:after="120" w:line="280" w:lineRule="exact"/>
        <w:jc w:val="both"/>
        <w:rPr>
          <w:rFonts w:cs="Times New Roman"/>
        </w:rPr>
      </w:pPr>
      <w:r w:rsidRPr="00C370EC">
        <w:rPr>
          <w:rFonts w:cs="Times New Roman"/>
        </w:rPr>
        <w:t>помощи, които имат за цел да улеснят развитието на някои икономически дейности или на някои икономически райони, доколкото тези помощи не засягат неблагоприятно условията на търговия до степен, която противоречи на общия интерес;</w:t>
      </w:r>
    </w:p>
    <w:p w:rsidR="00FC58CF" w:rsidRPr="00C370EC" w:rsidRDefault="00FC58CF" w:rsidP="001A036E">
      <w:pPr>
        <w:numPr>
          <w:ilvl w:val="0"/>
          <w:numId w:val="92"/>
        </w:numPr>
        <w:spacing w:before="100" w:beforeAutospacing="1" w:after="120" w:line="280" w:lineRule="exact"/>
        <w:jc w:val="both"/>
        <w:rPr>
          <w:rFonts w:cs="Times New Roman"/>
        </w:rPr>
      </w:pPr>
      <w:r w:rsidRPr="00C370EC">
        <w:rPr>
          <w:rFonts w:cs="Times New Roman"/>
        </w:rPr>
        <w:t>помощи да насърчаването на  културата и опазването на културното наследство, доколкото тези помощи не засягат условията на търговия и конкуренцията в рамките на съюза в степен противоречащ на общия интерес</w:t>
      </w:r>
    </w:p>
    <w:p w:rsidR="00FC58CF" w:rsidRPr="00C370EC" w:rsidRDefault="00FC58CF" w:rsidP="001A036E">
      <w:pPr>
        <w:numPr>
          <w:ilvl w:val="0"/>
          <w:numId w:val="92"/>
        </w:numPr>
        <w:spacing w:before="100" w:beforeAutospacing="1" w:after="120" w:line="280" w:lineRule="exact"/>
        <w:jc w:val="both"/>
        <w:rPr>
          <w:rFonts w:cs="Times New Roman"/>
        </w:rPr>
      </w:pPr>
      <w:r w:rsidRPr="00C370EC">
        <w:rPr>
          <w:rFonts w:cs="Times New Roman"/>
        </w:rPr>
        <w:t>такива други видове помощи, каквито могат да  бъдат определени с решение на Съвета по предложение на Комисията</w:t>
      </w:r>
    </w:p>
    <w:p w:rsidR="00FC58CF" w:rsidRPr="00C370EC" w:rsidRDefault="00FC58CF" w:rsidP="000028FE">
      <w:pPr>
        <w:spacing w:before="100" w:beforeAutospacing="1" w:after="120"/>
        <w:rPr>
          <w:rFonts w:cs="Times New Roman"/>
        </w:rPr>
      </w:pPr>
      <w:r w:rsidRPr="00C370EC">
        <w:rPr>
          <w:rFonts w:cs="Times New Roman"/>
        </w:rPr>
        <w:t xml:space="preserve">Освен цитираната по-горе т. д) допълнително чл. 109 ДФЕС предвижда за прилагане на тази разпоредба Съветът, по предложение на Комисията и след консултация с Европейския парламент, приема подходящи регламенти. </w:t>
      </w:r>
    </w:p>
    <w:p w:rsidR="00FC58CF" w:rsidRPr="00C370EC" w:rsidRDefault="00FC58CF" w:rsidP="000028FE">
      <w:pPr>
        <w:pStyle w:val="Heading3"/>
        <w:spacing w:before="100" w:beforeAutospacing="1" w:after="120"/>
        <w:rPr>
          <w:rFonts w:asciiTheme="minorHAnsi" w:hAnsiTheme="minorHAnsi" w:cs="Times New Roman"/>
        </w:rPr>
      </w:pPr>
      <w:bookmarkStart w:id="144" w:name="_Toc399494548"/>
      <w:r w:rsidRPr="00C370EC">
        <w:rPr>
          <w:rFonts w:asciiTheme="minorHAnsi" w:hAnsiTheme="minorHAnsi" w:cs="Times New Roman"/>
        </w:rPr>
        <w:t>2.4.3.Оценка за съвместимостта</w:t>
      </w:r>
      <w:bookmarkEnd w:id="144"/>
    </w:p>
    <w:p w:rsidR="00FC58CF" w:rsidRPr="00C370EC" w:rsidRDefault="00FC58CF" w:rsidP="000028FE">
      <w:pPr>
        <w:spacing w:before="100" w:beforeAutospacing="1" w:after="120" w:line="280" w:lineRule="exact"/>
        <w:jc w:val="both"/>
        <w:rPr>
          <w:rFonts w:cs="Times New Roman"/>
        </w:rPr>
      </w:pPr>
      <w:r w:rsidRPr="00C370EC">
        <w:rPr>
          <w:rFonts w:cs="Times New Roman"/>
        </w:rPr>
        <w:t>Оценката за съвместимостта на предвижданата държавна помощ по изключенията на разписания текст от ДФЕС, се извършва от ЕК чрез прилагане на т.н. „</w:t>
      </w:r>
      <w:r w:rsidRPr="00C370EC">
        <w:rPr>
          <w:rFonts w:cs="Times New Roman"/>
          <w:b/>
        </w:rPr>
        <w:t>балансиращ тест”</w:t>
      </w:r>
      <w:r w:rsidRPr="00C370EC">
        <w:rPr>
          <w:rStyle w:val="FootnoteReference"/>
          <w:rFonts w:cs="Times New Roman"/>
        </w:rPr>
        <w:footnoteReference w:id="78"/>
      </w:r>
      <w:r w:rsidRPr="00C370EC">
        <w:rPr>
          <w:rFonts w:cs="Times New Roman"/>
        </w:rPr>
        <w:t xml:space="preserve"> – в  тези случаи, съвместимостта на помощта засяга най-вече балансирането на отрицателното въздействие върху търговията и конкуренцията на общия пазар с положителното въздействие по отношение на приноса за осъществяването на ясно определени цели от общ интерес.</w:t>
      </w:r>
    </w:p>
    <w:p w:rsidR="00FC58CF" w:rsidRDefault="00FC58CF" w:rsidP="000028FE">
      <w:pPr>
        <w:spacing w:before="100" w:beforeAutospacing="1" w:after="120" w:line="280" w:lineRule="exact"/>
        <w:jc w:val="both"/>
        <w:rPr>
          <w:rFonts w:cs="Times New Roman"/>
        </w:rPr>
      </w:pPr>
      <w:r w:rsidRPr="00C370EC">
        <w:rPr>
          <w:rFonts w:cs="Times New Roman"/>
        </w:rPr>
        <w:t>Комисията търси отговор на следните въпроси от държавата членка при оценката относно съвместимостта на помощта:</w:t>
      </w:r>
    </w:p>
    <w:p w:rsidR="00FC58CF" w:rsidRPr="00C370EC" w:rsidRDefault="00FC58CF" w:rsidP="001A036E">
      <w:pPr>
        <w:numPr>
          <w:ilvl w:val="0"/>
          <w:numId w:val="91"/>
        </w:numPr>
        <w:spacing w:before="100" w:beforeAutospacing="1" w:after="120" w:line="280" w:lineRule="exact"/>
        <w:jc w:val="both"/>
        <w:rPr>
          <w:rFonts w:cs="Times New Roman"/>
        </w:rPr>
      </w:pPr>
      <w:r w:rsidRPr="00C370EC">
        <w:rPr>
          <w:rFonts w:cs="Times New Roman"/>
        </w:rPr>
        <w:t>Насочена ли е мярката за помощ към ясно определена цел от общ интерес?</w:t>
      </w:r>
    </w:p>
    <w:p w:rsidR="00FC58CF" w:rsidRPr="00C370EC" w:rsidRDefault="00FC58CF" w:rsidP="001A036E">
      <w:pPr>
        <w:numPr>
          <w:ilvl w:val="0"/>
          <w:numId w:val="91"/>
        </w:numPr>
        <w:spacing w:before="100" w:beforeAutospacing="1" w:after="120" w:line="280" w:lineRule="exact"/>
        <w:jc w:val="both"/>
        <w:rPr>
          <w:rFonts w:cs="Times New Roman"/>
        </w:rPr>
      </w:pPr>
      <w:r w:rsidRPr="00C370EC">
        <w:rPr>
          <w:rFonts w:cs="Times New Roman"/>
        </w:rPr>
        <w:t xml:space="preserve">Изготвена ли е мярката подходящо да изпълнение на целта от общ интерес т.е. насочена ли е предложената помощ към пазарна неефективност или за други цели. Подходящо средство ли мярката за постигане на съответните цели на  политиката на държавата; съществува ли стимулиращ ефект – т.е. мярката променя ли поведението на бенефициента; пропорционална ли е мярката  за помощ на проблема, който трябва да бъде решен- т.е. </w:t>
      </w:r>
      <w:r w:rsidRPr="00C370EC">
        <w:rPr>
          <w:rFonts w:cs="Times New Roman"/>
        </w:rPr>
        <w:lastRenderedPageBreak/>
        <w:t>възможно ли е същата промяна в поведението на бенефициента да се постигне с по-малко помощ?</w:t>
      </w:r>
    </w:p>
    <w:p w:rsidR="00FC58CF" w:rsidRPr="00C370EC" w:rsidRDefault="00FC58CF" w:rsidP="001A036E">
      <w:pPr>
        <w:numPr>
          <w:ilvl w:val="0"/>
          <w:numId w:val="91"/>
        </w:numPr>
        <w:spacing w:before="100" w:beforeAutospacing="1" w:after="120" w:line="280" w:lineRule="exact"/>
        <w:jc w:val="both"/>
        <w:rPr>
          <w:rFonts w:cs="Times New Roman"/>
        </w:rPr>
      </w:pPr>
      <w:r w:rsidRPr="00C370EC">
        <w:rPr>
          <w:rFonts w:cs="Times New Roman"/>
        </w:rPr>
        <w:t>Ограничени ли са нарушенията на конкуренцията и въздействието върху търговията, като че цялостния баланс да е положителен.</w:t>
      </w:r>
    </w:p>
    <w:p w:rsidR="00FC58CF" w:rsidRPr="00C370EC" w:rsidRDefault="00FC58CF" w:rsidP="000028FE">
      <w:pPr>
        <w:spacing w:before="100" w:beforeAutospacing="1" w:after="120" w:line="280" w:lineRule="exact"/>
        <w:jc w:val="both"/>
        <w:rPr>
          <w:rFonts w:cs="Times New Roman"/>
        </w:rPr>
      </w:pPr>
      <w:r w:rsidRPr="00C370EC">
        <w:rPr>
          <w:rFonts w:cs="Times New Roman"/>
        </w:rPr>
        <w:t>Държавата може да възлага изпълнение на значими публични  задължения по доставка на стоки или предоставяне на услуги, които са съществени за гражданите и за които няма заявен частен интерес, поради ниски нива на възможните печалби на частни или на притежавани от нея субекти. В тези случаи, предприятията, които изпълняват тези функции от общ, обществен интерес следва да получават компенсация за свръх разходи, включително и чрез съответни приложими финансови инструменти.</w:t>
      </w:r>
    </w:p>
    <w:p w:rsidR="00FC58CF" w:rsidRPr="00C370EC" w:rsidRDefault="00FC58CF" w:rsidP="000028FE">
      <w:pPr>
        <w:spacing w:before="100" w:beforeAutospacing="1" w:after="120" w:line="280" w:lineRule="exact"/>
        <w:jc w:val="both"/>
        <w:rPr>
          <w:rFonts w:cs="Times New Roman"/>
        </w:rPr>
      </w:pPr>
      <w:r w:rsidRPr="00C370EC">
        <w:rPr>
          <w:rFonts w:cs="Times New Roman"/>
        </w:rPr>
        <w:t>ЕК във всички случаи на оценка на тези компенсации, извършени с държавни/общински средства прилага ясен и разбираеми критерии, извлечен от съдебната практика.</w:t>
      </w:r>
      <w:r w:rsidRPr="00C370EC">
        <w:rPr>
          <w:rStyle w:val="FootnoteReference"/>
          <w:rFonts w:cs="Times New Roman"/>
        </w:rPr>
        <w:footnoteReference w:id="79"/>
      </w:r>
    </w:p>
    <w:p w:rsidR="00FC58CF" w:rsidRPr="00C370EC" w:rsidRDefault="00FC58CF" w:rsidP="000028FE">
      <w:pPr>
        <w:spacing w:before="100" w:beforeAutospacing="1" w:after="120" w:line="280" w:lineRule="exact"/>
        <w:jc w:val="both"/>
        <w:rPr>
          <w:rFonts w:cs="Times New Roman"/>
        </w:rPr>
      </w:pPr>
      <w:r w:rsidRPr="00C370EC">
        <w:rPr>
          <w:rFonts w:cs="Times New Roman"/>
        </w:rPr>
        <w:t>Предлагана парична компенсация на предприятията следва да отговаря на следните изисквания:</w:t>
      </w:r>
    </w:p>
    <w:p w:rsidR="00FC58CF" w:rsidRPr="00C370EC" w:rsidRDefault="00FC58CF" w:rsidP="001A036E">
      <w:pPr>
        <w:numPr>
          <w:ilvl w:val="0"/>
          <w:numId w:val="90"/>
        </w:numPr>
        <w:spacing w:before="100" w:beforeAutospacing="1" w:after="120" w:line="280" w:lineRule="exact"/>
        <w:jc w:val="both"/>
        <w:rPr>
          <w:rFonts w:cs="Times New Roman"/>
        </w:rPr>
      </w:pPr>
      <w:r w:rsidRPr="00C370EC">
        <w:rPr>
          <w:rFonts w:cs="Times New Roman"/>
        </w:rPr>
        <w:t>Предприятието получател на компенсацията трябва да извършва точно определени, предварително зададени от държавата, публични дейности;</w:t>
      </w:r>
    </w:p>
    <w:p w:rsidR="00FC58CF" w:rsidRPr="00C370EC" w:rsidRDefault="00FC58CF" w:rsidP="001A036E">
      <w:pPr>
        <w:numPr>
          <w:ilvl w:val="0"/>
          <w:numId w:val="90"/>
        </w:numPr>
        <w:spacing w:before="100" w:beforeAutospacing="1" w:after="120" w:line="280" w:lineRule="exact"/>
        <w:jc w:val="both"/>
        <w:rPr>
          <w:rFonts w:cs="Times New Roman"/>
        </w:rPr>
      </w:pPr>
      <w:r w:rsidRPr="00C370EC">
        <w:rPr>
          <w:rFonts w:cs="Times New Roman"/>
        </w:rPr>
        <w:t>Параметрите на паричната компенсация трябва да бъдат изчислени предварително по обективен и пазарен начин;</w:t>
      </w:r>
    </w:p>
    <w:p w:rsidR="00FC58CF" w:rsidRPr="00C370EC" w:rsidRDefault="00FC58CF" w:rsidP="001A036E">
      <w:pPr>
        <w:numPr>
          <w:ilvl w:val="0"/>
          <w:numId w:val="90"/>
        </w:numPr>
        <w:spacing w:before="100" w:beforeAutospacing="1" w:after="120" w:line="280" w:lineRule="exact"/>
        <w:jc w:val="both"/>
        <w:rPr>
          <w:rFonts w:cs="Times New Roman"/>
        </w:rPr>
      </w:pPr>
      <w:r w:rsidRPr="00C370EC">
        <w:rPr>
          <w:rFonts w:cs="Times New Roman"/>
        </w:rPr>
        <w:t>Паричната компенсация не трябва да надхвърля необходимите разходи да изпълнение на публичните дейности, като се вземе предвид и разумната печалба от тези дейности;</w:t>
      </w:r>
    </w:p>
    <w:p w:rsidR="00FC58CF" w:rsidRPr="00C370EC" w:rsidRDefault="00FC58CF" w:rsidP="001A036E">
      <w:pPr>
        <w:numPr>
          <w:ilvl w:val="0"/>
          <w:numId w:val="90"/>
        </w:numPr>
        <w:spacing w:before="100" w:beforeAutospacing="1" w:after="120" w:line="280" w:lineRule="exact"/>
        <w:jc w:val="both"/>
        <w:rPr>
          <w:rFonts w:cs="Times New Roman"/>
          <w:lang w:val="ru-RU"/>
        </w:rPr>
      </w:pPr>
      <w:r w:rsidRPr="00C370EC">
        <w:rPr>
          <w:rFonts w:cs="Times New Roman"/>
        </w:rPr>
        <w:t xml:space="preserve">При условие, че предприятието, на което са възложени публични дейности не е избрано чрез процедура по </w:t>
      </w:r>
      <w:smartTag w:uri="schemas-fourth-com/fourthcoffee2" w:element="flavor2">
        <w:smartTagPr>
          <w:attr w:name="ProductID" w:val="ЗАКОН ЗА ОБЩЕСТВЕНИТЕ ПОРЪЧКИ "/>
        </w:smartTagPr>
        <w:r w:rsidRPr="00C370EC">
          <w:rPr>
            <w:rFonts w:cs="Times New Roman"/>
          </w:rPr>
          <w:t>ЗОП</w:t>
        </w:r>
      </w:smartTag>
      <w:r w:rsidRPr="00C370EC">
        <w:rPr>
          <w:rFonts w:cs="Times New Roman"/>
        </w:rPr>
        <w:t>, нивото на компенсацията ще бъде определена на базата на разходите на друго типично предприятие в същата област, при съответната разумна печалба.</w:t>
      </w:r>
      <w:r w:rsidRPr="00C370EC">
        <w:rPr>
          <w:rFonts w:cs="Times New Roman"/>
          <w:lang w:val="ru-RU"/>
        </w:rPr>
        <w:t xml:space="preserve"> </w:t>
      </w:r>
    </w:p>
    <w:p w:rsidR="00FC58CF" w:rsidRPr="00C370EC" w:rsidRDefault="00FC58CF" w:rsidP="000028FE">
      <w:pPr>
        <w:spacing w:before="100" w:beforeAutospacing="1" w:after="120" w:line="280" w:lineRule="exact"/>
        <w:jc w:val="both"/>
        <w:rPr>
          <w:rFonts w:cs="Times New Roman"/>
          <w:lang w:val="ru-RU"/>
        </w:rPr>
      </w:pPr>
      <w:r w:rsidRPr="00C370EC">
        <w:rPr>
          <w:rFonts w:cs="Times New Roman"/>
        </w:rPr>
        <w:t xml:space="preserve">При спазването на тези условия се приема, че не е предоставена държавна помощ и няма нарушение на принципа на частния пазарен инвеститор. </w:t>
      </w:r>
    </w:p>
    <w:p w:rsidR="00FC58CF" w:rsidRPr="00C370EC" w:rsidRDefault="00FC58CF" w:rsidP="000028FE">
      <w:pPr>
        <w:spacing w:before="100" w:beforeAutospacing="1" w:after="120" w:line="280" w:lineRule="exact"/>
        <w:jc w:val="both"/>
        <w:rPr>
          <w:rFonts w:cs="Times New Roman"/>
        </w:rPr>
      </w:pPr>
      <w:r w:rsidRPr="00C370EC">
        <w:rPr>
          <w:rFonts w:cs="Times New Roman"/>
          <w:lang w:val="en-US"/>
        </w:rPr>
        <w:t>Altmark</w:t>
      </w:r>
      <w:r w:rsidRPr="00C370EC">
        <w:rPr>
          <w:rFonts w:cs="Times New Roman"/>
          <w:lang w:val="ru-RU"/>
        </w:rPr>
        <w:t xml:space="preserve"> </w:t>
      </w:r>
      <w:r w:rsidRPr="00C370EC">
        <w:rPr>
          <w:rFonts w:cs="Times New Roman"/>
        </w:rPr>
        <w:t>прецедентът може да бъде използван и при оценка на финансови инструменти като схеми за рисков капитал, при условие, че се финансират дейности от общ, икономическо-обществен интерес и публичните и частни инвеститори имат еднакво участие в схемата, както по отношение на внесения капитал, така и по отношение на нивото на поетия риск, продължителността на схемата, условията за получаване на приходи от прилагането й и условията за пазарен изход от схемата.</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Последното условие, което е обект на оценка е наличието или отсъствието на въздействие </w:t>
      </w:r>
      <w:r w:rsidRPr="00C370EC">
        <w:rPr>
          <w:rFonts w:cs="Times New Roman"/>
          <w:lang w:val="ru-RU"/>
        </w:rPr>
        <w:t>(</w:t>
      </w:r>
      <w:r w:rsidRPr="00C370EC">
        <w:rPr>
          <w:rFonts w:cs="Times New Roman"/>
        </w:rPr>
        <w:t>ефект</w:t>
      </w:r>
      <w:r w:rsidRPr="00C370EC">
        <w:rPr>
          <w:rFonts w:cs="Times New Roman"/>
          <w:lang w:val="ru-RU"/>
        </w:rPr>
        <w:t>)</w:t>
      </w:r>
      <w:r w:rsidRPr="00C370EC">
        <w:rPr>
          <w:rFonts w:cs="Times New Roman"/>
        </w:rPr>
        <w:t xml:space="preserve"> върху търговията между страните членки на ЕС и свързаното с него нарушаване на конкуренцията на вътрешния пазар на ЕС.</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Ефектът върху търговията може не само да бъде „директен” - чрез държавното подпомагане се въздейства върху търговията в съюза чрез предоставяне на непазарно предимство на местен </w:t>
      </w:r>
      <w:r w:rsidRPr="00C370EC">
        <w:rPr>
          <w:rFonts w:cs="Times New Roman"/>
        </w:rPr>
        <w:lastRenderedPageBreak/>
        <w:t xml:space="preserve">икономически оператор, което да му позволи износ на европейския пазар, но и „индиректен” - например, чрез стабилизиране на предприятие в затруднение, което позволява на същото да придобие господстващо положение на съответния пазар и по-такъв начин, да въздейства върху търговията чрез ограничаване на вноса в държавата членка на определени стоки или предоставянето на услуги от предприятие със седалище извън страната. </w:t>
      </w:r>
      <w:r w:rsidRPr="00C370EC">
        <w:rPr>
          <w:rStyle w:val="FootnoteReference"/>
          <w:rFonts w:cs="Times New Roman"/>
        </w:rPr>
        <w:footnoteReference w:id="80"/>
      </w:r>
    </w:p>
    <w:p w:rsidR="00FC58CF" w:rsidRPr="00C370EC" w:rsidRDefault="00FC58CF" w:rsidP="000028FE">
      <w:pPr>
        <w:spacing w:before="100" w:beforeAutospacing="1" w:after="120" w:line="280" w:lineRule="exact"/>
        <w:jc w:val="both"/>
        <w:rPr>
          <w:rFonts w:cs="Times New Roman"/>
        </w:rPr>
      </w:pPr>
      <w:r w:rsidRPr="00C370EC">
        <w:rPr>
          <w:rFonts w:cs="Times New Roman"/>
        </w:rPr>
        <w:t>Обстоятелството, че помощта се предоставя на предприятие, което не изнася субсидираните стоки също така, е без значение за оценката. В допълнение, без отношение към оценката, с оглед наличието или отсъствието на този критерий, е размерът на предоставената помощ и целта на помощта.</w:t>
      </w:r>
    </w:p>
    <w:p w:rsidR="00FC58CF" w:rsidRPr="00C370EC" w:rsidRDefault="00896933" w:rsidP="000028FE">
      <w:pPr>
        <w:pStyle w:val="Heading3"/>
        <w:spacing w:before="100" w:beforeAutospacing="1" w:after="120"/>
        <w:rPr>
          <w:rFonts w:asciiTheme="minorHAnsi" w:hAnsiTheme="minorHAnsi" w:cs="Times New Roman"/>
        </w:rPr>
      </w:pPr>
      <w:bookmarkStart w:id="145" w:name="_Toc399494549"/>
      <w:r w:rsidRPr="00C370EC">
        <w:rPr>
          <w:rFonts w:asciiTheme="minorHAnsi" w:hAnsiTheme="minorHAnsi" w:cs="Times New Roman"/>
        </w:rPr>
        <w:t xml:space="preserve">2.4.4. </w:t>
      </w:r>
      <w:r w:rsidR="00FC58CF" w:rsidRPr="00C370EC">
        <w:rPr>
          <w:rFonts w:asciiTheme="minorHAnsi" w:hAnsiTheme="minorHAnsi" w:cs="Times New Roman"/>
        </w:rPr>
        <w:t>Стъпки на оценката и приложимо право</w:t>
      </w:r>
      <w:bookmarkEnd w:id="145"/>
    </w:p>
    <w:p w:rsidR="00FC58CF" w:rsidRPr="00C370EC" w:rsidRDefault="00FC58CF" w:rsidP="000028FE">
      <w:pPr>
        <w:spacing w:before="100" w:beforeAutospacing="1" w:after="120" w:line="280" w:lineRule="exact"/>
        <w:jc w:val="both"/>
        <w:rPr>
          <w:rFonts w:cs="Times New Roman"/>
        </w:rPr>
      </w:pPr>
      <w:r w:rsidRPr="00C370EC">
        <w:rPr>
          <w:rFonts w:cs="Times New Roman"/>
        </w:rPr>
        <w:t>Според императивната разпоредба на чл. 38 б.”в”, параграф 2 на Регламент 1303/2013г., при изпълнение на финансовите инструменти, организациите осигуряват спазване на приложимото право, включително правилата за държавната помощ на Съюза.</w:t>
      </w:r>
    </w:p>
    <w:p w:rsidR="00FC58CF" w:rsidRPr="00C370EC" w:rsidRDefault="00FC58CF" w:rsidP="000028FE">
      <w:pPr>
        <w:spacing w:before="100" w:beforeAutospacing="1" w:after="120" w:line="280" w:lineRule="exact"/>
        <w:jc w:val="both"/>
        <w:rPr>
          <w:rFonts w:cs="Times New Roman"/>
        </w:rPr>
      </w:pPr>
      <w:r w:rsidRPr="00C370EC">
        <w:rPr>
          <w:rFonts w:cs="Times New Roman"/>
        </w:rPr>
        <w:t>Следователно, оценката дали чрез прилагане на избрания финансов инструмент ще се спазят правилата на държавната помощ ще се извършва единствено от органът за контрол върху държавните помощи по чл.108 от ДФЕС–Европейската комисия.</w:t>
      </w:r>
      <w:r w:rsidRPr="00C370EC">
        <w:rPr>
          <w:rStyle w:val="FootnoteReference"/>
          <w:rFonts w:cs="Times New Roman"/>
        </w:rPr>
        <w:footnoteReference w:id="81"/>
      </w:r>
    </w:p>
    <w:p w:rsidR="00FC58CF" w:rsidRPr="00C370EC" w:rsidRDefault="00FC58CF" w:rsidP="000028FE">
      <w:pPr>
        <w:spacing w:before="100" w:beforeAutospacing="1" w:after="120" w:line="280" w:lineRule="exact"/>
        <w:jc w:val="both"/>
        <w:rPr>
          <w:rFonts w:cs="Times New Roman"/>
        </w:rPr>
      </w:pPr>
      <w:r w:rsidRPr="00C370EC">
        <w:rPr>
          <w:rFonts w:cs="Times New Roman"/>
        </w:rPr>
        <w:t>Комисията е в правото си да приема Регламенти</w:t>
      </w:r>
      <w:r w:rsidRPr="00C370EC">
        <w:rPr>
          <w:rStyle w:val="FootnoteReference"/>
          <w:rFonts w:cs="Times New Roman"/>
        </w:rPr>
        <w:footnoteReference w:id="82"/>
      </w:r>
      <w:r w:rsidRPr="00C370EC">
        <w:rPr>
          <w:rFonts w:cs="Times New Roman"/>
        </w:rPr>
        <w:t xml:space="preserve"> за оценка на държавните помощи,</w:t>
      </w:r>
      <w:r w:rsidR="00E74BDD">
        <w:rPr>
          <w:rFonts w:cs="Times New Roman"/>
        </w:rPr>
        <w:t xml:space="preserve"> </w:t>
      </w:r>
      <w:r w:rsidRPr="00C370EC">
        <w:rPr>
          <w:rFonts w:cs="Times New Roman"/>
        </w:rPr>
        <w:t>както и форми-стандарт за нотифициране на индивидуални помощи и схеми на държавни помощи, които са задължителни за държавите членки.</w:t>
      </w:r>
      <w:r w:rsidRPr="00C370EC">
        <w:rPr>
          <w:rFonts w:cs="Times New Roman"/>
        </w:rPr>
        <w:tab/>
      </w:r>
    </w:p>
    <w:p w:rsidR="00FC58CF" w:rsidRPr="00C370EC" w:rsidRDefault="00FC58CF" w:rsidP="000028FE">
      <w:pPr>
        <w:spacing w:before="100" w:beforeAutospacing="1" w:after="120" w:line="280" w:lineRule="exact"/>
        <w:jc w:val="both"/>
        <w:rPr>
          <w:rFonts w:cs="Times New Roman"/>
        </w:rPr>
      </w:pPr>
      <w:r w:rsidRPr="00C370EC">
        <w:rPr>
          <w:rFonts w:cs="Times New Roman"/>
        </w:rPr>
        <w:t>Системата на оценка на ЕК за наличие на елементи на държавна помощ в предлаганата помощ или схема на помощ включва принципно три елемента:</w:t>
      </w:r>
    </w:p>
    <w:p w:rsidR="00FC58CF" w:rsidRPr="00C370EC" w:rsidRDefault="00FC58CF" w:rsidP="001A036E">
      <w:pPr>
        <w:numPr>
          <w:ilvl w:val="1"/>
          <w:numId w:val="86"/>
        </w:numPr>
        <w:spacing w:before="100" w:beforeAutospacing="1" w:after="120" w:line="280" w:lineRule="exact"/>
        <w:ind w:left="567"/>
        <w:jc w:val="both"/>
        <w:rPr>
          <w:rFonts w:cs="Times New Roman"/>
        </w:rPr>
      </w:pPr>
      <w:r w:rsidRPr="00C370EC">
        <w:rPr>
          <w:rFonts w:cs="Times New Roman"/>
        </w:rPr>
        <w:t>Оценка относно наличието на елементите на понятието държавна помощ по смисъла на чл.107(1) на ДФЕС. В конкретната хипотеза, ако приемем, че финансовият инструмент ще бъде контролиран от управляващия орган и инструмента ще бъде прилаган в определен район без засягане на международни пазари, то, определящо за оценката за наличие или липса на държавна помощ (тест за държавна помощ), ще бъде дали се предоставя селективно икономическо предимство, независимо от донора на помощта (би бил то управляващ орган, който разходва публични фондове на ЕС или фонд тип холдинг</w:t>
      </w:r>
      <w:r w:rsidRPr="00C370EC">
        <w:rPr>
          <w:rStyle w:val="FootnoteReference"/>
          <w:rFonts w:cs="Times New Roman"/>
        </w:rPr>
        <w:footnoteReference w:id="83"/>
      </w:r>
      <w:r w:rsidRPr="00C370EC">
        <w:rPr>
          <w:rFonts w:cs="Times New Roman"/>
        </w:rPr>
        <w:t xml:space="preserve"> с частно или държавно участие.). По отношение на втория подход за използване на финансови инструменти, ЕК има изградена методология, която е изградена на базата на горепосочените Насоки за държавна помощ при насърчаване на рискови финансови инвестиции (Guidelines on State Aid to promote risk finance investments). При условие, че е спазен принципа на пазарния инвеститор, то не би </w:t>
      </w:r>
      <w:r w:rsidRPr="00C370EC">
        <w:rPr>
          <w:rFonts w:cs="Times New Roman"/>
        </w:rPr>
        <w:lastRenderedPageBreak/>
        <w:t>следвало държавното участие във фонда да се третира като държавна помощ</w:t>
      </w:r>
      <w:r w:rsidRPr="00C370EC">
        <w:rPr>
          <w:rStyle w:val="FootnoteReference"/>
          <w:rFonts w:cs="Times New Roman"/>
        </w:rPr>
        <w:footnoteReference w:id="84"/>
      </w:r>
      <w:r w:rsidRPr="00C370EC">
        <w:rPr>
          <w:rFonts w:cs="Times New Roman"/>
        </w:rPr>
        <w:t xml:space="preserve">. Изследването на селективността се извършва на различни нива: </w:t>
      </w:r>
    </w:p>
    <w:p w:rsidR="00FC58CF" w:rsidRPr="00C370EC" w:rsidRDefault="00FC58CF" w:rsidP="001A036E">
      <w:pPr>
        <w:numPr>
          <w:ilvl w:val="0"/>
          <w:numId w:val="89"/>
        </w:numPr>
        <w:spacing w:before="100" w:beforeAutospacing="1" w:after="120" w:line="280" w:lineRule="exact"/>
        <w:ind w:left="1134"/>
        <w:jc w:val="both"/>
        <w:rPr>
          <w:rFonts w:cs="Times New Roman"/>
        </w:rPr>
      </w:pPr>
      <w:r w:rsidRPr="00C370EC">
        <w:rPr>
          <w:rFonts w:cs="Times New Roman"/>
          <w:u w:val="single"/>
        </w:rPr>
        <w:t>на ниво</w:t>
      </w:r>
      <w:r w:rsidRPr="00C43A5F">
        <w:rPr>
          <w:rFonts w:cs="Times New Roman"/>
        </w:rPr>
        <w:t xml:space="preserve"> -</w:t>
      </w:r>
      <w:r w:rsidRPr="00C370EC">
        <w:rPr>
          <w:rFonts w:cs="Times New Roman"/>
        </w:rPr>
        <w:t xml:space="preserve"> инвестиционен фонд ако междинно звено за трансфер на публични средства до крайни получатели (end-users); </w:t>
      </w:r>
    </w:p>
    <w:p w:rsidR="00FC58CF" w:rsidRPr="00C370EC" w:rsidRDefault="00FC58CF" w:rsidP="001A036E">
      <w:pPr>
        <w:numPr>
          <w:ilvl w:val="0"/>
          <w:numId w:val="89"/>
        </w:numPr>
        <w:spacing w:before="100" w:beforeAutospacing="1" w:after="120" w:line="280" w:lineRule="exact"/>
        <w:ind w:left="1134"/>
        <w:jc w:val="both"/>
        <w:rPr>
          <w:rFonts w:cs="Times New Roman"/>
        </w:rPr>
      </w:pPr>
      <w:r w:rsidRPr="00C43A5F">
        <w:rPr>
          <w:rFonts w:cs="Times New Roman"/>
          <w:u w:val="single"/>
        </w:rPr>
        <w:t>на н</w:t>
      </w:r>
      <w:r w:rsidRPr="00C370EC">
        <w:rPr>
          <w:rFonts w:cs="Times New Roman"/>
          <w:u w:val="single"/>
        </w:rPr>
        <w:t>иво</w:t>
      </w:r>
      <w:r w:rsidRPr="00C43A5F">
        <w:rPr>
          <w:rFonts w:cs="Times New Roman"/>
        </w:rPr>
        <w:t xml:space="preserve"> - </w:t>
      </w:r>
      <w:r w:rsidRPr="00C370EC">
        <w:rPr>
          <w:rFonts w:cs="Times New Roman"/>
        </w:rPr>
        <w:t>възнаграждение на фонд мениджърите</w:t>
      </w:r>
      <w:r w:rsidRPr="00C370EC">
        <w:rPr>
          <w:rStyle w:val="FootnoteReference"/>
          <w:rFonts w:cs="Times New Roman"/>
        </w:rPr>
        <w:footnoteReference w:id="85"/>
      </w:r>
      <w:r w:rsidRPr="00C370EC">
        <w:rPr>
          <w:rFonts w:cs="Times New Roman"/>
        </w:rPr>
        <w:t xml:space="preserve">; </w:t>
      </w:r>
    </w:p>
    <w:p w:rsidR="00FC58CF" w:rsidRPr="00C370EC" w:rsidRDefault="00FC58CF" w:rsidP="001A036E">
      <w:pPr>
        <w:numPr>
          <w:ilvl w:val="0"/>
          <w:numId w:val="89"/>
        </w:numPr>
        <w:spacing w:before="100" w:beforeAutospacing="1" w:after="120" w:line="280" w:lineRule="exact"/>
        <w:ind w:left="1134"/>
        <w:jc w:val="both"/>
        <w:rPr>
          <w:rFonts w:cs="Times New Roman"/>
        </w:rPr>
      </w:pPr>
      <w:r w:rsidRPr="00C370EC">
        <w:rPr>
          <w:rFonts w:cs="Times New Roman"/>
          <w:u w:val="single"/>
        </w:rPr>
        <w:t>на ниво</w:t>
      </w:r>
      <w:r w:rsidRPr="00C43A5F">
        <w:rPr>
          <w:rFonts w:cs="Times New Roman"/>
        </w:rPr>
        <w:t xml:space="preserve"> -</w:t>
      </w:r>
      <w:r w:rsidRPr="00C370EC">
        <w:rPr>
          <w:rFonts w:cs="Times New Roman"/>
        </w:rPr>
        <w:t xml:space="preserve"> участие на частния инвеститор във фонда</w:t>
      </w:r>
      <w:r w:rsidRPr="00C370EC">
        <w:rPr>
          <w:rStyle w:val="FootnoteReference"/>
          <w:rFonts w:cs="Times New Roman"/>
        </w:rPr>
        <w:footnoteReference w:id="86"/>
      </w:r>
      <w:r w:rsidRPr="00C370EC">
        <w:rPr>
          <w:rFonts w:cs="Times New Roman"/>
        </w:rPr>
        <w:t xml:space="preserve">, както и връзката на селективността и общностното измерение на държавната помощ. </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При определени случаи, когато има основание за оценка, че е възможно да настъпи ситуация на </w:t>
      </w:r>
      <w:bookmarkStart w:id="146" w:name="OLE_LINK1"/>
      <w:bookmarkStart w:id="147" w:name="OLE_LINK2"/>
      <w:r w:rsidRPr="00C370EC">
        <w:rPr>
          <w:rFonts w:cs="Times New Roman"/>
        </w:rPr>
        <w:t xml:space="preserve">пазарен неуспех </w:t>
      </w:r>
      <w:bookmarkEnd w:id="146"/>
      <w:bookmarkEnd w:id="147"/>
      <w:r w:rsidRPr="00C370EC">
        <w:rPr>
          <w:rFonts w:cs="Times New Roman"/>
        </w:rPr>
        <w:t>(в която пазарът не функционира адекватно), финансовият инструмент може да предвиди преференциално заплащане за частния инвеститор или преференциални условия за частния инвеститор.</w:t>
      </w:r>
    </w:p>
    <w:p w:rsidR="00F66BD6" w:rsidRDefault="00FC58CF" w:rsidP="001A036E">
      <w:pPr>
        <w:numPr>
          <w:ilvl w:val="1"/>
          <w:numId w:val="86"/>
        </w:numPr>
        <w:spacing w:before="100" w:beforeAutospacing="1" w:after="120" w:line="280" w:lineRule="exact"/>
        <w:ind w:left="567"/>
        <w:jc w:val="both"/>
        <w:rPr>
          <w:rFonts w:cs="Times New Roman"/>
        </w:rPr>
      </w:pPr>
      <w:r w:rsidRPr="00C370EC">
        <w:rPr>
          <w:rFonts w:cs="Times New Roman"/>
        </w:rPr>
        <w:t>Оценка за съвместимост на предлаганите мерки на държавно подпомагане с принципите на ненарушаване на общия пазар и търговията между държавите членки - чл.107 (2) и чл.107(3) на ДФЕС. Тази оценка се прилага само ако се установи, че е налице държавна помощ, по горепосочения критерии.</w:t>
      </w:r>
    </w:p>
    <w:p w:rsidR="00FC58CF" w:rsidRPr="00F66BD6" w:rsidRDefault="00FC58CF" w:rsidP="001A036E">
      <w:pPr>
        <w:numPr>
          <w:ilvl w:val="1"/>
          <w:numId w:val="86"/>
        </w:numPr>
        <w:spacing w:before="100" w:beforeAutospacing="1" w:after="120" w:line="280" w:lineRule="exact"/>
        <w:ind w:left="567"/>
        <w:jc w:val="both"/>
        <w:rPr>
          <w:rFonts w:cs="Times New Roman"/>
        </w:rPr>
      </w:pPr>
      <w:r w:rsidRPr="00F66BD6">
        <w:rPr>
          <w:rFonts w:cs="Times New Roman"/>
        </w:rPr>
        <w:t>Оценка за наличието или липсата на нотификация на мярката на държавна интервенция - т.н. правило за предварително уведомяване (нотификация) на регулатора за всеки проект или намерение на държавата членка да предостави държавна помощ- чл.107 (3) от ДФЕС.</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Съгласно  чл.7 на ЗДП, администраторът на държавна помощ е длъжен да нотифицира ЕК за всяка една индивидуална или схема на държавна помощ преди да я приложи спрямо избраните от него бенефициенти. Съобразно целта на държавната помощ, администраторът на помощта  попълва формите на Приложение № 1 на </w:t>
      </w:r>
      <w:r w:rsidRPr="00C370EC">
        <w:rPr>
          <w:rFonts w:cs="Times New Roman"/>
        </w:rPr>
        <w:tab/>
        <w:t>Регламент № 794/2004  на комисията  от 21.04.2004г.за прилагане на Регламент № 659/1999 на Съвета ( процедурен регламент)</w:t>
      </w:r>
      <w:r w:rsidRPr="00C370EC">
        <w:rPr>
          <w:rStyle w:val="FootnoteReference"/>
          <w:rFonts w:cs="Times New Roman"/>
        </w:rPr>
        <w:footnoteReference w:id="87"/>
      </w:r>
      <w:r w:rsidRPr="00C370EC">
        <w:rPr>
          <w:rFonts w:cs="Times New Roman"/>
        </w:rPr>
        <w:t>. Фактически, уведомлението по чл.7 от ЗДП се изготвя от администратора на помощта чрез интерактивната система SANI</w:t>
      </w:r>
      <w:r w:rsidRPr="00C370EC">
        <w:rPr>
          <w:rStyle w:val="FootnoteReference"/>
          <w:rFonts w:cs="Times New Roman"/>
        </w:rPr>
        <w:footnoteReference w:id="88"/>
      </w:r>
      <w:r w:rsidRPr="00C370EC">
        <w:rPr>
          <w:rFonts w:cs="Times New Roman"/>
        </w:rPr>
        <w:t>, като копие от окончателния вариант се изпраща и на хартиен носител и на министъра на финансите като наблюдаващ орган на държавата членка по държавните помощи.</w:t>
      </w:r>
      <w:r w:rsidRPr="00C370EC">
        <w:rPr>
          <w:rStyle w:val="FootnoteReference"/>
          <w:rFonts w:cs="Times New Roman"/>
        </w:rPr>
        <w:footnoteReference w:id="89"/>
      </w:r>
      <w:r w:rsidRPr="00C370EC">
        <w:rPr>
          <w:rFonts w:cs="Times New Roman"/>
        </w:rPr>
        <w:tab/>
      </w:r>
    </w:p>
    <w:p w:rsidR="00FC58CF" w:rsidRPr="00C370EC" w:rsidRDefault="00FC58CF" w:rsidP="000028FE">
      <w:pPr>
        <w:spacing w:before="100" w:beforeAutospacing="1" w:after="120" w:line="280" w:lineRule="exact"/>
        <w:jc w:val="both"/>
        <w:rPr>
          <w:rFonts w:cs="Times New Roman"/>
        </w:rPr>
      </w:pPr>
      <w:r w:rsidRPr="00C370EC">
        <w:rPr>
          <w:rFonts w:cs="Times New Roman"/>
        </w:rPr>
        <w:t>Не подлежат на предварителна нотификация следните видове помощи:</w:t>
      </w:r>
    </w:p>
    <w:p w:rsidR="00FC58CF" w:rsidRPr="00C370EC" w:rsidRDefault="00FC58CF" w:rsidP="001A036E">
      <w:pPr>
        <w:numPr>
          <w:ilvl w:val="0"/>
          <w:numId w:val="87"/>
        </w:numPr>
        <w:spacing w:before="100" w:beforeAutospacing="1" w:after="120" w:line="280" w:lineRule="exact"/>
        <w:jc w:val="both"/>
        <w:rPr>
          <w:rFonts w:cs="Times New Roman"/>
        </w:rPr>
      </w:pPr>
      <w:r w:rsidRPr="00C370EC">
        <w:rPr>
          <w:rFonts w:cs="Times New Roman"/>
        </w:rPr>
        <w:t>Помощи “de minimis”. Съгласно чл. 3 (1) и (2) на Регламент № (ЕС) № 1407/</w:t>
      </w:r>
      <w:r w:rsidR="004657E0" w:rsidRPr="00C370EC">
        <w:rPr>
          <w:rFonts w:cs="Times New Roman"/>
        </w:rPr>
        <w:t>2013 от</w:t>
      </w:r>
      <w:r w:rsidRPr="00C370EC">
        <w:rPr>
          <w:rFonts w:cs="Times New Roman"/>
        </w:rPr>
        <w:t xml:space="preserve"> 18.12.2013 г. относно прилагане на членове 107 и 108 от ДФЕС към помощта de minimis, ЕК приема, че </w:t>
      </w:r>
      <w:r w:rsidRPr="00C370EC">
        <w:rPr>
          <w:rFonts w:cs="Times New Roman"/>
        </w:rPr>
        <w:lastRenderedPageBreak/>
        <w:t>мерки за държавно подпомагане, чиито общ размер не надхвърля 200 000 евро за период от три бюджетни години за едно предприятие са освободени от задължението да бъдат предварително нотифицирани за оценка за съвместимост от ЕК. Този „таван” на помощта се прилага независимо от формата/вида на предоставената помощ. Съгласно чл.11 ал.1 от ЗДП, администраторът на помощта е длъжен да публикува на Интернет страницата си информация за предоставената държавна помощ de minimis, като съгласно чл.11 ал. 3 на същия закон, той е длъжен да информира Министъра на финансите в срок от 3 дни след сключване на договора с бенефициента.</w:t>
      </w:r>
    </w:p>
    <w:p w:rsidR="00FC58CF" w:rsidRPr="00C370EC" w:rsidRDefault="00FC58CF" w:rsidP="001A036E">
      <w:pPr>
        <w:numPr>
          <w:ilvl w:val="0"/>
          <w:numId w:val="87"/>
        </w:numPr>
        <w:spacing w:before="100" w:beforeAutospacing="1" w:after="120" w:line="280" w:lineRule="exact"/>
        <w:jc w:val="both"/>
        <w:rPr>
          <w:rFonts w:cs="Times New Roman"/>
        </w:rPr>
      </w:pPr>
      <w:r w:rsidRPr="00C370EC">
        <w:rPr>
          <w:rFonts w:cs="Times New Roman"/>
        </w:rPr>
        <w:t xml:space="preserve"> Помощи, които попадат в обхвата на Общия регламент за групово освобождаване от задължението за предварително уведомяване на ЕК за предоставяне на държавна помощ от държавата членка (</w:t>
      </w:r>
      <w:r w:rsidRPr="00C370EC">
        <w:rPr>
          <w:rFonts w:cs="Times New Roman"/>
          <w:lang w:val="en-US"/>
        </w:rPr>
        <w:t>GBER</w:t>
      </w:r>
      <w:r w:rsidRPr="00C370EC">
        <w:rPr>
          <w:rFonts w:cs="Times New Roman"/>
        </w:rPr>
        <w:t>)</w:t>
      </w:r>
      <w:r w:rsidRPr="00C370EC">
        <w:rPr>
          <w:rStyle w:val="FootnoteReference"/>
          <w:rFonts w:cs="Times New Roman"/>
        </w:rPr>
        <w:footnoteReference w:id="90"/>
      </w:r>
      <w:r w:rsidRPr="00C370EC">
        <w:rPr>
          <w:rFonts w:cs="Times New Roman"/>
          <w:lang w:val="en-US"/>
        </w:rPr>
        <w:t xml:space="preserve"> (ABER з</w:t>
      </w:r>
      <w:r w:rsidRPr="00C370EC">
        <w:rPr>
          <w:rFonts w:cs="Times New Roman"/>
        </w:rPr>
        <w:t>а секторите селско стопанство и рибарство</w:t>
      </w:r>
      <w:r w:rsidRPr="00C370EC">
        <w:rPr>
          <w:rFonts w:cs="Times New Roman"/>
          <w:lang w:val="en-US"/>
        </w:rPr>
        <w:t>)</w:t>
      </w:r>
      <w:r w:rsidRPr="00C370EC">
        <w:rPr>
          <w:rFonts w:cs="Times New Roman"/>
        </w:rPr>
        <w:t>. Съгласно чл.4 б.”</w:t>
      </w:r>
      <w:r w:rsidRPr="00C370EC">
        <w:rPr>
          <w:rFonts w:cs="Times New Roman"/>
          <w:lang w:val="en-US"/>
        </w:rPr>
        <w:t>s</w:t>
      </w:r>
      <w:r w:rsidRPr="00C370EC">
        <w:rPr>
          <w:rFonts w:cs="Times New Roman"/>
        </w:rPr>
        <w:t>” на новия Регламент за групово освобождаване, не подлежи на предварителна нотификация  инвестиционна помощ за опазване на околната среда в размер до 15 млн. евро, за всяко едно предприятие, за всеки един проект. Видът на допустимата помощ, която подлежи на освобождаване е подробно описан в чл.5 на регламента. Помощта трябва да отговаря и на специфичните изисквания за  помощ за опазване на природната среда, разписани в  глава 7 на регламента.</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За de minimis и </w:t>
      </w:r>
      <w:r w:rsidRPr="00C370EC">
        <w:rPr>
          <w:rFonts w:cs="Times New Roman"/>
          <w:lang w:val="en-US"/>
        </w:rPr>
        <w:t>GBER</w:t>
      </w:r>
      <w:r w:rsidRPr="00C370EC">
        <w:rPr>
          <w:rFonts w:cs="Times New Roman"/>
        </w:rPr>
        <w:t>/</w:t>
      </w:r>
      <w:r w:rsidRPr="00C370EC">
        <w:rPr>
          <w:rFonts w:cs="Times New Roman"/>
          <w:lang w:val="en-US"/>
        </w:rPr>
        <w:t>ABER</w:t>
      </w:r>
      <w:r w:rsidRPr="00C370EC">
        <w:rPr>
          <w:rFonts w:cs="Times New Roman"/>
        </w:rPr>
        <w:t xml:space="preserve"> помощите УО трябва да направи самооценка и да спази всички изисквания, разписани в регламента в схемите за подпомагане и/или в индивидуалните помощи. </w:t>
      </w:r>
    </w:p>
    <w:p w:rsidR="00FC58CF" w:rsidRDefault="00FC58CF" w:rsidP="000028FE">
      <w:pPr>
        <w:spacing w:before="100" w:beforeAutospacing="1" w:after="120" w:line="280" w:lineRule="exact"/>
        <w:jc w:val="both"/>
        <w:rPr>
          <w:rFonts w:cs="Times New Roman"/>
        </w:rPr>
      </w:pPr>
      <w:r w:rsidRPr="00C370EC">
        <w:rPr>
          <w:rFonts w:cs="Times New Roman"/>
        </w:rPr>
        <w:t xml:space="preserve">В случаи на схема на държавни помощи, които попадат в обхвата на </w:t>
      </w:r>
      <w:r w:rsidRPr="00C370EC">
        <w:rPr>
          <w:rFonts w:cs="Times New Roman"/>
          <w:lang w:val="en-US"/>
        </w:rPr>
        <w:t>GBER</w:t>
      </w:r>
      <w:r w:rsidRPr="00C370EC">
        <w:rPr>
          <w:rFonts w:cs="Times New Roman"/>
        </w:rPr>
        <w:t xml:space="preserve">, администраторът на помощта (УО) е длъжен да разработи самостоятелно схемата на помощ при спазване на всички изисквания и критерии, по начина, по който са определени в  </w:t>
      </w:r>
      <w:r w:rsidRPr="00C370EC">
        <w:rPr>
          <w:rFonts w:cs="Times New Roman"/>
          <w:lang w:val="en-US"/>
        </w:rPr>
        <w:t>GBER</w:t>
      </w:r>
      <w:r w:rsidRPr="00C370EC">
        <w:rPr>
          <w:rFonts w:cs="Times New Roman"/>
        </w:rPr>
        <w:t xml:space="preserve"> за конкретния вид помощ. Като общо правило схемата следва да съдържа </w:t>
      </w:r>
      <w:r w:rsidRPr="00C370EC">
        <w:rPr>
          <w:rFonts w:cs="Times New Roman"/>
          <w:u w:val="single"/>
        </w:rPr>
        <w:t>параметри по отношение на  интензитета на помощта, приемливите разходи, обхвата на помощта, препратка към релевантните  регламенти на ЕС за конкретния вид помощ.</w:t>
      </w:r>
      <w:r w:rsidRPr="00C370EC">
        <w:rPr>
          <w:rFonts w:cs="Times New Roman"/>
        </w:rPr>
        <w:t xml:space="preserve"> </w:t>
      </w:r>
    </w:p>
    <w:p w:rsidR="00E31AAC" w:rsidRPr="003A69A7" w:rsidRDefault="00E31AAC" w:rsidP="00E31AAC">
      <w:pPr>
        <w:spacing w:before="100" w:beforeAutospacing="1" w:after="120" w:line="280" w:lineRule="exact"/>
        <w:jc w:val="both"/>
        <w:rPr>
          <w:lang w:val="en-US"/>
        </w:rPr>
      </w:pPr>
      <w:r w:rsidRPr="003A69A7">
        <w:t xml:space="preserve">На второ място, преди да се приеме, че </w:t>
      </w:r>
      <w:r w:rsidRPr="003A69A7">
        <w:rPr>
          <w:lang w:val="en-US"/>
        </w:rPr>
        <w:t>GBER</w:t>
      </w:r>
      <w:r w:rsidRPr="003A69A7">
        <w:t xml:space="preserve"> е приложим към разработената от администратора помощ е задължително, администраторът  да съгласува условията на помощта с наблюдаващия национален орган – Министъра на финансите по реда на чл.9 ал.1 от ЗДП.</w:t>
      </w:r>
    </w:p>
    <w:p w:rsidR="00E31AAC" w:rsidRPr="003A69A7" w:rsidRDefault="00E31AAC" w:rsidP="00E31AAC">
      <w:pPr>
        <w:spacing w:before="100" w:beforeAutospacing="1" w:after="120" w:line="280" w:lineRule="exact"/>
        <w:jc w:val="both"/>
      </w:pPr>
      <w:r w:rsidRPr="003A69A7">
        <w:t xml:space="preserve">Уведомлението трябва да отговаря на условията  на раздел ІІІ </w:t>
      </w:r>
      <w:r w:rsidRPr="003A69A7">
        <w:rPr>
          <w:lang w:val="en-US"/>
        </w:rPr>
        <w:t xml:space="preserve"> </w:t>
      </w:r>
      <w:r w:rsidRPr="003A69A7">
        <w:t>на Правилника за  прилагане на Закона за държавните помощи</w:t>
      </w:r>
      <w:r w:rsidRPr="003A69A7">
        <w:rPr>
          <w:rStyle w:val="FootnoteReference"/>
        </w:rPr>
        <w:footnoteReference w:id="91"/>
      </w:r>
      <w:r w:rsidRPr="003A69A7">
        <w:t xml:space="preserve"> (ППЗДП) и по-специално, на част ІІ на  Приложение № 1 на формуляр за предоставяне на обобщена информация съгласно задължението за докладване, установено в чл.9, параграф 1 на Регламент №800/2008 г. Администраторът на помощта (УО) следва да  посочи вида на схемата за държавна помощ, която по негова преценка попада в приложното поле на </w:t>
      </w:r>
      <w:r w:rsidRPr="003A69A7">
        <w:rPr>
          <w:lang w:val="en-US"/>
        </w:rPr>
        <w:t>GBER</w:t>
      </w:r>
      <w:r w:rsidRPr="003A69A7">
        <w:t xml:space="preserve">, потенциалните бенефициенти, размерът на държавното подпомагане и максималният интензитет на помощта в % или максималният размер на помощта в национална валута. Ако са предвидени бонуси за МСР същите следва да бъдат посочени с оглед забраната на надвишаване на фиксираните в </w:t>
      </w:r>
      <w:r w:rsidRPr="003A69A7">
        <w:rPr>
          <w:lang w:val="en-US"/>
        </w:rPr>
        <w:t>GBER</w:t>
      </w:r>
      <w:r w:rsidRPr="003A69A7">
        <w:t xml:space="preserve"> интензитети на помощи за  отделните видове помощи. Съгласно чл.3 ал5 на ППЗДП  администраторът </w:t>
      </w:r>
      <w:r w:rsidRPr="003A69A7">
        <w:lastRenderedPageBreak/>
        <w:t xml:space="preserve">на помощта изпраща  обобщената информация по официален път. Към уведомлението до МФ, също така,  се прилагат и всички необходими документи, които  доказват приложимостта на </w:t>
      </w:r>
      <w:r w:rsidRPr="003A69A7">
        <w:rPr>
          <w:lang w:val="en-US"/>
        </w:rPr>
        <w:t>GBER</w:t>
      </w:r>
      <w:r w:rsidRPr="003A69A7">
        <w:t xml:space="preserve"> за конкретната мярка на държавно подпомагане.  При условие, че Министъра на финансите установи несъответствие на предлаганата мярка с правилата на регламента за групово освобождаване и администраторът на помощта не приведе мярката в съответствие в срока по чл.9 ал.3  на ЗДП, администраторът на помощта не може да приложи мярката, а е длъжен да подаде  уведомление по чл.7 от ЗДП до ЕК с оглед оценката на съвместимостта на мярката от страна на Европейската комисия. Едва след получаване на положително становище от МФ, администраторът на помощта може фактически да приложи мярката, но  съгласно чл.9 ал.5 от ЗДП е длъжен в срок от три дни след влизане в сила на мярката да уведоми МФ. Администраторът е длъжен своевременно да представя на МФ доклади за изпълнение на мярката съгласно  изискването на Наредба №6 за реда за наблюдение и осигуряване на прозрачност на държавните помощи.</w:t>
      </w:r>
      <w:r w:rsidRPr="003A69A7">
        <w:rPr>
          <w:rStyle w:val="FootnoteReference"/>
        </w:rPr>
        <w:footnoteReference w:id="92"/>
      </w:r>
      <w:r w:rsidRPr="003A69A7">
        <w:t xml:space="preserve"> Предоставената държавна помощ трябва да бъде включена в годишния доклад за отпуснатите държавни помощи, който до 31 март на текущата година  следва да се представи на наблюдаващия орган за държавните помощи на Република България- Министъра на финансите. Също така администраторът на помощта следва да изгради и поддържа собствени регистър на държавните помощи, в който да отразява всяка една промяна на вече одобрена схема на държавна помощ или промяна на бенефициентите по схемата. Съгласно  Наредба № 6 администраторът на помощта е длъжен периодически да уведомява МФ за всички промени  в европейското законодателство и практика , засягащи  държавните помощи в областта, за която отговаря.</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На второ място, преди да се приеме, че </w:t>
      </w:r>
      <w:r w:rsidRPr="00C370EC">
        <w:rPr>
          <w:rFonts w:cs="Times New Roman"/>
          <w:lang w:val="en-US"/>
        </w:rPr>
        <w:t>GBER</w:t>
      </w:r>
      <w:r w:rsidRPr="00C370EC">
        <w:rPr>
          <w:rFonts w:cs="Times New Roman"/>
        </w:rPr>
        <w:t xml:space="preserve"> е приложим към разработената от администратора помощ е задължително, администраторът  да съгласува условията на помощта с наблюдаващия национален орган – Министъра на финансите по реда на чл.9 ал.1 от ЗДП. Към уведомлението до МФ се прилагат и всички необходими документи, които  доказват приложимостта на </w:t>
      </w:r>
      <w:r w:rsidRPr="00C370EC">
        <w:rPr>
          <w:rFonts w:cs="Times New Roman"/>
          <w:lang w:val="en-US"/>
        </w:rPr>
        <w:t>GBER</w:t>
      </w:r>
      <w:r w:rsidRPr="00C370EC">
        <w:rPr>
          <w:rFonts w:cs="Times New Roman"/>
        </w:rPr>
        <w:t xml:space="preserve"> за конкретната мярка на държавно подпомагане. След получаване на положително становище от МФ администраторът може фактически да приложи мярката, но  съгласно чл.9 ал.5 от ЗДП е длъжен в срок от три дни след влизане в сила на мярката да уведоми МФ. Администраторът е длъжен своевременно да представя на МФ доклади за изпълнение на мярката.</w:t>
      </w:r>
    </w:p>
    <w:p w:rsidR="00FC58CF" w:rsidRPr="00C370EC" w:rsidRDefault="00FC58CF" w:rsidP="000028FE">
      <w:pPr>
        <w:spacing w:before="100" w:beforeAutospacing="1" w:after="120" w:line="280" w:lineRule="exact"/>
        <w:jc w:val="both"/>
        <w:rPr>
          <w:rFonts w:cs="Times New Roman"/>
        </w:rPr>
      </w:pPr>
      <w:r w:rsidRPr="00C370EC">
        <w:rPr>
          <w:rFonts w:cs="Times New Roman"/>
        </w:rPr>
        <w:t xml:space="preserve">При оценката относно приложимостта на  правилото </w:t>
      </w:r>
      <w:r w:rsidRPr="00C370EC">
        <w:rPr>
          <w:rFonts w:cs="Times New Roman"/>
          <w:lang w:val="en-US"/>
        </w:rPr>
        <w:t>de</w:t>
      </w:r>
      <w:r w:rsidRPr="00C370EC">
        <w:rPr>
          <w:rFonts w:cs="Times New Roman"/>
        </w:rPr>
        <w:t xml:space="preserve"> </w:t>
      </w:r>
      <w:r w:rsidRPr="00C370EC">
        <w:rPr>
          <w:rFonts w:cs="Times New Roman"/>
          <w:lang w:val="en-US"/>
        </w:rPr>
        <w:t>minimis</w:t>
      </w:r>
      <w:r w:rsidRPr="00C370EC">
        <w:rPr>
          <w:rFonts w:cs="Times New Roman"/>
        </w:rPr>
        <w:t xml:space="preserve"> и </w:t>
      </w:r>
      <w:r w:rsidRPr="00C370EC">
        <w:rPr>
          <w:rFonts w:cs="Times New Roman"/>
          <w:lang w:val="en-US"/>
        </w:rPr>
        <w:t>GBER</w:t>
      </w:r>
      <w:r w:rsidRPr="00C370EC">
        <w:rPr>
          <w:rFonts w:cs="Times New Roman"/>
        </w:rPr>
        <w:t>, включително и когато се използват средства с източник – фондове на ЕС следва се имат предвид следните правила:</w:t>
      </w:r>
    </w:p>
    <w:p w:rsidR="00FC58CF" w:rsidRPr="00C370EC" w:rsidRDefault="00FC58CF" w:rsidP="001A036E">
      <w:pPr>
        <w:numPr>
          <w:ilvl w:val="0"/>
          <w:numId w:val="88"/>
        </w:numPr>
        <w:spacing w:before="100" w:beforeAutospacing="1" w:after="120" w:line="280" w:lineRule="exact"/>
        <w:jc w:val="both"/>
        <w:rPr>
          <w:rFonts w:cs="Times New Roman"/>
        </w:rPr>
      </w:pPr>
      <w:r w:rsidRPr="00C370EC">
        <w:rPr>
          <w:rFonts w:cs="Times New Roman"/>
        </w:rPr>
        <w:t xml:space="preserve">Помощ </w:t>
      </w:r>
      <w:r w:rsidRPr="00C370EC">
        <w:rPr>
          <w:rFonts w:cs="Times New Roman"/>
          <w:lang w:val="en-US"/>
        </w:rPr>
        <w:t>de</w:t>
      </w:r>
      <w:r w:rsidRPr="00C370EC">
        <w:rPr>
          <w:rFonts w:cs="Times New Roman"/>
        </w:rPr>
        <w:t xml:space="preserve"> </w:t>
      </w:r>
      <w:r w:rsidRPr="00C370EC">
        <w:rPr>
          <w:rFonts w:cs="Times New Roman"/>
          <w:lang w:val="en-US"/>
        </w:rPr>
        <w:t>minimis</w:t>
      </w:r>
      <w:r w:rsidRPr="00C370EC">
        <w:rPr>
          <w:rFonts w:cs="Times New Roman"/>
        </w:rPr>
        <w:t xml:space="preserve"> </w:t>
      </w:r>
      <w:r w:rsidRPr="00C370EC">
        <w:rPr>
          <w:rFonts w:cs="Times New Roman"/>
          <w:u w:val="single"/>
        </w:rPr>
        <w:t>не се натрупва</w:t>
      </w:r>
      <w:r w:rsidRPr="00C370EC">
        <w:rPr>
          <w:rFonts w:cs="Times New Roman"/>
        </w:rPr>
        <w:t xml:space="preserve"> с държавна помощ за същите приемливи разходи, ако в резултат на това натрупване, интензитетът на помощта би превишил приемливите разходи за определени конкретни обстоятелства на отделния случай с </w:t>
      </w:r>
      <w:r w:rsidRPr="00C370EC">
        <w:rPr>
          <w:rFonts w:cs="Times New Roman"/>
          <w:lang w:val="en-US"/>
        </w:rPr>
        <w:t>GBER</w:t>
      </w:r>
      <w:r w:rsidRPr="00C370EC">
        <w:rPr>
          <w:rFonts w:cs="Times New Roman"/>
        </w:rPr>
        <w:t xml:space="preserve"> или индивидуално решение за ЕК за допустимост на държавната помощ.</w:t>
      </w:r>
    </w:p>
    <w:p w:rsidR="00FC58CF" w:rsidRPr="00C370EC" w:rsidRDefault="00FC58CF" w:rsidP="001A036E">
      <w:pPr>
        <w:numPr>
          <w:ilvl w:val="0"/>
          <w:numId w:val="88"/>
        </w:numPr>
        <w:spacing w:before="100" w:beforeAutospacing="1" w:after="120" w:line="280" w:lineRule="exact"/>
        <w:jc w:val="both"/>
        <w:rPr>
          <w:rFonts w:cs="Times New Roman"/>
        </w:rPr>
      </w:pPr>
      <w:r w:rsidRPr="00C370EC">
        <w:rPr>
          <w:rFonts w:cs="Times New Roman"/>
        </w:rPr>
        <w:t>Държавна помощ може да бъде натрупана  с друга помощ/помощи по отношение на същите приемливи разходи, само ако това натрупване няма да доведе до интензитет на помощта, надвишаващ максимално приложимия таван спрямо конкретната мярка.</w:t>
      </w:r>
    </w:p>
    <w:p w:rsidR="00C370EC" w:rsidRDefault="00FC58CF" w:rsidP="000028FE">
      <w:pPr>
        <w:spacing w:before="100" w:beforeAutospacing="1" w:after="120" w:line="280" w:lineRule="exact"/>
        <w:jc w:val="both"/>
        <w:rPr>
          <w:rFonts w:cs="Times New Roman"/>
        </w:rPr>
      </w:pPr>
      <w:r w:rsidRPr="00C370EC">
        <w:rPr>
          <w:rFonts w:cs="Times New Roman"/>
        </w:rPr>
        <w:t xml:space="preserve">При условие, че предвижданата мярка на държавна помощ, която ще се предостави чрез специфичен финансов инструмент не попада в обхвата на горепосочените изключения, то държавата членка, чрез националния си орган – за Република България, съгласно чл. 5 ал.2 т.3 от ЗДП Министъра на </w:t>
      </w:r>
      <w:r w:rsidRPr="00C370EC">
        <w:rPr>
          <w:rFonts w:cs="Times New Roman"/>
        </w:rPr>
        <w:lastRenderedPageBreak/>
        <w:t>финансите</w:t>
      </w:r>
      <w:r w:rsidRPr="00C370EC">
        <w:rPr>
          <w:rStyle w:val="FootnoteReference"/>
          <w:rFonts w:cs="Times New Roman"/>
        </w:rPr>
        <w:footnoteReference w:id="93"/>
      </w:r>
      <w:r w:rsidRPr="00C370EC">
        <w:rPr>
          <w:rFonts w:cs="Times New Roman"/>
        </w:rPr>
        <w:t>, е длъжна да нотифицира ЕК с уведомление по образец  за намерението си да предостави държавна помощ. Уведомлението се изготвя от администратора на помощта, проверява се от МФ и се изпраща от него до ЕК за оценка и произнасяне. Помощта се явява за законосъобразна и допустима след получаване на положително решение от ЕК, че помощта може да бъде предоставена. Администраторът на помощта не може да предостави помощ преди решението на ЕК. Същият носи  имуществена отговорност в лично качество, ако приведе в изпълнение нотифицираната помощ</w:t>
      </w:r>
      <w:r w:rsidRPr="00C370EC">
        <w:rPr>
          <w:rStyle w:val="FootnoteReference"/>
          <w:rFonts w:cs="Times New Roman"/>
        </w:rPr>
        <w:footnoteReference w:id="94"/>
      </w:r>
      <w:r w:rsidRPr="00C370EC">
        <w:rPr>
          <w:rFonts w:cs="Times New Roman"/>
        </w:rPr>
        <w:t>. Горната процедура се прилага както за случаите на предоставяне на индивидуална помощ, така и при предоставяне на помощ по схема за държавна помощ</w:t>
      </w:r>
      <w:r w:rsidRPr="00C370EC">
        <w:rPr>
          <w:rStyle w:val="FootnoteReference"/>
          <w:rFonts w:cs="Times New Roman"/>
        </w:rPr>
        <w:footnoteReference w:id="95"/>
      </w:r>
      <w:r w:rsidRPr="00C370EC">
        <w:rPr>
          <w:rFonts w:cs="Times New Roman"/>
        </w:rPr>
        <w:t>.</w:t>
      </w:r>
    </w:p>
    <w:p w:rsidR="009678AD" w:rsidRPr="009678AD" w:rsidRDefault="009678AD" w:rsidP="009678AD">
      <w:pPr>
        <w:pStyle w:val="Heading3"/>
        <w:spacing w:before="100" w:beforeAutospacing="1" w:after="120"/>
        <w:rPr>
          <w:rFonts w:asciiTheme="minorHAnsi" w:hAnsiTheme="minorHAnsi" w:cs="Times New Roman"/>
        </w:rPr>
      </w:pPr>
      <w:bookmarkStart w:id="148" w:name="_Toc399494550"/>
      <w:r>
        <w:rPr>
          <w:rFonts w:asciiTheme="minorHAnsi" w:hAnsiTheme="minorHAnsi" w:cs="Times New Roman"/>
        </w:rPr>
        <w:t xml:space="preserve">2.4.5. </w:t>
      </w:r>
      <w:r w:rsidRPr="009678AD">
        <w:rPr>
          <w:rFonts w:asciiTheme="minorHAnsi" w:hAnsiTheme="minorHAnsi" w:cs="Times New Roman"/>
        </w:rPr>
        <w:t>Оценка на съвместимостта на отделните видове финансови инструменти</w:t>
      </w:r>
      <w:bookmarkEnd w:id="148"/>
    </w:p>
    <w:p w:rsidR="004966E2" w:rsidRPr="004966E2" w:rsidRDefault="004966E2" w:rsidP="004966E2">
      <w:pPr>
        <w:jc w:val="both"/>
      </w:pPr>
      <w:r w:rsidRPr="004966E2">
        <w:t>Помощта, независимо от избрания финансов инструмент, предоставяна на крайни бенефициенти пряко или чрез финансови посредници</w:t>
      </w:r>
      <w:r w:rsidRPr="004966E2">
        <w:rPr>
          <w:vertAlign w:val="superscript"/>
        </w:rPr>
        <w:footnoteReference w:id="96"/>
      </w:r>
      <w:r w:rsidRPr="004966E2">
        <w:t xml:space="preserve"> подлежи на оценка за съвместимост съгласно правилата на държавните помощи в ЕС.</w:t>
      </w:r>
    </w:p>
    <w:p w:rsidR="004966E2" w:rsidRPr="004966E2" w:rsidRDefault="004966E2" w:rsidP="004966E2">
      <w:pPr>
        <w:jc w:val="both"/>
      </w:pPr>
      <w:r w:rsidRPr="004966E2">
        <w:t xml:space="preserve">За помощите, отговарящи на условията на </w:t>
      </w:r>
      <w:r w:rsidRPr="004966E2">
        <w:rPr>
          <w:lang w:val="en-US"/>
        </w:rPr>
        <w:t>GBER</w:t>
      </w:r>
      <w:r w:rsidRPr="004966E2">
        <w:t xml:space="preserve">, ЕК няма да извършва оценка за съответствие. В случаи на схема на държавни помощи, които попадат в обхвата на </w:t>
      </w:r>
      <w:r w:rsidRPr="004966E2">
        <w:rPr>
          <w:lang w:val="en-US"/>
        </w:rPr>
        <w:t>GBER</w:t>
      </w:r>
      <w:r w:rsidRPr="004966E2">
        <w:t xml:space="preserve">, администраторът на помощта (УО) е длъжен да разработи самостоятелно схемата на помощ при спазване на всички изисквания и критерии, по начина, по който са определени </w:t>
      </w:r>
      <w:r w:rsidR="006A1E64" w:rsidRPr="004966E2">
        <w:t>в GBER</w:t>
      </w:r>
      <w:r w:rsidRPr="004966E2">
        <w:t xml:space="preserve"> за конкретния вид помощ. Администраторът е </w:t>
      </w:r>
      <w:r w:rsidR="006A1E64" w:rsidRPr="004966E2">
        <w:t>длъжен да</w:t>
      </w:r>
      <w:r w:rsidRPr="004966E2">
        <w:t xml:space="preserve"> съгласува условията на помощта с наблюдаващия национален орган – Министъра на финансите, по реда на чл.9 ал.1 от </w:t>
      </w:r>
      <w:smartTag w:uri="schemas-fourth-com/fourthcoffee2" w:element="flavor2">
        <w:smartTagPr>
          <w:attr w:name="ProductID" w:val="ЗАКОН ЗА ДЪРЖАВНИЯ ПРОТОКОЛ &#10;ЗАКОН ЗА ДЪРЖАВНИТЕ ПОМОЩИ "/>
        </w:smartTagPr>
        <w:r w:rsidRPr="004966E2">
          <w:t>ЗДП</w:t>
        </w:r>
      </w:smartTag>
      <w:r w:rsidRPr="004966E2">
        <w:t>.</w:t>
      </w:r>
    </w:p>
    <w:p w:rsidR="004966E2" w:rsidRPr="004966E2" w:rsidRDefault="004966E2" w:rsidP="004966E2"/>
    <w:p w:rsidR="004966E2" w:rsidRPr="00C43A5F" w:rsidRDefault="004966E2" w:rsidP="004966E2">
      <w:pPr>
        <w:ind w:left="360"/>
        <w:rPr>
          <w:b/>
          <w:i/>
          <w:color w:val="2E74B5" w:themeColor="accent1" w:themeShade="BF"/>
        </w:rPr>
      </w:pPr>
      <w:r w:rsidRPr="00C43A5F">
        <w:rPr>
          <w:b/>
          <w:i/>
          <w:color w:val="2E74B5" w:themeColor="accent1" w:themeShade="BF"/>
        </w:rPr>
        <w:t>2.4.5.1. Рисково финансиране</w:t>
      </w:r>
    </w:p>
    <w:p w:rsidR="004966E2" w:rsidRPr="004966E2" w:rsidRDefault="004966E2" w:rsidP="004966E2">
      <w:pPr>
        <w:jc w:val="both"/>
      </w:pPr>
      <w:r w:rsidRPr="004966E2">
        <w:t xml:space="preserve">За мерките за помощ за рисково финансиране, които държавата членка или публичен субект на държавата членка извършват под формата на пряка инвестиция в предприятия, без участие на финансови посредници, не се прилагат правилата по </w:t>
      </w:r>
      <w:r w:rsidRPr="004966E2">
        <w:rPr>
          <w:lang w:val="en-US"/>
        </w:rPr>
        <w:t xml:space="preserve">GBER </w:t>
      </w:r>
      <w:r w:rsidRPr="004966E2">
        <w:t xml:space="preserve">или на специално издадените от ЕК за новия програмен период- </w:t>
      </w:r>
      <w:r w:rsidRPr="004966E2">
        <w:rPr>
          <w:b/>
        </w:rPr>
        <w:t xml:space="preserve">Насоки относно държавните помощи за насърчаване на инвестиции в рисковото финансиране </w:t>
      </w:r>
      <w:r w:rsidRPr="004966E2">
        <w:rPr>
          <w:lang w:val="ru-RU"/>
        </w:rPr>
        <w:t>(2014/</w:t>
      </w:r>
      <w:r w:rsidRPr="004966E2">
        <w:rPr>
          <w:lang w:val="en-US"/>
        </w:rPr>
        <w:t>C</w:t>
      </w:r>
      <w:r w:rsidRPr="004966E2">
        <w:rPr>
          <w:lang w:val="ru-RU"/>
        </w:rPr>
        <w:t xml:space="preserve"> 19/04). За тези форми на държавно подпомагане с</w:t>
      </w:r>
      <w:r w:rsidRPr="004966E2">
        <w:t xml:space="preserve">е прилагат също така, по подобие на помощта </w:t>
      </w:r>
      <w:r w:rsidRPr="004966E2">
        <w:rPr>
          <w:lang w:val="en-US"/>
        </w:rPr>
        <w:t>ad</w:t>
      </w:r>
      <w:r w:rsidRPr="004966E2">
        <w:rPr>
          <w:lang w:val="ru-RU"/>
        </w:rPr>
        <w:t xml:space="preserve"> </w:t>
      </w:r>
      <w:r w:rsidRPr="004966E2">
        <w:rPr>
          <w:lang w:val="en-US"/>
        </w:rPr>
        <w:t xml:space="preserve">hoc, </w:t>
      </w:r>
      <w:r w:rsidRPr="004966E2">
        <w:t>общите процедурни правила за уведомяване на ЕК за намерението да се предостави държавна помощ.</w:t>
      </w:r>
      <w:r w:rsidRPr="004966E2">
        <w:rPr>
          <w:vertAlign w:val="superscript"/>
        </w:rPr>
        <w:footnoteReference w:id="97"/>
      </w:r>
    </w:p>
    <w:p w:rsidR="004966E2" w:rsidRPr="004966E2" w:rsidRDefault="004966E2" w:rsidP="004966E2">
      <w:pPr>
        <w:jc w:val="both"/>
      </w:pPr>
      <w:r w:rsidRPr="004966E2">
        <w:lastRenderedPageBreak/>
        <w:t>Помощ за рисково финансиране не може да бъде предоставена на  големи предприятия, на предприятия, регистрирани на фондовата борса или регулиран пазар, тъй „като фактът, че те са котирани, доказва способността им да привличат частно финансиране”</w:t>
      </w:r>
      <w:r w:rsidRPr="004966E2">
        <w:rPr>
          <w:vertAlign w:val="superscript"/>
        </w:rPr>
        <w:footnoteReference w:id="98"/>
      </w:r>
      <w:r w:rsidRPr="004966E2">
        <w:t>.</w:t>
      </w:r>
    </w:p>
    <w:p w:rsidR="004966E2" w:rsidRPr="004966E2" w:rsidRDefault="004966E2" w:rsidP="004966E2">
      <w:pPr>
        <w:jc w:val="both"/>
      </w:pPr>
      <w:r w:rsidRPr="004966E2">
        <w:t>Комисията отказва да разглежда схеми на финансиране, при които отсъстват частни инвеститори</w:t>
      </w:r>
      <w:r w:rsidRPr="004966E2">
        <w:rPr>
          <w:vertAlign w:val="superscript"/>
        </w:rPr>
        <w:footnoteReference w:id="99"/>
      </w:r>
      <w:r w:rsidRPr="004966E2">
        <w:t xml:space="preserve">, при това същите  трябва да поемат равен на поетия от държавата стопански риск, както и в случаи, когато ползите от рисковата инвестиция </w:t>
      </w:r>
      <w:r w:rsidRPr="004966E2">
        <w:rPr>
          <w:lang w:val="en-US"/>
        </w:rPr>
        <w:t>с</w:t>
      </w:r>
      <w:r w:rsidRPr="004966E2">
        <w:t>а изцяло за сметка на частния инвеститор.</w:t>
      </w:r>
    </w:p>
    <w:p w:rsidR="004966E2" w:rsidRPr="004966E2" w:rsidRDefault="004966E2" w:rsidP="004966E2">
      <w:pPr>
        <w:jc w:val="both"/>
      </w:pPr>
      <w:r w:rsidRPr="004966E2">
        <w:t>Помощи за рисково финансиране няма да се приемат да съвместими с общия пазар, ако са предоставени на предприятия в затруднение или на предприятия, които са получили неправомерна държавна помощ, която не възстановена в пълен размер.</w:t>
      </w:r>
    </w:p>
    <w:p w:rsidR="004966E2" w:rsidRPr="004966E2" w:rsidRDefault="004966E2" w:rsidP="004966E2">
      <w:pPr>
        <w:jc w:val="both"/>
        <w:rPr>
          <w:lang w:val="ru-RU"/>
        </w:rPr>
      </w:pPr>
      <w:r w:rsidRPr="004966E2">
        <w:t xml:space="preserve">В определени случаи е възможно, определената схема за държавно подпомагане, да не представлява държавна помощ, по смисъла на чл. 107, </w:t>
      </w:r>
      <w:r w:rsidRPr="004966E2">
        <w:rPr>
          <w:lang w:val="ru-RU"/>
        </w:rPr>
        <w:t xml:space="preserve">(1) </w:t>
      </w:r>
      <w:r w:rsidRPr="004966E2">
        <w:t xml:space="preserve"> от ДФЕС. Обикновено, това са случаите, когато помощта отговаря на критерия на оператор в условията на пазарна икономика или защото, изпълнява условията на приложимия Регламент „</w:t>
      </w:r>
      <w:r w:rsidRPr="004966E2">
        <w:rPr>
          <w:lang w:val="en-US"/>
        </w:rPr>
        <w:t>de</w:t>
      </w:r>
      <w:r w:rsidRPr="004966E2">
        <w:rPr>
          <w:lang w:val="ru-RU"/>
        </w:rPr>
        <w:t xml:space="preserve"> </w:t>
      </w:r>
      <w:r w:rsidRPr="004966E2">
        <w:rPr>
          <w:lang w:val="en-US"/>
        </w:rPr>
        <w:t>minimis</w:t>
      </w:r>
      <w:r w:rsidRPr="004966E2">
        <w:t>”.</w:t>
      </w:r>
      <w:r w:rsidRPr="004966E2">
        <w:rPr>
          <w:lang w:val="ru-RU"/>
        </w:rPr>
        <w:t xml:space="preserve"> </w:t>
      </w:r>
    </w:p>
    <w:p w:rsidR="004966E2" w:rsidRPr="004966E2" w:rsidRDefault="004966E2" w:rsidP="004966E2">
      <w:pPr>
        <w:jc w:val="both"/>
      </w:pPr>
      <w:r w:rsidRPr="004966E2">
        <w:rPr>
          <w:lang w:val="ru-RU"/>
        </w:rPr>
        <w:t xml:space="preserve">В първия случай е задължително </w:t>
      </w:r>
      <w:r w:rsidRPr="004966E2">
        <w:t xml:space="preserve">икономическите операции, които осъществяват публичните органи, да са извършени на принципа </w:t>
      </w:r>
      <w:r w:rsidRPr="004966E2">
        <w:rPr>
          <w:lang w:val="en-US"/>
        </w:rPr>
        <w:t>pari</w:t>
      </w:r>
      <w:r w:rsidRPr="004966E2">
        <w:rPr>
          <w:lang w:val="ru-RU"/>
        </w:rPr>
        <w:t xml:space="preserve"> </w:t>
      </w:r>
      <w:r w:rsidRPr="004966E2">
        <w:rPr>
          <w:lang w:val="en-US"/>
        </w:rPr>
        <w:t>passu</w:t>
      </w:r>
      <w:r w:rsidRPr="004966E2">
        <w:rPr>
          <w:lang w:val="ru-RU"/>
        </w:rPr>
        <w:t>-</w:t>
      </w:r>
      <w:r w:rsidRPr="004966E2">
        <w:t>т.е. публичните и частните инвеститори поделят еднакъв риск и имат еднакви ползи, а също така имат еднакво ниво на субординация по отношение на един и същ риск.</w:t>
      </w:r>
      <w:r w:rsidRPr="004966E2">
        <w:rPr>
          <w:vertAlign w:val="superscript"/>
        </w:rPr>
        <w:footnoteReference w:id="100"/>
      </w:r>
      <w:r w:rsidRPr="004966E2">
        <w:t xml:space="preserve"> Освен това е необходимо и участието на частния инвеститор да е значимо. Обикновено, частни инвестиции в размер на 30 % от общия бюджет на рисковата инвестиция, независимо от избрания финансов инструмент, се счита за значимо. При спазването на тези общи условия, Комисията приема, че предприятието, в което се инвестира рисковият капитал не е бенефициент на държавна помощ, тъй като инвестицията може да се разглежда като направена при пазарни условия.</w:t>
      </w:r>
    </w:p>
    <w:p w:rsidR="004966E2" w:rsidRPr="004966E2" w:rsidRDefault="004966E2" w:rsidP="004966E2">
      <w:pPr>
        <w:jc w:val="both"/>
      </w:pPr>
      <w:r w:rsidRPr="004966E2">
        <w:t xml:space="preserve">Вече </w:t>
      </w:r>
      <w:r w:rsidR="00FE4F8E" w:rsidRPr="004966E2">
        <w:t>отбелязахме</w:t>
      </w:r>
      <w:r w:rsidRPr="004966E2">
        <w:t>, че възможните финансови инструменти за рисково финансиране</w:t>
      </w:r>
      <w:r w:rsidRPr="004966E2">
        <w:rPr>
          <w:vertAlign w:val="superscript"/>
        </w:rPr>
        <w:footnoteReference w:id="101"/>
      </w:r>
      <w:r w:rsidRPr="004966E2">
        <w:t xml:space="preserve"> в полза на независимо частни </w:t>
      </w:r>
      <w:r w:rsidR="00FE4F8E" w:rsidRPr="004966E2">
        <w:t>инвеститори, на</w:t>
      </w:r>
      <w:r w:rsidRPr="004966E2">
        <w:t xml:space="preserve"> равнище финансови посредници, за които се прилага </w:t>
      </w:r>
      <w:r w:rsidRPr="004966E2">
        <w:rPr>
          <w:lang w:val="en-US"/>
        </w:rPr>
        <w:t>GBER</w:t>
      </w:r>
      <w:r w:rsidRPr="004966E2">
        <w:t xml:space="preserve"> или индивидуалния режим за оценка за съвместимост, подробно обяснен, в Насоки относно държавните помощи за насърчаване на инвестиции в рисковото финансиране, могат да бъдат систематизирани в следните категории финансови инструменти:</w:t>
      </w:r>
    </w:p>
    <w:p w:rsidR="004966E2" w:rsidRPr="004966E2" w:rsidRDefault="004966E2" w:rsidP="00DF6FCF">
      <w:pPr>
        <w:numPr>
          <w:ilvl w:val="0"/>
          <w:numId w:val="25"/>
        </w:numPr>
        <w:jc w:val="both"/>
      </w:pPr>
      <w:r w:rsidRPr="004966E2">
        <w:t>Гаранции за покриване на загубите от инвестиции за рисково финансиране пряко или непряко на допустими предприятия;</w:t>
      </w:r>
    </w:p>
    <w:p w:rsidR="004966E2" w:rsidRPr="004966E2" w:rsidRDefault="004966E2" w:rsidP="00DF6FCF">
      <w:pPr>
        <w:numPr>
          <w:ilvl w:val="0"/>
          <w:numId w:val="25"/>
        </w:numPr>
        <w:jc w:val="both"/>
      </w:pPr>
      <w:r w:rsidRPr="004966E2">
        <w:t>Заеми за предоставяне на инвестиции за рисково финансиране пряко или непряко на допустими предприятия;</w:t>
      </w:r>
    </w:p>
    <w:p w:rsidR="004966E2" w:rsidRPr="004966E2" w:rsidRDefault="004966E2" w:rsidP="00DF6FCF">
      <w:pPr>
        <w:numPr>
          <w:ilvl w:val="0"/>
          <w:numId w:val="25"/>
        </w:numPr>
        <w:jc w:val="both"/>
      </w:pPr>
      <w:r w:rsidRPr="004966E2">
        <w:lastRenderedPageBreak/>
        <w:t xml:space="preserve">Капиталово или квазикапиталово участие или финансова </w:t>
      </w:r>
      <w:r w:rsidR="006A1E64" w:rsidRPr="004966E2">
        <w:t>дотация за</w:t>
      </w:r>
      <w:r w:rsidRPr="004966E2">
        <w:t xml:space="preserve"> предоставяне на </w:t>
      </w:r>
      <w:r w:rsidR="00FE4F8E" w:rsidRPr="004966E2">
        <w:t>инвестиции за</w:t>
      </w:r>
      <w:r w:rsidRPr="004966E2">
        <w:t xml:space="preserve"> рисково финансиране пряко или непряко на допустими предприятия.</w:t>
      </w:r>
    </w:p>
    <w:p w:rsidR="004966E2" w:rsidRPr="004966E2" w:rsidRDefault="004966E2" w:rsidP="004966E2">
      <w:pPr>
        <w:jc w:val="both"/>
      </w:pPr>
      <w:r w:rsidRPr="004966E2">
        <w:t xml:space="preserve">Финансовите посредници, които управляват акумулираните средства, независимо от тяхната правна форма, трябва да отговарят на различни условия, когато се прилагат </w:t>
      </w:r>
      <w:r w:rsidRPr="004966E2">
        <w:rPr>
          <w:lang w:val="en-US"/>
        </w:rPr>
        <w:t>GBER</w:t>
      </w:r>
      <w:r w:rsidRPr="004966E2">
        <w:t xml:space="preserve"> или когато се прилагат Насоките относно държавните помощи за насърчаване на инвестиции в рисковото финансиране. Съществуват обаче, общи, императивни условия,  за да може схемата за рисково подпомагане да бъде оценена като съвместима с общия пазар. Тези условия са следните:</w:t>
      </w:r>
    </w:p>
    <w:p w:rsidR="004966E2" w:rsidRPr="004966E2" w:rsidRDefault="004966E2" w:rsidP="00DF6FCF">
      <w:pPr>
        <w:numPr>
          <w:ilvl w:val="0"/>
          <w:numId w:val="26"/>
        </w:numPr>
        <w:jc w:val="both"/>
      </w:pPr>
      <w:r w:rsidRPr="004966E2">
        <w:t xml:space="preserve">Финансовият посредник/посредници или управители на фондове се подбират чрез открита, прозрачна и недискриминационна процедура в съответствие с приложимото съюзно или  национално право, която има за цел  установяването на подходящи механизми за споделяне на рисковете и ползите, като за инвестиции, които не са под формата на гаранции се отдава предпочитание на </w:t>
      </w:r>
      <w:r w:rsidR="006A1E64" w:rsidRPr="004966E2">
        <w:t>асиметричното</w:t>
      </w:r>
      <w:r w:rsidRPr="004966E2">
        <w:t xml:space="preserve">  разпределение на печалбата пред защитата срещу рискове от загуби;</w:t>
      </w:r>
    </w:p>
    <w:p w:rsidR="004966E2" w:rsidRPr="004966E2" w:rsidRDefault="004966E2" w:rsidP="00DF6FCF">
      <w:pPr>
        <w:numPr>
          <w:ilvl w:val="0"/>
          <w:numId w:val="26"/>
        </w:numPr>
        <w:jc w:val="both"/>
      </w:pPr>
      <w:r w:rsidRPr="004966E2">
        <w:t>Финансовият посредник се управлява на търговски принцип. Това изискване се счита за изпълнено, когато финансовият  посредник, в зависимост от вида финансов инструмент, управителят на фонда или друг ръководен орган отговарят на следните условия:</w:t>
      </w:r>
    </w:p>
    <w:p w:rsidR="004966E2" w:rsidRPr="004966E2" w:rsidRDefault="004966E2" w:rsidP="00DF6FCF">
      <w:pPr>
        <w:numPr>
          <w:ilvl w:val="0"/>
          <w:numId w:val="27"/>
        </w:numPr>
        <w:jc w:val="both"/>
      </w:pPr>
      <w:r w:rsidRPr="004966E2">
        <w:t>да действат добросъвестно и с грижата на професионален управител, като прилагат най-добрите практики и подлежи на регулаторен контрол;</w:t>
      </w:r>
    </w:p>
    <w:p w:rsidR="004966E2" w:rsidRPr="004966E2" w:rsidRDefault="004966E2" w:rsidP="00DF6FCF">
      <w:pPr>
        <w:numPr>
          <w:ilvl w:val="0"/>
          <w:numId w:val="27"/>
        </w:numPr>
        <w:jc w:val="both"/>
      </w:pPr>
      <w:r w:rsidRPr="004966E2">
        <w:t xml:space="preserve"> възнаграждението на управителя или ръководния орган съответства на пазарните  практики; </w:t>
      </w:r>
    </w:p>
    <w:p w:rsidR="004966E2" w:rsidRPr="004966E2" w:rsidRDefault="004966E2" w:rsidP="00DF6FCF">
      <w:pPr>
        <w:numPr>
          <w:ilvl w:val="0"/>
          <w:numId w:val="27"/>
        </w:numPr>
        <w:jc w:val="both"/>
      </w:pPr>
      <w:r w:rsidRPr="004966E2">
        <w:t>възнаграждението е обвързано с финансовия резултат;</w:t>
      </w:r>
    </w:p>
    <w:p w:rsidR="004966E2" w:rsidRDefault="004966E2" w:rsidP="00DF6FCF">
      <w:pPr>
        <w:numPr>
          <w:ilvl w:val="0"/>
          <w:numId w:val="27"/>
        </w:numPr>
        <w:jc w:val="both"/>
      </w:pPr>
      <w:r w:rsidRPr="004966E2">
        <w:t xml:space="preserve"> управителят е представил и защитил инвестиционна стратегия, критерии и график на инвестициите; инвеститорите имат право да бъдат представени в управленските органи на фонда като например надзорен или консултативен комитет.</w:t>
      </w:r>
    </w:p>
    <w:p w:rsidR="00F66BD6" w:rsidRPr="004966E2" w:rsidRDefault="00F66BD6" w:rsidP="00F66BD6">
      <w:pPr>
        <w:ind w:left="2220"/>
        <w:jc w:val="both"/>
      </w:pPr>
    </w:p>
    <w:p w:rsidR="004966E2" w:rsidRPr="00C43A5F" w:rsidRDefault="004966E2" w:rsidP="004966E2">
      <w:pPr>
        <w:ind w:left="360"/>
        <w:rPr>
          <w:b/>
          <w:i/>
          <w:color w:val="2E74B5" w:themeColor="accent1" w:themeShade="BF"/>
        </w:rPr>
      </w:pPr>
      <w:r w:rsidRPr="00C43A5F">
        <w:rPr>
          <w:b/>
          <w:i/>
          <w:color w:val="2E74B5" w:themeColor="accent1" w:themeShade="BF"/>
        </w:rPr>
        <w:t xml:space="preserve">2.4.5.2 </w:t>
      </w:r>
      <w:r w:rsidRPr="00C43A5F">
        <w:rPr>
          <w:b/>
          <w:i/>
          <w:color w:val="2E74B5" w:themeColor="accent1" w:themeShade="BF"/>
        </w:rPr>
        <w:tab/>
        <w:t xml:space="preserve">Предоставяне на гаранция </w:t>
      </w:r>
    </w:p>
    <w:p w:rsidR="004966E2" w:rsidRPr="004966E2" w:rsidRDefault="004966E2" w:rsidP="004966E2">
      <w:pPr>
        <w:jc w:val="both"/>
      </w:pPr>
      <w:r w:rsidRPr="004966E2">
        <w:t xml:space="preserve">Оценката на финансовия инструмент, при който е възможно да е  налице елемент на държавна помощ – мярка за рисково финансиране, чрез </w:t>
      </w:r>
      <w:r w:rsidRPr="004966E2">
        <w:rPr>
          <w:b/>
        </w:rPr>
        <w:t>предоставяне на гаранция</w:t>
      </w:r>
      <w:r w:rsidRPr="004966E2">
        <w:t xml:space="preserve">, покриване на загубите от инвестиции, пряко или непряко, на допустими предприятия, се извършва въз основа на правилата, разписани в Насоките относно държавните помощи за насърчаване на инвестиции в рисковото финансиране,  </w:t>
      </w:r>
      <w:r w:rsidRPr="004966E2">
        <w:rPr>
          <w:lang w:val="en-US"/>
        </w:rPr>
        <w:t>GBER</w:t>
      </w:r>
      <w:r w:rsidRPr="004966E2">
        <w:t xml:space="preserve"> и въз основа на специално издаденото  </w:t>
      </w:r>
      <w:r w:rsidRPr="004966E2">
        <w:rPr>
          <w:b/>
        </w:rPr>
        <w:t>Известие на Комисията относно прилагане на членове 87 и 88 от Договора за ЕО по отношение на държавните помощи под формата на гаранции</w:t>
      </w:r>
      <w:r w:rsidRPr="004966E2">
        <w:t>.</w:t>
      </w:r>
      <w:r w:rsidRPr="004966E2">
        <w:rPr>
          <w:vertAlign w:val="superscript"/>
        </w:rPr>
        <w:footnoteReference w:id="102"/>
      </w:r>
    </w:p>
    <w:p w:rsidR="004966E2" w:rsidRPr="004966E2" w:rsidRDefault="004966E2" w:rsidP="004966E2">
      <w:pPr>
        <w:jc w:val="both"/>
      </w:pPr>
      <w:r w:rsidRPr="004966E2">
        <w:t xml:space="preserve">Под гаранция за нуждите на анализа и оценката от регулатора следва да се </w:t>
      </w:r>
      <w:r w:rsidR="00EB6C68" w:rsidRPr="004966E2">
        <w:t xml:space="preserve">разбира,: </w:t>
      </w:r>
      <w:r w:rsidR="00EB6C68" w:rsidRPr="004966E2">
        <w:rPr>
          <w:i/>
        </w:rPr>
        <w:t>„писмен</w:t>
      </w:r>
      <w:r w:rsidRPr="004966E2">
        <w:rPr>
          <w:i/>
        </w:rPr>
        <w:t xml:space="preserve"> ангажимент за поемане на отговорност за всички кредитни операции за рисково финансиране от трета страна или на част от тях, например дългови или лизингови инструменти, както и </w:t>
      </w:r>
      <w:r w:rsidRPr="004966E2">
        <w:rPr>
          <w:i/>
        </w:rPr>
        <w:lastRenderedPageBreak/>
        <w:t>квазикапиталови инструменти</w:t>
      </w:r>
      <w:r w:rsidRPr="004966E2">
        <w:t>”</w:t>
      </w:r>
      <w:r w:rsidRPr="004966E2">
        <w:rPr>
          <w:vertAlign w:val="superscript"/>
        </w:rPr>
        <w:footnoteReference w:id="103"/>
      </w:r>
      <w:r w:rsidRPr="004966E2">
        <w:t xml:space="preserve">. </w:t>
      </w:r>
      <w:r w:rsidR="00473CCE" w:rsidRPr="004966E2">
        <w:t>Най-общо</w:t>
      </w:r>
      <w:r w:rsidRPr="004966E2">
        <w:t xml:space="preserve">, в най-честата си форма, гаранциите са свързани със заеми или с друго финансово задължение, което се договаря между заемополучателя и заемодателя. За да бъдат съвместими с изискванията на </w:t>
      </w:r>
      <w:r w:rsidRPr="004966E2">
        <w:rPr>
          <w:lang w:val="en-US"/>
        </w:rPr>
        <w:t>GBER</w:t>
      </w:r>
      <w:r w:rsidRPr="004966E2">
        <w:t>, гаранциите следва да се предоставят  в рамките на определени гаранционни схеми</w:t>
      </w:r>
      <w:r w:rsidRPr="004966E2">
        <w:rPr>
          <w:vertAlign w:val="superscript"/>
        </w:rPr>
        <w:footnoteReference w:id="104"/>
      </w:r>
      <w:r w:rsidRPr="004966E2">
        <w:t>.</w:t>
      </w:r>
    </w:p>
    <w:p w:rsidR="004966E2" w:rsidRPr="004966E2" w:rsidRDefault="004966E2" w:rsidP="004966E2">
      <w:pPr>
        <w:jc w:val="both"/>
      </w:pPr>
      <w:r w:rsidRPr="004966E2">
        <w:t>С оглед на правното си основание, съществуват  различни форми на гаранции. Без списъкът да е изчерпателен, съществуват  следните видове гаранции:</w:t>
      </w:r>
    </w:p>
    <w:p w:rsidR="004966E2" w:rsidRPr="004966E2" w:rsidRDefault="004966E2" w:rsidP="00DF6FCF">
      <w:pPr>
        <w:numPr>
          <w:ilvl w:val="0"/>
          <w:numId w:val="28"/>
        </w:numPr>
        <w:jc w:val="both"/>
        <w:rPr>
          <w:lang w:val="ru-RU"/>
        </w:rPr>
      </w:pPr>
      <w:r w:rsidRPr="004966E2">
        <w:rPr>
          <w:u w:val="single"/>
        </w:rPr>
        <w:t>общи гаранции</w:t>
      </w:r>
      <w:r w:rsidRPr="004966E2">
        <w:t>-т.е. гаранции, предоставени на предприятията като такива, за разлика от гаранциите, свързани със специфична трансакция, която може да бъде заем, капиталова инвестиция и др.;</w:t>
      </w:r>
      <w:r w:rsidRPr="004966E2">
        <w:rPr>
          <w:lang w:val="en-US"/>
        </w:rPr>
        <w:t xml:space="preserve"> </w:t>
      </w:r>
    </w:p>
    <w:p w:rsidR="004966E2" w:rsidRPr="004966E2" w:rsidRDefault="004966E2" w:rsidP="00DF6FCF">
      <w:pPr>
        <w:numPr>
          <w:ilvl w:val="0"/>
          <w:numId w:val="28"/>
        </w:numPr>
        <w:jc w:val="both"/>
        <w:rPr>
          <w:lang w:val="ru-RU"/>
        </w:rPr>
      </w:pPr>
      <w:r w:rsidRPr="004966E2">
        <w:rPr>
          <w:u w:val="single"/>
        </w:rPr>
        <w:t>гаранции предоставени със специфичен инструмент</w:t>
      </w:r>
      <w:r w:rsidRPr="004966E2">
        <w:t>, за разлика от гаранции, свързани със статута на предприятието;</w:t>
      </w:r>
      <w:r w:rsidRPr="004966E2">
        <w:rPr>
          <w:lang w:val="en-US"/>
        </w:rPr>
        <w:t xml:space="preserve"> </w:t>
      </w:r>
    </w:p>
    <w:p w:rsidR="004966E2" w:rsidRPr="004966E2" w:rsidRDefault="004966E2" w:rsidP="00DF6FCF">
      <w:pPr>
        <w:numPr>
          <w:ilvl w:val="0"/>
          <w:numId w:val="28"/>
        </w:numPr>
        <w:jc w:val="both"/>
        <w:rPr>
          <w:lang w:val="ru-RU"/>
        </w:rPr>
      </w:pPr>
      <w:r w:rsidRPr="004966E2">
        <w:rPr>
          <w:u w:val="single"/>
        </w:rPr>
        <w:t xml:space="preserve">гаранции предоставени директно или </w:t>
      </w:r>
      <w:r w:rsidR="00EB6C68" w:rsidRPr="004966E2">
        <w:rPr>
          <w:u w:val="single"/>
        </w:rPr>
        <w:t>контра гаранции</w:t>
      </w:r>
      <w:r w:rsidRPr="004966E2">
        <w:t>, предоставени от гаранта, първо ниво;</w:t>
      </w:r>
    </w:p>
    <w:p w:rsidR="004966E2" w:rsidRPr="004966E2" w:rsidRDefault="004966E2" w:rsidP="00DF6FCF">
      <w:pPr>
        <w:numPr>
          <w:ilvl w:val="0"/>
          <w:numId w:val="28"/>
        </w:numPr>
        <w:jc w:val="both"/>
        <w:rPr>
          <w:lang w:val="ru-RU"/>
        </w:rPr>
      </w:pPr>
      <w:r w:rsidRPr="004966E2">
        <w:rPr>
          <w:u w:val="single"/>
        </w:rPr>
        <w:t>гаранции, които произтичат от договорни отношения</w:t>
      </w:r>
      <w:r w:rsidRPr="004966E2">
        <w:rPr>
          <w:lang w:val="ru-RU"/>
        </w:rPr>
        <w:t xml:space="preserve"> (</w:t>
      </w:r>
      <w:r w:rsidRPr="004966E2">
        <w:t>официални договори, гаранционни писма</w:t>
      </w:r>
      <w:r w:rsidRPr="004966E2">
        <w:rPr>
          <w:lang w:val="ru-RU"/>
        </w:rPr>
        <w:t xml:space="preserve">) </w:t>
      </w:r>
      <w:r w:rsidRPr="004966E2">
        <w:t xml:space="preserve">или друг източник на правото, за разлика от гаранции, чийто форма е по-малко ясна </w:t>
      </w:r>
      <w:r w:rsidRPr="004966E2">
        <w:rPr>
          <w:lang w:val="ru-RU"/>
        </w:rPr>
        <w:t>(</w:t>
      </w:r>
      <w:r w:rsidRPr="004966E2">
        <w:t>като допълнителни писма, устно поемане на задължения</w:t>
      </w:r>
      <w:r w:rsidRPr="004966E2">
        <w:rPr>
          <w:lang w:val="ru-RU"/>
        </w:rPr>
        <w:t>).</w:t>
      </w:r>
    </w:p>
    <w:p w:rsidR="004966E2" w:rsidRPr="004966E2" w:rsidRDefault="004966E2" w:rsidP="004966E2">
      <w:pPr>
        <w:jc w:val="both"/>
      </w:pPr>
      <w:r w:rsidRPr="00473CCE">
        <w:t>Отправната точка за конкурентния анализ на предоставената гаранция от държавата членка на предприятието бенефициент е дали е разходван държавен ресурс. Ползата за бенефициента от предоставената гаранция е, че рискът, свързан с гаранцията, се поема от държавата. Такова поемане на риск от държавата нормално</w:t>
      </w:r>
      <w:r w:rsidRPr="004966E2">
        <w:t xml:space="preserve"> би трябвало да бъде възнаградено с подходяща премия. Когато държавата се отказва от цялата или от част от премията, е налице полза на предприятието и изтичане на ресурс от държавата. Следователно, дори и никакви плащания да не са извършени от държавата по предоставената от нея държавна гаранция е възможно да е налице държавна помощ по смисъла на чл.107 </w:t>
      </w:r>
      <w:r w:rsidRPr="004966E2">
        <w:rPr>
          <w:lang w:val="ru-RU"/>
        </w:rPr>
        <w:t xml:space="preserve">(1) </w:t>
      </w:r>
      <w:r w:rsidRPr="004966E2">
        <w:t xml:space="preserve"> на ДФЕС. </w:t>
      </w:r>
      <w:r w:rsidRPr="004966E2">
        <w:rPr>
          <w:b/>
          <w:i/>
        </w:rPr>
        <w:t>Помощта е предоставена в момента на даването на гаранцията, а не в момента, когато гаранцията е задействана или в момента, когато се правят някакви плащания, съгласно условията на гаранцията.</w:t>
      </w:r>
      <w:r w:rsidRPr="004966E2">
        <w:t xml:space="preserve"> Дали дадена гаранция представлява държавна помощ или не,</w:t>
      </w:r>
      <w:r w:rsidR="00EB6C68">
        <w:t xml:space="preserve"> </w:t>
      </w:r>
      <w:r w:rsidRPr="004966E2">
        <w:t>и, ако какъв може да бъде размерът на държавната помощ, трябва да се оцени в момента на предоставянето на гаранцията.</w:t>
      </w:r>
    </w:p>
    <w:p w:rsidR="004966E2" w:rsidRPr="004966E2" w:rsidRDefault="004966E2" w:rsidP="004966E2">
      <w:pPr>
        <w:jc w:val="both"/>
      </w:pPr>
      <w:r w:rsidRPr="004966E2">
        <w:t xml:space="preserve">За да приеме, че предоставена държавна помощ, чрез </w:t>
      </w:r>
      <w:r w:rsidRPr="004966E2">
        <w:rPr>
          <w:b/>
        </w:rPr>
        <w:t>индивидуална гаранция</w:t>
      </w:r>
      <w:r w:rsidRPr="004966E2">
        <w:t>, на определено предприятие е съвместима с правилата на държавните помощи в ЕС, същата трябва да отговаря на следните условия:</w:t>
      </w:r>
    </w:p>
    <w:p w:rsidR="004966E2" w:rsidRPr="004966E2" w:rsidRDefault="004966E2" w:rsidP="00DF6FCF">
      <w:pPr>
        <w:numPr>
          <w:ilvl w:val="0"/>
          <w:numId w:val="28"/>
        </w:numPr>
        <w:jc w:val="both"/>
      </w:pPr>
      <w:r w:rsidRPr="004966E2">
        <w:t>размерът на гаранцията трябва да бъде изчислен за определена максимална сума за специфична финансова трансакция, неограничена във времето;</w:t>
      </w:r>
    </w:p>
    <w:p w:rsidR="004966E2" w:rsidRPr="004966E2" w:rsidRDefault="004966E2" w:rsidP="00DF6FCF">
      <w:pPr>
        <w:numPr>
          <w:ilvl w:val="0"/>
          <w:numId w:val="28"/>
        </w:numPr>
        <w:jc w:val="both"/>
      </w:pPr>
      <w:r w:rsidRPr="004966E2">
        <w:lastRenderedPageBreak/>
        <w:t>гаранцията не трябва да покрива повече от 80% от неизплатения остатък от заема или от друго финансово задължение;</w:t>
      </w:r>
    </w:p>
    <w:p w:rsidR="004966E2" w:rsidRPr="004966E2" w:rsidRDefault="004966E2" w:rsidP="00DF6FCF">
      <w:pPr>
        <w:numPr>
          <w:ilvl w:val="0"/>
          <w:numId w:val="28"/>
        </w:numPr>
        <w:jc w:val="both"/>
      </w:pPr>
      <w:r w:rsidRPr="004966E2">
        <w:t>предприятието, заемополучател не трябва да е във финансово затруднение;</w:t>
      </w:r>
    </w:p>
    <w:p w:rsidR="004966E2" w:rsidRPr="004966E2" w:rsidRDefault="004966E2" w:rsidP="00DF6FCF">
      <w:pPr>
        <w:numPr>
          <w:ilvl w:val="0"/>
          <w:numId w:val="28"/>
        </w:numPr>
        <w:jc w:val="both"/>
      </w:pPr>
      <w:r w:rsidRPr="004966E2">
        <w:t>срокът на гаранцията трябва да бъде ограничен до максимум 10 години.</w:t>
      </w:r>
    </w:p>
    <w:p w:rsidR="004966E2" w:rsidRPr="004966E2" w:rsidRDefault="004966E2" w:rsidP="004966E2">
      <w:pPr>
        <w:jc w:val="both"/>
      </w:pPr>
      <w:r w:rsidRPr="004966E2">
        <w:t xml:space="preserve">При предоставянето на гаранция като мярка за рисково финансиране на предприятия по схема, управлявана от финансов посредник, за да се приеме, че </w:t>
      </w:r>
      <w:r w:rsidRPr="004966E2">
        <w:rPr>
          <w:b/>
        </w:rPr>
        <w:t>гаранциите по гаранционната схема,</w:t>
      </w:r>
      <w:r w:rsidRPr="004966E2">
        <w:t xml:space="preserve"> отговарят на изискванията на </w:t>
      </w:r>
      <w:r w:rsidRPr="004966E2">
        <w:rPr>
          <w:lang w:val="en-US"/>
        </w:rPr>
        <w:t>GBER</w:t>
      </w:r>
      <w:r w:rsidRPr="004966E2">
        <w:t xml:space="preserve"> и Насоките относно държавните помощи за насърчаване на инвестиции в рисковото финансиране, е необходимо да бъдат изпълнени следните условия:</w:t>
      </w:r>
    </w:p>
    <w:p w:rsidR="004966E2" w:rsidRPr="004966E2" w:rsidRDefault="004966E2" w:rsidP="00DF6FCF">
      <w:pPr>
        <w:numPr>
          <w:ilvl w:val="0"/>
          <w:numId w:val="28"/>
        </w:numPr>
        <w:jc w:val="both"/>
      </w:pPr>
      <w:r w:rsidRPr="004966E2">
        <w:t>-номиналният размер на заема, за който се издава гаранцията, се взема предвид при изчисляване на максималния размер на инвестицията. Гаранцията не може да надхвърля 80% от заема, за който е издадена;</w:t>
      </w:r>
    </w:p>
    <w:p w:rsidR="004966E2" w:rsidRPr="004966E2" w:rsidRDefault="004966E2" w:rsidP="00DF6FCF">
      <w:pPr>
        <w:numPr>
          <w:ilvl w:val="0"/>
          <w:numId w:val="28"/>
        </w:numPr>
        <w:jc w:val="both"/>
      </w:pPr>
      <w:r w:rsidRPr="004966E2">
        <w:t>-финансовият посредник трябва да докаже, че без помощта на гаранцията, инвестицията не би се осъществила или била се осъществила с ограничения. Финансовият посредник е длъжен да докаже, че използва механизъм, че всички предимства са прехвърлени въз възможно най-голяма степен на крайни бенефициенти под формата на по-ниска гаранционна схема.</w:t>
      </w:r>
      <w:r w:rsidRPr="004966E2">
        <w:rPr>
          <w:vertAlign w:val="superscript"/>
        </w:rPr>
        <w:footnoteReference w:id="105"/>
      </w:r>
    </w:p>
    <w:p w:rsidR="004966E2" w:rsidRPr="004966E2" w:rsidRDefault="004966E2" w:rsidP="004966E2">
      <w:pPr>
        <w:jc w:val="both"/>
      </w:pPr>
      <w:r w:rsidRPr="004966E2">
        <w:t xml:space="preserve">Комисията в </w:t>
      </w:r>
      <w:r w:rsidRPr="004966E2">
        <w:rPr>
          <w:b/>
        </w:rPr>
        <w:t>Известието на Комисията относно прилагане на членове 87 и 88 от Договора за ЕО по отношение на държавните помощи под формата на гаранции</w:t>
      </w:r>
      <w:r w:rsidRPr="004966E2">
        <w:t xml:space="preserve"> е регламентирала </w:t>
      </w:r>
      <w:r w:rsidRPr="004966E2">
        <w:rPr>
          <w:u w:val="single"/>
        </w:rPr>
        <w:t>облекчен механизъм</w:t>
      </w:r>
      <w:r w:rsidRPr="004966E2">
        <w:t xml:space="preserve"> за индивидуална оценка на риска на заемополучателя, ползващ гаранционната схема, с оглед на факта, че извършването на индивидуална оценка на риска на всеки заемополучател е скъп и труден процес, който може да е не подходящ,</w:t>
      </w:r>
      <w:r w:rsidRPr="004966E2">
        <w:rPr>
          <w:lang w:val="en-US"/>
        </w:rPr>
        <w:t xml:space="preserve"> </w:t>
      </w:r>
      <w:r w:rsidRPr="004966E2">
        <w:t xml:space="preserve">когато дадена гаранционна схема покрива голям брой заеми, за които схемата представлява инструмент за споделяне на риска. В тези случай, когато дадена схема се отнася до  предоставяне на гаранции на МСП и гарантираната сума не надвишава прага от 2.5 млн. евро за  дружество, участник в схемата, при спазване на другите условия, комисията приема, че предоставената гаранция попада в обхвата на </w:t>
      </w:r>
      <w:r w:rsidRPr="004966E2">
        <w:rPr>
          <w:lang w:val="en-US"/>
        </w:rPr>
        <w:t>GBER</w:t>
      </w:r>
      <w:r w:rsidRPr="004966E2">
        <w:t>.</w:t>
      </w:r>
    </w:p>
    <w:p w:rsidR="004966E2" w:rsidRDefault="004966E2" w:rsidP="004966E2">
      <w:pPr>
        <w:jc w:val="both"/>
      </w:pPr>
      <w:r w:rsidRPr="004966E2">
        <w:t>При условие, че се предоставят гаранции на стартиращи предприятия</w:t>
      </w:r>
      <w:r w:rsidRPr="004966E2">
        <w:rPr>
          <w:vertAlign w:val="superscript"/>
        </w:rPr>
        <w:footnoteReference w:id="106"/>
      </w:r>
      <w:r w:rsidRPr="004966E2">
        <w:t xml:space="preserve">, същите могат да не съответстват на пазарните условия за срок от 10 години, с максимален размер на гарантирания заем, за депресивен район, по смисъла на чл.107 </w:t>
      </w:r>
      <w:r w:rsidRPr="004966E2">
        <w:rPr>
          <w:lang w:val="ru-RU"/>
        </w:rPr>
        <w:t>(3)</w:t>
      </w:r>
      <w:r w:rsidRPr="004966E2">
        <w:t xml:space="preserve"> б.</w:t>
      </w:r>
      <w:r w:rsidR="00EB6C68">
        <w:t xml:space="preserve"> </w:t>
      </w:r>
      <w:r w:rsidRPr="004966E2">
        <w:t xml:space="preserve">”а” от ДФЕС, каквото е Република България, в размер на 3 млн.евро. </w:t>
      </w:r>
    </w:p>
    <w:p w:rsidR="00F66BD6" w:rsidRPr="004966E2" w:rsidRDefault="00F66BD6" w:rsidP="004966E2">
      <w:pPr>
        <w:jc w:val="both"/>
      </w:pPr>
    </w:p>
    <w:p w:rsidR="004966E2" w:rsidRPr="00C43A5F" w:rsidRDefault="004966E2" w:rsidP="004966E2">
      <w:pPr>
        <w:ind w:left="360"/>
        <w:rPr>
          <w:b/>
          <w:i/>
          <w:color w:val="2E74B5" w:themeColor="accent1" w:themeShade="BF"/>
        </w:rPr>
      </w:pPr>
      <w:r w:rsidRPr="00C43A5F">
        <w:rPr>
          <w:b/>
          <w:i/>
          <w:color w:val="2E74B5" w:themeColor="accent1" w:themeShade="BF"/>
        </w:rPr>
        <w:t>2.4.5.3. Заеми за инвестиции</w:t>
      </w:r>
    </w:p>
    <w:p w:rsidR="004966E2" w:rsidRPr="004966E2" w:rsidRDefault="004966E2" w:rsidP="004966E2">
      <w:pPr>
        <w:jc w:val="both"/>
      </w:pPr>
      <w:r w:rsidRPr="004966E2">
        <w:t xml:space="preserve">Възможно е предоставяне на дългови инструменти под формата на </w:t>
      </w:r>
      <w:r w:rsidRPr="004966E2">
        <w:rPr>
          <w:b/>
        </w:rPr>
        <w:t>заеми</w:t>
      </w:r>
      <w:r w:rsidRPr="004966E2">
        <w:rPr>
          <w:b/>
          <w:vertAlign w:val="superscript"/>
        </w:rPr>
        <w:footnoteReference w:id="107"/>
      </w:r>
      <w:r w:rsidRPr="004966E2">
        <w:rPr>
          <w:b/>
        </w:rPr>
        <w:t xml:space="preserve"> за инвестиции</w:t>
      </w:r>
      <w:r w:rsidRPr="004966E2">
        <w:t xml:space="preserve">, на равнище финансови посредници или пряко и непряко на допустими предприятия. Дълговите </w:t>
      </w:r>
      <w:r w:rsidRPr="004966E2">
        <w:lastRenderedPageBreak/>
        <w:t xml:space="preserve">инструменти, включващи  предоставянето на финансови средства, могат да  имат различни форми, включително подчинени заеми и заеми с поделяне на риска  на портфейла. Финансовите посредници могат да получат  подчинени заеми за укрепване на капиталовата структура, за да могат да предоставят допълнително финансиране на допустимите предприятия. Заемите с поделянето на риска по портфейла са предназначени за предоставяне на заеми на финансови посредници, което поемат задължението </w:t>
      </w:r>
      <w:r w:rsidR="00473CCE" w:rsidRPr="004966E2">
        <w:t>да съфинансират</w:t>
      </w:r>
      <w:r w:rsidRPr="004966E2">
        <w:t xml:space="preserve"> портфейл от нови заеми или лизинги на допустими предприятия до определен процент на съфинансиране в съчетание с поделяне на иска по портфейла за всеки отделен заем. В тези случаи, се приема, че кредитните институции, които поделят риска в </w:t>
      </w:r>
      <w:r w:rsidR="00473CCE" w:rsidRPr="004966E2">
        <w:t>портфейла следва</w:t>
      </w:r>
      <w:r w:rsidRPr="004966E2">
        <w:t xml:space="preserve"> да осигурят значителен процент на инвестициите от избрания финансов посредник. Такъв значителен процент следва да се </w:t>
      </w:r>
      <w:r w:rsidR="00473CCE" w:rsidRPr="004966E2">
        <w:t>разглежда, когато</w:t>
      </w:r>
      <w:r w:rsidRPr="004966E2">
        <w:t xml:space="preserve"> е осигурен повече от 30% от стойността на базисния кредитен портфейл.</w:t>
      </w:r>
    </w:p>
    <w:p w:rsidR="004966E2" w:rsidRPr="004966E2" w:rsidRDefault="004966E2" w:rsidP="004966E2">
      <w:pPr>
        <w:jc w:val="both"/>
      </w:pPr>
      <w:r w:rsidRPr="004966E2">
        <w:t xml:space="preserve">За да се приложи изключението по </w:t>
      </w:r>
      <w:r w:rsidRPr="004966E2">
        <w:rPr>
          <w:lang w:val="en-US"/>
        </w:rPr>
        <w:t>GBER</w:t>
      </w:r>
      <w:r w:rsidRPr="004966E2">
        <w:t xml:space="preserve">, при предоставяне на заеми от финансови посредници, трябва да </w:t>
      </w:r>
      <w:r w:rsidR="00AD0279" w:rsidRPr="004966E2">
        <w:t>привлекат допълнително</w:t>
      </w:r>
      <w:r w:rsidRPr="004966E2">
        <w:t xml:space="preserve"> финансиране от независими частни инвеститори на равнището на финансови посредници или на допустими предприятия, така че общият процент на частното участие да достигне </w:t>
      </w:r>
      <w:r w:rsidR="00AD0279" w:rsidRPr="004966E2">
        <w:t>следните минимални</w:t>
      </w:r>
      <w:r w:rsidRPr="004966E2">
        <w:t xml:space="preserve"> прагове:</w:t>
      </w:r>
    </w:p>
    <w:p w:rsidR="004966E2" w:rsidRPr="004966E2" w:rsidRDefault="004966E2" w:rsidP="00DF6FCF">
      <w:pPr>
        <w:numPr>
          <w:ilvl w:val="0"/>
          <w:numId w:val="29"/>
        </w:numPr>
        <w:jc w:val="both"/>
      </w:pPr>
      <w:r w:rsidRPr="004966E2">
        <w:t>10% от рисковото финансиране, предоставено на допустимо предприятие преди първата им търговска продажба на които и да е било пазар;</w:t>
      </w:r>
    </w:p>
    <w:p w:rsidR="004966E2" w:rsidRPr="004966E2" w:rsidRDefault="004966E2" w:rsidP="00DF6FCF">
      <w:pPr>
        <w:numPr>
          <w:ilvl w:val="0"/>
          <w:numId w:val="29"/>
        </w:numPr>
        <w:jc w:val="both"/>
      </w:pPr>
      <w:r w:rsidRPr="004966E2">
        <w:t xml:space="preserve">40% от рисковото </w:t>
      </w:r>
      <w:r w:rsidR="00AD0279" w:rsidRPr="004966E2">
        <w:t>финансиране, предоставен</w:t>
      </w:r>
      <w:r w:rsidR="00AD0279">
        <w:t>о</w:t>
      </w:r>
      <w:r w:rsidRPr="004966E2">
        <w:t xml:space="preserve"> на предприятие, което упражнява търговска дейност не по-малко от 7 години след първата търговска продажба;</w:t>
      </w:r>
    </w:p>
    <w:p w:rsidR="004966E2" w:rsidRPr="004966E2" w:rsidRDefault="004966E2" w:rsidP="00DF6FCF">
      <w:pPr>
        <w:numPr>
          <w:ilvl w:val="0"/>
          <w:numId w:val="29"/>
        </w:numPr>
        <w:jc w:val="both"/>
      </w:pPr>
      <w:r w:rsidRPr="004966E2">
        <w:t>60% от рисковото финансиране, предоставено на допустимо предприятие, което не се котира на фондовата борса, което има бизнес план, който предполага навлизането на нов пазар, като оборотът на този нов пазар ще надхвърли 50 % от средния ми годишен оборот за предходните 5 години.</w:t>
      </w:r>
    </w:p>
    <w:p w:rsidR="004966E2" w:rsidRDefault="004966E2" w:rsidP="004966E2">
      <w:pPr>
        <w:jc w:val="both"/>
      </w:pPr>
      <w:r w:rsidRPr="004966E2">
        <w:t xml:space="preserve">Във всички възможни форми на финансови инструменти, включително и за заеми, при </w:t>
      </w:r>
      <w:r w:rsidR="00784ABD" w:rsidRPr="004966E2">
        <w:t>асиметрично</w:t>
      </w:r>
      <w:r w:rsidRPr="004966E2">
        <w:t xml:space="preserve"> разпределение на загубата между публичните и частните инвеститори, първата загуба, поета от публичния инвеститор се ограничава до 25% от общия размер на инвестицията. </w:t>
      </w:r>
    </w:p>
    <w:p w:rsidR="004966E2" w:rsidRPr="00C43A5F" w:rsidRDefault="004966E2" w:rsidP="004966E2">
      <w:pPr>
        <w:ind w:left="360"/>
        <w:rPr>
          <w:b/>
          <w:i/>
          <w:color w:val="2E74B5" w:themeColor="accent1" w:themeShade="BF"/>
        </w:rPr>
      </w:pPr>
      <w:r w:rsidRPr="00C43A5F">
        <w:rPr>
          <w:b/>
          <w:i/>
          <w:color w:val="2E74B5" w:themeColor="accent1" w:themeShade="BF"/>
        </w:rPr>
        <w:t>2.4.5.4. Капиталови инвестиции и квазикапиталови инвестиции</w:t>
      </w:r>
    </w:p>
    <w:p w:rsidR="004966E2" w:rsidRPr="004966E2" w:rsidRDefault="004966E2" w:rsidP="004966E2">
      <w:pPr>
        <w:jc w:val="both"/>
      </w:pPr>
      <w:r w:rsidRPr="004966E2">
        <w:rPr>
          <w:b/>
        </w:rPr>
        <w:t>Капиталови инвестиции</w:t>
      </w:r>
      <w:r w:rsidRPr="004966E2">
        <w:rPr>
          <w:b/>
          <w:vertAlign w:val="superscript"/>
        </w:rPr>
        <w:footnoteReference w:id="108"/>
      </w:r>
      <w:r w:rsidRPr="004966E2">
        <w:rPr>
          <w:b/>
        </w:rPr>
        <w:t xml:space="preserve"> и квазикапиталовите инвестиции</w:t>
      </w:r>
      <w:r w:rsidRPr="004966E2">
        <w:rPr>
          <w:vertAlign w:val="superscript"/>
        </w:rPr>
        <w:footnoteReference w:id="109"/>
      </w:r>
      <w:r w:rsidRPr="004966E2">
        <w:t xml:space="preserve"> също така са възможни финансови инструменти за рисково финансиране.</w:t>
      </w:r>
      <w:r w:rsidRPr="004966E2">
        <w:rPr>
          <w:lang w:val="ru-RU"/>
        </w:rPr>
        <w:t xml:space="preserve"> От значима важност за оценката </w:t>
      </w:r>
      <w:r w:rsidRPr="004966E2">
        <w:t xml:space="preserve">са различните </w:t>
      </w:r>
      <w:r w:rsidR="00784ABD" w:rsidRPr="004966E2">
        <w:t>асиметрични</w:t>
      </w:r>
      <w:r w:rsidRPr="004966E2">
        <w:t xml:space="preserve"> характеристики на капиталовото участие, които предвиждат диференцирано третиране на </w:t>
      </w:r>
      <w:r w:rsidRPr="004966E2">
        <w:lastRenderedPageBreak/>
        <w:t xml:space="preserve">инвеститорите, тъй като някои от инвеститорите, в повечето случаи публичните власти, имат по-голямо участие в рисковете и по-малко участие в ползите. Обикновено, условията за участие на частните инвеститори включват защита, свързана с разпределение на печалбата </w:t>
      </w:r>
      <w:r w:rsidRPr="004966E2">
        <w:rPr>
          <w:lang w:val="ru-RU"/>
        </w:rPr>
        <w:t>(</w:t>
      </w:r>
      <w:r w:rsidRPr="004966E2">
        <w:rPr>
          <w:lang w:val="en-US"/>
        </w:rPr>
        <w:t>upside</w:t>
      </w:r>
      <w:r w:rsidRPr="004966E2">
        <w:rPr>
          <w:lang w:val="ru-RU"/>
        </w:rPr>
        <w:t xml:space="preserve"> </w:t>
      </w:r>
      <w:r w:rsidRPr="004966E2">
        <w:rPr>
          <w:lang w:val="en-US"/>
        </w:rPr>
        <w:t>protection</w:t>
      </w:r>
      <w:r w:rsidRPr="004966E2">
        <w:rPr>
          <w:lang w:val="ru-RU"/>
        </w:rPr>
        <w:t>)-</w:t>
      </w:r>
      <w:r w:rsidRPr="004966E2">
        <w:t xml:space="preserve">т.е. публичният инвеститор се отказва от печалбата, защита срещу част от загубите </w:t>
      </w:r>
      <w:r w:rsidRPr="004966E2">
        <w:rPr>
          <w:lang w:val="ru-RU"/>
        </w:rPr>
        <w:t>(</w:t>
      </w:r>
      <w:r w:rsidRPr="004966E2">
        <w:t>ограничаване на загубите на частния инвеститор</w:t>
      </w:r>
      <w:r w:rsidRPr="004966E2">
        <w:rPr>
          <w:lang w:val="ru-RU"/>
        </w:rPr>
        <w:t xml:space="preserve">) </w:t>
      </w:r>
      <w:r w:rsidRPr="004966E2">
        <w:t xml:space="preserve"> или комбинация от двете.</w:t>
      </w:r>
    </w:p>
    <w:p w:rsidR="004966E2" w:rsidRPr="004966E2" w:rsidRDefault="004966E2" w:rsidP="004966E2">
      <w:pPr>
        <w:jc w:val="both"/>
      </w:pPr>
      <w:r w:rsidRPr="004966E2">
        <w:t xml:space="preserve">Принципът за оценка на описаните </w:t>
      </w:r>
      <w:r w:rsidR="00784ABD" w:rsidRPr="004966E2">
        <w:t>асиметрични</w:t>
      </w:r>
      <w:r w:rsidRPr="004966E2">
        <w:t xml:space="preserve"> характеристики</w:t>
      </w:r>
      <w:r w:rsidRPr="004966E2">
        <w:rPr>
          <w:lang w:val="ru-RU"/>
        </w:rPr>
        <w:t xml:space="preserve"> </w:t>
      </w:r>
      <w:r w:rsidRPr="004966E2">
        <w:t xml:space="preserve">е </w:t>
      </w:r>
      <w:r w:rsidRPr="004966E2">
        <w:rPr>
          <w:lang w:val="en-US"/>
        </w:rPr>
        <w:t>pari</w:t>
      </w:r>
      <w:r w:rsidRPr="004966E2">
        <w:rPr>
          <w:lang w:val="ru-RU"/>
        </w:rPr>
        <w:t xml:space="preserve"> </w:t>
      </w:r>
      <w:r w:rsidRPr="004966E2">
        <w:rPr>
          <w:lang w:val="en-US"/>
        </w:rPr>
        <w:t>passu</w:t>
      </w:r>
      <w:r w:rsidRPr="004966E2">
        <w:t xml:space="preserve">, като възможните отклонения от границите, заложени в </w:t>
      </w:r>
      <w:r w:rsidRPr="004966E2">
        <w:rPr>
          <w:lang w:val="en-US"/>
        </w:rPr>
        <w:t>GBER</w:t>
      </w:r>
      <w:r w:rsidRPr="004966E2">
        <w:t xml:space="preserve">следва да се дефинират например, като сума на първа загуба, поемана от публичния инвеститор. </w:t>
      </w:r>
    </w:p>
    <w:p w:rsidR="004966E2" w:rsidRPr="004966E2" w:rsidRDefault="004966E2" w:rsidP="004966E2">
      <w:pPr>
        <w:jc w:val="both"/>
      </w:pPr>
      <w:r w:rsidRPr="004966E2">
        <w:t xml:space="preserve">Така например, в чл.21,т.13,„в”, на </w:t>
      </w:r>
      <w:r w:rsidRPr="004966E2">
        <w:rPr>
          <w:lang w:val="en-US"/>
        </w:rPr>
        <w:t>GBER</w:t>
      </w:r>
      <w:r w:rsidRPr="004966E2">
        <w:t xml:space="preserve">,  мярката за  рисково финансиране, под формата на капиталова инвестиция, не може да предвижда, в случая на </w:t>
      </w:r>
      <w:r w:rsidR="00784ABD" w:rsidRPr="004966E2">
        <w:t>асиметрично</w:t>
      </w:r>
      <w:r w:rsidRPr="004966E2">
        <w:t xml:space="preserve"> разпределение на загубата между частния и публичен инвеститор, първата загуба, поета от публичния инвеститор, да бъде над 25% от общия размер на инвестицията. </w:t>
      </w:r>
    </w:p>
    <w:p w:rsidR="004966E2" w:rsidRPr="005E17B6" w:rsidRDefault="005E17B6" w:rsidP="005E17B6">
      <w:pPr>
        <w:pStyle w:val="Heading3"/>
        <w:spacing w:before="100" w:beforeAutospacing="1" w:after="120"/>
        <w:rPr>
          <w:rFonts w:asciiTheme="minorHAnsi" w:hAnsiTheme="minorHAnsi" w:cs="Times New Roman"/>
        </w:rPr>
      </w:pPr>
      <w:bookmarkStart w:id="149" w:name="_Toc399494551"/>
      <w:r>
        <w:rPr>
          <w:rFonts w:asciiTheme="minorHAnsi" w:hAnsiTheme="minorHAnsi" w:cs="Times New Roman"/>
        </w:rPr>
        <w:t xml:space="preserve">2.4.6. </w:t>
      </w:r>
      <w:r w:rsidR="004966E2" w:rsidRPr="005E17B6">
        <w:rPr>
          <w:rFonts w:asciiTheme="minorHAnsi" w:hAnsiTheme="minorHAnsi" w:cs="Times New Roman"/>
        </w:rPr>
        <w:t>Специфични изисквания за оценка държавната помощ при прилагане на финансовите инструменти за опазване на околната среда</w:t>
      </w:r>
      <w:bookmarkEnd w:id="149"/>
    </w:p>
    <w:p w:rsidR="004966E2" w:rsidRPr="004966E2" w:rsidRDefault="004966E2" w:rsidP="004966E2">
      <w:pPr>
        <w:jc w:val="both"/>
      </w:pPr>
      <w:r w:rsidRPr="004966E2">
        <w:t xml:space="preserve">Вече посочихме, че на 28.06.2014 г., Европейската комисия обнародва нови </w:t>
      </w:r>
      <w:r w:rsidRPr="004966E2">
        <w:rPr>
          <w:b/>
        </w:rPr>
        <w:t>Насоки относно държавната помощ за опазване на околната среда и за енергетиката за периода 2014-2020 г.</w:t>
      </w:r>
      <w:r w:rsidRPr="004966E2">
        <w:rPr>
          <w:vertAlign w:val="superscript"/>
        </w:rPr>
        <w:footnoteReference w:id="110"/>
      </w:r>
      <w:r w:rsidRPr="004966E2">
        <w:rPr>
          <w:b/>
        </w:rPr>
        <w:t>(</w:t>
      </w:r>
      <w:r w:rsidRPr="004966E2">
        <w:t>Насоките</w:t>
      </w:r>
      <w:r w:rsidRPr="004966E2">
        <w:rPr>
          <w:b/>
        </w:rPr>
        <w:t xml:space="preserve">). </w:t>
      </w:r>
      <w:r w:rsidRPr="004966E2">
        <w:t xml:space="preserve">Насоките имат за цел да се информират държавите членки, публичните и частни субекти, опериращи в сферата на опазване на околната среда за подхода, който ще използва Комисията при оценка на проектите за държавни помощи, които донорите на помощта са депозирали в Комисията за оценка и санкция от нея. Насоките заедно с раздел „Седми” на </w:t>
      </w:r>
      <w:r w:rsidRPr="004966E2">
        <w:rPr>
          <w:lang w:val="en-US"/>
        </w:rPr>
        <w:t>GBER</w:t>
      </w:r>
      <w:r w:rsidRPr="004966E2">
        <w:t xml:space="preserve"> регламентират нова правна рамка на държавните помощи, която определено е насочена към повече частни инвестиции в сектора и към поетапното премахване на директните държавни помощи чрез заместването им с пазарни, финансови инструменти, с определен рисков елемент за публичните инвеститори. </w:t>
      </w:r>
    </w:p>
    <w:p w:rsidR="004966E2" w:rsidRPr="004966E2" w:rsidRDefault="004966E2" w:rsidP="004966E2">
      <w:pPr>
        <w:jc w:val="both"/>
      </w:pPr>
      <w:r w:rsidRPr="004966E2">
        <w:t>Съгласно разпоредбата на чл. 1.2. на Насоките, Комисията ще разглежда и оценява мерки за държавно подпомагане и ще се произнася с решение относно съвместимост на мерките с общия пазар по чл.108 (1) от ДФЕС за 14 вида мерки на държавно подпомагане в сектори околна среда и енергетика. От тези изчерпателно изброени мерки 4 мерки са относими към сектора околна среда както следва:</w:t>
      </w:r>
    </w:p>
    <w:p w:rsidR="004966E2" w:rsidRPr="004966E2" w:rsidRDefault="004966E2" w:rsidP="00DF6FCF">
      <w:pPr>
        <w:numPr>
          <w:ilvl w:val="0"/>
          <w:numId w:val="30"/>
        </w:numPr>
      </w:pPr>
      <w:r w:rsidRPr="004966E2">
        <w:t>помощ за  надхвърляне на стандартите на Съюза</w:t>
      </w:r>
      <w:r w:rsidRPr="004966E2">
        <w:rPr>
          <w:vertAlign w:val="superscript"/>
        </w:rPr>
        <w:footnoteReference w:id="111"/>
      </w:r>
      <w:r w:rsidRPr="004966E2">
        <w:t xml:space="preserve"> или за повишаване на нивото на нивото на околната среда при отсъствието на стандарти на Съюза;</w:t>
      </w:r>
    </w:p>
    <w:p w:rsidR="004966E2" w:rsidRPr="004966E2" w:rsidRDefault="004966E2" w:rsidP="00DF6FCF">
      <w:pPr>
        <w:numPr>
          <w:ilvl w:val="0"/>
          <w:numId w:val="30"/>
        </w:numPr>
      </w:pPr>
      <w:r w:rsidRPr="004966E2">
        <w:t>помощ за ранно адаптиране към бъдещи стандарти на Съюза;</w:t>
      </w:r>
    </w:p>
    <w:p w:rsidR="004966E2" w:rsidRPr="004966E2" w:rsidRDefault="004966E2" w:rsidP="00DF6FCF">
      <w:pPr>
        <w:numPr>
          <w:ilvl w:val="0"/>
          <w:numId w:val="30"/>
        </w:numPr>
      </w:pPr>
      <w:r w:rsidRPr="004966E2">
        <w:t>помощи за проучване в областта на околната среда;</w:t>
      </w:r>
    </w:p>
    <w:p w:rsidR="004966E2" w:rsidRPr="004966E2" w:rsidRDefault="004966E2" w:rsidP="00DF6FCF">
      <w:pPr>
        <w:numPr>
          <w:ilvl w:val="0"/>
          <w:numId w:val="30"/>
        </w:numPr>
      </w:pPr>
      <w:r w:rsidRPr="004966E2">
        <w:t>помощ за възстановяване на замърсени терени.</w:t>
      </w:r>
    </w:p>
    <w:p w:rsidR="004966E2" w:rsidRPr="004966E2" w:rsidRDefault="004966E2" w:rsidP="004966E2">
      <w:pPr>
        <w:jc w:val="both"/>
      </w:pPr>
      <w:r w:rsidRPr="004966E2">
        <w:lastRenderedPageBreak/>
        <w:t xml:space="preserve">Насоките относно държавната помощ за околната среда, по подобие на Насоките относно държавните помощи за насърчаване на инвестиции в рисковото финансиране, ще бъдат прилагани за оценка и произнасяне само за помощи </w:t>
      </w:r>
      <w:r w:rsidRPr="004966E2">
        <w:rPr>
          <w:lang w:val="en-US"/>
        </w:rPr>
        <w:t xml:space="preserve">ad </w:t>
      </w:r>
      <w:r w:rsidR="00473CCE" w:rsidRPr="004966E2">
        <w:rPr>
          <w:lang w:val="en-US"/>
        </w:rPr>
        <w:t xml:space="preserve">hoc </w:t>
      </w:r>
      <w:r w:rsidR="00473CCE" w:rsidRPr="004966E2">
        <w:t>и</w:t>
      </w:r>
      <w:r w:rsidRPr="004966E2">
        <w:t xml:space="preserve"> схеми на държавна помощ, които са били нотифицирани от държавата членка и, за които не се прилагат правилата на глава „Седма” на  </w:t>
      </w:r>
      <w:r w:rsidRPr="004966E2">
        <w:rPr>
          <w:lang w:val="en-US"/>
        </w:rPr>
        <w:t>GBER</w:t>
      </w:r>
      <w:r w:rsidRPr="004966E2">
        <w:t>.</w:t>
      </w:r>
      <w:r w:rsidRPr="004966E2">
        <w:rPr>
          <w:vertAlign w:val="superscript"/>
        </w:rPr>
        <w:footnoteReference w:id="112"/>
      </w:r>
    </w:p>
    <w:p w:rsidR="004966E2" w:rsidRPr="004966E2" w:rsidRDefault="004966E2" w:rsidP="004966E2">
      <w:pPr>
        <w:jc w:val="both"/>
      </w:pPr>
      <w:r w:rsidRPr="004966E2">
        <w:t xml:space="preserve">Насоките </w:t>
      </w:r>
      <w:r w:rsidR="002351EC" w:rsidRPr="004966E2">
        <w:t>за опазване</w:t>
      </w:r>
      <w:r w:rsidRPr="004966E2">
        <w:t xml:space="preserve"> на околната среда не се отклоняват от установените принципи за оценка на мярката на държавно подпомагане на ЕК. За да бъде прието, че мярката на държавно подпомагане, независимо от нейната форма</w:t>
      </w:r>
      <w:r w:rsidR="00447136">
        <w:t xml:space="preserve"> на проявяване</w:t>
      </w:r>
      <w:r w:rsidRPr="004966E2">
        <w:t xml:space="preserve"> и независимо дали е предоставена пряко от държавата членка или </w:t>
      </w:r>
      <w:r w:rsidR="00473CCE" w:rsidRPr="004966E2">
        <w:t>опосредствано</w:t>
      </w:r>
      <w:r w:rsidRPr="004966E2">
        <w:t xml:space="preserve"> чрез рисков финансов инструмент, трябва кумулативно да удовлетворява следните критерии</w:t>
      </w:r>
      <w:r w:rsidRPr="004966E2">
        <w:rPr>
          <w:vertAlign w:val="superscript"/>
        </w:rPr>
        <w:footnoteReference w:id="113"/>
      </w:r>
      <w:r w:rsidRPr="004966E2">
        <w:t>:</w:t>
      </w:r>
    </w:p>
    <w:p w:rsidR="004966E2" w:rsidRPr="004966E2" w:rsidRDefault="004966E2" w:rsidP="00DF6FCF">
      <w:pPr>
        <w:numPr>
          <w:ilvl w:val="0"/>
          <w:numId w:val="31"/>
        </w:numPr>
        <w:jc w:val="both"/>
      </w:pPr>
      <w:r w:rsidRPr="004966E2">
        <w:rPr>
          <w:u w:val="single"/>
        </w:rPr>
        <w:t>принос на мярката</w:t>
      </w:r>
      <w:r w:rsidRPr="004966E2">
        <w:t>-т.е. мярката за държавна помощ да е насочена към цел от общ интерес, в съответствие с  чл.107(3) на ДФЕС;</w:t>
      </w:r>
    </w:p>
    <w:p w:rsidR="004966E2" w:rsidRPr="004966E2" w:rsidRDefault="004966E2" w:rsidP="00DF6FCF">
      <w:pPr>
        <w:numPr>
          <w:ilvl w:val="0"/>
          <w:numId w:val="31"/>
        </w:numPr>
        <w:jc w:val="both"/>
      </w:pPr>
      <w:r w:rsidRPr="004966E2">
        <w:rPr>
          <w:u w:val="single"/>
        </w:rPr>
        <w:t>необходимост от държавна намеса</w:t>
      </w:r>
      <w:r w:rsidRPr="004966E2">
        <w:t>: мярката да е  насочена към коригиране на ситуация, в която предоставянето на помощ може да доведе до доведе до съществено подобрение, каквото не може да бъде постигнато само от пазара, например чрез отстраняване на ясно изразена пазарна неефективност;</w:t>
      </w:r>
    </w:p>
    <w:p w:rsidR="004966E2" w:rsidRPr="004966E2" w:rsidRDefault="004966E2" w:rsidP="00DF6FCF">
      <w:pPr>
        <w:numPr>
          <w:ilvl w:val="0"/>
          <w:numId w:val="31"/>
        </w:numPr>
        <w:jc w:val="both"/>
      </w:pPr>
      <w:r w:rsidRPr="004966E2">
        <w:rPr>
          <w:u w:val="single"/>
        </w:rPr>
        <w:t>целесъобразност на мярката на държавна помощ</w:t>
      </w:r>
      <w:r w:rsidRPr="004966E2">
        <w:t>;</w:t>
      </w:r>
    </w:p>
    <w:p w:rsidR="004966E2" w:rsidRPr="004966E2" w:rsidRDefault="004966E2" w:rsidP="00DF6FCF">
      <w:pPr>
        <w:numPr>
          <w:ilvl w:val="0"/>
          <w:numId w:val="31"/>
        </w:numPr>
        <w:jc w:val="both"/>
      </w:pPr>
      <w:r w:rsidRPr="004966E2">
        <w:rPr>
          <w:u w:val="single"/>
        </w:rPr>
        <w:t>стимулиращ ефект</w:t>
      </w:r>
      <w:r w:rsidRPr="004966E2">
        <w:t>: помощта трябва да променя поведението на съответното предприятие по такъв начин, че то да започне допълнителна дейност, която не би се осъществила без помощта или би се осъществила по ограничен или различен начин;</w:t>
      </w:r>
    </w:p>
    <w:p w:rsidR="004966E2" w:rsidRPr="004966E2" w:rsidRDefault="004966E2" w:rsidP="00DF6FCF">
      <w:pPr>
        <w:numPr>
          <w:ilvl w:val="0"/>
          <w:numId w:val="31"/>
        </w:numPr>
        <w:jc w:val="both"/>
      </w:pPr>
      <w:r w:rsidRPr="004966E2">
        <w:rPr>
          <w:u w:val="single"/>
        </w:rPr>
        <w:t>пропорционалност на помощта</w:t>
      </w:r>
      <w:r w:rsidRPr="004966E2">
        <w:t>: размерът на помощта е ограничен до необходимия минимум, за ад се стимулират допълнителни инвестиции или дейности в съответната област;</w:t>
      </w:r>
    </w:p>
    <w:p w:rsidR="004966E2" w:rsidRPr="004966E2" w:rsidRDefault="004966E2" w:rsidP="00DF6FCF">
      <w:pPr>
        <w:numPr>
          <w:ilvl w:val="0"/>
          <w:numId w:val="31"/>
        </w:numPr>
        <w:jc w:val="both"/>
      </w:pPr>
      <w:r w:rsidRPr="004966E2">
        <w:rPr>
          <w:u w:val="single"/>
        </w:rPr>
        <w:t>избягване на неоправдани отрицателни ефекти върху конкуренцията и търговията</w:t>
      </w:r>
      <w:r w:rsidRPr="004966E2">
        <w:t xml:space="preserve"> между държавите членки: отрицателните ефекти на помощта са ограничени в достатъчна степен, така че общият ефект на мярката е положителен;</w:t>
      </w:r>
    </w:p>
    <w:p w:rsidR="004966E2" w:rsidRPr="004966E2" w:rsidRDefault="004966E2" w:rsidP="00DF6FCF">
      <w:pPr>
        <w:numPr>
          <w:ilvl w:val="0"/>
          <w:numId w:val="31"/>
        </w:numPr>
        <w:jc w:val="both"/>
      </w:pPr>
      <w:r w:rsidRPr="004966E2">
        <w:rPr>
          <w:u w:val="single"/>
        </w:rPr>
        <w:t>прозрачност на помощта</w:t>
      </w:r>
      <w:r w:rsidRPr="004966E2">
        <w:t>: държавите членки, икономическите оператори и обществеността могат да получат достъп до всички актове и до информацията, отнасяща се до отпуснати съгласно тези актове помощ.</w:t>
      </w:r>
    </w:p>
    <w:p w:rsidR="004966E2" w:rsidRPr="004966E2" w:rsidRDefault="004966E2" w:rsidP="004966E2">
      <w:pPr>
        <w:jc w:val="both"/>
      </w:pPr>
      <w:r w:rsidRPr="004966E2">
        <w:t xml:space="preserve">По отношение на държавните помощи за ефективното използване на ресурсите и по-специално, помощи  за управление на отпадъците, в т.3.5 на Насоките са предвидени </w:t>
      </w:r>
      <w:r w:rsidRPr="004966E2">
        <w:rPr>
          <w:u w:val="single"/>
        </w:rPr>
        <w:t>специфични изисквания</w:t>
      </w:r>
      <w:r w:rsidRPr="004966E2">
        <w:t xml:space="preserve"> за предоставящия помощта, независимо от вида държавна помощ. Например, държавата членка трябва да демонстрира количествено измерими ползи в тази дейност, </w:t>
      </w:r>
      <w:r w:rsidR="00447136" w:rsidRPr="004966E2">
        <w:t>по-специално</w:t>
      </w:r>
      <w:r w:rsidRPr="004966E2">
        <w:t xml:space="preserve">, размерът на икономиите на ресурси и увеличената ефективност на ресурсите. Специфично за отпадъците е </w:t>
      </w:r>
      <w:r w:rsidRPr="004966E2">
        <w:lastRenderedPageBreak/>
        <w:t>необходимо държавата да представи план за управление на отпадъците, който да съответства на принципа за йерархията на отпадъците, съобразно Седмата програма за действие в областта на околната среда.</w:t>
      </w:r>
      <w:r w:rsidRPr="004966E2">
        <w:rPr>
          <w:vertAlign w:val="superscript"/>
        </w:rPr>
        <w:footnoteReference w:id="114"/>
      </w:r>
      <w:r w:rsidRPr="004966E2">
        <w:t xml:space="preserve"> Държавна помощ за управление на отпадъци ще бъде оторизирана единствено, когато мерките за държавна подпомагане включват дейности по повторна употреба и рециклиране на води и полезни изкопаеми, които в противен случай ще се третират като неоползотворени отпадъци. По-специално, в контекста на ПЗП предприятията, които генерират отпадъци, следва да бъдат освобождавани от разходи за тяхното третиране. Освен това не трябва да се засяга по отрицателен начин нормалното функциониране на пазарите на вторични суровини.</w:t>
      </w:r>
    </w:p>
    <w:p w:rsidR="004966E2" w:rsidRPr="004966E2" w:rsidRDefault="004966E2" w:rsidP="004966E2">
      <w:pPr>
        <w:jc w:val="both"/>
      </w:pPr>
      <w:r w:rsidRPr="004966E2">
        <w:t>Комисията  ще счете, че помощ за управление на отпадъци обслужва цели от общи интерес ако са изпълнени следните кумулативни условия:</w:t>
      </w:r>
    </w:p>
    <w:p w:rsidR="004966E2" w:rsidRPr="004966E2" w:rsidRDefault="004966E2" w:rsidP="00DF6FCF">
      <w:pPr>
        <w:numPr>
          <w:ilvl w:val="0"/>
          <w:numId w:val="32"/>
        </w:numPr>
      </w:pPr>
      <w:r w:rsidRPr="004966E2">
        <w:t xml:space="preserve"> инвестицията цели намаляване на замърсяването, причинено от други предприятия и не обхваща замърсяване, причинено от получателя на помощта;</w:t>
      </w:r>
    </w:p>
    <w:p w:rsidR="004966E2" w:rsidRPr="004966E2" w:rsidRDefault="004966E2" w:rsidP="00DF6FCF">
      <w:pPr>
        <w:numPr>
          <w:ilvl w:val="0"/>
          <w:numId w:val="32"/>
        </w:numPr>
      </w:pPr>
      <w:r w:rsidRPr="004966E2">
        <w:t>помощта не трябва да облекчава косвено замърсителите от тежестта, която трябва да бъде поета от тях според законодателството на съюза и на националното законодателство;</w:t>
      </w:r>
    </w:p>
    <w:p w:rsidR="004966E2" w:rsidRPr="004966E2" w:rsidRDefault="004966E2" w:rsidP="00DF6FCF">
      <w:pPr>
        <w:numPr>
          <w:ilvl w:val="0"/>
          <w:numId w:val="32"/>
        </w:numPr>
      </w:pPr>
      <w:r w:rsidRPr="004966E2">
        <w:t>инвестицията не трябва да  надвишава модернизацията- т.е. предотвратяване, повторно използване, рециклиране или повторно използване на традиционни технологии по иновационен начин, по- специално бъде насочена към кръгова икономиката, пир които отпадъците се използват като ресурс;</w:t>
      </w:r>
    </w:p>
    <w:p w:rsidR="004966E2" w:rsidRPr="004966E2" w:rsidRDefault="004966E2" w:rsidP="00DF6FCF">
      <w:pPr>
        <w:numPr>
          <w:ilvl w:val="0"/>
          <w:numId w:val="32"/>
        </w:numPr>
      </w:pPr>
      <w:r w:rsidRPr="004966E2">
        <w:t>в противен случай третираните материали  ще трябва да бъдат обезвредени или да се третират по начин, който е по-малко благоприятен за околната среда;</w:t>
      </w:r>
    </w:p>
    <w:p w:rsidR="004966E2" w:rsidRPr="004966E2" w:rsidRDefault="004966E2" w:rsidP="00DF6FCF">
      <w:pPr>
        <w:numPr>
          <w:ilvl w:val="0"/>
          <w:numId w:val="32"/>
        </w:numPr>
      </w:pPr>
      <w:r w:rsidRPr="004966E2">
        <w:t>инвестицията не води до обикновено повишаване в търсенето на материали, без да се увеличава събирането им.</w:t>
      </w:r>
    </w:p>
    <w:p w:rsidR="004966E2" w:rsidRPr="004966E2" w:rsidRDefault="004966E2" w:rsidP="004966E2">
      <w:pPr>
        <w:jc w:val="both"/>
      </w:pPr>
      <w:r w:rsidRPr="004966E2">
        <w:t>Съобразно използвания подход на прагове за отделните видове помощи и съответно интензитет на помощта</w:t>
      </w:r>
      <w:r w:rsidRPr="004966E2">
        <w:rPr>
          <w:vertAlign w:val="superscript"/>
        </w:rPr>
        <w:footnoteReference w:id="115"/>
      </w:r>
      <w:r w:rsidRPr="004966E2">
        <w:t>,</w:t>
      </w:r>
      <w:r w:rsidRPr="004966E2">
        <w:rPr>
          <w:lang w:val="en-US"/>
        </w:rPr>
        <w:t xml:space="preserve"> GBER</w:t>
      </w:r>
      <w:r w:rsidRPr="004966E2">
        <w:t xml:space="preserve"> предвижда максимален, допустим интензитет на </w:t>
      </w:r>
      <w:r w:rsidR="00447136" w:rsidRPr="004966E2">
        <w:t>помощта</w:t>
      </w:r>
      <w:r w:rsidR="00447136" w:rsidRPr="004966E2">
        <w:rPr>
          <w:vertAlign w:val="superscript"/>
        </w:rPr>
        <w:t>· при</w:t>
      </w:r>
      <w:r w:rsidRPr="004966E2">
        <w:t xml:space="preserve"> предоставяне на държавни инвестиционни помощи за предприятия за надвишаване на стандартите на Съюза. Този интензитет може да бъде увеличен с 10 пункта за помощи, предоставени на средните предприятия и с 20% за помощи, предоставени на малки предприятия. Допълнително за подпомагани предприятия в Република България интензитетът на помощта може да бъде увеличен с 15 пункта.</w:t>
      </w:r>
    </w:p>
    <w:p w:rsidR="004966E2" w:rsidRPr="004966E2" w:rsidRDefault="004966E2" w:rsidP="004966E2">
      <w:pPr>
        <w:jc w:val="both"/>
      </w:pPr>
      <w:r w:rsidRPr="004966E2">
        <w:t xml:space="preserve">За държавни помощи, предназначени за ранно адаптиране </w:t>
      </w:r>
      <w:r w:rsidR="00447136" w:rsidRPr="004966E2">
        <w:t>на бъдещи</w:t>
      </w:r>
      <w:r w:rsidRPr="004966E2">
        <w:t xml:space="preserve"> стандарти на Съюза</w:t>
      </w:r>
      <w:r w:rsidRPr="004966E2">
        <w:rPr>
          <w:vertAlign w:val="superscript"/>
        </w:rPr>
        <w:footnoteReference w:id="116"/>
      </w:r>
      <w:r w:rsidRPr="004966E2">
        <w:t xml:space="preserve">, интензитетът на помощта е ограничен до 20% от допустимите разходи за малки предприятия; 15% от допустимите разходи за средните предприятия; 10% от допустимите разходи за големи предприятия, ако изпълнение и приключване на инвестицията са настъпили повече от три години преди датата на влизане в сила на новия стандарт на съюза или 15% от допустимите разходи за малки предприятия; 10% от допустимите разходи за средните предприятия; 5% от допустимите разходи за големи предприятия, ако изпълнение и приключване на инвестицията са настъпили между една и три години </w:t>
      </w:r>
      <w:r w:rsidRPr="004966E2">
        <w:lastRenderedPageBreak/>
        <w:t xml:space="preserve">преди датата на влизане в сила на новия стандарт на </w:t>
      </w:r>
      <w:r w:rsidR="00447136" w:rsidRPr="004966E2">
        <w:t>съюза.</w:t>
      </w:r>
      <w:r w:rsidR="00447136" w:rsidRPr="004966E2">
        <w:rPr>
          <w:vertAlign w:val="superscript"/>
        </w:rPr>
        <w:t xml:space="preserve">· </w:t>
      </w:r>
      <w:r w:rsidRPr="004966E2">
        <w:t xml:space="preserve">По подобие на предходната помощ за райони попадащи по регионалната карта в хипотезата на </w:t>
      </w:r>
      <w:r w:rsidR="00447136" w:rsidRPr="004966E2">
        <w:t>чл. 107</w:t>
      </w:r>
      <w:r w:rsidRPr="004966E2">
        <w:t xml:space="preserve"> (1), б.</w:t>
      </w:r>
      <w:r w:rsidR="008A70C2">
        <w:t xml:space="preserve"> </w:t>
      </w:r>
      <w:r w:rsidRPr="004966E2">
        <w:t xml:space="preserve">”а” на </w:t>
      </w:r>
      <w:r w:rsidR="00EF223F" w:rsidRPr="004966E2">
        <w:t>ДФЕС, интензитетът</w:t>
      </w:r>
      <w:r w:rsidRPr="004966E2">
        <w:t xml:space="preserve"> на помощта  за предприятията от този регион може да се увеличи с още 15 процентни пункта. </w:t>
      </w:r>
    </w:p>
    <w:p w:rsidR="004966E2" w:rsidRPr="009678AD" w:rsidRDefault="004966E2" w:rsidP="009678AD">
      <w:pPr>
        <w:sectPr w:rsidR="004966E2" w:rsidRPr="009678AD" w:rsidSect="006E39EC">
          <w:pgSz w:w="11906" w:h="16838"/>
          <w:pgMar w:top="851" w:right="991" w:bottom="1560" w:left="1417" w:header="708" w:footer="94" w:gutter="0"/>
          <w:cols w:space="708"/>
          <w:titlePg/>
          <w:docGrid w:linePitch="360"/>
        </w:sectPr>
      </w:pPr>
    </w:p>
    <w:p w:rsidR="00FC58CF" w:rsidRPr="00F66BD6" w:rsidRDefault="00F66BD6" w:rsidP="00F66BD6">
      <w:pPr>
        <w:pStyle w:val="Caption"/>
        <w:rPr>
          <w:rFonts w:asciiTheme="minorHAnsi" w:hAnsiTheme="minorHAnsi" w:cstheme="minorHAnsi"/>
          <w:sz w:val="22"/>
          <w:szCs w:val="22"/>
        </w:rPr>
      </w:pPr>
      <w:bookmarkStart w:id="150" w:name="_Toc399494654"/>
      <w:r w:rsidRPr="00F66BD6">
        <w:rPr>
          <w:rFonts w:asciiTheme="minorHAnsi" w:hAnsiTheme="minorHAnsi" w:cstheme="minorHAnsi"/>
        </w:rPr>
        <w:lastRenderedPageBreak/>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69</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sidR="00FC58CF" w:rsidRPr="00F66BD6">
        <w:rPr>
          <w:rFonts w:asciiTheme="minorHAnsi" w:hAnsiTheme="minorHAnsi" w:cstheme="minorHAnsi"/>
        </w:rPr>
        <w:t>Финансови инструменти и държавна помощ</w:t>
      </w:r>
      <w:bookmarkEnd w:id="150"/>
    </w:p>
    <w:p w:rsidR="00FC58CF" w:rsidRPr="00C370EC" w:rsidRDefault="00FC58CF" w:rsidP="00FC58CF">
      <w:pPr>
        <w:spacing w:before="100" w:beforeAutospacing="1" w:after="100" w:afterAutospacing="1" w:line="720" w:lineRule="auto"/>
        <w:jc w:val="center"/>
        <w:rPr>
          <w:rFonts w:cs="Times New Roman"/>
        </w:rPr>
      </w:pPr>
      <w:r w:rsidRPr="00C370EC">
        <w:rPr>
          <w:rFonts w:cs="Times New Roman"/>
          <w:noProof/>
          <w:lang w:eastAsia="bg-BG"/>
        </w:rPr>
        <w:drawing>
          <wp:inline distT="0" distB="0" distL="0" distR="0">
            <wp:extent cx="7892349" cy="4211562"/>
            <wp:effectExtent l="0" t="0" r="13970" b="17780"/>
            <wp:docPr id="1"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p>
    <w:p w:rsidR="00FC58CF" w:rsidRPr="00C370EC" w:rsidRDefault="00FC58CF" w:rsidP="00181C9C">
      <w:pPr>
        <w:pStyle w:val="Heading2"/>
        <w:rPr>
          <w:rFonts w:asciiTheme="minorHAnsi" w:hAnsiTheme="minorHAnsi" w:cs="Times New Roman"/>
        </w:rPr>
        <w:sectPr w:rsidR="00FC58CF" w:rsidRPr="00C370EC" w:rsidSect="006E39EC">
          <w:pgSz w:w="16838" w:h="11906" w:orient="landscape"/>
          <w:pgMar w:top="1133" w:right="1670" w:bottom="1417" w:left="1417" w:header="708" w:footer="708" w:gutter="0"/>
          <w:cols w:space="708"/>
          <w:titlePg/>
          <w:docGrid w:linePitch="360"/>
        </w:sectPr>
      </w:pPr>
    </w:p>
    <w:p w:rsidR="00A84492" w:rsidRPr="00817A5B" w:rsidRDefault="00181C9C" w:rsidP="00181C9C">
      <w:pPr>
        <w:pStyle w:val="Heading1"/>
        <w:rPr>
          <w:rFonts w:asciiTheme="minorHAnsi" w:hAnsiTheme="minorHAnsi" w:cs="Times New Roman"/>
          <w:b/>
        </w:rPr>
      </w:pPr>
      <w:bookmarkStart w:id="151" w:name="_Toc399494552"/>
      <w:r w:rsidRPr="00817A5B">
        <w:rPr>
          <w:rFonts w:asciiTheme="minorHAnsi" w:hAnsiTheme="minorHAnsi" w:cs="Times New Roman"/>
          <w:b/>
        </w:rPr>
        <w:lastRenderedPageBreak/>
        <w:t xml:space="preserve">3. </w:t>
      </w:r>
      <w:r w:rsidR="00A84492" w:rsidRPr="00817A5B">
        <w:rPr>
          <w:rFonts w:asciiTheme="minorHAnsi" w:hAnsiTheme="minorHAnsi" w:cs="Times New Roman"/>
          <w:b/>
        </w:rPr>
        <w:t>Допълнителни публични и частни ресурси</w:t>
      </w:r>
      <w:bookmarkEnd w:id="151"/>
    </w:p>
    <w:p w:rsidR="00A84492" w:rsidRDefault="00386A68" w:rsidP="00386A68">
      <w:pPr>
        <w:spacing w:before="240"/>
        <w:rPr>
          <w:rFonts w:cs="Times New Roman"/>
        </w:rPr>
      </w:pPr>
      <w:r w:rsidRPr="00386A68">
        <w:rPr>
          <w:rFonts w:cs="Times New Roman"/>
        </w:rPr>
        <w:t>Основните етапи на тази част от анализа са:</w:t>
      </w:r>
    </w:p>
    <w:p w:rsidR="00386A68" w:rsidRPr="00386A68" w:rsidRDefault="00386A68" w:rsidP="00386A68">
      <w:pPr>
        <w:spacing w:before="240"/>
        <w:rPr>
          <w:rFonts w:cs="Times New Roman"/>
        </w:rPr>
      </w:pPr>
      <w:r>
        <w:rPr>
          <w:rFonts w:cs="Times New Roman"/>
          <w:noProof/>
          <w:lang w:eastAsia="bg-BG"/>
        </w:rPr>
        <w:drawing>
          <wp:inline distT="0" distB="0" distL="0" distR="0">
            <wp:extent cx="5486400" cy="3476625"/>
            <wp:effectExtent l="0" t="0" r="19050" b="9525"/>
            <wp:docPr id="36" name="Diagram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p>
    <w:p w:rsidR="00386A68" w:rsidRDefault="00386A68" w:rsidP="00181C9C">
      <w:pPr>
        <w:pStyle w:val="Heading2"/>
        <w:jc w:val="both"/>
        <w:rPr>
          <w:rFonts w:asciiTheme="minorHAnsi" w:hAnsiTheme="minorHAnsi" w:cs="Times New Roman"/>
        </w:rPr>
      </w:pPr>
    </w:p>
    <w:p w:rsidR="00A84492" w:rsidRPr="00102196" w:rsidRDefault="00A84492" w:rsidP="00181C9C">
      <w:pPr>
        <w:pStyle w:val="Heading2"/>
        <w:jc w:val="both"/>
        <w:rPr>
          <w:rFonts w:asciiTheme="minorHAnsi" w:hAnsiTheme="minorHAnsi" w:cs="Times New Roman"/>
        </w:rPr>
      </w:pPr>
      <w:bookmarkStart w:id="152" w:name="_Toc399494553"/>
      <w:r w:rsidRPr="00C370EC">
        <w:rPr>
          <w:rFonts w:asciiTheme="minorHAnsi" w:hAnsiTheme="minorHAnsi" w:cs="Times New Roman"/>
        </w:rPr>
        <w:t xml:space="preserve">3.1. </w:t>
      </w:r>
      <w:r w:rsidR="00102196">
        <w:rPr>
          <w:rFonts w:asciiTheme="minorHAnsi" w:hAnsiTheme="minorHAnsi" w:cs="Times New Roman"/>
        </w:rPr>
        <w:t xml:space="preserve">Оценка на допълнителните публични и частни ресурси - </w:t>
      </w:r>
      <w:r w:rsidR="00102196" w:rsidRPr="00102196">
        <w:rPr>
          <w:rFonts w:asciiTheme="minorHAnsi" w:hAnsiTheme="minorHAnsi" w:cs="Times New Roman"/>
        </w:rPr>
        <w:t>а</w:t>
      </w:r>
      <w:r w:rsidRPr="00102196">
        <w:rPr>
          <w:rFonts w:asciiTheme="minorHAnsi" w:hAnsiTheme="minorHAnsi" w:cs="Times New Roman"/>
        </w:rPr>
        <w:t>нализ на нивото, на което следва да бъдат привлечени частните инвестиции/съфинансиране (на ниво холдингов фонд, финансови посредници или съответно краен получател)</w:t>
      </w:r>
      <w:bookmarkEnd w:id="152"/>
      <w:r w:rsidR="00102196">
        <w:rPr>
          <w:rFonts w:asciiTheme="minorHAnsi" w:hAnsiTheme="minorHAnsi" w:cs="Times New Roman"/>
        </w:rPr>
        <w:t xml:space="preserve"> </w:t>
      </w:r>
    </w:p>
    <w:p w:rsidR="00102196" w:rsidRDefault="00102196" w:rsidP="00102196">
      <w:pPr>
        <w:autoSpaceDE w:val="0"/>
        <w:autoSpaceDN w:val="0"/>
        <w:adjustRightInd w:val="0"/>
        <w:spacing w:before="240" w:after="0" w:line="240" w:lineRule="auto"/>
        <w:jc w:val="both"/>
        <w:rPr>
          <w:rFonts w:cstheme="minorHAnsi"/>
          <w:color w:val="000000"/>
        </w:rPr>
      </w:pPr>
      <w:r>
        <w:rPr>
          <w:rFonts w:cstheme="minorHAnsi"/>
          <w:color w:val="000000"/>
        </w:rPr>
        <w:t>За да се придобие ясна представа за допълнителните публични и частни ресурси, които биха могли потенциално да се привлекат чрез финансови инструменти, е необходимо да се вземе предвид, че такива ресурси могат да бъдат мобилизирани:</w:t>
      </w:r>
    </w:p>
    <w:p w:rsidR="009D2A4E" w:rsidRPr="009D2A4E" w:rsidRDefault="00102196" w:rsidP="001A036E">
      <w:pPr>
        <w:numPr>
          <w:ilvl w:val="0"/>
          <w:numId w:val="123"/>
        </w:numPr>
        <w:autoSpaceDE w:val="0"/>
        <w:autoSpaceDN w:val="0"/>
        <w:adjustRightInd w:val="0"/>
        <w:spacing w:before="240" w:after="21" w:line="240" w:lineRule="auto"/>
        <w:jc w:val="both"/>
        <w:rPr>
          <w:rFonts w:cstheme="minorHAnsi"/>
          <w:color w:val="000000"/>
        </w:rPr>
      </w:pPr>
      <w:r>
        <w:rPr>
          <w:rFonts w:cstheme="minorHAnsi"/>
          <w:color w:val="000000"/>
        </w:rPr>
        <w:t>От различни заинтересовани страни</w:t>
      </w:r>
      <w:r w:rsidR="009D2A4E" w:rsidRPr="009D2A4E">
        <w:rPr>
          <w:rFonts w:cstheme="minorHAnsi"/>
          <w:color w:val="000000"/>
        </w:rPr>
        <w:t xml:space="preserve">; </w:t>
      </w:r>
    </w:p>
    <w:p w:rsidR="009D2A4E" w:rsidRPr="009D2A4E" w:rsidRDefault="00102196" w:rsidP="001A036E">
      <w:pPr>
        <w:numPr>
          <w:ilvl w:val="0"/>
          <w:numId w:val="123"/>
        </w:numPr>
        <w:autoSpaceDE w:val="0"/>
        <w:autoSpaceDN w:val="0"/>
        <w:adjustRightInd w:val="0"/>
        <w:spacing w:after="21" w:line="240" w:lineRule="auto"/>
        <w:jc w:val="both"/>
        <w:rPr>
          <w:rFonts w:cstheme="minorHAnsi"/>
          <w:color w:val="000000"/>
        </w:rPr>
      </w:pPr>
      <w:r>
        <w:rPr>
          <w:rFonts w:cstheme="minorHAnsi"/>
          <w:color w:val="000000"/>
        </w:rPr>
        <w:t xml:space="preserve">На нивото на самия финансов инструмент до нивото на крайните бенефициенти; </w:t>
      </w:r>
    </w:p>
    <w:p w:rsidR="009D2A4E" w:rsidRPr="009D2A4E" w:rsidRDefault="00102196" w:rsidP="001A036E">
      <w:pPr>
        <w:numPr>
          <w:ilvl w:val="0"/>
          <w:numId w:val="123"/>
        </w:numPr>
        <w:autoSpaceDE w:val="0"/>
        <w:autoSpaceDN w:val="0"/>
        <w:adjustRightInd w:val="0"/>
        <w:spacing w:after="0" w:line="240" w:lineRule="auto"/>
        <w:jc w:val="both"/>
        <w:rPr>
          <w:rFonts w:cstheme="minorHAnsi"/>
          <w:color w:val="000000"/>
        </w:rPr>
      </w:pPr>
      <w:r>
        <w:rPr>
          <w:rFonts w:cstheme="minorHAnsi"/>
          <w:color w:val="000000"/>
        </w:rPr>
        <w:t>Посредством националното съфинансиране към програмата при определени условия</w:t>
      </w:r>
      <w:r w:rsidR="009D2A4E" w:rsidRPr="009D2A4E">
        <w:rPr>
          <w:rFonts w:cstheme="minorHAnsi"/>
          <w:color w:val="000000"/>
        </w:rPr>
        <w:t xml:space="preserve">; </w:t>
      </w:r>
    </w:p>
    <w:p w:rsidR="009D2A4E" w:rsidRPr="009D2A4E" w:rsidRDefault="00102196" w:rsidP="001A036E">
      <w:pPr>
        <w:numPr>
          <w:ilvl w:val="0"/>
          <w:numId w:val="123"/>
        </w:numPr>
        <w:autoSpaceDE w:val="0"/>
        <w:autoSpaceDN w:val="0"/>
        <w:adjustRightInd w:val="0"/>
        <w:spacing w:after="0" w:line="240" w:lineRule="auto"/>
        <w:jc w:val="both"/>
        <w:rPr>
          <w:rFonts w:cstheme="minorHAnsi"/>
          <w:color w:val="000000"/>
        </w:rPr>
      </w:pPr>
      <w:r>
        <w:rPr>
          <w:rFonts w:cstheme="minorHAnsi"/>
          <w:color w:val="000000"/>
        </w:rPr>
        <w:t>Чрез финансови средства или принос в натура</w:t>
      </w:r>
      <w:r>
        <w:rPr>
          <w:rStyle w:val="FootnoteReference"/>
          <w:rFonts w:cstheme="minorHAnsi"/>
          <w:color w:val="000000"/>
        </w:rPr>
        <w:footnoteReference w:id="117"/>
      </w:r>
    </w:p>
    <w:p w:rsidR="009D2A4E" w:rsidRPr="009D2A4E" w:rsidRDefault="00A53472" w:rsidP="00102196">
      <w:pPr>
        <w:autoSpaceDE w:val="0"/>
        <w:autoSpaceDN w:val="0"/>
        <w:adjustRightInd w:val="0"/>
        <w:spacing w:before="240" w:after="0" w:line="240" w:lineRule="auto"/>
        <w:jc w:val="both"/>
        <w:rPr>
          <w:rFonts w:cstheme="minorHAnsi"/>
          <w:color w:val="000000"/>
        </w:rPr>
      </w:pPr>
      <w:r>
        <w:rPr>
          <w:rFonts w:cstheme="minorHAnsi"/>
          <w:color w:val="000000"/>
        </w:rPr>
        <w:t xml:space="preserve">Следва да бъде отбелязано, че допълнителните ресурси под формата на национално съфинансиране към ОПОС могат да бъдат предоставени до края на допустимия период (31 декември 2023 г.). Съгласно чл. 41 от Общия Регламент, приносът от ЕСИФ и допълнителни </w:t>
      </w:r>
      <w:r>
        <w:rPr>
          <w:rFonts w:cstheme="minorHAnsi"/>
          <w:color w:val="000000"/>
        </w:rPr>
        <w:lastRenderedPageBreak/>
        <w:t xml:space="preserve">ресурси следва концепцията на фазирани междинни плащания към финансовия инструмент, като стойността на първото плащане е 25% от общата сума. </w:t>
      </w:r>
    </w:p>
    <w:p w:rsidR="009D2A4E" w:rsidRPr="009D2A4E" w:rsidRDefault="00A53472" w:rsidP="00A53472">
      <w:pPr>
        <w:autoSpaceDE w:val="0"/>
        <w:autoSpaceDN w:val="0"/>
        <w:adjustRightInd w:val="0"/>
        <w:spacing w:before="240" w:after="0" w:line="240" w:lineRule="auto"/>
        <w:jc w:val="both"/>
        <w:rPr>
          <w:rFonts w:cstheme="minorHAnsi"/>
          <w:color w:val="000000"/>
        </w:rPr>
      </w:pPr>
      <w:r>
        <w:rPr>
          <w:rFonts w:cstheme="minorHAnsi"/>
          <w:color w:val="000000"/>
        </w:rPr>
        <w:t>Ако допълнителните ресурси не са под формата на национално съфинансиране към ОПОС и се считат за допълнителен принос към ЕСИФ, тогава не се прилагат правилата на фондовете.</w:t>
      </w:r>
    </w:p>
    <w:p w:rsidR="009D2A4E" w:rsidRDefault="009D2A4E" w:rsidP="009D2A4E">
      <w:pPr>
        <w:rPr>
          <w:lang w:val="en-US"/>
        </w:rPr>
      </w:pPr>
    </w:p>
    <w:p w:rsidR="009D2A4E" w:rsidRPr="009D2A4E" w:rsidRDefault="009D2A4E" w:rsidP="009D2A4E">
      <w:pPr>
        <w:pStyle w:val="Heading3"/>
        <w:rPr>
          <w:rFonts w:asciiTheme="minorHAnsi" w:hAnsiTheme="minorHAnsi" w:cs="Times New Roman"/>
        </w:rPr>
      </w:pPr>
      <w:bookmarkStart w:id="153" w:name="_Toc399494554"/>
      <w:r w:rsidRPr="009D2A4E">
        <w:rPr>
          <w:rFonts w:asciiTheme="minorHAnsi" w:hAnsiTheme="minorHAnsi" w:cs="Times New Roman"/>
        </w:rPr>
        <w:t xml:space="preserve">3.1.1. </w:t>
      </w:r>
      <w:r>
        <w:rPr>
          <w:rFonts w:asciiTheme="minorHAnsi" w:hAnsiTheme="minorHAnsi" w:cs="Times New Roman"/>
        </w:rPr>
        <w:t>Идентифициране на различни потенциални източници</w:t>
      </w:r>
      <w:bookmarkEnd w:id="153"/>
    </w:p>
    <w:p w:rsidR="00A53472" w:rsidRDefault="00B43473" w:rsidP="00B43473">
      <w:pPr>
        <w:spacing w:before="240"/>
        <w:jc w:val="both"/>
        <w:rPr>
          <w:rFonts w:cstheme="minorHAnsi"/>
          <w:color w:val="000000"/>
        </w:rPr>
      </w:pPr>
      <w:r w:rsidRPr="00B43473">
        <w:rPr>
          <w:rFonts w:cstheme="minorHAnsi"/>
          <w:color w:val="000000"/>
        </w:rPr>
        <w:t xml:space="preserve">Потенциалните </w:t>
      </w:r>
      <w:r>
        <w:rPr>
          <w:rFonts w:cstheme="minorHAnsi"/>
          <w:color w:val="000000"/>
        </w:rPr>
        <w:t xml:space="preserve">източници на допълнителни ресурси за сектор Води и сектор Отпадъци </w:t>
      </w:r>
      <w:r w:rsidR="00C338C8">
        <w:rPr>
          <w:rFonts w:cstheme="minorHAnsi"/>
          <w:color w:val="000000"/>
        </w:rPr>
        <w:t>имат различна структура</w:t>
      </w:r>
      <w:r>
        <w:rPr>
          <w:rFonts w:cstheme="minorHAnsi"/>
          <w:color w:val="000000"/>
        </w:rPr>
        <w:t>. Поради тази причина, те ще бъдат разгледани по отделно за всеки един то двата сектора</w:t>
      </w:r>
      <w:r w:rsidR="00C338C8">
        <w:rPr>
          <w:rFonts w:cstheme="minorHAnsi"/>
          <w:color w:val="000000"/>
        </w:rPr>
        <w:t>, както следва:</w:t>
      </w:r>
    </w:p>
    <w:p w:rsidR="00B43473" w:rsidRDefault="00B43473" w:rsidP="00B43473">
      <w:pPr>
        <w:spacing w:before="240"/>
        <w:jc w:val="both"/>
        <w:rPr>
          <w:rFonts w:cstheme="minorHAnsi"/>
          <w:b/>
          <w:i/>
          <w:color w:val="2E74B5" w:themeColor="accent1" w:themeShade="BF"/>
        </w:rPr>
      </w:pPr>
      <w:r w:rsidRPr="00B43473">
        <w:rPr>
          <w:rFonts w:cstheme="minorHAnsi"/>
          <w:b/>
          <w:i/>
          <w:color w:val="2E74B5" w:themeColor="accent1" w:themeShade="BF"/>
        </w:rPr>
        <w:t>Сектор Води</w:t>
      </w:r>
    </w:p>
    <w:tbl>
      <w:tblPr>
        <w:tblStyle w:val="MediumList2-Accent11"/>
        <w:tblW w:w="9322" w:type="dxa"/>
        <w:tblLook w:val="04A0" w:firstRow="1" w:lastRow="0" w:firstColumn="1" w:lastColumn="0" w:noHBand="0" w:noVBand="1"/>
      </w:tblPr>
      <w:tblGrid>
        <w:gridCol w:w="3085"/>
        <w:gridCol w:w="6237"/>
      </w:tblGrid>
      <w:tr w:rsidR="000B4E9B" w:rsidRPr="000B4E9B" w:rsidTr="00E2154B">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085" w:type="dxa"/>
          </w:tcPr>
          <w:p w:rsidR="000B4E9B" w:rsidRPr="000B4E9B" w:rsidRDefault="000B4E9B" w:rsidP="000B4E9B">
            <w:pPr>
              <w:spacing w:before="240"/>
              <w:jc w:val="center"/>
              <w:rPr>
                <w:rFonts w:asciiTheme="minorHAnsi" w:hAnsiTheme="minorHAnsi" w:cstheme="minorHAnsi"/>
                <w:color w:val="auto"/>
                <w:sz w:val="22"/>
                <w:szCs w:val="22"/>
              </w:rPr>
            </w:pPr>
            <w:r w:rsidRPr="000B4E9B">
              <w:rPr>
                <w:rFonts w:asciiTheme="minorHAnsi" w:hAnsiTheme="minorHAnsi" w:cstheme="minorHAnsi"/>
                <w:color w:val="auto"/>
                <w:sz w:val="22"/>
                <w:szCs w:val="22"/>
              </w:rPr>
              <w:t>Потенциални допълнителни ресурси</w:t>
            </w:r>
          </w:p>
        </w:tc>
        <w:tc>
          <w:tcPr>
            <w:tcW w:w="6237" w:type="dxa"/>
          </w:tcPr>
          <w:p w:rsidR="000B4E9B" w:rsidRPr="000B4E9B" w:rsidRDefault="000B4E9B" w:rsidP="000B4E9B">
            <w:pPr>
              <w:spacing w:before="24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szCs w:val="22"/>
              </w:rPr>
            </w:pPr>
            <w:r w:rsidRPr="000B4E9B">
              <w:rPr>
                <w:rFonts w:asciiTheme="minorHAnsi" w:hAnsiTheme="minorHAnsi" w:cstheme="minorHAnsi"/>
                <w:color w:val="auto"/>
                <w:sz w:val="22"/>
                <w:szCs w:val="22"/>
              </w:rPr>
              <w:t>Описание</w:t>
            </w:r>
          </w:p>
        </w:tc>
      </w:tr>
      <w:tr w:rsidR="000B4E9B" w:rsidRPr="000B4E9B" w:rsidTr="000B4E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tcPr>
          <w:p w:rsidR="000B4E9B" w:rsidRPr="000B4E9B" w:rsidRDefault="000B4E9B" w:rsidP="00EB6C68">
            <w:pPr>
              <w:spacing w:before="240"/>
              <w:rPr>
                <w:rFonts w:asciiTheme="minorHAnsi" w:hAnsiTheme="minorHAnsi" w:cstheme="minorHAnsi"/>
                <w:b/>
                <w:color w:val="auto"/>
              </w:rPr>
            </w:pPr>
            <w:r w:rsidRPr="000B4E9B">
              <w:rPr>
                <w:rFonts w:asciiTheme="minorHAnsi" w:hAnsiTheme="minorHAnsi" w:cstheme="minorHAnsi"/>
                <w:b/>
                <w:color w:val="auto"/>
              </w:rPr>
              <w:t>Национално съфинансиране към ОПОС 2014-2020</w:t>
            </w:r>
          </w:p>
        </w:tc>
        <w:tc>
          <w:tcPr>
            <w:tcW w:w="6237" w:type="dxa"/>
          </w:tcPr>
          <w:p w:rsidR="00B255C1" w:rsidRPr="00B255C1" w:rsidRDefault="000B4E9B" w:rsidP="0005338E">
            <w:pPr>
              <w:spacing w:before="24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rPr>
            </w:pPr>
            <w:r w:rsidRPr="00B255C1">
              <w:rPr>
                <w:rFonts w:asciiTheme="minorHAnsi" w:hAnsiTheme="minorHAnsi" w:cstheme="minorHAnsi"/>
                <w:color w:val="auto"/>
              </w:rPr>
              <w:t>Предвиденото националното публично съфинансиране по Приоритетна ос І „Води” на ОПОС 2014-2020 г. е на стойност 182 403 509 евро, което представлява 15% от общата стойност на ресурса по тази ос.</w:t>
            </w:r>
            <w:r w:rsidR="00B255C1" w:rsidRPr="00B255C1">
              <w:rPr>
                <w:rFonts w:asciiTheme="minorHAnsi" w:hAnsiTheme="minorHAnsi" w:cstheme="minorHAnsi"/>
                <w:color w:val="auto"/>
              </w:rPr>
              <w:t xml:space="preserve"> Национално частно съфинансиране по ОПОС не е предвидено.</w:t>
            </w:r>
          </w:p>
        </w:tc>
      </w:tr>
      <w:tr w:rsidR="000B4E9B" w:rsidRPr="000B4E9B" w:rsidTr="000B4E9B">
        <w:tc>
          <w:tcPr>
            <w:cnfStyle w:val="001000000000" w:firstRow="0" w:lastRow="0" w:firstColumn="1" w:lastColumn="0" w:oddVBand="0" w:evenVBand="0" w:oddHBand="0" w:evenHBand="0" w:firstRowFirstColumn="0" w:firstRowLastColumn="0" w:lastRowFirstColumn="0" w:lastRowLastColumn="0"/>
            <w:tcW w:w="3085" w:type="dxa"/>
          </w:tcPr>
          <w:p w:rsidR="000B4E9B" w:rsidRPr="000B4E9B" w:rsidRDefault="00B255C1" w:rsidP="006A6981">
            <w:pPr>
              <w:spacing w:before="240"/>
              <w:rPr>
                <w:rFonts w:asciiTheme="minorHAnsi" w:hAnsiTheme="minorHAnsi" w:cstheme="minorHAnsi"/>
                <w:b/>
                <w:color w:val="auto"/>
              </w:rPr>
            </w:pPr>
            <w:r>
              <w:rPr>
                <w:rFonts w:asciiTheme="minorHAnsi" w:hAnsiTheme="minorHAnsi" w:cstheme="minorHAnsi"/>
                <w:b/>
                <w:color w:val="auto"/>
              </w:rPr>
              <w:t xml:space="preserve">Международни финансови институции </w:t>
            </w:r>
            <w:r w:rsidR="001E16A2">
              <w:rPr>
                <w:rFonts w:asciiTheme="minorHAnsi" w:hAnsiTheme="minorHAnsi" w:cstheme="minorHAnsi"/>
                <w:b/>
                <w:color w:val="auto"/>
              </w:rPr>
              <w:t>(МФИ)</w:t>
            </w:r>
          </w:p>
        </w:tc>
        <w:tc>
          <w:tcPr>
            <w:tcW w:w="6237" w:type="dxa"/>
          </w:tcPr>
          <w:p w:rsidR="000B4E9B" w:rsidRPr="00B255C1" w:rsidRDefault="00B255C1" w:rsidP="00B255C1">
            <w:pPr>
              <w:spacing w:before="24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rPr>
            </w:pPr>
            <w:r>
              <w:rPr>
                <w:rFonts w:asciiTheme="minorHAnsi" w:hAnsiTheme="minorHAnsi" w:cstheme="minorHAnsi"/>
                <w:color w:val="auto"/>
              </w:rPr>
              <w:t xml:space="preserve">Съгласно направената оценка на ефекта на лоста, се очаква в резултат от структуриране на финансов инструмент за ВиК сектора да бъдат привлечени допълнителни финансови ресурси от международни финансови институции в съотношение 1:4. </w:t>
            </w:r>
            <w:r w:rsidR="001E16A2">
              <w:rPr>
                <w:rFonts w:asciiTheme="minorHAnsi" w:hAnsiTheme="minorHAnsi" w:cstheme="minorHAnsi"/>
                <w:color w:val="auto"/>
              </w:rPr>
              <w:t>Тов</w:t>
            </w:r>
            <w:r w:rsidR="00197C20">
              <w:rPr>
                <w:rFonts w:asciiTheme="minorHAnsi" w:hAnsiTheme="minorHAnsi" w:cstheme="minorHAnsi"/>
                <w:color w:val="auto"/>
              </w:rPr>
              <w:t>а означава, че ако потенциално 2</w:t>
            </w:r>
            <w:r w:rsidR="001E16A2">
              <w:rPr>
                <w:rFonts w:asciiTheme="minorHAnsi" w:hAnsiTheme="minorHAnsi" w:cstheme="minorHAnsi"/>
                <w:color w:val="auto"/>
              </w:rPr>
              <w:t>0% от ресурса по ПО бъдат заделени за финансови инструменти, ще бъдат мобилизирани допълнително близо 1 млрд. евро за инвестиции в сектора.</w:t>
            </w:r>
          </w:p>
        </w:tc>
      </w:tr>
      <w:tr w:rsidR="000B4E9B" w:rsidRPr="000B4E9B" w:rsidTr="001E16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rsidR="001E16A2" w:rsidRPr="000B4E9B" w:rsidRDefault="001E16A2" w:rsidP="001E16A2">
            <w:pPr>
              <w:spacing w:before="240"/>
              <w:rPr>
                <w:rFonts w:asciiTheme="minorHAnsi" w:hAnsiTheme="minorHAnsi" w:cstheme="minorHAnsi"/>
                <w:b/>
                <w:color w:val="auto"/>
              </w:rPr>
            </w:pPr>
            <w:r>
              <w:rPr>
                <w:rFonts w:asciiTheme="minorHAnsi" w:hAnsiTheme="minorHAnsi" w:cstheme="minorHAnsi"/>
                <w:b/>
                <w:color w:val="auto"/>
              </w:rPr>
              <w:t>Търговски банки на българския пазар</w:t>
            </w:r>
          </w:p>
        </w:tc>
        <w:tc>
          <w:tcPr>
            <w:tcW w:w="6237" w:type="dxa"/>
          </w:tcPr>
          <w:p w:rsidR="000B4E9B" w:rsidRDefault="001E16A2" w:rsidP="001E16A2">
            <w:pPr>
              <w:spacing w:before="24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rPr>
            </w:pPr>
            <w:r>
              <w:rPr>
                <w:rFonts w:asciiTheme="minorHAnsi" w:hAnsiTheme="minorHAnsi" w:cstheme="minorHAnsi"/>
                <w:color w:val="auto"/>
              </w:rPr>
              <w:t xml:space="preserve">Българските банкови институции биха могли да осигурят паралелно финансиране за проектите в сектора, извън това, осигурено от МФИ. Към момента, 20% от предвидените средства за финансови инструменти по програмата са заделени за гаранции. Ако бъде приложен гаранционен механизъм за паралелно финансиране, ефектът на лоста се очаква да бъде 1:5. Това означава, че ако бъдат мобилизирани 20% финансови ресурси от програмата за финансови инструменти, от които 20% да бъдат определени за гаранции, то се очаква потенциално да бъдат осигурени допълнително </w:t>
            </w:r>
            <w:r w:rsidR="00197C20">
              <w:rPr>
                <w:rFonts w:asciiTheme="minorHAnsi" w:hAnsiTheme="minorHAnsi" w:cstheme="minorHAnsi"/>
                <w:color w:val="auto"/>
              </w:rPr>
              <w:t xml:space="preserve">   ~</w:t>
            </w:r>
            <w:r>
              <w:rPr>
                <w:rFonts w:asciiTheme="minorHAnsi" w:hAnsiTheme="minorHAnsi" w:cstheme="minorHAnsi"/>
                <w:color w:val="auto"/>
              </w:rPr>
              <w:t xml:space="preserve"> 240 млн. евро от български банкови институции.</w:t>
            </w:r>
          </w:p>
          <w:p w:rsidR="00E2154B" w:rsidRPr="00B255C1" w:rsidRDefault="00E2154B" w:rsidP="001E16A2">
            <w:pPr>
              <w:spacing w:before="24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rPr>
            </w:pPr>
          </w:p>
        </w:tc>
      </w:tr>
      <w:tr w:rsidR="00E2154B" w:rsidRPr="000B4E9B" w:rsidTr="001E16A2">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rsidR="00E2154B" w:rsidRDefault="00E2154B" w:rsidP="001E16A2">
            <w:pPr>
              <w:spacing w:before="240"/>
              <w:rPr>
                <w:rFonts w:cstheme="minorHAnsi"/>
                <w:b/>
              </w:rPr>
            </w:pPr>
            <w:r w:rsidRPr="00E2154B">
              <w:rPr>
                <w:rFonts w:asciiTheme="minorHAnsi" w:hAnsiTheme="minorHAnsi" w:cstheme="minorHAnsi"/>
                <w:b/>
                <w:color w:val="auto"/>
              </w:rPr>
              <w:t>Фонд</w:t>
            </w:r>
            <w:r>
              <w:rPr>
                <w:rFonts w:asciiTheme="minorHAnsi" w:hAnsiTheme="minorHAnsi" w:cstheme="minorHAnsi"/>
                <w:b/>
                <w:color w:val="auto"/>
              </w:rPr>
              <w:t xml:space="preserve"> </w:t>
            </w:r>
            <w:r w:rsidRPr="00E2154B">
              <w:rPr>
                <w:rFonts w:asciiTheme="minorHAnsi" w:hAnsiTheme="minorHAnsi" w:cstheme="minorHAnsi"/>
                <w:b/>
                <w:color w:val="auto"/>
              </w:rPr>
              <w:t>ФЛАГ</w:t>
            </w:r>
          </w:p>
        </w:tc>
        <w:tc>
          <w:tcPr>
            <w:tcW w:w="6237" w:type="dxa"/>
          </w:tcPr>
          <w:p w:rsidR="00452C96" w:rsidRDefault="00452C96" w:rsidP="00452C96">
            <w:pPr>
              <w:spacing w:before="24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rPr>
            </w:pPr>
            <w:r w:rsidRPr="00452C96">
              <w:rPr>
                <w:rFonts w:asciiTheme="minorHAnsi" w:hAnsiTheme="minorHAnsi" w:cstheme="minorHAnsi"/>
                <w:color w:val="auto"/>
              </w:rPr>
              <w:t xml:space="preserve">За изминалия програмен период фонд ФЛАГ е финансирал инвестиции във ВиК сектора на обща стойност близо 100 млн. </w:t>
            </w:r>
            <w:r w:rsidRPr="00452C96">
              <w:rPr>
                <w:rFonts w:asciiTheme="minorHAnsi" w:hAnsiTheme="minorHAnsi" w:cstheme="minorHAnsi"/>
                <w:color w:val="auto"/>
              </w:rPr>
              <w:lastRenderedPageBreak/>
              <w:t>евро</w:t>
            </w:r>
            <w:r>
              <w:rPr>
                <w:rFonts w:asciiTheme="minorHAnsi" w:hAnsiTheme="minorHAnsi" w:cstheme="minorHAnsi"/>
                <w:color w:val="auto"/>
              </w:rPr>
              <w:t>. Част от тези средства са използвани за т.нар. мостово финансиране.</w:t>
            </w:r>
          </w:p>
          <w:p w:rsidR="00E2154B" w:rsidRPr="00452C96" w:rsidRDefault="00452C96" w:rsidP="00452C96">
            <w:pPr>
              <w:spacing w:before="24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rPr>
            </w:pPr>
            <w:r>
              <w:rPr>
                <w:rFonts w:asciiTheme="minorHAnsi" w:hAnsiTheme="minorHAnsi" w:cstheme="minorHAnsi"/>
                <w:color w:val="auto"/>
              </w:rPr>
              <w:t>На тази база може да се прогнозира, че чрез фонд Флаг могат да бъдат мобилизирани допълнително минимум 100 млн. евро за инвестиции в сектора</w:t>
            </w:r>
            <w:r w:rsidR="00197C20">
              <w:rPr>
                <w:rFonts w:asciiTheme="minorHAnsi" w:hAnsiTheme="minorHAnsi" w:cstheme="minorHAnsi"/>
                <w:color w:val="auto"/>
              </w:rPr>
              <w:t xml:space="preserve"> за периода 2014-2020</w:t>
            </w:r>
            <w:r>
              <w:rPr>
                <w:rFonts w:asciiTheme="minorHAnsi" w:hAnsiTheme="minorHAnsi" w:cstheme="minorHAnsi"/>
                <w:color w:val="auto"/>
              </w:rPr>
              <w:t xml:space="preserve">.  </w:t>
            </w:r>
          </w:p>
        </w:tc>
      </w:tr>
      <w:tr w:rsidR="001E16A2" w:rsidRPr="000B4E9B" w:rsidTr="001E16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rsidR="001E16A2" w:rsidRDefault="001E16A2" w:rsidP="001E16A2">
            <w:pPr>
              <w:spacing w:before="240"/>
              <w:rPr>
                <w:rFonts w:cstheme="minorHAnsi"/>
                <w:b/>
              </w:rPr>
            </w:pPr>
            <w:r w:rsidRPr="001E16A2">
              <w:rPr>
                <w:rFonts w:asciiTheme="minorHAnsi" w:hAnsiTheme="minorHAnsi" w:cstheme="minorHAnsi"/>
                <w:b/>
                <w:color w:val="auto"/>
              </w:rPr>
              <w:lastRenderedPageBreak/>
              <w:t>ПУДООС</w:t>
            </w:r>
          </w:p>
        </w:tc>
        <w:tc>
          <w:tcPr>
            <w:tcW w:w="6237" w:type="dxa"/>
          </w:tcPr>
          <w:p w:rsidR="001E16A2" w:rsidRDefault="00E2154B" w:rsidP="001E16A2">
            <w:pPr>
              <w:spacing w:before="240"/>
              <w:jc w:val="both"/>
              <w:cnfStyle w:val="000000100000" w:firstRow="0" w:lastRow="0" w:firstColumn="0" w:lastColumn="0" w:oddVBand="0" w:evenVBand="0" w:oddHBand="1" w:evenHBand="0" w:firstRowFirstColumn="0" w:firstRowLastColumn="0" w:lastRowFirstColumn="0" w:lastRowLastColumn="0"/>
              <w:rPr>
                <w:rFonts w:cstheme="minorHAnsi"/>
              </w:rPr>
            </w:pPr>
            <w:r w:rsidRPr="00E2154B">
              <w:rPr>
                <w:rFonts w:asciiTheme="minorHAnsi" w:hAnsiTheme="minorHAnsi" w:cstheme="minorHAnsi"/>
                <w:color w:val="auto"/>
              </w:rPr>
              <w:t>ПУДООС финансира мерки във ВиК сектора на стойност средно около 15 млн. евро годишно</w:t>
            </w:r>
            <w:r>
              <w:rPr>
                <w:rStyle w:val="FootnoteReference"/>
                <w:rFonts w:asciiTheme="minorHAnsi" w:hAnsiTheme="minorHAnsi" w:cstheme="minorHAnsi"/>
                <w:color w:val="auto"/>
              </w:rPr>
              <w:footnoteReference w:id="118"/>
            </w:r>
            <w:r>
              <w:rPr>
                <w:rFonts w:asciiTheme="minorHAnsi" w:hAnsiTheme="minorHAnsi" w:cstheme="minorHAnsi"/>
                <w:color w:val="auto"/>
              </w:rPr>
              <w:t>, които потенциално могат да бъдат използвани като допълнителен ресурс за финансиране на проекти във Водния сектор.</w:t>
            </w:r>
            <w:r w:rsidR="00197C20">
              <w:rPr>
                <w:rFonts w:asciiTheme="minorHAnsi" w:hAnsiTheme="minorHAnsi" w:cstheme="minorHAnsi"/>
                <w:color w:val="auto"/>
              </w:rPr>
              <w:t xml:space="preserve"> Т.е. за 7 години тои ресурс се равнява на 105 млн. евро.</w:t>
            </w:r>
          </w:p>
        </w:tc>
      </w:tr>
      <w:tr w:rsidR="00E2154B" w:rsidRPr="000B4E9B" w:rsidTr="001E16A2">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rsidR="00E2154B" w:rsidRPr="001E16A2" w:rsidRDefault="00E2154B" w:rsidP="001E16A2">
            <w:pPr>
              <w:spacing w:before="240"/>
              <w:rPr>
                <w:rFonts w:cstheme="minorHAnsi"/>
                <w:b/>
              </w:rPr>
            </w:pPr>
            <w:r w:rsidRPr="00E2154B">
              <w:rPr>
                <w:rFonts w:asciiTheme="minorHAnsi" w:hAnsiTheme="minorHAnsi" w:cstheme="minorHAnsi"/>
                <w:b/>
                <w:color w:val="auto"/>
              </w:rPr>
              <w:t>Собствен ресурс на Ви</w:t>
            </w:r>
            <w:r w:rsidR="00EB6C68">
              <w:rPr>
                <w:rFonts w:asciiTheme="minorHAnsi" w:hAnsiTheme="minorHAnsi" w:cstheme="minorHAnsi"/>
                <w:b/>
                <w:color w:val="auto"/>
              </w:rPr>
              <w:t>К дружествата (</w:t>
            </w:r>
            <w:r w:rsidR="00EB6C68" w:rsidRPr="001E43D4">
              <w:rPr>
                <w:rFonts w:asciiTheme="minorHAnsi" w:hAnsiTheme="minorHAnsi" w:cstheme="minorHAnsi"/>
                <w:b/>
                <w:color w:val="auto"/>
                <w:u w:val="single"/>
              </w:rPr>
              <w:t>извън този за съ</w:t>
            </w:r>
            <w:r w:rsidRPr="001E43D4">
              <w:rPr>
                <w:rFonts w:asciiTheme="minorHAnsi" w:hAnsiTheme="minorHAnsi" w:cstheme="minorHAnsi"/>
                <w:b/>
                <w:color w:val="auto"/>
                <w:u w:val="single"/>
              </w:rPr>
              <w:t>финансиране на проектите по ОПОС</w:t>
            </w:r>
            <w:r w:rsidRPr="003438EF">
              <w:rPr>
                <w:rFonts w:asciiTheme="minorHAnsi" w:hAnsiTheme="minorHAnsi" w:cstheme="minorHAnsi"/>
                <w:b/>
                <w:color w:val="auto"/>
                <w:u w:val="single"/>
              </w:rPr>
              <w:t>)</w:t>
            </w:r>
          </w:p>
        </w:tc>
        <w:tc>
          <w:tcPr>
            <w:tcW w:w="6237" w:type="dxa"/>
          </w:tcPr>
          <w:p w:rsidR="00E2154B" w:rsidRPr="00E2154B" w:rsidRDefault="00E2154B" w:rsidP="006A6981">
            <w:pPr>
              <w:spacing w:before="240"/>
              <w:jc w:val="both"/>
              <w:cnfStyle w:val="000000000000" w:firstRow="0" w:lastRow="0" w:firstColumn="0" w:lastColumn="0" w:oddVBand="0" w:evenVBand="0" w:oddHBand="0" w:evenHBand="0" w:firstRowFirstColumn="0" w:firstRowLastColumn="0" w:lastRowFirstColumn="0" w:lastRowLastColumn="0"/>
              <w:rPr>
                <w:rFonts w:cstheme="minorHAnsi"/>
              </w:rPr>
            </w:pPr>
            <w:r w:rsidRPr="00E2154B">
              <w:rPr>
                <w:rFonts w:asciiTheme="minorHAnsi" w:hAnsiTheme="minorHAnsi" w:cstheme="minorHAnsi"/>
                <w:color w:val="auto"/>
              </w:rPr>
              <w:t>Извън проектите, които се предвижда да бъдат реализиран</w:t>
            </w:r>
            <w:r w:rsidR="006A6981">
              <w:rPr>
                <w:rFonts w:asciiTheme="minorHAnsi" w:hAnsiTheme="minorHAnsi" w:cstheme="minorHAnsi"/>
                <w:color w:val="auto"/>
              </w:rPr>
              <w:t>и</w:t>
            </w:r>
            <w:r w:rsidRPr="00E2154B">
              <w:rPr>
                <w:rFonts w:asciiTheme="minorHAnsi" w:hAnsiTheme="minorHAnsi" w:cstheme="minorHAnsi"/>
                <w:color w:val="auto"/>
              </w:rPr>
              <w:t xml:space="preserve"> по ОПОС, съгласно одобрените бизнес-планове, ВиК дружествата заделят финансов ресурс за изпълнение на годишната си инвестиционна програма</w:t>
            </w:r>
            <w:r>
              <w:rPr>
                <w:rFonts w:asciiTheme="minorHAnsi" w:hAnsiTheme="minorHAnsi" w:cstheme="minorHAnsi"/>
                <w:color w:val="auto"/>
              </w:rPr>
              <w:t xml:space="preserve">. За периода 2014-2023 г. </w:t>
            </w:r>
            <w:r w:rsidR="00784C26">
              <w:rPr>
                <w:rFonts w:asciiTheme="minorHAnsi" w:hAnsiTheme="minorHAnsi" w:cstheme="minorHAnsi"/>
                <w:color w:val="auto"/>
              </w:rPr>
              <w:t xml:space="preserve">прогнозата за </w:t>
            </w:r>
            <w:r>
              <w:rPr>
                <w:rFonts w:asciiTheme="minorHAnsi" w:hAnsiTheme="minorHAnsi" w:cstheme="minorHAnsi"/>
                <w:color w:val="auto"/>
              </w:rPr>
              <w:t>размер</w:t>
            </w:r>
            <w:r w:rsidR="00784C26">
              <w:rPr>
                <w:rFonts w:asciiTheme="minorHAnsi" w:hAnsiTheme="minorHAnsi" w:cstheme="minorHAnsi"/>
                <w:color w:val="auto"/>
              </w:rPr>
              <w:t>а</w:t>
            </w:r>
            <w:r>
              <w:rPr>
                <w:rFonts w:asciiTheme="minorHAnsi" w:hAnsiTheme="minorHAnsi" w:cstheme="minorHAnsi"/>
                <w:color w:val="auto"/>
              </w:rPr>
              <w:t xml:space="preserve"> на вътрешногенерираните от ВиК дружест</w:t>
            </w:r>
            <w:r w:rsidR="00784C26">
              <w:rPr>
                <w:rFonts w:asciiTheme="minorHAnsi" w:hAnsiTheme="minorHAnsi" w:cstheme="minorHAnsi"/>
                <w:color w:val="auto"/>
              </w:rPr>
              <w:t>вата средства е близо 437 млн. евро</w:t>
            </w:r>
            <w:r w:rsidR="00784C26">
              <w:rPr>
                <w:rStyle w:val="FootnoteReference"/>
                <w:rFonts w:asciiTheme="minorHAnsi" w:hAnsiTheme="minorHAnsi" w:cstheme="minorHAnsi"/>
                <w:color w:val="auto"/>
              </w:rPr>
              <w:footnoteReference w:id="119"/>
            </w:r>
            <w:r w:rsidR="00784C26">
              <w:rPr>
                <w:rFonts w:asciiTheme="minorHAnsi" w:hAnsiTheme="minorHAnsi" w:cstheme="minorHAnsi"/>
                <w:color w:val="auto"/>
              </w:rPr>
              <w:t>, които представляват допълнителен ресурс за инвестиции в сектора.</w:t>
            </w:r>
          </w:p>
        </w:tc>
      </w:tr>
      <w:tr w:rsidR="003438EF" w:rsidRPr="000B4E9B" w:rsidTr="001E16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rsidR="003438EF" w:rsidRPr="00E2154B" w:rsidRDefault="003438EF" w:rsidP="001E16A2">
            <w:pPr>
              <w:spacing w:before="240"/>
              <w:rPr>
                <w:rFonts w:cstheme="minorHAnsi"/>
                <w:b/>
              </w:rPr>
            </w:pPr>
            <w:r w:rsidRPr="003438EF">
              <w:rPr>
                <w:rFonts w:asciiTheme="minorHAnsi" w:hAnsiTheme="minorHAnsi" w:cstheme="minorHAnsi"/>
                <w:b/>
                <w:color w:val="auto"/>
              </w:rPr>
              <w:t>Допълнителен принос от общинските бюджети</w:t>
            </w:r>
          </w:p>
        </w:tc>
        <w:tc>
          <w:tcPr>
            <w:tcW w:w="6237" w:type="dxa"/>
          </w:tcPr>
          <w:p w:rsidR="003438EF" w:rsidRPr="00E2154B" w:rsidRDefault="00197C20" w:rsidP="00197C20">
            <w:pPr>
              <w:spacing w:before="240"/>
              <w:jc w:val="both"/>
              <w:cnfStyle w:val="000000100000" w:firstRow="0" w:lastRow="0" w:firstColumn="0" w:lastColumn="0" w:oddVBand="0" w:evenVBand="0" w:oddHBand="1" w:evenHBand="0" w:firstRowFirstColumn="0" w:firstRowLastColumn="0" w:lastRowFirstColumn="0" w:lastRowLastColumn="0"/>
              <w:rPr>
                <w:rFonts w:cstheme="minorHAnsi"/>
              </w:rPr>
            </w:pPr>
            <w:r w:rsidRPr="00197C20">
              <w:rPr>
                <w:rFonts w:asciiTheme="minorHAnsi" w:hAnsiTheme="minorHAnsi" w:cstheme="minorHAnsi"/>
                <w:color w:val="auto"/>
              </w:rPr>
              <w:t>Тъй като част от активите на ВиК инфраструктурата са публична общинска собственост, се очаква и самите общини да допринесат към финансирането на инвестициите в сектора. На база извадково проучване на консултанта се очаква допълнителнията ресурс, който може да бъде мобилизиран годишно от страна на общинските бюджети е 10 млн. евро годишно или 70 млн. евро за периода на изпълнение на програмата.</w:t>
            </w:r>
          </w:p>
        </w:tc>
      </w:tr>
    </w:tbl>
    <w:p w:rsidR="00B43473" w:rsidRDefault="00452C96" w:rsidP="00B43473">
      <w:pPr>
        <w:spacing w:before="240"/>
        <w:jc w:val="both"/>
        <w:rPr>
          <w:rFonts w:eastAsia="Times New Roman" w:cstheme="minorHAnsi"/>
        </w:rPr>
      </w:pPr>
      <w:r w:rsidRPr="00452C96">
        <w:rPr>
          <w:rFonts w:eastAsia="Times New Roman" w:cstheme="minorHAnsi"/>
        </w:rPr>
        <w:t xml:space="preserve">Въз основа на така идентифицираните източници, </w:t>
      </w:r>
      <w:r>
        <w:rPr>
          <w:rFonts w:eastAsia="Times New Roman" w:cstheme="minorHAnsi"/>
        </w:rPr>
        <w:t>може да се прогнозира следната структура на финансиране на инвестиции в сектора за периода 2014-2020 г.:</w:t>
      </w:r>
    </w:p>
    <w:p w:rsidR="001E7114" w:rsidRPr="00F66BD6" w:rsidRDefault="001E7114" w:rsidP="004529A5">
      <w:pPr>
        <w:pStyle w:val="Caption"/>
        <w:keepNext/>
        <w:jc w:val="center"/>
        <w:rPr>
          <w:rFonts w:asciiTheme="minorHAnsi" w:hAnsiTheme="minorHAnsi" w:cstheme="minorHAnsi"/>
          <w:sz w:val="22"/>
          <w:szCs w:val="22"/>
        </w:rPr>
      </w:pPr>
      <w:bookmarkStart w:id="154" w:name="_Toc399494655"/>
      <w:r w:rsidRPr="00F66BD6">
        <w:rPr>
          <w:rFonts w:asciiTheme="minorHAnsi" w:hAnsiTheme="minorHAnsi" w:cstheme="minorHAnsi"/>
        </w:rPr>
        <w:lastRenderedPageBreak/>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70</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Pr>
          <w:rFonts w:asciiTheme="minorHAnsi" w:hAnsiTheme="minorHAnsi" w:cstheme="minorHAnsi"/>
        </w:rPr>
        <w:t>Допълнителни публични и частни ресурси във ВиК сектора</w:t>
      </w:r>
      <w:r w:rsidR="00F92032">
        <w:rPr>
          <w:rFonts w:asciiTheme="minorHAnsi" w:hAnsiTheme="minorHAnsi" w:cstheme="minorHAnsi"/>
        </w:rPr>
        <w:t xml:space="preserve"> при 20% БФП за ФИ</w:t>
      </w:r>
      <w:bookmarkEnd w:id="154"/>
    </w:p>
    <w:p w:rsidR="00452C96" w:rsidRPr="00452C96" w:rsidRDefault="00197C20" w:rsidP="00B43473">
      <w:pPr>
        <w:spacing w:before="240"/>
        <w:jc w:val="both"/>
        <w:rPr>
          <w:rFonts w:eastAsia="Times New Roman" w:cstheme="minorHAnsi"/>
        </w:rPr>
      </w:pPr>
      <w:r>
        <w:rPr>
          <w:rFonts w:eastAsia="Times New Roman" w:cstheme="minorHAnsi"/>
          <w:noProof/>
          <w:lang w:eastAsia="bg-BG"/>
        </w:rPr>
        <w:drawing>
          <wp:inline distT="0" distB="0" distL="0" distR="0">
            <wp:extent cx="5343525" cy="2816427"/>
            <wp:effectExtent l="19050" t="0" r="9525" b="0"/>
            <wp:docPr id="3"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36" cstate="print"/>
                    <a:srcRect/>
                    <a:stretch>
                      <a:fillRect/>
                    </a:stretch>
                  </pic:blipFill>
                  <pic:spPr bwMode="auto">
                    <a:xfrm>
                      <a:off x="0" y="0"/>
                      <a:ext cx="5347819" cy="2818690"/>
                    </a:xfrm>
                    <a:prstGeom prst="rect">
                      <a:avLst/>
                    </a:prstGeom>
                    <a:noFill/>
                  </pic:spPr>
                </pic:pic>
              </a:graphicData>
            </a:graphic>
          </wp:inline>
        </w:drawing>
      </w:r>
    </w:p>
    <w:p w:rsidR="00F92032" w:rsidRDefault="00F92032" w:rsidP="00F92032">
      <w:pPr>
        <w:pStyle w:val="Caption"/>
        <w:keepNext/>
        <w:jc w:val="center"/>
        <w:rPr>
          <w:rFonts w:asciiTheme="minorHAnsi" w:hAnsiTheme="minorHAnsi" w:cstheme="minorHAnsi"/>
        </w:rPr>
      </w:pPr>
    </w:p>
    <w:p w:rsidR="00F92032" w:rsidRDefault="00F92032" w:rsidP="00F92032">
      <w:pPr>
        <w:pStyle w:val="Caption"/>
        <w:keepNext/>
        <w:jc w:val="both"/>
        <w:rPr>
          <w:rFonts w:asciiTheme="minorHAnsi" w:hAnsiTheme="minorHAnsi" w:cstheme="minorHAnsi"/>
          <w:b w:val="0"/>
          <w:bCs w:val="0"/>
          <w:sz w:val="22"/>
          <w:szCs w:val="22"/>
          <w:lang w:eastAsia="en-US"/>
        </w:rPr>
      </w:pPr>
      <w:r w:rsidRPr="00F92032">
        <w:rPr>
          <w:rFonts w:asciiTheme="minorHAnsi" w:hAnsiTheme="minorHAnsi" w:cstheme="minorHAnsi"/>
          <w:b w:val="0"/>
          <w:bCs w:val="0"/>
          <w:sz w:val="22"/>
          <w:szCs w:val="22"/>
          <w:lang w:eastAsia="en-US"/>
        </w:rPr>
        <w:t xml:space="preserve">При 10% </w:t>
      </w:r>
      <w:r>
        <w:rPr>
          <w:rFonts w:asciiTheme="minorHAnsi" w:hAnsiTheme="minorHAnsi" w:cstheme="minorHAnsi"/>
          <w:b w:val="0"/>
          <w:bCs w:val="0"/>
          <w:sz w:val="22"/>
          <w:szCs w:val="22"/>
          <w:lang w:eastAsia="en-US"/>
        </w:rPr>
        <w:t>БФП за ФИ общият портфейл на финансирането би се равнявал на 2,5 млрд. евро както е посочено на следващата фигура</w:t>
      </w:r>
    </w:p>
    <w:p w:rsidR="00F92032" w:rsidRPr="00F92032" w:rsidRDefault="00F92032" w:rsidP="00F92032"/>
    <w:p w:rsidR="00F92032" w:rsidRPr="00F66BD6" w:rsidRDefault="00F92032" w:rsidP="00F92032">
      <w:pPr>
        <w:pStyle w:val="Caption"/>
        <w:keepNext/>
        <w:jc w:val="center"/>
        <w:rPr>
          <w:rFonts w:asciiTheme="minorHAnsi" w:hAnsiTheme="minorHAnsi" w:cstheme="minorHAnsi"/>
          <w:sz w:val="22"/>
          <w:szCs w:val="22"/>
        </w:rPr>
      </w:pPr>
      <w:bookmarkStart w:id="155" w:name="_Toc399494656"/>
      <w:r w:rsidRPr="00F66BD6">
        <w:rPr>
          <w:rFonts w:asciiTheme="minorHAnsi" w:hAnsiTheme="minorHAnsi" w:cstheme="minorHAnsi"/>
        </w:rPr>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71</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Pr>
          <w:rFonts w:asciiTheme="minorHAnsi" w:hAnsiTheme="minorHAnsi" w:cstheme="minorHAnsi"/>
        </w:rPr>
        <w:t>Допълнителни публични и частни ресурси във ВиК сектора при 10% БФП за ФИ</w:t>
      </w:r>
      <w:bookmarkEnd w:id="155"/>
    </w:p>
    <w:p w:rsidR="00F92032" w:rsidRDefault="00F92032" w:rsidP="00B43473">
      <w:pPr>
        <w:spacing w:before="240"/>
        <w:rPr>
          <w:rFonts w:cs="Times New Roman"/>
        </w:rPr>
      </w:pPr>
      <w:r>
        <w:rPr>
          <w:rFonts w:cs="Times New Roman"/>
          <w:noProof/>
          <w:lang w:eastAsia="bg-BG"/>
        </w:rPr>
        <w:drawing>
          <wp:inline distT="0" distB="0" distL="0" distR="0">
            <wp:extent cx="5343525" cy="3662284"/>
            <wp:effectExtent l="19050" t="0" r="0" b="0"/>
            <wp:docPr id="2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37" cstate="print"/>
                    <a:srcRect/>
                    <a:stretch>
                      <a:fillRect/>
                    </a:stretch>
                  </pic:blipFill>
                  <pic:spPr bwMode="auto">
                    <a:xfrm>
                      <a:off x="0" y="0"/>
                      <a:ext cx="5348939" cy="3665995"/>
                    </a:xfrm>
                    <a:prstGeom prst="rect">
                      <a:avLst/>
                    </a:prstGeom>
                    <a:noFill/>
                  </pic:spPr>
                </pic:pic>
              </a:graphicData>
            </a:graphic>
          </wp:inline>
        </w:drawing>
      </w:r>
    </w:p>
    <w:p w:rsidR="001E7114" w:rsidRPr="001E7114" w:rsidRDefault="001E7114" w:rsidP="001E7114">
      <w:pPr>
        <w:spacing w:before="240"/>
        <w:jc w:val="both"/>
        <w:rPr>
          <w:rFonts w:cstheme="minorHAnsi"/>
          <w:b/>
          <w:i/>
          <w:color w:val="2E74B5" w:themeColor="accent1" w:themeShade="BF"/>
        </w:rPr>
      </w:pPr>
      <w:r w:rsidRPr="001E7114">
        <w:rPr>
          <w:rFonts w:cstheme="minorHAnsi"/>
          <w:b/>
          <w:i/>
          <w:color w:val="2E74B5" w:themeColor="accent1" w:themeShade="BF"/>
        </w:rPr>
        <w:lastRenderedPageBreak/>
        <w:t>Сектор Отпадъци</w:t>
      </w:r>
    </w:p>
    <w:tbl>
      <w:tblPr>
        <w:tblStyle w:val="MediumList2-Accent11"/>
        <w:tblW w:w="9322" w:type="dxa"/>
        <w:tblLook w:val="04A0" w:firstRow="1" w:lastRow="0" w:firstColumn="1" w:lastColumn="0" w:noHBand="0" w:noVBand="1"/>
      </w:tblPr>
      <w:tblGrid>
        <w:gridCol w:w="3085"/>
        <w:gridCol w:w="6237"/>
      </w:tblGrid>
      <w:tr w:rsidR="001E7114" w:rsidRPr="000B4E9B" w:rsidTr="00C338C8">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085" w:type="dxa"/>
          </w:tcPr>
          <w:p w:rsidR="001E7114" w:rsidRPr="000B4E9B" w:rsidRDefault="001E7114" w:rsidP="00C338C8">
            <w:pPr>
              <w:spacing w:before="240"/>
              <w:jc w:val="center"/>
              <w:rPr>
                <w:rFonts w:asciiTheme="minorHAnsi" w:hAnsiTheme="minorHAnsi" w:cstheme="minorHAnsi"/>
                <w:color w:val="auto"/>
                <w:sz w:val="22"/>
                <w:szCs w:val="22"/>
              </w:rPr>
            </w:pPr>
            <w:r w:rsidRPr="000B4E9B">
              <w:rPr>
                <w:rFonts w:asciiTheme="minorHAnsi" w:hAnsiTheme="minorHAnsi" w:cstheme="minorHAnsi"/>
                <w:color w:val="auto"/>
                <w:sz w:val="22"/>
                <w:szCs w:val="22"/>
              </w:rPr>
              <w:t>Потенциални допълнителни ресурси</w:t>
            </w:r>
          </w:p>
        </w:tc>
        <w:tc>
          <w:tcPr>
            <w:tcW w:w="6237" w:type="dxa"/>
          </w:tcPr>
          <w:p w:rsidR="001E7114" w:rsidRPr="000B4E9B" w:rsidRDefault="001E7114" w:rsidP="00C338C8">
            <w:pPr>
              <w:spacing w:before="24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sz w:val="22"/>
                <w:szCs w:val="22"/>
              </w:rPr>
            </w:pPr>
            <w:r w:rsidRPr="000B4E9B">
              <w:rPr>
                <w:rFonts w:asciiTheme="minorHAnsi" w:hAnsiTheme="minorHAnsi" w:cstheme="minorHAnsi"/>
                <w:color w:val="auto"/>
                <w:sz w:val="22"/>
                <w:szCs w:val="22"/>
              </w:rPr>
              <w:t>Описание</w:t>
            </w:r>
          </w:p>
        </w:tc>
      </w:tr>
      <w:tr w:rsidR="001E7114" w:rsidRPr="000B4E9B" w:rsidTr="00C338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tcPr>
          <w:p w:rsidR="001E7114" w:rsidRPr="000B4E9B" w:rsidRDefault="001E7114" w:rsidP="00EB6C68">
            <w:pPr>
              <w:spacing w:before="240"/>
              <w:rPr>
                <w:rFonts w:asciiTheme="minorHAnsi" w:hAnsiTheme="minorHAnsi" w:cstheme="minorHAnsi"/>
                <w:b/>
                <w:color w:val="auto"/>
              </w:rPr>
            </w:pPr>
            <w:r w:rsidRPr="000B4E9B">
              <w:rPr>
                <w:rFonts w:asciiTheme="minorHAnsi" w:hAnsiTheme="minorHAnsi" w:cstheme="minorHAnsi"/>
                <w:b/>
                <w:color w:val="auto"/>
              </w:rPr>
              <w:t>Национално съфинансиране към ОПОС 2014-2020</w:t>
            </w:r>
          </w:p>
        </w:tc>
        <w:tc>
          <w:tcPr>
            <w:tcW w:w="6237" w:type="dxa"/>
          </w:tcPr>
          <w:p w:rsidR="001E7114" w:rsidRPr="00B255C1" w:rsidRDefault="004529A5" w:rsidP="00EB6C68">
            <w:pPr>
              <w:spacing w:before="24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rPr>
            </w:pPr>
            <w:r>
              <w:rPr>
                <w:rFonts w:asciiTheme="minorHAnsi" w:hAnsiTheme="minorHAnsi" w:cstheme="minorHAnsi"/>
                <w:color w:val="auto"/>
              </w:rPr>
              <w:t>Предвиденото национално</w:t>
            </w:r>
            <w:r w:rsidR="00EB6C68">
              <w:rPr>
                <w:rFonts w:asciiTheme="minorHAnsi" w:hAnsiTheme="minorHAnsi" w:cstheme="minorHAnsi"/>
                <w:color w:val="auto"/>
              </w:rPr>
              <w:t xml:space="preserve"> публично съ</w:t>
            </w:r>
            <w:r w:rsidR="001E7114" w:rsidRPr="00B255C1">
              <w:rPr>
                <w:rFonts w:asciiTheme="minorHAnsi" w:hAnsiTheme="minorHAnsi" w:cstheme="minorHAnsi"/>
                <w:color w:val="auto"/>
              </w:rPr>
              <w:t>финансиране по Приоритетна ос І</w:t>
            </w:r>
            <w:r w:rsidR="001E7114">
              <w:rPr>
                <w:rFonts w:asciiTheme="minorHAnsi" w:hAnsiTheme="minorHAnsi" w:cstheme="minorHAnsi"/>
                <w:color w:val="auto"/>
              </w:rPr>
              <w:t>І</w:t>
            </w:r>
            <w:r w:rsidR="001E7114" w:rsidRPr="00B255C1">
              <w:rPr>
                <w:rFonts w:asciiTheme="minorHAnsi" w:hAnsiTheme="minorHAnsi" w:cstheme="minorHAnsi"/>
                <w:color w:val="auto"/>
              </w:rPr>
              <w:t xml:space="preserve"> „</w:t>
            </w:r>
            <w:r w:rsidR="001E7114">
              <w:rPr>
                <w:rFonts w:asciiTheme="minorHAnsi" w:hAnsiTheme="minorHAnsi" w:cstheme="minorHAnsi"/>
                <w:color w:val="auto"/>
              </w:rPr>
              <w:t>Отпадъци</w:t>
            </w:r>
            <w:r w:rsidR="001E7114" w:rsidRPr="00B255C1">
              <w:rPr>
                <w:rFonts w:asciiTheme="minorHAnsi" w:hAnsiTheme="minorHAnsi" w:cstheme="minorHAnsi"/>
                <w:color w:val="auto"/>
              </w:rPr>
              <w:t xml:space="preserve">” на ОПОС 2014-2020 г. е на стойност </w:t>
            </w:r>
            <w:r w:rsidR="001E7114" w:rsidRPr="001E7114">
              <w:rPr>
                <w:rFonts w:asciiTheme="minorHAnsi" w:hAnsiTheme="minorHAnsi" w:cstheme="minorHAnsi"/>
                <w:color w:val="auto"/>
              </w:rPr>
              <w:t xml:space="preserve">38 647 943 </w:t>
            </w:r>
            <w:r w:rsidR="001E7114" w:rsidRPr="00B255C1">
              <w:rPr>
                <w:rFonts w:asciiTheme="minorHAnsi" w:hAnsiTheme="minorHAnsi" w:cstheme="minorHAnsi"/>
                <w:color w:val="auto"/>
              </w:rPr>
              <w:t>евро, което представлява 15% от общата стойност на ресурса по тази ос. Национално частно съфинансиране по ОПОС не е предвидено.</w:t>
            </w:r>
          </w:p>
        </w:tc>
      </w:tr>
      <w:tr w:rsidR="001E7114" w:rsidRPr="000B4E9B" w:rsidTr="00C338C8">
        <w:tc>
          <w:tcPr>
            <w:cnfStyle w:val="001000000000" w:firstRow="0" w:lastRow="0" w:firstColumn="1" w:lastColumn="0" w:oddVBand="0" w:evenVBand="0" w:oddHBand="0" w:evenHBand="0" w:firstRowFirstColumn="0" w:firstRowLastColumn="0" w:lastRowFirstColumn="0" w:lastRowLastColumn="0"/>
            <w:tcW w:w="3085" w:type="dxa"/>
          </w:tcPr>
          <w:p w:rsidR="001E7114" w:rsidRPr="000B4E9B" w:rsidRDefault="001E7114" w:rsidP="006A6981">
            <w:pPr>
              <w:spacing w:before="240"/>
              <w:rPr>
                <w:rFonts w:asciiTheme="minorHAnsi" w:hAnsiTheme="minorHAnsi" w:cstheme="minorHAnsi"/>
                <w:b/>
                <w:color w:val="auto"/>
              </w:rPr>
            </w:pPr>
            <w:r>
              <w:rPr>
                <w:rFonts w:asciiTheme="minorHAnsi" w:hAnsiTheme="minorHAnsi" w:cstheme="minorHAnsi"/>
                <w:b/>
                <w:color w:val="auto"/>
              </w:rPr>
              <w:t>Международни финансови институции (МФИ)</w:t>
            </w:r>
            <w:r w:rsidR="006A6981">
              <w:rPr>
                <w:rFonts w:asciiTheme="minorHAnsi" w:hAnsiTheme="minorHAnsi" w:cstheme="minorHAnsi"/>
                <w:b/>
                <w:color w:val="auto"/>
              </w:rPr>
              <w:t xml:space="preserve"> и търговски банки на българския пазар</w:t>
            </w:r>
          </w:p>
        </w:tc>
        <w:tc>
          <w:tcPr>
            <w:tcW w:w="6237" w:type="dxa"/>
          </w:tcPr>
          <w:p w:rsidR="001E7114" w:rsidRPr="00B255C1" w:rsidRDefault="001E7114" w:rsidP="006A6981">
            <w:pPr>
              <w:spacing w:before="24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rPr>
            </w:pPr>
            <w:r>
              <w:rPr>
                <w:rFonts w:asciiTheme="minorHAnsi" w:hAnsiTheme="minorHAnsi" w:cstheme="minorHAnsi"/>
                <w:color w:val="auto"/>
              </w:rPr>
              <w:t xml:space="preserve">Съгласно направената оценка на ефекта на лоста, се очаква в резултат от структуриране на финансов инструмент за </w:t>
            </w:r>
            <w:r w:rsidR="006A6981">
              <w:rPr>
                <w:rFonts w:asciiTheme="minorHAnsi" w:hAnsiTheme="minorHAnsi" w:cstheme="minorHAnsi"/>
                <w:color w:val="auto"/>
              </w:rPr>
              <w:t>сектор</w:t>
            </w:r>
            <w:r>
              <w:rPr>
                <w:rFonts w:asciiTheme="minorHAnsi" w:hAnsiTheme="minorHAnsi" w:cstheme="minorHAnsi"/>
                <w:color w:val="auto"/>
              </w:rPr>
              <w:t xml:space="preserve"> </w:t>
            </w:r>
            <w:r w:rsidR="006A6981">
              <w:rPr>
                <w:rFonts w:asciiTheme="minorHAnsi" w:hAnsiTheme="minorHAnsi" w:cstheme="minorHAnsi"/>
                <w:color w:val="auto"/>
              </w:rPr>
              <w:t xml:space="preserve">Отпадъци </w:t>
            </w:r>
            <w:r>
              <w:rPr>
                <w:rFonts w:asciiTheme="minorHAnsi" w:hAnsiTheme="minorHAnsi" w:cstheme="minorHAnsi"/>
                <w:color w:val="auto"/>
              </w:rPr>
              <w:t>да бъдат привлечени допълнителни финансови ресурси от финанс</w:t>
            </w:r>
            <w:r w:rsidR="006A6981">
              <w:rPr>
                <w:rFonts w:asciiTheme="minorHAnsi" w:hAnsiTheme="minorHAnsi" w:cstheme="minorHAnsi"/>
                <w:color w:val="auto"/>
              </w:rPr>
              <w:t>ови институции в съотношение 1:5</w:t>
            </w:r>
            <w:r>
              <w:rPr>
                <w:rFonts w:asciiTheme="minorHAnsi" w:hAnsiTheme="minorHAnsi" w:cstheme="minorHAnsi"/>
                <w:color w:val="auto"/>
              </w:rPr>
              <w:t xml:space="preserve">. Това означава, че ако потенциално </w:t>
            </w:r>
            <w:r w:rsidR="006A6981">
              <w:rPr>
                <w:rFonts w:asciiTheme="minorHAnsi" w:hAnsiTheme="minorHAnsi" w:cstheme="minorHAnsi"/>
                <w:color w:val="auto"/>
              </w:rPr>
              <w:t>2</w:t>
            </w:r>
            <w:r>
              <w:rPr>
                <w:rFonts w:asciiTheme="minorHAnsi" w:hAnsiTheme="minorHAnsi" w:cstheme="minorHAnsi"/>
                <w:color w:val="auto"/>
              </w:rPr>
              <w:t>0% от ресурса по ПО бъдат заделени за финансови инструменти, ще бъдат мобилизирани</w:t>
            </w:r>
            <w:r w:rsidR="006A6981">
              <w:rPr>
                <w:rFonts w:asciiTheme="minorHAnsi" w:hAnsiTheme="minorHAnsi" w:cstheme="minorHAnsi"/>
                <w:color w:val="auto"/>
              </w:rPr>
              <w:t xml:space="preserve"> допълнително близо 258 млн. евро</w:t>
            </w:r>
            <w:r>
              <w:rPr>
                <w:rFonts w:asciiTheme="minorHAnsi" w:hAnsiTheme="minorHAnsi" w:cstheme="minorHAnsi"/>
                <w:color w:val="auto"/>
              </w:rPr>
              <w:t>.</w:t>
            </w:r>
          </w:p>
        </w:tc>
      </w:tr>
      <w:tr w:rsidR="001E7114" w:rsidRPr="000B4E9B" w:rsidTr="00C338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rsidR="001E7114" w:rsidRDefault="001E7114" w:rsidP="00C338C8">
            <w:pPr>
              <w:spacing w:before="240"/>
              <w:rPr>
                <w:rFonts w:cstheme="minorHAnsi"/>
                <w:b/>
              </w:rPr>
            </w:pPr>
            <w:r w:rsidRPr="00E2154B">
              <w:rPr>
                <w:rFonts w:asciiTheme="minorHAnsi" w:hAnsiTheme="minorHAnsi" w:cstheme="minorHAnsi"/>
                <w:b/>
                <w:color w:val="auto"/>
              </w:rPr>
              <w:t>Фонд</w:t>
            </w:r>
            <w:r>
              <w:rPr>
                <w:rFonts w:asciiTheme="minorHAnsi" w:hAnsiTheme="minorHAnsi" w:cstheme="minorHAnsi"/>
                <w:b/>
                <w:color w:val="auto"/>
              </w:rPr>
              <w:t xml:space="preserve"> </w:t>
            </w:r>
            <w:r w:rsidRPr="00E2154B">
              <w:rPr>
                <w:rFonts w:asciiTheme="minorHAnsi" w:hAnsiTheme="minorHAnsi" w:cstheme="minorHAnsi"/>
                <w:b/>
                <w:color w:val="auto"/>
              </w:rPr>
              <w:t>ФЛАГ</w:t>
            </w:r>
          </w:p>
        </w:tc>
        <w:tc>
          <w:tcPr>
            <w:tcW w:w="6237" w:type="dxa"/>
          </w:tcPr>
          <w:p w:rsidR="001E7114" w:rsidRDefault="001E7114" w:rsidP="00C338C8">
            <w:pPr>
              <w:spacing w:before="24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rPr>
            </w:pPr>
            <w:r w:rsidRPr="00452C96">
              <w:rPr>
                <w:rFonts w:asciiTheme="minorHAnsi" w:hAnsiTheme="minorHAnsi" w:cstheme="minorHAnsi"/>
                <w:color w:val="auto"/>
              </w:rPr>
              <w:t>За изминалия програмен период фонд ФЛАГ е финансирал инвестиции в</w:t>
            </w:r>
            <w:r w:rsidR="006A6981">
              <w:rPr>
                <w:rFonts w:asciiTheme="minorHAnsi" w:hAnsiTheme="minorHAnsi" w:cstheme="minorHAnsi"/>
                <w:color w:val="auto"/>
              </w:rPr>
              <w:t xml:space="preserve"> сектор Отпадъци </w:t>
            </w:r>
            <w:r w:rsidRPr="00452C96">
              <w:rPr>
                <w:rFonts w:asciiTheme="minorHAnsi" w:hAnsiTheme="minorHAnsi" w:cstheme="minorHAnsi"/>
                <w:color w:val="auto"/>
              </w:rPr>
              <w:t xml:space="preserve">на обща стойност близо </w:t>
            </w:r>
            <w:r w:rsidR="006A6981">
              <w:rPr>
                <w:rFonts w:asciiTheme="minorHAnsi" w:hAnsiTheme="minorHAnsi" w:cstheme="minorHAnsi"/>
                <w:color w:val="auto"/>
              </w:rPr>
              <w:t>13</w:t>
            </w:r>
            <w:r w:rsidRPr="00452C96">
              <w:rPr>
                <w:rFonts w:asciiTheme="minorHAnsi" w:hAnsiTheme="minorHAnsi" w:cstheme="minorHAnsi"/>
                <w:color w:val="auto"/>
              </w:rPr>
              <w:t xml:space="preserve"> млн. евро</w:t>
            </w:r>
            <w:r>
              <w:rPr>
                <w:rFonts w:asciiTheme="minorHAnsi" w:hAnsiTheme="minorHAnsi" w:cstheme="minorHAnsi"/>
                <w:color w:val="auto"/>
              </w:rPr>
              <w:t>. Част от тези средства са използвани за т.нар. мостово финансиране.</w:t>
            </w:r>
          </w:p>
          <w:p w:rsidR="001E7114" w:rsidRPr="00452C96" w:rsidRDefault="001E7114" w:rsidP="00620CBC">
            <w:pPr>
              <w:spacing w:before="24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rPr>
            </w:pPr>
            <w:r>
              <w:rPr>
                <w:rFonts w:asciiTheme="minorHAnsi" w:hAnsiTheme="minorHAnsi" w:cstheme="minorHAnsi"/>
                <w:color w:val="auto"/>
              </w:rPr>
              <w:t xml:space="preserve">На тази база може да се прогнозира, че чрез фонд Флаг могат да бъдат мобилизирани допълнително </w:t>
            </w:r>
            <w:r w:rsidR="00620CBC">
              <w:rPr>
                <w:rFonts w:asciiTheme="minorHAnsi" w:hAnsiTheme="minorHAnsi" w:cstheme="minorHAnsi"/>
                <w:color w:val="auto"/>
              </w:rPr>
              <w:t xml:space="preserve">~ </w:t>
            </w:r>
            <w:r w:rsidR="006A6981">
              <w:rPr>
                <w:rFonts w:asciiTheme="minorHAnsi" w:hAnsiTheme="minorHAnsi" w:cstheme="minorHAnsi"/>
                <w:color w:val="auto"/>
              </w:rPr>
              <w:t>15</w:t>
            </w:r>
            <w:r>
              <w:rPr>
                <w:rFonts w:asciiTheme="minorHAnsi" w:hAnsiTheme="minorHAnsi" w:cstheme="minorHAnsi"/>
                <w:color w:val="auto"/>
              </w:rPr>
              <w:t xml:space="preserve"> млн. евро за инвестиции в сектора.  </w:t>
            </w:r>
          </w:p>
        </w:tc>
      </w:tr>
      <w:tr w:rsidR="001E7114" w:rsidRPr="000B4E9B" w:rsidTr="00C338C8">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rsidR="001E7114" w:rsidRDefault="001E7114" w:rsidP="00C338C8">
            <w:pPr>
              <w:spacing w:before="240"/>
              <w:rPr>
                <w:rFonts w:cstheme="minorHAnsi"/>
                <w:b/>
              </w:rPr>
            </w:pPr>
            <w:r w:rsidRPr="001E16A2">
              <w:rPr>
                <w:rFonts w:asciiTheme="minorHAnsi" w:hAnsiTheme="minorHAnsi" w:cstheme="minorHAnsi"/>
                <w:b/>
                <w:color w:val="auto"/>
              </w:rPr>
              <w:t>ПУДООС</w:t>
            </w:r>
          </w:p>
        </w:tc>
        <w:tc>
          <w:tcPr>
            <w:tcW w:w="6237" w:type="dxa"/>
          </w:tcPr>
          <w:p w:rsidR="001E7114" w:rsidRDefault="006A6981" w:rsidP="006A6981">
            <w:pPr>
              <w:spacing w:before="240"/>
              <w:jc w:val="both"/>
              <w:cnfStyle w:val="000000000000" w:firstRow="0" w:lastRow="0" w:firstColumn="0" w:lastColumn="0" w:oddVBand="0" w:evenVBand="0" w:oddHBand="0" w:evenHBand="0" w:firstRowFirstColumn="0" w:firstRowLastColumn="0" w:lastRowFirstColumn="0" w:lastRowLastColumn="0"/>
              <w:rPr>
                <w:rFonts w:cstheme="minorHAnsi"/>
              </w:rPr>
            </w:pPr>
            <w:r>
              <w:rPr>
                <w:rFonts w:asciiTheme="minorHAnsi" w:hAnsiTheme="minorHAnsi" w:cstheme="minorHAnsi"/>
                <w:color w:val="auto"/>
              </w:rPr>
              <w:t>ПУДООС финансира мерки в сектор Отпадъци</w:t>
            </w:r>
            <w:r w:rsidR="001E7114" w:rsidRPr="00E2154B">
              <w:rPr>
                <w:rFonts w:asciiTheme="minorHAnsi" w:hAnsiTheme="minorHAnsi" w:cstheme="minorHAnsi"/>
                <w:color w:val="auto"/>
              </w:rPr>
              <w:t xml:space="preserve"> на стойност средно около 15 млн. евро годишно</w:t>
            </w:r>
            <w:r w:rsidR="001E7114">
              <w:rPr>
                <w:rStyle w:val="FootnoteReference"/>
                <w:rFonts w:asciiTheme="minorHAnsi" w:hAnsiTheme="minorHAnsi" w:cstheme="minorHAnsi"/>
                <w:color w:val="auto"/>
              </w:rPr>
              <w:footnoteReference w:id="120"/>
            </w:r>
            <w:r w:rsidR="001E7114">
              <w:rPr>
                <w:rFonts w:asciiTheme="minorHAnsi" w:hAnsiTheme="minorHAnsi" w:cstheme="minorHAnsi"/>
                <w:color w:val="auto"/>
              </w:rPr>
              <w:t xml:space="preserve">, които потенциално могат да бъдат използвани като допълнителен ресурс за финансиране на проекти </w:t>
            </w:r>
            <w:r>
              <w:rPr>
                <w:rFonts w:asciiTheme="minorHAnsi" w:hAnsiTheme="minorHAnsi" w:cstheme="minorHAnsi"/>
                <w:color w:val="auto"/>
              </w:rPr>
              <w:t>сектора</w:t>
            </w:r>
            <w:r w:rsidR="001E7114">
              <w:rPr>
                <w:rFonts w:asciiTheme="minorHAnsi" w:hAnsiTheme="minorHAnsi" w:cstheme="minorHAnsi"/>
                <w:color w:val="auto"/>
              </w:rPr>
              <w:t>.</w:t>
            </w:r>
          </w:p>
        </w:tc>
      </w:tr>
      <w:tr w:rsidR="001E7114" w:rsidRPr="000B4E9B" w:rsidTr="00C338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5" w:type="dxa"/>
            <w:shd w:val="clear" w:color="auto" w:fill="auto"/>
          </w:tcPr>
          <w:p w:rsidR="001E7114" w:rsidRPr="001E16A2" w:rsidRDefault="001E7114" w:rsidP="006A6981">
            <w:pPr>
              <w:spacing w:before="240"/>
              <w:rPr>
                <w:rFonts w:cstheme="minorHAnsi"/>
                <w:b/>
              </w:rPr>
            </w:pPr>
            <w:r w:rsidRPr="00E2154B">
              <w:rPr>
                <w:rFonts w:asciiTheme="minorHAnsi" w:hAnsiTheme="minorHAnsi" w:cstheme="minorHAnsi"/>
                <w:b/>
                <w:color w:val="auto"/>
              </w:rPr>
              <w:t xml:space="preserve">Собствен ресурс на </w:t>
            </w:r>
            <w:r w:rsidR="006A6981">
              <w:rPr>
                <w:rFonts w:asciiTheme="minorHAnsi" w:hAnsiTheme="minorHAnsi" w:cstheme="minorHAnsi"/>
                <w:b/>
                <w:color w:val="auto"/>
              </w:rPr>
              <w:t>крайните бенефициенти</w:t>
            </w:r>
            <w:r w:rsidR="00440CC0">
              <w:rPr>
                <w:rFonts w:asciiTheme="minorHAnsi" w:hAnsiTheme="minorHAnsi" w:cstheme="minorHAnsi"/>
                <w:b/>
                <w:color w:val="auto"/>
              </w:rPr>
              <w:t xml:space="preserve"> (</w:t>
            </w:r>
            <w:r w:rsidR="00440CC0" w:rsidRPr="001E43D4">
              <w:rPr>
                <w:rFonts w:asciiTheme="minorHAnsi" w:hAnsiTheme="minorHAnsi" w:cstheme="minorHAnsi"/>
                <w:b/>
                <w:color w:val="auto"/>
                <w:u w:val="single"/>
              </w:rPr>
              <w:t>извън този за съфинансиране на проектите по ОПОС</w:t>
            </w:r>
            <w:r w:rsidR="00440CC0" w:rsidRPr="00E2154B">
              <w:rPr>
                <w:rFonts w:asciiTheme="minorHAnsi" w:hAnsiTheme="minorHAnsi" w:cstheme="minorHAnsi"/>
                <w:b/>
                <w:color w:val="auto"/>
              </w:rPr>
              <w:t>)</w:t>
            </w:r>
          </w:p>
        </w:tc>
        <w:tc>
          <w:tcPr>
            <w:tcW w:w="6237" w:type="dxa"/>
          </w:tcPr>
          <w:p w:rsidR="001E7114" w:rsidRPr="00E2154B" w:rsidRDefault="001E7114" w:rsidP="00C338C8">
            <w:pPr>
              <w:spacing w:before="240"/>
              <w:jc w:val="both"/>
              <w:cnfStyle w:val="000000100000" w:firstRow="0" w:lastRow="0" w:firstColumn="0" w:lastColumn="0" w:oddVBand="0" w:evenVBand="0" w:oddHBand="1" w:evenHBand="0" w:firstRowFirstColumn="0" w:firstRowLastColumn="0" w:lastRowFirstColumn="0" w:lastRowLastColumn="0"/>
              <w:rPr>
                <w:rFonts w:cstheme="minorHAnsi"/>
              </w:rPr>
            </w:pPr>
            <w:r w:rsidRPr="00E2154B">
              <w:rPr>
                <w:rFonts w:asciiTheme="minorHAnsi" w:hAnsiTheme="minorHAnsi" w:cstheme="minorHAnsi"/>
                <w:color w:val="auto"/>
              </w:rPr>
              <w:t>Извън проектите, които се предвижда да бъдат реализиран</w:t>
            </w:r>
            <w:r w:rsidR="006A6981">
              <w:rPr>
                <w:rFonts w:asciiTheme="minorHAnsi" w:hAnsiTheme="minorHAnsi" w:cstheme="minorHAnsi"/>
                <w:color w:val="auto"/>
              </w:rPr>
              <w:t>и</w:t>
            </w:r>
            <w:r w:rsidRPr="00E2154B">
              <w:rPr>
                <w:rFonts w:asciiTheme="minorHAnsi" w:hAnsiTheme="minorHAnsi" w:cstheme="minorHAnsi"/>
                <w:color w:val="auto"/>
              </w:rPr>
              <w:t xml:space="preserve"> по ОПОС, </w:t>
            </w:r>
            <w:r w:rsidR="006A6981">
              <w:rPr>
                <w:rFonts w:asciiTheme="minorHAnsi" w:hAnsiTheme="minorHAnsi" w:cstheme="minorHAnsi"/>
                <w:color w:val="auto"/>
              </w:rPr>
              <w:t>крайните бенефициенти на проекти в сектор Отпадъци биха могли да мобилизират допълнителен финансов ресурс чрез собствени средства за инвестиции в сектора</w:t>
            </w:r>
            <w:r>
              <w:rPr>
                <w:rFonts w:asciiTheme="minorHAnsi" w:hAnsiTheme="minorHAnsi" w:cstheme="minorHAnsi"/>
                <w:color w:val="auto"/>
              </w:rPr>
              <w:t>.</w:t>
            </w:r>
            <w:r w:rsidR="006A6981">
              <w:rPr>
                <w:rFonts w:asciiTheme="minorHAnsi" w:hAnsiTheme="minorHAnsi" w:cstheme="minorHAnsi"/>
                <w:color w:val="auto"/>
              </w:rPr>
              <w:t xml:space="preserve"> Тук е трудно да се направи точна прогноза за допълнителните средства, които биха могли да се мобилизират от частни</w:t>
            </w:r>
            <w:r w:rsidR="00C338C8">
              <w:rPr>
                <w:rFonts w:asciiTheme="minorHAnsi" w:hAnsiTheme="minorHAnsi" w:cstheme="minorHAnsi"/>
                <w:color w:val="auto"/>
              </w:rPr>
              <w:t xml:space="preserve"> източници, но ако се базираме на факта, че предприятията заделят средно по 10% собствен ресурс за инвестиции</w:t>
            </w:r>
            <w:r w:rsidR="00C338C8">
              <w:rPr>
                <w:rStyle w:val="FootnoteReference"/>
                <w:rFonts w:asciiTheme="minorHAnsi" w:hAnsiTheme="minorHAnsi" w:cstheme="minorHAnsi"/>
                <w:color w:val="auto"/>
              </w:rPr>
              <w:footnoteReference w:id="121"/>
            </w:r>
            <w:r w:rsidR="00C338C8">
              <w:rPr>
                <w:rFonts w:asciiTheme="minorHAnsi" w:hAnsiTheme="minorHAnsi" w:cstheme="minorHAnsi"/>
                <w:color w:val="auto"/>
              </w:rPr>
              <w:t xml:space="preserve"> и ако приемем, че тези 10% биха допълнили общата стойност на проектите, които ще се реализират чрез гаранционния механизъм, то тогава се очаква да се привлекат от частния сектор </w:t>
            </w:r>
            <w:r w:rsidR="00620CBC">
              <w:rPr>
                <w:rFonts w:asciiTheme="minorHAnsi" w:hAnsiTheme="minorHAnsi" w:cstheme="minorHAnsi"/>
                <w:color w:val="auto"/>
              </w:rPr>
              <w:t>още около 25 млн. евро.</w:t>
            </w:r>
          </w:p>
        </w:tc>
      </w:tr>
    </w:tbl>
    <w:p w:rsidR="00620CBC" w:rsidRDefault="00620CBC" w:rsidP="00620CBC">
      <w:pPr>
        <w:spacing w:before="240"/>
        <w:jc w:val="both"/>
        <w:rPr>
          <w:rFonts w:eastAsia="Times New Roman" w:cstheme="minorHAnsi"/>
        </w:rPr>
      </w:pPr>
    </w:p>
    <w:p w:rsidR="00620CBC" w:rsidRDefault="00620CBC" w:rsidP="00620CBC">
      <w:pPr>
        <w:spacing w:before="240"/>
        <w:jc w:val="both"/>
        <w:rPr>
          <w:rFonts w:eastAsia="Times New Roman" w:cstheme="minorHAnsi"/>
        </w:rPr>
      </w:pPr>
      <w:r w:rsidRPr="00452C96">
        <w:rPr>
          <w:rFonts w:eastAsia="Times New Roman" w:cstheme="minorHAnsi"/>
        </w:rPr>
        <w:t xml:space="preserve">Въз основа на така идентифицираните източници, </w:t>
      </w:r>
      <w:r>
        <w:rPr>
          <w:rFonts w:eastAsia="Times New Roman" w:cstheme="minorHAnsi"/>
        </w:rPr>
        <w:t>може да се прогнозира следната структура на финансиране на инвестиции в сектора за периода 2014-2020 г.:</w:t>
      </w:r>
    </w:p>
    <w:p w:rsidR="00620CBC" w:rsidRPr="00F66BD6" w:rsidRDefault="00620CBC" w:rsidP="002D3BE2">
      <w:pPr>
        <w:pStyle w:val="Caption"/>
        <w:keepNext/>
        <w:jc w:val="center"/>
        <w:rPr>
          <w:rFonts w:asciiTheme="minorHAnsi" w:hAnsiTheme="minorHAnsi" w:cstheme="minorHAnsi"/>
          <w:sz w:val="22"/>
          <w:szCs w:val="22"/>
        </w:rPr>
      </w:pPr>
      <w:bookmarkStart w:id="156" w:name="_Toc399494657"/>
      <w:r w:rsidRPr="00F66BD6">
        <w:rPr>
          <w:rFonts w:asciiTheme="minorHAnsi" w:hAnsiTheme="minorHAnsi" w:cstheme="minorHAnsi"/>
        </w:rPr>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72</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Pr>
          <w:rFonts w:asciiTheme="minorHAnsi" w:hAnsiTheme="minorHAnsi" w:cstheme="minorHAnsi"/>
        </w:rPr>
        <w:t>Допълнителни публични и частни ресурси в сектор Отпадъци</w:t>
      </w:r>
      <w:bookmarkEnd w:id="156"/>
    </w:p>
    <w:p w:rsidR="001E7114" w:rsidRPr="001E7114" w:rsidRDefault="00B94CAA" w:rsidP="00B43473">
      <w:pPr>
        <w:spacing w:before="240"/>
        <w:rPr>
          <w:rFonts w:cs="Times New Roman"/>
          <w:b/>
        </w:rPr>
      </w:pPr>
      <w:r>
        <w:rPr>
          <w:rFonts w:cs="Times New Roman"/>
          <w:b/>
          <w:noProof/>
          <w:lang w:eastAsia="bg-BG"/>
        </w:rPr>
        <w:drawing>
          <wp:inline distT="0" distB="0" distL="0" distR="0">
            <wp:extent cx="5551170" cy="3295813"/>
            <wp:effectExtent l="19050" t="0" r="0" b="0"/>
            <wp:docPr id="224"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38" cstate="print"/>
                    <a:srcRect/>
                    <a:stretch>
                      <a:fillRect/>
                    </a:stretch>
                  </pic:blipFill>
                  <pic:spPr bwMode="auto">
                    <a:xfrm>
                      <a:off x="0" y="0"/>
                      <a:ext cx="5553795" cy="3297371"/>
                    </a:xfrm>
                    <a:prstGeom prst="rect">
                      <a:avLst/>
                    </a:prstGeom>
                    <a:noFill/>
                  </pic:spPr>
                </pic:pic>
              </a:graphicData>
            </a:graphic>
          </wp:inline>
        </w:drawing>
      </w:r>
    </w:p>
    <w:p w:rsidR="00620CBC" w:rsidRDefault="00620CBC" w:rsidP="009D2A4E">
      <w:pPr>
        <w:pStyle w:val="Heading3"/>
        <w:jc w:val="both"/>
        <w:rPr>
          <w:rFonts w:asciiTheme="minorHAnsi" w:hAnsiTheme="minorHAnsi" w:cs="Times New Roman"/>
        </w:rPr>
      </w:pPr>
    </w:p>
    <w:p w:rsidR="009D2A4E" w:rsidRPr="009D2A4E" w:rsidRDefault="009D2A4E" w:rsidP="009D2A4E">
      <w:pPr>
        <w:pStyle w:val="Heading3"/>
        <w:jc w:val="both"/>
        <w:rPr>
          <w:rFonts w:asciiTheme="minorHAnsi" w:hAnsiTheme="minorHAnsi" w:cs="Times New Roman"/>
        </w:rPr>
      </w:pPr>
      <w:bookmarkStart w:id="157" w:name="_Toc399494555"/>
      <w:r w:rsidRPr="009D2A4E">
        <w:rPr>
          <w:rFonts w:asciiTheme="minorHAnsi" w:hAnsiTheme="minorHAnsi" w:cs="Times New Roman"/>
        </w:rPr>
        <w:t>3.1.</w:t>
      </w:r>
      <w:r w:rsidR="00794E10">
        <w:rPr>
          <w:rFonts w:asciiTheme="minorHAnsi" w:hAnsiTheme="minorHAnsi" w:cs="Times New Roman"/>
        </w:rPr>
        <w:t>2</w:t>
      </w:r>
      <w:r w:rsidRPr="009D2A4E">
        <w:rPr>
          <w:rFonts w:asciiTheme="minorHAnsi" w:hAnsiTheme="minorHAnsi" w:cs="Times New Roman"/>
        </w:rPr>
        <w:t xml:space="preserve">. </w:t>
      </w:r>
      <w:r>
        <w:rPr>
          <w:rFonts w:asciiTheme="minorHAnsi" w:hAnsiTheme="minorHAnsi" w:cs="Times New Roman"/>
        </w:rPr>
        <w:t xml:space="preserve">Идентифициране на нивото, на което </w:t>
      </w:r>
      <w:r w:rsidR="00EB6C68">
        <w:rPr>
          <w:rFonts w:asciiTheme="minorHAnsi" w:hAnsiTheme="minorHAnsi" w:cs="Times New Roman"/>
        </w:rPr>
        <w:t>действа националното съ</w:t>
      </w:r>
      <w:r w:rsidR="00102196">
        <w:rPr>
          <w:rFonts w:asciiTheme="minorHAnsi" w:hAnsiTheme="minorHAnsi" w:cs="Times New Roman"/>
        </w:rPr>
        <w:t>финансиране към ЕСИФ</w:t>
      </w:r>
      <w:bookmarkEnd w:id="157"/>
      <w:r w:rsidR="00102196">
        <w:rPr>
          <w:rFonts w:asciiTheme="minorHAnsi" w:hAnsiTheme="minorHAnsi" w:cs="Times New Roman"/>
        </w:rPr>
        <w:t xml:space="preserve"> </w:t>
      </w:r>
    </w:p>
    <w:p w:rsidR="009D2A4E" w:rsidRDefault="00794E10" w:rsidP="009D2A4E">
      <w:pPr>
        <w:spacing w:before="240"/>
        <w:jc w:val="both"/>
        <w:rPr>
          <w:rFonts w:cstheme="minorHAnsi"/>
        </w:rPr>
      </w:pPr>
      <w:r>
        <w:rPr>
          <w:rFonts w:cstheme="minorHAnsi"/>
        </w:rPr>
        <w:t>След идентифициране на източниците, от които могат да бъдат мобилизирани допълнителни публични или частни ресурси, е идентифицирано нивото, на което те могат да действат за всеки един от двата сектора както следва:</w:t>
      </w:r>
    </w:p>
    <w:p w:rsidR="00794E10" w:rsidRDefault="00794E10" w:rsidP="002D3BE2">
      <w:pPr>
        <w:keepNext/>
        <w:spacing w:before="240"/>
        <w:jc w:val="both"/>
        <w:rPr>
          <w:rFonts w:cstheme="minorHAnsi"/>
          <w:b/>
          <w:i/>
          <w:color w:val="2E74B5" w:themeColor="accent1" w:themeShade="BF"/>
        </w:rPr>
      </w:pPr>
      <w:r w:rsidRPr="00794E10">
        <w:rPr>
          <w:rFonts w:cstheme="minorHAnsi"/>
          <w:b/>
          <w:i/>
          <w:color w:val="2E74B5" w:themeColor="accent1" w:themeShade="BF"/>
        </w:rPr>
        <w:lastRenderedPageBreak/>
        <w:t>Сектор Води</w:t>
      </w:r>
    </w:p>
    <w:p w:rsidR="00963039" w:rsidRPr="00F66BD6" w:rsidRDefault="00963039" w:rsidP="004529A5">
      <w:pPr>
        <w:pStyle w:val="Caption"/>
        <w:keepNext/>
        <w:jc w:val="center"/>
        <w:rPr>
          <w:rFonts w:asciiTheme="minorHAnsi" w:hAnsiTheme="minorHAnsi" w:cstheme="minorHAnsi"/>
          <w:sz w:val="22"/>
          <w:szCs w:val="22"/>
        </w:rPr>
      </w:pPr>
      <w:bookmarkStart w:id="158" w:name="_Toc399494658"/>
      <w:r w:rsidRPr="00F66BD6">
        <w:rPr>
          <w:rFonts w:asciiTheme="minorHAnsi" w:hAnsiTheme="minorHAnsi" w:cstheme="minorHAnsi"/>
        </w:rPr>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73</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Pr>
          <w:rFonts w:asciiTheme="minorHAnsi" w:hAnsiTheme="minorHAnsi" w:cstheme="minorHAnsi"/>
        </w:rPr>
        <w:t>Възможни нива на действие на националното съфинансиране към ЕСИФ</w:t>
      </w:r>
      <w:bookmarkEnd w:id="158"/>
    </w:p>
    <w:p w:rsidR="00794E10" w:rsidRDefault="00896C88" w:rsidP="00953F41">
      <w:pPr>
        <w:spacing w:before="240"/>
        <w:ind w:left="1134"/>
        <w:jc w:val="both"/>
        <w:rPr>
          <w:rFonts w:cstheme="minorHAnsi"/>
          <w:b/>
          <w:i/>
          <w:color w:val="2E74B5" w:themeColor="accent1" w:themeShade="BF"/>
        </w:rPr>
      </w:pPr>
      <w:r>
        <w:rPr>
          <w:rFonts w:cstheme="minorHAnsi"/>
          <w:b/>
          <w:i/>
          <w:noProof/>
          <w:color w:val="2E74B5" w:themeColor="accent1" w:themeShade="BF"/>
          <w:lang w:eastAsia="bg-BG"/>
        </w:rPr>
        <mc:AlternateContent>
          <mc:Choice Requires="wpg">
            <w:drawing>
              <wp:anchor distT="0" distB="0" distL="114300" distR="114300" simplePos="0" relativeHeight="251732992" behindDoc="0" locked="0" layoutInCell="1" allowOverlap="1" wp14:anchorId="36C0C0B1">
                <wp:simplePos x="0" y="0"/>
                <wp:positionH relativeFrom="column">
                  <wp:posOffset>-30480</wp:posOffset>
                </wp:positionH>
                <wp:positionV relativeFrom="paragraph">
                  <wp:posOffset>636270</wp:posOffset>
                </wp:positionV>
                <wp:extent cx="5902960" cy="6878320"/>
                <wp:effectExtent l="0" t="19050" r="40640" b="55880"/>
                <wp:wrapNone/>
                <wp:docPr id="172" name="Group 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2960" cy="6878320"/>
                          <a:chOff x="1369" y="3858"/>
                          <a:chExt cx="9296" cy="10832"/>
                        </a:xfrm>
                      </wpg:grpSpPr>
                      <wps:wsp>
                        <wps:cNvPr id="173" name="AutoShape 180"/>
                        <wps:cNvSpPr>
                          <a:spLocks noChangeArrowheads="1"/>
                        </wps:cNvSpPr>
                        <wps:spPr bwMode="auto">
                          <a:xfrm rot="8204932">
                            <a:off x="7489" y="12344"/>
                            <a:ext cx="1551" cy="885"/>
                          </a:xfrm>
                          <a:prstGeom prst="curvedDownArrow">
                            <a:avLst>
                              <a:gd name="adj1" fmla="val 35051"/>
                              <a:gd name="adj2" fmla="val 70102"/>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4" name="AutoShape 164"/>
                        <wps:cNvSpPr>
                          <a:spLocks noChangeArrowheads="1"/>
                        </wps:cNvSpPr>
                        <wps:spPr bwMode="auto">
                          <a:xfrm>
                            <a:off x="4577" y="12344"/>
                            <a:ext cx="2774" cy="754"/>
                          </a:xfrm>
                          <a:prstGeom prst="roundRect">
                            <a:avLst>
                              <a:gd name="adj" fmla="val 16667"/>
                            </a:avLst>
                          </a:prstGeom>
                          <a:gradFill rotWithShape="0">
                            <a:gsLst>
                              <a:gs pos="0">
                                <a:schemeClr val="accent1">
                                  <a:lumMod val="60000"/>
                                  <a:lumOff val="40000"/>
                                </a:schemeClr>
                              </a:gs>
                              <a:gs pos="50000">
                                <a:schemeClr val="accent1">
                                  <a:lumMod val="100000"/>
                                  <a:lumOff val="0"/>
                                </a:schemeClr>
                              </a:gs>
                              <a:gs pos="100000">
                                <a:schemeClr val="accent1">
                                  <a:lumMod val="60000"/>
                                  <a:lumOff val="40000"/>
                                </a:schemeClr>
                              </a:gs>
                            </a:gsLst>
                            <a:lin ang="5400000" scaled="1"/>
                          </a:gradFill>
                          <a:ln w="12700">
                            <a:solidFill>
                              <a:schemeClr val="accent1">
                                <a:lumMod val="100000"/>
                                <a:lumOff val="0"/>
                              </a:schemeClr>
                            </a:solidFill>
                            <a:round/>
                            <a:headEnd/>
                            <a:tailEnd/>
                          </a:ln>
                          <a:effectLst>
                            <a:outerShdw dist="28398" dir="3806097" algn="ctr" rotWithShape="0">
                              <a:schemeClr val="accent1">
                                <a:lumMod val="50000"/>
                                <a:lumOff val="0"/>
                              </a:schemeClr>
                            </a:outerShdw>
                          </a:effectLst>
                        </wps:spPr>
                        <wps:txbx>
                          <w:txbxContent>
                            <w:p w:rsidR="00EA2176" w:rsidRPr="001F1CB7" w:rsidRDefault="00EA2176" w:rsidP="001F1CB7">
                              <w:pPr>
                                <w:spacing w:after="0"/>
                                <w:ind w:right="-135"/>
                                <w:jc w:val="center"/>
                                <w:rPr>
                                  <w:b/>
                                </w:rPr>
                              </w:pPr>
                              <w:r w:rsidRPr="001F1CB7">
                                <w:rPr>
                                  <w:b/>
                                </w:rPr>
                                <w:t>ВиК дружества</w:t>
                              </w:r>
                            </w:p>
                            <w:p w:rsidR="00EA2176" w:rsidRPr="001F1CB7" w:rsidRDefault="00EA2176" w:rsidP="001F1CB7">
                              <w:pPr>
                                <w:spacing w:after="0"/>
                                <w:ind w:right="-135"/>
                                <w:jc w:val="center"/>
                                <w:rPr>
                                  <w:b/>
                                </w:rPr>
                              </w:pPr>
                              <w:r>
                                <w:rPr>
                                  <w:b/>
                                </w:rPr>
                                <w:t>(в т.ч. собствени средства</w:t>
                              </w:r>
                              <w:r w:rsidRPr="001F1CB7">
                                <w:rPr>
                                  <w:b/>
                                </w:rPr>
                                <w:t>)</w:t>
                              </w:r>
                            </w:p>
                          </w:txbxContent>
                        </wps:txbx>
                        <wps:bodyPr rot="0" vert="horz" wrap="square" lIns="91440" tIns="45720" rIns="91440" bIns="45720" anchor="t" anchorCtr="0" upright="1">
                          <a:noAutofit/>
                        </wps:bodyPr>
                      </wps:wsp>
                      <wps:wsp>
                        <wps:cNvPr id="175" name="AutoShape 166"/>
                        <wps:cNvSpPr>
                          <a:spLocks noChangeArrowheads="1"/>
                        </wps:cNvSpPr>
                        <wps:spPr bwMode="auto">
                          <a:xfrm>
                            <a:off x="8383" y="5746"/>
                            <a:ext cx="2282" cy="1046"/>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Default="00EA2176" w:rsidP="00963039">
                              <w:pPr>
                                <w:spacing w:after="0"/>
                                <w:ind w:left="284"/>
                                <w:rPr>
                                  <w:sz w:val="20"/>
                                  <w:szCs w:val="20"/>
                                </w:rPr>
                              </w:pPr>
                            </w:p>
                            <w:p w:rsidR="00EA2176" w:rsidRPr="00963039" w:rsidRDefault="00EA2176" w:rsidP="00963039">
                              <w:pPr>
                                <w:spacing w:after="0"/>
                                <w:jc w:val="center"/>
                                <w:rPr>
                                  <w:b/>
                                  <w:sz w:val="24"/>
                                  <w:szCs w:val="24"/>
                                </w:rPr>
                              </w:pPr>
                              <w:r w:rsidRPr="00963039">
                                <w:rPr>
                                  <w:b/>
                                  <w:sz w:val="24"/>
                                  <w:szCs w:val="24"/>
                                </w:rPr>
                                <w:t>МФИ</w:t>
                              </w:r>
                            </w:p>
                          </w:txbxContent>
                        </wps:txbx>
                        <wps:bodyPr rot="0" vert="horz" wrap="square" lIns="91440" tIns="45720" rIns="91440" bIns="45720" anchor="t" anchorCtr="0" upright="1">
                          <a:noAutofit/>
                        </wps:bodyPr>
                      </wps:wsp>
                      <wps:wsp>
                        <wps:cNvPr id="176" name="AutoShape 167"/>
                        <wps:cNvSpPr>
                          <a:spLocks noChangeArrowheads="1"/>
                        </wps:cNvSpPr>
                        <wps:spPr bwMode="auto">
                          <a:xfrm>
                            <a:off x="8200" y="11391"/>
                            <a:ext cx="2465" cy="869"/>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Pr="008D18E8" w:rsidRDefault="00EA2176" w:rsidP="00963039">
                              <w:pPr>
                                <w:spacing w:after="0"/>
                                <w:jc w:val="center"/>
                                <w:rPr>
                                  <w:b/>
                                </w:rPr>
                              </w:pPr>
                              <w:r w:rsidRPr="008D18E8">
                                <w:rPr>
                                  <w:b/>
                                </w:rPr>
                                <w:t>Банкови институции</w:t>
                              </w:r>
                            </w:p>
                          </w:txbxContent>
                        </wps:txbx>
                        <wps:bodyPr rot="0" vert="horz" wrap="square" lIns="91440" tIns="45720" rIns="91440" bIns="45720" anchor="t" anchorCtr="0" upright="1">
                          <a:noAutofit/>
                        </wps:bodyPr>
                      </wps:wsp>
                      <wps:wsp>
                        <wps:cNvPr id="177" name="AutoShape 170"/>
                        <wps:cNvSpPr>
                          <a:spLocks noChangeArrowheads="1"/>
                        </wps:cNvSpPr>
                        <wps:spPr bwMode="auto">
                          <a:xfrm>
                            <a:off x="1369" y="12288"/>
                            <a:ext cx="2068" cy="838"/>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Pr="00963039" w:rsidRDefault="00EA2176" w:rsidP="00963039">
                              <w:pPr>
                                <w:spacing w:after="0"/>
                                <w:jc w:val="center"/>
                                <w:rPr>
                                  <w:b/>
                                  <w:sz w:val="20"/>
                                  <w:szCs w:val="20"/>
                                </w:rPr>
                              </w:pPr>
                              <w:r w:rsidRPr="00963039">
                                <w:rPr>
                                  <w:b/>
                                  <w:sz w:val="20"/>
                                  <w:szCs w:val="20"/>
                                </w:rPr>
                                <w:t>Фонд ФЛАГ</w:t>
                              </w:r>
                            </w:p>
                            <w:p w:rsidR="00EA2176" w:rsidRPr="00963039" w:rsidRDefault="00EA2176" w:rsidP="00963039">
                              <w:pPr>
                                <w:spacing w:after="0"/>
                                <w:jc w:val="center"/>
                                <w:rPr>
                                  <w:b/>
                                  <w:sz w:val="20"/>
                                  <w:szCs w:val="20"/>
                                </w:rPr>
                              </w:pPr>
                              <w:r w:rsidRPr="00963039">
                                <w:rPr>
                                  <w:b/>
                                  <w:sz w:val="20"/>
                                  <w:szCs w:val="20"/>
                                </w:rPr>
                                <w:t>ПУДООС</w:t>
                              </w:r>
                            </w:p>
                            <w:p w:rsidR="00EA2176" w:rsidRPr="00963039" w:rsidRDefault="00EA2176" w:rsidP="00963039">
                              <w:pPr>
                                <w:spacing w:after="0"/>
                                <w:jc w:val="center"/>
                                <w:rPr>
                                  <w:b/>
                                  <w:sz w:val="20"/>
                                  <w:szCs w:val="20"/>
                                </w:rPr>
                              </w:pPr>
                            </w:p>
                          </w:txbxContent>
                        </wps:txbx>
                        <wps:bodyPr rot="0" vert="horz" wrap="square" lIns="91440" tIns="45720" rIns="91440" bIns="45720" anchor="t" anchorCtr="0" upright="1">
                          <a:noAutofit/>
                        </wps:bodyPr>
                      </wps:wsp>
                      <wps:wsp>
                        <wps:cNvPr id="178" name="AutoShape 171"/>
                        <wps:cNvSpPr>
                          <a:spLocks noChangeArrowheads="1"/>
                        </wps:cNvSpPr>
                        <wps:spPr bwMode="auto">
                          <a:xfrm>
                            <a:off x="4582" y="13789"/>
                            <a:ext cx="2715" cy="861"/>
                          </a:xfrm>
                          <a:prstGeom prst="roundRect">
                            <a:avLst>
                              <a:gd name="adj" fmla="val 16667"/>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rsidR="00EA2176" w:rsidRPr="008D18E8" w:rsidRDefault="00EA2176" w:rsidP="00963039">
                              <w:pPr>
                                <w:jc w:val="center"/>
                                <w:rPr>
                                  <w:b/>
                                </w:rPr>
                              </w:pPr>
                              <w:r w:rsidRPr="008D18E8">
                                <w:rPr>
                                  <w:b/>
                                </w:rPr>
                                <w:t>Инвестицион</w:t>
                              </w:r>
                              <w:r>
                                <w:rPr>
                                  <w:b/>
                                </w:rPr>
                                <w:t>ни</w:t>
                              </w:r>
                              <w:r w:rsidRPr="008D18E8">
                                <w:rPr>
                                  <w:b/>
                                </w:rPr>
                                <w:t xml:space="preserve"> проект</w:t>
                              </w:r>
                              <w:r>
                                <w:rPr>
                                  <w:b/>
                                </w:rPr>
                                <w:t>и</w:t>
                              </w:r>
                            </w:p>
                          </w:txbxContent>
                        </wps:txbx>
                        <wps:bodyPr rot="0" vert="horz" wrap="square" lIns="91440" tIns="45720" rIns="91440" bIns="45720" anchor="t" anchorCtr="0" upright="1">
                          <a:noAutofit/>
                        </wps:bodyPr>
                      </wps:wsp>
                      <wps:wsp>
                        <wps:cNvPr id="179" name="AutoShape 172"/>
                        <wps:cNvSpPr>
                          <a:spLocks noChangeArrowheads="1"/>
                        </wps:cNvSpPr>
                        <wps:spPr bwMode="auto">
                          <a:xfrm>
                            <a:off x="8388" y="13666"/>
                            <a:ext cx="2277" cy="1024"/>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Default="00EA2176" w:rsidP="00963039">
                              <w:pPr>
                                <w:spacing w:after="0"/>
                                <w:jc w:val="center"/>
                                <w:rPr>
                                  <w:b/>
                                  <w:sz w:val="20"/>
                                  <w:szCs w:val="20"/>
                                </w:rPr>
                              </w:pPr>
                              <w:r>
                                <w:rPr>
                                  <w:b/>
                                  <w:sz w:val="20"/>
                                  <w:szCs w:val="20"/>
                                </w:rPr>
                                <w:t>УО на ОПОС</w:t>
                              </w:r>
                            </w:p>
                            <w:p w:rsidR="00EA2176" w:rsidRPr="001A3CF8" w:rsidRDefault="00EA2176" w:rsidP="001A3CF8">
                              <w:pPr>
                                <w:spacing w:after="0"/>
                                <w:jc w:val="center"/>
                                <w:rPr>
                                  <w:b/>
                                  <w:sz w:val="16"/>
                                  <w:szCs w:val="16"/>
                                </w:rPr>
                              </w:pPr>
                            </w:p>
                            <w:p w:rsidR="00EA2176" w:rsidRPr="00963039" w:rsidRDefault="00EA2176" w:rsidP="001A3CF8">
                              <w:pPr>
                                <w:spacing w:after="0"/>
                                <w:jc w:val="center"/>
                              </w:pPr>
                              <w:r>
                                <w:rPr>
                                  <w:b/>
                                  <w:sz w:val="20"/>
                                  <w:szCs w:val="20"/>
                                </w:rPr>
                                <w:t xml:space="preserve">(КФ </w:t>
                              </w:r>
                              <w:r w:rsidRPr="001A3CF8">
                                <w:rPr>
                                  <w:b/>
                                  <w:sz w:val="20"/>
                                  <w:szCs w:val="20"/>
                                </w:rPr>
                                <w:t>+ ДБ</w:t>
                              </w:r>
                              <w:r w:rsidRPr="001A3CF8">
                                <w:rPr>
                                  <w:b/>
                                </w:rPr>
                                <w:t>)</w:t>
                              </w:r>
                            </w:p>
                          </w:txbxContent>
                        </wps:txbx>
                        <wps:bodyPr rot="0" vert="horz" wrap="square" lIns="91440" tIns="45720" rIns="91440" bIns="45720" anchor="t" anchorCtr="0" upright="1">
                          <a:noAutofit/>
                        </wps:bodyPr>
                      </wps:wsp>
                      <wps:wsp>
                        <wps:cNvPr id="180" name="AutoShape 173"/>
                        <wps:cNvSpPr>
                          <a:spLocks noChangeArrowheads="1"/>
                        </wps:cNvSpPr>
                        <wps:spPr bwMode="auto">
                          <a:xfrm>
                            <a:off x="6930" y="3858"/>
                            <a:ext cx="759" cy="353"/>
                          </a:xfrm>
                          <a:prstGeom prst="leftArrow">
                            <a:avLst>
                              <a:gd name="adj1" fmla="val 50000"/>
                              <a:gd name="adj2" fmla="val 53754"/>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s:wsp>
                        <wps:cNvPr id="181" name="AutoShape 174"/>
                        <wps:cNvSpPr>
                          <a:spLocks noChangeArrowheads="1"/>
                        </wps:cNvSpPr>
                        <wps:spPr bwMode="auto">
                          <a:xfrm>
                            <a:off x="6991" y="6027"/>
                            <a:ext cx="759" cy="353"/>
                          </a:xfrm>
                          <a:prstGeom prst="leftArrow">
                            <a:avLst>
                              <a:gd name="adj1" fmla="val 50000"/>
                              <a:gd name="adj2" fmla="val 53754"/>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s:wsp>
                        <wps:cNvPr id="182" name="AutoShape 175"/>
                        <wps:cNvSpPr>
                          <a:spLocks noChangeArrowheads="1"/>
                        </wps:cNvSpPr>
                        <wps:spPr bwMode="auto">
                          <a:xfrm>
                            <a:off x="6944" y="8432"/>
                            <a:ext cx="759" cy="353"/>
                          </a:xfrm>
                          <a:prstGeom prst="leftArrow">
                            <a:avLst>
                              <a:gd name="adj1" fmla="val 50000"/>
                              <a:gd name="adj2" fmla="val 53754"/>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s:wsp>
                        <wps:cNvPr id="183" name="AutoShape 179"/>
                        <wps:cNvSpPr>
                          <a:spLocks noChangeArrowheads="1"/>
                        </wps:cNvSpPr>
                        <wps:spPr bwMode="auto">
                          <a:xfrm rot="2815139">
                            <a:off x="8200" y="10287"/>
                            <a:ext cx="1551" cy="885"/>
                          </a:xfrm>
                          <a:prstGeom prst="curvedDownArrow">
                            <a:avLst>
                              <a:gd name="adj1" fmla="val 35051"/>
                              <a:gd name="adj2" fmla="val 70102"/>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4" name="AutoShape 181"/>
                        <wps:cNvSpPr>
                          <a:spLocks noChangeArrowheads="1"/>
                        </wps:cNvSpPr>
                        <wps:spPr bwMode="auto">
                          <a:xfrm>
                            <a:off x="4491" y="11751"/>
                            <a:ext cx="513" cy="537"/>
                          </a:xfrm>
                          <a:prstGeom prst="downArrow">
                            <a:avLst>
                              <a:gd name="adj1" fmla="val 50000"/>
                              <a:gd name="adj2" fmla="val 2617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bodyPr rot="0" vert="eaVert" wrap="square" lIns="91440" tIns="45720" rIns="91440" bIns="45720" anchor="t" anchorCtr="0" upright="1">
                          <a:noAutofit/>
                        </wps:bodyPr>
                      </wps:wsp>
                      <wps:wsp>
                        <wps:cNvPr id="185" name="AutoShape 182"/>
                        <wps:cNvSpPr>
                          <a:spLocks noChangeArrowheads="1"/>
                        </wps:cNvSpPr>
                        <wps:spPr bwMode="auto">
                          <a:xfrm rot="10800000">
                            <a:off x="3611" y="12507"/>
                            <a:ext cx="759" cy="353"/>
                          </a:xfrm>
                          <a:prstGeom prst="leftArrow">
                            <a:avLst>
                              <a:gd name="adj1" fmla="val 50000"/>
                              <a:gd name="adj2" fmla="val 53754"/>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s:wsp>
                        <wps:cNvPr id="186" name="AutoShape 183"/>
                        <wps:cNvSpPr>
                          <a:spLocks noChangeArrowheads="1"/>
                        </wps:cNvSpPr>
                        <wps:spPr bwMode="auto">
                          <a:xfrm>
                            <a:off x="5645" y="13187"/>
                            <a:ext cx="467" cy="537"/>
                          </a:xfrm>
                          <a:prstGeom prst="downArrow">
                            <a:avLst>
                              <a:gd name="adj1" fmla="val 50000"/>
                              <a:gd name="adj2" fmla="val 28747"/>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bodyPr rot="0" vert="eaVert" wrap="square" lIns="91440" tIns="45720" rIns="91440" bIns="45720" anchor="t" anchorCtr="0" upright="1">
                          <a:noAutofit/>
                        </wps:bodyPr>
                      </wps:wsp>
                      <wps:wsp>
                        <wps:cNvPr id="187" name="AutoShape 184"/>
                        <wps:cNvSpPr>
                          <a:spLocks noChangeArrowheads="1"/>
                        </wps:cNvSpPr>
                        <wps:spPr bwMode="auto">
                          <a:xfrm>
                            <a:off x="7441" y="14038"/>
                            <a:ext cx="759" cy="353"/>
                          </a:xfrm>
                          <a:prstGeom prst="leftArrow">
                            <a:avLst>
                              <a:gd name="adj1" fmla="val 50000"/>
                              <a:gd name="adj2" fmla="val 53754"/>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C0C0B1" id="Group 199" o:spid="_x0000_s1044" style="position:absolute;left:0;text-align:left;margin-left:-2.4pt;margin-top:50.1pt;width:464.8pt;height:541.6pt;z-index:251732992" coordorigin="1369,3858" coordsize="9296,108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">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180" o:spid="_x0000_s1045" type="#_x0000_t105" style="position:absolute;left:7489;top:12344;width:1551;height:885;rotation:896197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0HrMMA&#10;AADcAAAADwAAAGRycy9kb3ducmV2LnhtbERPTWvCQBC9F/wPywi91Y1WbE1dpRUqHkQw1pyH7DSJ&#10;ZmfD7lbjv3cFobd5vM+ZLTrTiDM5X1tWMBwkIIgLq2suFfzsv1/eQfiArLGxTAqu5GEx7z3NMNX2&#10;wjs6Z6EUMYR9igqqENpUSl9UZNAPbEscuV/rDIYIXSm1w0sMN40cJclEGqw5NlTY0rKi4pT9GQXT&#10;zShrhybfhuVu8jXOD3u3yo9KPfe7zw8QgbrwL3641zrOf3uF+zPxAj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0HrMMAAADcAAAADwAAAAAAAAAAAAAAAACYAgAAZHJzL2Rv&#10;d25yZXYueG1sUEsFBgAAAAAEAAQA9QAAAIgDAAAAAA==&#10;"/>
                <v:roundrect id="AutoShape 164" o:spid="_x0000_s1046" style="position:absolute;left:4577;top:12344;width:2774;height:75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lNdMEA&#10;AADcAAAADwAAAGRycy9kb3ducmV2LnhtbERPS4vCMBC+C/sfwgh7EU0VX1SjuAuCFw++8Do0Y1ts&#10;Jt0ka+u/NwsL3ubje85y3ZpKPMj50rKC4SABQZxZXXKu4Hza9ucgfEDWWFkmBU/ysF59dJaYatvw&#10;gR7HkIsYwj5FBUUIdSqlzwoy6Ae2Jo7czTqDIUKXS+2wieGmkqMkmUqDJceGAmv6Lii7H3+Ngr07&#10;jHY/ydfTzy7ltddMqPLznlKf3XazABGoDW/xv3un4/zZGP6eiRfI1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JpTXTBAAAA3AAAAA8AAAAAAAAAAAAAAAAAmAIAAGRycy9kb3du&#10;cmV2LnhtbFBLBQYAAAAABAAEAPUAAACGAwAAAAA=&#10;" fillcolor="#9cc2e5 [1940]" strokecolor="#5b9bd5 [3204]" strokeweight="1pt">
                  <v:fill color2="#5b9bd5 [3204]" focus="50%" type="gradient"/>
                  <v:shadow on="t" color="#1f4d78 [1604]" offset="1pt"/>
                  <v:textbox>
                    <w:txbxContent>
                      <w:p w:rsidR="00EA2176" w:rsidRPr="001F1CB7" w:rsidRDefault="00EA2176" w:rsidP="001F1CB7">
                        <w:pPr>
                          <w:spacing w:after="0"/>
                          <w:ind w:right="-135"/>
                          <w:jc w:val="center"/>
                          <w:rPr>
                            <w:b/>
                          </w:rPr>
                        </w:pPr>
                        <w:r w:rsidRPr="001F1CB7">
                          <w:rPr>
                            <w:b/>
                          </w:rPr>
                          <w:t>ВиК дружества</w:t>
                        </w:r>
                      </w:p>
                      <w:p w:rsidR="00EA2176" w:rsidRPr="001F1CB7" w:rsidRDefault="00EA2176" w:rsidP="001F1CB7">
                        <w:pPr>
                          <w:spacing w:after="0"/>
                          <w:ind w:right="-135"/>
                          <w:jc w:val="center"/>
                          <w:rPr>
                            <w:b/>
                          </w:rPr>
                        </w:pPr>
                        <w:r>
                          <w:rPr>
                            <w:b/>
                          </w:rPr>
                          <w:t>(в т.ч. собствени средства</w:t>
                        </w:r>
                        <w:r w:rsidRPr="001F1CB7">
                          <w:rPr>
                            <w:b/>
                          </w:rPr>
                          <w:t>)</w:t>
                        </w:r>
                      </w:p>
                    </w:txbxContent>
                  </v:textbox>
                </v:roundrect>
                <v:roundrect id="AutoShape 166" o:spid="_x0000_s1047" style="position:absolute;left:8383;top:5746;width:2282;height:104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vGHMIA&#10;AADcAAAADwAAAGRycy9kb3ducmV2LnhtbERP22oCMRB9L/gPYQTfatZivaxGsUKhtFLq5QOGzexm&#10;cTMJm1TXv28Kgm9zONdZrjvbiAu1oXasYDTMQBAXTtdcKTgd359nIEJE1tg4JgU3CrBe9Z6WmGt3&#10;5T1dDrESKYRDjgpMjD6XMhSGLIah88SJK11rMSbYVlK3eE3htpEvWTaRFmtODQY9bQ0V58OvVaB/&#10;vG/mb9PPcbn/vtnyazc2dqfUoN9tFiAidfEhvrs/dJo/fYX/Z9IF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u8YcwgAAANwAAAAPAAAAAAAAAAAAAAAAAJgCAABkcnMvZG93&#10;bnJldi54bWxQSwUGAAAAAAQABAD1AAAAhwMAAAAA&#10;" fillcolor="#c9c9c9 [1942]" strokecolor="#c9c9c9 [1942]" strokeweight="1pt">
                  <v:fill color2="#ededed [662]" angle="135" focus="50%" type="gradient"/>
                  <v:shadow on="t" color="#525252 [1606]" opacity=".5" offset="1pt"/>
                  <v:textbox>
                    <w:txbxContent>
                      <w:p w:rsidR="00EA2176" w:rsidRDefault="00EA2176" w:rsidP="00963039">
                        <w:pPr>
                          <w:spacing w:after="0"/>
                          <w:ind w:left="284"/>
                          <w:rPr>
                            <w:sz w:val="20"/>
                            <w:szCs w:val="20"/>
                          </w:rPr>
                        </w:pPr>
                      </w:p>
                      <w:p w:rsidR="00EA2176" w:rsidRPr="00963039" w:rsidRDefault="00EA2176" w:rsidP="00963039">
                        <w:pPr>
                          <w:spacing w:after="0"/>
                          <w:jc w:val="center"/>
                          <w:rPr>
                            <w:b/>
                            <w:sz w:val="24"/>
                            <w:szCs w:val="24"/>
                          </w:rPr>
                        </w:pPr>
                        <w:r w:rsidRPr="00963039">
                          <w:rPr>
                            <w:b/>
                            <w:sz w:val="24"/>
                            <w:szCs w:val="24"/>
                          </w:rPr>
                          <w:t>МФИ</w:t>
                        </w:r>
                      </w:p>
                    </w:txbxContent>
                  </v:textbox>
                </v:roundrect>
                <v:roundrect id="AutoShape 167" o:spid="_x0000_s1048" style="position:absolute;left:8200;top:11391;width:2465;height:86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lYa8IA&#10;AADcAAAADwAAAGRycy9kb3ducmV2LnhtbERP22oCMRB9F/oPYQp906xF1K5GaQtCqSJq/YBhM7tZ&#10;3EzCJur6940g+DaHc535srONuFAbascKhoMMBHHhdM2VguPfqj8FESKyxsYxKbhRgOXipTfHXLsr&#10;7+lyiJVIIRxyVGBi9LmUoTBkMQycJ05c6VqLMcG2krrFawq3jXzPsrG0WHNqMOjp21BxOpytAr3z&#10;vvn4mvyOyv32Zsv1ZmTsRqm31+5zBiJSF5/ih/tHp/mTMdyfSR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aVhrwgAAANwAAAAPAAAAAAAAAAAAAAAAAJgCAABkcnMvZG93&#10;bnJldi54bWxQSwUGAAAAAAQABAD1AAAAhwMAAAAA&#10;" fillcolor="#c9c9c9 [1942]" strokecolor="#c9c9c9 [1942]" strokeweight="1pt">
                  <v:fill color2="#ededed [662]" angle="135" focus="50%" type="gradient"/>
                  <v:shadow on="t" color="#525252 [1606]" opacity=".5" offset="1pt"/>
                  <v:textbox>
                    <w:txbxContent>
                      <w:p w:rsidR="00EA2176" w:rsidRPr="008D18E8" w:rsidRDefault="00EA2176" w:rsidP="00963039">
                        <w:pPr>
                          <w:spacing w:after="0"/>
                          <w:jc w:val="center"/>
                          <w:rPr>
                            <w:b/>
                          </w:rPr>
                        </w:pPr>
                        <w:r w:rsidRPr="008D18E8">
                          <w:rPr>
                            <w:b/>
                          </w:rPr>
                          <w:t>Банкови институции</w:t>
                        </w:r>
                      </w:p>
                    </w:txbxContent>
                  </v:textbox>
                </v:roundrect>
                <v:roundrect id="AutoShape 170" o:spid="_x0000_s1049" style="position:absolute;left:1369;top:12288;width:2068;height:8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X98MIA&#10;AADcAAAADwAAAGRycy9kb3ducmV2LnhtbERP3WrCMBS+F3yHcAbeaboh61aN4gbCmCLq9gCH5rQp&#10;NiehybS+/SII3p2P7/fMl71txZm60DhW8DzJQBCXTjdcK/j9WY/fQISIrLF1TAquFGC5GA7mWGh3&#10;4QOdj7EWKYRDgQpMjL6QMpSGLIaJ88SJq1xnMSbY1VJ3eEnhtpUvWfYqLTacGgx6+jRUno5/VoHe&#10;e9++f+Tf0+qwu9pqs50au1Vq9NSvZiAi9fEhvru/dJqf53B7Jl0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Jf3wwgAAANwAAAAPAAAAAAAAAAAAAAAAAJgCAABkcnMvZG93&#10;bnJldi54bWxQSwUGAAAAAAQABAD1AAAAhwMAAAAA&#10;" fillcolor="#c9c9c9 [1942]" strokecolor="#c9c9c9 [1942]" strokeweight="1pt">
                  <v:fill color2="#ededed [662]" angle="135" focus="50%" type="gradient"/>
                  <v:shadow on="t" color="#525252 [1606]" opacity=".5" offset="1pt"/>
                  <v:textbox>
                    <w:txbxContent>
                      <w:p w:rsidR="00EA2176" w:rsidRPr="00963039" w:rsidRDefault="00EA2176" w:rsidP="00963039">
                        <w:pPr>
                          <w:spacing w:after="0"/>
                          <w:jc w:val="center"/>
                          <w:rPr>
                            <w:b/>
                            <w:sz w:val="20"/>
                            <w:szCs w:val="20"/>
                          </w:rPr>
                        </w:pPr>
                        <w:r w:rsidRPr="00963039">
                          <w:rPr>
                            <w:b/>
                            <w:sz w:val="20"/>
                            <w:szCs w:val="20"/>
                          </w:rPr>
                          <w:t>Фонд ФЛАГ</w:t>
                        </w:r>
                      </w:p>
                      <w:p w:rsidR="00EA2176" w:rsidRPr="00963039" w:rsidRDefault="00EA2176" w:rsidP="00963039">
                        <w:pPr>
                          <w:spacing w:after="0"/>
                          <w:jc w:val="center"/>
                          <w:rPr>
                            <w:b/>
                            <w:sz w:val="20"/>
                            <w:szCs w:val="20"/>
                          </w:rPr>
                        </w:pPr>
                        <w:r w:rsidRPr="00963039">
                          <w:rPr>
                            <w:b/>
                            <w:sz w:val="20"/>
                            <w:szCs w:val="20"/>
                          </w:rPr>
                          <w:t>ПУДООС</w:t>
                        </w:r>
                      </w:p>
                      <w:p w:rsidR="00EA2176" w:rsidRPr="00963039" w:rsidRDefault="00EA2176" w:rsidP="00963039">
                        <w:pPr>
                          <w:spacing w:after="0"/>
                          <w:jc w:val="center"/>
                          <w:rPr>
                            <w:b/>
                            <w:sz w:val="20"/>
                            <w:szCs w:val="20"/>
                          </w:rPr>
                        </w:pPr>
                      </w:p>
                    </w:txbxContent>
                  </v:textbox>
                </v:roundrect>
                <v:roundrect id="AutoShape 171" o:spid="_x0000_s1050" style="position:absolute;left:4582;top:13789;width:2715;height:86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a8cMcA&#10;AADcAAAADwAAAGRycy9kb3ducmV2LnhtbESPT2sCQQzF70K/w5BCb3VWD7WsjiJSwUNpqdqyx7CT&#10;/YMzme3OVLd++uZQ8JbwXt77ZbEavFNn6mMb2MBknIEiLoNtuTZwPGwfn0HFhGzRBSYDvxRhtbwb&#10;LTC34cIfdN6nWkkIxxwNNCl1udaxbMhjHIeOWLQq9B6TrH2tbY8XCfdOT7PsSXtsWRoa7GjTUHna&#10;/3gDxZu7Vq/X9+nss9h8b79edq6uCmMe7of1HFSiId3M/9c7K/gzoZVnZAK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GvHDHAAAA3AAAAA8AAAAAAAAAAAAAAAAAmAIAAGRy&#10;cy9kb3ducmV2LnhtbFBLBQYAAAAABAAEAPUAAACMAwAAAAA=&#10;" fillcolor="#a8d08d [1945]" strokecolor="#a8d08d [1945]" strokeweight="1pt">
                  <v:fill color2="#e2efd9 [665]" angle="135" focus="50%" type="gradient"/>
                  <v:shadow on="t" color="#375623 [1609]" opacity=".5" offset="1pt"/>
                  <v:textbox>
                    <w:txbxContent>
                      <w:p w:rsidR="00EA2176" w:rsidRPr="008D18E8" w:rsidRDefault="00EA2176" w:rsidP="00963039">
                        <w:pPr>
                          <w:jc w:val="center"/>
                          <w:rPr>
                            <w:b/>
                          </w:rPr>
                        </w:pPr>
                        <w:r w:rsidRPr="008D18E8">
                          <w:rPr>
                            <w:b/>
                          </w:rPr>
                          <w:t>Инвестицион</w:t>
                        </w:r>
                        <w:r>
                          <w:rPr>
                            <w:b/>
                          </w:rPr>
                          <w:t>ни</w:t>
                        </w:r>
                        <w:r w:rsidRPr="008D18E8">
                          <w:rPr>
                            <w:b/>
                          </w:rPr>
                          <w:t xml:space="preserve"> проект</w:t>
                        </w:r>
                        <w:r>
                          <w:rPr>
                            <w:b/>
                          </w:rPr>
                          <w:t>и</w:t>
                        </w:r>
                      </w:p>
                    </w:txbxContent>
                  </v:textbox>
                </v:roundrect>
                <v:roundrect id="AutoShape 172" o:spid="_x0000_s1051" style="position:absolute;left:8388;top:13666;width:2277;height:10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bMGcIA&#10;AADcAAAADwAAAGRycy9kb3ducmV2LnhtbERP22oCMRB9F/yHMIW+abZFqq5GsYWCqIjafsCwmd0s&#10;biZhk+r6940g+DaHc535srONuFAbascK3oYZCOLC6ZorBb8/34MJiBCRNTaOScGNAiwX/d4cc+2u&#10;fKTLKVYihXDIUYGJ0edShsKQxTB0njhxpWstxgTbSuoWryncNvI9yz6kxZpTg0FPX4aK8+nPKtAH&#10;75vp53gzKo/7my23u5GxO6VeX7rVDESkLj7FD/dap/njKdyfSR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9swZwgAAANwAAAAPAAAAAAAAAAAAAAAAAJgCAABkcnMvZG93&#10;bnJldi54bWxQSwUGAAAAAAQABAD1AAAAhwMAAAAA&#10;" fillcolor="#c9c9c9 [1942]" strokecolor="#c9c9c9 [1942]" strokeweight="1pt">
                  <v:fill color2="#ededed [662]" angle="135" focus="50%" type="gradient"/>
                  <v:shadow on="t" color="#525252 [1606]" opacity=".5" offset="1pt"/>
                  <v:textbox>
                    <w:txbxContent>
                      <w:p w:rsidR="00EA2176" w:rsidRDefault="00EA2176" w:rsidP="00963039">
                        <w:pPr>
                          <w:spacing w:after="0"/>
                          <w:jc w:val="center"/>
                          <w:rPr>
                            <w:b/>
                            <w:sz w:val="20"/>
                            <w:szCs w:val="20"/>
                          </w:rPr>
                        </w:pPr>
                        <w:r>
                          <w:rPr>
                            <w:b/>
                            <w:sz w:val="20"/>
                            <w:szCs w:val="20"/>
                          </w:rPr>
                          <w:t>УО на ОПОС</w:t>
                        </w:r>
                      </w:p>
                      <w:p w:rsidR="00EA2176" w:rsidRPr="001A3CF8" w:rsidRDefault="00EA2176" w:rsidP="001A3CF8">
                        <w:pPr>
                          <w:spacing w:after="0"/>
                          <w:jc w:val="center"/>
                          <w:rPr>
                            <w:b/>
                            <w:sz w:val="16"/>
                            <w:szCs w:val="16"/>
                          </w:rPr>
                        </w:pPr>
                      </w:p>
                      <w:p w:rsidR="00EA2176" w:rsidRPr="00963039" w:rsidRDefault="00EA2176" w:rsidP="001A3CF8">
                        <w:pPr>
                          <w:spacing w:after="0"/>
                          <w:jc w:val="center"/>
                        </w:pPr>
                        <w:r>
                          <w:rPr>
                            <w:b/>
                            <w:sz w:val="20"/>
                            <w:szCs w:val="20"/>
                          </w:rPr>
                          <w:t xml:space="preserve">(КФ </w:t>
                        </w:r>
                        <w:r w:rsidRPr="001A3CF8">
                          <w:rPr>
                            <w:b/>
                            <w:sz w:val="20"/>
                            <w:szCs w:val="20"/>
                          </w:rPr>
                          <w:t>+ ДБ</w:t>
                        </w:r>
                        <w:r w:rsidRPr="001A3CF8">
                          <w:rPr>
                            <w:b/>
                          </w:rPr>
                          <w:t>)</w:t>
                        </w:r>
                      </w:p>
                    </w:txbxContent>
                  </v:textbox>
                </v:roundre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173" o:spid="_x0000_s1052" type="#_x0000_t66" style="position:absolute;left:6930;top:3858;width:759;height: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sFQcUA&#10;AADcAAAADwAAAGRycy9kb3ducmV2LnhtbESPTWvCQBCG74X+h2UK3uqmHiREV5FKwUMPfhXqbciO&#10;m2B2NmRXE/vrOwfB2wzzfjwzXw6+UTfqYh3YwMc4A0VcBluzM3A8fL3noGJCttgEJgN3irBcvL7M&#10;sbCh5x3d9skpCeFYoIEqpbbQOpYVeYzj0BLL7Rw6j0nWzmnbYS/hvtGTLJtqjzVLQ4UtfVZUXvZX&#10;L71/2+/terf+naRTft5Mr85lP70xo7dhNQOVaEhP8cO9sYKfC748IxPo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OwVBxQAAANwAAAAPAAAAAAAAAAAAAAAAAJgCAABkcnMv&#10;ZG93bnJldi54bWxQSwUGAAAAAAQABAD1AAAAigMAAAAA&#10;" fillcolor="#c9c9c9 [1942]" strokecolor="#c9c9c9 [1942]" strokeweight="1pt">
                  <v:fill color2="#ededed [662]" angle="135" focus="50%" type="gradient"/>
                  <v:shadow on="t" color="#525252 [1606]" opacity=".5" offset="1pt"/>
                </v:shape>
                <v:shape id="AutoShape 174" o:spid="_x0000_s1053" type="#_x0000_t66" style="position:absolute;left:6991;top:6027;width:759;height: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eg2sUA&#10;AADcAAAADwAAAGRycy9kb3ducmV2LnhtbESPQYvCMBCF7wv+hzCCtzXVg5TaKIsiePCg7gp6G5ox&#10;LdtMShNt9dcbYWFvM7w373uTL3tbizu1vnKsYDJOQBAXTldsFPx8bz5TED4ga6wdk4IHeVguBh85&#10;Ztp1fKD7MRgRQ9hnqKAMocmk9EVJFv3YNcRRu7rWYohra6RusYvhtpbTJJlJixVHQokNrUoqfo83&#10;G7nP/W6/PqzP03BJr9vZzZjk1Ck1GvZfcxCB+vBv/rve6lg/ncD7mTiB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d6DaxQAAANwAAAAPAAAAAAAAAAAAAAAAAJgCAABkcnMv&#10;ZG93bnJldi54bWxQSwUGAAAAAAQABAD1AAAAigMAAAAA&#10;" fillcolor="#c9c9c9 [1942]" strokecolor="#c9c9c9 [1942]" strokeweight="1pt">
                  <v:fill color2="#ededed [662]" angle="135" focus="50%" type="gradient"/>
                  <v:shadow on="t" color="#525252 [1606]" opacity=".5" offset="1pt"/>
                </v:shape>
                <v:shape id="AutoShape 175" o:spid="_x0000_s1054" type="#_x0000_t66" style="position:absolute;left:6944;top:8432;width:759;height: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U+rcUA&#10;AADcAAAADwAAAGRycy9kb3ducmV2LnhtbESPT4vCMBDF7wt+hzDC3tbUHqRUo4gieNiDf1bQ29CM&#10;abGZlCba6qffLAh7m+G9eb83s0Vva/Gg1leOFYxHCQjiwumKjYKf4+YrA+EDssbaMSl4kofFfPAx&#10;w1y7jvf0OAQjYgj7HBWUITS5lL4oyaIfuYY4alfXWgxxbY3ULXYx3NYyTZKJtFhxJJTY0Kqk4na4&#10;28h97b536/36nIZLdt1O7sYkp06pz2G/nIII1Id/8/t6q2P9LIW/Z+IE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pT6txQAAANwAAAAPAAAAAAAAAAAAAAAAAJgCAABkcnMv&#10;ZG93bnJldi54bWxQSwUGAAAAAAQABAD1AAAAigMAAAAA&#10;" fillcolor="#c9c9c9 [1942]" strokecolor="#c9c9c9 [1942]" strokeweight="1pt">
                  <v:fill color2="#ededed [662]" angle="135" focus="50%" type="gradient"/>
                  <v:shadow on="t" color="#525252 [1606]" opacity=".5" offset="1pt"/>
                </v:shape>
                <v:shape id="AutoShape 179" o:spid="_x0000_s1055" type="#_x0000_t105" style="position:absolute;left:8200;top:10287;width:1551;height:885;rotation:307488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LaI8MA&#10;AADcAAAADwAAAGRycy9kb3ducmV2LnhtbERPS0sDMRC+C/6HMEIvYhO7pSxr01IKrfbUlwe9DZtx&#10;s7iZLEls139vBMHbfHzPmS8H14kLhdh61vA4ViCIa29abjS8njcPJYiYkA12nknDN0VYLm5v5lgZ&#10;f+UjXU6pETmEY4UabEp9JWWsLTmMY98TZ+7DB4cpw9BIE/Caw10nJ0rNpMOWc4PFntaW6s/Tl9Ow&#10;XR3uy/3zzEzVTr3X9q0Iu3Wh9ehuWD2BSDSkf/Gf+8Xk+WUBv8/kC+T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LaI8MAAADcAAAADwAAAAAAAAAAAAAAAACYAgAAZHJzL2Rv&#10;d25yZXYueG1sUEsFBgAAAAAEAAQA9QAAAIgDAAAAAA==&#10;"/>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81" o:spid="_x0000_s1056" type="#_x0000_t67" style="position:absolute;left:4491;top:11751;width:513;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s9wcEA&#10;AADcAAAADwAAAGRycy9kb3ducmV2LnhtbERPzUoDMRC+C75DGMGbzVZElrVpKS2CPfRg7QMMm2k2&#10;uJksm7Gb9ukbQfA2H9/vLFY59OpMY/KRDcxnFSjiNlrPzsDx6/2pBpUE2WIfmQxcKMFqeX+3wMbG&#10;iT/pfBCnSginBg10IkOjdWo7CphmcSAu3CmOAaXA0Wk74lTCQ6+fq+pVB/RcGjocaNNR+334CQZk&#10;v/Wor7u8dt5NJ7drs2xrYx4f8voNlFCWf/Gf+8OW+fUL/D5TLtD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rPcHBAAAA3AAAAA8AAAAAAAAAAAAAAAAAmAIAAGRycy9kb3du&#10;cmV2LnhtbFBLBQYAAAAABAAEAPUAAACGAwAAAAA=&#10;" fillcolor="#8eaadb [1944]" strokecolor="#8eaadb [1944]" strokeweight="1pt">
                  <v:fill color2="#d9e2f3 [664]" angle="135" focus="50%" type="gradient"/>
                  <v:shadow on="t" color="#1f3763 [1608]" opacity=".5" offset="1pt"/>
                  <v:textbox style="layout-flow:vertical-ideographic"/>
                </v:shape>
                <v:shape id="AutoShape 182" o:spid="_x0000_s1057" type="#_x0000_t66" style="position:absolute;left:3611;top:12507;width:759;height:353;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D3OsAA&#10;AADcAAAADwAAAGRycy9kb3ducmV2LnhtbERPy6rCMBDdC/5DGMGdpq0PtBpFCoKLCxcf4HZoxrbY&#10;TEoTtf79jSDc3RzOc9bbztTiSa2rLCuIxxEI4tzqigsFl/N+tADhPLLG2jIpeJOD7abfW2Oq7YuP&#10;9Dz5QoQQdikqKL1vUildXpJBN7YNceButjXoA2wLqVt8hXBTyySK5tJgxaGhxIaykvL76WEU2Ons&#10;192m8U+yj7OjTvBKy2yi1HDQ7VYgPHX+X/x1H3SYv5jB55lwgdz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tD3OsAAAADcAAAADwAAAAAAAAAAAAAAAACYAgAAZHJzL2Rvd25y&#10;ZXYueG1sUEsFBgAAAAAEAAQA9QAAAIUDAAAAAA==&#10;" fillcolor="#c9c9c9 [1942]" strokecolor="#c9c9c9 [1942]" strokeweight="1pt">
                  <v:fill color2="#ededed [662]" angle="135" focus="50%" type="gradient"/>
                  <v:shadow on="t" color="#525252 [1606]" opacity=".5" offset="1pt"/>
                </v:shape>
                <v:shape id="AutoShape 183" o:spid="_x0000_s1058" type="#_x0000_t67" style="position:absolute;left:5645;top:13187;width:467;height:5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GLcAA&#10;AADcAAAADwAAAGRycy9kb3ducmV2LnhtbERPzWoCMRC+F3yHMIXearY9yLIaRZRCPfRQ2wcYNmM2&#10;uJksm9FNfXpTKPQ2H9/vrDY59OpKY/KRDbzMK1DEbbSenYHvr7fnGlQSZIt9ZDLwQwk269nDChsb&#10;J/6k61GcKiGcGjTQiQyN1qntKGCax4G4cKc4BpQCR6ftiFMJD71+raqFDui5NHQ40K6j9ny8BAPy&#10;sfeob4e8dd5NJ3dos+xrY54e83YJSijLv/jP/W7L/HoBv8+UC/T6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nUGLcAAAADcAAAADwAAAAAAAAAAAAAAAACYAgAAZHJzL2Rvd25y&#10;ZXYueG1sUEsFBgAAAAAEAAQA9QAAAIUDAAAAAA==&#10;" fillcolor="#8eaadb [1944]" strokecolor="#8eaadb [1944]" strokeweight="1pt">
                  <v:fill color2="#d9e2f3 [664]" angle="135" focus="50%" type="gradient"/>
                  <v:shadow on="t" color="#1f3763 [1608]" opacity=".5" offset="1pt"/>
                  <v:textbox style="layout-flow:vertical-ideographic"/>
                </v:shape>
                <v:shape id="AutoShape 184" o:spid="_x0000_s1059" type="#_x0000_t66" style="position:absolute;left:7441;top:14038;width:759;height: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NccA&#10;AADcAAAADwAAAGRycy9kb3ducmV2LnhtbESPzWrDMBCE74W+g9hCbo3cHFzjRgmloeBDDs4ftLfF&#10;2sim1spYiu3k6atCIbddZna+2eV6sq0YqPeNYwUv8wQEceV0w0bB8fD5nIHwAVlj65gUXMnDevX4&#10;sMRcu5F3NOyDETGEfY4K6hC6XEpf1WTRz11HHLWz6y2GuPZG6h7HGG5buUiSVFpsOBJq7Oijpupn&#10;f7GReyu35Wa3+VqE7+xcpBdjktOo1Oxpen8DEWgKd/P/daFj/ewV/p6JE8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SnTXHAAAA3AAAAA8AAAAAAAAAAAAAAAAAmAIAAGRy&#10;cy9kb3ducmV2LnhtbFBLBQYAAAAABAAEAPUAAACMAwAAAAA=&#10;" fillcolor="#c9c9c9 [1942]" strokecolor="#c9c9c9 [1942]" strokeweight="1pt">
                  <v:fill color2="#ededed [662]" angle="135" focus="50%" type="gradient"/>
                  <v:shadow on="t" color="#525252 [1606]" opacity=".5" offset="1pt"/>
                </v:shape>
              </v:group>
            </w:pict>
          </mc:Fallback>
        </mc:AlternateContent>
      </w:r>
      <w:r>
        <w:rPr>
          <w:rFonts w:cstheme="minorHAnsi"/>
          <w:b/>
          <w:i/>
          <w:noProof/>
          <w:color w:val="2E74B5" w:themeColor="accent1" w:themeShade="BF"/>
          <w:lang w:eastAsia="bg-BG"/>
        </w:rPr>
        <mc:AlternateContent>
          <mc:Choice Requires="wps">
            <w:drawing>
              <wp:anchor distT="0" distB="0" distL="114300" distR="114300" simplePos="0" relativeHeight="251722752" behindDoc="0" locked="0" layoutInCell="1" allowOverlap="1" wp14:anchorId="17AD589F">
                <wp:simplePos x="0" y="0"/>
                <wp:positionH relativeFrom="column">
                  <wp:posOffset>4215765</wp:posOffset>
                </wp:positionH>
                <wp:positionV relativeFrom="paragraph">
                  <wp:posOffset>377825</wp:posOffset>
                </wp:positionV>
                <wp:extent cx="1828800" cy="664210"/>
                <wp:effectExtent l="0" t="0" r="38100" b="59690"/>
                <wp:wrapNone/>
                <wp:docPr id="171" name="AutoShape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64210"/>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Pr="00963039" w:rsidRDefault="00EA2176" w:rsidP="00963039">
                            <w:pPr>
                              <w:spacing w:after="0"/>
                              <w:jc w:val="center"/>
                              <w:rPr>
                                <w:b/>
                                <w:sz w:val="20"/>
                                <w:szCs w:val="20"/>
                              </w:rPr>
                            </w:pPr>
                            <w:r w:rsidRPr="00963039">
                              <w:rPr>
                                <w:b/>
                                <w:sz w:val="20"/>
                                <w:szCs w:val="20"/>
                              </w:rPr>
                              <w:t>Кохезионен фонд</w:t>
                            </w:r>
                          </w:p>
                          <w:p w:rsidR="00EA2176" w:rsidRPr="00963039" w:rsidRDefault="00EA2176" w:rsidP="00963039">
                            <w:pPr>
                              <w:spacing w:after="0"/>
                              <w:jc w:val="center"/>
                              <w:rPr>
                                <w:b/>
                                <w:sz w:val="20"/>
                                <w:szCs w:val="20"/>
                              </w:rPr>
                            </w:pPr>
                            <w:r w:rsidRPr="00963039">
                              <w:rPr>
                                <w:b/>
                                <w:sz w:val="20"/>
                                <w:szCs w:val="20"/>
                              </w:rPr>
                              <w:t>Национално съфинансиране от ДБ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7AD589F" id="AutoShape 165" o:spid="_x0000_s1060" style="position:absolute;left:0;text-align:left;margin-left:331.95pt;margin-top:29.75pt;width:2in;height:52.3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" fillcolor="#c9c9c9 [1942]" strokecolor="#c9c9c9 [1942]" strokeweight="1pt">
                <v:fill color2="#ededed [662]" angle="135" focus="50%" type="gradient"/>
                <v:shadow on="t" color="#525252 [1606]" opacity=".5" offset="1pt"/>
                <v:textbox>
                  <w:txbxContent>
                    <w:p w:rsidR="00EA2176" w:rsidRPr="00963039" w:rsidRDefault="00EA2176" w:rsidP="00963039">
                      <w:pPr>
                        <w:spacing w:after="0"/>
                        <w:jc w:val="center"/>
                        <w:rPr>
                          <w:b/>
                          <w:sz w:val="20"/>
                          <w:szCs w:val="20"/>
                        </w:rPr>
                      </w:pPr>
                      <w:r w:rsidRPr="00963039">
                        <w:rPr>
                          <w:b/>
                          <w:sz w:val="20"/>
                          <w:szCs w:val="20"/>
                        </w:rPr>
                        <w:t>Кохезионен фонд</w:t>
                      </w:r>
                    </w:p>
                    <w:p w:rsidR="00EA2176" w:rsidRPr="00963039" w:rsidRDefault="00EA2176" w:rsidP="00963039">
                      <w:pPr>
                        <w:spacing w:after="0"/>
                        <w:jc w:val="center"/>
                        <w:rPr>
                          <w:b/>
                          <w:sz w:val="20"/>
                          <w:szCs w:val="20"/>
                        </w:rPr>
                      </w:pPr>
                      <w:r w:rsidRPr="00963039">
                        <w:rPr>
                          <w:b/>
                          <w:sz w:val="20"/>
                          <w:szCs w:val="20"/>
                        </w:rPr>
                        <w:t>Национално съфинансиране от ДБ</w:t>
                      </w:r>
                    </w:p>
                  </w:txbxContent>
                </v:textbox>
              </v:roundrect>
            </w:pict>
          </mc:Fallback>
        </mc:AlternateContent>
      </w:r>
      <w:r>
        <w:rPr>
          <w:rFonts w:cstheme="minorHAnsi"/>
          <w:b/>
          <w:i/>
          <w:noProof/>
          <w:color w:val="2E74B5" w:themeColor="accent1" w:themeShade="BF"/>
          <w:lang w:eastAsia="bg-BG"/>
        </w:rPr>
        <mc:AlternateContent>
          <mc:Choice Requires="wps">
            <w:drawing>
              <wp:anchor distT="0" distB="0" distL="114300" distR="114300" simplePos="0" relativeHeight="251726848" behindDoc="0" locked="0" layoutInCell="1" allowOverlap="1" wp14:anchorId="5E063C92">
                <wp:simplePos x="0" y="0"/>
                <wp:positionH relativeFrom="column">
                  <wp:posOffset>4307205</wp:posOffset>
                </wp:positionH>
                <wp:positionV relativeFrom="paragraph">
                  <wp:posOffset>3329305</wp:posOffset>
                </wp:positionV>
                <wp:extent cx="1828800" cy="757555"/>
                <wp:effectExtent l="0" t="0" r="38100" b="61595"/>
                <wp:wrapNone/>
                <wp:docPr id="170" name="AutoShap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757555"/>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Pr="00963039" w:rsidRDefault="00EA2176" w:rsidP="00963039">
                            <w:pPr>
                              <w:spacing w:after="0"/>
                              <w:jc w:val="center"/>
                              <w:rPr>
                                <w:b/>
                              </w:rPr>
                            </w:pPr>
                            <w:r w:rsidRPr="00963039">
                              <w:rPr>
                                <w:b/>
                              </w:rPr>
                              <w:t xml:space="preserve">Фонд ФЛАГ или </w:t>
                            </w:r>
                            <w:r>
                              <w:rPr>
                                <w:b/>
                              </w:rPr>
                              <w:t xml:space="preserve">      негово </w:t>
                            </w:r>
                            <w:r w:rsidRPr="00963039">
                              <w:rPr>
                                <w:b/>
                              </w:rPr>
                              <w:t>дъщерно дружество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063C92" id="AutoShape 169" o:spid="_x0000_s1061" style="position:absolute;left:0;text-align:left;margin-left:339.15pt;margin-top:262.15pt;width:2in;height:59.6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" fillcolor="#c9c9c9 [1942]" strokecolor="#c9c9c9 [1942]" strokeweight="1pt">
                <v:fill color2="#ededed [662]" angle="135" focus="50%" type="gradient"/>
                <v:shadow on="t" color="#525252 [1606]" opacity=".5" offset="1pt"/>
                <v:textbox>
                  <w:txbxContent>
                    <w:p w:rsidR="00EA2176" w:rsidRPr="00963039" w:rsidRDefault="00EA2176" w:rsidP="00963039">
                      <w:pPr>
                        <w:spacing w:after="0"/>
                        <w:jc w:val="center"/>
                        <w:rPr>
                          <w:b/>
                        </w:rPr>
                      </w:pPr>
                      <w:r w:rsidRPr="00963039">
                        <w:rPr>
                          <w:b/>
                        </w:rPr>
                        <w:t xml:space="preserve">Фонд ФЛАГ или </w:t>
                      </w:r>
                      <w:r>
                        <w:rPr>
                          <w:b/>
                        </w:rPr>
                        <w:t xml:space="preserve">      негово </w:t>
                      </w:r>
                      <w:r w:rsidRPr="00963039">
                        <w:rPr>
                          <w:b/>
                        </w:rPr>
                        <w:t>дъщерно дружество</w:t>
                      </w:r>
                    </w:p>
                  </w:txbxContent>
                </v:textbox>
              </v:roundrect>
            </w:pict>
          </mc:Fallback>
        </mc:AlternateContent>
      </w:r>
      <w:r w:rsidR="00953F41">
        <w:rPr>
          <w:rFonts w:cstheme="minorHAnsi"/>
          <w:b/>
          <w:i/>
          <w:noProof/>
          <w:color w:val="2E74B5" w:themeColor="accent1" w:themeShade="BF"/>
          <w:lang w:eastAsia="bg-BG"/>
        </w:rPr>
        <w:drawing>
          <wp:inline distT="0" distB="0" distL="0" distR="0">
            <wp:extent cx="3140566" cy="5344423"/>
            <wp:effectExtent l="152400" t="133350" r="22225" b="27940"/>
            <wp:docPr id="42" name="Diagram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9" r:lo="rId140" r:qs="rId141" r:cs="rId142"/>
              </a:graphicData>
            </a:graphic>
          </wp:inline>
        </w:drawing>
      </w:r>
    </w:p>
    <w:p w:rsidR="00794E10" w:rsidRDefault="00794E10" w:rsidP="009D2A4E">
      <w:pPr>
        <w:spacing w:before="240"/>
        <w:jc w:val="both"/>
        <w:rPr>
          <w:rFonts w:cstheme="minorHAnsi"/>
          <w:b/>
          <w:i/>
          <w:color w:val="2E74B5" w:themeColor="accent1" w:themeShade="BF"/>
        </w:rPr>
      </w:pPr>
    </w:p>
    <w:p w:rsidR="00953F41" w:rsidRDefault="00953F41" w:rsidP="008D18E8">
      <w:pPr>
        <w:spacing w:before="240"/>
        <w:jc w:val="both"/>
        <w:rPr>
          <w:rFonts w:cs="Times New Roman"/>
        </w:rPr>
      </w:pPr>
    </w:p>
    <w:p w:rsidR="00953F41" w:rsidRDefault="00953F41" w:rsidP="009D2A4E">
      <w:pPr>
        <w:pStyle w:val="Heading2"/>
        <w:jc w:val="both"/>
        <w:rPr>
          <w:rFonts w:asciiTheme="minorHAnsi" w:hAnsiTheme="minorHAnsi" w:cs="Times New Roman"/>
        </w:rPr>
      </w:pPr>
    </w:p>
    <w:p w:rsidR="00953F41" w:rsidRDefault="00953F41" w:rsidP="009D2A4E">
      <w:pPr>
        <w:pStyle w:val="Heading2"/>
        <w:jc w:val="both"/>
        <w:rPr>
          <w:rFonts w:asciiTheme="minorHAnsi" w:hAnsiTheme="minorHAnsi" w:cs="Times New Roman"/>
        </w:rPr>
      </w:pPr>
    </w:p>
    <w:p w:rsidR="00953F41" w:rsidRDefault="00953F41" w:rsidP="009D2A4E">
      <w:pPr>
        <w:pStyle w:val="Heading2"/>
        <w:jc w:val="both"/>
        <w:rPr>
          <w:rFonts w:asciiTheme="minorHAnsi" w:hAnsiTheme="minorHAnsi" w:cs="Times New Roman"/>
        </w:rPr>
      </w:pPr>
    </w:p>
    <w:p w:rsidR="00953F41" w:rsidRDefault="00953F41" w:rsidP="009D2A4E">
      <w:pPr>
        <w:pStyle w:val="Heading2"/>
        <w:jc w:val="both"/>
        <w:rPr>
          <w:rFonts w:asciiTheme="minorHAnsi" w:hAnsiTheme="minorHAnsi" w:cs="Times New Roman"/>
        </w:rPr>
      </w:pPr>
    </w:p>
    <w:p w:rsidR="00953F41" w:rsidRDefault="00953F41" w:rsidP="009D2A4E">
      <w:pPr>
        <w:pStyle w:val="Heading2"/>
        <w:jc w:val="both"/>
        <w:rPr>
          <w:rFonts w:asciiTheme="minorHAnsi" w:hAnsiTheme="minorHAnsi" w:cs="Times New Roman"/>
        </w:rPr>
      </w:pPr>
    </w:p>
    <w:p w:rsidR="00953F41" w:rsidRDefault="00953F41" w:rsidP="009D2A4E">
      <w:pPr>
        <w:pStyle w:val="Heading2"/>
        <w:jc w:val="both"/>
        <w:rPr>
          <w:rFonts w:asciiTheme="minorHAnsi" w:hAnsiTheme="minorHAnsi" w:cs="Times New Roman"/>
        </w:rPr>
        <w:sectPr w:rsidR="00953F41" w:rsidSect="006E39EC">
          <w:pgSz w:w="11906" w:h="16838"/>
          <w:pgMar w:top="1417" w:right="1416" w:bottom="1417" w:left="1417" w:header="708" w:footer="105" w:gutter="0"/>
          <w:cols w:space="708"/>
          <w:titlePg/>
          <w:docGrid w:linePitch="360"/>
        </w:sectPr>
      </w:pPr>
    </w:p>
    <w:p w:rsidR="001A3CF8" w:rsidRDefault="001A3CF8" w:rsidP="001A3CF8">
      <w:pPr>
        <w:spacing w:before="240"/>
        <w:jc w:val="both"/>
        <w:rPr>
          <w:rFonts w:cstheme="minorHAnsi"/>
          <w:b/>
          <w:i/>
          <w:color w:val="2E74B5" w:themeColor="accent1" w:themeShade="BF"/>
        </w:rPr>
      </w:pPr>
      <w:r w:rsidRPr="00794E10">
        <w:rPr>
          <w:rFonts w:cstheme="minorHAnsi"/>
          <w:b/>
          <w:i/>
          <w:color w:val="2E74B5" w:themeColor="accent1" w:themeShade="BF"/>
        </w:rPr>
        <w:lastRenderedPageBreak/>
        <w:t xml:space="preserve">Сектор </w:t>
      </w:r>
      <w:r>
        <w:rPr>
          <w:rFonts w:cstheme="minorHAnsi"/>
          <w:b/>
          <w:i/>
          <w:color w:val="2E74B5" w:themeColor="accent1" w:themeShade="BF"/>
        </w:rPr>
        <w:t>Отпадъци</w:t>
      </w:r>
    </w:p>
    <w:p w:rsidR="001A3CF8" w:rsidRPr="00F66BD6" w:rsidRDefault="001A3CF8" w:rsidP="001A3CF8">
      <w:pPr>
        <w:pStyle w:val="Caption"/>
        <w:jc w:val="center"/>
        <w:rPr>
          <w:rFonts w:asciiTheme="minorHAnsi" w:hAnsiTheme="minorHAnsi" w:cstheme="minorHAnsi"/>
          <w:sz w:val="22"/>
          <w:szCs w:val="22"/>
        </w:rPr>
      </w:pPr>
      <w:bookmarkStart w:id="159" w:name="_Toc399494659"/>
      <w:r w:rsidRPr="00F66BD6">
        <w:rPr>
          <w:rFonts w:asciiTheme="minorHAnsi" w:hAnsiTheme="minorHAnsi" w:cstheme="minorHAnsi"/>
        </w:rPr>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74</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Pr>
          <w:rFonts w:asciiTheme="minorHAnsi" w:hAnsiTheme="minorHAnsi" w:cstheme="minorHAnsi"/>
        </w:rPr>
        <w:t>Възможни нива</w:t>
      </w:r>
      <w:r w:rsidR="008E4A10">
        <w:rPr>
          <w:rFonts w:asciiTheme="minorHAnsi" w:hAnsiTheme="minorHAnsi" w:cstheme="minorHAnsi"/>
        </w:rPr>
        <w:t xml:space="preserve"> на действие на националното съ</w:t>
      </w:r>
      <w:r>
        <w:rPr>
          <w:rFonts w:asciiTheme="minorHAnsi" w:hAnsiTheme="minorHAnsi" w:cstheme="minorHAnsi"/>
        </w:rPr>
        <w:t>финансиране към ЕСИФ</w:t>
      </w:r>
      <w:bookmarkEnd w:id="159"/>
    </w:p>
    <w:p w:rsidR="001A3CF8" w:rsidRDefault="001A3CF8" w:rsidP="009D2A4E">
      <w:pPr>
        <w:pStyle w:val="Heading2"/>
        <w:jc w:val="both"/>
        <w:rPr>
          <w:rFonts w:asciiTheme="minorHAnsi" w:hAnsiTheme="minorHAnsi" w:cs="Times New Roman"/>
        </w:rPr>
      </w:pPr>
    </w:p>
    <w:p w:rsidR="001A3CF8" w:rsidRPr="001A3CF8" w:rsidRDefault="00896C88" w:rsidP="001A3CF8">
      <w:pPr>
        <w:ind w:left="1418"/>
        <w:sectPr w:rsidR="001A3CF8" w:rsidRPr="001A3CF8" w:rsidSect="006E39EC">
          <w:pgSz w:w="11906" w:h="16838"/>
          <w:pgMar w:top="1417" w:right="1416" w:bottom="1417" w:left="1417" w:header="708" w:footer="105" w:gutter="0"/>
          <w:cols w:space="708"/>
          <w:titlePg/>
          <w:docGrid w:linePitch="360"/>
        </w:sectPr>
      </w:pPr>
      <w:r>
        <w:rPr>
          <w:noProof/>
          <w:lang w:eastAsia="bg-BG"/>
        </w:rPr>
        <mc:AlternateContent>
          <mc:Choice Requires="wpg">
            <w:drawing>
              <wp:anchor distT="0" distB="0" distL="114300" distR="114300" simplePos="0" relativeHeight="251751424" behindDoc="0" locked="0" layoutInCell="1" allowOverlap="1" wp14:anchorId="31F3FF81">
                <wp:simplePos x="0" y="0"/>
                <wp:positionH relativeFrom="column">
                  <wp:posOffset>-72390</wp:posOffset>
                </wp:positionH>
                <wp:positionV relativeFrom="paragraph">
                  <wp:posOffset>256540</wp:posOffset>
                </wp:positionV>
                <wp:extent cx="6269355" cy="7013575"/>
                <wp:effectExtent l="0" t="0" r="36195" b="53975"/>
                <wp:wrapNone/>
                <wp:docPr id="147"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69355" cy="7013575"/>
                          <a:chOff x="1303" y="3885"/>
                          <a:chExt cx="9873" cy="11045"/>
                        </a:xfrm>
                      </wpg:grpSpPr>
                      <wps:wsp>
                        <wps:cNvPr id="148" name="Text Box 197"/>
                        <wps:cNvSpPr txBox="1">
                          <a:spLocks noChangeArrowheads="1"/>
                        </wps:cNvSpPr>
                        <wps:spPr bwMode="auto">
                          <a:xfrm>
                            <a:off x="6760" y="13434"/>
                            <a:ext cx="1713" cy="10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Pr="001F1CB7" w:rsidRDefault="00EA2176" w:rsidP="001F1CB7">
                              <w:pPr>
                                <w:jc w:val="center"/>
                                <w:rPr>
                                  <w:sz w:val="16"/>
                                  <w:szCs w:val="16"/>
                                </w:rPr>
                              </w:pPr>
                              <w:r w:rsidRPr="001F1CB7">
                                <w:rPr>
                                  <w:sz w:val="16"/>
                                  <w:szCs w:val="16"/>
                                </w:rPr>
                                <w:t xml:space="preserve">В случай че проектите се </w:t>
                              </w:r>
                              <w:r>
                                <w:rPr>
                                  <w:sz w:val="16"/>
                                  <w:szCs w:val="16"/>
                                </w:rPr>
                                <w:t>финансират чрез БФП и ФИ</w:t>
                              </w:r>
                            </w:p>
                          </w:txbxContent>
                        </wps:txbx>
                        <wps:bodyPr rot="0" vert="horz" wrap="square" lIns="91440" tIns="45720" rIns="91440" bIns="45720" anchor="t" anchorCtr="0" upright="1">
                          <a:noAutofit/>
                        </wps:bodyPr>
                      </wps:wsp>
                      <wps:wsp>
                        <wps:cNvPr id="149" name="AutoShape 185"/>
                        <wps:cNvSpPr>
                          <a:spLocks noChangeArrowheads="1"/>
                        </wps:cNvSpPr>
                        <wps:spPr bwMode="auto">
                          <a:xfrm>
                            <a:off x="8296" y="3885"/>
                            <a:ext cx="2880" cy="1046"/>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Pr="00963039" w:rsidRDefault="00EA2176" w:rsidP="001A3CF8">
                              <w:pPr>
                                <w:spacing w:after="0"/>
                                <w:jc w:val="center"/>
                                <w:rPr>
                                  <w:b/>
                                  <w:sz w:val="20"/>
                                  <w:szCs w:val="20"/>
                                </w:rPr>
                              </w:pPr>
                              <w:r>
                                <w:rPr>
                                  <w:b/>
                                  <w:sz w:val="20"/>
                                  <w:szCs w:val="20"/>
                                </w:rPr>
                                <w:t>ЕФРР</w:t>
                              </w:r>
                            </w:p>
                            <w:p w:rsidR="00EA2176" w:rsidRPr="00963039" w:rsidRDefault="00EA2176" w:rsidP="001A3CF8">
                              <w:pPr>
                                <w:spacing w:after="0"/>
                                <w:jc w:val="center"/>
                                <w:rPr>
                                  <w:b/>
                                  <w:sz w:val="20"/>
                                  <w:szCs w:val="20"/>
                                </w:rPr>
                              </w:pPr>
                              <w:r>
                                <w:rPr>
                                  <w:b/>
                                  <w:sz w:val="20"/>
                                  <w:szCs w:val="20"/>
                                </w:rPr>
                                <w:t>Национално съ</w:t>
                              </w:r>
                              <w:r w:rsidRPr="00963039">
                                <w:rPr>
                                  <w:b/>
                                  <w:sz w:val="20"/>
                                  <w:szCs w:val="20"/>
                                </w:rPr>
                                <w:t>финансиране от ДБ</w:t>
                              </w:r>
                            </w:p>
                          </w:txbxContent>
                        </wps:txbx>
                        <wps:bodyPr rot="0" vert="horz" wrap="square" lIns="91440" tIns="45720" rIns="91440" bIns="45720" anchor="t" anchorCtr="0" upright="1">
                          <a:noAutofit/>
                        </wps:bodyPr>
                      </wps:wsp>
                      <wps:wsp>
                        <wps:cNvPr id="150" name="AutoShape 186"/>
                        <wps:cNvSpPr>
                          <a:spLocks noChangeArrowheads="1"/>
                        </wps:cNvSpPr>
                        <wps:spPr bwMode="auto">
                          <a:xfrm>
                            <a:off x="8296" y="6313"/>
                            <a:ext cx="2880" cy="1193"/>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Default="00EA2176" w:rsidP="001A3CF8">
                              <w:pPr>
                                <w:spacing w:after="0"/>
                                <w:jc w:val="center"/>
                                <w:rPr>
                                  <w:b/>
                                </w:rPr>
                              </w:pPr>
                              <w:r>
                                <w:rPr>
                                  <w:b/>
                                </w:rPr>
                                <w:t xml:space="preserve">ЕИФ </w:t>
                              </w:r>
                            </w:p>
                            <w:p w:rsidR="00EA2176" w:rsidRDefault="00EA2176" w:rsidP="001A3CF8">
                              <w:pPr>
                                <w:spacing w:after="0"/>
                                <w:jc w:val="center"/>
                                <w:rPr>
                                  <w:b/>
                                </w:rPr>
                              </w:pPr>
                              <w:r>
                                <w:rPr>
                                  <w:b/>
                                </w:rPr>
                                <w:t xml:space="preserve">или </w:t>
                              </w:r>
                            </w:p>
                            <w:p w:rsidR="00EA2176" w:rsidRPr="00963039" w:rsidRDefault="00EA2176" w:rsidP="001A3CF8">
                              <w:pPr>
                                <w:spacing w:after="0"/>
                                <w:jc w:val="center"/>
                                <w:rPr>
                                  <w:b/>
                                </w:rPr>
                              </w:pPr>
                              <w:r>
                                <w:rPr>
                                  <w:b/>
                                </w:rPr>
                                <w:t>друг пазарен играч</w:t>
                              </w:r>
                            </w:p>
                          </w:txbxContent>
                        </wps:txbx>
                        <wps:bodyPr rot="0" vert="horz" wrap="square" lIns="91440" tIns="45720" rIns="91440" bIns="45720" anchor="t" anchorCtr="0" upright="1">
                          <a:noAutofit/>
                        </wps:bodyPr>
                      </wps:wsp>
                      <wps:wsp>
                        <wps:cNvPr id="151" name="AutoShape 188"/>
                        <wps:cNvSpPr>
                          <a:spLocks noChangeArrowheads="1"/>
                        </wps:cNvSpPr>
                        <wps:spPr bwMode="auto">
                          <a:xfrm>
                            <a:off x="4159" y="12324"/>
                            <a:ext cx="2919" cy="1127"/>
                          </a:xfrm>
                          <a:prstGeom prst="roundRect">
                            <a:avLst>
                              <a:gd name="adj" fmla="val 16667"/>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round/>
                            <a:headEnd/>
                            <a:tailEnd/>
                          </a:ln>
                          <a:effectLst>
                            <a:outerShdw dist="28398" dir="3806097" algn="ctr" rotWithShape="0">
                              <a:schemeClr val="accent6">
                                <a:lumMod val="50000"/>
                                <a:lumOff val="0"/>
                                <a:alpha val="50000"/>
                              </a:schemeClr>
                            </a:outerShdw>
                          </a:effectLst>
                        </wps:spPr>
                        <wps:txbx>
                          <w:txbxContent>
                            <w:p w:rsidR="00EA2176" w:rsidRPr="001F1CB7" w:rsidRDefault="00EA2176" w:rsidP="001F1CB7">
                              <w:pPr>
                                <w:spacing w:after="0"/>
                                <w:ind w:right="-135"/>
                                <w:jc w:val="center"/>
                                <w:rPr>
                                  <w:b/>
                                </w:rPr>
                              </w:pPr>
                              <w:r w:rsidRPr="001F1CB7">
                                <w:rPr>
                                  <w:b/>
                                </w:rPr>
                                <w:t>МСП или общински предприятия</w:t>
                              </w:r>
                            </w:p>
                            <w:p w:rsidR="00EA2176" w:rsidRPr="001F1CB7" w:rsidRDefault="00EA2176" w:rsidP="001F1CB7">
                              <w:pPr>
                                <w:spacing w:after="0"/>
                                <w:ind w:right="-135"/>
                                <w:jc w:val="center"/>
                                <w:rPr>
                                  <w:b/>
                                </w:rPr>
                              </w:pPr>
                              <w:r w:rsidRPr="001F1CB7">
                                <w:rPr>
                                  <w:b/>
                                </w:rPr>
                                <w:t>(в т.ч. собствени средства)</w:t>
                              </w:r>
                            </w:p>
                          </w:txbxContent>
                        </wps:txbx>
                        <wps:bodyPr rot="0" vert="horz" wrap="square" lIns="91440" tIns="45720" rIns="91440" bIns="45720" anchor="t" anchorCtr="0" upright="1">
                          <a:noAutofit/>
                        </wps:bodyPr>
                      </wps:wsp>
                      <wps:wsp>
                        <wps:cNvPr id="159" name="AutoShape 189"/>
                        <wps:cNvSpPr>
                          <a:spLocks noChangeArrowheads="1"/>
                        </wps:cNvSpPr>
                        <wps:spPr bwMode="auto">
                          <a:xfrm>
                            <a:off x="1303" y="12596"/>
                            <a:ext cx="1917" cy="838"/>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Pr="00963039" w:rsidRDefault="00EA2176" w:rsidP="001A3CF8">
                              <w:pPr>
                                <w:spacing w:after="0"/>
                                <w:jc w:val="center"/>
                                <w:rPr>
                                  <w:b/>
                                  <w:sz w:val="20"/>
                                  <w:szCs w:val="20"/>
                                </w:rPr>
                              </w:pPr>
                              <w:r w:rsidRPr="00963039">
                                <w:rPr>
                                  <w:b/>
                                  <w:sz w:val="20"/>
                                  <w:szCs w:val="20"/>
                                </w:rPr>
                                <w:t>Фонд ФЛАГ</w:t>
                              </w:r>
                            </w:p>
                            <w:p w:rsidR="00EA2176" w:rsidRPr="00963039" w:rsidRDefault="00EA2176" w:rsidP="001A3CF8">
                              <w:pPr>
                                <w:spacing w:after="0"/>
                                <w:jc w:val="center"/>
                                <w:rPr>
                                  <w:b/>
                                  <w:sz w:val="20"/>
                                  <w:szCs w:val="20"/>
                                </w:rPr>
                              </w:pPr>
                              <w:r w:rsidRPr="00963039">
                                <w:rPr>
                                  <w:b/>
                                  <w:sz w:val="20"/>
                                  <w:szCs w:val="20"/>
                                </w:rPr>
                                <w:t>ПУДООС</w:t>
                              </w:r>
                            </w:p>
                            <w:p w:rsidR="00EA2176" w:rsidRPr="00963039" w:rsidRDefault="00EA2176" w:rsidP="001A3CF8">
                              <w:pPr>
                                <w:spacing w:after="0"/>
                                <w:jc w:val="center"/>
                                <w:rPr>
                                  <w:b/>
                                  <w:sz w:val="20"/>
                                  <w:szCs w:val="20"/>
                                </w:rPr>
                              </w:pPr>
                            </w:p>
                          </w:txbxContent>
                        </wps:txbx>
                        <wps:bodyPr rot="0" vert="horz" wrap="square" lIns="91440" tIns="45720" rIns="91440" bIns="45720" anchor="t" anchorCtr="0" upright="1">
                          <a:noAutofit/>
                        </wps:bodyPr>
                      </wps:wsp>
                      <wps:wsp>
                        <wps:cNvPr id="160" name="AutoShape 190"/>
                        <wps:cNvSpPr>
                          <a:spLocks noChangeArrowheads="1"/>
                        </wps:cNvSpPr>
                        <wps:spPr bwMode="auto">
                          <a:xfrm>
                            <a:off x="4278" y="14069"/>
                            <a:ext cx="2715" cy="861"/>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EA2176" w:rsidRPr="008D18E8" w:rsidRDefault="00EA2176" w:rsidP="001A3CF8">
                              <w:pPr>
                                <w:jc w:val="center"/>
                                <w:rPr>
                                  <w:b/>
                                </w:rPr>
                              </w:pPr>
                              <w:r w:rsidRPr="008D18E8">
                                <w:rPr>
                                  <w:b/>
                                </w:rPr>
                                <w:t>Инвестицион</w:t>
                              </w:r>
                              <w:r>
                                <w:rPr>
                                  <w:b/>
                                </w:rPr>
                                <w:t>ни</w:t>
                              </w:r>
                              <w:r w:rsidRPr="008D18E8">
                                <w:rPr>
                                  <w:b/>
                                </w:rPr>
                                <w:t xml:space="preserve"> проект</w:t>
                              </w:r>
                              <w:r>
                                <w:rPr>
                                  <w:b/>
                                </w:rPr>
                                <w:t>и</w:t>
                              </w:r>
                            </w:p>
                          </w:txbxContent>
                        </wps:txbx>
                        <wps:bodyPr rot="0" vert="horz" wrap="square" lIns="91440" tIns="45720" rIns="91440" bIns="45720" anchor="t" anchorCtr="0" upright="1">
                          <a:noAutofit/>
                        </wps:bodyPr>
                      </wps:wsp>
                      <wps:wsp>
                        <wps:cNvPr id="163" name="AutoShape 191"/>
                        <wps:cNvSpPr>
                          <a:spLocks noChangeArrowheads="1"/>
                        </wps:cNvSpPr>
                        <wps:spPr bwMode="auto">
                          <a:xfrm>
                            <a:off x="8254" y="13971"/>
                            <a:ext cx="2277" cy="959"/>
                          </a:xfrm>
                          <a:prstGeom prst="roundRect">
                            <a:avLst>
                              <a:gd name="adj" fmla="val 16667"/>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round/>
                            <a:headEnd/>
                            <a:tailEnd/>
                          </a:ln>
                          <a:effectLst>
                            <a:outerShdw dist="28398" dir="3806097" algn="ctr" rotWithShape="0">
                              <a:schemeClr val="accent3">
                                <a:lumMod val="50000"/>
                                <a:lumOff val="0"/>
                                <a:alpha val="50000"/>
                              </a:schemeClr>
                            </a:outerShdw>
                          </a:effectLst>
                        </wps:spPr>
                        <wps:txbx>
                          <w:txbxContent>
                            <w:p w:rsidR="00EA2176" w:rsidRDefault="00EA2176" w:rsidP="001A3CF8">
                              <w:pPr>
                                <w:spacing w:after="0"/>
                                <w:jc w:val="center"/>
                                <w:rPr>
                                  <w:b/>
                                  <w:sz w:val="20"/>
                                  <w:szCs w:val="20"/>
                                </w:rPr>
                              </w:pPr>
                              <w:r>
                                <w:rPr>
                                  <w:b/>
                                  <w:sz w:val="20"/>
                                  <w:szCs w:val="20"/>
                                </w:rPr>
                                <w:t>УО на ОПОС</w:t>
                              </w:r>
                            </w:p>
                            <w:p w:rsidR="00EA2176" w:rsidRPr="001F1CB7" w:rsidRDefault="00EA2176" w:rsidP="001A3CF8">
                              <w:pPr>
                                <w:spacing w:after="0"/>
                                <w:jc w:val="center"/>
                                <w:rPr>
                                  <w:b/>
                                  <w:sz w:val="12"/>
                                  <w:szCs w:val="12"/>
                                </w:rPr>
                              </w:pPr>
                            </w:p>
                            <w:p w:rsidR="00EA2176" w:rsidRPr="00963039" w:rsidRDefault="00EA2176" w:rsidP="001A3CF8">
                              <w:pPr>
                                <w:spacing w:after="0"/>
                                <w:jc w:val="center"/>
                              </w:pPr>
                              <w:r>
                                <w:rPr>
                                  <w:b/>
                                  <w:sz w:val="20"/>
                                  <w:szCs w:val="20"/>
                                </w:rPr>
                                <w:t xml:space="preserve">(КФ </w:t>
                              </w:r>
                              <w:r w:rsidRPr="001A3CF8">
                                <w:rPr>
                                  <w:b/>
                                  <w:sz w:val="20"/>
                                  <w:szCs w:val="20"/>
                                </w:rPr>
                                <w:t>+ ДБ</w:t>
                              </w:r>
                              <w:r w:rsidRPr="001A3CF8">
                                <w:rPr>
                                  <w:b/>
                                </w:rPr>
                                <w:t>)</w:t>
                              </w:r>
                            </w:p>
                          </w:txbxContent>
                        </wps:txbx>
                        <wps:bodyPr rot="0" vert="horz" wrap="square" lIns="91440" tIns="45720" rIns="91440" bIns="45720" anchor="t" anchorCtr="0" upright="1">
                          <a:noAutofit/>
                        </wps:bodyPr>
                      </wps:wsp>
                      <wps:wsp>
                        <wps:cNvPr id="164" name="AutoShape 192"/>
                        <wps:cNvSpPr>
                          <a:spLocks noChangeArrowheads="1"/>
                        </wps:cNvSpPr>
                        <wps:spPr bwMode="auto">
                          <a:xfrm>
                            <a:off x="7095" y="6676"/>
                            <a:ext cx="759" cy="353"/>
                          </a:xfrm>
                          <a:prstGeom prst="leftArrow">
                            <a:avLst>
                              <a:gd name="adj1" fmla="val 50000"/>
                              <a:gd name="adj2" fmla="val 53754"/>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s:wsp>
                        <wps:cNvPr id="165" name="AutoShape 193"/>
                        <wps:cNvSpPr>
                          <a:spLocks noChangeArrowheads="1"/>
                        </wps:cNvSpPr>
                        <wps:spPr bwMode="auto">
                          <a:xfrm>
                            <a:off x="7078" y="4254"/>
                            <a:ext cx="759" cy="353"/>
                          </a:xfrm>
                          <a:prstGeom prst="leftArrow">
                            <a:avLst>
                              <a:gd name="adj1" fmla="val 50000"/>
                              <a:gd name="adj2" fmla="val 53754"/>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s:wsp>
                        <wps:cNvPr id="166" name="AutoShape 194"/>
                        <wps:cNvSpPr>
                          <a:spLocks noChangeArrowheads="1"/>
                        </wps:cNvSpPr>
                        <wps:spPr bwMode="auto">
                          <a:xfrm>
                            <a:off x="7344" y="11135"/>
                            <a:ext cx="1479" cy="2316"/>
                          </a:xfrm>
                          <a:prstGeom prst="curvedLeftArrow">
                            <a:avLst>
                              <a:gd name="adj1" fmla="val 31318"/>
                              <a:gd name="adj2" fmla="val 62637"/>
                              <a:gd name="adj3" fmla="val 33333"/>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bodyPr rot="0" vert="horz" wrap="square" lIns="91440" tIns="45720" rIns="91440" bIns="45720" anchor="t" anchorCtr="0" upright="1">
                          <a:noAutofit/>
                        </wps:bodyPr>
                      </wps:wsp>
                      <wps:wsp>
                        <wps:cNvPr id="167" name="AutoShape 195"/>
                        <wps:cNvSpPr>
                          <a:spLocks noChangeArrowheads="1"/>
                        </wps:cNvSpPr>
                        <wps:spPr bwMode="auto">
                          <a:xfrm rot="10800000">
                            <a:off x="3349" y="12864"/>
                            <a:ext cx="759" cy="353"/>
                          </a:xfrm>
                          <a:prstGeom prst="leftArrow">
                            <a:avLst>
                              <a:gd name="adj1" fmla="val 50000"/>
                              <a:gd name="adj2" fmla="val 53754"/>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wps:wsp>
                        <wps:cNvPr id="168" name="AutoShape 196"/>
                        <wps:cNvSpPr>
                          <a:spLocks noChangeArrowheads="1"/>
                        </wps:cNvSpPr>
                        <wps:spPr bwMode="auto">
                          <a:xfrm>
                            <a:off x="7184" y="14390"/>
                            <a:ext cx="759" cy="447"/>
                          </a:xfrm>
                          <a:prstGeom prst="leftArrow">
                            <a:avLst>
                              <a:gd name="adj1" fmla="val 50000"/>
                              <a:gd name="adj2" fmla="val 42450"/>
                            </a:avLst>
                          </a:prstGeom>
                          <a:solidFill>
                            <a:schemeClr val="lt1">
                              <a:lumMod val="100000"/>
                              <a:lumOff val="0"/>
                            </a:schemeClr>
                          </a:solidFill>
                          <a:ln w="12700">
                            <a:solidFill>
                              <a:schemeClr val="accent3">
                                <a:lumMod val="100000"/>
                                <a:lumOff val="0"/>
                              </a:schemeClr>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69" name="AutoShape 198"/>
                        <wps:cNvSpPr>
                          <a:spLocks noChangeArrowheads="1"/>
                        </wps:cNvSpPr>
                        <wps:spPr bwMode="auto">
                          <a:xfrm>
                            <a:off x="5381" y="13546"/>
                            <a:ext cx="467" cy="425"/>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bodyPr rot="0" vert="eaVert"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F3FF81" id="Group 213" o:spid="_x0000_s1062" style="position:absolute;left:0;text-align:left;margin-left:-5.7pt;margin-top:20.2pt;width:493.65pt;height:552.25pt;z-index:251751424" coordorigin="1303,3885" coordsize="9873,11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">
                <v:shape id="Text Box 197" o:spid="_x0000_s1063" type="#_x0000_t202" style="position:absolute;left:6760;top:13434;width:1713;height:10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D618QA&#10;AADcAAAADwAAAGRycy9kb3ducmV2LnhtbESPzW7CQAyE75V4h5WReqlgA6L8BBYElYq48vMAJmuS&#10;iKw3yi4kvH19QOrN1oxnPq82navUk5pQejYwGiagiDNvS84NXM6/gzmoEJEtVp7JwIsCbNa9jxWm&#10;1rd8pOcp5kpCOKRooIixTrUOWUEOw9DXxKLdfOMwytrk2jbYSrir9DhJptphydJQYE0/BWX308MZ&#10;uB3ar+9Fe93Hy+w4me6wnF39y5jPfrddgorUxX/z+/pgBX8it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A+tfEAAAA3AAAAA8AAAAAAAAAAAAAAAAAmAIAAGRycy9k&#10;b3ducmV2LnhtbFBLBQYAAAAABAAEAPUAAACJAwAAAAA=&#10;" stroked="f">
                  <v:textbox>
                    <w:txbxContent>
                      <w:p w:rsidR="00EA2176" w:rsidRPr="001F1CB7" w:rsidRDefault="00EA2176" w:rsidP="001F1CB7">
                        <w:pPr>
                          <w:jc w:val="center"/>
                          <w:rPr>
                            <w:sz w:val="16"/>
                            <w:szCs w:val="16"/>
                          </w:rPr>
                        </w:pPr>
                        <w:r w:rsidRPr="001F1CB7">
                          <w:rPr>
                            <w:sz w:val="16"/>
                            <w:szCs w:val="16"/>
                          </w:rPr>
                          <w:t xml:space="preserve">В случай че проектите се </w:t>
                        </w:r>
                        <w:r>
                          <w:rPr>
                            <w:sz w:val="16"/>
                            <w:szCs w:val="16"/>
                          </w:rPr>
                          <w:t>финансират чрез БФП и ФИ</w:t>
                        </w:r>
                      </w:p>
                    </w:txbxContent>
                  </v:textbox>
                </v:shape>
                <v:roundrect id="AutoShape 185" o:spid="_x0000_s1064" style="position:absolute;left:8296;top:3885;width:2880;height:104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oGpMIA&#10;AADcAAAADwAAAGRycy9kb3ducmV2LnhtbERP3WrCMBS+F3yHcITdremkbLMaRYXB2ETU+QCH5rQp&#10;a05Ck2l9+2Uw8O58fL9nsRpsJy7Uh9axgqcsB0FcOd1yo+D89fb4CiJEZI2dY1JwowCr5Xi0wFK7&#10;Kx/pcoqNSCEcSlRgYvSllKEyZDFkzhMnrna9xZhg30jd4zWF205O8/xZWmw5NRj0tDVUfZ9+rAJ9&#10;8L6bbV4+ivq4v9n6c1cYu1PqYTKs5yAiDfEu/ne/6zS/mMHfM+kC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mgakwgAAANwAAAAPAAAAAAAAAAAAAAAAAJgCAABkcnMvZG93&#10;bnJldi54bWxQSwUGAAAAAAQABAD1AAAAhwMAAAAA&#10;" fillcolor="#c9c9c9 [1942]" strokecolor="#c9c9c9 [1942]" strokeweight="1pt">
                  <v:fill color2="#ededed [662]" angle="135" focus="50%" type="gradient"/>
                  <v:shadow on="t" color="#525252 [1606]" opacity=".5" offset="1pt"/>
                  <v:textbox>
                    <w:txbxContent>
                      <w:p w:rsidR="00EA2176" w:rsidRPr="00963039" w:rsidRDefault="00EA2176" w:rsidP="001A3CF8">
                        <w:pPr>
                          <w:spacing w:after="0"/>
                          <w:jc w:val="center"/>
                          <w:rPr>
                            <w:b/>
                            <w:sz w:val="20"/>
                            <w:szCs w:val="20"/>
                          </w:rPr>
                        </w:pPr>
                        <w:r>
                          <w:rPr>
                            <w:b/>
                            <w:sz w:val="20"/>
                            <w:szCs w:val="20"/>
                          </w:rPr>
                          <w:t>ЕФРР</w:t>
                        </w:r>
                      </w:p>
                      <w:p w:rsidR="00EA2176" w:rsidRPr="00963039" w:rsidRDefault="00EA2176" w:rsidP="001A3CF8">
                        <w:pPr>
                          <w:spacing w:after="0"/>
                          <w:jc w:val="center"/>
                          <w:rPr>
                            <w:b/>
                            <w:sz w:val="20"/>
                            <w:szCs w:val="20"/>
                          </w:rPr>
                        </w:pPr>
                        <w:r>
                          <w:rPr>
                            <w:b/>
                            <w:sz w:val="20"/>
                            <w:szCs w:val="20"/>
                          </w:rPr>
                          <w:t>Национално съ</w:t>
                        </w:r>
                        <w:r w:rsidRPr="00963039">
                          <w:rPr>
                            <w:b/>
                            <w:sz w:val="20"/>
                            <w:szCs w:val="20"/>
                          </w:rPr>
                          <w:t>финансиране от ДБ</w:t>
                        </w:r>
                      </w:p>
                    </w:txbxContent>
                  </v:textbox>
                </v:roundrect>
                <v:roundrect id="AutoShape 186" o:spid="_x0000_s1065" style="position:absolute;left:8296;top:6313;width:2880;height:119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k55MUA&#10;AADcAAAADwAAAGRycy9kb3ducmV2LnhtbESP3WoCMRCF7wt9hzAF72q2Yv+2RrEFQayUavsAw2Z2&#10;s3QzCZuo69t3LgTvZjhnzvlmthh8p47UpzawgYdxAYq4CrblxsDvz+r+BVTKyBa7wGTgTAkW89ub&#10;GZY2nHhHx31ulIRwKtGAyzmWWqfKkcc0DpFYtDr0HrOsfaNtjycJ952eFMWT9tiyNDiM9OGo+tsf&#10;vAH7HWP3+v68mda7r7OvP7dT57fGjO6G5RuoTEO+mi/Xayv4j4Ivz8gEe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eTnkxQAAANwAAAAPAAAAAAAAAAAAAAAAAJgCAABkcnMv&#10;ZG93bnJldi54bWxQSwUGAAAAAAQABAD1AAAAigMAAAAA&#10;" fillcolor="#c9c9c9 [1942]" strokecolor="#c9c9c9 [1942]" strokeweight="1pt">
                  <v:fill color2="#ededed [662]" angle="135" focus="50%" type="gradient"/>
                  <v:shadow on="t" color="#525252 [1606]" opacity=".5" offset="1pt"/>
                  <v:textbox>
                    <w:txbxContent>
                      <w:p w:rsidR="00EA2176" w:rsidRDefault="00EA2176" w:rsidP="001A3CF8">
                        <w:pPr>
                          <w:spacing w:after="0"/>
                          <w:jc w:val="center"/>
                          <w:rPr>
                            <w:b/>
                          </w:rPr>
                        </w:pPr>
                        <w:r>
                          <w:rPr>
                            <w:b/>
                          </w:rPr>
                          <w:t xml:space="preserve">ЕИФ </w:t>
                        </w:r>
                      </w:p>
                      <w:p w:rsidR="00EA2176" w:rsidRDefault="00EA2176" w:rsidP="001A3CF8">
                        <w:pPr>
                          <w:spacing w:after="0"/>
                          <w:jc w:val="center"/>
                          <w:rPr>
                            <w:b/>
                          </w:rPr>
                        </w:pPr>
                        <w:r>
                          <w:rPr>
                            <w:b/>
                          </w:rPr>
                          <w:t xml:space="preserve">или </w:t>
                        </w:r>
                      </w:p>
                      <w:p w:rsidR="00EA2176" w:rsidRPr="00963039" w:rsidRDefault="00EA2176" w:rsidP="001A3CF8">
                        <w:pPr>
                          <w:spacing w:after="0"/>
                          <w:jc w:val="center"/>
                          <w:rPr>
                            <w:b/>
                          </w:rPr>
                        </w:pPr>
                        <w:r>
                          <w:rPr>
                            <w:b/>
                          </w:rPr>
                          <w:t>друг пазарен играч</w:t>
                        </w:r>
                      </w:p>
                    </w:txbxContent>
                  </v:textbox>
                </v:roundrect>
                <v:roundrect id="AutoShape 188" o:spid="_x0000_s1066" style="position:absolute;left:4159;top:12324;width:2919;height:112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lJjcQA&#10;AADcAAAADwAAAGRycy9kb3ducmV2LnhtbERPS2sCMRC+F/wPYQreulkFbVmNUkTBQ2mptmWPw2b2&#10;gclk3URd/fVNQehtPr7nzJe9NeJMnW8cKxglKQjiwumGKwVf+83TCwgfkDUax6TgSh6Wi8HDHDPt&#10;LvxJ512oRAxhn6GCOoQ2k9IXNVn0iWuJI1e6zmKIsKuk7vASw62R4zSdSosNx4YaW1rVVBx2J6sg&#10;fze38u32MX7+zlfHzc96a6oyV2r42L/OQATqw7/47t7qOH8ygr9n4gV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JSY3EAAAA3AAAAA8AAAAAAAAAAAAAAAAAmAIAAGRycy9k&#10;b3ducmV2LnhtbFBLBQYAAAAABAAEAPUAAACJAwAAAAA=&#10;" fillcolor="#a8d08d [1945]" strokecolor="#a8d08d [1945]" strokeweight="1pt">
                  <v:fill color2="#e2efd9 [665]" angle="135" focus="50%" type="gradient"/>
                  <v:shadow on="t" color="#375623 [1609]" opacity=".5" offset="1pt"/>
                  <v:textbox>
                    <w:txbxContent>
                      <w:p w:rsidR="00EA2176" w:rsidRPr="001F1CB7" w:rsidRDefault="00EA2176" w:rsidP="001F1CB7">
                        <w:pPr>
                          <w:spacing w:after="0"/>
                          <w:ind w:right="-135"/>
                          <w:jc w:val="center"/>
                          <w:rPr>
                            <w:b/>
                          </w:rPr>
                        </w:pPr>
                        <w:r w:rsidRPr="001F1CB7">
                          <w:rPr>
                            <w:b/>
                          </w:rPr>
                          <w:t>МСП или общински предприятия</w:t>
                        </w:r>
                      </w:p>
                      <w:p w:rsidR="00EA2176" w:rsidRPr="001F1CB7" w:rsidRDefault="00EA2176" w:rsidP="001F1CB7">
                        <w:pPr>
                          <w:spacing w:after="0"/>
                          <w:ind w:right="-135"/>
                          <w:jc w:val="center"/>
                          <w:rPr>
                            <w:b/>
                          </w:rPr>
                        </w:pPr>
                        <w:r w:rsidRPr="001F1CB7">
                          <w:rPr>
                            <w:b/>
                          </w:rPr>
                          <w:t>(в т.ч. собствени средства)</w:t>
                        </w:r>
                      </w:p>
                    </w:txbxContent>
                  </v:textbox>
                </v:roundrect>
                <v:roundrect id="AutoShape 189" o:spid="_x0000_s1067" style="position:absolute;left:1303;top:12596;width:1917;height:8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OQecIA&#10;AADcAAAADwAAAGRycy9kb3ducmV2LnhtbERP22oCMRB9L/QfwhR8q9kW62U1SisUihXx9gHDZnaz&#10;uJmETarr35uC4NscznVmi8424kxtqB0reOtnIIgLp2uuFBwP369jECEia2wck4IrBVjMn59mmGt3&#10;4R2d97ESKYRDjgpMjD6XMhSGLIa+88SJK11rMSbYVlK3eEnhtpHvWTaUFmtODQY9LQ0Vp/2fVaC3&#10;3jeTr9FqUO42V1v+rgfGrpXqvXSfUxCRuvgQ390/Os3/mMD/M+kCO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Q5B5wgAAANwAAAAPAAAAAAAAAAAAAAAAAJgCAABkcnMvZG93&#10;bnJldi54bWxQSwUGAAAAAAQABAD1AAAAhwMAAAAA&#10;" fillcolor="#c9c9c9 [1942]" strokecolor="#c9c9c9 [1942]" strokeweight="1pt">
                  <v:fill color2="#ededed [662]" angle="135" focus="50%" type="gradient"/>
                  <v:shadow on="t" color="#525252 [1606]" opacity=".5" offset="1pt"/>
                  <v:textbox>
                    <w:txbxContent>
                      <w:p w:rsidR="00EA2176" w:rsidRPr="00963039" w:rsidRDefault="00EA2176" w:rsidP="001A3CF8">
                        <w:pPr>
                          <w:spacing w:after="0"/>
                          <w:jc w:val="center"/>
                          <w:rPr>
                            <w:b/>
                            <w:sz w:val="20"/>
                            <w:szCs w:val="20"/>
                          </w:rPr>
                        </w:pPr>
                        <w:r w:rsidRPr="00963039">
                          <w:rPr>
                            <w:b/>
                            <w:sz w:val="20"/>
                            <w:szCs w:val="20"/>
                          </w:rPr>
                          <w:t>Фонд ФЛАГ</w:t>
                        </w:r>
                      </w:p>
                      <w:p w:rsidR="00EA2176" w:rsidRPr="00963039" w:rsidRDefault="00EA2176" w:rsidP="001A3CF8">
                        <w:pPr>
                          <w:spacing w:after="0"/>
                          <w:jc w:val="center"/>
                          <w:rPr>
                            <w:b/>
                            <w:sz w:val="20"/>
                            <w:szCs w:val="20"/>
                          </w:rPr>
                        </w:pPr>
                        <w:r w:rsidRPr="00963039">
                          <w:rPr>
                            <w:b/>
                            <w:sz w:val="20"/>
                            <w:szCs w:val="20"/>
                          </w:rPr>
                          <w:t>ПУДООС</w:t>
                        </w:r>
                      </w:p>
                      <w:p w:rsidR="00EA2176" w:rsidRPr="00963039" w:rsidRDefault="00EA2176" w:rsidP="001A3CF8">
                        <w:pPr>
                          <w:spacing w:after="0"/>
                          <w:jc w:val="center"/>
                          <w:rPr>
                            <w:b/>
                            <w:sz w:val="20"/>
                            <w:szCs w:val="20"/>
                          </w:rPr>
                        </w:pPr>
                      </w:p>
                    </w:txbxContent>
                  </v:textbox>
                </v:roundrect>
                <v:roundrect id="AutoShape 190" o:spid="_x0000_s1068" style="position:absolute;left:4278;top:14069;width:2715;height:86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nSJsQA&#10;AADcAAAADwAAAGRycy9kb3ducmV2LnhtbESP3WrCQBCF7wXfYZmCd7qxF7FEV5GCUEQK/jzAmJ1m&#10;Y7OzIbua+PadC6F3M5wz53yz2gy+UQ/qYh3YwHyWgSIug625MnA576YfoGJCttgEJgNPirBZj0cr&#10;LGzo+UiPU6qUhHAs0IBLqS20jqUjj3EWWmLRfkLnMcnaVdp22Eu4b/R7luXaY83S4LClT0fl7+nu&#10;DXxnBx+q3PnDrd9fj9v5eRH5ZszkbdguQSUa0r/5df1lBT8XfHlGJ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J0ibEAAAA3AAAAA8AAAAAAAAAAAAAAAAAmAIAAGRycy9k&#10;b3ducmV2LnhtbFBLBQYAAAAABAAEAPUAAACJAwAAAAA=&#10;" fillcolor="#9cc2e5 [1940]" strokecolor="#9cc2e5 [1940]" strokeweight="1pt">
                  <v:fill color2="#deeaf6 [660]" angle="135" focus="50%" type="gradient"/>
                  <v:shadow on="t" color="#1f4d78 [1604]" opacity=".5" offset="1pt"/>
                  <v:textbox>
                    <w:txbxContent>
                      <w:p w:rsidR="00EA2176" w:rsidRPr="008D18E8" w:rsidRDefault="00EA2176" w:rsidP="001A3CF8">
                        <w:pPr>
                          <w:jc w:val="center"/>
                          <w:rPr>
                            <w:b/>
                          </w:rPr>
                        </w:pPr>
                        <w:r w:rsidRPr="008D18E8">
                          <w:rPr>
                            <w:b/>
                          </w:rPr>
                          <w:t>Инвестицион</w:t>
                        </w:r>
                        <w:r>
                          <w:rPr>
                            <w:b/>
                          </w:rPr>
                          <w:t>ни</w:t>
                        </w:r>
                        <w:r w:rsidRPr="008D18E8">
                          <w:rPr>
                            <w:b/>
                          </w:rPr>
                          <w:t xml:space="preserve"> проект</w:t>
                        </w:r>
                        <w:r>
                          <w:rPr>
                            <w:b/>
                          </w:rPr>
                          <w:t>и</w:t>
                        </w:r>
                      </w:p>
                    </w:txbxContent>
                  </v:textbox>
                </v:roundrect>
                <v:roundrect id="AutoShape 191" o:spid="_x0000_s1069" style="position:absolute;left:8254;top:13971;width:2277;height:95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dtLsIA&#10;AADcAAAADwAAAGRycy9kb3ducmV2LnhtbERP22oCMRB9F/yHMELfNGsrVlejtIWCtFK8fcCwmd0s&#10;biZhk+r696ZQ8G0O5zrLdWcbcaE21I4VjEcZCOLC6ZorBafj53AGIkRkjY1jUnCjAOtVv7fEXLsr&#10;7+lyiJVIIRxyVGBi9LmUoTBkMYycJ05c6VqLMcG2krrFawq3jXzOsqm0WHNqMOjpw1BxPvxaBXrn&#10;fTN/f/2alPufmy2/txNjt0o9Dbq3BYhIXXyI/90bneZPX+Dv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x20uwgAAANwAAAAPAAAAAAAAAAAAAAAAAJgCAABkcnMvZG93&#10;bnJldi54bWxQSwUGAAAAAAQABAD1AAAAhwMAAAAA&#10;" fillcolor="#c9c9c9 [1942]" strokecolor="#c9c9c9 [1942]" strokeweight="1pt">
                  <v:fill color2="#ededed [662]" angle="135" focus="50%" type="gradient"/>
                  <v:shadow on="t" color="#525252 [1606]" opacity=".5" offset="1pt"/>
                  <v:textbox>
                    <w:txbxContent>
                      <w:p w:rsidR="00EA2176" w:rsidRDefault="00EA2176" w:rsidP="001A3CF8">
                        <w:pPr>
                          <w:spacing w:after="0"/>
                          <w:jc w:val="center"/>
                          <w:rPr>
                            <w:b/>
                            <w:sz w:val="20"/>
                            <w:szCs w:val="20"/>
                          </w:rPr>
                        </w:pPr>
                        <w:r>
                          <w:rPr>
                            <w:b/>
                            <w:sz w:val="20"/>
                            <w:szCs w:val="20"/>
                          </w:rPr>
                          <w:t>УО на ОПОС</w:t>
                        </w:r>
                      </w:p>
                      <w:p w:rsidR="00EA2176" w:rsidRPr="001F1CB7" w:rsidRDefault="00EA2176" w:rsidP="001A3CF8">
                        <w:pPr>
                          <w:spacing w:after="0"/>
                          <w:jc w:val="center"/>
                          <w:rPr>
                            <w:b/>
                            <w:sz w:val="12"/>
                            <w:szCs w:val="12"/>
                          </w:rPr>
                        </w:pPr>
                      </w:p>
                      <w:p w:rsidR="00EA2176" w:rsidRPr="00963039" w:rsidRDefault="00EA2176" w:rsidP="001A3CF8">
                        <w:pPr>
                          <w:spacing w:after="0"/>
                          <w:jc w:val="center"/>
                        </w:pPr>
                        <w:r>
                          <w:rPr>
                            <w:b/>
                            <w:sz w:val="20"/>
                            <w:szCs w:val="20"/>
                          </w:rPr>
                          <w:t xml:space="preserve">(КФ </w:t>
                        </w:r>
                        <w:r w:rsidRPr="001A3CF8">
                          <w:rPr>
                            <w:b/>
                            <w:sz w:val="20"/>
                            <w:szCs w:val="20"/>
                          </w:rPr>
                          <w:t>+ ДБ</w:t>
                        </w:r>
                        <w:r w:rsidRPr="001A3CF8">
                          <w:rPr>
                            <w:b/>
                          </w:rPr>
                          <w:t>)</w:t>
                        </w:r>
                      </w:p>
                    </w:txbxContent>
                  </v:textbox>
                </v:roundrect>
                <v:shape id="AutoShape 192" o:spid="_x0000_s1070" type="#_x0000_t66" style="position:absolute;left:7095;top:6676;width:759;height: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zluMcA&#10;AADcAAAADwAAAGRycy9kb3ducmV2LnhtbESPQWvDMAyF74X+B6PBbo2zMELJ4pbSUuhhh7bboL2J&#10;WHXCYjnETpPt18+DwW4S7+l9T+V6sq24U+8bxwqekhQEceV0w0bB+9t+sQThA7LG1jEp+CIP69V8&#10;VmKh3cgnup+DETGEfYEK6hC6Qkpf1WTRJ64jjtrN9RZDXHsjdY9jDLetzNI0lxYbjoQaO9rWVH2e&#10;Bxu538fX4+60u2Thurwd8sGY9GNU6vFh2ryACDSFf/Pf9UHH+vkz/D4TJ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M5bjHAAAA3AAAAA8AAAAAAAAAAAAAAAAAmAIAAGRy&#10;cy9kb3ducmV2LnhtbFBLBQYAAAAABAAEAPUAAACMAwAAAAA=&#10;" fillcolor="#c9c9c9 [1942]" strokecolor="#c9c9c9 [1942]" strokeweight="1pt">
                  <v:fill color2="#ededed [662]" angle="135" focus="50%" type="gradient"/>
                  <v:shadow on="t" color="#525252 [1606]" opacity=".5" offset="1pt"/>
                </v:shape>
                <v:shape id="AutoShape 193" o:spid="_x0000_s1071" type="#_x0000_t66" style="position:absolute;left:7078;top:4254;width:759;height: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BAI8cA&#10;AADcAAAADwAAAGRycy9kb3ducmV2LnhtbESPQWvDMAyF74X+B6PBbo2zwELJ4pbSUuhhh7bboL2J&#10;WHXCYjnETpPt18+DwW4S7+l9T+V6sq24U+8bxwqekhQEceV0w0bB+9t+sQThA7LG1jEp+CIP69V8&#10;VmKh3cgnup+DETGEfYEK6hC6Qkpf1WTRJ64jjtrN9RZDXHsjdY9jDLetzNI0lxYbjoQaO9rWVH2e&#10;Bxu538fX4+60u2Thurwd8sGY9GNU6vFh2ryACDSFf/Pf9UHH+vkz/D4TJ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AQCPHAAAA3AAAAA8AAAAAAAAAAAAAAAAAmAIAAGRy&#10;cy9kb3ducmV2LnhtbFBLBQYAAAAABAAEAPUAAACMAwAAAAA=&#10;" fillcolor="#c9c9c9 [1942]" strokecolor="#c9c9c9 [1942]" strokeweight="1pt">
                  <v:fill color2="#ededed [662]" angle="135" focus="50%" type="gradient"/>
                  <v:shadow on="t" color="#525252 [1606]" opacity=".5" offset="1pt"/>
                </v:shape>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194" o:spid="_x0000_s1072" type="#_x0000_t103" style="position:absolute;left:7344;top:11135;width:1479;height:2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i5DcQA&#10;AADcAAAADwAAAGRycy9kb3ducmV2LnhtbERPTWvCQBC9C/0PyxS8SN3UQiypqwRFkIKHGKE9Dtlp&#10;EpqdDdnVRH+9Kwje5vE+Z7EaTCPO1LnasoL3aQSCuLC65lLBMd++fYJwHlljY5kUXMjBavkyWmCi&#10;bc8ZnQ++FCGEXYIKKu/bREpXVGTQTW1LHLg/2xn0AXal1B32Idw0chZFsTRYc2iosKV1RcX/4WQU&#10;pD/XSU4f1+N3ll32v5t5X6/7VKnx65B+gfA0+Kf44d7pMD+O4f5MuEA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4uQ3EAAAA3AAAAA8AAAAAAAAAAAAAAAAAmAIAAGRycy9k&#10;b3ducmV2LnhtbFBLBQYAAAAABAAEAPUAAACJAwAAAAA=&#10;" fillcolor="#a8d08d [1945]" strokecolor="#a8d08d [1945]" strokeweight="1pt">
                  <v:fill color2="#e2efd9 [665]" angle="135" focus="50%" type="gradient"/>
                  <v:shadow on="t" color="#375623 [1609]" opacity=".5" offset="1pt"/>
                </v:shape>
                <v:shape id="AutoShape 195" o:spid="_x0000_s1073" type="#_x0000_t66" style="position:absolute;left:3349;top:12864;width:759;height:353;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IqLMEA&#10;AADcAAAADwAAAGRycy9kb3ducmV2LnhtbERPS4vCMBC+C/sfwix407T1sWs1ylIQPAhSXdjr0Ixt&#10;2WZSmqj13xtB8DYf33NWm9404kqdqy0riMcRCOLC6ppLBb+n7egbhPPIGhvLpOBODjbrj8EKU21v&#10;nNP16EsRQtilqKDyvk2ldEVFBt3YtsSBO9vOoA+wK6Xu8BbCTSOTKJpLgzWHhgpbyioq/o8Xo8BO&#10;Zwd3nsb7ZBtnuU7wjxbZRKnhZ/+zBOGp92/xy73TYf78C57PhAvk+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CKizBAAAA3AAAAA8AAAAAAAAAAAAAAAAAmAIAAGRycy9kb3du&#10;cmV2LnhtbFBLBQYAAAAABAAEAPUAAACGAwAAAAA=&#10;" fillcolor="#c9c9c9 [1942]" strokecolor="#c9c9c9 [1942]" strokeweight="1pt">
                  <v:fill color2="#ededed [662]" angle="135" focus="50%" type="gradient"/>
                  <v:shadow on="t" color="#525252 [1606]" opacity=".5" offset="1pt"/>
                </v:shape>
                <v:shape id="AutoShape 196" o:spid="_x0000_s1074" type="#_x0000_t66" style="position:absolute;left:7184;top:14390;width:759;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x8DcQA&#10;AADcAAAADwAAAGRycy9kb3ducmV2LnhtbESPQW/CMAyF75P4D5GRuI2UTUKoI6CtaNLggijs7jVe&#10;061xqiZA+ff4MGk3W+/5vc/L9eBbdaE+NoENzKYZKOIq2IZrA6fj++MCVEzIFtvAZOBGEdar0cMS&#10;cxuufKBLmWolIRxzNOBS6nKtY+XIY5yGjli079B7TLL2tbY9XiXct/opy+baY8PS4LCjwlH1W569&#10;gbhZlJ/duXimn+IrbIfD236XOWMm4+H1BVSiIf2b/64/rODPhVaekQn0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sfA3EAAAA3AAAAA8AAAAAAAAAAAAAAAAAmAIAAGRycy9k&#10;b3ducmV2LnhtbFBLBQYAAAAABAAEAPUAAACJAwAAAAA=&#10;" fillcolor="white [3201]" strokecolor="#a5a5a5 [3206]" strokeweight="1pt">
                  <v:stroke dashstyle="dash"/>
                  <v:shadow color="#868686"/>
                </v:shape>
                <v:shape id="AutoShape 198" o:spid="_x0000_s1075" type="#_x0000_t67" style="position:absolute;left:5381;top:13546;width:467;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r4MIA&#10;AADcAAAADwAAAGRycy9kb3ducmV2LnhtbERPzWoCMRC+F3yHMIIX0awepLsaRaVCDx7stg8wbMbN&#10;4mayJKm77dM3gtDbfHy/s9kNthV38qFxrGAxz0AQV043XCv4+jzNXkGEiKyxdUwKfijAbjt62WCh&#10;Xc8fdC9jLVIIhwIVmBi7QspQGbIY5q4jTtzVeYsxQV9L7bFP4baVyyxbSYsNpwaDHR0NVbfy2yrI&#10;y3xP54P7fbPV6ebbaW+m/qLUZDzs1yAiDfFf/HS/6zR/lcPjmXSB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8evgwgAAANwAAAAPAAAAAAAAAAAAAAAAAJgCAABkcnMvZG93&#10;bnJldi54bWxQSwUGAAAAAAQABAD1AAAAhwMAAAAA&#10;" fillcolor="#a8d08d [1945]" strokecolor="#a8d08d [1945]" strokeweight="1pt">
                  <v:fill color2="#e2efd9 [665]" angle="135" focus="50%" type="gradient"/>
                  <v:shadow on="t" color="#375623 [1609]" opacity=".5" offset="1pt"/>
                  <v:textbox style="layout-flow:vertical-ideographic"/>
                </v:shape>
              </v:group>
            </w:pict>
          </mc:Fallback>
        </mc:AlternateContent>
      </w:r>
      <w:r w:rsidR="001A3CF8" w:rsidRPr="001A3CF8">
        <w:rPr>
          <w:noProof/>
          <w:lang w:eastAsia="bg-BG"/>
        </w:rPr>
        <w:drawing>
          <wp:inline distT="0" distB="0" distL="0" distR="0">
            <wp:extent cx="3136604" cy="5314950"/>
            <wp:effectExtent l="0" t="152400" r="0" b="19050"/>
            <wp:docPr id="45" name="Diagram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4" r:lo="rId145" r:qs="rId146" r:cs="rId147"/>
              </a:graphicData>
            </a:graphic>
          </wp:inline>
        </w:drawing>
      </w:r>
    </w:p>
    <w:p w:rsidR="009D2A4E" w:rsidRDefault="009D2A4E" w:rsidP="009D2A4E">
      <w:pPr>
        <w:pStyle w:val="Heading2"/>
        <w:jc w:val="both"/>
        <w:rPr>
          <w:rFonts w:asciiTheme="minorHAnsi" w:hAnsiTheme="minorHAnsi" w:cs="Times New Roman"/>
        </w:rPr>
      </w:pPr>
      <w:bookmarkStart w:id="160" w:name="_Toc399494556"/>
      <w:r w:rsidRPr="00C370EC">
        <w:rPr>
          <w:rFonts w:asciiTheme="minorHAnsi" w:hAnsiTheme="minorHAnsi" w:cs="Times New Roman"/>
        </w:rPr>
        <w:lastRenderedPageBreak/>
        <w:t>3.</w:t>
      </w:r>
      <w:r>
        <w:rPr>
          <w:rFonts w:asciiTheme="minorHAnsi" w:hAnsiTheme="minorHAnsi" w:cs="Times New Roman"/>
        </w:rPr>
        <w:t>2</w:t>
      </w:r>
      <w:r w:rsidRPr="00C370EC">
        <w:rPr>
          <w:rFonts w:asciiTheme="minorHAnsi" w:hAnsiTheme="minorHAnsi" w:cs="Times New Roman"/>
        </w:rPr>
        <w:t>. Оценка на допълнителни публични и частни ресурси, които могат потенциално да бъдат привлечени като ресурс за финансовия инструмент на ниво краен получател (leverage effect)</w:t>
      </w:r>
      <w:bookmarkEnd w:id="160"/>
    </w:p>
    <w:p w:rsidR="001950BB" w:rsidRPr="001950BB" w:rsidRDefault="001950BB" w:rsidP="001950BB"/>
    <w:p w:rsidR="00123920" w:rsidRDefault="001950BB" w:rsidP="001950BB">
      <w:pPr>
        <w:autoSpaceDE w:val="0"/>
        <w:autoSpaceDN w:val="0"/>
        <w:adjustRightInd w:val="0"/>
        <w:spacing w:after="0" w:line="240" w:lineRule="auto"/>
        <w:jc w:val="both"/>
        <w:rPr>
          <w:rFonts w:cstheme="minorHAnsi"/>
        </w:rPr>
      </w:pPr>
      <w:r>
        <w:rPr>
          <w:rFonts w:cstheme="minorHAnsi"/>
        </w:rPr>
        <w:t>Концепцията на ефекта на лоста има по-широко значение от концепцията на националното съфинансиране към ЕСИФ. Съгласно чл. 140 от Финансовия Регламент и чл. 233 от Правилата за прилагането му, ефектът на лоста</w:t>
      </w:r>
      <w:r w:rsidR="00123920">
        <w:rPr>
          <w:rFonts w:cstheme="minorHAnsi"/>
        </w:rPr>
        <w:t xml:space="preserve"> на фондовете на ЕС</w:t>
      </w:r>
      <w:r w:rsidRPr="001950BB">
        <w:rPr>
          <w:rFonts w:cstheme="minorHAnsi"/>
        </w:rPr>
        <w:t xml:space="preserve"> </w:t>
      </w:r>
      <w:r w:rsidR="00123920">
        <w:rPr>
          <w:rFonts w:cstheme="minorHAnsi"/>
        </w:rPr>
        <w:t>е равен на сумата на финансиране на крайните бенефициенти, разделена на сумата на приноса от ЕС:</w:t>
      </w:r>
    </w:p>
    <w:p w:rsidR="00123920" w:rsidRDefault="00123920" w:rsidP="001950BB">
      <w:pPr>
        <w:autoSpaceDE w:val="0"/>
        <w:autoSpaceDN w:val="0"/>
        <w:adjustRightInd w:val="0"/>
        <w:spacing w:after="0" w:line="240" w:lineRule="auto"/>
        <w:jc w:val="both"/>
        <w:rPr>
          <w:rFonts w:cstheme="minorHAnsi"/>
        </w:rPr>
      </w:pPr>
    </w:p>
    <w:p w:rsidR="00123920" w:rsidRPr="00123920" w:rsidRDefault="00123920" w:rsidP="00123920">
      <w:pPr>
        <w:spacing w:before="100" w:beforeAutospacing="1" w:after="120"/>
        <w:jc w:val="center"/>
        <w:rPr>
          <w:rFonts w:cstheme="minorHAnsi"/>
          <w:b/>
          <w:i/>
        </w:rPr>
      </w:pPr>
      <m:oMathPara>
        <m:oMath>
          <m:r>
            <m:rPr>
              <m:sty m:val="bi"/>
            </m:rPr>
            <w:rPr>
              <w:rFonts w:ascii="Cambria Math" w:cstheme="minorHAnsi"/>
            </w:rPr>
            <m:t>Ефект</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лоста</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ЕСИФ</m:t>
          </m:r>
        </m:oMath>
      </m:oMathPara>
    </w:p>
    <w:p w:rsidR="00123920" w:rsidRPr="00BB5A85" w:rsidRDefault="00123920" w:rsidP="00123920">
      <w:pPr>
        <w:spacing w:before="100" w:beforeAutospacing="1" w:after="120"/>
        <w:jc w:val="center"/>
        <w:rPr>
          <w:rFonts w:ascii="Cambria Math" w:cstheme="minorHAnsi"/>
          <w:b/>
          <w:i/>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cstheme="minorHAnsi"/>
                </w:rPr>
                <m:t>Сума</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финансиране</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крайните</m:t>
              </m:r>
              <m:r>
                <m:rPr>
                  <m:sty m:val="bi"/>
                </m:rPr>
                <w:rPr>
                  <w:rFonts w:ascii="Cambria Math" w:cstheme="minorHAnsi"/>
                </w:rPr>
                <m:t xml:space="preserve"> </m:t>
              </m:r>
              <m:r>
                <m:rPr>
                  <m:sty m:val="bi"/>
                </m:rPr>
                <w:rPr>
                  <w:rFonts w:ascii="Cambria Math" w:cstheme="minorHAnsi"/>
                </w:rPr>
                <m:t>бенефициенти</m:t>
              </m:r>
              <m:r>
                <m:rPr>
                  <m:sty m:val="bi"/>
                </m:rPr>
                <w:rPr>
                  <w:rFonts w:ascii="Cambria Math" w:cstheme="minorHAnsi"/>
                </w:rPr>
                <m:t xml:space="preserve"> </m:t>
              </m:r>
            </m:num>
            <m:den>
              <m:r>
                <m:rPr>
                  <m:sty m:val="bi"/>
                </m:rPr>
                <w:rPr>
                  <w:rFonts w:ascii="Cambria Math" w:cstheme="minorHAnsi"/>
                </w:rPr>
                <m:t>Принос</m:t>
              </m:r>
              <m:r>
                <m:rPr>
                  <m:sty m:val="bi"/>
                </m:rPr>
                <w:rPr>
                  <w:rFonts w:ascii="Cambria Math" w:cstheme="minorHAnsi"/>
                </w:rPr>
                <m:t xml:space="preserve"> </m:t>
              </m:r>
              <m:r>
                <m:rPr>
                  <m:sty m:val="bi"/>
                </m:rPr>
                <w:rPr>
                  <w:rFonts w:ascii="Cambria Math" w:cstheme="minorHAnsi"/>
                </w:rPr>
                <m:t>от</m:t>
              </m:r>
              <m:r>
                <m:rPr>
                  <m:sty m:val="bi"/>
                </m:rPr>
                <w:rPr>
                  <w:rFonts w:ascii="Cambria Math" w:cstheme="minorHAnsi"/>
                </w:rPr>
                <m:t xml:space="preserve"> </m:t>
              </m:r>
              <m:r>
                <m:rPr>
                  <m:sty m:val="bi"/>
                </m:rPr>
                <w:rPr>
                  <w:rFonts w:ascii="Cambria Math" w:cstheme="minorHAnsi"/>
                </w:rPr>
                <m:t>ЕС</m:t>
              </m:r>
            </m:den>
          </m:f>
        </m:oMath>
      </m:oMathPara>
    </w:p>
    <w:p w:rsidR="001950BB" w:rsidRPr="001950BB" w:rsidRDefault="00123920" w:rsidP="00123920">
      <w:pPr>
        <w:autoSpaceDE w:val="0"/>
        <w:autoSpaceDN w:val="0"/>
        <w:adjustRightInd w:val="0"/>
        <w:spacing w:before="240" w:after="0" w:line="240" w:lineRule="auto"/>
        <w:jc w:val="both"/>
        <w:rPr>
          <w:rFonts w:cstheme="minorHAnsi"/>
        </w:rPr>
      </w:pPr>
      <w:r>
        <w:rPr>
          <w:rFonts w:cstheme="minorHAnsi"/>
        </w:rPr>
        <w:t>Изчислението на ефекта на лоста следва правилата на Регламента, което означава,</w:t>
      </w:r>
      <w:r w:rsidR="00EB6C68">
        <w:rPr>
          <w:rFonts w:cstheme="minorHAnsi"/>
        </w:rPr>
        <w:t xml:space="preserve"> </w:t>
      </w:r>
      <w:r>
        <w:rPr>
          <w:rFonts w:cstheme="minorHAnsi"/>
        </w:rPr>
        <w:t>че: 1) собственият принос крайните бенефициенти към проектите не се взима предвид; 2) номиналната стойност на разходите се отчита независимо от нейния</w:t>
      </w:r>
      <w:r w:rsidR="00EB6C68">
        <w:rPr>
          <w:rFonts w:cstheme="minorHAnsi"/>
        </w:rPr>
        <w:t xml:space="preserve"> финансов характер (напр. възвръ</w:t>
      </w:r>
      <w:r>
        <w:rPr>
          <w:rFonts w:cstheme="minorHAnsi"/>
        </w:rPr>
        <w:t>щаем или не); и 3) бъдещите инвестиционни цикли не се взимат под внимание, ако има такива (напр. револвиращи инструменти).</w:t>
      </w:r>
    </w:p>
    <w:p w:rsidR="009D2A4E" w:rsidRDefault="00AE7945" w:rsidP="00123920">
      <w:pPr>
        <w:spacing w:before="240"/>
        <w:jc w:val="both"/>
        <w:rPr>
          <w:rFonts w:cstheme="minorHAnsi"/>
        </w:rPr>
      </w:pPr>
      <w:r>
        <w:rPr>
          <w:rFonts w:cstheme="minorHAnsi"/>
        </w:rPr>
        <w:t>Обобщено, ефектът на лоста е изчисление на очакваното допълнително публично и частно финансиране разделено на номиналната стойност на разходите от ЕСИФ.</w:t>
      </w:r>
    </w:p>
    <w:p w:rsidR="00AE7945" w:rsidRDefault="00AE7945" w:rsidP="00123920">
      <w:pPr>
        <w:spacing w:before="240"/>
        <w:jc w:val="both"/>
        <w:rPr>
          <w:rFonts w:cstheme="minorHAnsi"/>
        </w:rPr>
      </w:pPr>
      <w:r>
        <w:rPr>
          <w:rFonts w:cstheme="minorHAnsi"/>
        </w:rPr>
        <w:t>Предвид казаното дотук, ефектът на лоста на ЕСИФ за двата сектора е изчислен както следва:</w:t>
      </w:r>
    </w:p>
    <w:p w:rsidR="00AE7945" w:rsidRPr="00AE7945" w:rsidRDefault="00AE7945" w:rsidP="00123920">
      <w:pPr>
        <w:spacing w:before="240"/>
        <w:jc w:val="both"/>
        <w:rPr>
          <w:rFonts w:cstheme="minorHAnsi"/>
          <w:b/>
          <w:i/>
          <w:color w:val="2E74B5" w:themeColor="accent1" w:themeShade="BF"/>
        </w:rPr>
      </w:pPr>
      <w:r w:rsidRPr="00AE7945">
        <w:rPr>
          <w:rFonts w:cstheme="minorHAnsi"/>
          <w:b/>
          <w:i/>
          <w:color w:val="2E74B5" w:themeColor="accent1" w:themeShade="BF"/>
        </w:rPr>
        <w:t>Сектор Води</w:t>
      </w:r>
    </w:p>
    <w:p w:rsidR="00FF0EB2" w:rsidRDefault="00AE7945" w:rsidP="00AE7945">
      <w:pPr>
        <w:jc w:val="both"/>
        <w:rPr>
          <w:lang w:val="en-US"/>
        </w:rPr>
      </w:pPr>
      <w:r>
        <w:t>Както бе споменато по-горе, общият портфейл на финансиране на проектите във ВиК сектора би имал следната структура при заделени 20% средства от ПО І на ОПОС за финансови инструменти:</w:t>
      </w:r>
    </w:p>
    <w:tbl>
      <w:tblPr>
        <w:tblStyle w:val="LightShading-Accent11"/>
        <w:tblW w:w="8364" w:type="dxa"/>
        <w:jc w:val="center"/>
        <w:tblLook w:val="04A0" w:firstRow="1" w:lastRow="0" w:firstColumn="1" w:lastColumn="0" w:noHBand="0" w:noVBand="1"/>
      </w:tblPr>
      <w:tblGrid>
        <w:gridCol w:w="6696"/>
        <w:gridCol w:w="1668"/>
      </w:tblGrid>
      <w:tr w:rsidR="00EA2176" w:rsidRPr="00EA2176" w:rsidTr="00EA2176">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Финансиране от КФ по ПО І на ОПОС</w:t>
            </w:r>
          </w:p>
        </w:tc>
        <w:tc>
          <w:tcPr>
            <w:tcW w:w="1668" w:type="dxa"/>
            <w:noWrap/>
            <w:hideMark/>
          </w:tcPr>
          <w:p w:rsidR="00EA2176" w:rsidRPr="00EA2176" w:rsidRDefault="00EA2176" w:rsidP="00EA2176">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1 033 619 883</w:t>
            </w:r>
          </w:p>
        </w:tc>
      </w:tr>
      <w:tr w:rsidR="00EA2176" w:rsidRPr="00EA2176" w:rsidTr="00EA217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Национално съ-финансиране по ПО І на ОПОС</w:t>
            </w:r>
          </w:p>
        </w:tc>
        <w:tc>
          <w:tcPr>
            <w:tcW w:w="1668" w:type="dxa"/>
            <w:noWrap/>
            <w:hideMark/>
          </w:tcPr>
          <w:p w:rsidR="00EA2176" w:rsidRPr="00EA2176" w:rsidRDefault="00EA2176" w:rsidP="00EA2176">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A2176">
              <w:rPr>
                <w:rFonts w:ascii="Calibri" w:eastAsia="Times New Roman" w:hAnsi="Calibri" w:cs="Calibri"/>
                <w:color w:val="000000"/>
                <w:lang w:eastAsia="bg-BG"/>
              </w:rPr>
              <w:t>182 403 509</w:t>
            </w:r>
          </w:p>
        </w:tc>
      </w:tr>
      <w:tr w:rsidR="00EA2176" w:rsidRPr="00EA2176" w:rsidTr="00EA2176">
        <w:trPr>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Финансиране от МФИ и търговски банки при 20% БФП за ФИ</w:t>
            </w:r>
            <w:r w:rsidR="00E3343E">
              <w:rPr>
                <w:rStyle w:val="FootnoteReference"/>
                <w:rFonts w:ascii="Calibri" w:eastAsia="Times New Roman" w:hAnsi="Calibri" w:cs="Calibri"/>
                <w:b w:val="0"/>
                <w:color w:val="000000"/>
                <w:lang w:eastAsia="bg-BG"/>
              </w:rPr>
              <w:footnoteReference w:id="122"/>
            </w:r>
          </w:p>
        </w:tc>
        <w:tc>
          <w:tcPr>
            <w:tcW w:w="1668" w:type="dxa"/>
            <w:noWrap/>
            <w:hideMark/>
          </w:tcPr>
          <w:p w:rsidR="00EA2176" w:rsidRPr="00EA2176" w:rsidRDefault="00EA2176" w:rsidP="00EA217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A2176">
              <w:rPr>
                <w:rFonts w:ascii="Calibri" w:eastAsia="Times New Roman" w:hAnsi="Calibri" w:cs="Calibri"/>
                <w:color w:val="000000"/>
                <w:lang w:eastAsia="bg-BG"/>
              </w:rPr>
              <w:t>972 818 714</w:t>
            </w:r>
          </w:p>
        </w:tc>
      </w:tr>
      <w:tr w:rsidR="00EA2176" w:rsidRPr="00EA2176" w:rsidTr="00EA217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Финансиране от търговски банки при 20%  от ФИ за гаранции</w:t>
            </w:r>
            <w:r w:rsidR="00E3343E">
              <w:rPr>
                <w:rStyle w:val="FootnoteReference"/>
                <w:rFonts w:ascii="Calibri" w:eastAsia="Times New Roman" w:hAnsi="Calibri" w:cs="Calibri"/>
                <w:b w:val="0"/>
                <w:color w:val="000000"/>
                <w:lang w:eastAsia="bg-BG"/>
              </w:rPr>
              <w:footnoteReference w:id="123"/>
            </w:r>
          </w:p>
        </w:tc>
        <w:tc>
          <w:tcPr>
            <w:tcW w:w="1668" w:type="dxa"/>
            <w:noWrap/>
            <w:hideMark/>
          </w:tcPr>
          <w:p w:rsidR="00EA2176" w:rsidRPr="00EA2176" w:rsidRDefault="00EA2176" w:rsidP="00EA2176">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A2176">
              <w:rPr>
                <w:rFonts w:ascii="Calibri" w:eastAsia="Times New Roman" w:hAnsi="Calibri" w:cs="Calibri"/>
                <w:color w:val="000000"/>
                <w:lang w:eastAsia="bg-BG"/>
              </w:rPr>
              <w:t>121 602 339</w:t>
            </w:r>
          </w:p>
        </w:tc>
      </w:tr>
      <w:tr w:rsidR="00EA2176" w:rsidRPr="00EA2176" w:rsidTr="00EA2176">
        <w:trPr>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Финансиране от фонд ФЛАГ</w:t>
            </w:r>
            <w:r w:rsidR="00E3343E">
              <w:rPr>
                <w:rStyle w:val="FootnoteReference"/>
                <w:rFonts w:ascii="Calibri" w:eastAsia="Times New Roman" w:hAnsi="Calibri" w:cs="Calibri"/>
                <w:b w:val="0"/>
                <w:color w:val="000000"/>
                <w:lang w:eastAsia="bg-BG"/>
              </w:rPr>
              <w:footnoteReference w:id="124"/>
            </w:r>
          </w:p>
        </w:tc>
        <w:tc>
          <w:tcPr>
            <w:tcW w:w="1668" w:type="dxa"/>
            <w:noWrap/>
            <w:hideMark/>
          </w:tcPr>
          <w:p w:rsidR="00EA2176" w:rsidRPr="00EA2176" w:rsidRDefault="00EA2176" w:rsidP="00EA217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A2176">
              <w:rPr>
                <w:rFonts w:ascii="Calibri" w:eastAsia="Times New Roman" w:hAnsi="Calibri" w:cs="Calibri"/>
                <w:color w:val="000000"/>
                <w:lang w:eastAsia="bg-BG"/>
              </w:rPr>
              <w:t>100 000 000</w:t>
            </w:r>
          </w:p>
        </w:tc>
      </w:tr>
      <w:tr w:rsidR="00EA2176" w:rsidRPr="00EA2176" w:rsidTr="00EA217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Финансиране от ПУДООС</w:t>
            </w:r>
          </w:p>
        </w:tc>
        <w:tc>
          <w:tcPr>
            <w:tcW w:w="1668" w:type="dxa"/>
            <w:noWrap/>
            <w:hideMark/>
          </w:tcPr>
          <w:p w:rsidR="00EA2176" w:rsidRPr="00EA2176" w:rsidRDefault="00EA2176" w:rsidP="00EA2176">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A2176">
              <w:rPr>
                <w:rFonts w:ascii="Calibri" w:eastAsia="Times New Roman" w:hAnsi="Calibri" w:cs="Calibri"/>
                <w:color w:val="000000"/>
                <w:lang w:eastAsia="bg-BG"/>
              </w:rPr>
              <w:t>105 000 000</w:t>
            </w:r>
          </w:p>
        </w:tc>
      </w:tr>
      <w:tr w:rsidR="00EA2176" w:rsidRPr="00EA2176" w:rsidTr="00EA2176">
        <w:trPr>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Собствен ресурс на крайните бенефициенти</w:t>
            </w:r>
          </w:p>
        </w:tc>
        <w:tc>
          <w:tcPr>
            <w:tcW w:w="1668" w:type="dxa"/>
            <w:noWrap/>
            <w:hideMark/>
          </w:tcPr>
          <w:p w:rsidR="00EA2176" w:rsidRPr="00EA2176" w:rsidRDefault="00EA2176" w:rsidP="00EA217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A2176">
              <w:rPr>
                <w:rFonts w:ascii="Calibri" w:eastAsia="Times New Roman" w:hAnsi="Calibri" w:cs="Calibri"/>
                <w:color w:val="000000"/>
                <w:lang w:eastAsia="bg-BG"/>
              </w:rPr>
              <w:t>437 000 000</w:t>
            </w:r>
          </w:p>
        </w:tc>
      </w:tr>
      <w:tr w:rsidR="00EA2176" w:rsidRPr="00EA2176" w:rsidTr="00EA2176">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b w:val="0"/>
                <w:color w:val="000000"/>
                <w:lang w:eastAsia="bg-BG"/>
              </w:rPr>
            </w:pPr>
            <w:r w:rsidRPr="00EA2176">
              <w:rPr>
                <w:rFonts w:ascii="Calibri" w:eastAsia="Times New Roman" w:hAnsi="Calibri" w:cs="Calibri"/>
                <w:b w:val="0"/>
                <w:color w:val="000000"/>
                <w:lang w:eastAsia="bg-BG"/>
              </w:rPr>
              <w:t>Допълнителен принос от общинските бюджети</w:t>
            </w:r>
          </w:p>
        </w:tc>
        <w:tc>
          <w:tcPr>
            <w:tcW w:w="1668" w:type="dxa"/>
            <w:noWrap/>
            <w:hideMark/>
          </w:tcPr>
          <w:p w:rsidR="00EA2176" w:rsidRPr="00EA2176" w:rsidRDefault="00EA2176" w:rsidP="00EA2176">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A2176">
              <w:rPr>
                <w:rFonts w:ascii="Calibri" w:eastAsia="Times New Roman" w:hAnsi="Calibri" w:cs="Calibri"/>
                <w:color w:val="000000"/>
                <w:lang w:eastAsia="bg-BG"/>
              </w:rPr>
              <w:t>70 000 000</w:t>
            </w:r>
          </w:p>
        </w:tc>
      </w:tr>
      <w:tr w:rsidR="00EA2176" w:rsidRPr="00EA2176" w:rsidTr="00EA2176">
        <w:trPr>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A2176" w:rsidRPr="00EA2176" w:rsidRDefault="00EA2176" w:rsidP="00EA2176">
            <w:pPr>
              <w:rPr>
                <w:rFonts w:ascii="Calibri" w:eastAsia="Times New Roman" w:hAnsi="Calibri" w:cs="Calibri"/>
                <w:color w:val="000000"/>
                <w:lang w:eastAsia="bg-BG"/>
              </w:rPr>
            </w:pPr>
            <w:r w:rsidRPr="00EA2176">
              <w:rPr>
                <w:rFonts w:ascii="Calibri" w:eastAsia="Times New Roman" w:hAnsi="Calibri" w:cs="Calibri"/>
                <w:color w:val="000000"/>
                <w:lang w:eastAsia="bg-BG"/>
              </w:rPr>
              <w:t>Общ размер на инвестиционния портфейл</w:t>
            </w:r>
          </w:p>
        </w:tc>
        <w:tc>
          <w:tcPr>
            <w:tcW w:w="1668" w:type="dxa"/>
            <w:noWrap/>
            <w:hideMark/>
          </w:tcPr>
          <w:p w:rsidR="00EA2176" w:rsidRPr="00EA2176" w:rsidRDefault="00EA2176" w:rsidP="00EA217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color w:val="000000"/>
                <w:lang w:eastAsia="bg-BG"/>
              </w:rPr>
            </w:pPr>
            <w:r w:rsidRPr="00EA2176">
              <w:rPr>
                <w:rFonts w:ascii="Calibri" w:eastAsia="Times New Roman" w:hAnsi="Calibri" w:cs="Calibri"/>
                <w:b/>
                <w:color w:val="000000"/>
                <w:lang w:eastAsia="bg-BG"/>
              </w:rPr>
              <w:t>3 022 444 445</w:t>
            </w:r>
          </w:p>
        </w:tc>
      </w:tr>
    </w:tbl>
    <w:p w:rsidR="00AE7945" w:rsidRDefault="008E4A10" w:rsidP="00AE7945">
      <w:pPr>
        <w:jc w:val="both"/>
      </w:pPr>
      <w:r>
        <w:lastRenderedPageBreak/>
        <w:t>Това означава, че ефектът</w:t>
      </w:r>
      <w:r w:rsidR="00AE7945">
        <w:t xml:space="preserve"> на лоста на финансирането от Кохезионния</w:t>
      </w:r>
      <w:r w:rsidR="00EA2176">
        <w:t xml:space="preserve"> фонд е 1:</w:t>
      </w:r>
      <w:r w:rsidR="00EA2176">
        <w:rPr>
          <w:lang w:val="en-US"/>
        </w:rPr>
        <w:t>~3</w:t>
      </w:r>
      <w:r w:rsidR="00AE7945">
        <w:t xml:space="preserve">, т.е. за всяко евро от ЕСИФ се мобилизират допълнителни </w:t>
      </w:r>
      <w:r w:rsidR="00EA2176">
        <w:rPr>
          <w:lang w:val="en-US"/>
        </w:rPr>
        <w:t>~</w:t>
      </w:r>
      <w:r w:rsidR="00AE7945">
        <w:t>3 евро от други публични или частни източници до нивото на крайния бенефициент.</w:t>
      </w:r>
    </w:p>
    <w:p w:rsidR="00052D29" w:rsidRPr="00F66BD6" w:rsidRDefault="00052D29" w:rsidP="00052D29">
      <w:pPr>
        <w:pStyle w:val="Caption"/>
        <w:spacing w:after="240"/>
        <w:jc w:val="center"/>
        <w:rPr>
          <w:rFonts w:asciiTheme="minorHAnsi" w:hAnsiTheme="minorHAnsi" w:cstheme="minorHAnsi"/>
          <w:sz w:val="22"/>
          <w:szCs w:val="22"/>
        </w:rPr>
      </w:pPr>
      <w:bookmarkStart w:id="161" w:name="_Toc399494660"/>
      <w:r w:rsidRPr="00F66BD6">
        <w:rPr>
          <w:rFonts w:asciiTheme="minorHAnsi" w:hAnsiTheme="minorHAnsi" w:cstheme="minorHAnsi"/>
        </w:rPr>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75</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Pr>
          <w:rFonts w:asciiTheme="minorHAnsi" w:hAnsiTheme="minorHAnsi" w:cstheme="minorHAnsi"/>
        </w:rPr>
        <w:t>Общ инвестиционен портфейл на проектите в сектор Води</w:t>
      </w:r>
      <w:r w:rsidR="00E3343E">
        <w:rPr>
          <w:rFonts w:asciiTheme="minorHAnsi" w:hAnsiTheme="minorHAnsi" w:cstheme="minorHAnsi"/>
        </w:rPr>
        <w:t xml:space="preserve"> при 20% БФП за ФИ</w:t>
      </w:r>
      <w:bookmarkEnd w:id="161"/>
    </w:p>
    <w:p w:rsidR="00052D29" w:rsidRPr="009D2A4E" w:rsidRDefault="00E3343E" w:rsidP="00052D29">
      <w:pPr>
        <w:jc w:val="center"/>
      </w:pPr>
      <w:r>
        <w:rPr>
          <w:noProof/>
          <w:lang w:eastAsia="bg-BG"/>
        </w:rPr>
        <w:drawing>
          <wp:inline distT="0" distB="0" distL="0" distR="0">
            <wp:extent cx="5500355" cy="4429125"/>
            <wp:effectExtent l="19050" t="0" r="5095" b="0"/>
            <wp:docPr id="10"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49" cstate="print"/>
                    <a:srcRect/>
                    <a:stretch>
                      <a:fillRect/>
                    </a:stretch>
                  </pic:blipFill>
                  <pic:spPr bwMode="auto">
                    <a:xfrm>
                      <a:off x="0" y="0"/>
                      <a:ext cx="5500355" cy="4429125"/>
                    </a:xfrm>
                    <a:prstGeom prst="rect">
                      <a:avLst/>
                    </a:prstGeom>
                    <a:noFill/>
                  </pic:spPr>
                </pic:pic>
              </a:graphicData>
            </a:graphic>
          </wp:inline>
        </w:drawing>
      </w:r>
    </w:p>
    <w:p w:rsidR="00E3343E" w:rsidRDefault="00E3343E" w:rsidP="00E3343E">
      <w:pPr>
        <w:jc w:val="both"/>
        <w:rPr>
          <w:lang w:val="en-US"/>
        </w:rPr>
      </w:pPr>
      <w:r>
        <w:t>Общият портфейл на финансиране на проектите във ВиК сектора би имал следната структура при заделени 10% средства от ПО І на ОПОС за финансови инструменти:</w:t>
      </w:r>
    </w:p>
    <w:tbl>
      <w:tblPr>
        <w:tblStyle w:val="LightShading-Accent111"/>
        <w:tblW w:w="8364" w:type="dxa"/>
        <w:jc w:val="center"/>
        <w:tblLook w:val="04A0" w:firstRow="1" w:lastRow="0" w:firstColumn="1" w:lastColumn="0" w:noHBand="0" w:noVBand="1"/>
      </w:tblPr>
      <w:tblGrid>
        <w:gridCol w:w="6696"/>
        <w:gridCol w:w="1668"/>
      </w:tblGrid>
      <w:tr w:rsidR="00E3343E" w:rsidRPr="00E3343E" w:rsidTr="00E3343E">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Финансиране от КФ по ПО І на ОПОС</w:t>
            </w:r>
          </w:p>
        </w:tc>
        <w:tc>
          <w:tcPr>
            <w:tcW w:w="1668" w:type="dxa"/>
            <w:noWrap/>
            <w:hideMark/>
          </w:tcPr>
          <w:p w:rsidR="00E3343E" w:rsidRPr="00E3343E" w:rsidRDefault="00E3343E" w:rsidP="00E3343E">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1 033 619 883</w:t>
            </w:r>
          </w:p>
        </w:tc>
      </w:tr>
      <w:tr w:rsidR="00E3343E" w:rsidRPr="00E3343E" w:rsidTr="00E3343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Национално съ-финансиране по ПО І на ОПОС</w:t>
            </w:r>
          </w:p>
        </w:tc>
        <w:tc>
          <w:tcPr>
            <w:tcW w:w="1668" w:type="dxa"/>
            <w:noWrap/>
            <w:hideMark/>
          </w:tcPr>
          <w:p w:rsidR="00E3343E" w:rsidRPr="00E3343E" w:rsidRDefault="00E3343E" w:rsidP="00E3343E">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3343E">
              <w:rPr>
                <w:rFonts w:ascii="Calibri" w:eastAsia="Times New Roman" w:hAnsi="Calibri" w:cs="Calibri"/>
                <w:color w:val="000000"/>
                <w:lang w:eastAsia="bg-BG"/>
              </w:rPr>
              <w:t>182 403 509</w:t>
            </w:r>
          </w:p>
        </w:tc>
      </w:tr>
      <w:tr w:rsidR="00E3343E" w:rsidRPr="00E3343E" w:rsidTr="00E3343E">
        <w:trPr>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Финансиране от МФИ и търговски банки при 10% БФП за ФИ</w:t>
            </w:r>
          </w:p>
        </w:tc>
        <w:tc>
          <w:tcPr>
            <w:tcW w:w="1668" w:type="dxa"/>
            <w:noWrap/>
            <w:hideMark/>
          </w:tcPr>
          <w:p w:rsidR="00E3343E" w:rsidRPr="00E3343E" w:rsidRDefault="00E3343E" w:rsidP="00E3343E">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3343E">
              <w:rPr>
                <w:rFonts w:ascii="Calibri" w:eastAsia="Times New Roman" w:hAnsi="Calibri" w:cs="Calibri"/>
                <w:color w:val="000000"/>
                <w:lang w:eastAsia="bg-BG"/>
              </w:rPr>
              <w:t>486 409 357</w:t>
            </w:r>
          </w:p>
        </w:tc>
      </w:tr>
      <w:tr w:rsidR="00E3343E" w:rsidRPr="00E3343E" w:rsidTr="00E3343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Финансиране от търговски банки при 20%  от ФИ за гаранции</w:t>
            </w:r>
          </w:p>
        </w:tc>
        <w:tc>
          <w:tcPr>
            <w:tcW w:w="1668" w:type="dxa"/>
            <w:noWrap/>
            <w:hideMark/>
          </w:tcPr>
          <w:p w:rsidR="00E3343E" w:rsidRPr="00E3343E" w:rsidRDefault="00E3343E" w:rsidP="00E3343E">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3343E">
              <w:rPr>
                <w:rFonts w:ascii="Calibri" w:eastAsia="Times New Roman" w:hAnsi="Calibri" w:cs="Calibri"/>
                <w:color w:val="000000"/>
                <w:lang w:eastAsia="bg-BG"/>
              </w:rPr>
              <w:t>121 602 339</w:t>
            </w:r>
          </w:p>
        </w:tc>
      </w:tr>
      <w:tr w:rsidR="00E3343E" w:rsidRPr="00E3343E" w:rsidTr="00E3343E">
        <w:trPr>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Финансиране от фонд ФЛАГ</w:t>
            </w:r>
          </w:p>
        </w:tc>
        <w:tc>
          <w:tcPr>
            <w:tcW w:w="1668" w:type="dxa"/>
            <w:noWrap/>
            <w:hideMark/>
          </w:tcPr>
          <w:p w:rsidR="00E3343E" w:rsidRPr="00E3343E" w:rsidRDefault="00E3343E" w:rsidP="00E3343E">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3343E">
              <w:rPr>
                <w:rFonts w:ascii="Calibri" w:eastAsia="Times New Roman" w:hAnsi="Calibri" w:cs="Calibri"/>
                <w:color w:val="000000"/>
                <w:lang w:eastAsia="bg-BG"/>
              </w:rPr>
              <w:t>100 000 000</w:t>
            </w:r>
          </w:p>
        </w:tc>
      </w:tr>
      <w:tr w:rsidR="00E3343E" w:rsidRPr="00E3343E" w:rsidTr="00E3343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Финансиране от ПУДООС</w:t>
            </w:r>
          </w:p>
        </w:tc>
        <w:tc>
          <w:tcPr>
            <w:tcW w:w="1668" w:type="dxa"/>
            <w:noWrap/>
            <w:hideMark/>
          </w:tcPr>
          <w:p w:rsidR="00E3343E" w:rsidRPr="00E3343E" w:rsidRDefault="00E3343E" w:rsidP="00E3343E">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3343E">
              <w:rPr>
                <w:rFonts w:ascii="Calibri" w:eastAsia="Times New Roman" w:hAnsi="Calibri" w:cs="Calibri"/>
                <w:color w:val="000000"/>
                <w:lang w:eastAsia="bg-BG"/>
              </w:rPr>
              <w:t>105 000 000</w:t>
            </w:r>
          </w:p>
        </w:tc>
      </w:tr>
      <w:tr w:rsidR="00E3343E" w:rsidRPr="00E3343E" w:rsidTr="00E3343E">
        <w:trPr>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Собствен ресурс на крайните бенефициенти</w:t>
            </w:r>
          </w:p>
        </w:tc>
        <w:tc>
          <w:tcPr>
            <w:tcW w:w="1668" w:type="dxa"/>
            <w:noWrap/>
            <w:hideMark/>
          </w:tcPr>
          <w:p w:rsidR="00E3343E" w:rsidRPr="00E3343E" w:rsidRDefault="00E3343E" w:rsidP="00E3343E">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E3343E">
              <w:rPr>
                <w:rFonts w:ascii="Calibri" w:eastAsia="Times New Roman" w:hAnsi="Calibri" w:cs="Calibri"/>
                <w:color w:val="000000"/>
                <w:lang w:eastAsia="bg-BG"/>
              </w:rPr>
              <w:t>437 000 000</w:t>
            </w:r>
          </w:p>
        </w:tc>
      </w:tr>
      <w:tr w:rsidR="00E3343E" w:rsidRPr="00E3343E" w:rsidTr="00E3343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b w:val="0"/>
                <w:color w:val="000000"/>
                <w:lang w:eastAsia="bg-BG"/>
              </w:rPr>
            </w:pPr>
            <w:r w:rsidRPr="00E3343E">
              <w:rPr>
                <w:rFonts w:ascii="Calibri" w:eastAsia="Times New Roman" w:hAnsi="Calibri" w:cs="Calibri"/>
                <w:b w:val="0"/>
                <w:color w:val="000000"/>
                <w:lang w:eastAsia="bg-BG"/>
              </w:rPr>
              <w:t>Допълнителен принос от общинските бюджети</w:t>
            </w:r>
          </w:p>
        </w:tc>
        <w:tc>
          <w:tcPr>
            <w:tcW w:w="1668" w:type="dxa"/>
            <w:noWrap/>
            <w:hideMark/>
          </w:tcPr>
          <w:p w:rsidR="00E3343E" w:rsidRPr="00E3343E" w:rsidRDefault="00E3343E" w:rsidP="00E3343E">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E3343E">
              <w:rPr>
                <w:rFonts w:ascii="Calibri" w:eastAsia="Times New Roman" w:hAnsi="Calibri" w:cs="Calibri"/>
                <w:color w:val="000000"/>
                <w:lang w:eastAsia="bg-BG"/>
              </w:rPr>
              <w:t>70 000 000</w:t>
            </w:r>
          </w:p>
        </w:tc>
      </w:tr>
      <w:tr w:rsidR="00E3343E" w:rsidRPr="00E3343E" w:rsidTr="00E3343E">
        <w:trPr>
          <w:trHeight w:val="300"/>
          <w:jc w:val="center"/>
        </w:trPr>
        <w:tc>
          <w:tcPr>
            <w:cnfStyle w:val="001000000000" w:firstRow="0" w:lastRow="0" w:firstColumn="1" w:lastColumn="0" w:oddVBand="0" w:evenVBand="0" w:oddHBand="0" w:evenHBand="0" w:firstRowFirstColumn="0" w:firstRowLastColumn="0" w:lastRowFirstColumn="0" w:lastRowLastColumn="0"/>
            <w:tcW w:w="6696" w:type="dxa"/>
            <w:noWrap/>
            <w:hideMark/>
          </w:tcPr>
          <w:p w:rsidR="00E3343E" w:rsidRPr="00E3343E" w:rsidRDefault="00E3343E" w:rsidP="00E3343E">
            <w:pPr>
              <w:rPr>
                <w:rFonts w:ascii="Calibri" w:eastAsia="Times New Roman" w:hAnsi="Calibri" w:cs="Calibri"/>
                <w:color w:val="000000"/>
                <w:lang w:eastAsia="bg-BG"/>
              </w:rPr>
            </w:pPr>
            <w:r w:rsidRPr="00E3343E">
              <w:rPr>
                <w:rFonts w:ascii="Calibri" w:eastAsia="Times New Roman" w:hAnsi="Calibri" w:cs="Calibri"/>
                <w:color w:val="000000"/>
                <w:lang w:eastAsia="bg-BG"/>
              </w:rPr>
              <w:t>Общ размер на инвестиционния портфейл</w:t>
            </w:r>
            <w:r w:rsidR="00B94CAA">
              <w:rPr>
                <w:rStyle w:val="FootnoteReference"/>
                <w:rFonts w:ascii="Calibri" w:eastAsia="Times New Roman" w:hAnsi="Calibri" w:cs="Calibri"/>
                <w:color w:val="000000"/>
                <w:lang w:eastAsia="bg-BG"/>
              </w:rPr>
              <w:footnoteReference w:id="125"/>
            </w:r>
          </w:p>
        </w:tc>
        <w:tc>
          <w:tcPr>
            <w:tcW w:w="1668" w:type="dxa"/>
            <w:noWrap/>
            <w:hideMark/>
          </w:tcPr>
          <w:p w:rsidR="00E3343E" w:rsidRPr="00E3343E" w:rsidRDefault="00E3343E" w:rsidP="00E3343E">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color w:val="000000"/>
                <w:lang w:eastAsia="bg-BG"/>
              </w:rPr>
            </w:pPr>
            <w:r w:rsidRPr="00E3343E">
              <w:rPr>
                <w:rFonts w:ascii="Calibri" w:eastAsia="Times New Roman" w:hAnsi="Calibri" w:cs="Calibri"/>
                <w:b/>
                <w:color w:val="000000"/>
                <w:lang w:eastAsia="bg-BG"/>
              </w:rPr>
              <w:t>2 536 035 088</w:t>
            </w:r>
          </w:p>
        </w:tc>
      </w:tr>
    </w:tbl>
    <w:p w:rsidR="00E3343E" w:rsidRDefault="00E3343E" w:rsidP="00052D29">
      <w:pPr>
        <w:jc w:val="both"/>
      </w:pPr>
    </w:p>
    <w:p w:rsidR="00E3343E" w:rsidRDefault="00E3343E" w:rsidP="00E3343E">
      <w:pPr>
        <w:jc w:val="both"/>
      </w:pPr>
      <w:r>
        <w:t>В този случай</w:t>
      </w:r>
      <w:r w:rsidRPr="00E3343E">
        <w:t xml:space="preserve"> </w:t>
      </w:r>
      <w:r>
        <w:t>ефектът на лоста на финансирането от Кохезионния фонд е 1:</w:t>
      </w:r>
      <w:r>
        <w:rPr>
          <w:lang w:val="en-US"/>
        </w:rPr>
        <w:t>~</w:t>
      </w:r>
      <w:r>
        <w:t xml:space="preserve">2,5, т.е. за всяко евро от ЕСИФ се мобилизират допълнителни </w:t>
      </w:r>
      <w:r>
        <w:rPr>
          <w:lang w:val="en-US"/>
        </w:rPr>
        <w:t>~</w:t>
      </w:r>
      <w:r>
        <w:t>2,5 евро от други публични или частни източници до нивото на крайния бенефициент.</w:t>
      </w:r>
    </w:p>
    <w:p w:rsidR="00E3343E" w:rsidRPr="00F66BD6" w:rsidRDefault="00E3343E" w:rsidP="00E3343E">
      <w:pPr>
        <w:pStyle w:val="Caption"/>
        <w:spacing w:after="240"/>
        <w:jc w:val="center"/>
        <w:rPr>
          <w:rFonts w:asciiTheme="minorHAnsi" w:hAnsiTheme="minorHAnsi" w:cstheme="minorHAnsi"/>
          <w:sz w:val="22"/>
          <w:szCs w:val="22"/>
        </w:rPr>
      </w:pPr>
      <w:bookmarkStart w:id="162" w:name="_Toc399494661"/>
      <w:r w:rsidRPr="00F66BD6">
        <w:rPr>
          <w:rFonts w:asciiTheme="minorHAnsi" w:hAnsiTheme="minorHAnsi" w:cstheme="minorHAnsi"/>
        </w:rPr>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76</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Pr>
          <w:rFonts w:asciiTheme="minorHAnsi" w:hAnsiTheme="minorHAnsi" w:cstheme="minorHAnsi"/>
        </w:rPr>
        <w:t>Общ инвестиционен портфейл на проектите в сектор Води при 10% БФП за ФИ</w:t>
      </w:r>
      <w:bookmarkEnd w:id="162"/>
    </w:p>
    <w:p w:rsidR="00E3343E" w:rsidRPr="00E3343E" w:rsidRDefault="00E3343E" w:rsidP="00052D29">
      <w:pPr>
        <w:jc w:val="both"/>
      </w:pPr>
      <w:r>
        <w:rPr>
          <w:noProof/>
          <w:lang w:eastAsia="bg-BG"/>
        </w:rPr>
        <w:drawing>
          <wp:inline distT="0" distB="0" distL="0" distR="0">
            <wp:extent cx="5381625" cy="4736636"/>
            <wp:effectExtent l="19050" t="0" r="9525" b="0"/>
            <wp:docPr id="22"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50" cstate="print"/>
                    <a:srcRect/>
                    <a:stretch>
                      <a:fillRect/>
                    </a:stretch>
                  </pic:blipFill>
                  <pic:spPr bwMode="auto">
                    <a:xfrm>
                      <a:off x="0" y="0"/>
                      <a:ext cx="5381625" cy="4736636"/>
                    </a:xfrm>
                    <a:prstGeom prst="rect">
                      <a:avLst/>
                    </a:prstGeom>
                    <a:noFill/>
                  </pic:spPr>
                </pic:pic>
              </a:graphicData>
            </a:graphic>
          </wp:inline>
        </w:drawing>
      </w:r>
    </w:p>
    <w:p w:rsidR="00052D29" w:rsidRDefault="00052D29" w:rsidP="00052D29">
      <w:pPr>
        <w:jc w:val="both"/>
      </w:pPr>
      <w:r w:rsidRPr="00052D29">
        <w:t xml:space="preserve">Както </w:t>
      </w:r>
      <w:r>
        <w:t>е видно от график</w:t>
      </w:r>
      <w:r w:rsidR="00B94CAA">
        <w:t>ите по-горе</w:t>
      </w:r>
      <w:r>
        <w:t>, най-голям дял в структурата на финансиране извън финансирането от ОПОС имат международните финансови институции и собственият ресурс на ВиК дружествата.</w:t>
      </w:r>
    </w:p>
    <w:p w:rsidR="00B94CAA" w:rsidRDefault="00B94CAA" w:rsidP="00052D29">
      <w:pPr>
        <w:spacing w:before="240"/>
        <w:jc w:val="both"/>
        <w:rPr>
          <w:rFonts w:cstheme="minorHAnsi"/>
          <w:b/>
          <w:i/>
          <w:color w:val="2E74B5" w:themeColor="accent1" w:themeShade="BF"/>
        </w:rPr>
      </w:pPr>
    </w:p>
    <w:p w:rsidR="00052D29" w:rsidRPr="00AE7945" w:rsidRDefault="00052D29" w:rsidP="00052D29">
      <w:pPr>
        <w:spacing w:before="240"/>
        <w:jc w:val="both"/>
        <w:rPr>
          <w:rFonts w:cstheme="minorHAnsi"/>
          <w:b/>
          <w:i/>
          <w:color w:val="2E74B5" w:themeColor="accent1" w:themeShade="BF"/>
        </w:rPr>
      </w:pPr>
      <w:r w:rsidRPr="00AE7945">
        <w:rPr>
          <w:rFonts w:cstheme="minorHAnsi"/>
          <w:b/>
          <w:i/>
          <w:color w:val="2E74B5" w:themeColor="accent1" w:themeShade="BF"/>
        </w:rPr>
        <w:t xml:space="preserve">Сектор </w:t>
      </w:r>
      <w:r>
        <w:rPr>
          <w:rFonts w:cstheme="minorHAnsi"/>
          <w:b/>
          <w:i/>
          <w:color w:val="2E74B5" w:themeColor="accent1" w:themeShade="BF"/>
        </w:rPr>
        <w:t>Отпадъци</w:t>
      </w:r>
    </w:p>
    <w:p w:rsidR="00052D29" w:rsidRDefault="00052D29" w:rsidP="00052D29">
      <w:pPr>
        <w:jc w:val="both"/>
      </w:pPr>
      <w:r>
        <w:t>Общият портфейл на финансиране на проектите сектор отпадъци би имал следната структура при заделени 20% средства от ПО ІІ на ОПОС за финансови инструменти:</w:t>
      </w:r>
    </w:p>
    <w:p w:rsidR="00B94CAA" w:rsidRDefault="00B94CAA" w:rsidP="00052D29">
      <w:pPr>
        <w:jc w:val="both"/>
      </w:pPr>
    </w:p>
    <w:tbl>
      <w:tblPr>
        <w:tblStyle w:val="LightShading-Accent11"/>
        <w:tblW w:w="8755" w:type="dxa"/>
        <w:jc w:val="center"/>
        <w:tblLook w:val="04A0" w:firstRow="1" w:lastRow="0" w:firstColumn="1" w:lastColumn="0" w:noHBand="0" w:noVBand="1"/>
      </w:tblPr>
      <w:tblGrid>
        <w:gridCol w:w="7156"/>
        <w:gridCol w:w="1599"/>
      </w:tblGrid>
      <w:tr w:rsidR="00B94CAA" w:rsidRPr="00B94CAA" w:rsidTr="00B94CAA">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156" w:type="dxa"/>
            <w:noWrap/>
            <w:hideMark/>
          </w:tcPr>
          <w:p w:rsidR="00B94CAA" w:rsidRPr="00B94CAA" w:rsidRDefault="00B94CAA" w:rsidP="00B94CAA">
            <w:pPr>
              <w:rPr>
                <w:rFonts w:ascii="Calibri" w:eastAsia="Times New Roman" w:hAnsi="Calibri" w:cs="Calibri"/>
                <w:b w:val="0"/>
                <w:color w:val="000000"/>
                <w:lang w:eastAsia="bg-BG"/>
              </w:rPr>
            </w:pPr>
            <w:r w:rsidRPr="00B94CAA">
              <w:rPr>
                <w:rFonts w:ascii="Calibri" w:eastAsia="Times New Roman" w:hAnsi="Calibri" w:cs="Calibri"/>
                <w:b w:val="0"/>
                <w:color w:val="000000"/>
                <w:lang w:eastAsia="bg-BG"/>
              </w:rPr>
              <w:lastRenderedPageBreak/>
              <w:t>Финансиране от ЕФРР по ПО ІІ на ОПОС</w:t>
            </w:r>
          </w:p>
        </w:tc>
        <w:tc>
          <w:tcPr>
            <w:tcW w:w="1599" w:type="dxa"/>
            <w:noWrap/>
            <w:hideMark/>
          </w:tcPr>
          <w:p w:rsidR="00B94CAA" w:rsidRPr="00B94CAA" w:rsidRDefault="00B94CAA" w:rsidP="00B94CAA">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color w:val="000000"/>
                <w:lang w:eastAsia="bg-BG"/>
              </w:rPr>
            </w:pPr>
            <w:r w:rsidRPr="00B94CAA">
              <w:rPr>
                <w:rFonts w:ascii="Calibri" w:eastAsia="Times New Roman" w:hAnsi="Calibri" w:cs="Calibri"/>
                <w:b w:val="0"/>
                <w:color w:val="000000"/>
                <w:lang w:eastAsia="bg-BG"/>
              </w:rPr>
              <w:t>219 005 009</w:t>
            </w:r>
          </w:p>
        </w:tc>
      </w:tr>
      <w:tr w:rsidR="00B94CAA" w:rsidRPr="00B94CAA" w:rsidTr="00B94CAA">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156" w:type="dxa"/>
            <w:noWrap/>
            <w:hideMark/>
          </w:tcPr>
          <w:p w:rsidR="00B94CAA" w:rsidRPr="00B94CAA" w:rsidRDefault="00B94CAA" w:rsidP="00B94CAA">
            <w:pPr>
              <w:rPr>
                <w:rFonts w:ascii="Calibri" w:eastAsia="Times New Roman" w:hAnsi="Calibri" w:cs="Calibri"/>
                <w:b w:val="0"/>
                <w:color w:val="000000"/>
                <w:lang w:eastAsia="bg-BG"/>
              </w:rPr>
            </w:pPr>
            <w:r w:rsidRPr="00B94CAA">
              <w:rPr>
                <w:rFonts w:ascii="Calibri" w:eastAsia="Times New Roman" w:hAnsi="Calibri" w:cs="Calibri"/>
                <w:b w:val="0"/>
                <w:color w:val="000000"/>
                <w:lang w:eastAsia="bg-BG"/>
              </w:rPr>
              <w:t>Национално съ-финансиране по ПО ІІ на ОПОС</w:t>
            </w:r>
          </w:p>
        </w:tc>
        <w:tc>
          <w:tcPr>
            <w:tcW w:w="1599" w:type="dxa"/>
            <w:noWrap/>
            <w:hideMark/>
          </w:tcPr>
          <w:p w:rsidR="00B94CAA" w:rsidRPr="00B94CAA" w:rsidRDefault="00B94CAA" w:rsidP="00B94CA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B94CAA">
              <w:rPr>
                <w:rFonts w:ascii="Calibri" w:eastAsia="Times New Roman" w:hAnsi="Calibri" w:cs="Calibri"/>
                <w:color w:val="000000"/>
                <w:lang w:eastAsia="bg-BG"/>
              </w:rPr>
              <w:t>38 647 943</w:t>
            </w:r>
          </w:p>
        </w:tc>
      </w:tr>
      <w:tr w:rsidR="00B94CAA" w:rsidRPr="00B94CAA" w:rsidTr="00B94CAA">
        <w:trPr>
          <w:trHeight w:val="300"/>
          <w:jc w:val="center"/>
        </w:trPr>
        <w:tc>
          <w:tcPr>
            <w:cnfStyle w:val="001000000000" w:firstRow="0" w:lastRow="0" w:firstColumn="1" w:lastColumn="0" w:oddVBand="0" w:evenVBand="0" w:oddHBand="0" w:evenHBand="0" w:firstRowFirstColumn="0" w:firstRowLastColumn="0" w:lastRowFirstColumn="0" w:lastRowLastColumn="0"/>
            <w:tcW w:w="7156" w:type="dxa"/>
            <w:noWrap/>
            <w:hideMark/>
          </w:tcPr>
          <w:p w:rsidR="00B94CAA" w:rsidRPr="00B94CAA" w:rsidRDefault="00B94CAA" w:rsidP="00B94CAA">
            <w:pPr>
              <w:rPr>
                <w:rFonts w:ascii="Calibri" w:eastAsia="Times New Roman" w:hAnsi="Calibri" w:cs="Calibri"/>
                <w:b w:val="0"/>
                <w:color w:val="000000"/>
                <w:lang w:eastAsia="bg-BG"/>
              </w:rPr>
            </w:pPr>
            <w:r w:rsidRPr="00B94CAA">
              <w:rPr>
                <w:rFonts w:ascii="Calibri" w:eastAsia="Times New Roman" w:hAnsi="Calibri" w:cs="Calibri"/>
                <w:b w:val="0"/>
                <w:color w:val="000000"/>
                <w:lang w:eastAsia="bg-BG"/>
              </w:rPr>
              <w:t>Финансиране от МФИ и търговски банки при 20% БФП за ФИ</w:t>
            </w:r>
            <w:r>
              <w:rPr>
                <w:rStyle w:val="FootnoteReference"/>
                <w:rFonts w:ascii="Calibri" w:eastAsia="Times New Roman" w:hAnsi="Calibri" w:cs="Calibri"/>
                <w:b w:val="0"/>
                <w:color w:val="000000"/>
                <w:lang w:eastAsia="bg-BG"/>
              </w:rPr>
              <w:footnoteReference w:id="126"/>
            </w:r>
          </w:p>
        </w:tc>
        <w:tc>
          <w:tcPr>
            <w:tcW w:w="1599" w:type="dxa"/>
            <w:noWrap/>
            <w:hideMark/>
          </w:tcPr>
          <w:p w:rsidR="00B94CAA" w:rsidRPr="00B94CAA" w:rsidRDefault="00B94CAA" w:rsidP="00B94CAA">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B94CAA">
              <w:rPr>
                <w:rFonts w:ascii="Calibri" w:eastAsia="Times New Roman" w:hAnsi="Calibri" w:cs="Calibri"/>
                <w:color w:val="000000"/>
                <w:lang w:eastAsia="bg-BG"/>
              </w:rPr>
              <w:t>257 652 952</w:t>
            </w:r>
          </w:p>
        </w:tc>
      </w:tr>
      <w:tr w:rsidR="00B94CAA" w:rsidRPr="00B94CAA" w:rsidTr="00B94CAA">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156" w:type="dxa"/>
            <w:noWrap/>
            <w:hideMark/>
          </w:tcPr>
          <w:p w:rsidR="00B94CAA" w:rsidRPr="00B94CAA" w:rsidRDefault="00B94CAA" w:rsidP="00B94CAA">
            <w:pPr>
              <w:rPr>
                <w:rFonts w:ascii="Calibri" w:eastAsia="Times New Roman" w:hAnsi="Calibri" w:cs="Calibri"/>
                <w:b w:val="0"/>
                <w:color w:val="000000"/>
                <w:lang w:eastAsia="bg-BG"/>
              </w:rPr>
            </w:pPr>
            <w:r w:rsidRPr="00B94CAA">
              <w:rPr>
                <w:rFonts w:ascii="Calibri" w:eastAsia="Times New Roman" w:hAnsi="Calibri" w:cs="Calibri"/>
                <w:b w:val="0"/>
                <w:color w:val="000000"/>
                <w:lang w:eastAsia="bg-BG"/>
              </w:rPr>
              <w:t>Финансиране от фонд ФЛАГ</w:t>
            </w:r>
            <w:r>
              <w:rPr>
                <w:rStyle w:val="FootnoteReference"/>
                <w:rFonts w:ascii="Calibri" w:eastAsia="Times New Roman" w:hAnsi="Calibri" w:cs="Calibri"/>
                <w:b w:val="0"/>
                <w:color w:val="000000"/>
                <w:lang w:eastAsia="bg-BG"/>
              </w:rPr>
              <w:footnoteReference w:id="127"/>
            </w:r>
          </w:p>
        </w:tc>
        <w:tc>
          <w:tcPr>
            <w:tcW w:w="1599" w:type="dxa"/>
            <w:noWrap/>
            <w:hideMark/>
          </w:tcPr>
          <w:p w:rsidR="00B94CAA" w:rsidRPr="00B94CAA" w:rsidRDefault="00B94CAA" w:rsidP="00B94CA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B94CAA">
              <w:rPr>
                <w:rFonts w:ascii="Calibri" w:eastAsia="Times New Roman" w:hAnsi="Calibri" w:cs="Calibri"/>
                <w:color w:val="000000"/>
                <w:lang w:eastAsia="bg-BG"/>
              </w:rPr>
              <w:t>15 000 000</w:t>
            </w:r>
          </w:p>
        </w:tc>
      </w:tr>
      <w:tr w:rsidR="00B94CAA" w:rsidRPr="00B94CAA" w:rsidTr="00B94CAA">
        <w:trPr>
          <w:trHeight w:val="300"/>
          <w:jc w:val="center"/>
        </w:trPr>
        <w:tc>
          <w:tcPr>
            <w:cnfStyle w:val="001000000000" w:firstRow="0" w:lastRow="0" w:firstColumn="1" w:lastColumn="0" w:oddVBand="0" w:evenVBand="0" w:oddHBand="0" w:evenHBand="0" w:firstRowFirstColumn="0" w:firstRowLastColumn="0" w:lastRowFirstColumn="0" w:lastRowLastColumn="0"/>
            <w:tcW w:w="7156" w:type="dxa"/>
            <w:noWrap/>
            <w:hideMark/>
          </w:tcPr>
          <w:p w:rsidR="00B94CAA" w:rsidRPr="00B94CAA" w:rsidRDefault="00B94CAA" w:rsidP="00B94CAA">
            <w:pPr>
              <w:rPr>
                <w:rFonts w:ascii="Calibri" w:eastAsia="Times New Roman" w:hAnsi="Calibri" w:cs="Calibri"/>
                <w:b w:val="0"/>
                <w:color w:val="000000"/>
                <w:lang w:eastAsia="bg-BG"/>
              </w:rPr>
            </w:pPr>
            <w:r w:rsidRPr="00B94CAA">
              <w:rPr>
                <w:rFonts w:ascii="Calibri" w:eastAsia="Times New Roman" w:hAnsi="Calibri" w:cs="Calibri"/>
                <w:b w:val="0"/>
                <w:color w:val="000000"/>
                <w:lang w:eastAsia="bg-BG"/>
              </w:rPr>
              <w:t>Финансиране от ПУДООС</w:t>
            </w:r>
          </w:p>
        </w:tc>
        <w:tc>
          <w:tcPr>
            <w:tcW w:w="1599" w:type="dxa"/>
            <w:noWrap/>
            <w:hideMark/>
          </w:tcPr>
          <w:p w:rsidR="00B94CAA" w:rsidRPr="00B94CAA" w:rsidRDefault="00B94CAA" w:rsidP="00B94CAA">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bg-BG"/>
              </w:rPr>
            </w:pPr>
            <w:r w:rsidRPr="00B94CAA">
              <w:rPr>
                <w:rFonts w:ascii="Calibri" w:eastAsia="Times New Roman" w:hAnsi="Calibri" w:cs="Calibri"/>
                <w:color w:val="000000"/>
                <w:lang w:eastAsia="bg-BG"/>
              </w:rPr>
              <w:t>15 000 000</w:t>
            </w:r>
          </w:p>
        </w:tc>
      </w:tr>
      <w:tr w:rsidR="00B94CAA" w:rsidRPr="00B94CAA" w:rsidTr="00B94CAA">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7156" w:type="dxa"/>
            <w:noWrap/>
            <w:hideMark/>
          </w:tcPr>
          <w:p w:rsidR="00B94CAA" w:rsidRPr="00B94CAA" w:rsidRDefault="00B94CAA" w:rsidP="00B94CAA">
            <w:pPr>
              <w:rPr>
                <w:rFonts w:ascii="Calibri" w:eastAsia="Times New Roman" w:hAnsi="Calibri" w:cs="Calibri"/>
                <w:b w:val="0"/>
                <w:color w:val="000000"/>
                <w:lang w:eastAsia="bg-BG"/>
              </w:rPr>
            </w:pPr>
            <w:r w:rsidRPr="00B94CAA">
              <w:rPr>
                <w:rFonts w:ascii="Calibri" w:eastAsia="Times New Roman" w:hAnsi="Calibri" w:cs="Calibri"/>
                <w:b w:val="0"/>
                <w:color w:val="000000"/>
                <w:lang w:eastAsia="bg-BG"/>
              </w:rPr>
              <w:t>Собствен ресурс на крайните бенефициенти</w:t>
            </w:r>
          </w:p>
        </w:tc>
        <w:tc>
          <w:tcPr>
            <w:tcW w:w="1599" w:type="dxa"/>
            <w:noWrap/>
            <w:hideMark/>
          </w:tcPr>
          <w:p w:rsidR="00B94CAA" w:rsidRPr="00B94CAA" w:rsidRDefault="00B94CAA" w:rsidP="00B94CAA">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bg-BG"/>
              </w:rPr>
            </w:pPr>
            <w:r w:rsidRPr="00B94CAA">
              <w:rPr>
                <w:rFonts w:ascii="Calibri" w:eastAsia="Times New Roman" w:hAnsi="Calibri" w:cs="Calibri"/>
                <w:color w:val="000000"/>
                <w:lang w:eastAsia="bg-BG"/>
              </w:rPr>
              <w:t>25 000 000</w:t>
            </w:r>
          </w:p>
        </w:tc>
      </w:tr>
      <w:tr w:rsidR="00B94CAA" w:rsidRPr="00B94CAA" w:rsidTr="00B94CAA">
        <w:trPr>
          <w:trHeight w:val="300"/>
          <w:jc w:val="center"/>
        </w:trPr>
        <w:tc>
          <w:tcPr>
            <w:cnfStyle w:val="001000000000" w:firstRow="0" w:lastRow="0" w:firstColumn="1" w:lastColumn="0" w:oddVBand="0" w:evenVBand="0" w:oddHBand="0" w:evenHBand="0" w:firstRowFirstColumn="0" w:firstRowLastColumn="0" w:lastRowFirstColumn="0" w:lastRowLastColumn="0"/>
            <w:tcW w:w="7156" w:type="dxa"/>
            <w:noWrap/>
            <w:hideMark/>
          </w:tcPr>
          <w:p w:rsidR="00B94CAA" w:rsidRPr="00B94CAA" w:rsidRDefault="00B94CAA" w:rsidP="00B94CAA">
            <w:pPr>
              <w:rPr>
                <w:rFonts w:ascii="Calibri" w:eastAsia="Times New Roman" w:hAnsi="Calibri" w:cs="Calibri"/>
                <w:color w:val="000000"/>
                <w:lang w:eastAsia="bg-BG"/>
              </w:rPr>
            </w:pPr>
            <w:r w:rsidRPr="00B94CAA">
              <w:rPr>
                <w:rFonts w:ascii="Calibri" w:eastAsia="Times New Roman" w:hAnsi="Calibri" w:cs="Calibri"/>
                <w:color w:val="000000"/>
                <w:lang w:eastAsia="bg-BG"/>
              </w:rPr>
              <w:t>Общ размер на инвестиционния портфейл</w:t>
            </w:r>
          </w:p>
        </w:tc>
        <w:tc>
          <w:tcPr>
            <w:tcW w:w="1599" w:type="dxa"/>
            <w:noWrap/>
            <w:hideMark/>
          </w:tcPr>
          <w:p w:rsidR="00B94CAA" w:rsidRPr="00B94CAA" w:rsidRDefault="00B94CAA" w:rsidP="00B94CAA">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color w:val="000000"/>
                <w:lang w:eastAsia="bg-BG"/>
              </w:rPr>
            </w:pPr>
            <w:r w:rsidRPr="00B94CAA">
              <w:rPr>
                <w:rFonts w:ascii="Calibri" w:eastAsia="Times New Roman" w:hAnsi="Calibri" w:cs="Calibri"/>
                <w:b/>
                <w:color w:val="000000"/>
                <w:lang w:eastAsia="bg-BG"/>
              </w:rPr>
              <w:t>570 305 904</w:t>
            </w:r>
          </w:p>
        </w:tc>
      </w:tr>
    </w:tbl>
    <w:p w:rsidR="00B94CAA" w:rsidRDefault="00B94CAA" w:rsidP="00052D29">
      <w:pPr>
        <w:jc w:val="both"/>
      </w:pPr>
    </w:p>
    <w:p w:rsidR="00052D29" w:rsidRDefault="003549DD" w:rsidP="00052D29">
      <w:pPr>
        <w:jc w:val="both"/>
      </w:pPr>
      <w:r>
        <w:t>Това означава, че ефектът</w:t>
      </w:r>
      <w:r w:rsidR="00052D29">
        <w:t xml:space="preserve"> на лоста на финансирането от ЕФРР е 1:</w:t>
      </w:r>
      <w:r w:rsidR="00B94CAA">
        <w:t>~2,5</w:t>
      </w:r>
      <w:r w:rsidR="00052D29">
        <w:t xml:space="preserve">, т.е. за всяко евро от ЕСИФ се мобилизират допълнителни </w:t>
      </w:r>
      <w:r w:rsidR="00B94CAA">
        <w:t>~2,5</w:t>
      </w:r>
      <w:r w:rsidR="00052D29">
        <w:t xml:space="preserve"> евро от други публични или частни източници до нивото на крайния бенефициент.</w:t>
      </w:r>
    </w:p>
    <w:p w:rsidR="00052D29" w:rsidRDefault="00052D29" w:rsidP="00052D29">
      <w:pPr>
        <w:pStyle w:val="Caption"/>
        <w:spacing w:after="240"/>
        <w:jc w:val="center"/>
        <w:rPr>
          <w:rFonts w:asciiTheme="minorHAnsi" w:hAnsiTheme="minorHAnsi" w:cstheme="minorHAnsi"/>
        </w:rPr>
      </w:pPr>
      <w:bookmarkStart w:id="163" w:name="_Toc399494662"/>
      <w:r w:rsidRPr="00F66BD6">
        <w:rPr>
          <w:rFonts w:asciiTheme="minorHAnsi" w:hAnsiTheme="minorHAnsi" w:cstheme="minorHAnsi"/>
        </w:rPr>
        <w:t xml:space="preserve">Фигура </w:t>
      </w:r>
      <w:r w:rsidR="008E6461" w:rsidRPr="00F66BD6">
        <w:rPr>
          <w:rFonts w:asciiTheme="minorHAnsi" w:hAnsiTheme="minorHAnsi" w:cstheme="minorHAnsi"/>
        </w:rPr>
        <w:fldChar w:fldCharType="begin"/>
      </w:r>
      <w:r w:rsidRPr="00F66BD6">
        <w:rPr>
          <w:rFonts w:asciiTheme="minorHAnsi" w:hAnsiTheme="minorHAnsi" w:cstheme="minorHAnsi"/>
        </w:rPr>
        <w:instrText xml:space="preserve"> SEQ фигура \* ARABIC </w:instrText>
      </w:r>
      <w:r w:rsidR="008E6461" w:rsidRPr="00F66BD6">
        <w:rPr>
          <w:rFonts w:asciiTheme="minorHAnsi" w:hAnsiTheme="minorHAnsi" w:cstheme="minorHAnsi"/>
        </w:rPr>
        <w:fldChar w:fldCharType="separate"/>
      </w:r>
      <w:r w:rsidR="003A69A7">
        <w:rPr>
          <w:rFonts w:asciiTheme="minorHAnsi" w:hAnsiTheme="minorHAnsi" w:cstheme="minorHAnsi"/>
          <w:noProof/>
        </w:rPr>
        <w:t>77</w:t>
      </w:r>
      <w:r w:rsidR="008E6461" w:rsidRPr="00F66BD6">
        <w:rPr>
          <w:rFonts w:asciiTheme="minorHAnsi" w:hAnsiTheme="minorHAnsi" w:cstheme="minorHAnsi"/>
        </w:rPr>
        <w:fldChar w:fldCharType="end"/>
      </w:r>
      <w:r>
        <w:rPr>
          <w:rFonts w:asciiTheme="minorHAnsi" w:hAnsiTheme="minorHAnsi" w:cstheme="minorHAnsi"/>
        </w:rPr>
        <w:t>:</w:t>
      </w:r>
      <w:r w:rsidRPr="00F66BD6">
        <w:rPr>
          <w:rFonts w:asciiTheme="minorHAnsi" w:hAnsiTheme="minorHAnsi" w:cstheme="minorHAnsi"/>
        </w:rPr>
        <w:t xml:space="preserve"> </w:t>
      </w:r>
      <w:r>
        <w:rPr>
          <w:rFonts w:asciiTheme="minorHAnsi" w:hAnsiTheme="minorHAnsi" w:cstheme="minorHAnsi"/>
        </w:rPr>
        <w:t>Общ инвестиционен портфейл на проектите в сектор Отпадъци</w:t>
      </w:r>
      <w:bookmarkEnd w:id="163"/>
    </w:p>
    <w:p w:rsidR="00052D29" w:rsidRPr="00052D29" w:rsidRDefault="00B94CAA" w:rsidP="00161E7F">
      <w:pPr>
        <w:jc w:val="center"/>
        <w:rPr>
          <w:lang w:eastAsia="bg-BG"/>
        </w:rPr>
      </w:pPr>
      <w:r>
        <w:rPr>
          <w:noProof/>
          <w:lang w:eastAsia="bg-BG"/>
        </w:rPr>
        <w:drawing>
          <wp:inline distT="0" distB="0" distL="0" distR="0">
            <wp:extent cx="5231300" cy="4210050"/>
            <wp:effectExtent l="19050" t="0" r="7450" b="0"/>
            <wp:docPr id="226"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1" cstate="print"/>
                    <a:srcRect/>
                    <a:stretch>
                      <a:fillRect/>
                    </a:stretch>
                  </pic:blipFill>
                  <pic:spPr bwMode="auto">
                    <a:xfrm>
                      <a:off x="0" y="0"/>
                      <a:ext cx="5234776" cy="4212847"/>
                    </a:xfrm>
                    <a:prstGeom prst="rect">
                      <a:avLst/>
                    </a:prstGeom>
                    <a:noFill/>
                  </pic:spPr>
                </pic:pic>
              </a:graphicData>
            </a:graphic>
          </wp:inline>
        </w:drawing>
      </w:r>
    </w:p>
    <w:p w:rsidR="00052D29" w:rsidRDefault="00161E7F" w:rsidP="00052D29">
      <w:r>
        <w:t>Видно от графиката е, че извън приноса от ЕФРР най-голям ресурс се мобилизира от банковия сектор.</w:t>
      </w:r>
    </w:p>
    <w:p w:rsidR="00161E7F" w:rsidRPr="00161E7F" w:rsidRDefault="00AD51E3" w:rsidP="00AD51E3">
      <w:pPr>
        <w:jc w:val="both"/>
      </w:pPr>
      <w:r>
        <w:lastRenderedPageBreak/>
        <w:t>В заключение, колкото по-висок е ефектът на лоста, толкова по-голямо е въздействието от финансовите инструменти. Въпреки това, максимизирането на лостовия ефект не е основната цел на политиката на ЕСИФ, тъй като:</w:t>
      </w:r>
      <w:r w:rsidR="00161E7F" w:rsidRPr="00161E7F">
        <w:t xml:space="preserve"> </w:t>
      </w:r>
    </w:p>
    <w:p w:rsidR="00161E7F" w:rsidRPr="00161E7F" w:rsidRDefault="00AD51E3" w:rsidP="001A036E">
      <w:pPr>
        <w:numPr>
          <w:ilvl w:val="0"/>
          <w:numId w:val="124"/>
        </w:numPr>
        <w:jc w:val="both"/>
      </w:pPr>
      <w:r>
        <w:t>Ефектът на лоста може да бъде по-малък в по-слабо развитите региони, какъвто е нашата страна</w:t>
      </w:r>
      <w:r w:rsidR="00161E7F" w:rsidRPr="00161E7F">
        <w:t xml:space="preserve">; </w:t>
      </w:r>
    </w:p>
    <w:p w:rsidR="00161E7F" w:rsidRPr="00161E7F" w:rsidRDefault="00AD51E3" w:rsidP="001A036E">
      <w:pPr>
        <w:numPr>
          <w:ilvl w:val="0"/>
          <w:numId w:val="124"/>
        </w:numPr>
        <w:jc w:val="both"/>
      </w:pPr>
      <w:r>
        <w:t xml:space="preserve">По-нисък ефект на лоста се очаква да бъде постигнат по време на криза, каквато в момента все още не е преодоляна в България; и </w:t>
      </w:r>
    </w:p>
    <w:p w:rsidR="00161E7F" w:rsidRPr="00161E7F" w:rsidRDefault="00AD51E3" w:rsidP="001A036E">
      <w:pPr>
        <w:numPr>
          <w:ilvl w:val="0"/>
          <w:numId w:val="124"/>
        </w:numPr>
        <w:jc w:val="both"/>
      </w:pPr>
      <w:r>
        <w:t>Прекалено висок ефект на лоста може да намали стимулиращия ефект и да привлече повече неефективни проекти</w:t>
      </w:r>
      <w:r w:rsidR="00161E7F" w:rsidRPr="00161E7F">
        <w:t xml:space="preserve">. </w:t>
      </w:r>
    </w:p>
    <w:p w:rsidR="00FE6CF2" w:rsidRDefault="00FE6CF2" w:rsidP="003827AE">
      <w:pPr>
        <w:pStyle w:val="Default"/>
        <w:jc w:val="both"/>
        <w:rPr>
          <w:rFonts w:asciiTheme="minorHAnsi" w:hAnsiTheme="minorHAnsi" w:cstheme="minorBidi"/>
          <w:color w:val="auto"/>
          <w:sz w:val="22"/>
          <w:szCs w:val="22"/>
        </w:rPr>
      </w:pPr>
    </w:p>
    <w:p w:rsidR="00FE6CF2" w:rsidRDefault="00FE6CF2" w:rsidP="00FE6CF2">
      <w:pPr>
        <w:pStyle w:val="Heading2"/>
        <w:jc w:val="both"/>
        <w:rPr>
          <w:rFonts w:asciiTheme="minorHAnsi" w:hAnsiTheme="minorHAnsi" w:cs="Times New Roman"/>
        </w:rPr>
      </w:pPr>
      <w:bookmarkStart w:id="164" w:name="_Toc399494557"/>
      <w:r>
        <w:rPr>
          <w:rFonts w:asciiTheme="minorHAnsi" w:hAnsiTheme="minorHAnsi" w:cs="Times New Roman"/>
        </w:rPr>
        <w:t>3.3</w:t>
      </w:r>
      <w:r w:rsidRPr="00C370EC">
        <w:rPr>
          <w:rFonts w:asciiTheme="minorHAnsi" w:hAnsiTheme="minorHAnsi" w:cs="Times New Roman"/>
        </w:rPr>
        <w:t>. Анализ и оценка на необходимите стимули за привличане на частни инвестиции/съфинансиране, както и механизмите, чрез които ще бъдат предоставени стимулите (на конкурентен принцип или чрез независима оценка)</w:t>
      </w:r>
      <w:bookmarkEnd w:id="164"/>
    </w:p>
    <w:p w:rsidR="00FE6CF2" w:rsidRDefault="00FE6CF2" w:rsidP="003827AE">
      <w:pPr>
        <w:pStyle w:val="Default"/>
        <w:jc w:val="both"/>
        <w:rPr>
          <w:rFonts w:asciiTheme="minorHAnsi" w:hAnsiTheme="minorHAnsi" w:cstheme="minorBidi"/>
          <w:color w:val="auto"/>
          <w:sz w:val="22"/>
          <w:szCs w:val="22"/>
        </w:rPr>
      </w:pPr>
    </w:p>
    <w:p w:rsidR="003827AE" w:rsidRPr="004D61A8" w:rsidRDefault="003827AE" w:rsidP="003827AE">
      <w:pPr>
        <w:pStyle w:val="Default"/>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Преференциално възнаграждение е вече използвано в периода 2007-2013 г., но то е ограничено само до приходите. В периода 2014-2020 г. преференциалното възнаграждение е разширено също и до ресурса, който се изплаща обратно. Поради този факт, биха могли да вземат под внимание следните видове преференциално възнаграждение: </w:t>
      </w:r>
    </w:p>
    <w:p w:rsidR="003827AE" w:rsidRPr="004D61A8" w:rsidRDefault="003827AE" w:rsidP="003827AE">
      <w:pPr>
        <w:pStyle w:val="Default"/>
        <w:jc w:val="both"/>
        <w:rPr>
          <w:rFonts w:asciiTheme="minorHAnsi" w:hAnsiTheme="minorHAnsi" w:cstheme="minorBidi"/>
          <w:color w:val="auto"/>
          <w:sz w:val="22"/>
          <w:szCs w:val="22"/>
        </w:rPr>
      </w:pPr>
    </w:p>
    <w:p w:rsidR="003827AE" w:rsidRDefault="003827AE" w:rsidP="001A036E">
      <w:pPr>
        <w:pStyle w:val="Default"/>
        <w:numPr>
          <w:ilvl w:val="0"/>
          <w:numId w:val="126"/>
        </w:numPr>
        <w:jc w:val="both"/>
        <w:rPr>
          <w:rFonts w:asciiTheme="minorHAnsi" w:hAnsiTheme="minorHAnsi" w:cstheme="minorBidi"/>
          <w:color w:val="auto"/>
          <w:sz w:val="22"/>
          <w:szCs w:val="22"/>
        </w:rPr>
      </w:pPr>
      <w:r>
        <w:rPr>
          <w:rFonts w:asciiTheme="minorHAnsi" w:hAnsiTheme="minorHAnsi" w:cstheme="minorBidi"/>
          <w:color w:val="auto"/>
          <w:sz w:val="22"/>
          <w:szCs w:val="22"/>
        </w:rPr>
        <w:t>Асиметрично разпределение на печалбата</w:t>
      </w:r>
      <w:r w:rsidRPr="004D61A8">
        <w:rPr>
          <w:rFonts w:asciiTheme="minorHAnsi" w:hAnsiTheme="minorHAnsi" w:cstheme="minorBidi"/>
          <w:color w:val="auto"/>
          <w:sz w:val="22"/>
          <w:szCs w:val="22"/>
        </w:rPr>
        <w:t xml:space="preserve"> (</w:t>
      </w:r>
      <w:r>
        <w:rPr>
          <w:rFonts w:asciiTheme="minorHAnsi" w:hAnsiTheme="minorHAnsi" w:cstheme="minorBidi"/>
          <w:color w:val="auto"/>
          <w:sz w:val="22"/>
          <w:szCs w:val="22"/>
        </w:rPr>
        <w:t>напр. разпределението на тежестта не е на базата на равни права на инвеститорите в инфраструктура, а дава преференция на частния сектор</w:t>
      </w:r>
      <w:r w:rsidRPr="004D61A8">
        <w:rPr>
          <w:rFonts w:asciiTheme="minorHAnsi" w:hAnsiTheme="minorHAnsi" w:cstheme="minorBidi"/>
          <w:color w:val="auto"/>
          <w:sz w:val="22"/>
          <w:szCs w:val="22"/>
        </w:rPr>
        <w:t xml:space="preserve">) </w:t>
      </w:r>
    </w:p>
    <w:p w:rsidR="003827AE" w:rsidRDefault="003827AE" w:rsidP="001A036E">
      <w:pPr>
        <w:pStyle w:val="Default"/>
        <w:numPr>
          <w:ilvl w:val="0"/>
          <w:numId w:val="126"/>
        </w:numPr>
        <w:spacing w:before="240"/>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Асиметрично разпределение на загубата </w:t>
      </w:r>
      <w:r w:rsidRPr="001D78BE">
        <w:rPr>
          <w:rFonts w:asciiTheme="minorHAnsi" w:hAnsiTheme="minorHAnsi" w:cstheme="minorBidi"/>
          <w:color w:val="auto"/>
          <w:sz w:val="22"/>
          <w:szCs w:val="22"/>
        </w:rPr>
        <w:t>(</w:t>
      </w:r>
      <w:r>
        <w:rPr>
          <w:rFonts w:asciiTheme="minorHAnsi" w:hAnsiTheme="minorHAnsi" w:cstheme="minorBidi"/>
          <w:color w:val="auto"/>
          <w:sz w:val="22"/>
          <w:szCs w:val="22"/>
        </w:rPr>
        <w:t>напр. гаранции, които покриват първоначално риска от загуба на иновативни заеми</w:t>
      </w:r>
      <w:r w:rsidRPr="001D78BE">
        <w:rPr>
          <w:rFonts w:asciiTheme="minorHAnsi" w:hAnsiTheme="minorHAnsi" w:cstheme="minorBidi"/>
          <w:color w:val="auto"/>
          <w:sz w:val="22"/>
          <w:szCs w:val="22"/>
        </w:rPr>
        <w:t xml:space="preserve">) </w:t>
      </w:r>
    </w:p>
    <w:p w:rsidR="003827AE" w:rsidRDefault="003827AE" w:rsidP="001A036E">
      <w:pPr>
        <w:pStyle w:val="Default"/>
        <w:numPr>
          <w:ilvl w:val="0"/>
          <w:numId w:val="126"/>
        </w:numPr>
        <w:spacing w:before="240"/>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Преференциално възнаграждение към фонд мениджъра, в случай че същият инвестира в рамките на установените граници съгласно делегираните актове към Общия Регламент </w:t>
      </w:r>
      <w:r w:rsidRPr="001D78BE">
        <w:rPr>
          <w:rFonts w:asciiTheme="minorHAnsi" w:hAnsiTheme="minorHAnsi" w:cstheme="minorBidi"/>
          <w:color w:val="auto"/>
          <w:sz w:val="22"/>
          <w:szCs w:val="22"/>
        </w:rPr>
        <w:t>(</w:t>
      </w:r>
      <w:r>
        <w:rPr>
          <w:rFonts w:asciiTheme="minorHAnsi" w:hAnsiTheme="minorHAnsi" w:cstheme="minorBidi"/>
          <w:color w:val="auto"/>
          <w:sz w:val="22"/>
          <w:szCs w:val="22"/>
        </w:rPr>
        <w:t>напр. микрофинансиране</w:t>
      </w:r>
      <w:r w:rsidRPr="001D78BE">
        <w:rPr>
          <w:rFonts w:asciiTheme="minorHAnsi" w:hAnsiTheme="minorHAnsi" w:cstheme="minorBidi"/>
          <w:color w:val="auto"/>
          <w:sz w:val="22"/>
          <w:szCs w:val="22"/>
        </w:rPr>
        <w:t xml:space="preserve">) </w:t>
      </w:r>
    </w:p>
    <w:p w:rsidR="003827AE" w:rsidRPr="001D78BE" w:rsidRDefault="003827AE" w:rsidP="001A036E">
      <w:pPr>
        <w:pStyle w:val="Default"/>
        <w:numPr>
          <w:ilvl w:val="0"/>
          <w:numId w:val="126"/>
        </w:numPr>
        <w:spacing w:before="240"/>
        <w:jc w:val="both"/>
        <w:rPr>
          <w:rFonts w:asciiTheme="minorHAnsi" w:hAnsiTheme="minorHAnsi" w:cstheme="minorBidi"/>
          <w:color w:val="auto"/>
          <w:sz w:val="22"/>
          <w:szCs w:val="22"/>
        </w:rPr>
      </w:pPr>
      <w:r>
        <w:rPr>
          <w:rFonts w:asciiTheme="minorHAnsi" w:hAnsiTheme="minorHAnsi" w:cstheme="minorBidi"/>
          <w:color w:val="auto"/>
          <w:sz w:val="22"/>
          <w:szCs w:val="22"/>
        </w:rPr>
        <w:t>Режим на преференциално освобождаване</w:t>
      </w:r>
      <w:r w:rsidRPr="001D78BE">
        <w:rPr>
          <w:rFonts w:asciiTheme="minorHAnsi" w:hAnsiTheme="minorHAnsi" w:cstheme="minorBidi"/>
          <w:color w:val="auto"/>
          <w:sz w:val="22"/>
          <w:szCs w:val="22"/>
        </w:rPr>
        <w:t xml:space="preserve"> (</w:t>
      </w:r>
      <w:r>
        <w:rPr>
          <w:rFonts w:asciiTheme="minorHAnsi" w:hAnsiTheme="minorHAnsi" w:cstheme="minorBidi"/>
          <w:color w:val="auto"/>
          <w:sz w:val="22"/>
          <w:szCs w:val="22"/>
        </w:rPr>
        <w:t>напр. рискът, който се поема върху недоговорените средства във фонд за енергийна ефективност</w:t>
      </w:r>
      <w:r w:rsidRPr="001D78BE">
        <w:rPr>
          <w:rFonts w:asciiTheme="minorHAnsi" w:hAnsiTheme="minorHAnsi" w:cstheme="minorBidi"/>
          <w:color w:val="auto"/>
          <w:sz w:val="22"/>
          <w:szCs w:val="22"/>
        </w:rPr>
        <w:t xml:space="preserve">) </w:t>
      </w:r>
    </w:p>
    <w:p w:rsidR="003827AE" w:rsidRPr="004D61A8" w:rsidRDefault="003827AE" w:rsidP="003827AE">
      <w:pPr>
        <w:pStyle w:val="Default"/>
        <w:jc w:val="both"/>
        <w:rPr>
          <w:rFonts w:asciiTheme="minorHAnsi" w:hAnsiTheme="minorHAnsi" w:cstheme="minorBidi"/>
          <w:color w:val="auto"/>
          <w:sz w:val="22"/>
          <w:szCs w:val="22"/>
        </w:rPr>
      </w:pPr>
    </w:p>
    <w:p w:rsidR="003827AE" w:rsidRDefault="003827AE" w:rsidP="003827AE">
      <w:pPr>
        <w:jc w:val="both"/>
        <w:rPr>
          <w:lang w:val="en-US"/>
        </w:rPr>
      </w:pPr>
      <w:r>
        <w:t>В съответствие с увеличения обхват на схемите за преференциално възнаграждение на ниво ЕС, обхватът на Регламента за групово освобождаване е по-широк отколкото преди и риска от финансиране на МСП.</w:t>
      </w:r>
    </w:p>
    <w:p w:rsidR="003827AE" w:rsidRPr="00613735" w:rsidRDefault="003827AE" w:rsidP="003827AE">
      <w:pPr>
        <w:jc w:val="both"/>
      </w:pPr>
      <w:r>
        <w:t xml:space="preserve">В случай, че съответният сектор се счита от страна на банките за прекалено рисков, компенсация чрез асиметрично разпределение на печалбата не би била възможна или ще бъде твърде скъпа. Рискът може да бъде временен </w:t>
      </w:r>
      <w:r w:rsidRPr="004D61A8">
        <w:t>(</w:t>
      </w:r>
      <w:r>
        <w:t>напр. при икономическа криза или нов продукт без история</w:t>
      </w:r>
      <w:r w:rsidRPr="004D61A8">
        <w:t xml:space="preserve">), </w:t>
      </w:r>
      <w:r>
        <w:t>но може да бъде също систематичен</w:t>
      </w:r>
      <w:r w:rsidRPr="004D61A8">
        <w:t xml:space="preserve"> (</w:t>
      </w:r>
      <w:r>
        <w:t>секторен риск</w:t>
      </w:r>
      <w:r w:rsidRPr="004D61A8">
        <w:t xml:space="preserve">) </w:t>
      </w:r>
      <w:r>
        <w:t>или свързан с портфейла</w:t>
      </w:r>
      <w:r w:rsidRPr="004D61A8">
        <w:t xml:space="preserve"> (</w:t>
      </w:r>
      <w:r>
        <w:t>ниска усвояемост на гаранциите, напр. при ограничен брой инвестиции)</w:t>
      </w:r>
      <w:r w:rsidRPr="004D61A8">
        <w:t xml:space="preserve">. </w:t>
      </w:r>
      <w:r>
        <w:t xml:space="preserve">В такива случаи, </w:t>
      </w:r>
      <w:r w:rsidRPr="009E2A81">
        <w:rPr>
          <w:b/>
        </w:rPr>
        <w:t>намаляването на риска</w:t>
      </w:r>
      <w:r>
        <w:t xml:space="preserve"> </w:t>
      </w:r>
      <w:r w:rsidRPr="004D61A8">
        <w:rPr>
          <w:b/>
          <w:bCs/>
        </w:rPr>
        <w:t>(</w:t>
      </w:r>
      <w:r>
        <w:rPr>
          <w:b/>
          <w:bCs/>
        </w:rPr>
        <w:t>посредством асиметрично разпределение на загубата</w:t>
      </w:r>
      <w:r w:rsidRPr="004D61A8">
        <w:rPr>
          <w:b/>
          <w:bCs/>
        </w:rPr>
        <w:t xml:space="preserve">) </w:t>
      </w:r>
      <w:r w:rsidRPr="009E2A81">
        <w:rPr>
          <w:bCs/>
        </w:rPr>
        <w:t>за частния сектор</w:t>
      </w:r>
      <w:r>
        <w:rPr>
          <w:bCs/>
        </w:rPr>
        <w:t xml:space="preserve"> е необходимо да бъде оценено</w:t>
      </w:r>
      <w:r w:rsidRPr="004D61A8">
        <w:t xml:space="preserve">. </w:t>
      </w:r>
      <w:r>
        <w:t xml:space="preserve">Най-успешни инструменти за споделяне на риска са т.нар. първа загуба буфери, </w:t>
      </w:r>
      <w:r>
        <w:lastRenderedPageBreak/>
        <w:t>което означава, че до определено ниво загубите най-напред се поемат от финансирането от ЕС</w:t>
      </w:r>
      <w:r w:rsidRPr="004D61A8">
        <w:t xml:space="preserve">. </w:t>
      </w:r>
      <w:r>
        <w:t xml:space="preserve">Ако загубите, които възникват по време на изпълнение на финансовия инструмент са по-ниски от това определено ниво, те се покриват от публични ресурси. Ако обаче загубите по време на изпълнението на финансовия инструмент са по-високи, частта на определения таван се разпределя на принципа </w:t>
      </w:r>
      <w:r w:rsidRPr="004D61A8">
        <w:rPr>
          <w:i/>
          <w:iCs/>
        </w:rPr>
        <w:t xml:space="preserve">pari passu </w:t>
      </w:r>
      <w:r w:rsidRPr="00613735">
        <w:rPr>
          <w:iCs/>
        </w:rPr>
        <w:t>между частния и публичния инвеститор</w:t>
      </w:r>
      <w:r>
        <w:rPr>
          <w:iCs/>
        </w:rPr>
        <w:t xml:space="preserve"> или следва друго договорено правило. </w:t>
      </w:r>
    </w:p>
    <w:p w:rsidR="003827AE" w:rsidRDefault="003827AE" w:rsidP="003827AE">
      <w:pPr>
        <w:jc w:val="both"/>
      </w:pPr>
      <w:r>
        <w:t>Опитът с преференциалното възнаграждение е по-скоро значителен за финансови инструменти за МСП, въпреки, че по-голямата част от натрупания опит не обхваща ресурсите от ЕСИФ. В другите сектори опитът е оскъден</w:t>
      </w:r>
      <w:r w:rsidRPr="004D61A8">
        <w:t>.</w:t>
      </w:r>
    </w:p>
    <w:p w:rsidR="003827AE" w:rsidRDefault="003827AE" w:rsidP="003827AE">
      <w:pPr>
        <w:jc w:val="both"/>
      </w:pPr>
      <w:r>
        <w:t>Въпреки това, като пример може да бъде използвана преференциалната схема за частни инвеститори в рамките на испанския фонд за градско развитие, която включва първоначално разпределение на загубата от страна на публичния ресурс, за да защити част от частните инвестиции и да даде възможност на частния сектор да получи пръв неговата печалба (до нивото на справедливия процент на възвращаемост).</w:t>
      </w:r>
    </w:p>
    <w:p w:rsidR="003827AE" w:rsidRDefault="003827AE" w:rsidP="003827AE">
      <w:pPr>
        <w:jc w:val="both"/>
        <w:rPr>
          <w:lang w:val="en-US"/>
        </w:rPr>
      </w:pPr>
      <w:r>
        <w:t xml:space="preserve">При тази схема частните инвеститори трябва да покрият минимум 30% от допустимите разходи, а нивото на справедливия процент на възвращаемост е определено чрез конкурентен подбор или независима оценка. Всеки проект трябва да демонстрира, че не получава (достатъчно) финансиране на пазарен принцип. </w:t>
      </w:r>
    </w:p>
    <w:p w:rsidR="003827AE" w:rsidRPr="004D61A8" w:rsidRDefault="003827AE" w:rsidP="003827AE">
      <w:pPr>
        <w:autoSpaceDE w:val="0"/>
        <w:autoSpaceDN w:val="0"/>
        <w:adjustRightInd w:val="0"/>
        <w:spacing w:after="0" w:line="240" w:lineRule="auto"/>
        <w:jc w:val="both"/>
      </w:pPr>
      <w:r>
        <w:t xml:space="preserve">Обичайната практика е да се определя таван на печалбата на частния инвеститор, за да се избегне избирателно държавно подпомагане и за да се увеличи револвиращия ефект от ограничения риск от загуби, свързан със защитата на частния сектор. Може да бъде използвана следната йерархия при съображения за държавна помощ: </w:t>
      </w:r>
    </w:p>
    <w:p w:rsidR="003827AE" w:rsidRPr="004D61A8" w:rsidRDefault="003827AE" w:rsidP="001A036E">
      <w:pPr>
        <w:numPr>
          <w:ilvl w:val="0"/>
          <w:numId w:val="125"/>
        </w:numPr>
        <w:autoSpaceDE w:val="0"/>
        <w:autoSpaceDN w:val="0"/>
        <w:adjustRightInd w:val="0"/>
        <w:spacing w:before="240" w:after="0" w:line="240" w:lineRule="auto"/>
        <w:jc w:val="both"/>
      </w:pPr>
      <w:r>
        <w:t>Преференция се дава при пълно участие на частния сектор в разпределянето на риска</w:t>
      </w:r>
      <w:r w:rsidRPr="004D61A8">
        <w:t>;</w:t>
      </w:r>
    </w:p>
    <w:p w:rsidR="003827AE" w:rsidRPr="004D61A8" w:rsidRDefault="003827AE" w:rsidP="001A036E">
      <w:pPr>
        <w:numPr>
          <w:ilvl w:val="0"/>
          <w:numId w:val="125"/>
        </w:numPr>
        <w:autoSpaceDE w:val="0"/>
        <w:autoSpaceDN w:val="0"/>
        <w:adjustRightInd w:val="0"/>
        <w:spacing w:after="0" w:line="240" w:lineRule="auto"/>
        <w:jc w:val="both"/>
      </w:pPr>
      <w:r>
        <w:t>Ако преговорите покажат, че това не е приемливо, преференцията за пълно покриване на риска следва да бъде ограничена</w:t>
      </w:r>
      <w:r w:rsidRPr="004D61A8">
        <w:t>;</w:t>
      </w:r>
    </w:p>
    <w:p w:rsidR="003827AE" w:rsidRPr="004D61A8" w:rsidRDefault="003827AE" w:rsidP="001A036E">
      <w:pPr>
        <w:numPr>
          <w:ilvl w:val="0"/>
          <w:numId w:val="125"/>
        </w:numPr>
        <w:autoSpaceDE w:val="0"/>
        <w:autoSpaceDN w:val="0"/>
        <w:adjustRightInd w:val="0"/>
        <w:spacing w:after="0" w:line="240" w:lineRule="auto"/>
        <w:jc w:val="both"/>
      </w:pPr>
      <w:r>
        <w:t>Същевременно следва да бъде определен таван на нивото на печалба.</w:t>
      </w:r>
    </w:p>
    <w:p w:rsidR="003827AE" w:rsidRPr="00992667" w:rsidRDefault="003827AE" w:rsidP="003827AE">
      <w:pPr>
        <w:spacing w:before="240"/>
        <w:jc w:val="both"/>
      </w:pPr>
      <w:r>
        <w:t xml:space="preserve">Въз основа на казаното до тук, може да се направи заключението, че оценката на преференциалното възнаграждение на този етап би била по-скоро </w:t>
      </w:r>
      <w:r w:rsidR="00EB6C68">
        <w:t>теоретична</w:t>
      </w:r>
      <w:r>
        <w:t xml:space="preserve"> и базирана на множество допускания. Поради тази причина е по-удачно да се опишат механизмите, които следва да бъдат използвани за оценка на необходимостта и преференциалното възнаграждение с цел привличане на средства от частни инвеститори, които са представени по-долу. </w:t>
      </w:r>
    </w:p>
    <w:p w:rsidR="003827AE" w:rsidRDefault="003827AE" w:rsidP="003827AE">
      <w:pPr>
        <w:pStyle w:val="Heading3"/>
        <w:jc w:val="both"/>
        <w:rPr>
          <w:rFonts w:asciiTheme="minorHAnsi" w:hAnsiTheme="minorHAnsi" w:cs="Times New Roman"/>
        </w:rPr>
      </w:pPr>
      <w:bookmarkStart w:id="165" w:name="_Toc399494558"/>
      <w:r w:rsidRPr="00102196">
        <w:rPr>
          <w:rFonts w:asciiTheme="minorHAnsi" w:hAnsiTheme="minorHAnsi" w:cs="Times New Roman"/>
        </w:rPr>
        <w:t xml:space="preserve">3.3.1. </w:t>
      </w:r>
      <w:r w:rsidRPr="00C370EC">
        <w:rPr>
          <w:rFonts w:asciiTheme="minorHAnsi" w:hAnsiTheme="minorHAnsi" w:cs="Times New Roman"/>
        </w:rPr>
        <w:t xml:space="preserve">Описание на механизмите, които </w:t>
      </w:r>
      <w:r>
        <w:rPr>
          <w:rFonts w:asciiTheme="minorHAnsi" w:hAnsiTheme="minorHAnsi" w:cs="Times New Roman"/>
        </w:rPr>
        <w:t>следва</w:t>
      </w:r>
      <w:r w:rsidRPr="00C370EC">
        <w:rPr>
          <w:rFonts w:asciiTheme="minorHAnsi" w:hAnsiTheme="minorHAnsi" w:cs="Times New Roman"/>
        </w:rPr>
        <w:t xml:space="preserve"> бъдат използвани</w:t>
      </w:r>
      <w:r>
        <w:rPr>
          <w:rFonts w:asciiTheme="minorHAnsi" w:hAnsiTheme="minorHAnsi" w:cs="Times New Roman"/>
        </w:rPr>
        <w:t xml:space="preserve"> </w:t>
      </w:r>
      <w:r w:rsidRPr="00C370EC">
        <w:rPr>
          <w:rFonts w:asciiTheme="minorHAnsi" w:hAnsiTheme="minorHAnsi" w:cs="Times New Roman"/>
        </w:rPr>
        <w:t>за Оценка на необходимостта и нивото на преференциално възнаграждение/стимули с цел привличане на средства от частни инвеститори</w:t>
      </w:r>
      <w:r>
        <w:rPr>
          <w:rFonts w:asciiTheme="minorHAnsi" w:hAnsiTheme="minorHAnsi" w:cs="Times New Roman"/>
        </w:rPr>
        <w:t xml:space="preserve"> (</w:t>
      </w:r>
      <w:r w:rsidRPr="00C370EC">
        <w:rPr>
          <w:rFonts w:asciiTheme="minorHAnsi" w:hAnsiTheme="minorHAnsi" w:cs="Times New Roman"/>
        </w:rPr>
        <w:t>като напр. конкурентен процес на оценяване</w:t>
      </w:r>
      <w:r>
        <w:rPr>
          <w:rFonts w:asciiTheme="minorHAnsi" w:hAnsiTheme="minorHAnsi" w:cs="Times New Roman"/>
        </w:rPr>
        <w:t>)</w:t>
      </w:r>
      <w:bookmarkEnd w:id="165"/>
    </w:p>
    <w:p w:rsidR="003827AE" w:rsidRDefault="003827AE" w:rsidP="003827AE">
      <w:pPr>
        <w:spacing w:before="240"/>
        <w:jc w:val="both"/>
      </w:pPr>
      <w:r>
        <w:t xml:space="preserve">Съгласно разпоредбите на чл. 37 от Регламент 13030/2013, когато </w:t>
      </w:r>
      <w:r w:rsidRPr="004B7FE9">
        <w:t>подкрепя финансови инструменти, управляващият орган може</w:t>
      </w:r>
      <w:r>
        <w:t>:</w:t>
      </w:r>
    </w:p>
    <w:p w:rsidR="003827AE" w:rsidRDefault="003827AE" w:rsidP="001A036E">
      <w:pPr>
        <w:numPr>
          <w:ilvl w:val="0"/>
          <w:numId w:val="129"/>
        </w:numPr>
        <w:autoSpaceDE w:val="0"/>
        <w:autoSpaceDN w:val="0"/>
        <w:adjustRightInd w:val="0"/>
        <w:spacing w:before="60" w:after="60" w:line="240" w:lineRule="auto"/>
        <w:jc w:val="both"/>
      </w:pPr>
      <w:r w:rsidRPr="004B7FE9">
        <w:t xml:space="preserve">да инвестира в капитала на съществуващи или новосъздадени правни субекти, включително финансираните от други европейски структурни и инвестиционни фондове, </w:t>
      </w:r>
      <w:r w:rsidRPr="004B7FE9">
        <w:lastRenderedPageBreak/>
        <w:t xml:space="preserve">предназначени за изпълнението на финансови инструменти, които съответстват на целите на съответните европейски структурни и инвестиционни фондове, които ще предприемат задачи по изпълнението; подкрепата за такива субекти се ограничава до необходимите суми за изпълнението на нови инвестиции; </w:t>
      </w:r>
    </w:p>
    <w:p w:rsidR="003827AE" w:rsidRPr="004B7FE9" w:rsidRDefault="003827AE" w:rsidP="001A036E">
      <w:pPr>
        <w:numPr>
          <w:ilvl w:val="0"/>
          <w:numId w:val="129"/>
        </w:numPr>
        <w:autoSpaceDE w:val="0"/>
        <w:autoSpaceDN w:val="0"/>
        <w:adjustRightInd w:val="0"/>
        <w:spacing w:before="60" w:after="60" w:line="240" w:lineRule="auto"/>
        <w:jc w:val="both"/>
      </w:pPr>
      <w:r w:rsidRPr="004B7FE9">
        <w:t xml:space="preserve">да поверява задачи по изпълнението на: </w:t>
      </w:r>
    </w:p>
    <w:p w:rsidR="003827AE" w:rsidRPr="004B7FE9" w:rsidRDefault="003827AE" w:rsidP="001A036E">
      <w:pPr>
        <w:numPr>
          <w:ilvl w:val="1"/>
          <w:numId w:val="130"/>
        </w:numPr>
        <w:autoSpaceDE w:val="0"/>
        <w:autoSpaceDN w:val="0"/>
        <w:adjustRightInd w:val="0"/>
        <w:spacing w:before="60" w:after="60" w:line="240" w:lineRule="auto"/>
        <w:jc w:val="both"/>
      </w:pPr>
      <w:r w:rsidRPr="004B7FE9">
        <w:t xml:space="preserve">ЕИБ; </w:t>
      </w:r>
    </w:p>
    <w:p w:rsidR="003827AE" w:rsidRPr="004B7FE9" w:rsidRDefault="003827AE" w:rsidP="001A036E">
      <w:pPr>
        <w:numPr>
          <w:ilvl w:val="1"/>
          <w:numId w:val="130"/>
        </w:numPr>
        <w:autoSpaceDE w:val="0"/>
        <w:autoSpaceDN w:val="0"/>
        <w:adjustRightInd w:val="0"/>
        <w:spacing w:before="60" w:after="60" w:line="240" w:lineRule="auto"/>
        <w:jc w:val="both"/>
      </w:pPr>
      <w:r w:rsidRPr="004B7FE9">
        <w:t xml:space="preserve">международни финансови институции, в които някоя от държавите-членки е акционер, или финансови институции, установени в държава-членка и целящи постигане на публичен интерес под контрола на публичен орган; </w:t>
      </w:r>
    </w:p>
    <w:p w:rsidR="003827AE" w:rsidRPr="004B7FE9" w:rsidRDefault="003827AE" w:rsidP="001A036E">
      <w:pPr>
        <w:numPr>
          <w:ilvl w:val="1"/>
          <w:numId w:val="130"/>
        </w:numPr>
        <w:autoSpaceDE w:val="0"/>
        <w:autoSpaceDN w:val="0"/>
        <w:adjustRightInd w:val="0"/>
        <w:spacing w:before="60" w:after="60" w:line="240" w:lineRule="auto"/>
        <w:jc w:val="both"/>
      </w:pPr>
      <w:r w:rsidRPr="004B7FE9">
        <w:t xml:space="preserve">публичноправна или частноправна организация; или </w:t>
      </w:r>
    </w:p>
    <w:p w:rsidR="003827AE" w:rsidRDefault="003827AE" w:rsidP="001A036E">
      <w:pPr>
        <w:numPr>
          <w:ilvl w:val="0"/>
          <w:numId w:val="129"/>
        </w:numPr>
        <w:autoSpaceDE w:val="0"/>
        <w:autoSpaceDN w:val="0"/>
        <w:adjustRightInd w:val="0"/>
        <w:spacing w:before="60" w:after="60" w:line="240" w:lineRule="auto"/>
        <w:jc w:val="both"/>
      </w:pPr>
      <w:r w:rsidRPr="004B7FE9">
        <w:t>да предприема пряко задачи по изпълнението в случай на финансови инструменти, състоящи се само от заеми или гаранции.</w:t>
      </w:r>
    </w:p>
    <w:p w:rsidR="003827AE" w:rsidRDefault="003827AE" w:rsidP="003827AE">
      <w:pPr>
        <w:spacing w:before="240"/>
        <w:jc w:val="both"/>
      </w:pPr>
      <w:r w:rsidRPr="007728FB">
        <w:t>При изпълнението на финансови</w:t>
      </w:r>
      <w:r>
        <w:t>те</w:t>
      </w:r>
      <w:r w:rsidRPr="007728FB">
        <w:t xml:space="preserve"> инструменти организациите осигуряват спазването на приложимото право, включително правилата за европейските структурни и инвестиционни фондове, държавната помощ, обществените поръчки и съответните стандарти и приложимото законодателство относно изпирането на пари, борбата с тероризма и данъчните измами.</w:t>
      </w:r>
    </w:p>
    <w:p w:rsidR="003827AE" w:rsidRDefault="003827AE" w:rsidP="003827AE">
      <w:pPr>
        <w:spacing w:before="240"/>
        <w:jc w:val="both"/>
      </w:pPr>
      <w:r w:rsidRPr="007728FB">
        <w:t>Националният публичен и частен принос</w:t>
      </w:r>
      <w:r>
        <w:t xml:space="preserve"> </w:t>
      </w:r>
      <w:r w:rsidRPr="007728FB">
        <w:t>може да се предоставя на равнище фонд на фондове, на равнище финансов инструмент или на равнище крайни получатели</w:t>
      </w:r>
    </w:p>
    <w:p w:rsidR="003827AE" w:rsidRPr="004B7FE9" w:rsidRDefault="003827AE" w:rsidP="003827AE">
      <w:pPr>
        <w:spacing w:before="240"/>
        <w:jc w:val="both"/>
      </w:pPr>
      <w:r>
        <w:t>В този смисъл, изборът на фонд мениджър или финансов посредник</w:t>
      </w:r>
      <w:r>
        <w:rPr>
          <w:rStyle w:val="FootnoteReference"/>
        </w:rPr>
        <w:footnoteReference w:id="128"/>
      </w:r>
      <w:r>
        <w:t xml:space="preserve">, както и нивото на </w:t>
      </w:r>
      <w:r w:rsidR="00EB6C68">
        <w:t>преференциално</w:t>
      </w:r>
      <w:r>
        <w:t xml:space="preserve"> възнаграждение, е необходимо да бъдат извършени на база конкурентен подбор, т.е. чрез провеждане на обществена поръчка.</w:t>
      </w:r>
    </w:p>
    <w:p w:rsidR="003827AE" w:rsidRPr="00273ACA" w:rsidRDefault="003827AE" w:rsidP="003827AE">
      <w:pPr>
        <w:spacing w:before="240"/>
        <w:rPr>
          <w:b/>
          <w:i/>
        </w:rPr>
      </w:pPr>
      <w:r w:rsidRPr="00273ACA">
        <w:rPr>
          <w:b/>
          <w:i/>
        </w:rPr>
        <w:t>Основните принципите, на които следва да се базира конкурентния подбор са:</w:t>
      </w:r>
    </w:p>
    <w:p w:rsidR="003827AE" w:rsidRPr="002D7DC1" w:rsidRDefault="003827AE" w:rsidP="001A036E">
      <w:pPr>
        <w:numPr>
          <w:ilvl w:val="0"/>
          <w:numId w:val="127"/>
        </w:numPr>
        <w:jc w:val="both"/>
      </w:pPr>
      <w:r>
        <w:t>Дю дилиджънс</w:t>
      </w:r>
      <w:r w:rsidRPr="002D7DC1">
        <w:t xml:space="preserve"> </w:t>
      </w:r>
      <w:r>
        <w:t>– налагане на изискване институцията, избрана за изпълнение на финансовия инструмент да отговаря на определени критерии:</w:t>
      </w:r>
      <w:r w:rsidRPr="002D7DC1">
        <w:t xml:space="preserve"> </w:t>
      </w:r>
    </w:p>
    <w:p w:rsidR="003827AE" w:rsidRPr="002D7DC1" w:rsidRDefault="003827AE" w:rsidP="001A036E">
      <w:pPr>
        <w:numPr>
          <w:ilvl w:val="0"/>
          <w:numId w:val="128"/>
        </w:numPr>
        <w:spacing w:after="0"/>
        <w:ind w:left="1134"/>
        <w:jc w:val="both"/>
      </w:pPr>
      <w:r>
        <w:t>Наличие на капацитет</w:t>
      </w:r>
    </w:p>
    <w:p w:rsidR="003827AE" w:rsidRPr="002D7DC1" w:rsidRDefault="003827AE" w:rsidP="001A036E">
      <w:pPr>
        <w:numPr>
          <w:ilvl w:val="0"/>
          <w:numId w:val="128"/>
        </w:numPr>
        <w:spacing w:after="0"/>
        <w:ind w:left="1134"/>
        <w:jc w:val="both"/>
      </w:pPr>
      <w:r>
        <w:t>Икономическа и финансова жизнеспособност</w:t>
      </w:r>
    </w:p>
    <w:p w:rsidR="003827AE" w:rsidRPr="002D7DC1" w:rsidRDefault="003827AE" w:rsidP="001A036E">
      <w:pPr>
        <w:numPr>
          <w:ilvl w:val="0"/>
          <w:numId w:val="128"/>
        </w:numPr>
        <w:spacing w:after="0"/>
        <w:ind w:left="1134"/>
        <w:jc w:val="both"/>
      </w:pPr>
      <w:r>
        <w:t>Система за външен и вътрешен контрол, правила за управление</w:t>
      </w:r>
    </w:p>
    <w:p w:rsidR="003827AE" w:rsidRPr="002D7DC1" w:rsidRDefault="003827AE" w:rsidP="001A036E">
      <w:pPr>
        <w:numPr>
          <w:ilvl w:val="0"/>
          <w:numId w:val="128"/>
        </w:numPr>
        <w:spacing w:after="0"/>
        <w:ind w:left="1134"/>
        <w:jc w:val="both"/>
      </w:pPr>
      <w:r>
        <w:t xml:space="preserve">Поддържане на адекватна счетоводна система и съгласие да бъде одитирана </w:t>
      </w:r>
    </w:p>
    <w:p w:rsidR="003827AE" w:rsidRPr="002D7DC1" w:rsidRDefault="003827AE" w:rsidP="001A036E">
      <w:pPr>
        <w:numPr>
          <w:ilvl w:val="0"/>
          <w:numId w:val="128"/>
        </w:numPr>
        <w:spacing w:after="0"/>
        <w:ind w:left="1134"/>
        <w:jc w:val="both"/>
      </w:pPr>
      <w:r>
        <w:t>Право да действа съгласно европейското и национално законодателство</w:t>
      </w:r>
    </w:p>
    <w:p w:rsidR="003827AE" w:rsidRDefault="003827AE" w:rsidP="001A036E">
      <w:pPr>
        <w:numPr>
          <w:ilvl w:val="0"/>
          <w:numId w:val="127"/>
        </w:numPr>
        <w:spacing w:before="240"/>
        <w:jc w:val="both"/>
      </w:pPr>
      <w:r>
        <w:t>Открити и прозрачни критерии за избор - избягване конфликт на интереси</w:t>
      </w:r>
    </w:p>
    <w:p w:rsidR="003827AE" w:rsidRPr="007728FB" w:rsidRDefault="003827AE" w:rsidP="001A036E">
      <w:pPr>
        <w:numPr>
          <w:ilvl w:val="0"/>
          <w:numId w:val="127"/>
        </w:numPr>
        <w:spacing w:before="240"/>
        <w:jc w:val="both"/>
      </w:pPr>
      <w:r>
        <w:t>Задължение за отваряне на доверителни сметки/отделен блок на финансиране, водене на отделно счетоводство и осигуряване на „адекватна ликвидност”</w:t>
      </w:r>
      <w:r w:rsidRPr="007728FB">
        <w:t xml:space="preserve"> </w:t>
      </w:r>
    </w:p>
    <w:p w:rsidR="003827AE" w:rsidRDefault="003827AE" w:rsidP="001A036E">
      <w:pPr>
        <w:numPr>
          <w:ilvl w:val="0"/>
          <w:numId w:val="127"/>
        </w:numPr>
        <w:spacing w:before="240"/>
        <w:jc w:val="both"/>
      </w:pPr>
      <w:r>
        <w:t xml:space="preserve">Стандартни условия на споразумението за финансиране </w:t>
      </w:r>
    </w:p>
    <w:p w:rsidR="003827AE" w:rsidRPr="00273ACA" w:rsidRDefault="003827AE" w:rsidP="003827AE">
      <w:pPr>
        <w:spacing w:before="240"/>
        <w:jc w:val="both"/>
        <w:rPr>
          <w:b/>
          <w:i/>
        </w:rPr>
      </w:pPr>
      <w:r w:rsidRPr="00273ACA">
        <w:rPr>
          <w:b/>
          <w:i/>
        </w:rPr>
        <w:t>По отношение на разходите и възнаграждението:</w:t>
      </w:r>
    </w:p>
    <w:p w:rsidR="003827AE" w:rsidRDefault="003827AE" w:rsidP="001A036E">
      <w:pPr>
        <w:numPr>
          <w:ilvl w:val="0"/>
          <w:numId w:val="131"/>
        </w:numPr>
        <w:spacing w:before="240"/>
        <w:jc w:val="both"/>
      </w:pPr>
      <w:r>
        <w:lastRenderedPageBreak/>
        <w:t>Следва да не се допуска двойно финансиране</w:t>
      </w:r>
    </w:p>
    <w:p w:rsidR="003827AE" w:rsidRDefault="003827AE" w:rsidP="001A036E">
      <w:pPr>
        <w:numPr>
          <w:ilvl w:val="0"/>
          <w:numId w:val="131"/>
        </w:numPr>
        <w:spacing w:before="240"/>
        <w:jc w:val="both"/>
      </w:pPr>
      <w:r>
        <w:t xml:space="preserve">Възнаграждението за изпълнение следва да се базира на реално инвестираните средства </w:t>
      </w:r>
    </w:p>
    <w:p w:rsidR="003827AE" w:rsidRPr="00F210C7" w:rsidRDefault="003827AE" w:rsidP="001A036E">
      <w:pPr>
        <w:numPr>
          <w:ilvl w:val="0"/>
          <w:numId w:val="131"/>
        </w:numPr>
        <w:spacing w:before="240"/>
        <w:jc w:val="both"/>
      </w:pPr>
      <w:r>
        <w:t>При фонд на фондовете:</w:t>
      </w:r>
    </w:p>
    <w:p w:rsidR="003827AE" w:rsidRDefault="003827AE" w:rsidP="001A036E">
      <w:pPr>
        <w:numPr>
          <w:ilvl w:val="0"/>
          <w:numId w:val="128"/>
        </w:numPr>
        <w:spacing w:after="0"/>
        <w:ind w:left="1134"/>
        <w:jc w:val="both"/>
      </w:pPr>
      <w:r>
        <w:t xml:space="preserve">Базовото възнаграждение следва да е в размер на 3% за първата година, 1% за втората и 0,5% за всяка следваща </w:t>
      </w:r>
    </w:p>
    <w:p w:rsidR="003827AE" w:rsidRDefault="003827AE" w:rsidP="001A036E">
      <w:pPr>
        <w:numPr>
          <w:ilvl w:val="0"/>
          <w:numId w:val="128"/>
        </w:numPr>
        <w:spacing w:after="0"/>
        <w:ind w:left="1134"/>
        <w:jc w:val="both"/>
      </w:pPr>
      <w:r>
        <w:t>Възнаграждението за споделяне на риска не трябва да надхвърля 0,5% на година от ресурса, изплатен от програмата</w:t>
      </w:r>
    </w:p>
    <w:p w:rsidR="003827AE" w:rsidRPr="00F210C7" w:rsidRDefault="003827AE" w:rsidP="001A036E">
      <w:pPr>
        <w:numPr>
          <w:ilvl w:val="0"/>
          <w:numId w:val="131"/>
        </w:numPr>
        <w:spacing w:before="240"/>
        <w:jc w:val="both"/>
      </w:pPr>
      <w:r>
        <w:t>Изпълнението следва да се оценява на база</w:t>
      </w:r>
      <w:r w:rsidRPr="00F210C7">
        <w:t>:</w:t>
      </w:r>
    </w:p>
    <w:p w:rsidR="003827AE" w:rsidRPr="00F210C7" w:rsidRDefault="003827AE" w:rsidP="001A036E">
      <w:pPr>
        <w:numPr>
          <w:ilvl w:val="0"/>
          <w:numId w:val="128"/>
        </w:numPr>
        <w:spacing w:after="0"/>
        <w:ind w:left="1134"/>
        <w:jc w:val="both"/>
      </w:pPr>
      <w:r>
        <w:t>Плащанията от ЕСИФ</w:t>
      </w:r>
    </w:p>
    <w:p w:rsidR="003827AE" w:rsidRPr="00F210C7" w:rsidRDefault="003827AE" w:rsidP="001A036E">
      <w:pPr>
        <w:numPr>
          <w:ilvl w:val="0"/>
          <w:numId w:val="128"/>
        </w:numPr>
        <w:spacing w:after="0"/>
        <w:ind w:left="1134"/>
        <w:jc w:val="both"/>
      </w:pPr>
      <w:r>
        <w:t>Изплатените обратно ресурси</w:t>
      </w:r>
    </w:p>
    <w:p w:rsidR="003827AE" w:rsidRDefault="003827AE" w:rsidP="001A036E">
      <w:pPr>
        <w:numPr>
          <w:ilvl w:val="0"/>
          <w:numId w:val="128"/>
        </w:numPr>
        <w:spacing w:after="0"/>
        <w:ind w:left="1134"/>
        <w:jc w:val="both"/>
      </w:pPr>
      <w:r>
        <w:t>Качеството на мерките</w:t>
      </w:r>
      <w:r w:rsidRPr="00F210C7">
        <w:t xml:space="preserve"> </w:t>
      </w:r>
      <w:r>
        <w:t xml:space="preserve">за максимизиране на въздействието, съпътстващи инвестицията </w:t>
      </w:r>
    </w:p>
    <w:p w:rsidR="003827AE" w:rsidRDefault="003827AE" w:rsidP="001A036E">
      <w:pPr>
        <w:numPr>
          <w:ilvl w:val="0"/>
          <w:numId w:val="131"/>
        </w:numPr>
        <w:spacing w:before="240"/>
        <w:jc w:val="both"/>
      </w:pPr>
      <w:r>
        <w:t>УО трябва да бъде информиран за начина на изчисление на възнаграждението за изпълнение и да получава доклади</w:t>
      </w:r>
    </w:p>
    <w:p w:rsidR="003827AE" w:rsidRDefault="003827AE" w:rsidP="001A036E">
      <w:pPr>
        <w:numPr>
          <w:ilvl w:val="0"/>
          <w:numId w:val="131"/>
        </w:numPr>
        <w:spacing w:before="240"/>
        <w:jc w:val="both"/>
      </w:pPr>
      <w:r>
        <w:t>Таванът с натрупване за фонд на фондове е</w:t>
      </w:r>
      <w:r w:rsidRPr="00F210C7">
        <w:t xml:space="preserve"> 7% </w:t>
      </w:r>
      <w:r>
        <w:t xml:space="preserve">от общата стойност на изплатения принос от програмата </w:t>
      </w:r>
    </w:p>
    <w:p w:rsidR="003827AE" w:rsidRPr="00273ACA" w:rsidRDefault="003827AE" w:rsidP="003827AE">
      <w:pPr>
        <w:spacing w:after="0"/>
        <w:jc w:val="both"/>
        <w:rPr>
          <w:b/>
          <w:i/>
        </w:rPr>
      </w:pPr>
      <w:r w:rsidRPr="00273ACA">
        <w:rPr>
          <w:b/>
          <w:i/>
        </w:rPr>
        <w:t>По отношение на лихвите</w:t>
      </w:r>
      <w:r>
        <w:rPr>
          <w:b/>
          <w:i/>
        </w:rPr>
        <w:t xml:space="preserve"> и възвращаемостта на ресурса:</w:t>
      </w:r>
    </w:p>
    <w:p w:rsidR="003827AE" w:rsidRPr="00273ACA" w:rsidRDefault="003827AE" w:rsidP="001A036E">
      <w:pPr>
        <w:numPr>
          <w:ilvl w:val="0"/>
          <w:numId w:val="131"/>
        </w:numPr>
        <w:spacing w:before="240"/>
        <w:jc w:val="both"/>
      </w:pPr>
      <w:r>
        <w:t>Лихвите, получени от ресурса от ЕСИФ следва да се подчиняват на пазарния принцип в съответствие с правилото за добро финансово управление</w:t>
      </w:r>
    </w:p>
    <w:p w:rsidR="003827AE" w:rsidRDefault="003827AE" w:rsidP="001A036E">
      <w:pPr>
        <w:numPr>
          <w:ilvl w:val="0"/>
          <w:numId w:val="131"/>
        </w:numPr>
        <w:spacing w:before="240"/>
        <w:jc w:val="both"/>
      </w:pPr>
      <w:r>
        <w:t>Следва да бъдат използвани за същите цели (инвестиции/разходи) в рамките на същия финансов инструмент или под друга форма на подкрепа в съответствие с целите на съответния приоритет до края на периода на допустимост</w:t>
      </w:r>
    </w:p>
    <w:p w:rsidR="003827AE" w:rsidRPr="00273ACA" w:rsidRDefault="003827AE" w:rsidP="001A036E">
      <w:pPr>
        <w:numPr>
          <w:ilvl w:val="0"/>
          <w:numId w:val="131"/>
        </w:numPr>
        <w:spacing w:before="240"/>
        <w:jc w:val="both"/>
      </w:pPr>
      <w:r>
        <w:t>По време на периода на допустимост:</w:t>
      </w:r>
    </w:p>
    <w:p w:rsidR="003827AE" w:rsidRPr="00273ACA" w:rsidRDefault="003827AE" w:rsidP="001A036E">
      <w:pPr>
        <w:numPr>
          <w:ilvl w:val="0"/>
          <w:numId w:val="128"/>
        </w:numPr>
        <w:spacing w:after="0"/>
        <w:ind w:left="1134"/>
        <w:jc w:val="both"/>
      </w:pPr>
      <w:r>
        <w:t>Последващи инвестиции чрез същия или друг финансов инструмент</w:t>
      </w:r>
    </w:p>
    <w:p w:rsidR="003827AE" w:rsidRPr="00273ACA" w:rsidRDefault="003827AE" w:rsidP="001A036E">
      <w:pPr>
        <w:numPr>
          <w:ilvl w:val="0"/>
          <w:numId w:val="128"/>
        </w:numPr>
        <w:spacing w:after="0"/>
        <w:ind w:left="1134"/>
        <w:jc w:val="both"/>
      </w:pPr>
      <w:r>
        <w:t>Ако е приложимо, преференциално възнаграждение за ко-финансиране</w:t>
      </w:r>
    </w:p>
    <w:p w:rsidR="003827AE" w:rsidRPr="00273ACA" w:rsidRDefault="003827AE" w:rsidP="001A036E">
      <w:pPr>
        <w:numPr>
          <w:ilvl w:val="0"/>
          <w:numId w:val="128"/>
        </w:numPr>
        <w:spacing w:after="0"/>
        <w:ind w:left="1134"/>
        <w:jc w:val="both"/>
      </w:pPr>
      <w:r>
        <w:t>Възстановяване на разходите</w:t>
      </w:r>
    </w:p>
    <w:p w:rsidR="003827AE" w:rsidRPr="00273ACA" w:rsidRDefault="003827AE" w:rsidP="001A036E">
      <w:pPr>
        <w:numPr>
          <w:ilvl w:val="0"/>
          <w:numId w:val="128"/>
        </w:numPr>
        <w:spacing w:after="0"/>
        <w:ind w:left="1134"/>
        <w:jc w:val="both"/>
      </w:pPr>
      <w:r>
        <w:t>Принос към целите и резултатите на програмата</w:t>
      </w:r>
      <w:r w:rsidRPr="00273ACA">
        <w:t xml:space="preserve"> </w:t>
      </w:r>
    </w:p>
    <w:p w:rsidR="003827AE" w:rsidRPr="00273ACA" w:rsidRDefault="003827AE" w:rsidP="001A036E">
      <w:pPr>
        <w:numPr>
          <w:ilvl w:val="0"/>
          <w:numId w:val="131"/>
        </w:numPr>
        <w:spacing w:before="240"/>
        <w:jc w:val="both"/>
      </w:pPr>
      <w:r>
        <w:t>След периода на допустимост:</w:t>
      </w:r>
    </w:p>
    <w:p w:rsidR="003827AE" w:rsidRPr="00273ACA" w:rsidRDefault="003827AE" w:rsidP="001A036E">
      <w:pPr>
        <w:numPr>
          <w:ilvl w:val="0"/>
          <w:numId w:val="128"/>
        </w:numPr>
        <w:spacing w:after="0"/>
        <w:ind w:left="1134"/>
        <w:jc w:val="both"/>
      </w:pPr>
      <w:r>
        <w:t>Последващи инвестиции чрез същия или друг финансов инструмент</w:t>
      </w:r>
    </w:p>
    <w:p w:rsidR="003827AE" w:rsidRPr="00273ACA" w:rsidRDefault="003827AE" w:rsidP="001A036E">
      <w:pPr>
        <w:numPr>
          <w:ilvl w:val="0"/>
          <w:numId w:val="128"/>
        </w:numPr>
        <w:spacing w:after="0"/>
        <w:ind w:left="1134"/>
        <w:jc w:val="both"/>
      </w:pPr>
      <w:r>
        <w:t>Рециклиране за минимум 8 години в съответствие с първоначалните цели или ако целите на програмата все още отговарят на нуждите на пазара</w:t>
      </w:r>
      <w:r w:rsidRPr="00273ACA">
        <w:t xml:space="preserve"> </w:t>
      </w:r>
    </w:p>
    <w:p w:rsidR="003827AE" w:rsidRDefault="003827AE" w:rsidP="003827AE">
      <w:pPr>
        <w:spacing w:before="240"/>
        <w:jc w:val="both"/>
      </w:pPr>
      <w:r>
        <w:lastRenderedPageBreak/>
        <w:t>В допълнение, по-долу е представена схема, въз основа на която е оценен стимула за участие на финансов посредник в схема за гаранционно финансиране с ограничено портфолио на гаранцията:</w:t>
      </w:r>
    </w:p>
    <w:p w:rsidR="003827AE" w:rsidRPr="00984C07" w:rsidRDefault="003827AE" w:rsidP="001A036E">
      <w:pPr>
        <w:numPr>
          <w:ilvl w:val="0"/>
          <w:numId w:val="69"/>
        </w:numPr>
        <w:spacing w:before="240"/>
        <w:jc w:val="both"/>
        <w:rPr>
          <w:b/>
          <w:color w:val="2E74B5" w:themeColor="accent1" w:themeShade="BF"/>
        </w:rPr>
      </w:pPr>
      <w:r w:rsidRPr="00984C07">
        <w:rPr>
          <w:b/>
          <w:color w:val="2E74B5" w:themeColor="accent1" w:themeShade="BF"/>
        </w:rPr>
        <w:t>Допускания</w:t>
      </w:r>
    </w:p>
    <w:p w:rsidR="003827AE" w:rsidRDefault="003827AE" w:rsidP="001A036E">
      <w:pPr>
        <w:numPr>
          <w:ilvl w:val="0"/>
          <w:numId w:val="131"/>
        </w:numPr>
        <w:spacing w:after="0"/>
        <w:ind w:left="1134"/>
        <w:jc w:val="both"/>
      </w:pPr>
      <w:r>
        <w:t>Стойност на заема – 3 млн. евро</w:t>
      </w:r>
    </w:p>
    <w:p w:rsidR="003827AE" w:rsidRDefault="003827AE" w:rsidP="001A036E">
      <w:pPr>
        <w:numPr>
          <w:ilvl w:val="0"/>
          <w:numId w:val="131"/>
        </w:numPr>
        <w:spacing w:after="0"/>
        <w:ind w:left="1134"/>
        <w:jc w:val="both"/>
      </w:pPr>
      <w:r>
        <w:t>Процент на гаранцията - 80%</w:t>
      </w:r>
    </w:p>
    <w:p w:rsidR="003827AE" w:rsidRDefault="003827AE" w:rsidP="001A036E">
      <w:pPr>
        <w:numPr>
          <w:ilvl w:val="0"/>
          <w:numId w:val="131"/>
        </w:numPr>
        <w:spacing w:after="0"/>
        <w:ind w:left="1134"/>
        <w:jc w:val="both"/>
      </w:pPr>
      <w:r>
        <w:t>Таван на ограничението – 25%</w:t>
      </w:r>
    </w:p>
    <w:p w:rsidR="003827AE" w:rsidRDefault="003827AE" w:rsidP="001A036E">
      <w:pPr>
        <w:numPr>
          <w:ilvl w:val="0"/>
          <w:numId w:val="131"/>
        </w:numPr>
        <w:spacing w:after="0"/>
        <w:ind w:left="1134"/>
        <w:jc w:val="both"/>
      </w:pPr>
      <w:r>
        <w:t>Ефект на лоста – 1/(80%/25%) = 5</w:t>
      </w:r>
    </w:p>
    <w:p w:rsidR="00FE6CF2" w:rsidRDefault="00FE6CF2" w:rsidP="00FE6CF2">
      <w:pPr>
        <w:spacing w:after="0"/>
        <w:jc w:val="both"/>
      </w:pPr>
    </w:p>
    <w:p w:rsidR="003827AE" w:rsidRPr="00984C07" w:rsidRDefault="00896C88" w:rsidP="001A036E">
      <w:pPr>
        <w:numPr>
          <w:ilvl w:val="0"/>
          <w:numId w:val="69"/>
        </w:numPr>
        <w:spacing w:before="240"/>
        <w:jc w:val="both"/>
        <w:rPr>
          <w:b/>
          <w:color w:val="2E74B5" w:themeColor="accent1" w:themeShade="BF"/>
        </w:rPr>
      </w:pPr>
      <w:r>
        <w:rPr>
          <w:b/>
          <w:noProof/>
          <w:color w:val="2E74B5" w:themeColor="accent1" w:themeShade="BF"/>
          <w:lang w:eastAsia="bg-BG"/>
        </w:rPr>
        <mc:AlternateContent>
          <mc:Choice Requires="wps">
            <w:drawing>
              <wp:anchor distT="0" distB="0" distL="114300" distR="114300" simplePos="0" relativeHeight="251753472" behindDoc="0" locked="0" layoutInCell="1" allowOverlap="1" wp14:anchorId="236778D3">
                <wp:simplePos x="0" y="0"/>
                <wp:positionH relativeFrom="column">
                  <wp:posOffset>4759325</wp:posOffset>
                </wp:positionH>
                <wp:positionV relativeFrom="paragraph">
                  <wp:posOffset>-132080</wp:posOffset>
                </wp:positionV>
                <wp:extent cx="1242060" cy="535305"/>
                <wp:effectExtent l="0" t="0" r="0" b="0"/>
                <wp:wrapNone/>
                <wp:docPr id="57"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060" cy="535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Pr="00BF542B" w:rsidRDefault="00EA2176" w:rsidP="003827AE">
                            <w:pPr>
                              <w:spacing w:after="0"/>
                              <w:jc w:val="center"/>
                              <w:rPr>
                                <w:b/>
                                <w:sz w:val="16"/>
                                <w:szCs w:val="16"/>
                              </w:rPr>
                            </w:pPr>
                            <w:r w:rsidRPr="00BF542B">
                              <w:rPr>
                                <w:b/>
                                <w:sz w:val="16"/>
                                <w:szCs w:val="16"/>
                              </w:rPr>
                              <w:t>До тавана на ограничението</w:t>
                            </w:r>
                          </w:p>
                          <w:p w:rsidR="00EA2176" w:rsidRPr="00BF542B" w:rsidRDefault="00EA2176" w:rsidP="003827AE">
                            <w:pPr>
                              <w:spacing w:after="0"/>
                              <w:jc w:val="center"/>
                              <w:rPr>
                                <w:b/>
                                <w:sz w:val="16"/>
                                <w:szCs w:val="16"/>
                              </w:rPr>
                            </w:pPr>
                            <w:r w:rsidRPr="00BF542B">
                              <w:rPr>
                                <w:b/>
                                <w:sz w:val="16"/>
                                <w:szCs w:val="16"/>
                              </w:rPr>
                              <w:t>(принос от програмата)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6778D3" id="Text Box 50" o:spid="_x0000_s1076" type="#_x0000_t202" style="position:absolute;left:0;text-align:left;margin-left:374.75pt;margin-top:-10.4pt;width:97.8pt;height:42.1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" stroked="f">
                <v:textbox>
                  <w:txbxContent>
                    <w:p w:rsidR="00EA2176" w:rsidRPr="00BF542B" w:rsidRDefault="00EA2176" w:rsidP="003827AE">
                      <w:pPr>
                        <w:spacing w:after="0"/>
                        <w:jc w:val="center"/>
                        <w:rPr>
                          <w:b/>
                          <w:sz w:val="16"/>
                          <w:szCs w:val="16"/>
                        </w:rPr>
                      </w:pPr>
                      <w:r w:rsidRPr="00BF542B">
                        <w:rPr>
                          <w:b/>
                          <w:sz w:val="16"/>
                          <w:szCs w:val="16"/>
                        </w:rPr>
                        <w:t>До тавана на ограничението</w:t>
                      </w:r>
                    </w:p>
                    <w:p w:rsidR="00EA2176" w:rsidRPr="00BF542B" w:rsidRDefault="00EA2176" w:rsidP="003827AE">
                      <w:pPr>
                        <w:spacing w:after="0"/>
                        <w:jc w:val="center"/>
                        <w:rPr>
                          <w:b/>
                          <w:sz w:val="16"/>
                          <w:szCs w:val="16"/>
                        </w:rPr>
                      </w:pPr>
                      <w:r w:rsidRPr="00BF542B">
                        <w:rPr>
                          <w:b/>
                          <w:sz w:val="16"/>
                          <w:szCs w:val="16"/>
                        </w:rPr>
                        <w:t>(принос от програмата)</w:t>
                      </w:r>
                    </w:p>
                  </w:txbxContent>
                </v:textbox>
              </v:shape>
            </w:pict>
          </mc:Fallback>
        </mc:AlternateContent>
      </w:r>
      <w:r w:rsidR="003827AE">
        <w:rPr>
          <w:b/>
          <w:color w:val="2E74B5" w:themeColor="accent1" w:themeShade="BF"/>
        </w:rPr>
        <w:t>В случай на лош кредит</w:t>
      </w:r>
    </w:p>
    <w:p w:rsidR="003827AE" w:rsidRDefault="00896C88" w:rsidP="001A036E">
      <w:pPr>
        <w:numPr>
          <w:ilvl w:val="0"/>
          <w:numId w:val="131"/>
        </w:numPr>
        <w:spacing w:after="0"/>
        <w:ind w:left="1134"/>
        <w:jc w:val="both"/>
      </w:pPr>
      <w:r>
        <w:rPr>
          <w:noProof/>
          <w:lang w:eastAsia="bg-BG"/>
        </w:rPr>
        <mc:AlternateContent>
          <mc:Choice Requires="wpg">
            <w:drawing>
              <wp:anchor distT="0" distB="0" distL="114300" distR="114300" simplePos="0" relativeHeight="251754496" behindDoc="0" locked="0" layoutInCell="1" allowOverlap="1" wp14:anchorId="002EEAEB">
                <wp:simplePos x="0" y="0"/>
                <wp:positionH relativeFrom="column">
                  <wp:posOffset>3858260</wp:posOffset>
                </wp:positionH>
                <wp:positionV relativeFrom="paragraph">
                  <wp:posOffset>118745</wp:posOffset>
                </wp:positionV>
                <wp:extent cx="2419350" cy="2854325"/>
                <wp:effectExtent l="38100" t="38100" r="0" b="3175"/>
                <wp:wrapNone/>
                <wp:docPr id="49"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9350" cy="2854325"/>
                          <a:chOff x="7298" y="2855"/>
                          <a:chExt cx="3810" cy="4495"/>
                        </a:xfrm>
                      </wpg:grpSpPr>
                      <wps:wsp>
                        <wps:cNvPr id="50" name="AutoShape 5"/>
                        <wps:cNvCnPr>
                          <a:cxnSpLocks noChangeShapeType="1"/>
                        </wps:cNvCnPr>
                        <wps:spPr bwMode="auto">
                          <a:xfrm flipV="1">
                            <a:off x="9863" y="2855"/>
                            <a:ext cx="0" cy="37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 name="Text Box 6"/>
                        <wps:cNvSpPr txBox="1">
                          <a:spLocks noChangeArrowheads="1"/>
                        </wps:cNvSpPr>
                        <wps:spPr bwMode="auto">
                          <a:xfrm>
                            <a:off x="9152" y="6684"/>
                            <a:ext cx="1956" cy="6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Pr="00BF542B" w:rsidRDefault="00EA2176" w:rsidP="003827AE">
                              <w:pPr>
                                <w:spacing w:after="0"/>
                                <w:jc w:val="center"/>
                                <w:rPr>
                                  <w:b/>
                                  <w:sz w:val="16"/>
                                  <w:szCs w:val="16"/>
                                </w:rPr>
                              </w:pPr>
                              <w:r w:rsidRPr="00BF542B">
                                <w:rPr>
                                  <w:b/>
                                  <w:sz w:val="16"/>
                                  <w:szCs w:val="16"/>
                                </w:rPr>
                                <w:t>Интерес на финансовия посредник</w:t>
                              </w:r>
                            </w:p>
                          </w:txbxContent>
                        </wps:txbx>
                        <wps:bodyPr rot="0" vert="horz" wrap="square" lIns="91440" tIns="45720" rIns="91440" bIns="45720" anchor="t" anchorCtr="0" upright="1">
                          <a:noAutofit/>
                        </wps:bodyPr>
                      </wps:wsp>
                      <wps:wsp>
                        <wps:cNvPr id="55" name="AutoShape 7"/>
                        <wps:cNvCnPr>
                          <a:cxnSpLocks noChangeShapeType="1"/>
                        </wps:cNvCnPr>
                        <wps:spPr bwMode="auto">
                          <a:xfrm flipH="1">
                            <a:off x="8202" y="7173"/>
                            <a:ext cx="83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 name="AutoShape 8"/>
                        <wps:cNvCnPr>
                          <a:cxnSpLocks noChangeShapeType="1"/>
                        </wps:cNvCnPr>
                        <wps:spPr bwMode="auto">
                          <a:xfrm flipH="1" flipV="1">
                            <a:off x="7298" y="3559"/>
                            <a:ext cx="2784" cy="297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2EEAEB" id="Group 44" o:spid="_x0000_s1077" style="position:absolute;left:0;text-align:left;margin-left:303.8pt;margin-top:9.35pt;width:190.5pt;height:224.75pt;z-index:251754496" coordorigin="7298,2855" coordsize="3810,4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">
                <v:shape id="AutoShape 5" o:spid="_x0000_s1078" type="#_x0000_t32" style="position:absolute;left:9863;top:2855;width:0;height:37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Cpm74AAADbAAAADwAAAGRycy9kb3ducmV2LnhtbERPy4rCMBTdC/5DuII7mzqgDNUoM4Ig&#10;bsQH6PLS3GnDNDelyTT1781iwOXhvNfbwTaip84bxwrmWQ6CuHTacKXgdt3PPkH4gKyxcUwKnuRh&#10;uxmP1lhoF/lM/SVUIoWwL1BBHUJbSOnLmiz6zLXEiftxncWQYFdJ3WFM4baRH3m+lBYNp4YaW9rV&#10;VP5e/qwCE0+mbw+7+H28P7yOZJ4LZ5SaToavFYhAQ3iL/90HrWCR1qcv6QfIzQs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hEKmbvgAAANsAAAAPAAAAAAAAAAAAAAAAAKEC&#10;AABkcnMvZG93bnJldi54bWxQSwUGAAAAAAQABAD5AAAAjAMAAAAA&#10;">
                  <v:stroke endarrow="block"/>
                </v:shape>
                <v:shape id="_x0000_s1079" type="#_x0000_t202" style="position:absolute;left:9152;top:6684;width:1956;height:6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ncysMA&#10;AADbAAAADwAAAGRycy9kb3ducmV2LnhtbESP3WrCQBSE7wu+w3IEb4purI22qatUocXbqA9wzB6T&#10;0OzZkF3z8/ZdQfBymJlvmPW2N5VoqXGlZQXzWQSCOLO65FzB+fQz/QDhPLLGyjIpGMjBdjN6WWOi&#10;bccptUefiwBhl6CCwvs6kdJlBRl0M1sTB+9qG4M+yCaXusEuwE0l36JoKQ2WHBYKrGlfUPZ3vBkF&#10;10P3Gn92l19/XqXvyx2Wq4sdlJqM++8vEJ56/ww/2getIF7A/Uv4AX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ncysMAAADbAAAADwAAAAAAAAAAAAAAAACYAgAAZHJzL2Rv&#10;d25yZXYueG1sUEsFBgAAAAAEAAQA9QAAAIgDAAAAAA==&#10;" stroked="f">
                  <v:textbox>
                    <w:txbxContent>
                      <w:p w:rsidR="00EA2176" w:rsidRPr="00BF542B" w:rsidRDefault="00EA2176" w:rsidP="003827AE">
                        <w:pPr>
                          <w:spacing w:after="0"/>
                          <w:jc w:val="center"/>
                          <w:rPr>
                            <w:b/>
                            <w:sz w:val="16"/>
                            <w:szCs w:val="16"/>
                          </w:rPr>
                        </w:pPr>
                        <w:r w:rsidRPr="00BF542B">
                          <w:rPr>
                            <w:b/>
                            <w:sz w:val="16"/>
                            <w:szCs w:val="16"/>
                          </w:rPr>
                          <w:t>Интерес на финансовия посредник</w:t>
                        </w:r>
                      </w:p>
                    </w:txbxContent>
                  </v:textbox>
                </v:shape>
                <v:shape id="AutoShape 7" o:spid="_x0000_s1080" type="#_x0000_t32" style="position:absolute;left:8202;top:7173;width:8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cKA8IAAADbAAAADwAAAGRycy9kb3ducmV2LnhtbESPwWrDMBBE74X8g9hAb7XcgEtxopjU&#10;EAi9lKaB9rhYG1vEWhlLtZy/rwqBHIeZecNsqtn2YqLRG8cKnrMcBHHjtOFWwelr//QKwgdkjb1j&#10;UnAlD9V28bDBUrvInzQdQysShH2JCroQhlJK33Rk0WduIE7e2Y0WQ5JjK/WIMcFtL1d5/iItGk4L&#10;HQ5Ud9Rcjr9WgYkfZhoOdXx7//7xOpK5Fs4o9bicd2sQgeZwD9/aB62gKOD/S/oBcv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WcKA8IAAADbAAAADwAAAAAAAAAAAAAA&#10;AAChAgAAZHJzL2Rvd25yZXYueG1sUEsFBgAAAAAEAAQA+QAAAJADAAAAAA==&#10;">
                  <v:stroke endarrow="block"/>
                </v:shape>
                <v:shape id="AutoShape 8" o:spid="_x0000_s1081" type="#_x0000_t32" style="position:absolute;left:7298;top:3559;width:2784;height:297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aHvsMAAADbAAAADwAAAGRycy9kb3ducmV2LnhtbESPzWrDMBCE74W+g9hCb41c45jUjRJK&#10;S6GEXPJzyHGxNrKJtTLWNnHfvgoEchxm5htmvhx9p840xDawgddJBoq4DrZlZ2C/+36ZgYqCbLEL&#10;TAb+KMJy8fgwx8qGC2/ovBWnEoRjhQYakb7SOtYNeYyT0BMn7xgGj5Lk4LQd8JLgvtN5lpXaY8tp&#10;ocGePhuqT9tfb+Cw9+u3vPjyrnA72Qit2rwojXl+Gj/eQQmNcg/f2j/WwLSE65f0A/Ti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Gh77DAAAA2wAAAA8AAAAAAAAAAAAA&#10;AAAAoQIAAGRycy9kb3ducmV2LnhtbFBLBQYAAAAABAAEAPkAAACRAwAAAAA=&#10;">
                  <v:stroke endarrow="block"/>
                </v:shape>
              </v:group>
            </w:pict>
          </mc:Fallback>
        </mc:AlternateContent>
      </w:r>
      <w:r w:rsidR="003827AE">
        <w:t>Оставаща сума за погасяване – 2 млн. евро</w:t>
      </w:r>
    </w:p>
    <w:p w:rsidR="003827AE" w:rsidRDefault="003827AE" w:rsidP="001A036E">
      <w:pPr>
        <w:numPr>
          <w:ilvl w:val="0"/>
          <w:numId w:val="131"/>
        </w:numPr>
        <w:spacing w:after="0"/>
        <w:ind w:left="1134"/>
        <w:jc w:val="both"/>
      </w:pPr>
      <w:r>
        <w:t>Банката уведомява фонда за задействането на гаранцията</w:t>
      </w:r>
    </w:p>
    <w:p w:rsidR="003827AE" w:rsidRDefault="003827AE" w:rsidP="001A036E">
      <w:pPr>
        <w:numPr>
          <w:ilvl w:val="0"/>
          <w:numId w:val="131"/>
        </w:numPr>
        <w:spacing w:after="0"/>
        <w:ind w:left="1134"/>
        <w:jc w:val="both"/>
      </w:pPr>
      <w:r w:rsidRPr="00BF542B">
        <w:rPr>
          <w:b/>
        </w:rPr>
        <w:t xml:space="preserve">Фондът изплаща лошия кредит в рамките на 60 дни: </w:t>
      </w:r>
      <w:r>
        <w:t>2 млн. евро х 80% = 1,6 млн. евро</w:t>
      </w:r>
    </w:p>
    <w:p w:rsidR="003827AE" w:rsidRPr="00984C07" w:rsidRDefault="003827AE" w:rsidP="001A036E">
      <w:pPr>
        <w:numPr>
          <w:ilvl w:val="0"/>
          <w:numId w:val="69"/>
        </w:numPr>
        <w:spacing w:before="240"/>
        <w:jc w:val="both"/>
        <w:rPr>
          <w:b/>
          <w:color w:val="2E74B5" w:themeColor="accent1" w:themeShade="BF"/>
        </w:rPr>
      </w:pPr>
      <w:r>
        <w:rPr>
          <w:b/>
          <w:color w:val="2E74B5" w:themeColor="accent1" w:themeShade="BF"/>
        </w:rPr>
        <w:t>Действия за възстановяване на загубите</w:t>
      </w:r>
    </w:p>
    <w:p w:rsidR="003827AE" w:rsidRDefault="003827AE" w:rsidP="001A036E">
      <w:pPr>
        <w:numPr>
          <w:ilvl w:val="0"/>
          <w:numId w:val="131"/>
        </w:numPr>
        <w:spacing w:after="0"/>
        <w:ind w:left="1134"/>
        <w:jc w:val="both"/>
      </w:pPr>
      <w:r>
        <w:t>Възстановена сума – 1,5 млн. евро (от 2 млн. евро)</w:t>
      </w:r>
    </w:p>
    <w:p w:rsidR="003827AE" w:rsidRDefault="003827AE" w:rsidP="001A036E">
      <w:pPr>
        <w:numPr>
          <w:ilvl w:val="0"/>
          <w:numId w:val="131"/>
        </w:numPr>
        <w:spacing w:after="0"/>
        <w:ind w:left="1134"/>
        <w:jc w:val="both"/>
      </w:pPr>
      <w:r>
        <w:t>Част на фонда – 1,5 млн. евро х 80% = 1,2 млн. евро</w:t>
      </w:r>
    </w:p>
    <w:p w:rsidR="003827AE" w:rsidRDefault="003827AE" w:rsidP="001A036E">
      <w:pPr>
        <w:numPr>
          <w:ilvl w:val="0"/>
          <w:numId w:val="131"/>
        </w:numPr>
        <w:spacing w:after="0"/>
        <w:ind w:left="1134"/>
        <w:jc w:val="both"/>
      </w:pPr>
      <w:r>
        <w:t>Част на финансовия посредник – 0,3 млн. евро</w:t>
      </w:r>
    </w:p>
    <w:p w:rsidR="003827AE" w:rsidRPr="00984C07" w:rsidRDefault="003827AE" w:rsidP="001A036E">
      <w:pPr>
        <w:numPr>
          <w:ilvl w:val="0"/>
          <w:numId w:val="69"/>
        </w:numPr>
        <w:spacing w:before="240"/>
        <w:jc w:val="both"/>
        <w:rPr>
          <w:b/>
          <w:color w:val="2E74B5" w:themeColor="accent1" w:themeShade="BF"/>
        </w:rPr>
      </w:pPr>
      <w:r>
        <w:rPr>
          <w:b/>
          <w:color w:val="2E74B5" w:themeColor="accent1" w:themeShade="BF"/>
        </w:rPr>
        <w:t>Действия за връщане</w:t>
      </w:r>
    </w:p>
    <w:p w:rsidR="003827AE" w:rsidRDefault="003827AE" w:rsidP="001A036E">
      <w:pPr>
        <w:numPr>
          <w:ilvl w:val="0"/>
          <w:numId w:val="131"/>
        </w:numPr>
        <w:spacing w:after="0"/>
        <w:ind w:left="1134"/>
        <w:jc w:val="both"/>
      </w:pPr>
      <w:r>
        <w:t>Без финансовия инструмент финансовия посредник щеше да загуби:</w:t>
      </w:r>
    </w:p>
    <w:p w:rsidR="003827AE" w:rsidRDefault="003827AE" w:rsidP="003827AE">
      <w:pPr>
        <w:spacing w:after="0"/>
        <w:ind w:left="1134"/>
        <w:jc w:val="both"/>
      </w:pPr>
      <w:r>
        <w:t>2 млн. евро – 1,5 млн. евро = 0,5 млн. евро</w:t>
      </w:r>
    </w:p>
    <w:p w:rsidR="003827AE" w:rsidRDefault="003827AE" w:rsidP="001A036E">
      <w:pPr>
        <w:numPr>
          <w:ilvl w:val="0"/>
          <w:numId w:val="131"/>
        </w:numPr>
        <w:spacing w:after="0"/>
        <w:ind w:left="1134"/>
        <w:jc w:val="both"/>
      </w:pPr>
      <w:r>
        <w:t>С финансовия инструмент финансовия посредник губи:</w:t>
      </w:r>
    </w:p>
    <w:p w:rsidR="003827AE" w:rsidRDefault="003827AE" w:rsidP="003827AE">
      <w:pPr>
        <w:spacing w:after="0"/>
        <w:ind w:left="720" w:firstLine="414"/>
        <w:jc w:val="both"/>
      </w:pPr>
      <w:r>
        <w:t xml:space="preserve">2 млн. евро – 1,6 млн. евро – 0,3 млн. евро = </w:t>
      </w:r>
      <w:r w:rsidRPr="00BF542B">
        <w:rPr>
          <w:b/>
        </w:rPr>
        <w:t>0,1 млн. евро</w:t>
      </w:r>
    </w:p>
    <w:p w:rsidR="00B94CAA" w:rsidRDefault="00B94CAA" w:rsidP="003827AE">
      <w:pPr>
        <w:spacing w:after="0"/>
        <w:ind w:left="1134"/>
        <w:jc w:val="both"/>
        <w:sectPr w:rsidR="00B94CAA" w:rsidSect="006E39EC">
          <w:pgSz w:w="11906" w:h="16838"/>
          <w:pgMar w:top="1417" w:right="1416" w:bottom="1417" w:left="1417" w:header="708" w:footer="105" w:gutter="0"/>
          <w:cols w:space="708"/>
          <w:titlePg/>
          <w:docGrid w:linePitch="360"/>
        </w:sectPr>
      </w:pPr>
    </w:p>
    <w:p w:rsidR="005A78B8" w:rsidRDefault="00181C9C" w:rsidP="00181C9C">
      <w:pPr>
        <w:pStyle w:val="Heading1"/>
        <w:rPr>
          <w:rFonts w:asciiTheme="minorHAnsi" w:hAnsiTheme="minorHAnsi" w:cs="Times New Roman"/>
          <w:b/>
        </w:rPr>
      </w:pPr>
      <w:bookmarkStart w:id="166" w:name="_Toc399494559"/>
      <w:r w:rsidRPr="00817A5B">
        <w:rPr>
          <w:rFonts w:asciiTheme="minorHAnsi" w:hAnsiTheme="minorHAnsi" w:cs="Times New Roman"/>
          <w:b/>
        </w:rPr>
        <w:lastRenderedPageBreak/>
        <w:t xml:space="preserve">4. </w:t>
      </w:r>
      <w:r w:rsidR="005A78B8" w:rsidRPr="00817A5B">
        <w:rPr>
          <w:rFonts w:asciiTheme="minorHAnsi" w:hAnsiTheme="minorHAnsi" w:cs="Times New Roman"/>
          <w:b/>
        </w:rPr>
        <w:t>Извлечени поуки</w:t>
      </w:r>
      <w:bookmarkEnd w:id="166"/>
    </w:p>
    <w:p w:rsidR="00C43A5F" w:rsidRDefault="00C43A5F" w:rsidP="00C43A5F">
      <w:pPr>
        <w:spacing w:before="240"/>
      </w:pPr>
      <w:r>
        <w:t>Анализът в този раздел е направен последователно, преминавайки през следните стъпки:</w:t>
      </w:r>
    </w:p>
    <w:p w:rsidR="00C43A5F" w:rsidRPr="00C43A5F" w:rsidRDefault="00C43A5F" w:rsidP="00C43A5F">
      <w:pPr>
        <w:spacing w:before="240"/>
      </w:pPr>
      <w:r>
        <w:rPr>
          <w:noProof/>
          <w:lang w:eastAsia="bg-BG"/>
        </w:rPr>
        <w:drawing>
          <wp:inline distT="0" distB="0" distL="0" distR="0">
            <wp:extent cx="5486400" cy="3200400"/>
            <wp:effectExtent l="0" t="0" r="0" b="0"/>
            <wp:docPr id="35" name="Diagram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2" r:lo="rId153" r:qs="rId154" r:cs="rId155"/>
              </a:graphicData>
            </a:graphic>
          </wp:inline>
        </w:drawing>
      </w:r>
    </w:p>
    <w:p w:rsidR="00034D0F" w:rsidRPr="006412CD" w:rsidRDefault="00034D0F" w:rsidP="00386A68">
      <w:pPr>
        <w:pStyle w:val="Heading2"/>
        <w:spacing w:after="240"/>
        <w:rPr>
          <w:rFonts w:asciiTheme="minorHAnsi" w:hAnsiTheme="minorHAnsi" w:cs="Times New Roman"/>
        </w:rPr>
      </w:pPr>
      <w:bookmarkStart w:id="167" w:name="_Toc399494560"/>
      <w:r w:rsidRPr="006412CD">
        <w:rPr>
          <w:rFonts w:asciiTheme="minorHAnsi" w:hAnsiTheme="minorHAnsi" w:cs="Times New Roman"/>
        </w:rPr>
        <w:t>4.1. Анализ на добри практики по прилагането на инструментите за финансов инженеринг в други страни членки на ЕС в сектор околна среда</w:t>
      </w:r>
      <w:bookmarkEnd w:id="167"/>
    </w:p>
    <w:p w:rsidR="00640622" w:rsidRPr="00EA3FA0" w:rsidRDefault="00640622" w:rsidP="00EA3FA0">
      <w:pPr>
        <w:pStyle w:val="Heading3"/>
      </w:pPr>
      <w:bookmarkStart w:id="168" w:name="_Toc399494561"/>
      <w:r w:rsidRPr="00EA3FA0">
        <w:t>4.1.1. Използване на финансови инструменти в страните членки на ЕС в периода 2007-2013г.</w:t>
      </w:r>
      <w:bookmarkEnd w:id="168"/>
    </w:p>
    <w:p w:rsidR="0018004F" w:rsidRPr="0018004F" w:rsidRDefault="0018004F"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t>През периода 2007-2013г. са използвани три основни форми на финансов инженеринг:</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A036E">
      <w:pPr>
        <w:numPr>
          <w:ilvl w:val="0"/>
          <w:numId w:val="97"/>
        </w:numPr>
        <w:spacing w:after="0" w:line="240" w:lineRule="auto"/>
        <w:ind w:right="301"/>
        <w:jc w:val="both"/>
        <w:rPr>
          <w:rFonts w:ascii="Calibri" w:eastAsia="Calibri" w:hAnsi="Calibri" w:cs="Times New Roman"/>
        </w:rPr>
      </w:pPr>
      <w:r w:rsidRPr="0018004F">
        <w:rPr>
          <w:rFonts w:ascii="Calibri" w:eastAsia="Calibri" w:hAnsi="Calibri" w:cs="Times New Roman"/>
          <w:b/>
        </w:rPr>
        <w:t xml:space="preserve">Капитал </w:t>
      </w:r>
      <w:r w:rsidRPr="0018004F">
        <w:rPr>
          <w:rFonts w:ascii="Calibri" w:eastAsia="Calibri" w:hAnsi="Calibri" w:cs="Times New Roman"/>
        </w:rPr>
        <w:t>– директни инвестиции в дяловия капитал. Включва собственост и капацитет за влияние в обекта на инвестицията. Може да покрие началния капитал или увеличаване на капитала. Разпознава се още като рисков капитал, който е строго определен вид частен капитал. Може да приеме различни форми с различно ниво на риск. Рискът за инвеститора може да бъде висок, както и възвръщаемостта.</w:t>
      </w:r>
    </w:p>
    <w:p w:rsidR="0018004F" w:rsidRPr="0018004F" w:rsidRDefault="0018004F" w:rsidP="001A036E">
      <w:pPr>
        <w:numPr>
          <w:ilvl w:val="0"/>
          <w:numId w:val="97"/>
        </w:numPr>
        <w:spacing w:after="0" w:line="240" w:lineRule="auto"/>
        <w:ind w:right="301"/>
        <w:jc w:val="both"/>
        <w:rPr>
          <w:rFonts w:ascii="Calibri" w:eastAsia="Calibri" w:hAnsi="Calibri" w:cs="Times New Roman"/>
          <w:b/>
        </w:rPr>
      </w:pPr>
      <w:r w:rsidRPr="0018004F">
        <w:rPr>
          <w:rFonts w:ascii="Calibri" w:eastAsia="Calibri" w:hAnsi="Calibri" w:cs="Times New Roman"/>
          <w:b/>
        </w:rPr>
        <w:t xml:space="preserve">Заеми - </w:t>
      </w:r>
      <w:r w:rsidRPr="0018004F">
        <w:rPr>
          <w:rFonts w:ascii="Calibri" w:eastAsia="Calibri" w:hAnsi="Calibri" w:cs="Times New Roman"/>
        </w:rPr>
        <w:t>заеми за финансиране на стопански дейности или проекти, в продължение на период от време и при договорен лихвен процент на възвръщаемост, обикновено въз основа на качеството на паричния поток и стойност на основните активи; може да бъде по пазарни или субсидирани условия.</w:t>
      </w:r>
    </w:p>
    <w:p w:rsidR="0018004F" w:rsidRPr="0018004F" w:rsidRDefault="0018004F" w:rsidP="001A036E">
      <w:pPr>
        <w:numPr>
          <w:ilvl w:val="0"/>
          <w:numId w:val="97"/>
        </w:numPr>
        <w:spacing w:after="0" w:line="240" w:lineRule="auto"/>
        <w:ind w:right="301"/>
        <w:jc w:val="both"/>
        <w:rPr>
          <w:rFonts w:ascii="Calibri" w:eastAsia="Calibri" w:hAnsi="Calibri" w:cs="Times New Roman"/>
          <w:b/>
        </w:rPr>
      </w:pPr>
      <w:r w:rsidRPr="0018004F">
        <w:rPr>
          <w:rFonts w:ascii="Calibri" w:eastAsia="Calibri" w:hAnsi="Calibri" w:cs="Times New Roman"/>
          <w:b/>
        </w:rPr>
        <w:t xml:space="preserve">Гаранции - </w:t>
      </w:r>
      <w:r w:rsidRPr="0018004F">
        <w:rPr>
          <w:rFonts w:ascii="Calibri" w:eastAsia="Calibri" w:hAnsi="Calibri" w:cs="Times New Roman"/>
        </w:rPr>
        <w:t xml:space="preserve">средства обезпечаване сигурността на предприятията, които не са в състояние да получат финансиране по друг начин; може да покрие целия или част от капитала. Може да бъде под формата на гаранции по банкови заеми, микрокредити или собствен капитал. Могат да включва такса или по-висока </w:t>
      </w:r>
      <w:r w:rsidRPr="0018004F">
        <w:rPr>
          <w:rFonts w:ascii="Calibri" w:eastAsia="Calibri" w:hAnsi="Calibri" w:cs="Times New Roman"/>
        </w:rPr>
        <w:br/>
        <w:t>лихва за кредитополучателя.</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lastRenderedPageBreak/>
        <w:t>Съгласно изискванията на Структурните фондове, тези инструменти са използвани за:</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A036E">
      <w:pPr>
        <w:numPr>
          <w:ilvl w:val="0"/>
          <w:numId w:val="96"/>
        </w:numPr>
        <w:spacing w:after="0" w:line="240" w:lineRule="auto"/>
        <w:ind w:right="301"/>
        <w:jc w:val="both"/>
        <w:rPr>
          <w:rFonts w:ascii="Calibri" w:eastAsia="Calibri" w:hAnsi="Calibri" w:cs="Times New Roman"/>
        </w:rPr>
      </w:pPr>
      <w:r w:rsidRPr="0018004F">
        <w:rPr>
          <w:rFonts w:ascii="Calibri" w:eastAsia="Calibri" w:hAnsi="Calibri" w:cs="Times New Roman"/>
        </w:rPr>
        <w:t>целите на развитие</w:t>
      </w:r>
      <w:r w:rsidR="00D02B41">
        <w:rPr>
          <w:rFonts w:ascii="Calibri" w:eastAsia="Calibri" w:hAnsi="Calibri" w:cs="Times New Roman"/>
        </w:rPr>
        <w:t xml:space="preserve"> на търговски </w:t>
      </w:r>
      <w:r w:rsidR="00AC395E">
        <w:rPr>
          <w:rFonts w:ascii="Calibri" w:eastAsia="Calibri" w:hAnsi="Calibri" w:cs="Times New Roman"/>
        </w:rPr>
        <w:t xml:space="preserve">малки и средни </w:t>
      </w:r>
      <w:r w:rsidR="00D02B41">
        <w:rPr>
          <w:rFonts w:ascii="Calibri" w:eastAsia="Calibri" w:hAnsi="Calibri" w:cs="Times New Roman"/>
        </w:rPr>
        <w:t>предприятия</w:t>
      </w:r>
      <w:r w:rsidRPr="0018004F">
        <w:rPr>
          <w:rFonts w:ascii="Calibri" w:eastAsia="Calibri" w:hAnsi="Calibri" w:cs="Times New Roman"/>
        </w:rPr>
        <w:t xml:space="preserve"> под формата на рисков капитал, гаранции или заеми; </w:t>
      </w:r>
    </w:p>
    <w:p w:rsidR="0018004F" w:rsidRPr="0018004F" w:rsidRDefault="0018004F" w:rsidP="001A036E">
      <w:pPr>
        <w:numPr>
          <w:ilvl w:val="0"/>
          <w:numId w:val="96"/>
        </w:numPr>
        <w:spacing w:before="240" w:line="240" w:lineRule="auto"/>
        <w:ind w:right="301"/>
        <w:jc w:val="both"/>
        <w:rPr>
          <w:rFonts w:ascii="Calibri" w:eastAsia="Calibri" w:hAnsi="Calibri" w:cs="Times New Roman"/>
        </w:rPr>
      </w:pPr>
      <w:r w:rsidRPr="0018004F">
        <w:rPr>
          <w:rFonts w:ascii="Calibri" w:eastAsia="Calibri" w:hAnsi="Calibri" w:cs="Times New Roman"/>
        </w:rPr>
        <w:t xml:space="preserve">фондове за градско развитие, инвестиращи в ПЧП и други проекти, включени в интегрирани планове за устойчиво градско развитие; </w:t>
      </w:r>
    </w:p>
    <w:p w:rsidR="0018004F" w:rsidRPr="0018004F" w:rsidRDefault="0018004F" w:rsidP="001A036E">
      <w:pPr>
        <w:numPr>
          <w:ilvl w:val="0"/>
          <w:numId w:val="96"/>
        </w:numPr>
        <w:spacing w:line="240" w:lineRule="auto"/>
        <w:ind w:right="301"/>
        <w:jc w:val="both"/>
        <w:rPr>
          <w:rFonts w:ascii="Calibri" w:eastAsia="Calibri" w:hAnsi="Calibri" w:cs="Times New Roman"/>
        </w:rPr>
      </w:pPr>
      <w:r w:rsidRPr="0018004F">
        <w:rPr>
          <w:rFonts w:ascii="Calibri" w:eastAsia="Calibri" w:hAnsi="Calibri" w:cs="Times New Roman"/>
        </w:rPr>
        <w:t xml:space="preserve">фондове или други схеми за стимулиране, предоставящи заеми, гаранции за възвръщаеми инвестиции, или еквивалентни на тях инструменти за енергийна ефективност и използване на енергия от възобновяеми източници в сгради, включително в съществуващи жилища. </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Всички те могат да бъдат част от стратегията за изпълнение на оперативните програми, съгласно разпоредбите на чл. 44 от Общо-приложимите разпоредби за Структурните фондове (СФ) на ЕС. </w:t>
      </w:r>
    </w:p>
    <w:p w:rsidR="0018004F" w:rsidRPr="0018004F" w:rsidRDefault="0018004F" w:rsidP="0018004F">
      <w:pPr>
        <w:spacing w:after="0" w:line="240" w:lineRule="auto"/>
        <w:ind w:right="301"/>
        <w:jc w:val="both"/>
        <w:rPr>
          <w:rFonts w:ascii="Calibri" w:eastAsia="Calibri" w:hAnsi="Calibri" w:cs="Times New Roman"/>
        </w:rPr>
      </w:pPr>
    </w:p>
    <w:p w:rsidR="00607F89" w:rsidRDefault="00E158A0" w:rsidP="0018004F">
      <w:pPr>
        <w:spacing w:line="240" w:lineRule="auto"/>
        <w:ind w:right="301"/>
        <w:jc w:val="both"/>
        <w:rPr>
          <w:rFonts w:ascii="Calibri" w:eastAsia="Calibri" w:hAnsi="Calibri" w:cs="Times New Roman"/>
        </w:rPr>
      </w:pPr>
      <w:r>
        <w:rPr>
          <w:rFonts w:ascii="Calibri" w:eastAsia="Calibri" w:hAnsi="Calibri" w:cs="Times New Roman"/>
        </w:rPr>
        <w:t xml:space="preserve">В сравнение с миналия период, за периода 2014-2020г. </w:t>
      </w:r>
      <w:r w:rsidR="00D01F25">
        <w:rPr>
          <w:rFonts w:ascii="Calibri" w:eastAsia="Calibri" w:hAnsi="Calibri" w:cs="Times New Roman"/>
        </w:rPr>
        <w:t xml:space="preserve">Европейските структурни инвестиционни фондове (ЕСИФ) </w:t>
      </w:r>
      <w:r w:rsidR="00B753AC">
        <w:rPr>
          <w:rFonts w:ascii="Calibri" w:eastAsia="Calibri" w:hAnsi="Calibri" w:cs="Times New Roman"/>
        </w:rPr>
        <w:t>могат да подкрепят всяка тематична цел в обхвата на оперативната програма. В миналия период примерите за използване на финансови инструменти</w:t>
      </w:r>
      <w:r w:rsidR="00966605">
        <w:rPr>
          <w:rFonts w:ascii="Calibri" w:eastAsia="Calibri" w:hAnsi="Calibri" w:cs="Times New Roman"/>
        </w:rPr>
        <w:t xml:space="preserve">, тогава наричани инструменти на финансов инженеринг, подкрепени от Структурните и Кохезионния фонд на ЕС, са само </w:t>
      </w:r>
      <w:r w:rsidR="00B63EA4">
        <w:rPr>
          <w:rFonts w:ascii="Calibri" w:eastAsia="Calibri" w:hAnsi="Calibri" w:cs="Times New Roman"/>
        </w:rPr>
        <w:t>инструменти за подкрепа</w:t>
      </w:r>
      <w:r w:rsidR="00966605">
        <w:rPr>
          <w:rFonts w:ascii="Calibri" w:eastAsia="Calibri" w:hAnsi="Calibri" w:cs="Times New Roman"/>
        </w:rPr>
        <w:t xml:space="preserve"> на малки и средни предприятия, които могат да бъдат и такива с предмет на дейност в сферата на околна среда,</w:t>
      </w:r>
      <w:r w:rsidR="00B63EA4">
        <w:rPr>
          <w:rFonts w:ascii="Calibri" w:eastAsia="Calibri" w:hAnsi="Calibri" w:cs="Times New Roman"/>
        </w:rPr>
        <w:t xml:space="preserve"> в сферата на градско развитие, включително ВиК инфраструктура или отпадъци</w:t>
      </w:r>
      <w:r w:rsidR="00D44C3D">
        <w:rPr>
          <w:rFonts w:ascii="Calibri" w:eastAsia="Calibri" w:hAnsi="Calibri" w:cs="Times New Roman"/>
        </w:rPr>
        <w:t xml:space="preserve">, когато са в обхвата на ИПГВР, или за енергийна ефективност. Затова за целите </w:t>
      </w:r>
      <w:r w:rsidR="00266EDC">
        <w:rPr>
          <w:rFonts w:ascii="Calibri" w:eastAsia="Calibri" w:hAnsi="Calibri" w:cs="Times New Roman"/>
        </w:rPr>
        <w:t xml:space="preserve">на настоящия доклад, примерите за прилагане на финансови инструменти, подкрепени от Европейските структурни фондове и </w:t>
      </w:r>
      <w:r w:rsidR="002008F7">
        <w:rPr>
          <w:rFonts w:ascii="Calibri" w:eastAsia="Calibri" w:hAnsi="Calibri" w:cs="Times New Roman"/>
        </w:rPr>
        <w:t>Кохезионния</w:t>
      </w:r>
      <w:r w:rsidR="00266EDC">
        <w:rPr>
          <w:rFonts w:ascii="Calibri" w:eastAsia="Calibri" w:hAnsi="Calibri" w:cs="Times New Roman"/>
        </w:rPr>
        <w:t xml:space="preserve"> фонд, се дават най-вече от гледна</w:t>
      </w:r>
      <w:r w:rsidR="00FF2CB0">
        <w:rPr>
          <w:rFonts w:ascii="Calibri" w:eastAsia="Calibri" w:hAnsi="Calibri" w:cs="Times New Roman"/>
        </w:rPr>
        <w:t xml:space="preserve"> точка на</w:t>
      </w:r>
      <w:r w:rsidR="00CF6F99">
        <w:rPr>
          <w:rFonts w:ascii="Calibri" w:eastAsia="Calibri" w:hAnsi="Calibri" w:cs="Times New Roman"/>
        </w:rPr>
        <w:t>:</w:t>
      </w:r>
    </w:p>
    <w:p w:rsidR="00CF6F99" w:rsidRDefault="00FF2CB0" w:rsidP="001A036E">
      <w:pPr>
        <w:numPr>
          <w:ilvl w:val="0"/>
          <w:numId w:val="94"/>
        </w:numPr>
        <w:spacing w:line="240" w:lineRule="auto"/>
        <w:ind w:right="301"/>
        <w:jc w:val="both"/>
        <w:rPr>
          <w:rFonts w:ascii="Calibri" w:eastAsia="Calibri" w:hAnsi="Calibri" w:cs="Times New Roman"/>
        </w:rPr>
      </w:pPr>
      <w:r>
        <w:rPr>
          <w:rFonts w:ascii="Calibri" w:eastAsia="Calibri" w:hAnsi="Calibri" w:cs="Times New Roman"/>
        </w:rPr>
        <w:t xml:space="preserve">извличане на поуки с цел избягване повтарянето на грешки, </w:t>
      </w:r>
    </w:p>
    <w:p w:rsidR="00E158A0" w:rsidRDefault="00FF2CB0" w:rsidP="001A036E">
      <w:pPr>
        <w:numPr>
          <w:ilvl w:val="0"/>
          <w:numId w:val="94"/>
        </w:numPr>
        <w:spacing w:after="0" w:line="240" w:lineRule="auto"/>
        <w:ind w:right="301"/>
        <w:jc w:val="both"/>
        <w:rPr>
          <w:rFonts w:ascii="Calibri" w:eastAsia="Calibri" w:hAnsi="Calibri" w:cs="Times New Roman"/>
        </w:rPr>
      </w:pPr>
      <w:r>
        <w:rPr>
          <w:rFonts w:ascii="Calibri" w:eastAsia="Calibri" w:hAnsi="Calibri" w:cs="Times New Roman"/>
        </w:rPr>
        <w:t xml:space="preserve">като пример за успешни схеми на финансиране, които в следващия период </w:t>
      </w:r>
      <w:r w:rsidR="00CF6F99">
        <w:rPr>
          <w:rFonts w:ascii="Calibri" w:eastAsia="Calibri" w:hAnsi="Calibri" w:cs="Times New Roman"/>
        </w:rPr>
        <w:t xml:space="preserve">могат да бъдат използвани за прилагане на финансови инструменти в подкрепа постигането на тематични цели 5 и </w:t>
      </w:r>
      <w:r w:rsidR="00E1633F">
        <w:rPr>
          <w:rFonts w:ascii="Calibri" w:eastAsia="Calibri" w:hAnsi="Calibri" w:cs="Times New Roman"/>
        </w:rPr>
        <w:t>6 към които</w:t>
      </w:r>
      <w:r w:rsidR="00CF6F99">
        <w:rPr>
          <w:rFonts w:ascii="Calibri" w:eastAsia="Calibri" w:hAnsi="Calibri" w:cs="Times New Roman"/>
        </w:rPr>
        <w:t xml:space="preserve"> е насочена Оперативна програма „Околна среда 2014-2020г.”</w:t>
      </w:r>
    </w:p>
    <w:p w:rsidR="00B753AC" w:rsidRDefault="00B753AC" w:rsidP="0018004F">
      <w:pPr>
        <w:spacing w:after="0" w:line="240" w:lineRule="auto"/>
        <w:ind w:right="301"/>
        <w:jc w:val="both"/>
        <w:rPr>
          <w:rFonts w:ascii="Calibri" w:eastAsia="Calibri" w:hAnsi="Calibri" w:cs="Times New Roman"/>
        </w:rPr>
      </w:pPr>
    </w:p>
    <w:p w:rsidR="00D02B41"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Важен аспект на използването на ФИ е целите на следваната политика да бъдат постигнати, чрез търговски механизми. Има няколко страни на този въпрос. </w:t>
      </w:r>
    </w:p>
    <w:p w:rsidR="00D02B41" w:rsidRDefault="00D02B41" w:rsidP="0018004F">
      <w:pPr>
        <w:spacing w:after="0" w:line="240" w:lineRule="auto"/>
        <w:ind w:right="301"/>
        <w:jc w:val="both"/>
        <w:rPr>
          <w:rFonts w:ascii="Calibri" w:eastAsia="Calibri" w:hAnsi="Calibri" w:cs="Times New Roman"/>
        </w:rPr>
      </w:pPr>
    </w:p>
    <w:p w:rsidR="00607F89" w:rsidRDefault="00D02B41" w:rsidP="001A036E">
      <w:pPr>
        <w:numPr>
          <w:ilvl w:val="0"/>
          <w:numId w:val="95"/>
        </w:numPr>
        <w:spacing w:after="0" w:line="240" w:lineRule="auto"/>
        <w:ind w:right="301"/>
        <w:jc w:val="both"/>
        <w:rPr>
          <w:rFonts w:ascii="Calibri" w:eastAsia="Calibri" w:hAnsi="Calibri" w:cs="Times New Roman"/>
        </w:rPr>
      </w:pPr>
      <w:r>
        <w:rPr>
          <w:rFonts w:ascii="Calibri" w:eastAsia="Calibri" w:hAnsi="Calibri" w:cs="Times New Roman"/>
        </w:rPr>
        <w:t>П</w:t>
      </w:r>
      <w:r w:rsidR="0018004F" w:rsidRPr="0018004F">
        <w:rPr>
          <w:rFonts w:ascii="Calibri" w:eastAsia="Calibri" w:hAnsi="Calibri" w:cs="Times New Roman"/>
        </w:rPr>
        <w:t xml:space="preserve">убличните средства биха могли да бъдат похарчени по-ефикасно и ефективно по този начин. Например предоставянето на собствен капитал на </w:t>
      </w:r>
      <w:r w:rsidR="00DE2086">
        <w:rPr>
          <w:rFonts w:ascii="Calibri" w:eastAsia="Calibri" w:hAnsi="Calibri" w:cs="Times New Roman"/>
        </w:rPr>
        <w:t>търговско дружество</w:t>
      </w:r>
      <w:r w:rsidR="0018004F" w:rsidRPr="0018004F">
        <w:rPr>
          <w:rFonts w:ascii="Calibri" w:eastAsia="Calibri" w:hAnsi="Calibri" w:cs="Times New Roman"/>
        </w:rPr>
        <w:t xml:space="preserve"> има капацитета да допринесе и за ефективност и за ефикасност от гледна точка на икономическото развитие и чрез осигуряване на възвръщаемост на обществени (и частни) средства, които могат да бъдат реинвестирани по-нататък. </w:t>
      </w:r>
    </w:p>
    <w:p w:rsidR="00607F89" w:rsidRDefault="00DE2086" w:rsidP="001A036E">
      <w:pPr>
        <w:numPr>
          <w:ilvl w:val="0"/>
          <w:numId w:val="95"/>
        </w:numPr>
        <w:spacing w:before="240" w:after="0" w:line="240" w:lineRule="auto"/>
        <w:ind w:right="301"/>
        <w:jc w:val="both"/>
        <w:rPr>
          <w:rFonts w:ascii="Calibri" w:eastAsia="Calibri" w:hAnsi="Calibri" w:cs="Times New Roman"/>
        </w:rPr>
      </w:pPr>
      <w:r w:rsidRPr="00607F89">
        <w:rPr>
          <w:rFonts w:ascii="Calibri" w:eastAsia="Calibri" w:hAnsi="Calibri" w:cs="Times New Roman"/>
        </w:rPr>
        <w:t>И</w:t>
      </w:r>
      <w:r w:rsidR="0018004F" w:rsidRPr="00607F89">
        <w:rPr>
          <w:rFonts w:ascii="Calibri" w:eastAsia="Calibri" w:hAnsi="Calibri" w:cs="Times New Roman"/>
        </w:rPr>
        <w:t xml:space="preserve">ма потенциал да </w:t>
      </w:r>
      <w:r w:rsidR="00A23C33" w:rsidRPr="00607F89">
        <w:rPr>
          <w:rFonts w:ascii="Calibri" w:eastAsia="Calibri" w:hAnsi="Calibri" w:cs="Times New Roman"/>
        </w:rPr>
        <w:t xml:space="preserve">се </w:t>
      </w:r>
      <w:r w:rsidR="0018004F" w:rsidRPr="00607F89">
        <w:rPr>
          <w:rFonts w:ascii="Calibri" w:eastAsia="Calibri" w:hAnsi="Calibri" w:cs="Times New Roman"/>
        </w:rPr>
        <w:t>привлече частния</w:t>
      </w:r>
      <w:r w:rsidR="002008F7" w:rsidRPr="00607F89">
        <w:rPr>
          <w:rFonts w:ascii="Calibri" w:eastAsia="Calibri" w:hAnsi="Calibri" w:cs="Times New Roman"/>
        </w:rPr>
        <w:t>т</w:t>
      </w:r>
      <w:r w:rsidR="0018004F" w:rsidRPr="00607F89">
        <w:rPr>
          <w:rFonts w:ascii="Calibri" w:eastAsia="Calibri" w:hAnsi="Calibri" w:cs="Times New Roman"/>
        </w:rPr>
        <w:t xml:space="preserve"> сектор при вземането на решението за инвестиция, с оглед на подобряване на търговско </w:t>
      </w:r>
      <w:r w:rsidR="00FA1C4F" w:rsidRPr="00607F89">
        <w:rPr>
          <w:rFonts w:ascii="Calibri" w:eastAsia="Calibri" w:hAnsi="Calibri" w:cs="Times New Roman"/>
        </w:rPr>
        <w:t>качество.</w:t>
      </w:r>
    </w:p>
    <w:p w:rsidR="0018004F" w:rsidRPr="00607F89" w:rsidRDefault="00DE2086" w:rsidP="001A036E">
      <w:pPr>
        <w:numPr>
          <w:ilvl w:val="0"/>
          <w:numId w:val="95"/>
        </w:numPr>
        <w:spacing w:before="240" w:after="0" w:line="240" w:lineRule="auto"/>
        <w:ind w:right="301"/>
        <w:jc w:val="both"/>
        <w:rPr>
          <w:rFonts w:ascii="Calibri" w:eastAsia="Calibri" w:hAnsi="Calibri" w:cs="Times New Roman"/>
        </w:rPr>
      </w:pPr>
      <w:r w:rsidRPr="00607F89">
        <w:rPr>
          <w:rFonts w:ascii="Calibri" w:eastAsia="Calibri" w:hAnsi="Calibri" w:cs="Times New Roman"/>
        </w:rPr>
        <w:t>Ф</w:t>
      </w:r>
      <w:r w:rsidR="0018004F" w:rsidRPr="00607F89">
        <w:rPr>
          <w:rFonts w:ascii="Calibri" w:eastAsia="Calibri" w:hAnsi="Calibri" w:cs="Times New Roman"/>
        </w:rPr>
        <w:t xml:space="preserve">инансираните с публични средства инструменти за финансов инженеринг могат да разширят възможностите за финансиране разширяване на фирмите - тази логика е в основата на подхода на коинвестиционния фонд, използван в редица страни </w:t>
      </w:r>
      <w:r w:rsidR="007D3650" w:rsidRPr="00607F89">
        <w:rPr>
          <w:rFonts w:ascii="Calibri" w:eastAsia="Calibri" w:hAnsi="Calibri" w:cs="Times New Roman"/>
        </w:rPr>
        <w:t xml:space="preserve">членки </w:t>
      </w:r>
      <w:r w:rsidR="007D3650" w:rsidRPr="00607F89">
        <w:rPr>
          <w:rFonts w:ascii="Calibri" w:eastAsia="Calibri" w:hAnsi="Calibri" w:cs="Times New Roman"/>
        </w:rPr>
        <w:lastRenderedPageBreak/>
        <w:t xml:space="preserve">– като </w:t>
      </w:r>
      <w:r w:rsidR="0018004F" w:rsidRPr="00607F89">
        <w:rPr>
          <w:rFonts w:ascii="Calibri" w:eastAsia="Calibri" w:hAnsi="Calibri" w:cs="Times New Roman"/>
        </w:rPr>
        <w:t>по този начин допринася за развитието на финансовия пазар</w:t>
      </w:r>
      <w:r w:rsidR="007D3650" w:rsidRPr="00607F89">
        <w:rPr>
          <w:rFonts w:ascii="Calibri" w:eastAsia="Calibri" w:hAnsi="Calibri" w:cs="Times New Roman"/>
        </w:rPr>
        <w:t xml:space="preserve"> и </w:t>
      </w:r>
      <w:r w:rsidR="0018004F" w:rsidRPr="00607F89">
        <w:rPr>
          <w:rFonts w:ascii="Calibri" w:eastAsia="Calibri" w:hAnsi="Calibri" w:cs="Times New Roman"/>
        </w:rPr>
        <w:t>потенциално отключва нови възможности за финансиране, например, чрез развитие на сегмента на частните финансиращи институции.</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От друга страна, предвид натиска върху бюджета и ограниченията на равнище ЕС и на национално равнище, използването на инструментите за финансов инженеринг може да направи инвестициите </w:t>
      </w:r>
      <w:r w:rsidR="00BE6A66">
        <w:rPr>
          <w:rFonts w:ascii="Calibri" w:eastAsia="Calibri" w:hAnsi="Calibri" w:cs="Times New Roman"/>
        </w:rPr>
        <w:t>на</w:t>
      </w:r>
      <w:r w:rsidRPr="0018004F">
        <w:rPr>
          <w:rFonts w:ascii="Calibri" w:eastAsia="Calibri" w:hAnsi="Calibri" w:cs="Times New Roman"/>
        </w:rPr>
        <w:t xml:space="preserve"> публични ресурси по-ефективни. След като инвестициите впоследствие се възстановят, инструментите за финансов инженеринг позволяват средствата от структурните фондове да бъдат инвестирани в множество крайни получатели последователно извън първоначалния програмен период, като по този начин (на теория) създават трайна следа от фондовете на ЕС и по-голяма ефективност на публичните инвестиции.</w:t>
      </w:r>
    </w:p>
    <w:p w:rsidR="0018004F" w:rsidRPr="0018004F" w:rsidRDefault="0018004F"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t>Инструментите за финансов инженеринг са насочени и към привличане на инвестиции от други източници, т.е. допълнителни ресурси от външни инвеститори (частния сектор), което помага за увеличаване на ливъридж и мултиплициращия ефект от средства на СФ и като цяло увеличаване на средствата за постигане целите на политиката. Това отваря нови пазари за различни форми на публично - частно партньорство, предава експертизата на международните финансови институции и позволява изграждането на институционален капацитет чрез тези партньорства (2013a ЕО: 5-6). Взети заедно, тези качества на ФИ потенциално водят до по-голяма добавена стойност на политическите интервенции, както и по-голяма ефективност и ефикасност по отношение на използването на ресурсите в публичния сектор, което дава възможност политиците да постигнат повече с фиксирани или ограничени ресурси.</w:t>
      </w:r>
    </w:p>
    <w:p w:rsidR="00C6729F" w:rsidRDefault="0018004F"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t xml:space="preserve">Независимо, че инициативата </w:t>
      </w:r>
      <w:r w:rsidRPr="0018004F">
        <w:rPr>
          <w:rFonts w:ascii="Calibri" w:eastAsia="Calibri" w:hAnsi="Calibri" w:cs="Times New Roman"/>
          <w:lang w:val="en-US"/>
        </w:rPr>
        <w:t xml:space="preserve">JESSICA </w:t>
      </w:r>
      <w:r w:rsidRPr="0018004F">
        <w:rPr>
          <w:rFonts w:ascii="Calibri" w:eastAsia="Calibri" w:hAnsi="Calibri" w:cs="Times New Roman"/>
        </w:rPr>
        <w:t xml:space="preserve">е насочена към привличане на допълнителни ресурси от ПЧП към средствата от СФ като част от интегрирания план за устойчиво градско развитие основно в контекста на градското развитие, част от проектите са в сектор околна среда. </w:t>
      </w:r>
    </w:p>
    <w:p w:rsidR="0018004F" w:rsidRPr="0018004F" w:rsidRDefault="0018004F"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t xml:space="preserve">В този смисъл </w:t>
      </w:r>
      <w:r w:rsidR="007C01C9">
        <w:rPr>
          <w:rFonts w:ascii="Calibri" w:eastAsia="Calibri" w:hAnsi="Calibri" w:cs="Times New Roman"/>
        </w:rPr>
        <w:t xml:space="preserve">е </w:t>
      </w:r>
      <w:r w:rsidRPr="0018004F">
        <w:rPr>
          <w:rFonts w:ascii="Calibri" w:eastAsia="Calibri" w:hAnsi="Calibri" w:cs="Times New Roman"/>
        </w:rPr>
        <w:t>използва</w:t>
      </w:r>
      <w:r w:rsidR="007C01C9">
        <w:rPr>
          <w:rFonts w:ascii="Calibri" w:eastAsia="Calibri" w:hAnsi="Calibri" w:cs="Times New Roman"/>
        </w:rPr>
        <w:t>н</w:t>
      </w:r>
      <w:r w:rsidRPr="0018004F">
        <w:rPr>
          <w:rFonts w:ascii="Calibri" w:eastAsia="Calibri" w:hAnsi="Calibri" w:cs="Times New Roman"/>
        </w:rPr>
        <w:t xml:space="preserve"> пример</w:t>
      </w:r>
      <w:r w:rsidR="007C01C9">
        <w:rPr>
          <w:rFonts w:ascii="Calibri" w:eastAsia="Calibri" w:hAnsi="Calibri" w:cs="Times New Roman"/>
        </w:rPr>
        <w:t>ът</w:t>
      </w:r>
      <w:r w:rsidRPr="0018004F">
        <w:rPr>
          <w:rFonts w:ascii="Calibri" w:eastAsia="Calibri" w:hAnsi="Calibri" w:cs="Times New Roman"/>
        </w:rPr>
        <w:t xml:space="preserve"> на инициативата като схема на финансиране, която може да бъде приложена в секто</w:t>
      </w:r>
      <w:r w:rsidR="007C01C9">
        <w:rPr>
          <w:rFonts w:ascii="Calibri" w:eastAsia="Calibri" w:hAnsi="Calibri" w:cs="Times New Roman"/>
        </w:rPr>
        <w:t>р околна среда през периода 2014</w:t>
      </w:r>
      <w:r w:rsidRPr="0018004F">
        <w:rPr>
          <w:rFonts w:ascii="Calibri" w:eastAsia="Calibri" w:hAnsi="Calibri" w:cs="Times New Roman"/>
        </w:rPr>
        <w:t>-20</w:t>
      </w:r>
      <w:r w:rsidR="007C01C9">
        <w:rPr>
          <w:rFonts w:ascii="Calibri" w:eastAsia="Calibri" w:hAnsi="Calibri" w:cs="Times New Roman"/>
        </w:rPr>
        <w:t>20</w:t>
      </w:r>
      <w:r w:rsidRPr="0018004F">
        <w:rPr>
          <w:rFonts w:ascii="Calibri" w:eastAsia="Calibri" w:hAnsi="Calibri" w:cs="Times New Roman"/>
        </w:rPr>
        <w:t>г. Постигането на тази цел изисква специфични стратегии, които да поставят рамката за инвестиции и допълнят предвиждането за публични и инфраструктурни съоръжения в един интегриран подход, като мобилизират широк кръг от партньори с различни финансови възможности и умения за мениджмънт. Идеята е публичният сектор да запази водещата си роля в проектите, финансирани по подобна инициатива</w:t>
      </w:r>
      <w:r w:rsidRPr="0018004F">
        <w:rPr>
          <w:rFonts w:ascii="Calibri" w:eastAsia="Calibri" w:hAnsi="Calibri" w:cs="Times New Roman"/>
          <w:lang w:val="en-US"/>
        </w:rPr>
        <w:t xml:space="preserve">, </w:t>
      </w:r>
      <w:r w:rsidRPr="0018004F">
        <w:rPr>
          <w:rFonts w:ascii="Calibri" w:eastAsia="Calibri" w:hAnsi="Calibri" w:cs="Times New Roman"/>
        </w:rPr>
        <w:t>но не като единствения инвеститор или рисков играч, а по-скоро като осигуряващ условия за развитие и извличащ ползи от увеличените и диференцирани ресурси за насърчаване на възстановяването.</w:t>
      </w:r>
    </w:p>
    <w:p w:rsidR="0018004F" w:rsidRPr="0018004F" w:rsidRDefault="0018004F" w:rsidP="00607F89">
      <w:pPr>
        <w:spacing w:before="240" w:line="240" w:lineRule="auto"/>
        <w:ind w:right="301"/>
        <w:jc w:val="both"/>
        <w:rPr>
          <w:rFonts w:ascii="Calibri" w:eastAsia="Calibri" w:hAnsi="Calibri" w:cs="Times New Roman"/>
        </w:rPr>
      </w:pPr>
      <w:r w:rsidRPr="0018004F">
        <w:rPr>
          <w:rFonts w:ascii="Calibri" w:eastAsia="Calibri" w:hAnsi="Calibri" w:cs="Times New Roman"/>
        </w:rPr>
        <w:t>През периода 2007-2013г. използването на ФИ е нараснало значително, като до 2011г. са създадени 529 фонда по 178 оперативни програми, главно по Европейския Фонд за Регионално Развитие (ЕФРР). Най-вече са използвани ФИ под формата на заеми. Наблюдават се големи разлики в използването на ФИ в различните държави членки. Най-висока степен на използване на ФИ се наблюдава в Полша, Франция, Италия, Великобритания и Германия, които съставляват около 75% от всички ФИ. Причините за различната степен на използване на ФИ са различия в социално-икономическото развитие и традициите на държавите, както и липса на знание и опит с търговските практики сред публичните заинтересовани страни.</w:t>
      </w:r>
    </w:p>
    <w:p w:rsidR="0018004F" w:rsidRPr="00607F89" w:rsidRDefault="0018004F" w:rsidP="00607F89">
      <w:pPr>
        <w:spacing w:line="276" w:lineRule="auto"/>
        <w:jc w:val="both"/>
        <w:rPr>
          <w:rFonts w:ascii="Calibri" w:eastAsia="Calibri" w:hAnsi="Calibri" w:cs="Times New Roman"/>
          <w:b/>
          <w:i/>
          <w:color w:val="4F81BD"/>
        </w:rPr>
      </w:pPr>
      <w:r w:rsidRPr="00607F89">
        <w:rPr>
          <w:rFonts w:ascii="Calibri" w:eastAsia="Calibri" w:hAnsi="Calibri" w:cs="Times New Roman"/>
          <w:b/>
          <w:i/>
          <w:color w:val="4F81BD"/>
        </w:rPr>
        <w:t>Структура на финансовите инструменти в кохезионната политика</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lastRenderedPageBreak/>
        <w:t>Има различни начини за управляващите органи да организират или структурират инструментите за финансов инженеринг. След като нуждата и приложимостта на ФИ е обоснована и сумите от структурните фондове в рамките на оперативната програма са осигурени, УО оценява различните начини за структуриране на ФИ. Това може да бъде направено чрез холдингов фонд или чрез директна помощ от ОП към ФИ (ЕО 2013a: 11). Управляващите органи имат четири основни вариа</w:t>
      </w:r>
      <w:r w:rsidR="006D3F04">
        <w:rPr>
          <w:rFonts w:ascii="Calibri" w:eastAsia="Calibri" w:hAnsi="Calibri" w:cs="Times New Roman"/>
        </w:rPr>
        <w:t>нта (виж фигура 4.1.1</w:t>
      </w:r>
      <w:r w:rsidRPr="0018004F">
        <w:rPr>
          <w:rFonts w:ascii="Calibri" w:eastAsia="Calibri" w:hAnsi="Calibri" w:cs="Times New Roman"/>
        </w:rPr>
        <w:t>):</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B94CAA">
      <w:pPr>
        <w:numPr>
          <w:ilvl w:val="0"/>
          <w:numId w:val="98"/>
        </w:num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ОП прави пряк принос към ФИ ( т.е. няма холдингов фонд ), и инструментите за финансов инженеринг се управляват от финансови посредници (например Високотехнологичните фондове в оперативна програма „Upper </w:t>
      </w:r>
      <w:r w:rsidRPr="0018004F">
        <w:rPr>
          <w:rFonts w:ascii="Calibri" w:eastAsia="Calibri" w:hAnsi="Calibri" w:cs="Times New Roman"/>
          <w:lang w:val="en-US"/>
        </w:rPr>
        <w:t>Austria</w:t>
      </w:r>
      <w:r w:rsidRPr="0018004F">
        <w:rPr>
          <w:rFonts w:ascii="Calibri" w:eastAsia="Calibri" w:hAnsi="Calibri" w:cs="Times New Roman"/>
        </w:rPr>
        <w:t>”);</w:t>
      </w:r>
    </w:p>
    <w:p w:rsidR="0018004F" w:rsidRPr="0018004F" w:rsidRDefault="0018004F" w:rsidP="00B94CAA">
      <w:pPr>
        <w:numPr>
          <w:ilvl w:val="0"/>
          <w:numId w:val="98"/>
        </w:numPr>
        <w:spacing w:after="0" w:line="240" w:lineRule="auto"/>
        <w:ind w:right="301"/>
        <w:jc w:val="both"/>
        <w:rPr>
          <w:rFonts w:ascii="Calibri" w:eastAsia="Calibri" w:hAnsi="Calibri" w:cs="Times New Roman"/>
        </w:rPr>
      </w:pPr>
      <w:r w:rsidRPr="0018004F">
        <w:rPr>
          <w:rFonts w:ascii="Calibri" w:eastAsia="Calibri" w:hAnsi="Calibri" w:cs="Times New Roman"/>
        </w:rPr>
        <w:t>ОП осигурява средствата за холдингов фонд и управлението на фонда се възлага, чрез обществена поръчка (например Venture Finance Plc действа като холдингов фонд по ОП</w:t>
      </w:r>
      <w:r w:rsidRPr="0018004F">
        <w:rPr>
          <w:rFonts w:ascii="Calibri" w:eastAsia="Calibri" w:hAnsi="Calibri" w:cs="Times New Roman"/>
          <w:lang w:val="en-US"/>
        </w:rPr>
        <w:t xml:space="preserve"> </w:t>
      </w:r>
      <w:r w:rsidRPr="0018004F">
        <w:rPr>
          <w:rFonts w:ascii="Calibri" w:eastAsia="Calibri" w:hAnsi="Calibri" w:cs="Times New Roman"/>
        </w:rPr>
        <w:t>за икономическо развитие на Унгария);</w:t>
      </w:r>
    </w:p>
    <w:p w:rsidR="0018004F" w:rsidRPr="0018004F" w:rsidRDefault="0018004F" w:rsidP="00B94CAA">
      <w:pPr>
        <w:numPr>
          <w:ilvl w:val="0"/>
          <w:numId w:val="98"/>
        </w:numPr>
        <w:spacing w:after="0" w:line="240" w:lineRule="auto"/>
        <w:ind w:right="301"/>
        <w:jc w:val="both"/>
        <w:rPr>
          <w:rFonts w:ascii="Calibri" w:eastAsia="Calibri" w:hAnsi="Calibri" w:cs="Times New Roman"/>
        </w:rPr>
      </w:pPr>
      <w:r w:rsidRPr="0018004F">
        <w:rPr>
          <w:rFonts w:ascii="Calibri" w:eastAsia="Calibri" w:hAnsi="Calibri" w:cs="Times New Roman"/>
        </w:rPr>
        <w:t>ОП осигурява средствата за холдингов фонд и е сключен договор за управлението му с ЕИФ / ЕИБ ( например ОП Лангедок - Русийон )</w:t>
      </w:r>
    </w:p>
    <w:p w:rsidR="0018004F" w:rsidRPr="0018004F" w:rsidRDefault="0018004F" w:rsidP="00B94CAA">
      <w:pPr>
        <w:numPr>
          <w:ilvl w:val="0"/>
          <w:numId w:val="98"/>
        </w:numPr>
        <w:spacing w:after="0" w:line="240" w:lineRule="auto"/>
        <w:ind w:right="301"/>
        <w:jc w:val="both"/>
        <w:rPr>
          <w:rFonts w:ascii="Calibri" w:eastAsia="Calibri" w:hAnsi="Calibri" w:cs="Times New Roman"/>
        </w:rPr>
      </w:pPr>
      <w:r w:rsidRPr="0018004F">
        <w:rPr>
          <w:rFonts w:ascii="Calibri" w:eastAsia="Calibri" w:hAnsi="Calibri" w:cs="Times New Roman"/>
        </w:rPr>
        <w:t>ОП осигурява средства за холдингов фонд и е сключен договорът за управление  с национална финансова институция, без провеждане на търг съгласно националното законодателство, при условие че националното законодателство е съвместимо с Договора в тази връзка (например регионални оперативни програми в Полша )</w:t>
      </w:r>
    </w:p>
    <w:p w:rsidR="00B94CAA" w:rsidRDefault="00B94CAA" w:rsidP="00607F89">
      <w:pPr>
        <w:pStyle w:val="Caption"/>
        <w:rPr>
          <w:rFonts w:asciiTheme="minorHAnsi" w:hAnsiTheme="minorHAnsi" w:cstheme="minorHAnsi"/>
        </w:rPr>
      </w:pPr>
    </w:p>
    <w:p w:rsidR="00607F89" w:rsidRPr="00607F89" w:rsidRDefault="00607F89" w:rsidP="00607F89">
      <w:pPr>
        <w:pStyle w:val="Caption"/>
        <w:rPr>
          <w:rFonts w:asciiTheme="minorHAnsi" w:eastAsia="Calibri" w:hAnsiTheme="minorHAnsi" w:cstheme="minorHAnsi"/>
          <w:sz w:val="18"/>
          <w:szCs w:val="18"/>
        </w:rPr>
      </w:pPr>
      <w:bookmarkStart w:id="169" w:name="_Toc399494663"/>
      <w:r w:rsidRPr="00607F89">
        <w:rPr>
          <w:rFonts w:asciiTheme="minorHAnsi" w:hAnsiTheme="minorHAnsi" w:cstheme="minorHAnsi"/>
        </w:rPr>
        <w:t xml:space="preserve">Фигура </w:t>
      </w:r>
      <w:r w:rsidR="008E6461" w:rsidRPr="00607F89">
        <w:rPr>
          <w:rFonts w:asciiTheme="minorHAnsi" w:hAnsiTheme="minorHAnsi" w:cstheme="minorHAnsi"/>
        </w:rPr>
        <w:fldChar w:fldCharType="begin"/>
      </w:r>
      <w:r w:rsidRPr="00607F89">
        <w:rPr>
          <w:rFonts w:asciiTheme="minorHAnsi" w:hAnsiTheme="minorHAnsi" w:cstheme="minorHAnsi"/>
        </w:rPr>
        <w:instrText xml:space="preserve"> SEQ фигура \* ARABIC </w:instrText>
      </w:r>
      <w:r w:rsidR="008E6461" w:rsidRPr="00607F89">
        <w:rPr>
          <w:rFonts w:asciiTheme="minorHAnsi" w:hAnsiTheme="minorHAnsi" w:cstheme="minorHAnsi"/>
        </w:rPr>
        <w:fldChar w:fldCharType="separate"/>
      </w:r>
      <w:r w:rsidR="003A69A7">
        <w:rPr>
          <w:rFonts w:asciiTheme="minorHAnsi" w:hAnsiTheme="minorHAnsi" w:cstheme="minorHAnsi"/>
          <w:noProof/>
        </w:rPr>
        <w:t>78</w:t>
      </w:r>
      <w:r w:rsidR="008E6461" w:rsidRPr="00607F89">
        <w:rPr>
          <w:rFonts w:asciiTheme="minorHAnsi" w:hAnsiTheme="minorHAnsi" w:cstheme="minorHAnsi"/>
        </w:rPr>
        <w:fldChar w:fldCharType="end"/>
      </w:r>
      <w:r>
        <w:rPr>
          <w:rFonts w:asciiTheme="minorHAnsi" w:hAnsiTheme="minorHAnsi" w:cstheme="minorHAnsi"/>
        </w:rPr>
        <w:t>: Холдингов фонд</w:t>
      </w:r>
      <w:bookmarkEnd w:id="169"/>
    </w:p>
    <w:p w:rsidR="0018004F" w:rsidRPr="0018004F" w:rsidRDefault="00896C88" w:rsidP="0018004F">
      <w:pPr>
        <w:spacing w:after="0" w:line="240" w:lineRule="auto"/>
        <w:ind w:right="301"/>
        <w:jc w:val="both"/>
        <w:rPr>
          <w:rFonts w:ascii="Calibri" w:eastAsia="Calibri" w:hAnsi="Calibri" w:cs="Times New Roman"/>
        </w:rPr>
      </w:pPr>
      <w:r>
        <w:rPr>
          <w:rFonts w:ascii="Times New Roman" w:hAnsi="Times New Roman" w:cs="Times New Roman"/>
          <w:noProof/>
          <w:sz w:val="24"/>
          <w:szCs w:val="24"/>
          <w:lang w:eastAsia="bg-BG"/>
        </w:rPr>
        <mc:AlternateContent>
          <mc:Choice Requires="wpg">
            <w:drawing>
              <wp:anchor distT="0" distB="0" distL="114300" distR="114300" simplePos="0" relativeHeight="251665408" behindDoc="0" locked="0" layoutInCell="1" allowOverlap="1" wp14:anchorId="058BC682">
                <wp:simplePos x="0" y="0"/>
                <wp:positionH relativeFrom="column">
                  <wp:posOffset>-252095</wp:posOffset>
                </wp:positionH>
                <wp:positionV relativeFrom="paragraph">
                  <wp:posOffset>128905</wp:posOffset>
                </wp:positionV>
                <wp:extent cx="5772150" cy="3143250"/>
                <wp:effectExtent l="0" t="20955" r="0" b="17145"/>
                <wp:wrapNone/>
                <wp:docPr id="228"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2150" cy="3143250"/>
                          <a:chOff x="1350" y="6826"/>
                          <a:chExt cx="8940" cy="5009"/>
                        </a:xfrm>
                      </wpg:grpSpPr>
                      <wpg:grpSp>
                        <wpg:cNvPr id="229" name="Group 46"/>
                        <wpg:cNvGrpSpPr>
                          <a:grpSpLocks/>
                        </wpg:cNvGrpSpPr>
                        <wpg:grpSpPr bwMode="auto">
                          <a:xfrm>
                            <a:off x="1350" y="9182"/>
                            <a:ext cx="8715" cy="2653"/>
                            <a:chOff x="1350" y="9182"/>
                            <a:chExt cx="8715" cy="2653"/>
                          </a:xfrm>
                        </wpg:grpSpPr>
                        <wpg:grpSp>
                          <wpg:cNvPr id="230" name="Group 47"/>
                          <wpg:cNvGrpSpPr>
                            <a:grpSpLocks/>
                          </wpg:cNvGrpSpPr>
                          <wpg:grpSpPr bwMode="auto">
                            <a:xfrm>
                              <a:off x="4665" y="9182"/>
                              <a:ext cx="5400" cy="2653"/>
                              <a:chOff x="4665" y="9182"/>
                              <a:chExt cx="5400" cy="2653"/>
                            </a:xfrm>
                          </wpg:grpSpPr>
                          <wps:wsp>
                            <wps:cNvPr id="231" name="Text Box 48"/>
                            <wps:cNvSpPr txBox="1">
                              <a:spLocks noChangeArrowheads="1"/>
                            </wps:cNvSpPr>
                            <wps:spPr bwMode="auto">
                              <a:xfrm>
                                <a:off x="4665" y="9182"/>
                                <a:ext cx="2775" cy="705"/>
                              </a:xfrm>
                              <a:prstGeom prst="rect">
                                <a:avLst/>
                              </a:prstGeom>
                              <a:solidFill>
                                <a:srgbClr val="FFFFFF"/>
                              </a:solidFill>
                              <a:ln w="31750">
                                <a:solidFill>
                                  <a:srgbClr val="318535"/>
                                </a:solidFill>
                                <a:miter lim="800000"/>
                                <a:headEnd/>
                                <a:tailEnd/>
                              </a:ln>
                            </wps:spPr>
                            <wps:txbx>
                              <w:txbxContent>
                                <w:p w:rsidR="00EA2176" w:rsidRDefault="00EA2176" w:rsidP="00F10F76">
                                  <w:pPr>
                                    <w:ind w:right="72"/>
                                    <w:jc w:val="center"/>
                                    <w:rPr>
                                      <w:b/>
                                      <w:color w:val="0070C0"/>
                                      <w:sz w:val="20"/>
                                      <w:szCs w:val="20"/>
                                    </w:rPr>
                                  </w:pPr>
                                  <w:r>
                                    <w:rPr>
                                      <w:b/>
                                      <w:color w:val="0070C0"/>
                                      <w:sz w:val="20"/>
                                      <w:szCs w:val="20"/>
                                    </w:rPr>
                                    <w:t>Фонд управляван от финансов посредник</w:t>
                                  </w:r>
                                </w:p>
                              </w:txbxContent>
                            </wps:txbx>
                            <wps:bodyPr rot="0" vert="horz" wrap="square" lIns="91440" tIns="45720" rIns="91440" bIns="45720" anchor="t" anchorCtr="0" upright="1">
                              <a:noAutofit/>
                            </wps:bodyPr>
                          </wps:wsp>
                          <wpg:grpSp>
                            <wpg:cNvPr id="232" name="Group 49"/>
                            <wpg:cNvGrpSpPr>
                              <a:grpSpLocks/>
                            </wpg:cNvGrpSpPr>
                            <wpg:grpSpPr bwMode="auto">
                              <a:xfrm>
                                <a:off x="4755" y="9901"/>
                                <a:ext cx="5310" cy="1934"/>
                                <a:chOff x="4755" y="9886"/>
                                <a:chExt cx="5310" cy="1934"/>
                              </a:xfrm>
                            </wpg:grpSpPr>
                            <wps:wsp>
                              <wps:cNvPr id="233" name="Text Box 63"/>
                              <wps:cNvSpPr txBox="1">
                                <a:spLocks noChangeArrowheads="1"/>
                              </wps:cNvSpPr>
                              <wps:spPr bwMode="auto">
                                <a:xfrm>
                                  <a:off x="7770" y="9886"/>
                                  <a:ext cx="2295" cy="9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Default="00EA2176" w:rsidP="00F10F76">
                                    <w:pPr>
                                      <w:ind w:right="30"/>
                                      <w:rPr>
                                        <w:b/>
                                        <w:color w:val="0070C0"/>
                                        <w:sz w:val="16"/>
                                        <w:szCs w:val="16"/>
                                      </w:rPr>
                                    </w:pPr>
                                    <w:r>
                                      <w:rPr>
                                        <w:b/>
                                        <w:color w:val="0070C0"/>
                                        <w:sz w:val="16"/>
                                        <w:szCs w:val="16"/>
                                      </w:rPr>
                                      <w:t>*Под формата на капитал, заеми, гаранции или други форми на възстановими инвестиции</w:t>
                                    </w:r>
                                  </w:p>
                                </w:txbxContent>
                              </wps:txbx>
                              <wps:bodyPr rot="0" vert="horz" wrap="square" lIns="91440" tIns="45720" rIns="91440" bIns="45720" anchor="t" anchorCtr="0" upright="1">
                                <a:noAutofit/>
                              </wps:bodyPr>
                            </wps:wsp>
                            <wpg:grpSp>
                              <wpg:cNvPr id="234" name="Group 51"/>
                              <wpg:cNvGrpSpPr>
                                <a:grpSpLocks/>
                              </wpg:cNvGrpSpPr>
                              <wpg:grpSpPr bwMode="auto">
                                <a:xfrm>
                                  <a:off x="4755" y="10357"/>
                                  <a:ext cx="2640" cy="1463"/>
                                  <a:chOff x="4770" y="10342"/>
                                  <a:chExt cx="2640" cy="1463"/>
                                </a:xfrm>
                              </wpg:grpSpPr>
                              <wpg:grpSp>
                                <wpg:cNvPr id="235" name="Group 52"/>
                                <wpg:cNvGrpSpPr>
                                  <a:grpSpLocks/>
                                </wpg:cNvGrpSpPr>
                                <wpg:grpSpPr bwMode="auto">
                                  <a:xfrm>
                                    <a:off x="4770" y="10357"/>
                                    <a:ext cx="2640" cy="1448"/>
                                    <a:chOff x="4770" y="10342"/>
                                    <a:chExt cx="2640" cy="1448"/>
                                  </a:xfrm>
                                </wpg:grpSpPr>
                                <wps:wsp>
                                  <wps:cNvPr id="236" name="Text Box 53"/>
                                  <wps:cNvSpPr txBox="1">
                                    <a:spLocks noChangeArrowheads="1"/>
                                  </wps:cNvSpPr>
                                  <wps:spPr bwMode="auto">
                                    <a:xfrm>
                                      <a:off x="5415" y="10425"/>
                                      <a:ext cx="1275" cy="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Default="00EA2176" w:rsidP="00F10F76">
                                        <w:pPr>
                                          <w:ind w:right="30"/>
                                          <w:jc w:val="center"/>
                                          <w:rPr>
                                            <w:b/>
                                            <w:color w:val="0070C0"/>
                                            <w:sz w:val="18"/>
                                            <w:szCs w:val="18"/>
                                          </w:rPr>
                                        </w:pPr>
                                        <w:r>
                                          <w:rPr>
                                            <w:b/>
                                            <w:color w:val="0070C0"/>
                                            <w:sz w:val="18"/>
                                            <w:szCs w:val="18"/>
                                          </w:rPr>
                                          <w:t>Финансови продукти*</w:t>
                                        </w:r>
                                      </w:p>
                                    </w:txbxContent>
                                  </wps:txbx>
                                  <wps:bodyPr rot="0" vert="horz" wrap="square" lIns="91440" tIns="45720" rIns="91440" bIns="45720" anchor="t" anchorCtr="0" upright="1">
                                    <a:noAutofit/>
                                  </wps:bodyPr>
                                </wps:wsp>
                                <wpg:grpSp>
                                  <wpg:cNvPr id="237" name="Group 54"/>
                                  <wpg:cNvGrpSpPr>
                                    <a:grpSpLocks/>
                                  </wpg:cNvGrpSpPr>
                                  <wpg:grpSpPr bwMode="auto">
                                    <a:xfrm>
                                      <a:off x="4770" y="10342"/>
                                      <a:ext cx="2640" cy="1448"/>
                                      <a:chOff x="4770" y="10342"/>
                                      <a:chExt cx="2640" cy="1448"/>
                                    </a:xfrm>
                                  </wpg:grpSpPr>
                                  <wps:wsp>
                                    <wps:cNvPr id="238" name="AutoShape 55"/>
                                    <wps:cNvSpPr>
                                      <a:spLocks noChangeArrowheads="1"/>
                                    </wps:cNvSpPr>
                                    <wps:spPr bwMode="auto">
                                      <a:xfrm>
                                        <a:off x="4770" y="11220"/>
                                        <a:ext cx="2640" cy="570"/>
                                      </a:xfrm>
                                      <a:prstGeom prst="flowChartMultidocument">
                                        <a:avLst/>
                                      </a:prstGeom>
                                      <a:solidFill>
                                        <a:srgbClr val="BEE6EE"/>
                                      </a:solidFill>
                                      <a:ln w="19050">
                                        <a:solidFill>
                                          <a:srgbClr val="404040"/>
                                        </a:solidFill>
                                        <a:miter lim="800000"/>
                                        <a:headEnd/>
                                        <a:tailEnd/>
                                      </a:ln>
                                    </wps:spPr>
                                    <wps:txbx>
                                      <w:txbxContent>
                                        <w:p w:rsidR="00EA2176" w:rsidRDefault="00EA2176" w:rsidP="00F10F76">
                                          <w:pPr>
                                            <w:ind w:right="10"/>
                                            <w:rPr>
                                              <w:b/>
                                              <w:color w:val="0070C0"/>
                                              <w:sz w:val="20"/>
                                              <w:szCs w:val="20"/>
                                            </w:rPr>
                                          </w:pPr>
                                          <w:r>
                                            <w:rPr>
                                              <w:b/>
                                              <w:color w:val="0070C0"/>
                                              <w:sz w:val="20"/>
                                              <w:szCs w:val="20"/>
                                            </w:rPr>
                                            <w:t>Крайни потребители</w:t>
                                          </w:r>
                                        </w:p>
                                        <w:p w:rsidR="00EA2176" w:rsidRDefault="00EA2176" w:rsidP="00F10F76"/>
                                      </w:txbxContent>
                                    </wps:txbx>
                                    <wps:bodyPr rot="0" vert="horz" wrap="square" lIns="91440" tIns="45720" rIns="91440" bIns="45720" anchor="t" anchorCtr="0" upright="1">
                                      <a:noAutofit/>
                                    </wps:bodyPr>
                                  </wps:wsp>
                                  <wps:wsp>
                                    <wps:cNvPr id="239" name="AutoShape 56"/>
                                    <wps:cNvSpPr>
                                      <a:spLocks noChangeArrowheads="1"/>
                                    </wps:cNvSpPr>
                                    <wps:spPr bwMode="auto">
                                      <a:xfrm>
                                        <a:off x="5220" y="10342"/>
                                        <a:ext cx="195" cy="743"/>
                                      </a:xfrm>
                                      <a:prstGeom prst="curvedRightArrow">
                                        <a:avLst>
                                          <a:gd name="adj1" fmla="val 76205"/>
                                          <a:gd name="adj2" fmla="val 152410"/>
                                          <a:gd name="adj3" fmla="val 33333"/>
                                        </a:avLst>
                                      </a:prstGeom>
                                      <a:solidFill>
                                        <a:srgbClr val="318535"/>
                                      </a:solidFill>
                                      <a:ln w="9525">
                                        <a:solidFill>
                                          <a:srgbClr val="000000"/>
                                        </a:solidFill>
                                        <a:miter lim="800000"/>
                                        <a:headEnd/>
                                        <a:tailEnd/>
                                      </a:ln>
                                    </wps:spPr>
                                    <wps:bodyPr rot="0" vert="horz" wrap="square" lIns="91440" tIns="45720" rIns="91440" bIns="45720" anchor="t" anchorCtr="0" upright="1">
                                      <a:noAutofit/>
                                    </wps:bodyPr>
                                  </wps:wsp>
                                </wpg:grpSp>
                              </wpg:grpSp>
                              <wps:wsp>
                                <wps:cNvPr id="240" name="AutoShape 57"/>
                                <wps:cNvSpPr>
                                  <a:spLocks noChangeArrowheads="1"/>
                                </wps:cNvSpPr>
                                <wps:spPr bwMode="auto">
                                  <a:xfrm rot="10800000">
                                    <a:off x="6540" y="10342"/>
                                    <a:ext cx="240" cy="743"/>
                                  </a:xfrm>
                                  <a:prstGeom prst="curvedRightArrow">
                                    <a:avLst>
                                      <a:gd name="adj1" fmla="val 61917"/>
                                      <a:gd name="adj2" fmla="val 123833"/>
                                      <a:gd name="adj3" fmla="val 33333"/>
                                    </a:avLst>
                                  </a:prstGeom>
                                  <a:noFill/>
                                  <a:ln w="12700">
                                    <a:solidFill>
                                      <a:srgbClr val="318535"/>
                                    </a:solidFill>
                                    <a:miter lim="800000"/>
                                    <a:headEnd/>
                                    <a:tailEnd/>
                                  </a:ln>
                                  <a:extLst>
                                    <a:ext uri="{909E8E84-426E-40DD-AFC4-6F175D3DCCD1}">
                                      <a14:hiddenFill xmlns:a14="http://schemas.microsoft.com/office/drawing/2010/main">
                                        <a:solidFill>
                                          <a:srgbClr val="318535"/>
                                        </a:solidFill>
                                      </a14:hiddenFill>
                                    </a:ext>
                                  </a:extLst>
                                </wps:spPr>
                                <wps:bodyPr rot="0" vert="horz" wrap="square" lIns="91440" tIns="45720" rIns="91440" bIns="45720" anchor="t" anchorCtr="0" upright="1">
                                  <a:noAutofit/>
                                </wps:bodyPr>
                              </wps:wsp>
                            </wpg:grpSp>
                          </wpg:grpSp>
                        </wpg:grpSp>
                        <wps:wsp>
                          <wps:cNvPr id="241" name="Text Box 58"/>
                          <wps:cNvSpPr txBox="1">
                            <a:spLocks noChangeArrowheads="1"/>
                          </wps:cNvSpPr>
                          <wps:spPr bwMode="auto">
                            <a:xfrm>
                              <a:off x="1350" y="10725"/>
                              <a:ext cx="1590"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Default="00EA2176" w:rsidP="00F10F76">
                                <w:pPr>
                                  <w:ind w:right="30"/>
                                  <w:rPr>
                                    <w:b/>
                                    <w:color w:val="0070C0"/>
                                    <w:sz w:val="28"/>
                                    <w:szCs w:val="28"/>
                                  </w:rPr>
                                </w:pPr>
                                <w:r>
                                  <w:rPr>
                                    <w:b/>
                                    <w:color w:val="0070C0"/>
                                    <w:sz w:val="28"/>
                                    <w:szCs w:val="28"/>
                                  </w:rPr>
                                  <w:t>Фаза 3</w:t>
                                </w:r>
                              </w:p>
                            </w:txbxContent>
                          </wps:txbx>
                          <wps:bodyPr rot="0" vert="horz" wrap="square" lIns="91440" tIns="45720" rIns="91440" bIns="45720" anchor="t" anchorCtr="0" upright="1">
                            <a:noAutofit/>
                          </wps:bodyPr>
                        </wps:wsp>
                      </wpg:grpSp>
                      <wpg:grpSp>
                        <wpg:cNvPr id="242" name="Group 59"/>
                        <wpg:cNvGrpSpPr>
                          <a:grpSpLocks/>
                        </wpg:cNvGrpSpPr>
                        <wpg:grpSpPr bwMode="auto">
                          <a:xfrm>
                            <a:off x="1350" y="7396"/>
                            <a:ext cx="8940" cy="1785"/>
                            <a:chOff x="1350" y="7396"/>
                            <a:chExt cx="8940" cy="1785"/>
                          </a:xfrm>
                        </wpg:grpSpPr>
                        <wps:wsp>
                          <wps:cNvPr id="243" name="Text Box 60"/>
                          <wps:cNvSpPr txBox="1">
                            <a:spLocks noChangeArrowheads="1"/>
                          </wps:cNvSpPr>
                          <wps:spPr bwMode="auto">
                            <a:xfrm>
                              <a:off x="1350" y="8581"/>
                              <a:ext cx="1590"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Default="00EA2176" w:rsidP="00F10F76">
                                <w:pPr>
                                  <w:ind w:right="30"/>
                                  <w:rPr>
                                    <w:b/>
                                    <w:color w:val="0070C0"/>
                                    <w:sz w:val="28"/>
                                    <w:szCs w:val="28"/>
                                  </w:rPr>
                                </w:pPr>
                                <w:r>
                                  <w:rPr>
                                    <w:b/>
                                    <w:color w:val="0070C0"/>
                                    <w:sz w:val="28"/>
                                    <w:szCs w:val="28"/>
                                  </w:rPr>
                                  <w:t>Фаза 2</w:t>
                                </w:r>
                              </w:p>
                            </w:txbxContent>
                          </wps:txbx>
                          <wps:bodyPr rot="0" vert="horz" wrap="square" lIns="91440" tIns="45720" rIns="91440" bIns="45720" anchor="t" anchorCtr="0" upright="1">
                            <a:noAutofit/>
                          </wps:bodyPr>
                        </wps:wsp>
                        <wps:wsp>
                          <wps:cNvPr id="244" name="Text Box 61"/>
                          <wps:cNvSpPr txBox="1">
                            <a:spLocks noChangeArrowheads="1"/>
                          </wps:cNvSpPr>
                          <wps:spPr bwMode="auto">
                            <a:xfrm>
                              <a:off x="7230" y="7396"/>
                              <a:ext cx="3060" cy="9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Default="00EA2176" w:rsidP="00F10F76">
                                <w:pPr>
                                  <w:ind w:right="30"/>
                                  <w:jc w:val="center"/>
                                  <w:rPr>
                                    <w:b/>
                                    <w:color w:val="318535"/>
                                    <w:sz w:val="20"/>
                                    <w:szCs w:val="20"/>
                                  </w:rPr>
                                </w:pPr>
                                <w:r>
                                  <w:rPr>
                                    <w:b/>
                                    <w:color w:val="318535"/>
                                    <w:sz w:val="20"/>
                                    <w:szCs w:val="20"/>
                                  </w:rPr>
                                  <w:t>Структурни фондове</w:t>
                                </w:r>
                              </w:p>
                              <w:p w:rsidR="00EA2176" w:rsidRDefault="00EA2176" w:rsidP="00F10F76">
                                <w:pPr>
                                  <w:ind w:right="30"/>
                                  <w:jc w:val="center"/>
                                  <w:rPr>
                                    <w:b/>
                                    <w:color w:val="318535"/>
                                    <w:sz w:val="20"/>
                                    <w:szCs w:val="20"/>
                                  </w:rPr>
                                </w:pPr>
                                <w:r>
                                  <w:rPr>
                                    <w:b/>
                                    <w:color w:val="318535"/>
                                    <w:sz w:val="20"/>
                                    <w:szCs w:val="20"/>
                                  </w:rPr>
                                  <w:t>и национално съфинансиране</w:t>
                                </w:r>
                              </w:p>
                            </w:txbxContent>
                          </wps:txbx>
                          <wps:bodyPr rot="0" vert="horz" wrap="square" lIns="91440" tIns="45720" rIns="91440" bIns="45720" anchor="t" anchorCtr="0" upright="1">
                            <a:noAutofit/>
                          </wps:bodyPr>
                        </wps:wsp>
                      </wpg:grpSp>
                      <wpg:grpSp>
                        <wpg:cNvPr id="245" name="Group 62"/>
                        <wpg:cNvGrpSpPr>
                          <a:grpSpLocks/>
                        </wpg:cNvGrpSpPr>
                        <wpg:grpSpPr bwMode="auto">
                          <a:xfrm>
                            <a:off x="1350" y="6826"/>
                            <a:ext cx="5970" cy="2247"/>
                            <a:chOff x="1350" y="6826"/>
                            <a:chExt cx="5970" cy="2247"/>
                          </a:xfrm>
                        </wpg:grpSpPr>
                        <wps:wsp>
                          <wps:cNvPr id="246" name="Text Box 63"/>
                          <wps:cNvSpPr txBox="1">
                            <a:spLocks noChangeArrowheads="1"/>
                          </wps:cNvSpPr>
                          <wps:spPr bwMode="auto">
                            <a:xfrm>
                              <a:off x="1350" y="7277"/>
                              <a:ext cx="1590"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2176" w:rsidRDefault="00EA2176" w:rsidP="00F10F76">
                                <w:pPr>
                                  <w:ind w:right="30"/>
                                  <w:rPr>
                                    <w:b/>
                                    <w:color w:val="0070C0"/>
                                    <w:sz w:val="28"/>
                                    <w:szCs w:val="28"/>
                                  </w:rPr>
                                </w:pPr>
                                <w:r>
                                  <w:rPr>
                                    <w:b/>
                                    <w:color w:val="0070C0"/>
                                    <w:sz w:val="28"/>
                                    <w:szCs w:val="28"/>
                                  </w:rPr>
                                  <w:t>Фаза 1</w:t>
                                </w:r>
                              </w:p>
                            </w:txbxContent>
                          </wps:txbx>
                          <wps:bodyPr rot="0" vert="horz" wrap="square" lIns="91440" tIns="45720" rIns="91440" bIns="45720" anchor="t" anchorCtr="0" upright="1">
                            <a:noAutofit/>
                          </wps:bodyPr>
                        </wps:wsp>
                        <wpg:grpSp>
                          <wpg:cNvPr id="247" name="Group 64"/>
                          <wpg:cNvGrpSpPr>
                            <a:grpSpLocks/>
                          </wpg:cNvGrpSpPr>
                          <wpg:grpSpPr bwMode="auto">
                            <a:xfrm>
                              <a:off x="4650" y="6826"/>
                              <a:ext cx="2670" cy="2247"/>
                              <a:chOff x="4650" y="6826"/>
                              <a:chExt cx="2670" cy="2247"/>
                            </a:xfrm>
                          </wpg:grpSpPr>
                          <wps:wsp>
                            <wps:cNvPr id="248" name="Text Box 65"/>
                            <wps:cNvSpPr txBox="1">
                              <a:spLocks noChangeArrowheads="1"/>
                            </wps:cNvSpPr>
                            <wps:spPr bwMode="auto">
                              <a:xfrm>
                                <a:off x="4650" y="8011"/>
                                <a:ext cx="1965" cy="465"/>
                              </a:xfrm>
                              <a:prstGeom prst="rect">
                                <a:avLst/>
                              </a:prstGeom>
                              <a:solidFill>
                                <a:srgbClr val="FFFFFF"/>
                              </a:solidFill>
                              <a:ln w="31750">
                                <a:solidFill>
                                  <a:srgbClr val="318535"/>
                                </a:solidFill>
                                <a:miter lim="800000"/>
                                <a:headEnd/>
                                <a:tailEnd/>
                              </a:ln>
                            </wps:spPr>
                            <wps:txbx>
                              <w:txbxContent>
                                <w:p w:rsidR="00EA2176" w:rsidRDefault="00EA2176" w:rsidP="00F10F76">
                                  <w:pPr>
                                    <w:ind w:right="-66"/>
                                    <w:jc w:val="center"/>
                                    <w:rPr>
                                      <w:b/>
                                      <w:color w:val="0070C0"/>
                                      <w:sz w:val="20"/>
                                      <w:szCs w:val="20"/>
                                    </w:rPr>
                                  </w:pPr>
                                  <w:r>
                                    <w:rPr>
                                      <w:b/>
                                      <w:color w:val="0070C0"/>
                                      <w:sz w:val="20"/>
                                      <w:szCs w:val="20"/>
                                    </w:rPr>
                                    <w:t>Холдингов фонд</w:t>
                                  </w:r>
                                </w:p>
                              </w:txbxContent>
                            </wps:txbx>
                            <wps:bodyPr rot="0" vert="horz" wrap="square" lIns="91440" tIns="45720" rIns="91440" bIns="45720" anchor="t" anchorCtr="0" upright="1">
                              <a:noAutofit/>
                            </wps:bodyPr>
                          </wps:wsp>
                          <wps:wsp>
                            <wps:cNvPr id="249" name="AutoShape 66"/>
                            <wps:cNvSpPr>
                              <a:spLocks noChangeArrowheads="1"/>
                            </wps:cNvSpPr>
                            <wps:spPr bwMode="auto">
                              <a:xfrm rot="5400000">
                                <a:off x="5309" y="8672"/>
                                <a:ext cx="507" cy="296"/>
                              </a:xfrm>
                              <a:prstGeom prst="stripedRightArrow">
                                <a:avLst>
                                  <a:gd name="adj1" fmla="val 50000"/>
                                  <a:gd name="adj2" fmla="val 42821"/>
                                </a:avLst>
                              </a:prstGeom>
                              <a:solidFill>
                                <a:srgbClr val="31853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250" name="Group 67"/>
                            <wpg:cNvGrpSpPr>
                              <a:grpSpLocks/>
                            </wpg:cNvGrpSpPr>
                            <wpg:grpSpPr bwMode="auto">
                              <a:xfrm>
                                <a:off x="4650" y="6826"/>
                                <a:ext cx="2670" cy="2175"/>
                                <a:chOff x="4650" y="6826"/>
                                <a:chExt cx="2670" cy="2175"/>
                              </a:xfrm>
                            </wpg:grpSpPr>
                            <wps:wsp>
                              <wps:cNvPr id="251" name="Text Box 68"/>
                              <wps:cNvSpPr txBox="1">
                                <a:spLocks noChangeArrowheads="1"/>
                              </wps:cNvSpPr>
                              <wps:spPr bwMode="auto">
                                <a:xfrm>
                                  <a:off x="4650" y="6826"/>
                                  <a:ext cx="2670" cy="450"/>
                                </a:xfrm>
                                <a:prstGeom prst="rect">
                                  <a:avLst/>
                                </a:prstGeom>
                                <a:solidFill>
                                  <a:srgbClr val="FFFFFF"/>
                                </a:solidFill>
                                <a:ln w="31750">
                                  <a:solidFill>
                                    <a:srgbClr val="318535"/>
                                  </a:solidFill>
                                  <a:miter lim="800000"/>
                                  <a:headEnd/>
                                  <a:tailEnd/>
                                </a:ln>
                              </wps:spPr>
                              <wps:txbx>
                                <w:txbxContent>
                                  <w:p w:rsidR="00EA2176" w:rsidRDefault="00EA2176" w:rsidP="00F10F76">
                                    <w:pPr>
                                      <w:ind w:right="-33"/>
                                      <w:jc w:val="center"/>
                                      <w:rPr>
                                        <w:b/>
                                        <w:color w:val="0070C0"/>
                                        <w:sz w:val="20"/>
                                        <w:szCs w:val="20"/>
                                      </w:rPr>
                                    </w:pPr>
                                    <w:r>
                                      <w:rPr>
                                        <w:b/>
                                        <w:color w:val="0070C0"/>
                                        <w:sz w:val="20"/>
                                        <w:szCs w:val="20"/>
                                      </w:rPr>
                                      <w:t>Управляващ орган</w:t>
                                    </w:r>
                                  </w:p>
                                </w:txbxContent>
                              </wps:txbx>
                              <wps:bodyPr rot="0" vert="horz" wrap="square" lIns="91440" tIns="45720" rIns="91440" bIns="45720" anchor="t" anchorCtr="0" upright="1">
                                <a:noAutofit/>
                              </wps:bodyPr>
                            </wps:wsp>
                            <wps:wsp>
                              <wps:cNvPr id="252" name="AutoShape 69"/>
                              <wps:cNvSpPr>
                                <a:spLocks noChangeArrowheads="1"/>
                              </wps:cNvSpPr>
                              <wps:spPr bwMode="auto">
                                <a:xfrm rot="5400000">
                                  <a:off x="5309" y="7487"/>
                                  <a:ext cx="507" cy="296"/>
                                </a:xfrm>
                                <a:prstGeom prst="stripedRightArrow">
                                  <a:avLst>
                                    <a:gd name="adj1" fmla="val 50000"/>
                                    <a:gd name="adj2" fmla="val 42821"/>
                                  </a:avLst>
                                </a:prstGeom>
                                <a:solidFill>
                                  <a:srgbClr val="31853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3" name="AutoShape 70"/>
                              <wps:cNvSpPr>
                                <a:spLocks noChangeArrowheads="1"/>
                              </wps:cNvSpPr>
                              <wps:spPr bwMode="auto">
                                <a:xfrm rot="5400000">
                                  <a:off x="6227" y="8042"/>
                                  <a:ext cx="1632" cy="285"/>
                                </a:xfrm>
                                <a:prstGeom prst="stripedRightArrow">
                                  <a:avLst>
                                    <a:gd name="adj1" fmla="val 50000"/>
                                    <a:gd name="adj2" fmla="val 143158"/>
                                  </a:avLst>
                                </a:prstGeom>
                                <a:solidFill>
                                  <a:srgbClr val="31853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s:wsp>
                          <wps:cNvPr id="259" name="Text Box 71"/>
                          <wps:cNvSpPr txBox="1">
                            <a:spLocks noChangeArrowheads="1"/>
                          </wps:cNvSpPr>
                          <wps:spPr bwMode="auto">
                            <a:xfrm>
                              <a:off x="2040" y="7381"/>
                              <a:ext cx="3060"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A2176" w:rsidRDefault="00EA2176" w:rsidP="00F10F76">
                                <w:pPr>
                                  <w:ind w:right="30"/>
                                  <w:jc w:val="center"/>
                                  <w:rPr>
                                    <w:b/>
                                    <w:color w:val="318535"/>
                                    <w:sz w:val="20"/>
                                    <w:szCs w:val="20"/>
                                  </w:rPr>
                                </w:pPr>
                                <w:r>
                                  <w:rPr>
                                    <w:b/>
                                    <w:color w:val="318535"/>
                                    <w:sz w:val="20"/>
                                    <w:szCs w:val="20"/>
                                  </w:rPr>
                                  <w:t>Структурни фондове</w:t>
                                </w:r>
                              </w:p>
                              <w:p w:rsidR="00EA2176" w:rsidRDefault="00EA2176" w:rsidP="00F10F76">
                                <w:pPr>
                                  <w:ind w:right="30"/>
                                  <w:jc w:val="center"/>
                                  <w:rPr>
                                    <w:b/>
                                    <w:color w:val="318535"/>
                                    <w:sz w:val="20"/>
                                    <w:szCs w:val="20"/>
                                  </w:rPr>
                                </w:pPr>
                                <w:r>
                                  <w:rPr>
                                    <w:b/>
                                    <w:color w:val="318535"/>
                                    <w:sz w:val="20"/>
                                    <w:szCs w:val="20"/>
                                  </w:rPr>
                                  <w:t>и национално съфинансиране</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58BC682" id="Group 45" o:spid="_x0000_s1082" style="position:absolute;left:0;text-align:left;margin-left:-19.85pt;margin-top:10.15pt;width:454.5pt;height:247.5pt;z-index:251665408" coordorigin="1350,6826" coordsize="8940,5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">
                <v:group id="Group 46" o:spid="_x0000_s1083" style="position:absolute;left:1350;top:9182;width:8715;height:2653" coordorigin="1350,9182" coordsize="8715,26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group id="Group 47" o:spid="_x0000_s1084" style="position:absolute;left:4665;top:9182;width:5400;height:2653" coordorigin="4665,9182" coordsize="5400,26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Text Box 48" o:spid="_x0000_s1085" type="#_x0000_t202" style="position:absolute;left:4665;top:9182;width:2775;height: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GzUMMA&#10;AADcAAAADwAAAGRycy9kb3ducmV2LnhtbESPQWvCQBSE7wX/w/IEL1I3plAkdZWqCB5rVLw+sq9J&#10;MPs2ZDdu/PduoeBxmJlvmOV6MI24U+dqywrmswQEcWF1zaWC82n/vgDhPLLGxjIpeJCD9Wr0tsRM&#10;28BHuue+FBHCLkMFlfdtJqUrKjLoZrYljt6v7Qz6KLtS6g5DhJtGpknyKQ3WHBcqbGlbUXHLe6Pg&#10;uvuhMkz70+2QhEtYTB/pps+VmoyH7y8Qngb/Cv+3D1pB+jGHvzPxCM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GzUMMAAADcAAAADwAAAAAAAAAAAAAAAACYAgAAZHJzL2Rv&#10;d25yZXYueG1sUEsFBgAAAAAEAAQA9QAAAIgDAAAAAA==&#10;" strokecolor="#318535" strokeweight="2.5pt">
                      <v:textbox>
                        <w:txbxContent>
                          <w:p w:rsidR="00EA2176" w:rsidRDefault="00EA2176" w:rsidP="00F10F76">
                            <w:pPr>
                              <w:ind w:right="72"/>
                              <w:jc w:val="center"/>
                              <w:rPr>
                                <w:b/>
                                <w:color w:val="0070C0"/>
                                <w:sz w:val="20"/>
                                <w:szCs w:val="20"/>
                              </w:rPr>
                            </w:pPr>
                            <w:r>
                              <w:rPr>
                                <w:b/>
                                <w:color w:val="0070C0"/>
                                <w:sz w:val="20"/>
                                <w:szCs w:val="20"/>
                              </w:rPr>
                              <w:t>Фонд управляван от финансов посредник</w:t>
                            </w:r>
                          </w:p>
                        </w:txbxContent>
                      </v:textbox>
                    </v:shape>
                    <v:group id="Group 49" o:spid="_x0000_s1086" style="position:absolute;left:4755;top:9901;width:5310;height:1934" coordorigin="4755,9886" coordsize="5310,19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shape id="Text Box 63" o:spid="_x0000_s1087" type="#_x0000_t202" style="position:absolute;left:7770;top:9886;width:2295;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d6p8IA&#10;AADcAAAADwAAAGRycy9kb3ducmV2LnhtbESP3YrCMBSE7xd8h3AEbxZN/ddqFBVWvPXnAY7NsS02&#10;J6WJtr79RhC8HGbmG2a5bkwhnlS53LKCfi8CQZxYnXOq4HL+685AOI+ssbBMCl7kYL1q/Swx1rbm&#10;Iz1PPhUBwi5GBZn3ZSylSzIy6Hq2JA7ezVYGfZBVKnWFdYCbQg6iaCIN5hwWMixpl1FyPz2Mgtuh&#10;/h3P6+veX6bH0WSL+fRqX0p12s1mAcJT47/hT/ugFQyGQ3ifC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B3qnwgAAANwAAAAPAAAAAAAAAAAAAAAAAJgCAABkcnMvZG93&#10;bnJldi54bWxQSwUGAAAAAAQABAD1AAAAhwMAAAAA&#10;" stroked="f">
                        <v:textbox>
                          <w:txbxContent>
                            <w:p w:rsidR="00EA2176" w:rsidRDefault="00EA2176" w:rsidP="00F10F76">
                              <w:pPr>
                                <w:ind w:right="30"/>
                                <w:rPr>
                                  <w:b/>
                                  <w:color w:val="0070C0"/>
                                  <w:sz w:val="16"/>
                                  <w:szCs w:val="16"/>
                                </w:rPr>
                              </w:pPr>
                              <w:r>
                                <w:rPr>
                                  <w:b/>
                                  <w:color w:val="0070C0"/>
                                  <w:sz w:val="16"/>
                                  <w:szCs w:val="16"/>
                                </w:rPr>
                                <w:t>*Под формата на капитал, заеми, гаранции или други форми на възстановими инвестиции</w:t>
                              </w:r>
                            </w:p>
                          </w:txbxContent>
                        </v:textbox>
                      </v:shape>
                      <v:group id="Group 51" o:spid="_x0000_s1088" style="position:absolute;left:4755;top:10357;width:2640;height:1463" coordorigin="4770,10342" coordsize="2640,14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group id="Group 52" o:spid="_x0000_s1089" style="position:absolute;left:4770;top:10357;width:2640;height:1448" coordorigin="4770,10342" coordsize="2640,14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v:shape id="Text Box 53" o:spid="_x0000_s1090" type="#_x0000_t202" style="position:absolute;left:5415;top:10425;width:127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DZP8MA&#10;AADcAAAADwAAAGRycy9kb3ducmV2LnhtbESP3YrCMBSE7xd8h3AEbxZN/atajbIKirf+PMCxObbF&#10;5qQ0WVvf3iwseDnMzDfMatOaUjypdoVlBcNBBII4tbrgTMH1su/PQTiPrLG0TApe5GCz7nytMNG2&#10;4RM9zz4TAcIuQQW591UipUtzMugGtiIO3t3WBn2QdSZ1jU2Am1KOoiiWBgsOCzlWtMspfZx/jYL7&#10;sfmeLprbwV9np0m8xWJ2sy+let32ZwnCU+s/4f/2USsYjWP4Ox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DZP8MAAADcAAAADwAAAAAAAAAAAAAAAACYAgAAZHJzL2Rv&#10;d25yZXYueG1sUEsFBgAAAAAEAAQA9QAAAIgDAAAAAA==&#10;" stroked="f">
                            <v:textbox>
                              <w:txbxContent>
                                <w:p w:rsidR="00EA2176" w:rsidRDefault="00EA2176" w:rsidP="00F10F76">
                                  <w:pPr>
                                    <w:ind w:right="30"/>
                                    <w:jc w:val="center"/>
                                    <w:rPr>
                                      <w:b/>
                                      <w:color w:val="0070C0"/>
                                      <w:sz w:val="18"/>
                                      <w:szCs w:val="18"/>
                                    </w:rPr>
                                  </w:pPr>
                                  <w:r>
                                    <w:rPr>
                                      <w:b/>
                                      <w:color w:val="0070C0"/>
                                      <w:sz w:val="18"/>
                                      <w:szCs w:val="18"/>
                                    </w:rPr>
                                    <w:t>Финансови продукти*</w:t>
                                  </w:r>
                                </w:p>
                              </w:txbxContent>
                            </v:textbox>
                          </v:shape>
                          <v:group id="Group 54" o:spid="_x0000_s1091" style="position:absolute;left:4770;top:10342;width:2640;height:1448" coordorigin="4770,10342" coordsize="2640,14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Sp6cYAAADcAAAADwAAAGRycy9kb3ducmV2LnhtbESPT2vCQBTE7wW/w/IK&#10;vdXNH2wldQ0itngQoSqU3h7ZZxKSfRuy2yR++25B6HGYmd8wq3wyrRiod7VlBfE8AkFcWF1zqeBy&#10;fn9egnAeWWNrmRTcyEG+nj2sMNN25E8aTr4UAcIuQwWV910mpSsqMujmtiMO3tX2Bn2QfSl1j2OA&#10;m1YmUfQiDdYcFirsaFtR0Zx+jIKPEcdNGu+GQ3Pd3r7Pi+PXISalnh6nzRsIT5P/D9/be60gSV/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ZKnpxgAAANwA&#10;AAAPAAAAAAAAAAAAAAAAAKoCAABkcnMvZG93bnJldi54bWxQSwUGAAAAAAQABAD6AAAAnQMAAAAA&#10;">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AutoShape 55" o:spid="_x0000_s1092" type="#_x0000_t115" style="position:absolute;left:4770;top:11220;width:2640;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op278A&#10;AADcAAAADwAAAGRycy9kb3ducmV2LnhtbERPy4rCMBTdC/5DuII7TVVQqUaRilBwBvG1vzTXttjc&#10;lCbW+vdmMTDLw3mvt52pREuNKy0rmIwjEMSZ1SXnCm7Xw2gJwnlkjZVlUvAhB9tNv7fGWNs3n6m9&#10;+FyEEHYxKii8r2MpXVaQQTe2NXHgHrYx6ANscqkbfIdwU8lpFM2lwZJDQ4E1JQVlz8vLKJifDpgm&#10;+yOmt/ssoTbNXovfH6WGg263AuGp8//iP3eqFUxnYW04E46A3H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einbvwAAANwAAAAPAAAAAAAAAAAAAAAAAJgCAABkcnMvZG93bnJl&#10;di54bWxQSwUGAAAAAAQABAD1AAAAhAMAAAAA&#10;" fillcolor="#bee6ee" strokecolor="#404040" strokeweight="1.5pt">
                              <v:textbox>
                                <w:txbxContent>
                                  <w:p w:rsidR="00EA2176" w:rsidRDefault="00EA2176" w:rsidP="00F10F76">
                                    <w:pPr>
                                      <w:ind w:right="10"/>
                                      <w:rPr>
                                        <w:b/>
                                        <w:color w:val="0070C0"/>
                                        <w:sz w:val="20"/>
                                        <w:szCs w:val="20"/>
                                      </w:rPr>
                                    </w:pPr>
                                    <w:r>
                                      <w:rPr>
                                        <w:b/>
                                        <w:color w:val="0070C0"/>
                                        <w:sz w:val="20"/>
                                        <w:szCs w:val="20"/>
                                      </w:rPr>
                                      <w:t>Крайни потребители</w:t>
                                    </w:r>
                                  </w:p>
                                  <w:p w:rsidR="00EA2176" w:rsidRDefault="00EA2176" w:rsidP="00F10F76"/>
                                </w:txbxContent>
                              </v:textbox>
                            </v:shape>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AutoShape 56" o:spid="_x0000_s1093" type="#_x0000_t102" style="position:absolute;left:5220;top:10342;width:195;height: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XyRcUA&#10;AADcAAAADwAAAGRycy9kb3ducmV2LnhtbESPQWvCQBSE70L/w/IEb7oxQtHUVVpR7K2aCF4f2dck&#10;Nfs2ya4a/71bKPQ4zMw3zHLdm1rcqHOVZQXTSQSCOLe64kLBKduN5yCcR9ZYWyYFD3KwXr0Mlpho&#10;e+cj3VJfiABhl6CC0vsmkdLlJRl0E9sQB+/bdgZ9kF0hdYf3ADe1jKPoVRqsOCyU2NCmpPySXo2C&#10;9prFX0dd5eePS7ppf/bbQ7vYKjUa9u9vIDz1/j/81/7UCuLZAn7PhCM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JfJFxQAAANwAAAAPAAAAAAAAAAAAAAAAAJgCAABkcnMv&#10;ZG93bnJldi54bWxQSwUGAAAAAAQABAD1AAAAigMAAAAA&#10;" fillcolor="#318535"/>
                          </v:group>
                        </v:group>
                        <v:shape id="AutoShape 57" o:spid="_x0000_s1094" type="#_x0000_t102" style="position:absolute;left:6540;top:10342;width:240;height:743;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68MA&#10;AADcAAAADwAAAGRycy9kb3ducmV2LnhtbERPXWvCMBR9H+w/hDvYi2iqzKHVKCIIEwVZFXy9NHdt&#10;XXNTksxWf715EPZ4ON/zZWdqcSXnK8sKhoMEBHFudcWFgtNx05+A8AFZY22ZFNzIw3Lx+jLHVNuW&#10;v+mahULEEPYpKihDaFIpfV6SQT+wDXHkfqwzGCJ0hdQO2xhuajlKkk9psOLYUGJD65Ly3+zPKKhd&#10;Tnu9PfUO0+1512svlx2P70q9v3WrGYhAXfgXP91fWsHoI86P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68MAAADcAAAADwAAAAAAAAAAAAAAAACYAgAAZHJzL2Rv&#10;d25yZXYueG1sUEsFBgAAAAAEAAQA9QAAAIgDAAAAAA==&#10;" filled="f" fillcolor="#318535" strokecolor="#318535" strokeweight="1pt"/>
                      </v:group>
                    </v:group>
                  </v:group>
                  <v:shape id="Text Box 58" o:spid="_x0000_s1095" type="#_x0000_t202" style="position:absolute;left:1350;top:10725;width:159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8yNsIA&#10;AADcAAAADwAAAGRycy9kb3ducmV2LnhtbESP3YrCMBSE7wXfIRzBG9mmir/VKCrs4q2uD3DaHNti&#10;c1KaaOvbm4UFL4eZ+YbZ7DpTiSc1rrSsYBzFIIgzq0vOFVx/v7+WIJxH1lhZJgUvcrDb9nsbTLRt&#10;+UzPi89FgLBLUEHhfZ1I6bKCDLrI1sTBu9nGoA+yyaVusA1wU8lJHM+lwZLDQoE1HQvK7peHUXA7&#10;taPZqk1//HVxns4PWC5S+1JqOOj2axCeOv8J/7dPWsFkOoa/M+EIyO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nzI2wgAAANwAAAAPAAAAAAAAAAAAAAAAAJgCAABkcnMvZG93&#10;bnJldi54bWxQSwUGAAAAAAQABAD1AAAAhwMAAAAA&#10;" stroked="f">
                    <v:textbox>
                      <w:txbxContent>
                        <w:p w:rsidR="00EA2176" w:rsidRDefault="00EA2176" w:rsidP="00F10F76">
                          <w:pPr>
                            <w:ind w:right="30"/>
                            <w:rPr>
                              <w:b/>
                              <w:color w:val="0070C0"/>
                              <w:sz w:val="28"/>
                              <w:szCs w:val="28"/>
                            </w:rPr>
                          </w:pPr>
                          <w:r>
                            <w:rPr>
                              <w:b/>
                              <w:color w:val="0070C0"/>
                              <w:sz w:val="28"/>
                              <w:szCs w:val="28"/>
                            </w:rPr>
                            <w:t>Фаза 3</w:t>
                          </w:r>
                        </w:p>
                      </w:txbxContent>
                    </v:textbox>
                  </v:shape>
                </v:group>
                <v:group id="Group 59" o:spid="_x0000_s1096" style="position:absolute;left:1350;top:7396;width:8940;height:1785" coordorigin="1350,7396" coordsize="8940,17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5DMUAAADcAAAADwAAAGRycy9kb3ducmV2LnhtbESPT2vCQBTE7wW/w/IE&#10;b3WT2IpEVxFR6UEK/gHx9sg+k2D2bciuSfz23UKhx2FmfsMsVr2pREuNKy0riMcRCOLM6pJzBZfz&#10;7n0GwnlkjZVlUvAiB6vl4G2BqbYdH6k9+VwECLsUFRTe16mULivIoBvbmjh4d9sY9EE2udQNdgFu&#10;KplE0VQaLDksFFjTpqDscXoaBfsOu/Uk3raHx33zup0/v6+HmJQaDfv1HISn3v+H/9pfWkHykc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VeQzFAAAA3AAA&#10;AA8AAAAAAAAAAAAAAAAAqgIAAGRycy9kb3ducmV2LnhtbFBLBQYAAAAABAAEAPoAAACcAwAAAAA=&#10;">
                  <v:shape id="Text Box 60" o:spid="_x0000_s1097" type="#_x0000_t202" style="position:absolute;left:1350;top:8581;width:159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EJ2sMA&#10;AADcAAAADwAAAGRycy9kb3ducmV2LnhtbESP26rCMBRE3wX/IWzBF9HUy/FSjeI5oPjq5QO2zbYt&#10;Njulibb+vRGE8zjMzBpmtWlMIZ5UudyyguEgAkGcWJ1zquBy3vXnIJxH1lhYJgUvcrBZt1srjLWt&#10;+UjPk09FgLCLUUHmfRlL6ZKMDLqBLYmDd7OVQR9klUpdYR3gppCjKJpKgzmHhQxL+ssouZ8eRsHt&#10;UPd+FvV17y+z42T6i/nsal9KdTvNdgnCU+P/w9/2QSsYTcbwOR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EJ2sMAAADcAAAADwAAAAAAAAAAAAAAAACYAgAAZHJzL2Rv&#10;d25yZXYueG1sUEsFBgAAAAAEAAQA9QAAAIgDAAAAAA==&#10;" stroked="f">
                    <v:textbox>
                      <w:txbxContent>
                        <w:p w:rsidR="00EA2176" w:rsidRDefault="00EA2176" w:rsidP="00F10F76">
                          <w:pPr>
                            <w:ind w:right="30"/>
                            <w:rPr>
                              <w:b/>
                              <w:color w:val="0070C0"/>
                              <w:sz w:val="28"/>
                              <w:szCs w:val="28"/>
                            </w:rPr>
                          </w:pPr>
                          <w:r>
                            <w:rPr>
                              <w:b/>
                              <w:color w:val="0070C0"/>
                              <w:sz w:val="28"/>
                              <w:szCs w:val="28"/>
                            </w:rPr>
                            <w:t>Фаза 2</w:t>
                          </w:r>
                        </w:p>
                      </w:txbxContent>
                    </v:textbox>
                  </v:shape>
                  <v:shape id="Text Box 61" o:spid="_x0000_s1098" type="#_x0000_t202" style="position:absolute;left:7230;top:7396;width:3060;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iRrsQA&#10;AADcAAAADwAAAGRycy9kb3ducmV2LnhtbESP22rDMBBE3wv9B7GFvpRabnDsxokS2kJKXnP5gI21&#10;vlBrZSzVl7+vAoU8DjNzhtnsJtOKgXrXWFbwFsUgiAurG64UXM7713cQziNrbC2Tgpkc7LaPDxvM&#10;tR35SMPJVyJA2OWooPa+y6V0RU0GXWQ74uCVtjfog+wrqXscA9y0chHHqTTYcFiosaOvmoqf069R&#10;UB7Gl+VqvH77S3ZM0k9ssqudlXp+mj7WIDxN/h7+bx+0gkWSwO1MOAJ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oka7EAAAA3AAAAA8AAAAAAAAAAAAAAAAAmAIAAGRycy9k&#10;b3ducmV2LnhtbFBLBQYAAAAABAAEAPUAAACJAwAAAAA=&#10;" stroked="f">
                    <v:textbox>
                      <w:txbxContent>
                        <w:p w:rsidR="00EA2176" w:rsidRDefault="00EA2176" w:rsidP="00F10F76">
                          <w:pPr>
                            <w:ind w:right="30"/>
                            <w:jc w:val="center"/>
                            <w:rPr>
                              <w:b/>
                              <w:color w:val="318535"/>
                              <w:sz w:val="20"/>
                              <w:szCs w:val="20"/>
                            </w:rPr>
                          </w:pPr>
                          <w:r>
                            <w:rPr>
                              <w:b/>
                              <w:color w:val="318535"/>
                              <w:sz w:val="20"/>
                              <w:szCs w:val="20"/>
                            </w:rPr>
                            <w:t>Структурни фондове</w:t>
                          </w:r>
                        </w:p>
                        <w:p w:rsidR="00EA2176" w:rsidRDefault="00EA2176" w:rsidP="00F10F76">
                          <w:pPr>
                            <w:ind w:right="30"/>
                            <w:jc w:val="center"/>
                            <w:rPr>
                              <w:b/>
                              <w:color w:val="318535"/>
                              <w:sz w:val="20"/>
                              <w:szCs w:val="20"/>
                            </w:rPr>
                          </w:pPr>
                          <w:r>
                            <w:rPr>
                              <w:b/>
                              <w:color w:val="318535"/>
                              <w:sz w:val="20"/>
                              <w:szCs w:val="20"/>
                            </w:rPr>
                            <w:t>и национално съфинансиране</w:t>
                          </w:r>
                        </w:p>
                      </w:txbxContent>
                    </v:textbox>
                  </v:shape>
                </v:group>
                <v:group id="Group 62" o:spid="_x0000_s1099" style="position:absolute;left:1350;top:6826;width:5970;height:2247" coordorigin="1350,6826" coordsize="5970,22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Text Box 63" o:spid="_x0000_s1100" type="#_x0000_t202" style="position:absolute;left:1350;top:7277;width:159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aqQsMA&#10;AADcAAAADwAAAGRycy9kb3ducmV2LnhtbESP3YrCMBSE7xd8h3AEbxabKlq1GmVdcPHWnwc4bY5t&#10;sTkpTdbWt98IC14OM/MNs9n1phYPal1lWcEkikEQ51ZXXCi4Xg7jJQjnkTXWlknBkxzstoOPDaba&#10;dnyix9kXIkDYpaig9L5JpXR5SQZdZBvi4N1sa9AH2RZSt9gFuKnlNI4TabDisFBiQ98l5ffzr1Fw&#10;O3af81WX/fjr4jRL9lgtMvtUajTsv9YgPPX+Hf5vH7WC6SyB15lwBO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naqQsMAAADcAAAADwAAAAAAAAAAAAAAAACYAgAAZHJzL2Rv&#10;d25yZXYueG1sUEsFBgAAAAAEAAQA9QAAAIgDAAAAAA==&#10;" stroked="f">
                    <v:textbox>
                      <w:txbxContent>
                        <w:p w:rsidR="00EA2176" w:rsidRDefault="00EA2176" w:rsidP="00F10F76">
                          <w:pPr>
                            <w:ind w:right="30"/>
                            <w:rPr>
                              <w:b/>
                              <w:color w:val="0070C0"/>
                              <w:sz w:val="28"/>
                              <w:szCs w:val="28"/>
                            </w:rPr>
                          </w:pPr>
                          <w:r>
                            <w:rPr>
                              <w:b/>
                              <w:color w:val="0070C0"/>
                              <w:sz w:val="28"/>
                              <w:szCs w:val="28"/>
                            </w:rPr>
                            <w:t>Фаза 1</w:t>
                          </w:r>
                        </w:p>
                      </w:txbxContent>
                    </v:textbox>
                  </v:shape>
                  <v:group id="Group 64" o:spid="_x0000_s1101" style="position:absolute;left:4650;top:6826;width:2670;height:2247" coordorigin="4650,6826" coordsize="2670,22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 id="Text Box 65" o:spid="_x0000_s1102" type="#_x0000_t202" style="position:absolute;left:4650;top:8011;width:1965;height:4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psMAA&#10;AADcAAAADwAAAGRycy9kb3ducmV2LnhtbERPTYvCMBC9L/gfwgheRNMtyyLVKOoieHSr4nVoxrbY&#10;TEqTmvrvzWFhj4/3vdoMphFP6lxtWcHnPAFBXFhdc6ngcj7MFiCcR9bYWCYFL3KwWY8+VphpG/iX&#10;nrkvRQxhl6GCyvs2k9IVFRl0c9sSR+5uO4M+wq6UusMQw00j0yT5lgZrjg0VtrSvqHjkvVFw+zlR&#10;Gab9+XFMwjUspq901+dKTcbDdgnC0+D/xX/uo1aQfsW18Uw8AnL9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1psMAAAADcAAAADwAAAAAAAAAAAAAAAACYAgAAZHJzL2Rvd25y&#10;ZXYueG1sUEsFBgAAAAAEAAQA9QAAAIUDAAAAAA==&#10;" strokecolor="#318535" strokeweight="2.5pt">
                      <v:textbox>
                        <w:txbxContent>
                          <w:p w:rsidR="00EA2176" w:rsidRDefault="00EA2176" w:rsidP="00F10F76">
                            <w:pPr>
                              <w:ind w:right="-66"/>
                              <w:jc w:val="center"/>
                              <w:rPr>
                                <w:b/>
                                <w:color w:val="0070C0"/>
                                <w:sz w:val="20"/>
                                <w:szCs w:val="20"/>
                              </w:rPr>
                            </w:pPr>
                            <w:r>
                              <w:rPr>
                                <w:b/>
                                <w:color w:val="0070C0"/>
                                <w:sz w:val="20"/>
                                <w:szCs w:val="20"/>
                              </w:rPr>
                              <w:t>Холдингов фонд</w:t>
                            </w:r>
                          </w:p>
                        </w:txbxContent>
                      </v:textbox>
                    </v:shape>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AutoShape 66" o:spid="_x0000_s1103" type="#_x0000_t93" style="position:absolute;left:5309;top:8672;width:507;height:29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mT0cMA&#10;AADcAAAADwAAAGRycy9kb3ducmV2LnhtbESPQWvCQBSE7wX/w/IEb3VjFKnRVaRVEHqqFc+P7Es2&#10;mH0bs6uJ/94VCj0OM/MNs9r0thZ3an3lWMFknIAgzp2uuFRw+t2/f4DwAVlj7ZgUPMjDZj14W2Gm&#10;Xcc/dD+GUkQI+wwVmBCaTEqfG7Lox64hjl7hWoshyraUusUuwm0t0ySZS4sVxwWDDX0ayi/Hm1Uw&#10;++p3KT+66XcxP0zO13LnC3NRajTst0sQgfrwH/5rH7SCdLaA15l4BOT6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mT0cMAAADcAAAADwAAAAAAAAAAAAAAAACYAgAAZHJzL2Rv&#10;d25yZXYueG1sUEsFBgAAAAAEAAQA9QAAAIgDAAAAAA==&#10;" fillcolor="#318535" stroked="f"/>
                    <v:group id="Group 67" o:spid="_x0000_s1104" style="position:absolute;left:4650;top:6826;width:2670;height:2175" coordorigin="4650,6826" coordsize="2670,21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Text Box 68" o:spid="_x0000_s1105" type="#_x0000_t202" style="position:absolute;left:4650;top:6826;width:267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5W8MMA&#10;AADcAAAADwAAAGRycy9kb3ducmV2LnhtbESPQWvCQBSE7wX/w/IEL1I3BlokdZWqCB5rVLw+sq9J&#10;MPs2ZDdu/PduoeBxmJlvmOV6MI24U+dqywrmswQEcWF1zaWC82n/vgDhPLLGxjIpeJCD9Wr0tsRM&#10;28BHuue+FBHCLkMFlfdtJqUrKjLoZrYljt6v7Qz6KLtS6g5DhJtGpknyKQ3WHBcqbGlbUXHLe6Pg&#10;uvuhMkz70+2QhEtYTB/pps+VmoyH7y8Qngb/Cv+3D1pB+jGHvzPxCM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p5W8MMAAADcAAAADwAAAAAAAAAAAAAAAACYAgAAZHJzL2Rv&#10;d25yZXYueG1sUEsFBgAAAAAEAAQA9QAAAIgDAAAAAA==&#10;" strokecolor="#318535" strokeweight="2.5pt">
                        <v:textbox>
                          <w:txbxContent>
                            <w:p w:rsidR="00EA2176" w:rsidRDefault="00EA2176" w:rsidP="00F10F76">
                              <w:pPr>
                                <w:ind w:right="-33"/>
                                <w:jc w:val="center"/>
                                <w:rPr>
                                  <w:b/>
                                  <w:color w:val="0070C0"/>
                                  <w:sz w:val="20"/>
                                  <w:szCs w:val="20"/>
                                </w:rPr>
                              </w:pPr>
                              <w:r>
                                <w:rPr>
                                  <w:b/>
                                  <w:color w:val="0070C0"/>
                                  <w:sz w:val="20"/>
                                  <w:szCs w:val="20"/>
                                </w:rPr>
                                <w:t>Управляващ орган</w:t>
                              </w:r>
                            </w:p>
                          </w:txbxContent>
                        </v:textbox>
                      </v:shape>
                      <v:shape id="AutoShape 69" o:spid="_x0000_s1106" type="#_x0000_t93" style="position:absolute;left:5309;top:7487;width:507;height:29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SXfcQA&#10;AADcAAAADwAAAGRycy9kb3ducmV2LnhtbESPQWvCQBSE70L/w/IK3nRj2kpJs4q0CkJPjeL5kX3J&#10;hmTfxuzWxH/fLRR6HGbmGybfTrYTNxp841jBapmAIC6dbrhWcD4dFq8gfEDW2DkmBXfysN08zHLM&#10;tBv5i25FqEWEsM9QgQmhz6T0pSGLful64uhVbrAYohxqqQccI9x2Mk2StbTYcFww2NO7obItvq2C&#10;549pn/J9fPqs1sfV5VrvfWVapeaP0+4NRKAp/If/2ketIH1J4f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0l33EAAAA3AAAAA8AAAAAAAAAAAAAAAAAmAIAAGRycy9k&#10;b3ducmV2LnhtbFBLBQYAAAAABAAEAPUAAACJAwAAAAA=&#10;" fillcolor="#318535" stroked="f"/>
                      <v:shape id="AutoShape 70" o:spid="_x0000_s1107" type="#_x0000_t93" style="position:absolute;left:6227;top:8042;width:1632;height:28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gy5sQA&#10;AADcAAAADwAAAGRycy9kb3ducmV2LnhtbESPQWvCQBSE70L/w/IK3nRjrCKpq5RWQfBkFM+P7Es2&#10;mH2bZrcm/vuuUOhxmJlvmPV2sI24U+drxwpm0wQEceF0zZWCy3k/WYHwAVlj45gUPMjDdvMyWmOm&#10;Xc8nuuehEhHCPkMFJoQ2k9IXhiz6qWuJo1e6zmKIsquk7rCPcNvINEmW0mLNccFgS5+Gilv+YxW8&#10;fQ27lB/9/FguD7Prd7XzpbkpNX4dPt5BBBrCf/ivfdAK0sUcnmfiEZ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4MubEAAAA3AAAAA8AAAAAAAAAAAAAAAAAmAIAAGRycy9k&#10;b3ducmV2LnhtbFBLBQYAAAAABAAEAPUAAACJAwAAAAA=&#10;" fillcolor="#318535" stroked="f"/>
                    </v:group>
                  </v:group>
                  <v:shape id="Text Box 71" o:spid="_x0000_s1108" type="#_x0000_t202" style="position:absolute;left:2040;top:7381;width:3060;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z4HMQA&#10;AADcAAAADwAAAGRycy9kb3ducmV2LnhtbESPQWvCQBSE7wX/w/KE3uquYopGN0EsQk8tTVXw9sg+&#10;k2D2bchuTfrvu4VCj8PMfMNs89G24k69bxxrmM8UCOLSmYYrDcfPw9MKhA/IBlvHpOGbPOTZ5GGL&#10;qXEDf9C9CJWIEPYpaqhD6FIpfVmTRT9zHXH0rq63GKLsK2l6HCLctnKh1LO02HBcqLGjfU3lrfiy&#10;Gk5v18t5qd6rF5t0gxuVZLuWWj9Ox90GRKAx/If/2q9GwyJZw++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8+BzEAAAA3AAAAA8AAAAAAAAAAAAAAAAAmAIAAGRycy9k&#10;b3ducmV2LnhtbFBLBQYAAAAABAAEAPUAAACJAwAAAAA=&#10;" filled="f" stroked="f">
                    <v:textbox>
                      <w:txbxContent>
                        <w:p w:rsidR="00EA2176" w:rsidRDefault="00EA2176" w:rsidP="00F10F76">
                          <w:pPr>
                            <w:ind w:right="30"/>
                            <w:jc w:val="center"/>
                            <w:rPr>
                              <w:b/>
                              <w:color w:val="318535"/>
                              <w:sz w:val="20"/>
                              <w:szCs w:val="20"/>
                            </w:rPr>
                          </w:pPr>
                          <w:r>
                            <w:rPr>
                              <w:b/>
                              <w:color w:val="318535"/>
                              <w:sz w:val="20"/>
                              <w:szCs w:val="20"/>
                            </w:rPr>
                            <w:t>Структурни фондове</w:t>
                          </w:r>
                        </w:p>
                        <w:p w:rsidR="00EA2176" w:rsidRDefault="00EA2176" w:rsidP="00F10F76">
                          <w:pPr>
                            <w:ind w:right="30"/>
                            <w:jc w:val="center"/>
                            <w:rPr>
                              <w:b/>
                              <w:color w:val="318535"/>
                              <w:sz w:val="20"/>
                              <w:szCs w:val="20"/>
                            </w:rPr>
                          </w:pPr>
                          <w:r>
                            <w:rPr>
                              <w:b/>
                              <w:color w:val="318535"/>
                              <w:sz w:val="20"/>
                              <w:szCs w:val="20"/>
                            </w:rPr>
                            <w:t>и национално съфинансиране</w:t>
                          </w:r>
                        </w:p>
                      </w:txbxContent>
                    </v:textbox>
                  </v:shape>
                </v:group>
              </v:group>
            </w:pict>
          </mc:Fallback>
        </mc:AlternateContent>
      </w:r>
      <w:r>
        <w:rPr>
          <w:rFonts w:ascii="Calibri" w:eastAsia="Calibri" w:hAnsi="Calibri" w:cs="Times New Roman"/>
          <w:noProof/>
          <w:lang w:eastAsia="bg-BG"/>
        </w:rPr>
        <mc:AlternateContent>
          <mc:Choice Requires="wpc">
            <w:drawing>
              <wp:inline distT="0" distB="0" distL="0" distR="0" wp14:anchorId="1F9F94F1">
                <wp:extent cx="5467350" cy="2771775"/>
                <wp:effectExtent l="4445" t="0" r="0" b="3175"/>
                <wp:docPr id="227" name="Canvas 1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c:wpc>
                  </a:graphicData>
                </a:graphic>
              </wp:inline>
            </w:drawing>
          </mc:Choice>
          <mc:Fallback>
            <w:pict>
              <v:group w14:anchorId="2C812AAF" id="Canvas 14" o:spid="_x0000_s1026" editas="canvas" style="width:430.5pt;height:218.25pt;mso-position-horizontal-relative:char;mso-position-vertical-relative:line" coordsize="54673,27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">
                <v:shape id="_x0000_s1027" type="#_x0000_t75" style="position:absolute;width:54673;height:27717;visibility:visible;mso-wrap-style:square">
                  <v:fill o:detectmouseclick="t"/>
                  <v:path o:connecttype="none"/>
                </v:shape>
                <w10:anchorlock/>
              </v:group>
            </w:pict>
          </mc:Fallback>
        </mc:AlternateContent>
      </w:r>
    </w:p>
    <w:p w:rsidR="00D506F4" w:rsidRDefault="00D506F4" w:rsidP="0018004F">
      <w:pPr>
        <w:spacing w:after="0" w:line="240" w:lineRule="auto"/>
        <w:ind w:right="301"/>
        <w:jc w:val="both"/>
        <w:rPr>
          <w:rFonts w:eastAsia="Calibri" w:cs="Verdana-Bold"/>
          <w:b/>
          <w:bCs/>
          <w:sz w:val="16"/>
          <w:szCs w:val="16"/>
          <w:lang w:eastAsia="bg-BG"/>
        </w:rPr>
      </w:pPr>
    </w:p>
    <w:p w:rsidR="00D506F4" w:rsidRDefault="00D506F4" w:rsidP="0018004F">
      <w:pPr>
        <w:spacing w:after="0" w:line="240" w:lineRule="auto"/>
        <w:ind w:right="301"/>
        <w:jc w:val="both"/>
        <w:rPr>
          <w:rFonts w:eastAsia="Calibri" w:cs="Verdana-Bold"/>
          <w:b/>
          <w:bCs/>
          <w:sz w:val="16"/>
          <w:szCs w:val="16"/>
          <w:lang w:eastAsia="bg-BG"/>
        </w:rPr>
      </w:pPr>
    </w:p>
    <w:p w:rsidR="00D506F4" w:rsidRDefault="00D506F4" w:rsidP="0018004F">
      <w:pPr>
        <w:spacing w:after="0" w:line="240" w:lineRule="auto"/>
        <w:ind w:right="301"/>
        <w:jc w:val="both"/>
        <w:rPr>
          <w:rFonts w:eastAsia="Calibri" w:cs="Verdana-Bold"/>
          <w:b/>
          <w:bCs/>
          <w:sz w:val="16"/>
          <w:szCs w:val="16"/>
          <w:lang w:eastAsia="bg-BG"/>
        </w:rPr>
      </w:pPr>
    </w:p>
    <w:p w:rsidR="00D506F4" w:rsidRDefault="00D506F4" w:rsidP="0018004F">
      <w:pPr>
        <w:spacing w:after="0" w:line="240" w:lineRule="auto"/>
        <w:ind w:right="301"/>
        <w:jc w:val="both"/>
        <w:rPr>
          <w:rFonts w:eastAsia="Calibri" w:cs="Verdana-Bold"/>
          <w:b/>
          <w:bCs/>
          <w:sz w:val="16"/>
          <w:szCs w:val="16"/>
          <w:lang w:eastAsia="bg-BG"/>
        </w:rPr>
      </w:pPr>
    </w:p>
    <w:p w:rsidR="0018004F" w:rsidRPr="00386A68" w:rsidRDefault="00386A68" w:rsidP="00386A68">
      <w:pPr>
        <w:spacing w:before="240" w:after="0" w:line="240" w:lineRule="auto"/>
        <w:ind w:right="301"/>
        <w:jc w:val="both"/>
        <w:rPr>
          <w:rFonts w:eastAsia="Calibri" w:cstheme="minorHAnsi"/>
          <w:i/>
          <w:sz w:val="20"/>
          <w:szCs w:val="20"/>
        </w:rPr>
      </w:pPr>
      <w:r w:rsidRPr="00386A68">
        <w:rPr>
          <w:rFonts w:eastAsia="Calibri" w:cstheme="minorHAnsi"/>
          <w:bCs/>
          <w:i/>
          <w:sz w:val="20"/>
          <w:szCs w:val="20"/>
          <w:u w:val="single"/>
          <w:lang w:eastAsia="bg-BG"/>
        </w:rPr>
        <w:t>Източник</w:t>
      </w:r>
      <w:r w:rsidR="0018004F" w:rsidRPr="00386A68">
        <w:rPr>
          <w:rFonts w:eastAsia="Calibri" w:cstheme="minorHAnsi"/>
          <w:bCs/>
          <w:i/>
          <w:sz w:val="20"/>
          <w:szCs w:val="20"/>
          <w:u w:val="single"/>
          <w:lang w:eastAsia="bg-BG"/>
        </w:rPr>
        <w:t>:</w:t>
      </w:r>
      <w:r w:rsidR="0018004F" w:rsidRPr="00386A68">
        <w:rPr>
          <w:rFonts w:eastAsia="Calibri" w:cstheme="minorHAnsi"/>
          <w:bCs/>
          <w:i/>
          <w:sz w:val="20"/>
          <w:szCs w:val="20"/>
          <w:lang w:eastAsia="bg-BG"/>
        </w:rPr>
        <w:t xml:space="preserve"> </w:t>
      </w:r>
      <w:r w:rsidR="0018004F" w:rsidRPr="00386A68">
        <w:rPr>
          <w:rFonts w:eastAsia="Calibri" w:cstheme="minorHAnsi"/>
          <w:i/>
          <w:sz w:val="20"/>
          <w:szCs w:val="20"/>
          <w:lang w:eastAsia="bg-BG"/>
        </w:rPr>
        <w:t>European Commission (2013)</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Фондовете, независимо дали са предоставени пряко или непряко чрез холдингов фонд, може да предлагат инструментите за финансов инженеринг под формата на собствен капитал или възвръщаеми инвестиции, като например заеми и гаранции.</w:t>
      </w:r>
    </w:p>
    <w:p w:rsidR="0018004F" w:rsidRDefault="0018004F" w:rsidP="0018004F">
      <w:pPr>
        <w:spacing w:after="0" w:line="240" w:lineRule="auto"/>
        <w:ind w:right="301"/>
        <w:jc w:val="both"/>
        <w:rPr>
          <w:rFonts w:ascii="Calibri" w:eastAsia="Calibri" w:hAnsi="Calibri" w:cs="Times New Roman"/>
        </w:rPr>
      </w:pPr>
    </w:p>
    <w:p w:rsidR="0018004F" w:rsidRPr="00607F89" w:rsidRDefault="00422854" w:rsidP="00607F89">
      <w:pPr>
        <w:spacing w:after="0" w:line="276" w:lineRule="auto"/>
        <w:jc w:val="both"/>
        <w:rPr>
          <w:rFonts w:ascii="Calibri" w:eastAsia="Calibri" w:hAnsi="Calibri" w:cs="Times New Roman"/>
          <w:i/>
        </w:rPr>
      </w:pPr>
      <w:r w:rsidRPr="00607F89">
        <w:rPr>
          <w:rFonts w:ascii="Calibri" w:eastAsia="Calibri" w:hAnsi="Calibri" w:cs="Times New Roman"/>
          <w:b/>
          <w:i/>
          <w:color w:val="4F81BD"/>
        </w:rPr>
        <w:t>Подходи за управление на инструментите за финансов инженеринг</w:t>
      </w:r>
    </w:p>
    <w:p w:rsidR="0018004F" w:rsidRPr="0018004F" w:rsidRDefault="0018004F"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lastRenderedPageBreak/>
        <w:t>Повечето държави-членки използват едновременно и холдингови фондове и директни вноски за предоставяне на ФИ. Решението дали да използват или не холдингов фонд се извършва от управляващите органи, в зависимост от обстоятелствата в държавата. Съществуват редица преимущества от използването на холдингов фонд, например използване на "подход на портфейла", позволяващ по-голяма гъвкавост и разпределение на средствата в зависимост от търсенето и икономическите условия.</w:t>
      </w:r>
    </w:p>
    <w:p w:rsidR="0018004F" w:rsidRPr="0018004F" w:rsidRDefault="0018004F" w:rsidP="0018004F">
      <w:pPr>
        <w:spacing w:after="0" w:line="240" w:lineRule="auto"/>
        <w:ind w:right="301"/>
        <w:jc w:val="both"/>
        <w:rPr>
          <w:rFonts w:ascii="Calibri" w:eastAsia="Calibri" w:hAnsi="Calibri" w:cs="Times New Roman"/>
        </w:rPr>
      </w:pPr>
    </w:p>
    <w:p w:rsidR="007F0E3D"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През 2011 г. по-голямата част от всички специални фондове (около 67%) са реализирани без структура на холдинговия фонд (виж фигура </w:t>
      </w:r>
      <w:r w:rsidR="006D3F04">
        <w:rPr>
          <w:rFonts w:ascii="Calibri" w:eastAsia="Calibri" w:hAnsi="Calibri" w:cs="Times New Roman"/>
        </w:rPr>
        <w:t>4.1.2.</w:t>
      </w:r>
      <w:r w:rsidRPr="0018004F">
        <w:rPr>
          <w:rFonts w:ascii="Calibri" w:eastAsia="Calibri" w:hAnsi="Calibri" w:cs="Times New Roman"/>
        </w:rPr>
        <w:t xml:space="preserve">). Общо 353 специални фондове са реализирани без холдингови фондове и 171 фонда чрез 68 холдингови фондове. Повечето от инструментите за финансов инженеринг за предприятия оперират без холдингов фонд, докато повечето от инструментите за финансов инженеринг за градско развитие се осъществяват чрез холдингови фондове. </w:t>
      </w:r>
    </w:p>
    <w:p w:rsidR="007F0E3D" w:rsidRDefault="007F0E3D" w:rsidP="0018004F">
      <w:pPr>
        <w:spacing w:after="0" w:line="240" w:lineRule="auto"/>
        <w:ind w:right="301"/>
        <w:jc w:val="both"/>
        <w:rPr>
          <w:rFonts w:ascii="Calibri" w:eastAsia="Calibri" w:hAnsi="Calibri" w:cs="Times New Roman"/>
        </w:rPr>
      </w:pPr>
    </w:p>
    <w:p w:rsid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Холдинговите фо</w:t>
      </w:r>
      <w:r w:rsidR="007F0E3D">
        <w:rPr>
          <w:rFonts w:ascii="Calibri" w:eastAsia="Calibri" w:hAnsi="Calibri" w:cs="Times New Roman"/>
        </w:rPr>
        <w:t>ндове се управляват от ЕИБ или от</w:t>
      </w:r>
      <w:r w:rsidRPr="0018004F">
        <w:rPr>
          <w:rFonts w:ascii="Calibri" w:eastAsia="Calibri" w:hAnsi="Calibri" w:cs="Times New Roman"/>
        </w:rPr>
        <w:t xml:space="preserve"> ЕИФ (общо 31), или от други местни финансови институции или органи (37, от които 34 са инструментите за финансов инженеринг за малки и средни предприятия). От всички 68 холдингови фонда 47 са за  финансиране на МСП (Art 44(a)), 18 за проекти за градско развитие (Art 44(b)) и 3 за ФИ за енергийна ефективност и енергия от възстановими източници (Art 44(c)).</w:t>
      </w:r>
    </w:p>
    <w:p w:rsidR="008675B9" w:rsidRPr="0018004F" w:rsidRDefault="008675B9" w:rsidP="0018004F">
      <w:pPr>
        <w:spacing w:after="0" w:line="240" w:lineRule="auto"/>
        <w:ind w:right="301"/>
        <w:jc w:val="both"/>
        <w:rPr>
          <w:rFonts w:ascii="Calibri" w:eastAsia="Calibri" w:hAnsi="Calibri" w:cs="Times New Roman"/>
        </w:rPr>
      </w:pPr>
    </w:p>
    <w:p w:rsidR="0018004F" w:rsidRPr="00607F89" w:rsidRDefault="00607F89" w:rsidP="00607F89">
      <w:pPr>
        <w:pStyle w:val="Caption"/>
        <w:spacing w:after="240"/>
        <w:jc w:val="both"/>
        <w:rPr>
          <w:rFonts w:ascii="Calibri" w:eastAsia="Calibri" w:hAnsi="Calibri" w:cs="Times New Roman"/>
          <w:bCs w:val="0"/>
          <w:lang w:eastAsia="en-US"/>
        </w:rPr>
      </w:pPr>
      <w:bookmarkStart w:id="170" w:name="_Toc399494664"/>
      <w:r w:rsidRPr="00607F89">
        <w:rPr>
          <w:rFonts w:ascii="Calibri" w:eastAsia="Calibri" w:hAnsi="Calibri" w:cs="Times New Roman"/>
          <w:bCs w:val="0"/>
          <w:lang w:eastAsia="en-US"/>
        </w:rPr>
        <w:t xml:space="preserve">Фигура </w:t>
      </w:r>
      <w:r w:rsidR="008E6461" w:rsidRPr="00607F89">
        <w:rPr>
          <w:rFonts w:ascii="Calibri" w:eastAsia="Calibri" w:hAnsi="Calibri" w:cs="Times New Roman"/>
          <w:bCs w:val="0"/>
          <w:lang w:eastAsia="en-US"/>
        </w:rPr>
        <w:fldChar w:fldCharType="begin"/>
      </w:r>
      <w:r w:rsidRPr="00607F89">
        <w:rPr>
          <w:rFonts w:ascii="Calibri" w:eastAsia="Calibri" w:hAnsi="Calibri" w:cs="Times New Roman"/>
          <w:bCs w:val="0"/>
          <w:lang w:eastAsia="en-US"/>
        </w:rPr>
        <w:instrText xml:space="preserve"> SEQ фигура \* ARABIC </w:instrText>
      </w:r>
      <w:r w:rsidR="008E6461" w:rsidRPr="00607F89">
        <w:rPr>
          <w:rFonts w:ascii="Calibri" w:eastAsia="Calibri" w:hAnsi="Calibri" w:cs="Times New Roman"/>
          <w:bCs w:val="0"/>
          <w:lang w:eastAsia="en-US"/>
        </w:rPr>
        <w:fldChar w:fldCharType="separate"/>
      </w:r>
      <w:r w:rsidR="003A69A7">
        <w:rPr>
          <w:rFonts w:ascii="Calibri" w:eastAsia="Calibri" w:hAnsi="Calibri" w:cs="Times New Roman"/>
          <w:bCs w:val="0"/>
          <w:noProof/>
          <w:lang w:eastAsia="en-US"/>
        </w:rPr>
        <w:t>79</w:t>
      </w:r>
      <w:r w:rsidR="008E6461" w:rsidRPr="00607F89">
        <w:rPr>
          <w:rFonts w:ascii="Calibri" w:eastAsia="Calibri" w:hAnsi="Calibri" w:cs="Times New Roman"/>
          <w:bCs w:val="0"/>
          <w:lang w:eastAsia="en-US"/>
        </w:rPr>
        <w:fldChar w:fldCharType="end"/>
      </w:r>
      <w:r w:rsidRPr="00607F89">
        <w:rPr>
          <w:rFonts w:ascii="Calibri" w:eastAsia="Calibri" w:hAnsi="Calibri" w:cs="Times New Roman"/>
          <w:bCs w:val="0"/>
          <w:lang w:eastAsia="en-US"/>
        </w:rPr>
        <w:t xml:space="preserve">:  </w:t>
      </w:r>
      <w:r w:rsidR="0018004F" w:rsidRPr="00607F89">
        <w:rPr>
          <w:rFonts w:ascii="Calibri" w:eastAsia="Calibri" w:hAnsi="Calibri" w:cs="Times New Roman"/>
          <w:bCs w:val="0"/>
          <w:lang w:eastAsia="en-US"/>
        </w:rPr>
        <w:t>ИНСТРУМЕНТИ ПРИЛАГАН С И БЕЗ ХОЛДИНГОВ ФОНД</w:t>
      </w:r>
      <w:bookmarkEnd w:id="170"/>
    </w:p>
    <w:p w:rsidR="0018004F" w:rsidRPr="0018004F" w:rsidRDefault="00D506F4" w:rsidP="0018004F">
      <w:pPr>
        <w:autoSpaceDE w:val="0"/>
        <w:autoSpaceDN w:val="0"/>
        <w:adjustRightInd w:val="0"/>
        <w:spacing w:after="0" w:line="240" w:lineRule="auto"/>
        <w:jc w:val="center"/>
        <w:rPr>
          <w:rFonts w:ascii="Calibri" w:eastAsia="Calibri" w:hAnsi="Calibri" w:cs="Times New Roman"/>
        </w:rPr>
      </w:pPr>
      <w:r>
        <w:rPr>
          <w:noProof/>
          <w:lang w:eastAsia="bg-BG"/>
        </w:rPr>
        <w:drawing>
          <wp:inline distT="0" distB="0" distL="0" distR="0">
            <wp:extent cx="3867150" cy="3128659"/>
            <wp:effectExtent l="19050" t="0" r="0" b="0"/>
            <wp:docPr id="4" name="Picture 10" descr="H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F"/>
                    <pic:cNvPicPr>
                      <a:picLocks noChangeAspect="1" noChangeArrowheads="1"/>
                    </pic:cNvPicPr>
                  </pic:nvPicPr>
                  <pic:blipFill>
                    <a:blip r:embed="rId157" cstate="print"/>
                    <a:srcRect/>
                    <a:stretch>
                      <a:fillRect/>
                    </a:stretch>
                  </pic:blipFill>
                  <pic:spPr bwMode="auto">
                    <a:xfrm>
                      <a:off x="0" y="0"/>
                      <a:ext cx="3867150" cy="3128659"/>
                    </a:xfrm>
                    <a:prstGeom prst="rect">
                      <a:avLst/>
                    </a:prstGeom>
                    <a:noFill/>
                    <a:ln w="9525">
                      <a:noFill/>
                      <a:miter lim="800000"/>
                      <a:headEnd/>
                      <a:tailEnd/>
                    </a:ln>
                  </pic:spPr>
                </pic:pic>
              </a:graphicData>
            </a:graphic>
          </wp:inline>
        </w:drawing>
      </w:r>
    </w:p>
    <w:p w:rsidR="00F00027" w:rsidRDefault="00F00027" w:rsidP="00607F89">
      <w:pPr>
        <w:spacing w:line="276" w:lineRule="auto"/>
        <w:jc w:val="both"/>
        <w:rPr>
          <w:rFonts w:ascii="Calibri" w:eastAsia="Calibri" w:hAnsi="Calibri" w:cs="Times New Roman"/>
          <w:b/>
          <w:i/>
          <w:color w:val="4F81BD"/>
        </w:rPr>
      </w:pPr>
    </w:p>
    <w:p w:rsidR="0018004F" w:rsidRPr="00607F89" w:rsidRDefault="00513750" w:rsidP="00607F89">
      <w:pPr>
        <w:spacing w:line="276" w:lineRule="auto"/>
        <w:jc w:val="both"/>
        <w:rPr>
          <w:rFonts w:ascii="Calibri" w:eastAsia="Calibri" w:hAnsi="Calibri" w:cs="Times New Roman"/>
          <w:b/>
          <w:i/>
          <w:color w:val="4F81BD"/>
        </w:rPr>
      </w:pPr>
      <w:r w:rsidRPr="00607F89">
        <w:rPr>
          <w:rFonts w:ascii="Calibri" w:eastAsia="Calibri" w:hAnsi="Calibri" w:cs="Times New Roman"/>
          <w:b/>
          <w:i/>
          <w:color w:val="4F81BD"/>
        </w:rPr>
        <w:t>Неравномерно прилагане на ФИ в страните членки</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До края на 2011 г. са създадени общо 592 специални фондове</w:t>
      </w:r>
      <w:r w:rsidR="008675B9">
        <w:rPr>
          <w:rFonts w:ascii="Calibri" w:eastAsia="Calibri" w:hAnsi="Calibri" w:cs="Times New Roman"/>
        </w:rPr>
        <w:t xml:space="preserve"> (фигура 4.1.3.)</w:t>
      </w:r>
      <w:r w:rsidRPr="0018004F">
        <w:rPr>
          <w:rFonts w:ascii="Calibri" w:eastAsia="Calibri" w:hAnsi="Calibri" w:cs="Times New Roman"/>
        </w:rPr>
        <w:t xml:space="preserve">, чрез 178 оперативни програми във всички държави-членки, с изключение на Ирландия и Люксембург. Създаден е и един трансграничен фонд, прилагащ инструментите за финансов инженеринг, EUREFI фонд за рисков капитал, подкрепен по програма INTERREG IVA Grande (Франция, </w:t>
      </w:r>
      <w:r w:rsidRPr="0018004F">
        <w:rPr>
          <w:rFonts w:ascii="Calibri" w:eastAsia="Calibri" w:hAnsi="Calibri" w:cs="Times New Roman"/>
        </w:rPr>
        <w:lastRenderedPageBreak/>
        <w:t>Белгия, Люксембург) - и първоначално създаден още през програмния период, под INTERREG II 1994-99. Общата стойност на приноса на всички ОП за инструментите на финансов инженеринг е в размер на € 10 781 м</w:t>
      </w:r>
      <w:r w:rsidR="00D27D52">
        <w:rPr>
          <w:rFonts w:ascii="Calibri" w:eastAsia="Calibri" w:hAnsi="Calibri" w:cs="Times New Roman"/>
        </w:rPr>
        <w:t>ил</w:t>
      </w:r>
      <w:r w:rsidRPr="0018004F">
        <w:rPr>
          <w:rFonts w:ascii="Calibri" w:eastAsia="Calibri" w:hAnsi="Calibri" w:cs="Times New Roman"/>
        </w:rPr>
        <w:t>; от тях 7078м</w:t>
      </w:r>
      <w:r w:rsidR="00D27D52">
        <w:rPr>
          <w:rFonts w:ascii="Calibri" w:eastAsia="Calibri" w:hAnsi="Calibri" w:cs="Times New Roman"/>
        </w:rPr>
        <w:t>ил</w:t>
      </w:r>
      <w:r w:rsidRPr="0018004F">
        <w:rPr>
          <w:rFonts w:ascii="Calibri" w:eastAsia="Calibri" w:hAnsi="Calibri" w:cs="Times New Roman"/>
        </w:rPr>
        <w:t xml:space="preserve"> </w:t>
      </w:r>
      <w:r w:rsidR="00D27D52">
        <w:rPr>
          <w:rFonts w:ascii="Calibri" w:eastAsia="Calibri" w:hAnsi="Calibri" w:cs="Times New Roman"/>
        </w:rPr>
        <w:t>евро</w:t>
      </w:r>
      <w:r w:rsidRPr="0018004F">
        <w:rPr>
          <w:rFonts w:ascii="Calibri" w:eastAsia="Calibri" w:hAnsi="Calibri" w:cs="Times New Roman"/>
        </w:rPr>
        <w:t xml:space="preserve"> са осигурени от ЕСИФ (ЕФРР и ЕСФ - въпреки че вноските по линия на ЕСФ са само около 3% от общия принос на структурните фондове (ЕО 2013a: 3).</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lang w:val="en-US"/>
        </w:rPr>
      </w:pPr>
      <w:r w:rsidRPr="0018004F">
        <w:rPr>
          <w:rFonts w:ascii="Calibri" w:eastAsia="Calibri" w:hAnsi="Calibri" w:cs="Times New Roman"/>
        </w:rPr>
        <w:t xml:space="preserve">Финансовите инструменти в подкрепа на </w:t>
      </w:r>
      <w:r w:rsidR="004152BA">
        <w:rPr>
          <w:rFonts w:ascii="Calibri" w:eastAsia="Calibri" w:hAnsi="Calibri" w:cs="Times New Roman"/>
        </w:rPr>
        <w:t>търговски дружества</w:t>
      </w:r>
      <w:r w:rsidRPr="0018004F">
        <w:rPr>
          <w:rFonts w:ascii="Calibri" w:eastAsia="Calibri" w:hAnsi="Calibri" w:cs="Times New Roman"/>
        </w:rPr>
        <w:t xml:space="preserve"> (съгласно чл. 44а) са около 90% от всички приложени в периода 2007-2011</w:t>
      </w:r>
      <w:r w:rsidR="00CE38CC">
        <w:rPr>
          <w:rFonts w:ascii="Calibri" w:eastAsia="Calibri" w:hAnsi="Calibri" w:cs="Times New Roman"/>
        </w:rPr>
        <w:t xml:space="preserve">. Съответно подкрепата на ОП </w:t>
      </w:r>
      <w:r w:rsidRPr="0018004F">
        <w:rPr>
          <w:rFonts w:ascii="Calibri" w:eastAsia="Calibri" w:hAnsi="Calibri" w:cs="Times New Roman"/>
        </w:rPr>
        <w:t>представлява 82% от всички средства</w:t>
      </w:r>
      <w:r w:rsidR="00CE38CC">
        <w:rPr>
          <w:rFonts w:ascii="Calibri" w:eastAsia="Calibri" w:hAnsi="Calibri" w:cs="Times New Roman"/>
        </w:rPr>
        <w:t xml:space="preserve"> за финансови инструменти</w:t>
      </w:r>
      <w:r w:rsidRPr="0018004F">
        <w:rPr>
          <w:rFonts w:ascii="Calibri" w:eastAsia="Calibri" w:hAnsi="Calibri" w:cs="Times New Roman"/>
        </w:rPr>
        <w:t>. Доста по-нисък процент е насочен към  мерки</w:t>
      </w:r>
      <w:r w:rsidR="00CE38CC">
        <w:rPr>
          <w:rFonts w:ascii="Calibri" w:eastAsia="Calibri" w:hAnsi="Calibri" w:cs="Times New Roman"/>
        </w:rPr>
        <w:t>те</w:t>
      </w:r>
      <w:r w:rsidRPr="0018004F">
        <w:rPr>
          <w:rFonts w:ascii="Calibri" w:eastAsia="Calibri" w:hAnsi="Calibri" w:cs="Times New Roman"/>
        </w:rPr>
        <w:t xml:space="preserve"> съгласно чл. 44b (7,8% от всички ФИ и 14,2% от средствата по ОП), както и за енергийна ефективност и енергия от ВЕИ, съгласно чл. 44с (2,5% от всички ФИ и 3,2% от приноса на ОП). Тези цифри включват 68 холдингови фонда, от които 47 в подкрепа на ФИ за </w:t>
      </w:r>
      <w:r w:rsidR="00A811E1">
        <w:rPr>
          <w:rFonts w:ascii="Calibri" w:eastAsia="Calibri" w:hAnsi="Calibri" w:cs="Times New Roman"/>
        </w:rPr>
        <w:t>развитие на предприятията</w:t>
      </w:r>
      <w:r w:rsidRPr="0018004F">
        <w:rPr>
          <w:rFonts w:ascii="Calibri" w:eastAsia="Calibri" w:hAnsi="Calibri" w:cs="Times New Roman"/>
        </w:rPr>
        <w:t xml:space="preserve">, създадени съгласно чл. 44a, 18 за градско развитие, създадени съгласно чл. 44b, както и 3 за енергийна ефективност, създадени съгласно чл. 44c. </w:t>
      </w:r>
    </w:p>
    <w:p w:rsidR="0018004F" w:rsidRPr="0018004F" w:rsidRDefault="0018004F" w:rsidP="0018004F">
      <w:pPr>
        <w:spacing w:after="0" w:line="240" w:lineRule="auto"/>
        <w:ind w:right="301"/>
        <w:jc w:val="both"/>
        <w:rPr>
          <w:rFonts w:ascii="Calibri" w:eastAsia="Calibri" w:hAnsi="Calibri" w:cs="Times New Roman"/>
        </w:rPr>
      </w:pPr>
    </w:p>
    <w:p w:rsidR="0018004F" w:rsidRPr="00607F89" w:rsidRDefault="00607F89" w:rsidP="006B7431">
      <w:pPr>
        <w:keepNext/>
        <w:spacing w:after="0" w:line="240" w:lineRule="auto"/>
        <w:ind w:right="301"/>
        <w:jc w:val="both"/>
        <w:rPr>
          <w:rFonts w:ascii="Calibri" w:eastAsia="Calibri" w:hAnsi="Calibri" w:cs="Times New Roman"/>
          <w:b/>
          <w:sz w:val="20"/>
          <w:szCs w:val="20"/>
        </w:rPr>
      </w:pPr>
      <w:bookmarkStart w:id="171" w:name="_Toc399494665"/>
      <w:r w:rsidRPr="00607F89">
        <w:rPr>
          <w:rFonts w:ascii="Calibri" w:eastAsia="Calibri" w:hAnsi="Calibri" w:cs="Times New Roman"/>
          <w:b/>
          <w:bCs/>
          <w:sz w:val="20"/>
          <w:szCs w:val="20"/>
        </w:rPr>
        <w:t xml:space="preserve">Фигура </w:t>
      </w:r>
      <w:r w:rsidR="008E6461" w:rsidRPr="00607F89">
        <w:rPr>
          <w:rFonts w:ascii="Calibri" w:eastAsia="Calibri" w:hAnsi="Calibri" w:cs="Times New Roman"/>
          <w:b/>
          <w:bCs/>
          <w:sz w:val="20"/>
          <w:szCs w:val="20"/>
        </w:rPr>
        <w:fldChar w:fldCharType="begin"/>
      </w:r>
      <w:r w:rsidRPr="00607F89">
        <w:rPr>
          <w:rFonts w:ascii="Calibri" w:eastAsia="Calibri" w:hAnsi="Calibri" w:cs="Times New Roman"/>
          <w:b/>
          <w:bCs/>
          <w:sz w:val="20"/>
          <w:szCs w:val="20"/>
        </w:rPr>
        <w:instrText xml:space="preserve"> SEQ фигура \* ARABIC </w:instrText>
      </w:r>
      <w:r w:rsidR="008E6461" w:rsidRPr="00607F89">
        <w:rPr>
          <w:rFonts w:ascii="Calibri" w:eastAsia="Calibri" w:hAnsi="Calibri" w:cs="Times New Roman"/>
          <w:b/>
          <w:bCs/>
          <w:sz w:val="20"/>
          <w:szCs w:val="20"/>
        </w:rPr>
        <w:fldChar w:fldCharType="separate"/>
      </w:r>
      <w:r w:rsidR="003A69A7">
        <w:rPr>
          <w:rFonts w:ascii="Calibri" w:eastAsia="Calibri" w:hAnsi="Calibri" w:cs="Times New Roman"/>
          <w:b/>
          <w:bCs/>
          <w:noProof/>
          <w:sz w:val="20"/>
          <w:szCs w:val="20"/>
        </w:rPr>
        <w:t>80</w:t>
      </w:r>
      <w:r w:rsidR="008E6461" w:rsidRPr="00607F89">
        <w:rPr>
          <w:rFonts w:ascii="Calibri" w:eastAsia="Calibri" w:hAnsi="Calibri" w:cs="Times New Roman"/>
          <w:b/>
          <w:bCs/>
          <w:sz w:val="20"/>
          <w:szCs w:val="20"/>
        </w:rPr>
        <w:fldChar w:fldCharType="end"/>
      </w:r>
      <w:r w:rsidRPr="00607F89">
        <w:rPr>
          <w:rFonts w:ascii="Calibri" w:eastAsia="Calibri" w:hAnsi="Calibri" w:cs="Times New Roman"/>
          <w:b/>
          <w:bCs/>
          <w:sz w:val="20"/>
          <w:szCs w:val="20"/>
        </w:rPr>
        <w:t xml:space="preserve">:  </w:t>
      </w:r>
      <w:r w:rsidR="0018004F" w:rsidRPr="00607F89">
        <w:rPr>
          <w:rFonts w:ascii="Calibri" w:eastAsia="Calibri" w:hAnsi="Calibri" w:cs="Times New Roman"/>
          <w:b/>
          <w:sz w:val="20"/>
          <w:szCs w:val="20"/>
        </w:rPr>
        <w:t>БРОЙ ФИНАНСОВИ ИНСТРУМЕНТИ И ПРИНОС НА ОП за ФИ към края на 2011</w:t>
      </w:r>
      <w:bookmarkEnd w:id="171"/>
    </w:p>
    <w:p w:rsidR="0018004F" w:rsidRPr="00FF7A4E" w:rsidRDefault="0018004F" w:rsidP="0018004F">
      <w:pPr>
        <w:spacing w:after="0" w:line="240" w:lineRule="auto"/>
        <w:ind w:right="301"/>
        <w:jc w:val="both"/>
        <w:rPr>
          <w:rFonts w:ascii="Calibri" w:eastAsia="Calibri" w:hAnsi="Calibri" w:cs="Times New Roman"/>
          <w:b/>
          <w:sz w:val="18"/>
          <w:szCs w:val="18"/>
        </w:rPr>
      </w:pPr>
    </w:p>
    <w:p w:rsidR="0018004F" w:rsidRPr="0018004F" w:rsidRDefault="00D004B1" w:rsidP="0018004F">
      <w:pPr>
        <w:spacing w:after="0" w:line="240" w:lineRule="auto"/>
        <w:ind w:right="301"/>
        <w:jc w:val="both"/>
        <w:rPr>
          <w:rFonts w:ascii="Calibri" w:eastAsia="Calibri" w:hAnsi="Calibri" w:cs="Times New Roman"/>
        </w:rPr>
      </w:pPr>
      <w:r>
        <w:rPr>
          <w:noProof/>
          <w:lang w:eastAsia="bg-BG"/>
        </w:rPr>
        <w:drawing>
          <wp:inline distT="0" distB="0" distL="0" distR="0">
            <wp:extent cx="5314950" cy="2962275"/>
            <wp:effectExtent l="19050" t="0" r="0" b="0"/>
            <wp:docPr id="7" name="Picture 13" descr="OP contrib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P contribution"/>
                    <pic:cNvPicPr>
                      <a:picLocks noChangeAspect="1" noChangeArrowheads="1"/>
                    </pic:cNvPicPr>
                  </pic:nvPicPr>
                  <pic:blipFill>
                    <a:blip r:embed="rId158" cstate="print"/>
                    <a:srcRect/>
                    <a:stretch>
                      <a:fillRect/>
                    </a:stretch>
                  </pic:blipFill>
                  <pic:spPr bwMode="auto">
                    <a:xfrm>
                      <a:off x="0" y="0"/>
                      <a:ext cx="5314950" cy="2962275"/>
                    </a:xfrm>
                    <a:prstGeom prst="rect">
                      <a:avLst/>
                    </a:prstGeom>
                    <a:noFill/>
                    <a:ln w="9525">
                      <a:noFill/>
                      <a:miter lim="800000"/>
                      <a:headEnd/>
                      <a:tailEnd/>
                    </a:ln>
                  </pic:spPr>
                </pic:pic>
              </a:graphicData>
            </a:graphic>
          </wp:inline>
        </w:drawing>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Съществуват значителни различия между страните-членки в общия брой и размер на помощта за инструментите за финансов инженеринг (Фигура </w:t>
      </w:r>
      <w:r w:rsidR="004770BF">
        <w:rPr>
          <w:rFonts w:ascii="Calibri" w:eastAsia="Calibri" w:hAnsi="Calibri" w:cs="Times New Roman"/>
        </w:rPr>
        <w:t>4.1.4.</w:t>
      </w:r>
      <w:r w:rsidRPr="0018004F">
        <w:rPr>
          <w:rFonts w:ascii="Calibri" w:eastAsia="Calibri" w:hAnsi="Calibri" w:cs="Times New Roman"/>
        </w:rPr>
        <w:t>). Налице е силна концентрация на ФИ, използвани в няколко държави-членки</w:t>
      </w:r>
      <w:r w:rsidR="007F0E3D">
        <w:rPr>
          <w:rFonts w:ascii="Calibri" w:eastAsia="Calibri" w:hAnsi="Calibri" w:cs="Times New Roman"/>
        </w:rPr>
        <w:t xml:space="preserve"> -</w:t>
      </w:r>
      <w:r w:rsidRPr="0018004F">
        <w:rPr>
          <w:rFonts w:ascii="Calibri" w:eastAsia="Calibri" w:hAnsi="Calibri" w:cs="Times New Roman"/>
        </w:rPr>
        <w:t xml:space="preserve"> Полша, Франция, Италия, Великобритания и Германия, заедно са усвоили 75% от всички средства, използвайки инструментите за финансов инженеринг; а Италия, Гърция, Полша, Германия и Великобритания заедно съставляват 49% от приноса на ЕСИФ за инструментите за финансов инженеринг.</w:t>
      </w:r>
    </w:p>
    <w:p w:rsid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 </w:t>
      </w:r>
      <w:r w:rsidRPr="0018004F">
        <w:rPr>
          <w:rFonts w:ascii="Calibri" w:eastAsia="Calibri" w:hAnsi="Calibri" w:cs="Times New Roman"/>
        </w:rPr>
        <w:br/>
        <w:t xml:space="preserve">В някои страни, като например Франция, са създадени голям брой от инструменти за финансов инженеринг, но приносът на ЕСИФ е сравнително нисък. </w:t>
      </w:r>
      <w:r w:rsidR="00466421">
        <w:rPr>
          <w:rFonts w:ascii="Calibri" w:eastAsia="Calibri" w:hAnsi="Calibri" w:cs="Times New Roman"/>
        </w:rPr>
        <w:t>Т</w:t>
      </w:r>
      <w:r w:rsidRPr="0018004F">
        <w:rPr>
          <w:rFonts w:ascii="Calibri" w:eastAsia="Calibri" w:hAnsi="Calibri" w:cs="Times New Roman"/>
        </w:rPr>
        <w:t>ози модел не е универсален - в Гърция, например, е вярно обратното. Повечето страни, включително България, са създали по-малко от десет инструмента за финансов инженеринг, с принос на</w:t>
      </w:r>
      <w:r w:rsidR="00B10134">
        <w:rPr>
          <w:rFonts w:ascii="Calibri" w:eastAsia="Calibri" w:hAnsi="Calibri" w:cs="Times New Roman"/>
        </w:rPr>
        <w:t xml:space="preserve"> ЕСИФ в размер по-малко от 200 мил.</w:t>
      </w:r>
      <w:r w:rsidRPr="0018004F">
        <w:rPr>
          <w:rFonts w:ascii="Calibri" w:eastAsia="Calibri" w:hAnsi="Calibri" w:cs="Times New Roman"/>
        </w:rPr>
        <w:t xml:space="preserve"> </w:t>
      </w:r>
      <w:r w:rsidR="00B10134">
        <w:rPr>
          <w:rFonts w:ascii="Calibri" w:eastAsia="Calibri" w:hAnsi="Calibri" w:cs="Times New Roman"/>
        </w:rPr>
        <w:t>евро</w:t>
      </w:r>
      <w:r w:rsidRPr="0018004F">
        <w:rPr>
          <w:rFonts w:ascii="Calibri" w:eastAsia="Calibri" w:hAnsi="Calibri" w:cs="Times New Roman"/>
        </w:rPr>
        <w:t xml:space="preserve">. Във всички страни инструментите за финансов </w:t>
      </w:r>
      <w:r w:rsidRPr="0018004F">
        <w:rPr>
          <w:rFonts w:ascii="Calibri" w:eastAsia="Calibri" w:hAnsi="Calibri" w:cs="Times New Roman"/>
        </w:rPr>
        <w:lastRenderedPageBreak/>
        <w:t>инженеринг за малки и средни предприятия преобладават и инструментите за финансов инженеринг са реализирани във всички, или почти всички, региони.</w:t>
      </w:r>
    </w:p>
    <w:p w:rsidR="006B7431" w:rsidRPr="0018004F" w:rsidRDefault="006B7431" w:rsidP="0018004F">
      <w:pPr>
        <w:spacing w:after="0" w:line="240" w:lineRule="auto"/>
        <w:ind w:right="301"/>
        <w:jc w:val="both"/>
        <w:rPr>
          <w:rFonts w:ascii="Calibri" w:eastAsia="Calibri" w:hAnsi="Calibri" w:cs="Times New Roman"/>
        </w:rPr>
      </w:pPr>
    </w:p>
    <w:p w:rsidR="006B7431" w:rsidRDefault="006B7431" w:rsidP="006B7431">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Помощта по член 44 (а) - инструментите за финансов инженеринг за </w:t>
      </w:r>
      <w:r w:rsidR="00AC6028">
        <w:rPr>
          <w:rFonts w:ascii="Calibri" w:eastAsia="Calibri" w:hAnsi="Calibri" w:cs="Times New Roman"/>
        </w:rPr>
        <w:t>търговски предприятия</w:t>
      </w:r>
      <w:r w:rsidRPr="0018004F">
        <w:rPr>
          <w:rFonts w:ascii="Calibri" w:eastAsia="Calibri" w:hAnsi="Calibri" w:cs="Times New Roman"/>
        </w:rPr>
        <w:t xml:space="preserve"> - се отпуска чрез всички видове инструментите за финансов инженеринг (заеми, гаранции, собствен капитал, рисков капитал и други продукти). За разлика от тях инструментите за финансов инженеринг за </w:t>
      </w:r>
      <w:r w:rsidR="00AC6028">
        <w:rPr>
          <w:rFonts w:ascii="Calibri" w:eastAsia="Calibri" w:hAnsi="Calibri" w:cs="Times New Roman"/>
        </w:rPr>
        <w:t>инфраструктура</w:t>
      </w:r>
      <w:r w:rsidRPr="0018004F">
        <w:rPr>
          <w:rFonts w:ascii="Calibri" w:eastAsia="Calibri" w:hAnsi="Calibri" w:cs="Times New Roman"/>
        </w:rPr>
        <w:t xml:space="preserve"> (член 44</w:t>
      </w:r>
      <w:r w:rsidRPr="0018004F">
        <w:rPr>
          <w:rFonts w:ascii="Calibri" w:eastAsia="Calibri" w:hAnsi="Calibri" w:cs="Times New Roman"/>
          <w:lang w:val="en-US"/>
        </w:rPr>
        <w:t>b</w:t>
      </w:r>
      <w:r w:rsidRPr="0018004F">
        <w:rPr>
          <w:rFonts w:ascii="Calibri" w:eastAsia="Calibri" w:hAnsi="Calibri" w:cs="Times New Roman"/>
        </w:rPr>
        <w:t>) и енергийна ефективност и възобновяеми енергийни източници (член 44</w:t>
      </w:r>
      <w:r w:rsidRPr="0018004F">
        <w:rPr>
          <w:rFonts w:ascii="Calibri" w:eastAsia="Calibri" w:hAnsi="Calibri" w:cs="Times New Roman"/>
          <w:lang w:val="en-US"/>
        </w:rPr>
        <w:t>c</w:t>
      </w:r>
      <w:r w:rsidRPr="0018004F">
        <w:rPr>
          <w:rFonts w:ascii="Calibri" w:eastAsia="Calibri" w:hAnsi="Calibri" w:cs="Times New Roman"/>
        </w:rPr>
        <w:t>) в предишния програмен период се отпуска само под формата на заеми.</w:t>
      </w:r>
    </w:p>
    <w:p w:rsidR="00BB5678" w:rsidRDefault="00BB5678" w:rsidP="006B7431">
      <w:pPr>
        <w:spacing w:after="0" w:line="240" w:lineRule="auto"/>
        <w:ind w:right="301"/>
        <w:jc w:val="both"/>
        <w:rPr>
          <w:rFonts w:ascii="Calibri" w:eastAsia="Calibri" w:hAnsi="Calibri" w:cs="Times New Roman"/>
        </w:rPr>
      </w:pPr>
    </w:p>
    <w:p w:rsidR="0018004F" w:rsidRPr="00607F89" w:rsidRDefault="00607F89" w:rsidP="00BB5678">
      <w:pPr>
        <w:keepNext/>
        <w:spacing w:after="0" w:line="240" w:lineRule="auto"/>
        <w:ind w:right="301"/>
        <w:jc w:val="both"/>
        <w:rPr>
          <w:rFonts w:ascii="Calibri" w:eastAsia="Calibri" w:hAnsi="Calibri" w:cs="Times New Roman"/>
          <w:b/>
          <w:sz w:val="20"/>
          <w:szCs w:val="20"/>
        </w:rPr>
      </w:pPr>
      <w:bookmarkStart w:id="172" w:name="_Toc399494666"/>
      <w:r w:rsidRPr="00607F89">
        <w:rPr>
          <w:rFonts w:ascii="Calibri" w:eastAsia="Calibri" w:hAnsi="Calibri" w:cs="Times New Roman"/>
          <w:b/>
          <w:bCs/>
          <w:sz w:val="20"/>
          <w:szCs w:val="20"/>
        </w:rPr>
        <w:t xml:space="preserve">Фигура </w:t>
      </w:r>
      <w:r w:rsidR="008E6461" w:rsidRPr="00607F89">
        <w:rPr>
          <w:rFonts w:ascii="Calibri" w:eastAsia="Calibri" w:hAnsi="Calibri" w:cs="Times New Roman"/>
          <w:b/>
          <w:bCs/>
          <w:sz w:val="20"/>
          <w:szCs w:val="20"/>
        </w:rPr>
        <w:fldChar w:fldCharType="begin"/>
      </w:r>
      <w:r w:rsidRPr="00607F89">
        <w:rPr>
          <w:rFonts w:ascii="Calibri" w:eastAsia="Calibri" w:hAnsi="Calibri" w:cs="Times New Roman"/>
          <w:b/>
          <w:bCs/>
          <w:sz w:val="20"/>
          <w:szCs w:val="20"/>
        </w:rPr>
        <w:instrText xml:space="preserve"> SEQ фигура \* ARABIC </w:instrText>
      </w:r>
      <w:r w:rsidR="008E6461" w:rsidRPr="00607F89">
        <w:rPr>
          <w:rFonts w:ascii="Calibri" w:eastAsia="Calibri" w:hAnsi="Calibri" w:cs="Times New Roman"/>
          <w:b/>
          <w:bCs/>
          <w:sz w:val="20"/>
          <w:szCs w:val="20"/>
        </w:rPr>
        <w:fldChar w:fldCharType="separate"/>
      </w:r>
      <w:r w:rsidR="003A69A7">
        <w:rPr>
          <w:rFonts w:ascii="Calibri" w:eastAsia="Calibri" w:hAnsi="Calibri" w:cs="Times New Roman"/>
          <w:b/>
          <w:bCs/>
          <w:noProof/>
          <w:sz w:val="20"/>
          <w:szCs w:val="20"/>
        </w:rPr>
        <w:t>81</w:t>
      </w:r>
      <w:r w:rsidR="008E6461" w:rsidRPr="00607F89">
        <w:rPr>
          <w:rFonts w:ascii="Calibri" w:eastAsia="Calibri" w:hAnsi="Calibri" w:cs="Times New Roman"/>
          <w:b/>
          <w:bCs/>
          <w:sz w:val="20"/>
          <w:szCs w:val="20"/>
        </w:rPr>
        <w:fldChar w:fldCharType="end"/>
      </w:r>
      <w:r w:rsidRPr="00607F89">
        <w:rPr>
          <w:rFonts w:ascii="Calibri" w:eastAsia="Calibri" w:hAnsi="Calibri" w:cs="Times New Roman"/>
          <w:b/>
          <w:bCs/>
          <w:sz w:val="20"/>
          <w:szCs w:val="20"/>
        </w:rPr>
        <w:t xml:space="preserve">:  </w:t>
      </w:r>
      <w:r w:rsidR="0018004F" w:rsidRPr="00607F89">
        <w:rPr>
          <w:rFonts w:ascii="Calibri" w:eastAsia="Calibri" w:hAnsi="Calibri" w:cs="Times New Roman"/>
          <w:b/>
          <w:sz w:val="20"/>
          <w:szCs w:val="20"/>
        </w:rPr>
        <w:t>БРОЙ ФИНАНСОВИ ИНСТРУМЕНТИ И ПРИНОС НА СТРУКТУРНИТЕ ФОНДОВЕ</w:t>
      </w:r>
      <w:bookmarkEnd w:id="172"/>
    </w:p>
    <w:p w:rsidR="0018004F" w:rsidRPr="00FF7A4E" w:rsidRDefault="0018004F" w:rsidP="0018004F">
      <w:pPr>
        <w:spacing w:after="0" w:line="240" w:lineRule="auto"/>
        <w:ind w:right="301"/>
        <w:jc w:val="both"/>
        <w:rPr>
          <w:rFonts w:ascii="Calibri" w:eastAsia="Calibri" w:hAnsi="Calibri" w:cs="Times New Roman"/>
          <w:sz w:val="18"/>
          <w:szCs w:val="18"/>
        </w:rPr>
      </w:pPr>
    </w:p>
    <w:p w:rsidR="0018004F" w:rsidRPr="0018004F" w:rsidRDefault="00D004B1" w:rsidP="0018004F">
      <w:pPr>
        <w:spacing w:after="0" w:line="240" w:lineRule="auto"/>
        <w:ind w:right="301"/>
        <w:jc w:val="both"/>
        <w:rPr>
          <w:rFonts w:ascii="Calibri" w:eastAsia="Calibri" w:hAnsi="Calibri" w:cs="Times New Roman"/>
          <w:b/>
        </w:rPr>
      </w:pPr>
      <w:r>
        <w:rPr>
          <w:noProof/>
          <w:lang w:eastAsia="bg-BG"/>
        </w:rPr>
        <w:drawing>
          <wp:inline distT="0" distB="0" distL="0" distR="0">
            <wp:extent cx="5153025" cy="3733800"/>
            <wp:effectExtent l="19050" t="0" r="9525" b="0"/>
            <wp:docPr id="16" name="Picture 16" descr="SF contrib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F contribution"/>
                    <pic:cNvPicPr>
                      <a:picLocks noChangeAspect="1" noChangeArrowheads="1"/>
                    </pic:cNvPicPr>
                  </pic:nvPicPr>
                  <pic:blipFill>
                    <a:blip r:embed="rId159" cstate="print"/>
                    <a:srcRect/>
                    <a:stretch>
                      <a:fillRect/>
                    </a:stretch>
                  </pic:blipFill>
                  <pic:spPr bwMode="auto">
                    <a:xfrm>
                      <a:off x="0" y="0"/>
                      <a:ext cx="5153025" cy="3733800"/>
                    </a:xfrm>
                    <a:prstGeom prst="rect">
                      <a:avLst/>
                    </a:prstGeom>
                    <a:noFill/>
                    <a:ln w="9525">
                      <a:noFill/>
                      <a:miter lim="800000"/>
                      <a:headEnd/>
                      <a:tailEnd/>
                    </a:ln>
                  </pic:spPr>
                </pic:pic>
              </a:graphicData>
            </a:graphic>
          </wp:inline>
        </w:drawing>
      </w:r>
    </w:p>
    <w:p w:rsidR="0018004F" w:rsidRPr="0018004F" w:rsidRDefault="0018004F" w:rsidP="0018004F">
      <w:pPr>
        <w:spacing w:after="0" w:line="240" w:lineRule="auto"/>
        <w:ind w:right="301"/>
        <w:jc w:val="both"/>
        <w:rPr>
          <w:rFonts w:ascii="Calibri" w:eastAsia="Calibri" w:hAnsi="Calibri" w:cs="Times New Roman"/>
          <w:b/>
        </w:rPr>
      </w:pPr>
    </w:p>
    <w:p w:rsidR="00607F89" w:rsidRDefault="00607F89" w:rsidP="0018004F">
      <w:pPr>
        <w:spacing w:after="0" w:line="240" w:lineRule="auto"/>
        <w:ind w:right="301"/>
        <w:jc w:val="both"/>
        <w:rPr>
          <w:rFonts w:ascii="Calibri" w:eastAsia="Calibri" w:hAnsi="Calibri" w:cs="Times New Roman"/>
        </w:rPr>
      </w:pPr>
    </w:p>
    <w:p w:rsid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Кредитите са най-често използваният инструмент, а също така имат най-голям принос към крайните получатели (€ 1,553.57 м</w:t>
      </w:r>
      <w:r w:rsidR="00D27D52">
        <w:rPr>
          <w:rFonts w:ascii="Calibri" w:eastAsia="Calibri" w:hAnsi="Calibri" w:cs="Times New Roman"/>
        </w:rPr>
        <w:t>лн</w:t>
      </w:r>
      <w:r w:rsidRPr="0018004F">
        <w:rPr>
          <w:rFonts w:ascii="Calibri" w:eastAsia="Calibri" w:hAnsi="Calibri" w:cs="Times New Roman"/>
        </w:rPr>
        <w:t>)</w:t>
      </w:r>
      <w:r w:rsidRPr="0018004F">
        <w:rPr>
          <w:rFonts w:ascii="Calibri" w:eastAsia="Calibri" w:hAnsi="Calibri" w:cs="Times New Roman"/>
          <w:lang w:val="en-US"/>
        </w:rPr>
        <w:t>.</w:t>
      </w:r>
      <w:r w:rsidRPr="0018004F">
        <w:rPr>
          <w:rFonts w:ascii="Calibri" w:eastAsia="Calibri" w:hAnsi="Calibri" w:cs="Times New Roman"/>
        </w:rPr>
        <w:t xml:space="preserve"> А много по-малка сума е отпусната на крайните получатели чрез собствен капитал/рисков капитал</w:t>
      </w:r>
      <w:r w:rsidR="006D6B78">
        <w:rPr>
          <w:rFonts w:ascii="Calibri" w:eastAsia="Calibri" w:hAnsi="Calibri" w:cs="Times New Roman"/>
        </w:rPr>
        <w:t xml:space="preserve"> от</w:t>
      </w:r>
      <w:r w:rsidRPr="0018004F">
        <w:rPr>
          <w:rFonts w:ascii="Calibri" w:eastAsia="Calibri" w:hAnsi="Calibri" w:cs="Times New Roman"/>
        </w:rPr>
        <w:t xml:space="preserve"> инструментите за финансов инженеринг като цяло.</w:t>
      </w:r>
    </w:p>
    <w:p w:rsid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Въпреки това, разглеждайки средния размер на всяка инвестиция, (Фигура </w:t>
      </w:r>
      <w:r w:rsidR="008675B9">
        <w:rPr>
          <w:rFonts w:ascii="Calibri" w:eastAsia="Calibri" w:hAnsi="Calibri" w:cs="Times New Roman"/>
        </w:rPr>
        <w:t>4.1.5.</w:t>
      </w:r>
      <w:r w:rsidRPr="0018004F">
        <w:rPr>
          <w:rFonts w:ascii="Calibri" w:eastAsia="Calibri" w:hAnsi="Calibri" w:cs="Times New Roman"/>
        </w:rPr>
        <w:t>), се отчита, че средният размер на заемите и гаранции е много по-малък, отколкото средния капитал/рисков капитал за инвестицията. Има и разлики в средния размер на заема сред инструментите за финансов инженеринг. Средният размер на заема е най-малкият (€7000) сред инструментите за финансов инженеринг за енергийна ефективност и възобновяеми енергийни източници и най-висок в инструментите за финансов инженеринг за градско развитие (€ 0.1млн).</w:t>
      </w:r>
    </w:p>
    <w:p w:rsidR="00CF0307" w:rsidRPr="0018004F" w:rsidRDefault="00CF0307" w:rsidP="0018004F">
      <w:pPr>
        <w:spacing w:after="0" w:line="240" w:lineRule="auto"/>
        <w:ind w:right="301"/>
        <w:jc w:val="both"/>
        <w:rPr>
          <w:rFonts w:ascii="Calibri" w:eastAsia="Calibri" w:hAnsi="Calibri" w:cs="Times New Roman"/>
        </w:rPr>
      </w:pPr>
    </w:p>
    <w:p w:rsidR="00CF0307" w:rsidRPr="00607F89" w:rsidRDefault="00CF0307" w:rsidP="00607F89">
      <w:pPr>
        <w:spacing w:before="240" w:after="0" w:line="240" w:lineRule="auto"/>
        <w:ind w:right="301"/>
        <w:jc w:val="both"/>
        <w:rPr>
          <w:rFonts w:ascii="Calibri" w:eastAsia="Calibri" w:hAnsi="Calibri" w:cs="Times New Roman"/>
          <w:b/>
          <w:i/>
          <w:color w:val="2E74B5" w:themeColor="accent1" w:themeShade="BF"/>
        </w:rPr>
      </w:pPr>
      <w:r w:rsidRPr="00607F89">
        <w:rPr>
          <w:rFonts w:ascii="Calibri" w:eastAsia="Calibri" w:hAnsi="Calibri" w:cs="Times New Roman"/>
          <w:b/>
          <w:i/>
          <w:color w:val="2E74B5" w:themeColor="accent1" w:themeShade="BF"/>
        </w:rPr>
        <w:lastRenderedPageBreak/>
        <w:t>Напредък в използването на инструменти на финансов инженеринг</w:t>
      </w:r>
    </w:p>
    <w:p w:rsidR="00607F89" w:rsidRDefault="00CF0307"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t>Като цяло използването на инструментите за финансов инженеринг се е повишило в рамките на програмите на политиката на сближаване през последователните програмни периоди, от € 0.57млрд (0.44 % от общата отпусната сума Структурните фондове) от ЕФРР през 1994-99 г., до € 1,3 млрд. през 2000-06 г. (0,8 % от Общо отпуснатите средства), както и € 11.6 млрд през 2007-13 г. (4.4 % от общата отпусната сума). Използването на ЕФРР за</w:t>
      </w:r>
      <w:r w:rsidR="00607F89" w:rsidRPr="00607F89">
        <w:rPr>
          <w:rFonts w:ascii="Calibri" w:eastAsia="Calibri" w:hAnsi="Calibri" w:cs="Times New Roman"/>
        </w:rPr>
        <w:t xml:space="preserve"> </w:t>
      </w:r>
      <w:r w:rsidR="00607F89" w:rsidRPr="0018004F">
        <w:rPr>
          <w:rFonts w:ascii="Calibri" w:eastAsia="Calibri" w:hAnsi="Calibri" w:cs="Times New Roman"/>
        </w:rPr>
        <w:t>съфинансиране на инструментите за финансов инженеринг се е увеличило с течение на времето в повечето страни, но не всички. В Белгия, Германия и Великобритания, финансирането е разпределено към инструментите за финансов инженеринг за първи път в програмния период на 1994-99г. и в последствие в редица други държави в периода 2000-</w:t>
      </w:r>
      <w:r w:rsidR="00607F89">
        <w:rPr>
          <w:rFonts w:ascii="Calibri" w:eastAsia="Calibri" w:hAnsi="Calibri" w:cs="Times New Roman"/>
        </w:rPr>
        <w:t>20</w:t>
      </w:r>
      <w:r w:rsidR="00607F89" w:rsidRPr="0018004F">
        <w:rPr>
          <w:rFonts w:ascii="Calibri" w:eastAsia="Calibri" w:hAnsi="Calibri" w:cs="Times New Roman"/>
        </w:rPr>
        <w:t xml:space="preserve">06 г., включително Испания, Холандия и Австрия, както и Латвия </w:t>
      </w:r>
      <w:r w:rsidR="00607F89">
        <w:rPr>
          <w:rFonts w:ascii="Calibri" w:eastAsia="Calibri" w:hAnsi="Calibri" w:cs="Times New Roman"/>
        </w:rPr>
        <w:t xml:space="preserve">и </w:t>
      </w:r>
      <w:r w:rsidR="00607F89" w:rsidRPr="0018004F">
        <w:rPr>
          <w:rFonts w:ascii="Calibri" w:eastAsia="Calibri" w:hAnsi="Calibri" w:cs="Times New Roman"/>
        </w:rPr>
        <w:t>Словения след 2004 г., когато те влизат в ЕС и стават допустими за подпомагане по линия на ЕФРР.</w:t>
      </w:r>
    </w:p>
    <w:p w:rsidR="009B6A70" w:rsidRDefault="009B6A70" w:rsidP="00FF7A4E">
      <w:pPr>
        <w:keepNext/>
        <w:spacing w:after="0" w:line="240" w:lineRule="auto"/>
        <w:ind w:right="301"/>
        <w:jc w:val="both"/>
        <w:rPr>
          <w:rFonts w:ascii="Calibri" w:eastAsia="Calibri" w:hAnsi="Calibri" w:cs="Times New Roman"/>
          <w:b/>
          <w:color w:val="4F81BD"/>
          <w:sz w:val="18"/>
          <w:szCs w:val="18"/>
        </w:rPr>
      </w:pPr>
    </w:p>
    <w:p w:rsidR="0018004F" w:rsidRPr="00607F89" w:rsidRDefault="00607F89" w:rsidP="00FF7A4E">
      <w:pPr>
        <w:keepNext/>
        <w:spacing w:after="0" w:line="240" w:lineRule="auto"/>
        <w:ind w:right="301"/>
        <w:jc w:val="both"/>
        <w:rPr>
          <w:rFonts w:ascii="Calibri" w:eastAsia="Calibri" w:hAnsi="Calibri" w:cs="Times New Roman"/>
          <w:b/>
          <w:sz w:val="20"/>
          <w:szCs w:val="20"/>
        </w:rPr>
      </w:pPr>
      <w:bookmarkStart w:id="173" w:name="_Toc399494667"/>
      <w:r w:rsidRPr="00607F89">
        <w:rPr>
          <w:rFonts w:ascii="Calibri" w:eastAsia="Calibri" w:hAnsi="Calibri" w:cs="Times New Roman"/>
          <w:b/>
          <w:bCs/>
          <w:sz w:val="20"/>
          <w:szCs w:val="20"/>
        </w:rPr>
        <w:t xml:space="preserve">Фигура </w:t>
      </w:r>
      <w:r w:rsidR="008E6461" w:rsidRPr="00607F89">
        <w:rPr>
          <w:rFonts w:ascii="Calibri" w:eastAsia="Calibri" w:hAnsi="Calibri" w:cs="Times New Roman"/>
          <w:b/>
          <w:bCs/>
          <w:sz w:val="20"/>
          <w:szCs w:val="20"/>
        </w:rPr>
        <w:fldChar w:fldCharType="begin"/>
      </w:r>
      <w:r w:rsidRPr="00607F89">
        <w:rPr>
          <w:rFonts w:ascii="Calibri" w:eastAsia="Calibri" w:hAnsi="Calibri" w:cs="Times New Roman"/>
          <w:b/>
          <w:bCs/>
          <w:sz w:val="20"/>
          <w:szCs w:val="20"/>
        </w:rPr>
        <w:instrText xml:space="preserve"> SEQ фигура \* ARABIC </w:instrText>
      </w:r>
      <w:r w:rsidR="008E6461" w:rsidRPr="00607F89">
        <w:rPr>
          <w:rFonts w:ascii="Calibri" w:eastAsia="Calibri" w:hAnsi="Calibri" w:cs="Times New Roman"/>
          <w:b/>
          <w:bCs/>
          <w:sz w:val="20"/>
          <w:szCs w:val="20"/>
        </w:rPr>
        <w:fldChar w:fldCharType="separate"/>
      </w:r>
      <w:r w:rsidR="003A69A7">
        <w:rPr>
          <w:rFonts w:ascii="Calibri" w:eastAsia="Calibri" w:hAnsi="Calibri" w:cs="Times New Roman"/>
          <w:b/>
          <w:bCs/>
          <w:noProof/>
          <w:sz w:val="20"/>
          <w:szCs w:val="20"/>
        </w:rPr>
        <w:t>82</w:t>
      </w:r>
      <w:r w:rsidR="008E6461" w:rsidRPr="00607F89">
        <w:rPr>
          <w:rFonts w:ascii="Calibri" w:eastAsia="Calibri" w:hAnsi="Calibri" w:cs="Times New Roman"/>
          <w:b/>
          <w:bCs/>
          <w:sz w:val="20"/>
          <w:szCs w:val="20"/>
        </w:rPr>
        <w:fldChar w:fldCharType="end"/>
      </w:r>
      <w:r w:rsidRPr="00607F89">
        <w:rPr>
          <w:rFonts w:ascii="Calibri" w:eastAsia="Calibri" w:hAnsi="Calibri" w:cs="Times New Roman"/>
          <w:b/>
          <w:bCs/>
          <w:sz w:val="20"/>
          <w:szCs w:val="20"/>
        </w:rPr>
        <w:t xml:space="preserve">:  </w:t>
      </w:r>
      <w:r w:rsidR="0018004F" w:rsidRPr="00607F89">
        <w:rPr>
          <w:rFonts w:ascii="Calibri" w:eastAsia="Calibri" w:hAnsi="Calibri" w:cs="Times New Roman"/>
          <w:b/>
          <w:sz w:val="20"/>
          <w:szCs w:val="20"/>
        </w:rPr>
        <w:t>СРЕДЕН РАЗМЕР НА ИНВЕСТИЦИИТЕ ПО ВИДОВЕ ФИ</w:t>
      </w:r>
      <w:bookmarkEnd w:id="173"/>
    </w:p>
    <w:p w:rsidR="0018004F" w:rsidRPr="0018004F" w:rsidRDefault="0018004F" w:rsidP="00FF7A4E">
      <w:pPr>
        <w:keepNext/>
        <w:spacing w:after="0" w:line="240" w:lineRule="auto"/>
        <w:ind w:right="301"/>
        <w:jc w:val="both"/>
        <w:rPr>
          <w:rFonts w:ascii="Calibri" w:eastAsia="Calibri" w:hAnsi="Calibri" w:cs="Verdana-Bold"/>
          <w:b/>
          <w:bCs/>
          <w:sz w:val="20"/>
          <w:szCs w:val="20"/>
          <w:lang w:eastAsia="bg-BG"/>
        </w:rPr>
      </w:pPr>
    </w:p>
    <w:p w:rsidR="0018004F" w:rsidRPr="0018004F" w:rsidRDefault="00D004B1" w:rsidP="0018004F">
      <w:pPr>
        <w:spacing w:after="0" w:line="240" w:lineRule="auto"/>
        <w:ind w:right="301"/>
        <w:jc w:val="both"/>
        <w:rPr>
          <w:rFonts w:ascii="Calibri" w:eastAsia="Calibri" w:hAnsi="Calibri" w:cs="Verdana-Bold"/>
          <w:b/>
          <w:bCs/>
          <w:sz w:val="20"/>
          <w:szCs w:val="20"/>
          <w:lang w:eastAsia="bg-BG"/>
        </w:rPr>
      </w:pPr>
      <w:r>
        <w:rPr>
          <w:noProof/>
          <w:lang w:eastAsia="bg-BG"/>
        </w:rPr>
        <w:drawing>
          <wp:inline distT="0" distB="0" distL="0" distR="0">
            <wp:extent cx="5314950" cy="3209925"/>
            <wp:effectExtent l="19050" t="0" r="0" b="0"/>
            <wp:docPr id="11" name="Picture 19" descr="average size of inves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verage size of investment"/>
                    <pic:cNvPicPr>
                      <a:picLocks noChangeAspect="1" noChangeArrowheads="1"/>
                    </pic:cNvPicPr>
                  </pic:nvPicPr>
                  <pic:blipFill>
                    <a:blip r:embed="rId160" cstate="print"/>
                    <a:srcRect/>
                    <a:stretch>
                      <a:fillRect/>
                    </a:stretch>
                  </pic:blipFill>
                  <pic:spPr bwMode="auto">
                    <a:xfrm>
                      <a:off x="0" y="0"/>
                      <a:ext cx="5314950" cy="3209925"/>
                    </a:xfrm>
                    <a:prstGeom prst="rect">
                      <a:avLst/>
                    </a:prstGeom>
                    <a:noFill/>
                    <a:ln w="9525">
                      <a:noFill/>
                      <a:miter lim="800000"/>
                      <a:headEnd/>
                      <a:tailEnd/>
                    </a:ln>
                  </pic:spPr>
                </pic:pic>
              </a:graphicData>
            </a:graphic>
          </wp:inline>
        </w:drawing>
      </w:r>
    </w:p>
    <w:p w:rsidR="0018004F" w:rsidRPr="0018004F" w:rsidRDefault="0018004F" w:rsidP="0018004F">
      <w:pPr>
        <w:spacing w:after="0" w:line="240" w:lineRule="auto"/>
        <w:ind w:right="301"/>
        <w:jc w:val="both"/>
        <w:rPr>
          <w:rFonts w:ascii="Calibri" w:eastAsia="Calibri" w:hAnsi="Calibri" w:cs="Times New Roman"/>
          <w:lang w:val="en-US"/>
        </w:rPr>
      </w:pPr>
    </w:p>
    <w:p w:rsidR="00CB16CC" w:rsidRDefault="00CB16CC" w:rsidP="0018004F">
      <w:pPr>
        <w:spacing w:after="0" w:line="240" w:lineRule="auto"/>
        <w:ind w:right="301"/>
        <w:jc w:val="both"/>
        <w:rPr>
          <w:rFonts w:ascii="Calibri" w:eastAsia="Calibri" w:hAnsi="Calibri" w:cs="Times New Roman"/>
        </w:rPr>
      </w:pPr>
    </w:p>
    <w:p w:rsidR="00F00027" w:rsidRDefault="00F00027"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В повечето страни членки на ЕС начало на подкрепата от ЕФРР за инструментите за финансов инженеринг е поставено през 2007-</w:t>
      </w:r>
      <w:r w:rsidR="00D635CA">
        <w:rPr>
          <w:rFonts w:ascii="Calibri" w:eastAsia="Calibri" w:hAnsi="Calibri" w:cs="Times New Roman"/>
        </w:rPr>
        <w:t>20</w:t>
      </w:r>
      <w:r w:rsidRPr="0018004F">
        <w:rPr>
          <w:rFonts w:ascii="Calibri" w:eastAsia="Calibri" w:hAnsi="Calibri" w:cs="Times New Roman"/>
        </w:rPr>
        <w:t>13г. Като цяло, употребата се</w:t>
      </w:r>
      <w:r w:rsidR="009C6D60">
        <w:rPr>
          <w:rFonts w:ascii="Calibri" w:eastAsia="Calibri" w:hAnsi="Calibri" w:cs="Times New Roman"/>
        </w:rPr>
        <w:t xml:space="preserve"> е</w:t>
      </w:r>
      <w:r w:rsidRPr="0018004F">
        <w:rPr>
          <w:rFonts w:ascii="Calibri" w:eastAsia="Calibri" w:hAnsi="Calibri" w:cs="Times New Roman"/>
        </w:rPr>
        <w:t xml:space="preserve"> увеличила повече в регионите на конвергенция, отколкото в областите на конкурентоспособността. Напредъкът в използването на ФИ от периода 2000-</w:t>
      </w:r>
      <w:r w:rsidR="00D635CA">
        <w:rPr>
          <w:rFonts w:ascii="Calibri" w:eastAsia="Calibri" w:hAnsi="Calibri" w:cs="Times New Roman"/>
        </w:rPr>
        <w:t>20</w:t>
      </w:r>
      <w:r w:rsidRPr="0018004F">
        <w:rPr>
          <w:rFonts w:ascii="Calibri" w:eastAsia="Calibri" w:hAnsi="Calibri" w:cs="Times New Roman"/>
        </w:rPr>
        <w:t>06г. до 2007-</w:t>
      </w:r>
      <w:r w:rsidR="00D635CA">
        <w:rPr>
          <w:rFonts w:ascii="Calibri" w:eastAsia="Calibri" w:hAnsi="Calibri" w:cs="Times New Roman"/>
        </w:rPr>
        <w:t>20</w:t>
      </w:r>
      <w:r w:rsidRPr="0018004F">
        <w:rPr>
          <w:rFonts w:ascii="Calibri" w:eastAsia="Calibri" w:hAnsi="Calibri" w:cs="Times New Roman"/>
        </w:rPr>
        <w:t>13г. е изцяло в резултат на по-голямо финансиране заделено за заеми, гаранции по заеми и други форми на кредит, отколкото за фондове за рисков капитал, които средно са останали непроменени.</w:t>
      </w:r>
    </w:p>
    <w:p w:rsidR="0018004F" w:rsidRPr="0018004F" w:rsidRDefault="0018004F" w:rsidP="0018004F">
      <w:pPr>
        <w:spacing w:after="0" w:line="240" w:lineRule="auto"/>
        <w:ind w:right="301"/>
        <w:jc w:val="both"/>
        <w:rPr>
          <w:rFonts w:ascii="Calibri" w:eastAsia="Calibri" w:hAnsi="Calibri" w:cs="Times New Roman"/>
        </w:rPr>
      </w:pPr>
    </w:p>
    <w:p w:rsidR="0018004F" w:rsidRPr="00607F89" w:rsidRDefault="00513750" w:rsidP="00607F89">
      <w:pPr>
        <w:spacing w:before="240" w:after="0" w:line="240" w:lineRule="auto"/>
        <w:ind w:right="301"/>
        <w:jc w:val="both"/>
        <w:rPr>
          <w:rFonts w:ascii="Calibri" w:eastAsia="Calibri" w:hAnsi="Calibri" w:cs="Times New Roman"/>
          <w:b/>
          <w:i/>
          <w:color w:val="4F81BD"/>
        </w:rPr>
      </w:pPr>
      <w:r w:rsidRPr="00607F89">
        <w:rPr>
          <w:rFonts w:ascii="Calibri" w:eastAsia="Calibri" w:hAnsi="Calibri" w:cs="Times New Roman"/>
          <w:b/>
          <w:i/>
          <w:color w:val="4F81BD"/>
        </w:rPr>
        <w:t>Причини за неравномерното прилагане на ФИ в държавите-членки</w:t>
      </w:r>
    </w:p>
    <w:p w:rsidR="0018004F" w:rsidRPr="0018004F" w:rsidRDefault="0018004F"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lastRenderedPageBreak/>
        <w:t>Съществуват значителни разлики</w:t>
      </w:r>
      <w:r w:rsidR="009C6D60">
        <w:rPr>
          <w:rFonts w:ascii="Calibri" w:eastAsia="Calibri" w:hAnsi="Calibri" w:cs="Times New Roman"/>
        </w:rPr>
        <w:t xml:space="preserve"> в</w:t>
      </w:r>
      <w:r w:rsidRPr="0018004F">
        <w:rPr>
          <w:rFonts w:ascii="Calibri" w:eastAsia="Calibri" w:hAnsi="Calibri" w:cs="Times New Roman"/>
        </w:rPr>
        <w:t xml:space="preserve"> употреба</w:t>
      </w:r>
      <w:r w:rsidR="009C6D60">
        <w:rPr>
          <w:rFonts w:ascii="Calibri" w:eastAsia="Calibri" w:hAnsi="Calibri" w:cs="Times New Roman"/>
        </w:rPr>
        <w:t>та</w:t>
      </w:r>
      <w:r w:rsidRPr="0018004F">
        <w:rPr>
          <w:rFonts w:ascii="Calibri" w:eastAsia="Calibri" w:hAnsi="Calibri" w:cs="Times New Roman"/>
        </w:rPr>
        <w:t xml:space="preserve"> на ФИ сред страните-членки. Това най-вече се дължи на различията в </w:t>
      </w:r>
      <w:r w:rsidR="009C6D60">
        <w:rPr>
          <w:rFonts w:ascii="Calibri" w:eastAsia="Calibri" w:hAnsi="Calibri" w:cs="Times New Roman"/>
        </w:rPr>
        <w:t>дейността</w:t>
      </w:r>
      <w:r w:rsidRPr="0018004F">
        <w:rPr>
          <w:rFonts w:ascii="Calibri" w:eastAsia="Calibri" w:hAnsi="Calibri" w:cs="Times New Roman"/>
        </w:rPr>
        <w:t xml:space="preserve"> на финансовите пазари в различните страни и разлики в традициите и социално-икономически условия, които влияят върху това как и до каква степен се прилагат инструментите за финансов инженеринг.</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Нивото на развитие и иновации в областта на финансовите пазари варира между страните-членки. Способността на </w:t>
      </w:r>
      <w:r w:rsidR="00C0538A">
        <w:rPr>
          <w:rFonts w:ascii="Calibri" w:eastAsia="Calibri" w:hAnsi="Calibri" w:cs="Times New Roman"/>
        </w:rPr>
        <w:t>търговските дружества</w:t>
      </w:r>
      <w:r w:rsidRPr="0018004F">
        <w:rPr>
          <w:rFonts w:ascii="Calibri" w:eastAsia="Calibri" w:hAnsi="Calibri" w:cs="Times New Roman"/>
        </w:rPr>
        <w:t xml:space="preserve"> да получат финансиране се разглежда като основния им проблем (според изследване на достъпа до финансиране на ЕК от 2011), но то също е различно в отделните страни. В някои от тях, най-важната пречка за една фирма да получи заем е липсата на финансиране като цяло (ЕО 2011b: 79); в други страни, това може да бъде ограничено от обезпечението, изисквано в замяна на финансиране, променливата експертиза в </w:t>
      </w:r>
      <w:r w:rsidR="00443638">
        <w:rPr>
          <w:rFonts w:ascii="Calibri" w:eastAsia="Calibri" w:hAnsi="Calibri" w:cs="Times New Roman"/>
        </w:rPr>
        <w:t>местните клонове</w:t>
      </w:r>
      <w:r w:rsidRPr="0018004F">
        <w:rPr>
          <w:rFonts w:ascii="Calibri" w:eastAsia="Calibri" w:hAnsi="Calibri" w:cs="Times New Roman"/>
        </w:rPr>
        <w:t xml:space="preserve"> на банките за оценка на бизнес перспективите, липсата на традиция банковият сектор да подкрепя местните предприятия, или просто липсата на ме</w:t>
      </w:r>
      <w:r w:rsidR="00DC41A1">
        <w:rPr>
          <w:rFonts w:ascii="Calibri" w:eastAsia="Calibri" w:hAnsi="Calibri" w:cs="Times New Roman"/>
        </w:rPr>
        <w:t>стни банки</w:t>
      </w:r>
      <w:r w:rsidRPr="0018004F">
        <w:rPr>
          <w:rFonts w:ascii="Calibri" w:eastAsia="Calibri" w:hAnsi="Calibri" w:cs="Times New Roman"/>
        </w:rPr>
        <w:t>. Има разлики и в капацитета за иновации на финансовите пазари и търсенето на финансова подкрепа за инвестиции. Освен това, пазарите на рисков капитал се различават в различните страни.</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Оказва се, че съществува пазарен недостиг и нужда от обществена подкрепа в страни, където</w:t>
      </w:r>
      <w:r w:rsidRPr="0018004F">
        <w:rPr>
          <w:rFonts w:ascii="Calibri" w:eastAsia="Calibri" w:hAnsi="Calibri" w:cs="Times New Roman"/>
          <w:lang w:val="en-US"/>
        </w:rPr>
        <w:t xml:space="preserve"> </w:t>
      </w:r>
      <w:r w:rsidRPr="0018004F">
        <w:rPr>
          <w:rFonts w:ascii="Calibri" w:eastAsia="Calibri" w:hAnsi="Calibri" w:cs="Times New Roman"/>
        </w:rPr>
        <w:t>финансовите</w:t>
      </w:r>
      <w:r w:rsidRPr="0018004F">
        <w:rPr>
          <w:rFonts w:ascii="Calibri" w:eastAsia="Calibri" w:hAnsi="Calibri" w:cs="Times New Roman"/>
          <w:lang w:val="en-US"/>
        </w:rPr>
        <w:t xml:space="preserve"> </w:t>
      </w:r>
      <w:r w:rsidRPr="0018004F">
        <w:rPr>
          <w:rFonts w:ascii="Calibri" w:eastAsia="Calibri" w:hAnsi="Calibri" w:cs="Times New Roman"/>
        </w:rPr>
        <w:t>пазари са по-слабо развити. Въпреки това, не съществува тясна връзка между степента на банкова подкрепа за малките предприятия и дела на финансиране от ЕФРР, отпускано за заеми. Също така, има само слаба връзка между способността за иновации и дела на финансиране</w:t>
      </w:r>
      <w:r w:rsidR="0032242D">
        <w:rPr>
          <w:rFonts w:ascii="Calibri" w:eastAsia="Calibri" w:hAnsi="Calibri" w:cs="Times New Roman"/>
        </w:rPr>
        <w:t xml:space="preserve"> от ЕФРР</w:t>
      </w:r>
      <w:r w:rsidRPr="0018004F">
        <w:rPr>
          <w:rFonts w:ascii="Calibri" w:eastAsia="Calibri" w:hAnsi="Calibri" w:cs="Times New Roman"/>
        </w:rPr>
        <w:t>, отпускано за рисков капитал.</w:t>
      </w:r>
    </w:p>
    <w:p w:rsidR="0018004F" w:rsidRPr="0018004F" w:rsidRDefault="0058162F" w:rsidP="0018004F">
      <w:pPr>
        <w:spacing w:after="0" w:line="240" w:lineRule="auto"/>
        <w:ind w:right="301"/>
        <w:jc w:val="both"/>
        <w:rPr>
          <w:rFonts w:ascii="Calibri" w:eastAsia="Calibri" w:hAnsi="Calibri" w:cs="Times New Roman"/>
        </w:rPr>
      </w:pPr>
      <w:r>
        <w:rPr>
          <w:rFonts w:ascii="Calibri" w:eastAsia="Calibri" w:hAnsi="Calibri" w:cs="Times New Roman"/>
        </w:rPr>
        <w:br/>
        <w:t xml:space="preserve">Някои държави-членки имат </w:t>
      </w:r>
      <w:r w:rsidR="0018004F" w:rsidRPr="0018004F">
        <w:rPr>
          <w:rFonts w:ascii="Calibri" w:eastAsia="Calibri" w:hAnsi="Calibri" w:cs="Times New Roman"/>
        </w:rPr>
        <w:t>добре развити финансови пазари</w:t>
      </w:r>
      <w:r w:rsidR="00DC41A1">
        <w:rPr>
          <w:rFonts w:ascii="Calibri" w:eastAsia="Calibri" w:hAnsi="Calibri" w:cs="Times New Roman"/>
        </w:rPr>
        <w:t>,</w:t>
      </w:r>
      <w:r w:rsidR="0018004F" w:rsidRPr="0018004F">
        <w:rPr>
          <w:rFonts w:ascii="Calibri" w:eastAsia="Calibri" w:hAnsi="Calibri" w:cs="Times New Roman"/>
        </w:rPr>
        <w:t xml:space="preserve"> но в други отсъстват. Въздействието на тези обстоятелства върху инструментите за финансов инженеринг, съфинансирани от структурните фондове, има две </w:t>
      </w:r>
      <w:r w:rsidR="000645F7" w:rsidRPr="0018004F">
        <w:rPr>
          <w:rFonts w:ascii="Calibri" w:eastAsia="Calibri" w:hAnsi="Calibri" w:cs="Times New Roman"/>
        </w:rPr>
        <w:t>измерения:</w:t>
      </w:r>
    </w:p>
    <w:p w:rsidR="0018004F" w:rsidRPr="0018004F" w:rsidRDefault="0018004F" w:rsidP="0018004F">
      <w:pPr>
        <w:spacing w:after="0" w:line="240" w:lineRule="auto"/>
        <w:ind w:right="301"/>
        <w:jc w:val="both"/>
        <w:rPr>
          <w:rFonts w:ascii="Calibri" w:eastAsia="Calibri" w:hAnsi="Calibri" w:cs="Times New Roman"/>
        </w:rPr>
      </w:pPr>
    </w:p>
    <w:p w:rsidR="00607F89" w:rsidRDefault="0018004F" w:rsidP="001A036E">
      <w:pPr>
        <w:numPr>
          <w:ilvl w:val="0"/>
          <w:numId w:val="99"/>
        </w:numPr>
        <w:spacing w:after="0" w:line="240" w:lineRule="auto"/>
        <w:ind w:left="567" w:right="301"/>
        <w:jc w:val="both"/>
        <w:rPr>
          <w:rFonts w:ascii="Calibri" w:eastAsia="Calibri" w:hAnsi="Calibri" w:cs="Times New Roman"/>
        </w:rPr>
      </w:pPr>
      <w:r w:rsidRPr="0018004F">
        <w:rPr>
          <w:rFonts w:ascii="Calibri" w:eastAsia="Calibri" w:hAnsi="Calibri" w:cs="Times New Roman"/>
        </w:rPr>
        <w:t>ФИ използвани в рамките на Кохезионната политика не са привлекателни, тъй като такива инструменти вече са предвидени на национално ниво. В следствие на това някои управляващи органи считат, че има повече смисъл да се възползват от съществуващите опит и структури, а не да създават паралелна институционална рамка.</w:t>
      </w:r>
      <w:r w:rsidRPr="0018004F">
        <w:rPr>
          <w:rFonts w:ascii="Calibri" w:eastAsia="Calibri" w:hAnsi="Calibri" w:cs="Times New Roman"/>
          <w:lang w:val="en-US"/>
        </w:rPr>
        <w:t xml:space="preserve"> </w:t>
      </w:r>
      <w:r w:rsidRPr="0018004F">
        <w:rPr>
          <w:rFonts w:ascii="Calibri" w:eastAsia="Calibri" w:hAnsi="Calibri" w:cs="Times New Roman"/>
        </w:rPr>
        <w:t>Парадоксално е, че липсата на добре развити финансови пазари или традиции в обществен</w:t>
      </w:r>
      <w:r w:rsidRPr="0018004F">
        <w:rPr>
          <w:rFonts w:ascii="Calibri" w:eastAsia="Calibri" w:hAnsi="Calibri" w:cs="Times New Roman"/>
          <w:lang w:val="en-US"/>
        </w:rPr>
        <w:t>a</w:t>
      </w:r>
      <w:r w:rsidRPr="0018004F">
        <w:rPr>
          <w:rFonts w:ascii="Calibri" w:eastAsia="Calibri" w:hAnsi="Calibri" w:cs="Times New Roman"/>
        </w:rPr>
        <w:t>та</w:t>
      </w:r>
      <w:r w:rsidRPr="0018004F">
        <w:rPr>
          <w:rFonts w:ascii="Calibri" w:eastAsia="Calibri" w:hAnsi="Calibri" w:cs="Times New Roman"/>
          <w:lang w:val="en-US"/>
        </w:rPr>
        <w:t xml:space="preserve"> </w:t>
      </w:r>
      <w:r w:rsidRPr="0018004F">
        <w:rPr>
          <w:rFonts w:ascii="Calibri" w:eastAsia="Calibri" w:hAnsi="Calibri" w:cs="Times New Roman"/>
        </w:rPr>
        <w:t>подкрепа</w:t>
      </w:r>
      <w:r w:rsidRPr="0018004F">
        <w:rPr>
          <w:rFonts w:ascii="Calibri" w:eastAsia="Calibri" w:hAnsi="Calibri" w:cs="Times New Roman"/>
          <w:lang w:val="en-US"/>
        </w:rPr>
        <w:t xml:space="preserve">, </w:t>
      </w:r>
      <w:r w:rsidRPr="0018004F">
        <w:rPr>
          <w:rFonts w:ascii="Calibri" w:eastAsia="Calibri" w:hAnsi="Calibri" w:cs="Times New Roman"/>
        </w:rPr>
        <w:t>също може да ограничи използването на инструментите за финансов инженеринг от УО, поради липса на експертиза и опит - това е една от основните причини за неизползване на инструментите за финансов инженеринг.</w:t>
      </w:r>
    </w:p>
    <w:p w:rsidR="0018004F" w:rsidRPr="00607F89" w:rsidRDefault="0018004F" w:rsidP="001A036E">
      <w:pPr>
        <w:numPr>
          <w:ilvl w:val="0"/>
          <w:numId w:val="99"/>
        </w:numPr>
        <w:spacing w:before="240" w:after="0" w:line="240" w:lineRule="auto"/>
        <w:ind w:left="567" w:right="301"/>
        <w:jc w:val="both"/>
        <w:rPr>
          <w:rFonts w:ascii="Calibri" w:eastAsia="Calibri" w:hAnsi="Calibri" w:cs="Times New Roman"/>
        </w:rPr>
      </w:pPr>
      <w:r w:rsidRPr="00607F89">
        <w:rPr>
          <w:rFonts w:ascii="Calibri" w:eastAsia="Calibri" w:hAnsi="Calibri" w:cs="Times New Roman"/>
        </w:rPr>
        <w:t>Освен това, тъй като използването на инструментите за финансов инженеринг е ново за много страни-членки, безвъзмездните средства са били предпочитани от</w:t>
      </w:r>
      <w:r w:rsidRPr="00607F89">
        <w:rPr>
          <w:rFonts w:ascii="Calibri" w:eastAsia="Calibri" w:hAnsi="Calibri" w:cs="Times New Roman"/>
        </w:rPr>
        <w:br/>
        <w:t>политиците пред инструментите за финансов инженеринг. Също така, трудностите за включване на по-широки цели в схемите за финансов инженеринг, както и тяхната непригодност за проекти, които не генерират приходи, или за конкретни видове инвестиции, като изследвания и технологично развитие и иновации, предотвратява тяхното използване.</w:t>
      </w:r>
    </w:p>
    <w:p w:rsidR="0018004F" w:rsidRPr="00607F89" w:rsidRDefault="00513750" w:rsidP="00607F89">
      <w:pPr>
        <w:spacing w:before="240" w:after="0" w:line="240" w:lineRule="auto"/>
        <w:ind w:right="301"/>
        <w:jc w:val="both"/>
        <w:rPr>
          <w:rFonts w:ascii="Calibri" w:eastAsia="Calibri" w:hAnsi="Calibri" w:cs="Times New Roman"/>
          <w:b/>
          <w:i/>
          <w:color w:val="4F81BD"/>
        </w:rPr>
      </w:pPr>
      <w:r w:rsidRPr="00607F89">
        <w:rPr>
          <w:rFonts w:ascii="Calibri" w:eastAsia="Calibri" w:hAnsi="Calibri" w:cs="Times New Roman"/>
          <w:b/>
          <w:i/>
          <w:color w:val="4F81BD"/>
        </w:rPr>
        <w:t>Финансови инструменти извън Кохезионната политика</w:t>
      </w:r>
    </w:p>
    <w:p w:rsidR="0018004F" w:rsidRDefault="0018004F" w:rsidP="00607F89">
      <w:pPr>
        <w:spacing w:before="240" w:after="0" w:line="240" w:lineRule="auto"/>
        <w:ind w:right="301"/>
        <w:jc w:val="both"/>
        <w:rPr>
          <w:rFonts w:ascii="Calibri" w:eastAsia="Calibri" w:hAnsi="Calibri" w:cs="Times New Roman"/>
          <w:lang w:val="en-US"/>
        </w:rPr>
      </w:pPr>
      <w:r w:rsidRPr="0018004F">
        <w:rPr>
          <w:rFonts w:ascii="Calibri" w:eastAsia="Calibri" w:hAnsi="Calibri" w:cs="Times New Roman"/>
        </w:rPr>
        <w:t xml:space="preserve">Инструментите за финансов инженеринг, опериращи в рамките на програмите по Кохезионната политика, стоят редом с редица други инициативи и инструменти на равнище </w:t>
      </w:r>
      <w:r w:rsidRPr="0018004F">
        <w:rPr>
          <w:rFonts w:ascii="Calibri" w:eastAsia="Calibri" w:hAnsi="Calibri" w:cs="Times New Roman"/>
        </w:rPr>
        <w:lastRenderedPageBreak/>
        <w:t xml:space="preserve">ЕС, и работещи на вътрешния пазар в рамките на страните-членки. </w:t>
      </w:r>
      <w:r w:rsidR="006C6566">
        <w:rPr>
          <w:rFonts w:ascii="Calibri" w:eastAsia="Calibri" w:hAnsi="Calibri" w:cs="Times New Roman"/>
        </w:rPr>
        <w:t>Някои от и</w:t>
      </w:r>
      <w:r w:rsidRPr="0018004F">
        <w:rPr>
          <w:rFonts w:ascii="Calibri" w:eastAsia="Calibri" w:hAnsi="Calibri" w:cs="Times New Roman"/>
        </w:rPr>
        <w:t>нициативите на равнище ЕС, които осигуряват инструментите за финансов инженеринг</w:t>
      </w:r>
      <w:r w:rsidR="00B428C8">
        <w:rPr>
          <w:rFonts w:ascii="Calibri" w:eastAsia="Calibri" w:hAnsi="Calibri" w:cs="Times New Roman"/>
        </w:rPr>
        <w:t xml:space="preserve"> в сектор околна среда и борба с измененията на климата са </w:t>
      </w:r>
      <w:r w:rsidR="006C6566">
        <w:rPr>
          <w:rFonts w:ascii="Calibri" w:eastAsia="Calibri" w:hAnsi="Calibri" w:cs="Times New Roman"/>
        </w:rPr>
        <w:t>Европейският фонд за енергийна ефективност</w:t>
      </w:r>
      <w:r w:rsidR="00161876">
        <w:rPr>
          <w:rFonts w:ascii="Calibri" w:eastAsia="Calibri" w:hAnsi="Calibri" w:cs="Times New Roman"/>
        </w:rPr>
        <w:t xml:space="preserve"> </w:t>
      </w:r>
      <w:r w:rsidR="00161876">
        <w:rPr>
          <w:rFonts w:ascii="Calibri" w:eastAsia="Calibri" w:hAnsi="Calibri" w:cs="Times New Roman"/>
          <w:lang w:val="en-US"/>
        </w:rPr>
        <w:t>(EEEF)</w:t>
      </w:r>
      <w:r w:rsidR="006C6566">
        <w:rPr>
          <w:rFonts w:ascii="Calibri" w:eastAsia="Calibri" w:hAnsi="Calibri" w:cs="Times New Roman"/>
        </w:rPr>
        <w:t>, 2020 Европейски фонд за енергия, изменения в климата и инфраструктурата</w:t>
      </w:r>
      <w:r w:rsidR="00161876">
        <w:rPr>
          <w:rFonts w:ascii="Calibri" w:eastAsia="Calibri" w:hAnsi="Calibri" w:cs="Times New Roman"/>
          <w:lang w:val="en-US"/>
        </w:rPr>
        <w:t xml:space="preserve"> (Marguerite), </w:t>
      </w:r>
      <w:r w:rsidR="006A0AB7">
        <w:rPr>
          <w:rFonts w:ascii="Calibri" w:eastAsia="Calibri" w:hAnsi="Calibri" w:cs="Times New Roman"/>
        </w:rPr>
        <w:t>Европейската</w:t>
      </w:r>
      <w:r w:rsidR="007B634C">
        <w:rPr>
          <w:rFonts w:ascii="Calibri" w:eastAsia="Calibri" w:hAnsi="Calibri" w:cs="Times New Roman"/>
        </w:rPr>
        <w:t xml:space="preserve"> </w:t>
      </w:r>
      <w:r w:rsidR="00C674AF">
        <w:rPr>
          <w:rFonts w:ascii="Calibri" w:eastAsia="Calibri" w:hAnsi="Calibri" w:cs="Times New Roman"/>
        </w:rPr>
        <w:t>инициатива за енергийна подкрепа (</w:t>
      </w:r>
      <w:r w:rsidR="00C674AF">
        <w:rPr>
          <w:rFonts w:ascii="Calibri" w:eastAsia="Calibri" w:hAnsi="Calibri" w:cs="Times New Roman"/>
          <w:lang w:val="en-US"/>
        </w:rPr>
        <w:t>ELENA)</w:t>
      </w:r>
      <w:r w:rsidR="00FC3268">
        <w:rPr>
          <w:rFonts w:ascii="Calibri" w:eastAsia="Calibri" w:hAnsi="Calibri" w:cs="Times New Roman"/>
          <w:lang w:val="en-US"/>
        </w:rPr>
        <w:t xml:space="preserve">, LIFE </w:t>
      </w:r>
      <w:r w:rsidR="00FC3268">
        <w:rPr>
          <w:rFonts w:ascii="Calibri" w:eastAsia="Calibri" w:hAnsi="Calibri" w:cs="Times New Roman"/>
        </w:rPr>
        <w:t>и др.</w:t>
      </w:r>
      <w:r w:rsidRPr="0018004F">
        <w:rPr>
          <w:rFonts w:ascii="Calibri" w:eastAsia="Calibri" w:hAnsi="Calibri" w:cs="Times New Roman"/>
        </w:rPr>
        <w:t xml:space="preserve"> Важно е да се отбележи, че подобни мерки работят в други области на политиката на ЕС и че е налице значителен опит с подобни мерки в редица държави-</w:t>
      </w:r>
      <w:r w:rsidR="00FC3268" w:rsidRPr="0018004F">
        <w:rPr>
          <w:rFonts w:ascii="Calibri" w:eastAsia="Calibri" w:hAnsi="Calibri" w:cs="Times New Roman"/>
        </w:rPr>
        <w:t>членки.</w:t>
      </w:r>
    </w:p>
    <w:p w:rsidR="00FC3268" w:rsidRPr="0018004F" w:rsidRDefault="00FC3268"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Някои изследвания сочат, че ФИ, съфинансирани в рамките на Кохезионната политика, се прилагат редом с други револвиращи инструменти на ниво държави-членки. Като цяло, обаче, е трудно да се оцени значимостта и важността на използването на такива револвиращи инструменти, тъй като те често са експлоатирани от политиците на местно ниво, макар и с публични средства.</w:t>
      </w:r>
    </w:p>
    <w:p w:rsidR="0018004F" w:rsidRPr="0018004F" w:rsidRDefault="0018004F" w:rsidP="0018004F">
      <w:pPr>
        <w:spacing w:after="0" w:line="240" w:lineRule="auto"/>
        <w:ind w:right="301"/>
        <w:jc w:val="both"/>
        <w:rPr>
          <w:rFonts w:ascii="Calibri" w:eastAsia="Calibri" w:hAnsi="Calibri" w:cs="Times New Roman"/>
          <w:b/>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В редица държави-членки, като например Дания, Финландия, Германия, Испания и Обединеното кралство, тези вътрешни револвиращи инструменти, са добре установени, докато в други, особено по-малките държави, те не са толкова широко използвани. Много дългогодишни вътрешни инструменти осигуряват заеми и гаранции по заеми, и съответно, участието на публичния сектор в предоставянето на достъп до финансиране, чрез инструментите за финансов инженеринг, е било съсредоточено върху предоставянето на подкрепа предимно на </w:t>
      </w:r>
      <w:r w:rsidR="003C4A8A">
        <w:rPr>
          <w:rFonts w:ascii="Calibri" w:eastAsia="Calibri" w:hAnsi="Calibri" w:cs="Times New Roman"/>
        </w:rPr>
        <w:t>търговски предприятия</w:t>
      </w:r>
      <w:r w:rsidRPr="0018004F">
        <w:rPr>
          <w:rFonts w:ascii="Calibri" w:eastAsia="Calibri" w:hAnsi="Calibri" w:cs="Times New Roman"/>
        </w:rPr>
        <w:t xml:space="preserve"> и предприемачеството.</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Използването на ФИ е утвърдена част от политиката за развит</w:t>
      </w:r>
      <w:r w:rsidR="003C4A8A">
        <w:rPr>
          <w:rFonts w:ascii="Calibri" w:eastAsia="Calibri" w:hAnsi="Calibri" w:cs="Times New Roman"/>
        </w:rPr>
        <w:t xml:space="preserve">ие </w:t>
      </w:r>
      <w:r w:rsidRPr="0018004F">
        <w:rPr>
          <w:rFonts w:ascii="Calibri" w:eastAsia="Calibri" w:hAnsi="Calibri" w:cs="Times New Roman"/>
        </w:rPr>
        <w:t>в повечето страни-членки. Друга основна употреба на револвиращи инструменти в страните-членки е в подкрепа на иновациите, чрез предоставянето на финансиране за технологично ориентирани фирми, както и за подпомагане на изследователски проекти.</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Има и редица примери за местни инструменти в подкрепа на околната среда, които са представени в т. 4.1.2. от настоящия доклад. От сравнително с</w:t>
      </w:r>
      <w:r w:rsidR="000C387A">
        <w:rPr>
          <w:rFonts w:ascii="Calibri" w:eastAsia="Calibri" w:hAnsi="Calibri" w:cs="Times New Roman"/>
        </w:rPr>
        <w:t>коро публичният сектор се включва</w:t>
      </w:r>
      <w:r w:rsidRPr="0018004F">
        <w:rPr>
          <w:rFonts w:ascii="Calibri" w:eastAsia="Calibri" w:hAnsi="Calibri" w:cs="Times New Roman"/>
        </w:rPr>
        <w:t xml:space="preserve"> и в револвиращи инструменти в подкрепа на тематичните области на ниско съдържание на въглерод и енергия от възобновяеми източници.</w:t>
      </w:r>
    </w:p>
    <w:p w:rsidR="0018004F" w:rsidRPr="00607F89" w:rsidRDefault="0018004F" w:rsidP="00607F89">
      <w:pPr>
        <w:spacing w:before="240" w:after="0" w:line="240" w:lineRule="auto"/>
        <w:ind w:right="301"/>
        <w:jc w:val="both"/>
        <w:rPr>
          <w:rFonts w:ascii="Calibri" w:eastAsia="Calibri" w:hAnsi="Calibri" w:cs="Times New Roman"/>
          <w:b/>
          <w:i/>
          <w:color w:val="4F81BD"/>
        </w:rPr>
      </w:pPr>
      <w:r w:rsidRPr="00607F89">
        <w:rPr>
          <w:rFonts w:ascii="Calibri" w:eastAsia="Calibri" w:hAnsi="Calibri" w:cs="Times New Roman"/>
          <w:b/>
          <w:i/>
          <w:color w:val="4F81BD"/>
        </w:rPr>
        <w:t>С</w:t>
      </w:r>
      <w:r w:rsidR="00E23912" w:rsidRPr="00607F89">
        <w:rPr>
          <w:rFonts w:ascii="Calibri" w:eastAsia="Calibri" w:hAnsi="Calibri" w:cs="Times New Roman"/>
          <w:b/>
          <w:i/>
          <w:color w:val="4F81BD"/>
        </w:rPr>
        <w:t>ъвместно и</w:t>
      </w:r>
      <w:r w:rsidR="00F83885" w:rsidRPr="00607F89">
        <w:rPr>
          <w:rFonts w:ascii="Calibri" w:eastAsia="Calibri" w:hAnsi="Calibri" w:cs="Times New Roman"/>
          <w:b/>
          <w:i/>
          <w:color w:val="4F81BD"/>
        </w:rPr>
        <w:t xml:space="preserve"> централно управление на финансовите инструменти</w:t>
      </w:r>
    </w:p>
    <w:p w:rsidR="00E23912" w:rsidRDefault="0018004F"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t xml:space="preserve">Докато инструменти по структурните фондове, Кохезионния фонд, Европейския фонд за морските басейни и рибарството (ЕФМБР) и Европейския земеделски фонд за развитие на селските райони (ЕЗФРСР), следват принципа на "споделено управление" между ЕС и държавите-членки, средствата в областта на научни изследвания и околна среда се управляват централно от Европейската </w:t>
      </w:r>
      <w:r w:rsidR="00850EC0" w:rsidRPr="0018004F">
        <w:rPr>
          <w:rFonts w:ascii="Calibri" w:eastAsia="Calibri" w:hAnsi="Calibri" w:cs="Times New Roman"/>
        </w:rPr>
        <w:t>комисия.</w:t>
      </w:r>
    </w:p>
    <w:p w:rsidR="00E23912"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В Европейската комисия, тези различни инструменти са управлявани от различни отдели. Посочените в таблицата по-горе </w:t>
      </w:r>
      <w:r w:rsidR="002B069E">
        <w:rPr>
          <w:rFonts w:ascii="Calibri" w:eastAsia="Calibri" w:hAnsi="Calibri" w:cs="Times New Roman"/>
        </w:rPr>
        <w:t xml:space="preserve">инструменти за конкурентноспособност и иновации и Европейския механизъм за </w:t>
      </w:r>
      <w:r w:rsidR="00EB6C68">
        <w:rPr>
          <w:rFonts w:ascii="Calibri" w:eastAsia="Calibri" w:hAnsi="Calibri" w:cs="Times New Roman"/>
        </w:rPr>
        <w:t>микрофинансиране</w:t>
      </w:r>
      <w:r w:rsidRPr="0018004F">
        <w:rPr>
          <w:rFonts w:ascii="Calibri" w:eastAsia="Calibri" w:hAnsi="Calibri" w:cs="Times New Roman"/>
        </w:rPr>
        <w:t xml:space="preserve"> например попадат под отговорността на Генерална дирекция Икономически и финансови въпроси (DG ECFIN). И двете се управляват от Европейската комисия заедно с ЕИФ. </w:t>
      </w:r>
    </w:p>
    <w:p w:rsidR="00E23912"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Същото важи и за механизма за поделяне на риска </w:t>
      </w:r>
      <w:r w:rsidR="000C387A">
        <w:rPr>
          <w:rFonts w:ascii="Calibri" w:eastAsia="Calibri" w:hAnsi="Calibri" w:cs="Times New Roman"/>
        </w:rPr>
        <w:t>(</w:t>
      </w:r>
      <w:r w:rsidRPr="0018004F">
        <w:rPr>
          <w:rFonts w:ascii="Calibri" w:eastAsia="Calibri" w:hAnsi="Calibri" w:cs="Times New Roman"/>
        </w:rPr>
        <w:t>R</w:t>
      </w:r>
      <w:r w:rsidR="000C387A">
        <w:rPr>
          <w:rFonts w:ascii="Calibri" w:eastAsia="Calibri" w:hAnsi="Calibri" w:cs="Times New Roman"/>
          <w:lang w:val="en-US"/>
        </w:rPr>
        <w:t xml:space="preserve">isk </w:t>
      </w:r>
      <w:r w:rsidRPr="0018004F">
        <w:rPr>
          <w:rFonts w:ascii="Calibri" w:eastAsia="Calibri" w:hAnsi="Calibri" w:cs="Times New Roman"/>
        </w:rPr>
        <w:t>S</w:t>
      </w:r>
      <w:r w:rsidR="000C387A">
        <w:rPr>
          <w:rFonts w:ascii="Calibri" w:eastAsia="Calibri" w:hAnsi="Calibri" w:cs="Times New Roman"/>
          <w:lang w:val="en-US"/>
        </w:rPr>
        <w:t xml:space="preserve">haring </w:t>
      </w:r>
      <w:r w:rsidRPr="0018004F">
        <w:rPr>
          <w:rFonts w:ascii="Calibri" w:eastAsia="Calibri" w:hAnsi="Calibri" w:cs="Times New Roman"/>
        </w:rPr>
        <w:t>F</w:t>
      </w:r>
      <w:r w:rsidR="000C387A">
        <w:rPr>
          <w:rFonts w:ascii="Calibri" w:eastAsia="Calibri" w:hAnsi="Calibri" w:cs="Times New Roman"/>
          <w:lang w:val="en-US"/>
        </w:rPr>
        <w:t xml:space="preserve">inancial </w:t>
      </w:r>
      <w:r w:rsidRPr="0018004F">
        <w:rPr>
          <w:rFonts w:ascii="Calibri" w:eastAsia="Calibri" w:hAnsi="Calibri" w:cs="Times New Roman"/>
        </w:rPr>
        <w:t>F</w:t>
      </w:r>
      <w:r w:rsidR="000C387A">
        <w:rPr>
          <w:rFonts w:ascii="Calibri" w:eastAsia="Calibri" w:hAnsi="Calibri" w:cs="Times New Roman"/>
          <w:lang w:val="en-US"/>
        </w:rPr>
        <w:t>acility)</w:t>
      </w:r>
      <w:r w:rsidRPr="0018004F">
        <w:rPr>
          <w:rFonts w:ascii="Calibri" w:eastAsia="Calibri" w:hAnsi="Calibri" w:cs="Times New Roman"/>
        </w:rPr>
        <w:t xml:space="preserve">, при който средства на ЕС и ЕИБ стойност 2 млрд. са насочени към генерирането на 10млрд заеми за проекти за изследвания и иновации, както и инструмента за поделяне на риска </w:t>
      </w:r>
      <w:r w:rsidR="00CE6E9D">
        <w:rPr>
          <w:rFonts w:ascii="Calibri" w:eastAsia="Calibri" w:hAnsi="Calibri" w:cs="Times New Roman"/>
          <w:lang w:val="en-US"/>
        </w:rPr>
        <w:t>(</w:t>
      </w:r>
      <w:r w:rsidRPr="0018004F">
        <w:rPr>
          <w:rFonts w:ascii="Calibri" w:eastAsia="Calibri" w:hAnsi="Calibri" w:cs="Times New Roman"/>
          <w:lang w:val="en-US"/>
        </w:rPr>
        <w:t>R</w:t>
      </w:r>
      <w:r w:rsidR="00CE6E9D">
        <w:rPr>
          <w:rFonts w:ascii="Calibri" w:eastAsia="Calibri" w:hAnsi="Calibri" w:cs="Times New Roman"/>
          <w:lang w:val="en-US"/>
        </w:rPr>
        <w:t xml:space="preserve">isk </w:t>
      </w:r>
      <w:r w:rsidRPr="0018004F">
        <w:rPr>
          <w:rFonts w:ascii="Calibri" w:eastAsia="Calibri" w:hAnsi="Calibri" w:cs="Times New Roman"/>
          <w:lang w:val="en-US"/>
        </w:rPr>
        <w:t>S</w:t>
      </w:r>
      <w:r w:rsidR="00CE6E9D">
        <w:rPr>
          <w:rFonts w:ascii="Calibri" w:eastAsia="Calibri" w:hAnsi="Calibri" w:cs="Times New Roman"/>
          <w:lang w:val="en-US"/>
        </w:rPr>
        <w:t xml:space="preserve">haring </w:t>
      </w:r>
      <w:r w:rsidRPr="0018004F">
        <w:rPr>
          <w:rFonts w:ascii="Calibri" w:eastAsia="Calibri" w:hAnsi="Calibri" w:cs="Times New Roman"/>
          <w:lang w:val="en-US"/>
        </w:rPr>
        <w:t>I</w:t>
      </w:r>
      <w:r w:rsidR="00CE6E9D">
        <w:rPr>
          <w:rFonts w:ascii="Calibri" w:eastAsia="Calibri" w:hAnsi="Calibri" w:cs="Times New Roman"/>
          <w:lang w:val="en-US"/>
        </w:rPr>
        <w:t>nstrument)</w:t>
      </w:r>
      <w:r w:rsidRPr="0018004F">
        <w:rPr>
          <w:rFonts w:ascii="Calibri" w:eastAsia="Calibri" w:hAnsi="Calibri" w:cs="Times New Roman"/>
        </w:rPr>
        <w:t xml:space="preserve">, при който </w:t>
      </w:r>
      <w:r w:rsidRPr="0018004F">
        <w:rPr>
          <w:rFonts w:ascii="Calibri" w:eastAsia="Calibri" w:hAnsi="Calibri" w:cs="Times New Roman"/>
          <w:lang w:val="en-US"/>
        </w:rPr>
        <w:t xml:space="preserve">DG ECFIN </w:t>
      </w:r>
      <w:r w:rsidRPr="0018004F">
        <w:rPr>
          <w:rFonts w:ascii="Calibri" w:eastAsia="Calibri" w:hAnsi="Calibri" w:cs="Times New Roman"/>
        </w:rPr>
        <w:t xml:space="preserve">е представена в Управителния съвет, който упражнява </w:t>
      </w:r>
      <w:r w:rsidRPr="0018004F">
        <w:rPr>
          <w:rFonts w:ascii="Calibri" w:eastAsia="Calibri" w:hAnsi="Calibri" w:cs="Times New Roman"/>
        </w:rPr>
        <w:lastRenderedPageBreak/>
        <w:t xml:space="preserve">контрола на изпълнението и проектирането на нови продукти и разширяване на обхвата на </w:t>
      </w:r>
      <w:r w:rsidR="00850EC0" w:rsidRPr="0018004F">
        <w:rPr>
          <w:rFonts w:ascii="Calibri" w:eastAsia="Calibri" w:hAnsi="Calibri" w:cs="Times New Roman"/>
        </w:rPr>
        <w:t>инструмента.</w:t>
      </w:r>
    </w:p>
    <w:p w:rsidR="000F0ACA"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lang w:val="en-US"/>
        </w:rPr>
        <w:t xml:space="preserve">DG ECFIN </w:t>
      </w:r>
      <w:r w:rsidRPr="0018004F">
        <w:rPr>
          <w:rFonts w:ascii="Calibri" w:eastAsia="Calibri" w:hAnsi="Calibri" w:cs="Times New Roman"/>
        </w:rPr>
        <w:t xml:space="preserve">участва в изработването на няколко нови централно управлявани инструмента за периода 2014-2020г. </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Съвместните инструменти </w:t>
      </w:r>
      <w:r w:rsidR="000F0ACA">
        <w:rPr>
          <w:rFonts w:ascii="Calibri" w:eastAsia="Calibri" w:hAnsi="Calibri" w:cs="Times New Roman"/>
        </w:rPr>
        <w:t>дават</w:t>
      </w:r>
      <w:r w:rsidRPr="0018004F">
        <w:rPr>
          <w:rFonts w:ascii="Calibri" w:eastAsia="Calibri" w:hAnsi="Calibri" w:cs="Times New Roman"/>
        </w:rPr>
        <w:t xml:space="preserve"> възможност за комбиниране на средства от централния бюджет със средства от структурните фондове, както и с „off-the-shelf instruments” – стандартизирани инструменти, условията, за които ще бъдат определени от ЕС на база научените уроци през предишния програмен период и в съответствие с правилата за държавни помощи.</w:t>
      </w:r>
    </w:p>
    <w:p w:rsidR="005669FC" w:rsidRDefault="005669FC" w:rsidP="0018004F">
      <w:pPr>
        <w:spacing w:after="0" w:line="240" w:lineRule="auto"/>
        <w:ind w:right="301"/>
        <w:jc w:val="both"/>
        <w:rPr>
          <w:rFonts w:ascii="Calibri" w:eastAsia="Calibri" w:hAnsi="Calibri" w:cs="Times New Roman"/>
          <w:b/>
          <w:color w:val="4F81BD"/>
        </w:rPr>
      </w:pPr>
    </w:p>
    <w:p w:rsidR="0018004F" w:rsidRPr="0018004F" w:rsidRDefault="00F83885" w:rsidP="00607F89">
      <w:pPr>
        <w:spacing w:before="240" w:after="0" w:line="240" w:lineRule="auto"/>
        <w:ind w:right="301"/>
        <w:jc w:val="both"/>
        <w:rPr>
          <w:rFonts w:ascii="Calibri" w:eastAsia="Calibri" w:hAnsi="Calibri" w:cs="Times New Roman"/>
        </w:rPr>
      </w:pPr>
      <w:r>
        <w:rPr>
          <w:rFonts w:ascii="Calibri" w:eastAsia="Calibri" w:hAnsi="Calibri" w:cs="Times New Roman"/>
          <w:b/>
          <w:color w:val="4F81BD"/>
        </w:rPr>
        <w:t>Предимства на използването на финансови инструменти</w:t>
      </w:r>
    </w:p>
    <w:p w:rsidR="0018004F" w:rsidRPr="0018004F" w:rsidRDefault="0018004F" w:rsidP="00607F89">
      <w:pPr>
        <w:spacing w:before="240" w:after="0" w:line="240" w:lineRule="auto"/>
        <w:ind w:right="301"/>
        <w:jc w:val="both"/>
        <w:rPr>
          <w:rFonts w:ascii="Calibri" w:eastAsia="Calibri" w:hAnsi="Calibri" w:cs="Times New Roman"/>
        </w:rPr>
      </w:pPr>
      <w:r w:rsidRPr="0018004F">
        <w:rPr>
          <w:rFonts w:ascii="Calibri" w:eastAsia="Calibri" w:hAnsi="Calibri" w:cs="Times New Roman"/>
        </w:rPr>
        <w:t>Основната идея за прилагането на ФИ при изпълнението на публични проекти е повишаване ефективността от използването на публичните средства, подобряване качеството на проектите, чрез включването на частни инвеститори и отключването на нови източници на финансиране, което да покрие нуждите от инвестиции.</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Накратко основните предимства от използването на ФИ, очертани в различни изследвания и доклади са:</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A036E">
      <w:pPr>
        <w:numPr>
          <w:ilvl w:val="3"/>
          <w:numId w:val="100"/>
        </w:numPr>
        <w:spacing w:after="0" w:line="240" w:lineRule="auto"/>
        <w:ind w:left="567" w:right="301"/>
        <w:jc w:val="both"/>
        <w:rPr>
          <w:rFonts w:ascii="Calibri" w:eastAsia="Calibri" w:hAnsi="Calibri" w:cs="Times New Roman"/>
        </w:rPr>
      </w:pPr>
      <w:r w:rsidRPr="008501EA">
        <w:rPr>
          <w:rFonts w:ascii="Calibri" w:eastAsia="Calibri" w:hAnsi="Calibri" w:cs="Times New Roman"/>
          <w:b/>
          <w:color w:val="4F81BD"/>
        </w:rPr>
        <w:t>Ливъридж ефект</w:t>
      </w:r>
      <w:r w:rsidRPr="0018004F">
        <w:rPr>
          <w:rFonts w:ascii="Calibri" w:eastAsia="Calibri" w:hAnsi="Calibri" w:cs="Times New Roman"/>
        </w:rPr>
        <w:t xml:space="preserve"> /ефект на лоста/ - въпреки че е трудно да бъде измерен този ефект, ФИ имат по-силно финансово въздействие в сравнение с безвъзмездната помощ, поради способността им да привлекат допълнително публично и частно финансиране, като по този начин умножават ефекта от използването на средствата от СФ, както и от националното и/или местно финансиране.</w:t>
      </w:r>
    </w:p>
    <w:p w:rsidR="0018004F" w:rsidRPr="008501EA" w:rsidRDefault="0018004F" w:rsidP="00607F89">
      <w:pPr>
        <w:spacing w:after="0" w:line="240" w:lineRule="auto"/>
        <w:ind w:left="567" w:right="301"/>
        <w:jc w:val="both"/>
        <w:rPr>
          <w:rFonts w:ascii="Calibri" w:eastAsia="Calibri" w:hAnsi="Calibri" w:cs="Times New Roman"/>
          <w:b/>
          <w:color w:val="4F81BD"/>
        </w:rPr>
      </w:pPr>
    </w:p>
    <w:p w:rsidR="0018004F" w:rsidRPr="0018004F" w:rsidRDefault="0018004F" w:rsidP="001A036E">
      <w:pPr>
        <w:numPr>
          <w:ilvl w:val="3"/>
          <w:numId w:val="100"/>
        </w:numPr>
        <w:spacing w:after="0" w:line="240" w:lineRule="auto"/>
        <w:ind w:left="567" w:right="301"/>
        <w:jc w:val="both"/>
        <w:rPr>
          <w:rFonts w:ascii="Calibri" w:eastAsia="Calibri" w:hAnsi="Calibri" w:cs="Times New Roman"/>
        </w:rPr>
      </w:pPr>
      <w:r w:rsidRPr="008501EA">
        <w:rPr>
          <w:rFonts w:ascii="Calibri" w:eastAsia="Calibri" w:hAnsi="Calibri" w:cs="Times New Roman"/>
          <w:b/>
          <w:color w:val="4F81BD"/>
        </w:rPr>
        <w:t>Устойчивост</w:t>
      </w:r>
      <w:r w:rsidRPr="0018004F">
        <w:rPr>
          <w:rFonts w:ascii="Calibri" w:eastAsia="Calibri" w:hAnsi="Calibri" w:cs="Times New Roman"/>
          <w:b/>
        </w:rPr>
        <w:t xml:space="preserve"> – </w:t>
      </w:r>
      <w:r w:rsidRPr="0018004F">
        <w:rPr>
          <w:rFonts w:ascii="Calibri" w:eastAsia="Calibri" w:hAnsi="Calibri" w:cs="Times New Roman"/>
        </w:rPr>
        <w:t>ФИ могат да подпомогнат дългосрочното повторно използване на публичните средства, което се посреща добре от всички заинтересовани страни, предвид ограниченията на бюджетните средства. Управляващите органи могат да реинвестират средствата от СФ на ниво регион след края на програмния период и така да генерират добавена стойност.</w:t>
      </w:r>
    </w:p>
    <w:p w:rsidR="0018004F" w:rsidRPr="0018004F" w:rsidRDefault="0018004F" w:rsidP="00607F89">
      <w:pPr>
        <w:spacing w:after="0" w:line="240" w:lineRule="auto"/>
        <w:ind w:left="567" w:right="301"/>
        <w:jc w:val="both"/>
        <w:rPr>
          <w:rFonts w:ascii="Calibri" w:eastAsia="Calibri" w:hAnsi="Calibri" w:cs="Times New Roman"/>
        </w:rPr>
      </w:pPr>
    </w:p>
    <w:p w:rsidR="0018004F" w:rsidRPr="0018004F" w:rsidRDefault="0018004F" w:rsidP="001A036E">
      <w:pPr>
        <w:numPr>
          <w:ilvl w:val="3"/>
          <w:numId w:val="100"/>
        </w:numPr>
        <w:spacing w:after="0" w:line="240" w:lineRule="auto"/>
        <w:ind w:left="567" w:right="301"/>
        <w:jc w:val="both"/>
        <w:rPr>
          <w:rFonts w:ascii="Calibri" w:eastAsia="Calibri" w:hAnsi="Calibri" w:cs="Times New Roman"/>
        </w:rPr>
      </w:pPr>
      <w:r w:rsidRPr="008501EA">
        <w:rPr>
          <w:rFonts w:ascii="Calibri" w:eastAsia="Calibri" w:hAnsi="Calibri" w:cs="Times New Roman"/>
          <w:b/>
          <w:color w:val="4F81BD"/>
        </w:rPr>
        <w:t>Повишаване на капацитета</w:t>
      </w:r>
      <w:r w:rsidRPr="0018004F">
        <w:rPr>
          <w:rFonts w:ascii="Calibri" w:eastAsia="Calibri" w:hAnsi="Calibri" w:cs="Times New Roman"/>
          <w:b/>
        </w:rPr>
        <w:t xml:space="preserve"> – </w:t>
      </w:r>
      <w:r w:rsidRPr="0018004F">
        <w:rPr>
          <w:rFonts w:ascii="Calibri" w:eastAsia="Calibri" w:hAnsi="Calibri" w:cs="Times New Roman"/>
        </w:rPr>
        <w:t>използването на ФИ води до повишаване институционалния капацитет, чрез партньорството между публичния и частния сектор. Използването на ФИ като цяло засилва участието на финансови посредници/институции в изпълнението на регионалната политика на ЕС. Обединяването на опита и ноу-хау на двата типа заинтересовани страни би могло да доведе до повишаване качеството на проектите.</w:t>
      </w:r>
    </w:p>
    <w:p w:rsidR="0018004F" w:rsidRPr="0018004F" w:rsidRDefault="0018004F" w:rsidP="00F00027">
      <w:pPr>
        <w:numPr>
          <w:ilvl w:val="3"/>
          <w:numId w:val="100"/>
        </w:numPr>
        <w:spacing w:before="240" w:after="0" w:line="240" w:lineRule="auto"/>
        <w:ind w:left="567" w:right="301"/>
        <w:jc w:val="both"/>
        <w:rPr>
          <w:rFonts w:ascii="Calibri" w:eastAsia="Calibri" w:hAnsi="Calibri" w:cs="Times New Roman"/>
        </w:rPr>
      </w:pPr>
      <w:r w:rsidRPr="008501EA">
        <w:rPr>
          <w:rFonts w:ascii="Calibri" w:eastAsia="Calibri" w:hAnsi="Calibri" w:cs="Times New Roman"/>
          <w:b/>
          <w:color w:val="4F81BD"/>
        </w:rPr>
        <w:t>Разпределение на риска</w:t>
      </w:r>
      <w:r w:rsidRPr="0018004F">
        <w:rPr>
          <w:rFonts w:ascii="Calibri" w:eastAsia="Calibri" w:hAnsi="Calibri" w:cs="Times New Roman"/>
          <w:b/>
        </w:rPr>
        <w:t xml:space="preserve"> – </w:t>
      </w:r>
      <w:r w:rsidRPr="0018004F">
        <w:rPr>
          <w:rFonts w:ascii="Calibri" w:eastAsia="Calibri" w:hAnsi="Calibri" w:cs="Times New Roman"/>
        </w:rPr>
        <w:t>ФИ са използвани от публичните институции, за да финансират предприятия или проекти, които се смятат за рискови от частния сектор. Това е особено важно предимство за малки предприятия, които не могат да получат финансиране, предвид избягването на риска от частните инвеститори.</w:t>
      </w:r>
    </w:p>
    <w:p w:rsidR="0018004F" w:rsidRPr="0018004F" w:rsidRDefault="0018004F" w:rsidP="00607F89">
      <w:pPr>
        <w:spacing w:after="0" w:line="240" w:lineRule="auto"/>
        <w:ind w:left="567" w:right="301"/>
        <w:jc w:val="both"/>
        <w:rPr>
          <w:rFonts w:ascii="Calibri" w:eastAsia="Calibri" w:hAnsi="Calibri" w:cs="Times New Roman"/>
        </w:rPr>
      </w:pPr>
    </w:p>
    <w:p w:rsidR="0018004F" w:rsidRPr="0018004F" w:rsidRDefault="0018004F" w:rsidP="001A036E">
      <w:pPr>
        <w:numPr>
          <w:ilvl w:val="3"/>
          <w:numId w:val="100"/>
        </w:numPr>
        <w:spacing w:after="0" w:line="240" w:lineRule="auto"/>
        <w:ind w:left="567" w:right="301"/>
        <w:jc w:val="both"/>
        <w:rPr>
          <w:rFonts w:ascii="Calibri" w:eastAsia="Calibri" w:hAnsi="Calibri" w:cs="Times New Roman"/>
        </w:rPr>
      </w:pPr>
      <w:r w:rsidRPr="008501EA">
        <w:rPr>
          <w:rFonts w:ascii="Calibri" w:eastAsia="Calibri" w:hAnsi="Calibri" w:cs="Times New Roman"/>
          <w:b/>
          <w:color w:val="4F81BD"/>
        </w:rPr>
        <w:t>Ускоряване изпълнението на оперативните програми</w:t>
      </w:r>
      <w:r w:rsidRPr="0018004F">
        <w:rPr>
          <w:rFonts w:ascii="Calibri" w:eastAsia="Calibri" w:hAnsi="Calibri" w:cs="Times New Roman"/>
        </w:rPr>
        <w:t xml:space="preserve"> – използването на ФИ от УО може да доведе до ускоряване изпълнението на програмата, чрез засилване усвояването на средствата и намаляване на риска от отказ от финансов ангажимент.</w:t>
      </w:r>
    </w:p>
    <w:p w:rsidR="0018004F" w:rsidRPr="008501EA" w:rsidRDefault="0018004F" w:rsidP="00607F89">
      <w:pPr>
        <w:spacing w:after="0" w:line="240" w:lineRule="auto"/>
        <w:ind w:left="567" w:right="301"/>
        <w:jc w:val="both"/>
        <w:rPr>
          <w:rFonts w:ascii="Calibri" w:eastAsia="Calibri" w:hAnsi="Calibri" w:cs="Times New Roman"/>
          <w:b/>
          <w:color w:val="4F81BD"/>
        </w:rPr>
      </w:pPr>
    </w:p>
    <w:p w:rsidR="0018004F" w:rsidRPr="0018004F" w:rsidRDefault="0018004F" w:rsidP="001A036E">
      <w:pPr>
        <w:numPr>
          <w:ilvl w:val="3"/>
          <w:numId w:val="100"/>
        </w:numPr>
        <w:spacing w:after="0" w:line="240" w:lineRule="auto"/>
        <w:ind w:left="567" w:right="301"/>
        <w:jc w:val="both"/>
        <w:rPr>
          <w:rFonts w:ascii="Calibri" w:eastAsia="Calibri" w:hAnsi="Calibri" w:cs="Times New Roman"/>
        </w:rPr>
      </w:pPr>
      <w:r w:rsidRPr="008501EA">
        <w:rPr>
          <w:rFonts w:ascii="Calibri" w:eastAsia="Calibri" w:hAnsi="Calibri" w:cs="Times New Roman"/>
          <w:b/>
          <w:color w:val="4F81BD"/>
        </w:rPr>
        <w:t>Околна среда</w:t>
      </w:r>
      <w:r w:rsidRPr="0018004F">
        <w:rPr>
          <w:rFonts w:ascii="Calibri" w:eastAsia="Calibri" w:hAnsi="Calibri" w:cs="Times New Roman"/>
          <w:b/>
        </w:rPr>
        <w:t xml:space="preserve"> </w:t>
      </w:r>
      <w:r w:rsidRPr="0018004F">
        <w:rPr>
          <w:rFonts w:ascii="Calibri" w:eastAsia="Calibri" w:hAnsi="Calibri" w:cs="Times New Roman"/>
        </w:rPr>
        <w:t>– при отсъствието на финансови и други инструменти на пазара в подкрепа привличането на частни инвестиции в проекти за околна среда, използването на ФИ е изключително важно. Използването на ФИ дава възможност за участието на частни инвеститори в проекти в подкрепа на околната среда, което подпомага привличането на допълнителни средства, чрез публично-частни партньорства в сравнение с безвъзмездна помощ.</w:t>
      </w:r>
    </w:p>
    <w:p w:rsidR="0018004F" w:rsidRPr="0018004F" w:rsidRDefault="0018004F" w:rsidP="00607F89">
      <w:pPr>
        <w:spacing w:after="0" w:line="240" w:lineRule="auto"/>
        <w:ind w:left="567" w:right="301"/>
        <w:jc w:val="both"/>
        <w:rPr>
          <w:rFonts w:ascii="Calibri" w:eastAsia="Calibri" w:hAnsi="Calibri" w:cs="Times New Roman"/>
        </w:rPr>
      </w:pPr>
    </w:p>
    <w:p w:rsidR="0018004F" w:rsidRPr="0018004F" w:rsidRDefault="0018004F" w:rsidP="001A036E">
      <w:pPr>
        <w:numPr>
          <w:ilvl w:val="3"/>
          <w:numId w:val="100"/>
        </w:numPr>
        <w:spacing w:after="0" w:line="240" w:lineRule="auto"/>
        <w:ind w:left="567" w:right="301"/>
        <w:jc w:val="both"/>
        <w:rPr>
          <w:rFonts w:ascii="Calibri" w:eastAsia="Calibri" w:hAnsi="Calibri" w:cs="Times New Roman"/>
        </w:rPr>
      </w:pPr>
      <w:r w:rsidRPr="008501EA">
        <w:rPr>
          <w:rFonts w:ascii="Calibri" w:eastAsia="Calibri" w:hAnsi="Calibri" w:cs="Times New Roman"/>
          <w:b/>
          <w:color w:val="4F81BD"/>
        </w:rPr>
        <w:t>Косвено въздействие</w:t>
      </w:r>
      <w:r w:rsidRPr="0018004F">
        <w:rPr>
          <w:rFonts w:ascii="Calibri" w:eastAsia="Calibri" w:hAnsi="Calibri" w:cs="Times New Roman"/>
          <w:b/>
        </w:rPr>
        <w:t xml:space="preserve"> – </w:t>
      </w:r>
      <w:r w:rsidRPr="0018004F">
        <w:rPr>
          <w:rFonts w:ascii="Calibri" w:eastAsia="Calibri" w:hAnsi="Calibri" w:cs="Times New Roman"/>
        </w:rPr>
        <w:t>Когато</w:t>
      </w:r>
      <w:r w:rsidRPr="0018004F">
        <w:rPr>
          <w:rFonts w:ascii="Calibri" w:eastAsia="Calibri" w:hAnsi="Calibri" w:cs="Times New Roman"/>
          <w:lang w:val="en-US"/>
        </w:rPr>
        <w:t xml:space="preserve"> </w:t>
      </w:r>
      <w:r w:rsidRPr="0018004F">
        <w:rPr>
          <w:rFonts w:ascii="Calibri" w:eastAsia="Calibri" w:hAnsi="Calibri" w:cs="Times New Roman"/>
        </w:rPr>
        <w:t>използването на финансовите инструменти се основава на анализ на инвестиционния недостиг в регионалните и националните пазари, те могат да имат косвено въздействие върху развитието на икономиката, като например създаването на запазване на работни места.</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607F89" w:rsidP="0018004F">
      <w:pPr>
        <w:spacing w:after="0" w:line="240" w:lineRule="auto"/>
        <w:ind w:right="301"/>
        <w:jc w:val="both"/>
        <w:rPr>
          <w:rFonts w:ascii="Calibri" w:eastAsia="Calibri" w:hAnsi="Calibri" w:cs="Times New Roman"/>
        </w:rPr>
      </w:pPr>
      <w:r>
        <w:rPr>
          <w:rFonts w:ascii="Calibri" w:eastAsia="Calibri" w:hAnsi="Calibri" w:cs="Times New Roman"/>
        </w:rPr>
        <w:t>По-</w:t>
      </w:r>
      <w:r w:rsidR="0018004F" w:rsidRPr="0018004F">
        <w:rPr>
          <w:rFonts w:ascii="Calibri" w:eastAsia="Calibri" w:hAnsi="Calibri" w:cs="Times New Roman"/>
        </w:rPr>
        <w:t xml:space="preserve">подробно обяснение относно преимуществата от използване на ФИ, както следва: </w:t>
      </w:r>
    </w:p>
    <w:p w:rsidR="0018004F" w:rsidRPr="0018004F" w:rsidRDefault="0018004F" w:rsidP="0018004F">
      <w:pPr>
        <w:spacing w:after="0" w:line="240" w:lineRule="auto"/>
        <w:ind w:right="301"/>
        <w:jc w:val="both"/>
        <w:rPr>
          <w:rFonts w:ascii="Calibri" w:eastAsia="Calibri" w:hAnsi="Calibri" w:cs="Times New Roman"/>
        </w:rPr>
      </w:pPr>
    </w:p>
    <w:p w:rsidR="0018004F" w:rsidRPr="008501EA" w:rsidRDefault="0018004F" w:rsidP="001A036E">
      <w:pPr>
        <w:numPr>
          <w:ilvl w:val="0"/>
          <w:numId w:val="101"/>
        </w:numPr>
        <w:spacing w:line="240" w:lineRule="auto"/>
        <w:ind w:right="301"/>
        <w:jc w:val="both"/>
        <w:rPr>
          <w:rFonts w:ascii="Calibri" w:eastAsia="Calibri" w:hAnsi="Calibri" w:cs="Times New Roman"/>
          <w:b/>
          <w:color w:val="4F81BD"/>
        </w:rPr>
      </w:pPr>
      <w:r w:rsidRPr="008501EA">
        <w:rPr>
          <w:rFonts w:ascii="Calibri" w:eastAsia="Calibri" w:hAnsi="Calibri" w:cs="Times New Roman"/>
          <w:b/>
          <w:color w:val="4F81BD"/>
        </w:rPr>
        <w:t xml:space="preserve">Ливъридж ефект </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Основното предимство от използването на инструменти на финансовия инженеринг е възможността да насочат допълнителни средства към проектите, които имат по-високо финансово въздействие от безвъзмездното финансиране, поради способността им да привличат допълнително публично и частно финансиране, като по този начин умножават ефекта от ресурса на структурните фондове и националното финансиране.</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Подобен ефект на лоста е дори по-видим в по-малките държави, които традиционно са по-неатрактивни за чуждестранните инвеститори.</w:t>
      </w:r>
    </w:p>
    <w:p w:rsidR="0018004F" w:rsidRPr="008501EA" w:rsidRDefault="0018004F" w:rsidP="0018004F">
      <w:pPr>
        <w:spacing w:after="0" w:line="240" w:lineRule="auto"/>
        <w:ind w:right="301"/>
        <w:jc w:val="both"/>
        <w:rPr>
          <w:rFonts w:ascii="Calibri" w:eastAsia="Calibri" w:hAnsi="Calibri" w:cs="Times New Roman"/>
          <w:b/>
          <w:color w:val="4F81BD"/>
        </w:rPr>
      </w:pPr>
    </w:p>
    <w:p w:rsidR="0018004F" w:rsidRPr="008501EA" w:rsidRDefault="0018004F" w:rsidP="001A036E">
      <w:pPr>
        <w:numPr>
          <w:ilvl w:val="0"/>
          <w:numId w:val="101"/>
        </w:numPr>
        <w:spacing w:line="240" w:lineRule="auto"/>
        <w:ind w:right="301"/>
        <w:jc w:val="both"/>
        <w:rPr>
          <w:rFonts w:ascii="Calibri" w:eastAsia="Calibri" w:hAnsi="Calibri" w:cs="Times New Roman"/>
          <w:b/>
          <w:color w:val="4F81BD"/>
        </w:rPr>
      </w:pPr>
      <w:r w:rsidRPr="008501EA">
        <w:rPr>
          <w:rFonts w:ascii="Calibri" w:eastAsia="Calibri" w:hAnsi="Calibri" w:cs="Times New Roman"/>
          <w:b/>
          <w:color w:val="4F81BD"/>
        </w:rPr>
        <w:t>Устойчивост</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Използването на инструменти на финансовия инженеринг може да насърчи дългосрочното обр</w:t>
      </w:r>
      <w:r w:rsidR="008B36EF">
        <w:rPr>
          <w:rFonts w:ascii="Calibri" w:eastAsia="Calibri" w:hAnsi="Calibri" w:cs="Times New Roman"/>
        </w:rPr>
        <w:t>ъ</w:t>
      </w:r>
      <w:r w:rsidRPr="0018004F">
        <w:rPr>
          <w:rFonts w:ascii="Calibri" w:eastAsia="Calibri" w:hAnsi="Calibri" w:cs="Times New Roman"/>
        </w:rPr>
        <w:t xml:space="preserve">щение на публични средства, което се смята за изключително важно предвид ограниченията на бюджета. </w:t>
      </w:r>
    </w:p>
    <w:p w:rsidR="0018004F" w:rsidRPr="0018004F" w:rsidRDefault="0018004F" w:rsidP="0018004F">
      <w:pPr>
        <w:spacing w:after="0" w:line="240" w:lineRule="auto"/>
        <w:ind w:right="301"/>
        <w:jc w:val="both"/>
        <w:rPr>
          <w:rFonts w:ascii="Calibri" w:eastAsia="Calibri" w:hAnsi="Calibri" w:cs="Times New Roman"/>
        </w:rPr>
      </w:pPr>
    </w:p>
    <w:p w:rsidR="0018004F" w:rsidRPr="008501EA" w:rsidRDefault="0018004F" w:rsidP="001A036E">
      <w:pPr>
        <w:numPr>
          <w:ilvl w:val="0"/>
          <w:numId w:val="101"/>
        </w:numPr>
        <w:spacing w:line="240" w:lineRule="auto"/>
        <w:ind w:right="301"/>
        <w:jc w:val="both"/>
        <w:rPr>
          <w:rFonts w:ascii="Calibri" w:eastAsia="Calibri" w:hAnsi="Calibri" w:cs="Times New Roman"/>
          <w:b/>
          <w:color w:val="4F81BD"/>
        </w:rPr>
      </w:pPr>
      <w:r w:rsidRPr="008501EA">
        <w:rPr>
          <w:rFonts w:ascii="Calibri" w:eastAsia="Calibri" w:hAnsi="Calibri" w:cs="Times New Roman"/>
          <w:b/>
          <w:color w:val="4F81BD"/>
        </w:rPr>
        <w:t>Повишаване на капацитета</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Използването на ФИ може да подпомогне изграждането на институционалния капацитет, чрез партньорства между публичния и частния сектор, може да разшири включването на финансови посредници/институции в прилагането на регионалната политика на ЕС и може да насърчи обединяването на експертен опит и ноу-хау.  </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В допълнение взаимодействието на публичния и частния сектор в крайна сметка води до уеднаквяване на интересите на страните и дава най-добрия резултат. От една страна се преследват целите на публичната политика, характерни за публичните институции, а от друга водят до въвеждането на пазарните механизми, характерни за частните инвеститори. В случай на предоставянето на рисков капитал, обединяването на експертния опит и ноу-хау на частните инвеститори като банките биха могли да предоставят съществен практически опит на ВиК дружествата или фирмите в сектор отпадъци, като им се предостави компетентен партньор, който е в състояние да предоставя съвети и техническа подкрепа. Достъпът до ноу-хау се възприема добре не само от бенефициентите на финансова подкрепа, но и от финансовите посредници и стратегически партньори.</w:t>
      </w:r>
    </w:p>
    <w:p w:rsidR="0018004F" w:rsidRDefault="0018004F" w:rsidP="0018004F">
      <w:pPr>
        <w:spacing w:after="0" w:line="240" w:lineRule="auto"/>
        <w:ind w:right="301"/>
        <w:jc w:val="both"/>
        <w:rPr>
          <w:rFonts w:ascii="Calibri" w:eastAsia="Calibri" w:hAnsi="Calibri" w:cs="Times New Roman"/>
        </w:rPr>
      </w:pPr>
    </w:p>
    <w:p w:rsidR="00607F89" w:rsidRPr="0018004F" w:rsidRDefault="00607F89" w:rsidP="0018004F">
      <w:pPr>
        <w:spacing w:after="0" w:line="240" w:lineRule="auto"/>
        <w:ind w:right="301"/>
        <w:jc w:val="both"/>
        <w:rPr>
          <w:rFonts w:ascii="Calibri" w:eastAsia="Calibri" w:hAnsi="Calibri" w:cs="Times New Roman"/>
        </w:rPr>
      </w:pPr>
    </w:p>
    <w:p w:rsidR="0018004F" w:rsidRPr="008501EA" w:rsidRDefault="0018004F" w:rsidP="001A036E">
      <w:pPr>
        <w:numPr>
          <w:ilvl w:val="0"/>
          <w:numId w:val="101"/>
        </w:numPr>
        <w:spacing w:line="240" w:lineRule="auto"/>
        <w:ind w:right="301"/>
        <w:jc w:val="both"/>
        <w:rPr>
          <w:rFonts w:ascii="Calibri" w:eastAsia="Calibri" w:hAnsi="Calibri" w:cs="Times New Roman"/>
          <w:b/>
          <w:color w:val="4F81BD"/>
        </w:rPr>
      </w:pPr>
      <w:r w:rsidRPr="008501EA">
        <w:rPr>
          <w:rFonts w:ascii="Calibri" w:eastAsia="Calibri" w:hAnsi="Calibri" w:cs="Times New Roman"/>
          <w:b/>
          <w:color w:val="4F81BD"/>
        </w:rPr>
        <w:t xml:space="preserve">Разпределение на риска </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Използването на инструментите за финансов инженеринг може да насърчи инвеститорите да инвестират (повече) в проекти, които не са привлекателни без публична интервенция, тъй като тези видове инвестиции, се считат за твърде рискови от нормалните частни финансови институции. Това е особено важно за сравнително малки фирми, работещи в секторите води и отпадъци с висок риск, които, особено в контекста, в който частните инвеститори не са склонни да предприемат каквито и да било рискове, не биха имали достъп до финансиране на база тяхната ниска еднократна обезпеченост.</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Такъв пример е инициативата на германската NRW-Bank. В интервю</w:t>
      </w:r>
      <w:r w:rsidR="00CE6E9D">
        <w:rPr>
          <w:rFonts w:ascii="Calibri" w:eastAsia="Calibri" w:hAnsi="Calibri" w:cs="Times New Roman"/>
          <w:lang w:val="en-US"/>
        </w:rPr>
        <w:t xml:space="preserve"> </w:t>
      </w:r>
      <w:r w:rsidR="00CE6E9D">
        <w:rPr>
          <w:rFonts w:ascii="Calibri" w:eastAsia="Calibri" w:hAnsi="Calibri" w:cs="Times New Roman"/>
        </w:rPr>
        <w:t>с</w:t>
      </w:r>
      <w:r w:rsidRPr="0018004F">
        <w:rPr>
          <w:rFonts w:ascii="Calibri" w:eastAsia="Calibri" w:hAnsi="Calibri" w:cs="Times New Roman"/>
        </w:rPr>
        <w:t xml:space="preserve"> представител на банката се казва, че чрез фонда за микрокредити (50% от средствата са от ЕФРР, а останалите 50% са принос на </w:t>
      </w:r>
      <w:r w:rsidRPr="0018004F">
        <w:rPr>
          <w:rFonts w:ascii="Calibri" w:eastAsia="Calibri" w:hAnsi="Calibri" w:cs="Times New Roman"/>
          <w:lang w:val="en-US"/>
        </w:rPr>
        <w:t xml:space="preserve">NRW) </w:t>
      </w:r>
      <w:r w:rsidRPr="0018004F">
        <w:rPr>
          <w:rFonts w:ascii="Calibri" w:eastAsia="Calibri" w:hAnsi="Calibri" w:cs="Times New Roman"/>
        </w:rPr>
        <w:t>банката отпуска заеми, покриващи финансовите нужди на стартиращи предприятия за период от 6 месеца. Този целеви заем в размер между €5,000 и €25,000 е насочен към стартиращи предприятия, които не могат да докажат възвръщаемост и съответно да получат класически заем от частна банка.</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Друг пример е фондът </w:t>
      </w:r>
      <w:r w:rsidRPr="0018004F">
        <w:rPr>
          <w:rFonts w:ascii="Calibri" w:eastAsia="Calibri" w:hAnsi="Calibri" w:cs="Times New Roman"/>
          <w:lang w:val="en-US"/>
        </w:rPr>
        <w:t>C</w:t>
      </w:r>
      <w:r w:rsidRPr="0018004F">
        <w:rPr>
          <w:rFonts w:ascii="Calibri" w:eastAsia="Calibri" w:hAnsi="Calibri" w:cs="Times New Roman"/>
        </w:rPr>
        <w:t>AT Invest Zealand, съфинансиран от ЕФРР и управляван от финансовия посредник ‘CAT’ в Дания. Фондът издава акции до €1 млн., които не надвишават 30%</w:t>
      </w:r>
      <w:r w:rsidR="00850EC0">
        <w:rPr>
          <w:rFonts w:ascii="Calibri" w:eastAsia="Calibri" w:hAnsi="Calibri" w:cs="Times New Roman"/>
        </w:rPr>
        <w:t xml:space="preserve"> от капитала на бенефициентите</w:t>
      </w:r>
      <w:r w:rsidRPr="0018004F">
        <w:rPr>
          <w:rFonts w:ascii="Calibri" w:eastAsia="Calibri" w:hAnsi="Calibri" w:cs="Times New Roman"/>
        </w:rPr>
        <w:t>, които не получават подкрепа от частни институции.</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Също така във всички оперативни програми основната полза и обосновка за използването на ФИ е адресирането на идентифициран инвестиционен недостиг в сектора на програмата, като например:</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A036E">
      <w:pPr>
        <w:numPr>
          <w:ilvl w:val="0"/>
          <w:numId w:val="102"/>
        </w:num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В отговор на специфичните финансови проблеми за новите </w:t>
      </w:r>
      <w:r w:rsidR="008F74AE">
        <w:rPr>
          <w:rFonts w:ascii="Calibri" w:eastAsia="Calibri" w:hAnsi="Calibri" w:cs="Times New Roman"/>
        </w:rPr>
        <w:t>на пазара в</w:t>
      </w:r>
      <w:r w:rsidRPr="0018004F">
        <w:rPr>
          <w:rFonts w:ascii="Calibri" w:eastAsia="Calibri" w:hAnsi="Calibri" w:cs="Times New Roman"/>
        </w:rPr>
        <w:t xml:space="preserve"> </w:t>
      </w:r>
      <w:r w:rsidRPr="0018004F">
        <w:rPr>
          <w:rFonts w:ascii="Calibri" w:eastAsia="Calibri" w:hAnsi="Calibri" w:cs="Times New Roman"/>
          <w:lang w:val="en-US"/>
        </w:rPr>
        <w:t>S</w:t>
      </w:r>
      <w:r w:rsidRPr="0018004F">
        <w:rPr>
          <w:rFonts w:ascii="Calibri" w:eastAsia="Calibri" w:hAnsi="Calibri" w:cs="Times New Roman"/>
        </w:rPr>
        <w:t>achsen- Anhalt</w:t>
      </w:r>
      <w:r w:rsidRPr="0018004F">
        <w:rPr>
          <w:rFonts w:ascii="Calibri" w:eastAsia="Calibri" w:hAnsi="Calibri" w:cs="Times New Roman"/>
          <w:lang w:val="en-US"/>
        </w:rPr>
        <w:t>.</w:t>
      </w:r>
    </w:p>
    <w:p w:rsidR="0018004F" w:rsidRPr="0018004F" w:rsidRDefault="0018004F" w:rsidP="001A036E">
      <w:pPr>
        <w:numPr>
          <w:ilvl w:val="0"/>
          <w:numId w:val="102"/>
        </w:numPr>
        <w:spacing w:after="0" w:line="240" w:lineRule="auto"/>
        <w:ind w:right="301"/>
        <w:jc w:val="both"/>
        <w:rPr>
          <w:rFonts w:ascii="Calibri" w:eastAsia="Calibri" w:hAnsi="Calibri" w:cs="Times New Roman"/>
        </w:rPr>
      </w:pPr>
      <w:r w:rsidRPr="0018004F">
        <w:rPr>
          <w:rFonts w:ascii="Calibri" w:eastAsia="Calibri" w:hAnsi="Calibri" w:cs="Times New Roman"/>
        </w:rPr>
        <w:t>Като отговор на идентифицираните проблеми по отношение на наличието на рисков капитал за стартиращи фирми в Източна Финландия</w:t>
      </w:r>
    </w:p>
    <w:p w:rsidR="0018004F" w:rsidRPr="0018004F" w:rsidRDefault="0018004F" w:rsidP="001A036E">
      <w:pPr>
        <w:numPr>
          <w:ilvl w:val="0"/>
          <w:numId w:val="102"/>
        </w:numPr>
        <w:spacing w:after="0" w:line="240" w:lineRule="auto"/>
        <w:ind w:right="301"/>
        <w:jc w:val="both"/>
        <w:rPr>
          <w:rFonts w:ascii="Calibri" w:eastAsia="Calibri" w:hAnsi="Calibri" w:cs="Times New Roman"/>
        </w:rPr>
      </w:pPr>
      <w:r w:rsidRPr="0018004F">
        <w:rPr>
          <w:rFonts w:ascii="Calibri" w:eastAsia="Calibri" w:hAnsi="Calibri" w:cs="Times New Roman"/>
        </w:rPr>
        <w:t>Идентифициран проблем с липсата на средства за финансиране на стартиране и развитие на предприятия в Словения, поради недостатъчно развит капиталов пазар, липсата на фондове за рисков капитал, твърде малко преки чуждестранни инвестиции, банкови инструменти, които не са адаптирани за финансиране създаване и растеж на предприятията и липса на държавни субсидии.</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Трите гореспоменати предимства, според интервюирани в рамките на проучване за прилагане на ФИ в рамките на кохезионната политика, а именно ефектът на лоста, револвиращият характер и покритието на риска водят до наличието на евтин финансов ресурс (т.е. с ниски лихви, по-малко обезпечение, удължен гратисен период, без такси и т.н.).</w:t>
      </w:r>
    </w:p>
    <w:p w:rsidR="0018004F" w:rsidRPr="0018004F" w:rsidRDefault="0018004F" w:rsidP="0018004F">
      <w:pPr>
        <w:spacing w:after="0" w:line="240" w:lineRule="auto"/>
        <w:ind w:right="301"/>
        <w:jc w:val="both"/>
        <w:rPr>
          <w:rFonts w:ascii="Calibri" w:eastAsia="Calibri" w:hAnsi="Calibri" w:cs="Times New Roman"/>
        </w:rPr>
      </w:pPr>
    </w:p>
    <w:p w:rsidR="0018004F" w:rsidRPr="008501EA" w:rsidRDefault="0018004F" w:rsidP="001A036E">
      <w:pPr>
        <w:numPr>
          <w:ilvl w:val="0"/>
          <w:numId w:val="101"/>
        </w:numPr>
        <w:spacing w:line="240" w:lineRule="auto"/>
        <w:ind w:right="301"/>
        <w:jc w:val="both"/>
        <w:rPr>
          <w:rFonts w:ascii="Calibri" w:eastAsia="Calibri" w:hAnsi="Calibri" w:cs="Times New Roman"/>
          <w:b/>
          <w:color w:val="4F81BD"/>
        </w:rPr>
      </w:pPr>
      <w:r w:rsidRPr="008501EA">
        <w:rPr>
          <w:rFonts w:ascii="Calibri" w:eastAsia="Calibri" w:hAnsi="Calibri" w:cs="Times New Roman"/>
          <w:b/>
          <w:color w:val="4F81BD"/>
        </w:rPr>
        <w:t>Ускоряване изпълнението на оперативните програми</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За УО използването на ФИ може да значи ускоряване на изпълнението, засилване на усвояването на средствата и намаляване на риска от отказване от ангажимент</w:t>
      </w:r>
      <w:r w:rsidR="00B13D6A">
        <w:rPr>
          <w:rFonts w:ascii="Calibri" w:eastAsia="Calibri" w:hAnsi="Calibri" w:cs="Times New Roman"/>
        </w:rPr>
        <w:t xml:space="preserve"> </w:t>
      </w:r>
      <w:r w:rsidR="00B13D6A">
        <w:rPr>
          <w:rFonts w:ascii="Calibri" w:eastAsia="Calibri" w:hAnsi="Calibri" w:cs="Times New Roman"/>
          <w:lang w:val="en-US"/>
        </w:rPr>
        <w:t>(default)</w:t>
      </w:r>
      <w:r w:rsidRPr="0018004F">
        <w:rPr>
          <w:rFonts w:ascii="Calibri" w:eastAsia="Calibri" w:hAnsi="Calibri" w:cs="Times New Roman"/>
        </w:rPr>
        <w:t>. Също така, според УО, след създаване на фонда, процедурите за получаване на финансиране са по-кратки, защото са по-малко бюрократични в сравнение с безвъзмездната помощ. С други дими инвестициите могат да бъдат направени по-бързо.</w:t>
      </w:r>
    </w:p>
    <w:p w:rsidR="0018004F" w:rsidRPr="0018004F" w:rsidRDefault="0018004F" w:rsidP="0018004F">
      <w:pPr>
        <w:spacing w:after="0" w:line="240" w:lineRule="auto"/>
        <w:ind w:right="301"/>
        <w:jc w:val="both"/>
        <w:rPr>
          <w:rFonts w:ascii="Calibri" w:eastAsia="Calibri" w:hAnsi="Calibri" w:cs="Times New Roman"/>
        </w:rPr>
      </w:pPr>
    </w:p>
    <w:p w:rsidR="0018004F" w:rsidRPr="003C70D5"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lastRenderedPageBreak/>
        <w:t>Тази практика обаче е критикувана от Европейската сметна палата (ЕСП) и не е насърчавана от ЕК. Според ЕСП, в сравнение с безвъзмездната помощ, сегашната регулаторна рамка на структурните фондове не дава възможност за отказване на финансов ангажимент, което означава, че където е налице холдингов фонд, финансовите ресурси се държат в този фонд за целия програмен период вместо да се превеждат на крайните бенефициенти (т.е. няма траншове на средства).</w:t>
      </w:r>
      <w:r w:rsidR="003C70D5">
        <w:rPr>
          <w:rFonts w:ascii="Calibri" w:eastAsia="Calibri" w:hAnsi="Calibri" w:cs="Times New Roman"/>
          <w:lang w:val="en-US"/>
        </w:rPr>
        <w:t xml:space="preserve"> </w:t>
      </w:r>
      <w:r w:rsidR="003C70D5">
        <w:rPr>
          <w:rFonts w:ascii="Calibri" w:eastAsia="Calibri" w:hAnsi="Calibri" w:cs="Times New Roman"/>
        </w:rPr>
        <w:t>Според условията за предстоящия период, средствата могат да бъдат отпуснати на четири транша.</w:t>
      </w:r>
    </w:p>
    <w:p w:rsidR="0018004F" w:rsidRPr="0018004F" w:rsidRDefault="0018004F" w:rsidP="0018004F">
      <w:pPr>
        <w:spacing w:after="0" w:line="240" w:lineRule="auto"/>
        <w:ind w:right="301"/>
        <w:jc w:val="both"/>
        <w:rPr>
          <w:rFonts w:ascii="Calibri" w:eastAsia="Calibri" w:hAnsi="Calibri" w:cs="Times New Roman"/>
        </w:rPr>
      </w:pPr>
    </w:p>
    <w:p w:rsidR="0018004F" w:rsidRPr="008501EA" w:rsidRDefault="0018004F" w:rsidP="001A036E">
      <w:pPr>
        <w:numPr>
          <w:ilvl w:val="0"/>
          <w:numId w:val="101"/>
        </w:numPr>
        <w:spacing w:line="240" w:lineRule="auto"/>
        <w:ind w:right="301"/>
        <w:jc w:val="both"/>
        <w:rPr>
          <w:rFonts w:ascii="Calibri" w:eastAsia="Calibri" w:hAnsi="Calibri" w:cs="Times New Roman"/>
          <w:b/>
          <w:color w:val="4F81BD"/>
        </w:rPr>
      </w:pPr>
      <w:r w:rsidRPr="008501EA">
        <w:rPr>
          <w:rFonts w:ascii="Calibri" w:eastAsia="Calibri" w:hAnsi="Calibri" w:cs="Times New Roman"/>
          <w:b/>
          <w:color w:val="4F81BD"/>
        </w:rPr>
        <w:t>Околна среда</w:t>
      </w: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Предвиждането на нови ФИ за околна среда е особено важно, имайки </w:t>
      </w:r>
      <w:r w:rsidR="00800B56" w:rsidRPr="0018004F">
        <w:rPr>
          <w:rFonts w:ascii="Calibri" w:eastAsia="Calibri" w:hAnsi="Calibri" w:cs="Times New Roman"/>
        </w:rPr>
        <w:t>предвид</w:t>
      </w:r>
      <w:r w:rsidRPr="0018004F">
        <w:rPr>
          <w:rFonts w:ascii="Calibri" w:eastAsia="Calibri" w:hAnsi="Calibri" w:cs="Times New Roman"/>
        </w:rPr>
        <w:t>, че на пазара има само няколко финансови или други инструмента, които играят подобна на целеви фонд за околна среда роля. Значението им е засилено от икономическата криза.</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В този смисъл инициатива подобна на JESSICA може да действа като катализатор за създаването на партньорства между страните-членки, регионите, ЕИБ, други банки и заинтересовани страни и инвеститори, за разрешаване проблемите на околната среда. Насърчаване на нови участници в околната среда, особено от частния сектор. Използването на ФИ ще предостави възможност за участие на частните инвеститори в проекти за градско развитие, чрез подпомагане привличането на допълнителни средства чрез ПЧП, както и мобилизиране на допълнителна подкрепа извън безвъзмездната помощ. </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 xml:space="preserve">Интересен пример е Bank Gospodarstwa Krajowego (BGK), единствената държавна банка за развитие в Полша. Институцията, сред всичките си дейности, поема и ролята на мениджър на фонд за градско развитие по инициативата JESSICA в три района в Полша с общ бюджет от 615 млн. полски злоти. </w:t>
      </w:r>
    </w:p>
    <w:p w:rsidR="0018004F" w:rsidRPr="008501EA" w:rsidRDefault="0018004F" w:rsidP="0018004F">
      <w:pPr>
        <w:spacing w:after="0" w:line="240" w:lineRule="auto"/>
        <w:ind w:right="301"/>
        <w:jc w:val="both"/>
        <w:rPr>
          <w:rFonts w:ascii="Calibri" w:eastAsia="Calibri" w:hAnsi="Calibri" w:cs="Times New Roman"/>
          <w:b/>
          <w:color w:val="4F81BD"/>
        </w:rPr>
      </w:pPr>
    </w:p>
    <w:p w:rsidR="0018004F" w:rsidRPr="008501EA" w:rsidRDefault="0018004F" w:rsidP="001A036E">
      <w:pPr>
        <w:numPr>
          <w:ilvl w:val="0"/>
          <w:numId w:val="101"/>
        </w:numPr>
        <w:spacing w:line="240" w:lineRule="auto"/>
        <w:ind w:right="301"/>
        <w:jc w:val="both"/>
        <w:rPr>
          <w:rFonts w:ascii="Calibri" w:eastAsia="Calibri" w:hAnsi="Calibri" w:cs="Times New Roman"/>
          <w:b/>
          <w:color w:val="4F81BD"/>
        </w:rPr>
      </w:pPr>
      <w:r w:rsidRPr="008501EA">
        <w:rPr>
          <w:rFonts w:ascii="Calibri" w:eastAsia="Calibri" w:hAnsi="Calibri" w:cs="Times New Roman"/>
          <w:b/>
          <w:color w:val="4F81BD"/>
        </w:rPr>
        <w:t>Косвено въздействие</w:t>
      </w:r>
    </w:p>
    <w:p w:rsidR="0018004F" w:rsidRPr="0018004F" w:rsidRDefault="0018004F" w:rsidP="0018004F">
      <w:pPr>
        <w:spacing w:line="240" w:lineRule="auto"/>
        <w:ind w:right="301"/>
        <w:jc w:val="both"/>
        <w:rPr>
          <w:rFonts w:ascii="Calibri" w:eastAsia="Calibri" w:hAnsi="Calibri" w:cs="Times New Roman"/>
        </w:rPr>
      </w:pPr>
      <w:r w:rsidRPr="0018004F">
        <w:rPr>
          <w:rFonts w:ascii="Calibri" w:eastAsia="Calibri" w:hAnsi="Calibri" w:cs="Times New Roman"/>
        </w:rPr>
        <w:t>Идентифицирани са множество предимства на използването на ФИ в сравнение с безвъзмездната помощ:</w:t>
      </w:r>
    </w:p>
    <w:p w:rsidR="0018004F" w:rsidRPr="0018004F" w:rsidRDefault="0018004F" w:rsidP="001A036E">
      <w:pPr>
        <w:numPr>
          <w:ilvl w:val="0"/>
          <w:numId w:val="103"/>
        </w:numPr>
        <w:spacing w:after="0" w:line="240" w:lineRule="auto"/>
        <w:ind w:right="301"/>
        <w:jc w:val="both"/>
        <w:rPr>
          <w:rFonts w:ascii="Calibri" w:eastAsia="Calibri" w:hAnsi="Calibri" w:cs="Times New Roman"/>
        </w:rPr>
      </w:pPr>
      <w:r w:rsidRPr="0018004F">
        <w:rPr>
          <w:rFonts w:ascii="Calibri" w:eastAsia="Calibri" w:hAnsi="Calibri" w:cs="Times New Roman"/>
        </w:rPr>
        <w:t>Използването на инструментите за финансов инженеринг може потенциално да насърчи ефективност при крайните получатели, чрез по-голяма финансова дисциплина и повишено осъзнаване на необходимостта за изплащане на заема (за разлика от безвъзмездни средства). Този фактор се определя също като "осигуряване на качеството" на проекта. С други думи, инструментите за финансов инженеринг могат да насърчат компаниите да растат и да станат по-конкурентоспособни, за да се върне инвестицията, което налага планирането и разработване на стратегия за растеж. Преминаването от безвъзмездна помощ към инструментите за финансов инженеринг изисква по-стратегическо мислене от УО.</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A036E">
      <w:pPr>
        <w:numPr>
          <w:ilvl w:val="0"/>
          <w:numId w:val="103"/>
        </w:numPr>
        <w:spacing w:after="0" w:line="240" w:lineRule="auto"/>
        <w:ind w:right="301"/>
        <w:jc w:val="both"/>
        <w:rPr>
          <w:rFonts w:ascii="Calibri" w:eastAsia="Calibri" w:hAnsi="Calibri" w:cs="Times New Roman"/>
        </w:rPr>
      </w:pPr>
      <w:r w:rsidRPr="0018004F">
        <w:rPr>
          <w:rFonts w:ascii="Calibri" w:eastAsia="Calibri" w:hAnsi="Calibri" w:cs="Times New Roman"/>
        </w:rPr>
        <w:t xml:space="preserve">Срокове: Инструментите за финансов инженеринг покриват предварително необходимите средства. Това е значително предимство пред безвъзмездната помощ, тъй като безвъзмездната помощ и субсидиите покриват разходите пост-фактум, т.е. след като са направени. Това е изключително важно в период на икономически спад, когато компаниите трудно могат да си позволят предварително финансиране на инвестицията без допълнителна подкрепа. </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A036E">
      <w:pPr>
        <w:numPr>
          <w:ilvl w:val="0"/>
          <w:numId w:val="103"/>
        </w:numPr>
        <w:spacing w:after="0" w:line="240" w:lineRule="auto"/>
        <w:ind w:right="301"/>
        <w:jc w:val="both"/>
        <w:rPr>
          <w:rFonts w:ascii="Calibri" w:eastAsia="Calibri" w:hAnsi="Calibri" w:cs="Times New Roman"/>
        </w:rPr>
      </w:pPr>
      <w:r w:rsidRPr="0018004F">
        <w:rPr>
          <w:rFonts w:ascii="Calibri" w:eastAsia="Calibri" w:hAnsi="Calibri" w:cs="Times New Roman"/>
        </w:rPr>
        <w:lastRenderedPageBreak/>
        <w:t xml:space="preserve">Широк обхват на допустимите разходи: Инструментите на финансовия инженеринг покриват по-широк спектър разходи от безвъзмездната помощ. Докато безвъзмездната помощ може да покрива само разходи за активи, например машини, ФИ могат да покриват допълнителни разходи, които не са допустими по оперативната програма. </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A036E">
      <w:pPr>
        <w:numPr>
          <w:ilvl w:val="0"/>
          <w:numId w:val="103"/>
        </w:numPr>
        <w:spacing w:after="0" w:line="240" w:lineRule="auto"/>
        <w:ind w:right="301"/>
        <w:jc w:val="both"/>
        <w:rPr>
          <w:rFonts w:ascii="Calibri" w:eastAsia="Calibri" w:hAnsi="Calibri" w:cs="Times New Roman"/>
        </w:rPr>
      </w:pPr>
      <w:r w:rsidRPr="0018004F">
        <w:rPr>
          <w:rFonts w:ascii="Calibri" w:eastAsia="Calibri" w:hAnsi="Calibri" w:cs="Times New Roman"/>
        </w:rPr>
        <w:t>В сравнение с безвъзмездната помощ и субсидиите ФИ не нарушават конкуренцията на пазара, ФИ се отпускат на конкурентен принцип.</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В допълнение към по-горе споменатите характеристики на ФИ, се посочват две позитивни косвени въздействия от прилагането на такива инструменти, които могат да отговорят адекватно на идентифицирания пазарен недостиг:</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A036E">
      <w:pPr>
        <w:numPr>
          <w:ilvl w:val="0"/>
          <w:numId w:val="104"/>
        </w:numPr>
        <w:spacing w:after="0" w:line="240" w:lineRule="auto"/>
        <w:ind w:right="301"/>
        <w:jc w:val="both"/>
        <w:rPr>
          <w:rFonts w:ascii="Calibri" w:eastAsia="Calibri" w:hAnsi="Calibri" w:cs="Times New Roman"/>
        </w:rPr>
      </w:pPr>
      <w:r w:rsidRPr="0018004F">
        <w:rPr>
          <w:rFonts w:ascii="Calibri" w:eastAsia="Calibri" w:hAnsi="Calibri" w:cs="Times New Roman"/>
        </w:rPr>
        <w:t>Създаване и запазване на работни места (и възможния последващ принос за социалното осигуряване)</w:t>
      </w:r>
    </w:p>
    <w:p w:rsidR="0018004F" w:rsidRPr="0018004F" w:rsidRDefault="0018004F" w:rsidP="001A036E">
      <w:pPr>
        <w:numPr>
          <w:ilvl w:val="0"/>
          <w:numId w:val="104"/>
        </w:numPr>
        <w:spacing w:after="0" w:line="240" w:lineRule="auto"/>
        <w:ind w:right="301"/>
        <w:jc w:val="both"/>
        <w:rPr>
          <w:rFonts w:ascii="Calibri" w:eastAsia="Calibri" w:hAnsi="Calibri" w:cs="Times New Roman"/>
        </w:rPr>
      </w:pPr>
      <w:r w:rsidRPr="0018004F">
        <w:rPr>
          <w:rFonts w:ascii="Calibri" w:eastAsia="Calibri" w:hAnsi="Calibri" w:cs="Times New Roman"/>
        </w:rPr>
        <w:t>Стимулиране на играчите на пазара.</w:t>
      </w:r>
    </w:p>
    <w:p w:rsidR="0018004F" w:rsidRPr="0018004F" w:rsidRDefault="0018004F" w:rsidP="0018004F">
      <w:pPr>
        <w:spacing w:after="0" w:line="240" w:lineRule="auto"/>
        <w:ind w:right="301"/>
        <w:jc w:val="both"/>
        <w:rPr>
          <w:rFonts w:ascii="Calibri" w:eastAsia="Calibri" w:hAnsi="Calibri" w:cs="Times New Roman"/>
        </w:rPr>
      </w:pPr>
    </w:p>
    <w:p w:rsidR="0018004F" w:rsidRPr="0018004F" w:rsidRDefault="0018004F" w:rsidP="0018004F">
      <w:pPr>
        <w:spacing w:after="0" w:line="240" w:lineRule="auto"/>
        <w:ind w:right="301"/>
        <w:jc w:val="both"/>
        <w:rPr>
          <w:rFonts w:ascii="Calibri" w:eastAsia="Calibri" w:hAnsi="Calibri" w:cs="Times New Roman"/>
        </w:rPr>
      </w:pPr>
      <w:r w:rsidRPr="0018004F">
        <w:rPr>
          <w:rFonts w:ascii="Calibri" w:eastAsia="Calibri" w:hAnsi="Calibri" w:cs="Times New Roman"/>
        </w:rPr>
        <w:t>Словенският инвестиционен фонд, например, отчита, че чрез издадените от ОП Програма за използване на финансови инструменти са създадени средно 1.12 работни места на предприятие, с увеличаване с 32% добавената стойност на зает до три години след инвестицията.</w:t>
      </w:r>
    </w:p>
    <w:p w:rsidR="00144BF9" w:rsidRDefault="00144BF9" w:rsidP="0018004F">
      <w:pPr>
        <w:spacing w:after="0" w:line="240" w:lineRule="auto"/>
        <w:ind w:right="301"/>
        <w:jc w:val="both"/>
        <w:rPr>
          <w:rFonts w:ascii="Calibri" w:eastAsia="Calibri" w:hAnsi="Calibri" w:cs="Times New Roman"/>
          <w:b/>
          <w:color w:val="4F81BD"/>
        </w:rPr>
      </w:pPr>
    </w:p>
    <w:p w:rsidR="0018004F" w:rsidRPr="00607F89" w:rsidRDefault="0018004F" w:rsidP="0018004F">
      <w:pPr>
        <w:spacing w:line="240" w:lineRule="auto"/>
        <w:ind w:right="301"/>
        <w:jc w:val="both"/>
        <w:rPr>
          <w:rFonts w:ascii="Calibri" w:eastAsia="Calibri" w:hAnsi="Calibri" w:cs="Times New Roman"/>
          <w:b/>
          <w:i/>
          <w:color w:val="4F81BD"/>
        </w:rPr>
      </w:pPr>
      <w:r w:rsidRPr="00607F89">
        <w:rPr>
          <w:rFonts w:ascii="Calibri" w:eastAsia="Calibri" w:hAnsi="Calibri" w:cs="Times New Roman"/>
          <w:b/>
          <w:i/>
          <w:color w:val="4F81BD"/>
        </w:rPr>
        <w:t>Н</w:t>
      </w:r>
      <w:r w:rsidR="008C1753" w:rsidRPr="00607F89">
        <w:rPr>
          <w:rFonts w:ascii="Calibri" w:eastAsia="Calibri" w:hAnsi="Calibri" w:cs="Times New Roman"/>
          <w:b/>
          <w:i/>
          <w:color w:val="4F81BD"/>
        </w:rPr>
        <w:t xml:space="preserve">едостатъци на използването на финансови инструменти </w:t>
      </w:r>
    </w:p>
    <w:p w:rsidR="0018004F" w:rsidRPr="0018004F" w:rsidRDefault="0018004F" w:rsidP="0018004F">
      <w:pPr>
        <w:spacing w:line="240" w:lineRule="auto"/>
        <w:ind w:right="301"/>
        <w:jc w:val="both"/>
        <w:rPr>
          <w:rFonts w:ascii="Calibri" w:eastAsia="Calibri" w:hAnsi="Calibri" w:cs="Times New Roman"/>
        </w:rPr>
      </w:pPr>
      <w:r w:rsidRPr="0018004F">
        <w:rPr>
          <w:rFonts w:ascii="Calibri" w:eastAsia="Calibri" w:hAnsi="Calibri" w:cs="Times New Roman"/>
        </w:rPr>
        <w:t>Основните пречки пред ефективното използване на ФИ са:</w:t>
      </w:r>
    </w:p>
    <w:p w:rsidR="00607F89" w:rsidRDefault="0018004F" w:rsidP="001A036E">
      <w:pPr>
        <w:numPr>
          <w:ilvl w:val="0"/>
          <w:numId w:val="105"/>
        </w:numPr>
        <w:spacing w:after="0" w:line="240" w:lineRule="auto"/>
        <w:ind w:right="301"/>
        <w:jc w:val="both"/>
        <w:rPr>
          <w:rFonts w:ascii="Calibri" w:eastAsia="Calibri" w:hAnsi="Calibri" w:cs="Times New Roman"/>
        </w:rPr>
      </w:pPr>
      <w:r w:rsidRPr="008C1753">
        <w:rPr>
          <w:rFonts w:ascii="Calibri" w:eastAsia="Calibri" w:hAnsi="Calibri" w:cs="Times New Roman"/>
          <w:b/>
          <w:color w:val="4F81BD"/>
        </w:rPr>
        <w:t>Период на създаване и договаряне на средства за ФИ</w:t>
      </w:r>
      <w:r w:rsidRPr="0018004F">
        <w:rPr>
          <w:rFonts w:ascii="Calibri" w:eastAsia="Calibri" w:hAnsi="Calibri" w:cs="Times New Roman"/>
          <w:b/>
        </w:rPr>
        <w:t xml:space="preserve"> – </w:t>
      </w:r>
      <w:r w:rsidRPr="0018004F">
        <w:rPr>
          <w:rFonts w:ascii="Calibri" w:eastAsia="Calibri" w:hAnsi="Calibri" w:cs="Times New Roman"/>
        </w:rPr>
        <w:t>въпреки че периодът за създаване и договаряне на ФИ зависи от опита, УО като цяло посочват дългият период за това като една от основните пречки пред използването на ФИ.</w:t>
      </w:r>
    </w:p>
    <w:p w:rsidR="00607F89" w:rsidRDefault="0018004F" w:rsidP="001A036E">
      <w:pPr>
        <w:numPr>
          <w:ilvl w:val="0"/>
          <w:numId w:val="105"/>
        </w:numPr>
        <w:spacing w:before="240" w:after="0" w:line="240" w:lineRule="auto"/>
        <w:ind w:right="301"/>
        <w:jc w:val="both"/>
        <w:rPr>
          <w:rFonts w:ascii="Calibri" w:eastAsia="Calibri" w:hAnsi="Calibri" w:cs="Times New Roman"/>
        </w:rPr>
      </w:pPr>
      <w:r w:rsidRPr="00607F89">
        <w:rPr>
          <w:rFonts w:ascii="Calibri" w:eastAsia="Calibri" w:hAnsi="Calibri" w:cs="Times New Roman"/>
          <w:b/>
          <w:color w:val="4F81BD"/>
        </w:rPr>
        <w:t>Регламенти за Структурните фондове</w:t>
      </w:r>
      <w:r w:rsidRPr="00607F89">
        <w:rPr>
          <w:rFonts w:ascii="Calibri" w:eastAsia="Calibri" w:hAnsi="Calibri" w:cs="Times New Roman"/>
          <w:b/>
        </w:rPr>
        <w:t xml:space="preserve"> – </w:t>
      </w:r>
      <w:r w:rsidRPr="00607F89">
        <w:rPr>
          <w:rFonts w:ascii="Calibri" w:eastAsia="Calibri" w:hAnsi="Calibri" w:cs="Times New Roman"/>
        </w:rPr>
        <w:t>възприемат се като сложни и трудни за прилагане в реални пазарни условия, като се отчита парадокса, че от една страна ФИ целят да покрият риска, чрез публични средства, а от друга страна регламентите не позволяват подкрепата на предприятия, които имат икономически затруднения.</w:t>
      </w:r>
    </w:p>
    <w:p w:rsidR="00607F89" w:rsidRDefault="0018004F" w:rsidP="001A036E">
      <w:pPr>
        <w:numPr>
          <w:ilvl w:val="0"/>
          <w:numId w:val="105"/>
        </w:numPr>
        <w:spacing w:before="240" w:after="0" w:line="240" w:lineRule="auto"/>
        <w:ind w:right="301"/>
        <w:jc w:val="both"/>
        <w:rPr>
          <w:rFonts w:ascii="Calibri" w:eastAsia="Calibri" w:hAnsi="Calibri" w:cs="Times New Roman"/>
        </w:rPr>
      </w:pPr>
      <w:r w:rsidRPr="00607F89">
        <w:rPr>
          <w:rFonts w:ascii="Calibri" w:eastAsia="Calibri" w:hAnsi="Calibri" w:cs="Times New Roman"/>
          <w:b/>
          <w:color w:val="4F81BD"/>
        </w:rPr>
        <w:t>Ноу-хау и опит -</w:t>
      </w:r>
      <w:r w:rsidRPr="00607F89">
        <w:rPr>
          <w:rFonts w:ascii="Calibri" w:eastAsia="Calibri" w:hAnsi="Calibri" w:cs="Times New Roman"/>
          <w:b/>
        </w:rPr>
        <w:t xml:space="preserve"> </w:t>
      </w:r>
      <w:r w:rsidRPr="00607F89">
        <w:rPr>
          <w:rFonts w:ascii="Calibri" w:eastAsia="Calibri" w:hAnsi="Calibri" w:cs="Times New Roman"/>
        </w:rPr>
        <w:t>частично поради липсата на знания и опит сред публичните участници в сферата на търговските практики, както и в обратната посока – недостатъчното разбиране на финансистите на регламентите на ЕС, се счита, че ФИ са трудни за създаване и прилагане. Експертизата не двете страни рядко се обединява.</w:t>
      </w:r>
    </w:p>
    <w:p w:rsidR="00607F89" w:rsidRDefault="0018004F" w:rsidP="001A036E">
      <w:pPr>
        <w:numPr>
          <w:ilvl w:val="0"/>
          <w:numId w:val="105"/>
        </w:numPr>
        <w:spacing w:before="240" w:after="0" w:line="240" w:lineRule="auto"/>
        <w:ind w:right="301"/>
        <w:jc w:val="both"/>
        <w:rPr>
          <w:rFonts w:ascii="Calibri" w:eastAsia="Calibri" w:hAnsi="Calibri" w:cs="Times New Roman"/>
        </w:rPr>
      </w:pPr>
      <w:r w:rsidRPr="00607F89">
        <w:rPr>
          <w:rFonts w:ascii="Calibri" w:eastAsia="Calibri" w:hAnsi="Calibri" w:cs="Times New Roman"/>
          <w:b/>
          <w:color w:val="4F81BD"/>
        </w:rPr>
        <w:t>Външни фактори</w:t>
      </w:r>
      <w:r w:rsidRPr="00607F89">
        <w:rPr>
          <w:rFonts w:ascii="Calibri" w:eastAsia="Calibri" w:hAnsi="Calibri" w:cs="Times New Roman"/>
          <w:b/>
        </w:rPr>
        <w:t xml:space="preserve"> – </w:t>
      </w:r>
      <w:r w:rsidRPr="00607F89">
        <w:rPr>
          <w:rFonts w:ascii="Calibri" w:eastAsia="Calibri" w:hAnsi="Calibri" w:cs="Times New Roman"/>
        </w:rPr>
        <w:t>външни фактори допринасят за забавяне в прилагането на някои ФИ. Такива са проблеми с търсенето, като недостиг на инвестиции в контекста на икономическата криза, или проблеми с предлагането, като например конкуренция с други видове подкрепа от страна на бизнеса.</w:t>
      </w:r>
    </w:p>
    <w:p w:rsidR="0018004F" w:rsidRDefault="0018004F" w:rsidP="001A036E">
      <w:pPr>
        <w:numPr>
          <w:ilvl w:val="0"/>
          <w:numId w:val="105"/>
        </w:numPr>
        <w:spacing w:before="240" w:after="0" w:line="240" w:lineRule="auto"/>
        <w:ind w:right="301"/>
        <w:jc w:val="both"/>
        <w:rPr>
          <w:rFonts w:ascii="Calibri" w:eastAsia="Calibri" w:hAnsi="Calibri" w:cs="Times New Roman"/>
        </w:rPr>
      </w:pPr>
      <w:r w:rsidRPr="00607F89">
        <w:rPr>
          <w:rFonts w:ascii="Calibri" w:eastAsia="Calibri" w:hAnsi="Calibri" w:cs="Times New Roman"/>
          <w:b/>
          <w:color w:val="4F81BD"/>
        </w:rPr>
        <w:t>Мониторинг и отчитане</w:t>
      </w:r>
      <w:r w:rsidRPr="00607F89">
        <w:rPr>
          <w:rFonts w:ascii="Calibri" w:eastAsia="Calibri" w:hAnsi="Calibri" w:cs="Times New Roman"/>
          <w:b/>
        </w:rPr>
        <w:t xml:space="preserve"> – </w:t>
      </w:r>
      <w:r w:rsidRPr="00607F89">
        <w:rPr>
          <w:rFonts w:ascii="Calibri" w:eastAsia="Calibri" w:hAnsi="Calibri" w:cs="Times New Roman"/>
        </w:rPr>
        <w:t>отчитане на приноса на ФИ към постигане целите на оперативните програми се определят като предизвикателство пред прилагане на ФИ, въпреки че заинтересованите страни имат опит с този тип изискване при работа с публични институции.</w:t>
      </w:r>
    </w:p>
    <w:p w:rsidR="00F00027" w:rsidRPr="00607F89" w:rsidRDefault="00F00027" w:rsidP="00F00027">
      <w:pPr>
        <w:spacing w:before="240" w:after="0" w:line="240" w:lineRule="auto"/>
        <w:ind w:left="720" w:right="301"/>
        <w:jc w:val="both"/>
        <w:rPr>
          <w:rFonts w:ascii="Calibri" w:eastAsia="Calibri" w:hAnsi="Calibri" w:cs="Times New Roman"/>
        </w:rPr>
      </w:pPr>
    </w:p>
    <w:p w:rsidR="00264D22" w:rsidRDefault="003B17F2" w:rsidP="00EB7927">
      <w:pPr>
        <w:pStyle w:val="Heading3"/>
        <w:jc w:val="both"/>
      </w:pPr>
      <w:bookmarkStart w:id="174" w:name="_Toc399494562"/>
      <w:r>
        <w:t>4.1.2. Добри практики</w:t>
      </w:r>
      <w:r w:rsidR="0034256F">
        <w:t xml:space="preserve"> и фактори за успех</w:t>
      </w:r>
      <w:r>
        <w:t xml:space="preserve"> в </w:t>
      </w:r>
      <w:r w:rsidR="00DF6247">
        <w:t>отделните етапи на създаване на финансовите инструменти</w:t>
      </w:r>
      <w:bookmarkEnd w:id="174"/>
    </w:p>
    <w:p w:rsidR="00DF6247" w:rsidRPr="00607F89" w:rsidRDefault="002538B6" w:rsidP="00167617">
      <w:pPr>
        <w:pStyle w:val="Heading4"/>
        <w:rPr>
          <w:rFonts w:eastAsia="Calibri"/>
          <w:color w:val="2E74B5" w:themeColor="accent1" w:themeShade="BF"/>
        </w:rPr>
      </w:pPr>
      <w:r w:rsidRPr="00607F89">
        <w:rPr>
          <w:rFonts w:eastAsia="Calibri"/>
          <w:color w:val="2E74B5" w:themeColor="accent1" w:themeShade="BF"/>
        </w:rPr>
        <w:t>Подготовка на и</w:t>
      </w:r>
      <w:r w:rsidR="00264D22" w:rsidRPr="00607F89">
        <w:rPr>
          <w:rFonts w:eastAsia="Calibri"/>
          <w:color w:val="2E74B5" w:themeColor="accent1" w:themeShade="BF"/>
        </w:rPr>
        <w:t>нвестиционна</w:t>
      </w:r>
      <w:r w:rsidRPr="00607F89">
        <w:rPr>
          <w:rFonts w:eastAsia="Calibri"/>
          <w:color w:val="2E74B5" w:themeColor="accent1" w:themeShade="BF"/>
        </w:rPr>
        <w:t>та</w:t>
      </w:r>
      <w:r w:rsidR="00607F89">
        <w:rPr>
          <w:rFonts w:eastAsia="Calibri"/>
          <w:color w:val="2E74B5" w:themeColor="accent1" w:themeShade="BF"/>
        </w:rPr>
        <w:t xml:space="preserve"> стратегия</w:t>
      </w:r>
    </w:p>
    <w:p w:rsidR="00264D22" w:rsidRDefault="00896C88" w:rsidP="006C37E5">
      <w:pPr>
        <w:ind w:right="142"/>
        <w:jc w:val="both"/>
      </w:pPr>
      <w:r>
        <w:rPr>
          <w:noProof/>
          <w:lang w:eastAsia="bg-BG"/>
        </w:rPr>
        <mc:AlternateContent>
          <mc:Choice Requires="wps">
            <w:drawing>
              <wp:anchor distT="0" distB="0" distL="114300" distR="114300" simplePos="0" relativeHeight="251720704" behindDoc="0" locked="0" layoutInCell="1" allowOverlap="1" wp14:anchorId="2E34050B">
                <wp:simplePos x="0" y="0"/>
                <wp:positionH relativeFrom="column">
                  <wp:posOffset>47625</wp:posOffset>
                </wp:positionH>
                <wp:positionV relativeFrom="paragraph">
                  <wp:posOffset>1562100</wp:posOffset>
                </wp:positionV>
                <wp:extent cx="5774055" cy="757555"/>
                <wp:effectExtent l="0" t="0" r="36195" b="61595"/>
                <wp:wrapSquare wrapText="bothSides"/>
                <wp:docPr id="72"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757555"/>
                        </a:xfrm>
                        <a:prstGeom prst="rect">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EA2176" w:rsidRPr="00607F89" w:rsidRDefault="00EA2176" w:rsidP="00607F89">
                            <w:pPr>
                              <w:ind w:right="142"/>
                              <w:jc w:val="center"/>
                              <w:rPr>
                                <w:b/>
                              </w:rPr>
                            </w:pPr>
                            <w:r w:rsidRPr="00607F89">
                              <w:rPr>
                                <w:b/>
                              </w:rPr>
                              <w:t>Предимството на холдинговия фонд е, че може да инвестира в определен период от време в зависимост от икономическата обстановка и способността на финансовите посредници да абсорбират средствата.</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E34050B" id="Text Box 158" o:spid="_x0000_s1109" type="#_x0000_t202" style="position:absolute;left:0;text-align:left;margin-left:3.75pt;margin-top:123pt;width:454.65pt;height:59.65pt;z-index:251720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" fillcolor="#9cc2e5 [1940]" strokecolor="#9cc2e5 [1940]" strokeweight="1pt">
                <v:fill color2="#deeaf6 [660]" angle="135" focus="50%" type="gradient"/>
                <v:shadow on="t" color="#1f4d78 [1604]" opacity=".5" offset="1pt"/>
                <v:textbox style="mso-fit-shape-to-text:t">
                  <w:txbxContent>
                    <w:p w:rsidR="00EA2176" w:rsidRPr="00607F89" w:rsidRDefault="00EA2176" w:rsidP="00607F89">
                      <w:pPr>
                        <w:ind w:right="142"/>
                        <w:jc w:val="center"/>
                        <w:rPr>
                          <w:b/>
                        </w:rPr>
                      </w:pPr>
                      <w:r w:rsidRPr="00607F89">
                        <w:rPr>
                          <w:b/>
                        </w:rPr>
                        <w:t>Предимството на холдинговия фонд е, че може да инвестира в определен период от време в зависимост от икономическата обстановка и способността на финансовите посредници да абсорбират средствата.</w:t>
                      </w:r>
                    </w:p>
                  </w:txbxContent>
                </v:textbox>
                <w10:wrap type="square"/>
              </v:shape>
            </w:pict>
          </mc:Fallback>
        </mc:AlternateContent>
      </w:r>
      <w:r w:rsidR="002538B6">
        <w:t xml:space="preserve">По време на подготовка на инвестиционната стратегия за прилагане на финансови инструменти </w:t>
      </w:r>
      <w:r w:rsidR="0034256F">
        <w:t>следва да се вземе предвид мотивацията и капацитета на бенефициентите на операт</w:t>
      </w:r>
      <w:r w:rsidR="00167617">
        <w:t>ивната програма, които се явяват крайни ползватели на финансовите инструменти.</w:t>
      </w:r>
      <w:r w:rsidR="00837E56">
        <w:t xml:space="preserve"> </w:t>
      </w:r>
      <w:r w:rsidR="00837E56" w:rsidRPr="00F85E2A">
        <w:rPr>
          <w:b/>
        </w:rPr>
        <w:t xml:space="preserve">Идеята е да се оказва пълна подкрепа на бенефициентите, за да се постигне успешно крайната цел на </w:t>
      </w:r>
      <w:r w:rsidR="00BB27BC" w:rsidRPr="00F85E2A">
        <w:rPr>
          <w:b/>
        </w:rPr>
        <w:t>програмата.</w:t>
      </w:r>
      <w:r w:rsidR="00167617" w:rsidRPr="00F85E2A">
        <w:rPr>
          <w:b/>
        </w:rPr>
        <w:t xml:space="preserve"> Кри</w:t>
      </w:r>
      <w:r w:rsidR="00295143" w:rsidRPr="00F85E2A">
        <w:rPr>
          <w:b/>
        </w:rPr>
        <w:t>тичен момент е гъвкавостта на инвестиционната стратегия, която тря</w:t>
      </w:r>
      <w:r w:rsidR="005663D5" w:rsidRPr="00F85E2A">
        <w:rPr>
          <w:b/>
        </w:rPr>
        <w:t xml:space="preserve">бва да бъде максимално гъвкава, за да могат финансовите инструменти да се съобразяват с ограниченията на </w:t>
      </w:r>
      <w:r w:rsidR="003C6F6D" w:rsidRPr="00F85E2A">
        <w:rPr>
          <w:b/>
        </w:rPr>
        <w:t>пазара.</w:t>
      </w:r>
    </w:p>
    <w:p w:rsidR="00B94CAA" w:rsidRDefault="00B94CAA" w:rsidP="00607F89">
      <w:pPr>
        <w:pStyle w:val="Heading4"/>
        <w:rPr>
          <w:rFonts w:eastAsia="Calibri"/>
          <w:color w:val="2E74B5" w:themeColor="accent1" w:themeShade="BF"/>
        </w:rPr>
      </w:pPr>
    </w:p>
    <w:p w:rsidR="00D0258B" w:rsidRPr="00607F89" w:rsidRDefault="00957864" w:rsidP="00607F89">
      <w:pPr>
        <w:pStyle w:val="Heading4"/>
        <w:rPr>
          <w:rFonts w:eastAsia="Calibri"/>
          <w:color w:val="2E74B5" w:themeColor="accent1" w:themeShade="BF"/>
        </w:rPr>
      </w:pPr>
      <w:r w:rsidRPr="00607F89">
        <w:rPr>
          <w:rFonts w:eastAsia="Calibri"/>
          <w:color w:val="2E74B5" w:themeColor="accent1" w:themeShade="BF"/>
        </w:rPr>
        <w:t>Добри практики за гъвкавост</w:t>
      </w:r>
      <w:r w:rsidR="00727598" w:rsidRPr="00607F89">
        <w:rPr>
          <w:rFonts w:eastAsia="Calibri"/>
          <w:color w:val="2E74B5" w:themeColor="accent1" w:themeShade="BF"/>
        </w:rPr>
        <w:t xml:space="preserve"> на инвестиционната стратегия</w:t>
      </w:r>
    </w:p>
    <w:p w:rsidR="00D0258B" w:rsidRPr="00957864" w:rsidRDefault="00957864" w:rsidP="00607F89">
      <w:pPr>
        <w:tabs>
          <w:tab w:val="left" w:pos="8931"/>
        </w:tabs>
        <w:spacing w:before="240" w:after="240"/>
        <w:ind w:right="142"/>
        <w:jc w:val="both"/>
        <w:rPr>
          <w:rFonts w:cs="Times New Roman"/>
        </w:rPr>
      </w:pPr>
      <w:r w:rsidRPr="00FF127D">
        <w:rPr>
          <w:rFonts w:cs="Times New Roman"/>
          <w:u w:val="single"/>
        </w:rPr>
        <w:t>Фонд с много инструменти</w:t>
      </w:r>
      <w:r w:rsidRPr="00957864">
        <w:rPr>
          <w:rFonts w:cs="Times New Roman"/>
        </w:rPr>
        <w:t>:</w:t>
      </w:r>
      <w:r>
        <w:rPr>
          <w:rFonts w:cs="Times New Roman"/>
        </w:rPr>
        <w:t xml:space="preserve"> Примерът на Андалусия е създаване на един фонд, който предоставя много видове финансови инструменти</w:t>
      </w:r>
      <w:r w:rsidR="00FF127D">
        <w:rPr>
          <w:rFonts w:cs="Times New Roman"/>
        </w:rPr>
        <w:t>:</w:t>
      </w:r>
      <w:r>
        <w:rPr>
          <w:rFonts w:cs="Times New Roman"/>
        </w:rPr>
        <w:t xml:space="preserve"> </w:t>
      </w:r>
      <w:r w:rsidR="00FF127D">
        <w:rPr>
          <w:rStyle w:val="hps"/>
        </w:rPr>
        <w:t>собствен капитал</w:t>
      </w:r>
      <w:r w:rsidR="00FF127D">
        <w:t xml:space="preserve">, </w:t>
      </w:r>
      <w:r w:rsidR="00FF127D">
        <w:rPr>
          <w:rStyle w:val="hps"/>
        </w:rPr>
        <w:t>мецанин</w:t>
      </w:r>
      <w:r w:rsidR="00FF127D">
        <w:t xml:space="preserve"> </w:t>
      </w:r>
      <w:r w:rsidR="00FF127D">
        <w:rPr>
          <w:rStyle w:val="hps"/>
        </w:rPr>
        <w:t>финансиране</w:t>
      </w:r>
      <w:r w:rsidR="00FF127D">
        <w:t xml:space="preserve">, </w:t>
      </w:r>
      <w:r w:rsidR="00FF127D">
        <w:rPr>
          <w:rStyle w:val="hps"/>
        </w:rPr>
        <w:t>заеми</w:t>
      </w:r>
      <w:r w:rsidR="00FF127D">
        <w:t xml:space="preserve">, </w:t>
      </w:r>
      <w:r w:rsidR="00FF127D">
        <w:rPr>
          <w:rStyle w:val="hps"/>
        </w:rPr>
        <w:t>конвертируеми</w:t>
      </w:r>
      <w:r w:rsidR="00FF127D">
        <w:t xml:space="preserve"> </w:t>
      </w:r>
      <w:r w:rsidR="00FF127D">
        <w:rPr>
          <w:rStyle w:val="hps"/>
        </w:rPr>
        <w:t>заеми</w:t>
      </w:r>
      <w:r w:rsidR="00FF127D">
        <w:t xml:space="preserve">, </w:t>
      </w:r>
      <w:r w:rsidR="00FF127D">
        <w:rPr>
          <w:rStyle w:val="hps"/>
        </w:rPr>
        <w:t>гаранции.</w:t>
      </w:r>
      <w:r w:rsidR="00FF127D">
        <w:t xml:space="preserve"> </w:t>
      </w:r>
      <w:r w:rsidR="00FF127D">
        <w:rPr>
          <w:rStyle w:val="hps"/>
        </w:rPr>
        <w:t>Това прави</w:t>
      </w:r>
      <w:r w:rsidR="00FF127D">
        <w:t xml:space="preserve"> </w:t>
      </w:r>
      <w:r w:rsidR="00FF127D">
        <w:rPr>
          <w:rStyle w:val="hps"/>
        </w:rPr>
        <w:t>фонда</w:t>
      </w:r>
      <w:r w:rsidR="00FF127D">
        <w:t xml:space="preserve"> </w:t>
      </w:r>
      <w:r w:rsidR="00FF127D">
        <w:rPr>
          <w:rStyle w:val="hps"/>
        </w:rPr>
        <w:t>изключително гъвкав</w:t>
      </w:r>
      <w:r w:rsidR="00FF127D">
        <w:t xml:space="preserve"> </w:t>
      </w:r>
      <w:r w:rsidR="00FF127D">
        <w:rPr>
          <w:rStyle w:val="hps"/>
        </w:rPr>
        <w:t>и</w:t>
      </w:r>
      <w:r w:rsidR="00FF127D">
        <w:t xml:space="preserve"> </w:t>
      </w:r>
      <w:r w:rsidR="00FF127D">
        <w:rPr>
          <w:rStyle w:val="hps"/>
        </w:rPr>
        <w:t>дава възможност</w:t>
      </w:r>
      <w:r w:rsidR="00FF127D">
        <w:t xml:space="preserve"> </w:t>
      </w:r>
      <w:r w:rsidR="00FF127D">
        <w:rPr>
          <w:rStyle w:val="hps"/>
        </w:rPr>
        <w:t>за посрещане на финансовите</w:t>
      </w:r>
      <w:r w:rsidR="00FF127D">
        <w:t xml:space="preserve"> </w:t>
      </w:r>
      <w:r w:rsidR="00FF127D">
        <w:rPr>
          <w:rStyle w:val="hps"/>
        </w:rPr>
        <w:t>нужди,</w:t>
      </w:r>
      <w:r w:rsidR="00FF127D">
        <w:t xml:space="preserve"> </w:t>
      </w:r>
      <w:r w:rsidR="00FF127D">
        <w:rPr>
          <w:rStyle w:val="hps"/>
        </w:rPr>
        <w:t>особено</w:t>
      </w:r>
      <w:r w:rsidR="00FF127D">
        <w:t xml:space="preserve"> </w:t>
      </w:r>
      <w:r w:rsidR="00FF127D">
        <w:rPr>
          <w:rStyle w:val="hps"/>
        </w:rPr>
        <w:t>в трудна</w:t>
      </w:r>
      <w:r w:rsidR="00FF127D">
        <w:t xml:space="preserve"> </w:t>
      </w:r>
      <w:r w:rsidR="00FF127D">
        <w:rPr>
          <w:rStyle w:val="hps"/>
        </w:rPr>
        <w:t>икономическа среда.</w:t>
      </w:r>
    </w:p>
    <w:p w:rsidR="002538B6" w:rsidRDefault="001920F8" w:rsidP="000828E9">
      <w:pPr>
        <w:tabs>
          <w:tab w:val="left" w:pos="8789"/>
        </w:tabs>
        <w:ind w:right="142"/>
        <w:jc w:val="both"/>
        <w:rPr>
          <w:rFonts w:cs="Times New Roman"/>
        </w:rPr>
      </w:pPr>
      <w:r w:rsidRPr="001920F8">
        <w:rPr>
          <w:rFonts w:cs="Times New Roman"/>
          <w:u w:val="single"/>
        </w:rPr>
        <w:t>Фонд за индивидуални финансови инструменти:</w:t>
      </w:r>
      <w:r>
        <w:rPr>
          <w:rFonts w:cs="Times New Roman"/>
          <w:u w:val="single"/>
        </w:rPr>
        <w:t xml:space="preserve"> </w:t>
      </w:r>
      <w:r w:rsidRPr="001920F8">
        <w:rPr>
          <w:rFonts w:cs="Times New Roman"/>
        </w:rPr>
        <w:t xml:space="preserve">Регион Централна Дания е избрал структура без холдингов фонд. </w:t>
      </w:r>
      <w:r w:rsidR="003C2C59">
        <w:rPr>
          <w:rFonts w:cs="Times New Roman"/>
        </w:rPr>
        <w:t xml:space="preserve">Пазарният анализ е </w:t>
      </w:r>
      <w:r w:rsidR="00B87C9D">
        <w:rPr>
          <w:rFonts w:cs="Times New Roman"/>
        </w:rPr>
        <w:t xml:space="preserve">идентифицирал недостиг на пазара на заемно и капиталово финансиране. Тъй като вече е имало регистриран гаранционен фонд, не е имало нужда от създаването на нов. </w:t>
      </w:r>
      <w:r w:rsidR="00C620E3">
        <w:rPr>
          <w:rFonts w:cs="Times New Roman"/>
        </w:rPr>
        <w:t>Затова създават фонд, който да отпуска финансиране на индивидуален принцип, според решението на фонд мениджъ</w:t>
      </w:r>
      <w:r w:rsidR="00927D63">
        <w:rPr>
          <w:rFonts w:cs="Times New Roman"/>
        </w:rPr>
        <w:t>ра за това дали да отпусне заем, да инвестира в капитала или да използва комбинация от двата финансови инструмента.</w:t>
      </w:r>
    </w:p>
    <w:p w:rsidR="006C15E2" w:rsidRPr="001920F8" w:rsidRDefault="00C6376B" w:rsidP="000828E9">
      <w:pPr>
        <w:tabs>
          <w:tab w:val="left" w:pos="8789"/>
        </w:tabs>
        <w:ind w:right="142"/>
        <w:jc w:val="both"/>
        <w:rPr>
          <w:rFonts w:cs="Times New Roman"/>
        </w:rPr>
      </w:pPr>
      <w:r w:rsidRPr="00C6376B">
        <w:rPr>
          <w:rFonts w:cs="Times New Roman"/>
          <w:u w:val="single"/>
        </w:rPr>
        <w:t>Комбиниране на финансов инструмент с грант</w:t>
      </w:r>
      <w:r>
        <w:rPr>
          <w:rFonts w:cs="Times New Roman"/>
        </w:rPr>
        <w:t xml:space="preserve">: Примерът на Унгарската агенция за развитие показва възможността за комбиниране на </w:t>
      </w:r>
      <w:r w:rsidR="00FB525B">
        <w:rPr>
          <w:rFonts w:cs="Times New Roman"/>
        </w:rPr>
        <w:t xml:space="preserve">грант със заем. Финансовият посредник разглежда </w:t>
      </w:r>
      <w:r w:rsidR="001220EE">
        <w:rPr>
          <w:rFonts w:cs="Times New Roman"/>
        </w:rPr>
        <w:t>формуляра за кандидатстване за кредит едновременно с разглеждането на формуляра за безвъзмездна помощ</w:t>
      </w:r>
      <w:r w:rsidR="006B2C48">
        <w:rPr>
          <w:rFonts w:cs="Times New Roman"/>
        </w:rPr>
        <w:t xml:space="preserve"> от УО</w:t>
      </w:r>
      <w:r w:rsidR="008A7DCE">
        <w:rPr>
          <w:rFonts w:cs="Times New Roman"/>
        </w:rPr>
        <w:t xml:space="preserve">. </w:t>
      </w:r>
      <w:r w:rsidR="009D0DED">
        <w:rPr>
          <w:rFonts w:cs="Times New Roman"/>
        </w:rPr>
        <w:t>Окончателното решение</w:t>
      </w:r>
      <w:r w:rsidR="00FA0317">
        <w:rPr>
          <w:rFonts w:cs="Times New Roman"/>
        </w:rPr>
        <w:t xml:space="preserve"> за одобряване финансирането се взема от Управляващия орган.</w:t>
      </w:r>
    </w:p>
    <w:p w:rsidR="00264D22" w:rsidRPr="00607F89" w:rsidRDefault="009D7D80" w:rsidP="00607F89">
      <w:pPr>
        <w:pStyle w:val="Heading4"/>
        <w:spacing w:after="240"/>
        <w:rPr>
          <w:rFonts w:eastAsia="Calibri"/>
          <w:color w:val="2E74B5" w:themeColor="accent1" w:themeShade="BF"/>
        </w:rPr>
      </w:pPr>
      <w:r w:rsidRPr="00607F89">
        <w:rPr>
          <w:rFonts w:eastAsia="Calibri"/>
          <w:color w:val="2E74B5" w:themeColor="accent1" w:themeShade="BF"/>
        </w:rPr>
        <w:t>Включване на финансовите инструменти в оперативната програма</w:t>
      </w:r>
    </w:p>
    <w:p w:rsidR="00D10E35" w:rsidRDefault="00310065" w:rsidP="00607F89">
      <w:pPr>
        <w:spacing w:after="240"/>
        <w:jc w:val="both"/>
      </w:pPr>
      <w:r>
        <w:rPr>
          <w:rStyle w:val="hps"/>
        </w:rPr>
        <w:t>Двете</w:t>
      </w:r>
      <w:r>
        <w:t xml:space="preserve"> </w:t>
      </w:r>
      <w:r>
        <w:rPr>
          <w:rStyle w:val="hps"/>
        </w:rPr>
        <w:t>ключови</w:t>
      </w:r>
      <w:r>
        <w:t xml:space="preserve"> </w:t>
      </w:r>
      <w:r>
        <w:rPr>
          <w:rStyle w:val="hps"/>
        </w:rPr>
        <w:t>думи</w:t>
      </w:r>
      <w:r>
        <w:t xml:space="preserve">, определящи </w:t>
      </w:r>
      <w:r>
        <w:rPr>
          <w:rStyle w:val="hps"/>
        </w:rPr>
        <w:t>по-ефективно</w:t>
      </w:r>
      <w:r>
        <w:t xml:space="preserve"> </w:t>
      </w:r>
      <w:r>
        <w:rPr>
          <w:rStyle w:val="hps"/>
        </w:rPr>
        <w:t>включване на финансови инструменти</w:t>
      </w:r>
      <w:r>
        <w:t xml:space="preserve"> </w:t>
      </w:r>
      <w:r>
        <w:rPr>
          <w:rStyle w:val="hps"/>
        </w:rPr>
        <w:t>в Оперативната</w:t>
      </w:r>
      <w:r>
        <w:t xml:space="preserve"> </w:t>
      </w:r>
      <w:r>
        <w:rPr>
          <w:rStyle w:val="hps"/>
        </w:rPr>
        <w:t>програма</w:t>
      </w:r>
      <w:r>
        <w:t xml:space="preserve"> </w:t>
      </w:r>
      <w:r>
        <w:rPr>
          <w:rStyle w:val="hps"/>
        </w:rPr>
        <w:t>са</w:t>
      </w:r>
      <w:r>
        <w:t xml:space="preserve"> </w:t>
      </w:r>
      <w:r>
        <w:rPr>
          <w:rStyle w:val="hps"/>
        </w:rPr>
        <w:t>яснота</w:t>
      </w:r>
      <w:r>
        <w:t xml:space="preserve"> </w:t>
      </w:r>
      <w:r>
        <w:rPr>
          <w:rStyle w:val="hps"/>
        </w:rPr>
        <w:t>и опростяване</w:t>
      </w:r>
      <w:r>
        <w:t xml:space="preserve">, </w:t>
      </w:r>
      <w:r>
        <w:rPr>
          <w:rStyle w:val="hps"/>
        </w:rPr>
        <w:t>с оглед</w:t>
      </w:r>
      <w:r>
        <w:t xml:space="preserve"> </w:t>
      </w:r>
      <w:r>
        <w:rPr>
          <w:rStyle w:val="hps"/>
        </w:rPr>
        <w:t>предотвратяване на проблеми</w:t>
      </w:r>
      <w:r>
        <w:t xml:space="preserve">, възникващи </w:t>
      </w:r>
      <w:r>
        <w:rPr>
          <w:rStyle w:val="hps"/>
        </w:rPr>
        <w:t>през</w:t>
      </w:r>
      <w:r>
        <w:t xml:space="preserve"> </w:t>
      </w:r>
      <w:r>
        <w:rPr>
          <w:rStyle w:val="hps"/>
        </w:rPr>
        <w:t>тълкуване.</w:t>
      </w:r>
      <w:r>
        <w:t xml:space="preserve"> </w:t>
      </w:r>
      <w:r>
        <w:rPr>
          <w:rStyle w:val="hps"/>
        </w:rPr>
        <w:t>Нещо повече</w:t>
      </w:r>
      <w:r>
        <w:t xml:space="preserve">, разрешаване </w:t>
      </w:r>
      <w:r>
        <w:rPr>
          <w:rStyle w:val="hps"/>
        </w:rPr>
        <w:t>регулационни</w:t>
      </w:r>
      <w:r>
        <w:t xml:space="preserve"> </w:t>
      </w:r>
      <w:r>
        <w:rPr>
          <w:rStyle w:val="hps"/>
        </w:rPr>
        <w:t>проблеми</w:t>
      </w:r>
      <w:r>
        <w:t xml:space="preserve"> </w:t>
      </w:r>
      <w:r>
        <w:rPr>
          <w:rStyle w:val="hps"/>
        </w:rPr>
        <w:t>възможно най-</w:t>
      </w:r>
      <w:r>
        <w:rPr>
          <w:rStyle w:val="hps"/>
        </w:rPr>
        <w:lastRenderedPageBreak/>
        <w:t>скоро</w:t>
      </w:r>
      <w:r>
        <w:t xml:space="preserve"> </w:t>
      </w:r>
      <w:r>
        <w:rPr>
          <w:rStyle w:val="hps"/>
        </w:rPr>
        <w:t>в</w:t>
      </w:r>
      <w:r>
        <w:t xml:space="preserve"> </w:t>
      </w:r>
      <w:r>
        <w:rPr>
          <w:rStyle w:val="hps"/>
        </w:rPr>
        <w:t>програмирането на</w:t>
      </w:r>
      <w:r>
        <w:t xml:space="preserve"> </w:t>
      </w:r>
      <w:r>
        <w:rPr>
          <w:rStyle w:val="hps"/>
        </w:rPr>
        <w:t>инициативи</w:t>
      </w:r>
      <w:r>
        <w:t xml:space="preserve"> </w:t>
      </w:r>
      <w:r>
        <w:rPr>
          <w:rStyle w:val="hps"/>
        </w:rPr>
        <w:t>за финансов инженеринг,</w:t>
      </w:r>
      <w:r>
        <w:t xml:space="preserve"> </w:t>
      </w:r>
      <w:r>
        <w:rPr>
          <w:rStyle w:val="hps"/>
        </w:rPr>
        <w:t>спестява време</w:t>
      </w:r>
      <w:r>
        <w:t xml:space="preserve"> </w:t>
      </w:r>
      <w:r>
        <w:rPr>
          <w:rStyle w:val="hps"/>
        </w:rPr>
        <w:t>в по-късните</w:t>
      </w:r>
      <w:r>
        <w:t xml:space="preserve"> </w:t>
      </w:r>
      <w:r>
        <w:rPr>
          <w:rStyle w:val="hps"/>
        </w:rPr>
        <w:t>етапи</w:t>
      </w:r>
      <w:r>
        <w:t xml:space="preserve">. </w:t>
      </w:r>
    </w:p>
    <w:p w:rsidR="009D7D80" w:rsidRPr="001B563D" w:rsidRDefault="00310065" w:rsidP="00310065">
      <w:pPr>
        <w:jc w:val="both"/>
        <w:rPr>
          <w:b/>
        </w:rPr>
      </w:pPr>
      <w:r w:rsidRPr="001B563D">
        <w:rPr>
          <w:rStyle w:val="hps"/>
          <w:b/>
        </w:rPr>
        <w:t>Ето защо е</w:t>
      </w:r>
      <w:r w:rsidRPr="001B563D">
        <w:rPr>
          <w:b/>
        </w:rPr>
        <w:t xml:space="preserve"> </w:t>
      </w:r>
      <w:r w:rsidRPr="001B563D">
        <w:rPr>
          <w:rStyle w:val="hps"/>
          <w:b/>
        </w:rPr>
        <w:t>от решаващо значение</w:t>
      </w:r>
      <w:r w:rsidRPr="001B563D">
        <w:rPr>
          <w:b/>
        </w:rPr>
        <w:t xml:space="preserve"> </w:t>
      </w:r>
      <w:r w:rsidRPr="001B563D">
        <w:rPr>
          <w:rStyle w:val="hps"/>
          <w:b/>
        </w:rPr>
        <w:t xml:space="preserve">да </w:t>
      </w:r>
      <w:r w:rsidR="00D10E35" w:rsidRPr="001B563D">
        <w:rPr>
          <w:rStyle w:val="hps"/>
          <w:b/>
        </w:rPr>
        <w:t>се анализира</w:t>
      </w:r>
      <w:r w:rsidRPr="001B563D">
        <w:rPr>
          <w:rStyle w:val="hps"/>
          <w:b/>
        </w:rPr>
        <w:t xml:space="preserve"> нормативната уредба</w:t>
      </w:r>
      <w:r w:rsidRPr="001B563D">
        <w:rPr>
          <w:b/>
        </w:rPr>
        <w:t xml:space="preserve">, </w:t>
      </w:r>
      <w:r w:rsidR="00D10E35" w:rsidRPr="001B563D">
        <w:rPr>
          <w:b/>
        </w:rPr>
        <w:t>като се проведат разговори</w:t>
      </w:r>
      <w:r w:rsidRPr="001B563D">
        <w:rPr>
          <w:rStyle w:val="hps"/>
          <w:b/>
        </w:rPr>
        <w:t xml:space="preserve"> и</w:t>
      </w:r>
      <w:r w:rsidRPr="001B563D">
        <w:rPr>
          <w:b/>
        </w:rPr>
        <w:t xml:space="preserve"> </w:t>
      </w:r>
      <w:r w:rsidRPr="001B563D">
        <w:rPr>
          <w:rStyle w:val="hps"/>
          <w:b/>
        </w:rPr>
        <w:t>обмен</w:t>
      </w:r>
      <w:r w:rsidR="00D10E35" w:rsidRPr="001B563D">
        <w:rPr>
          <w:rStyle w:val="hps"/>
          <w:b/>
        </w:rPr>
        <w:t xml:space="preserve"> на информация</w:t>
      </w:r>
      <w:r w:rsidRPr="001B563D">
        <w:rPr>
          <w:b/>
        </w:rPr>
        <w:t xml:space="preserve"> </w:t>
      </w:r>
      <w:r w:rsidRPr="001B563D">
        <w:rPr>
          <w:rStyle w:val="hps"/>
          <w:b/>
        </w:rPr>
        <w:t>с националните</w:t>
      </w:r>
      <w:r w:rsidRPr="001B563D">
        <w:rPr>
          <w:b/>
        </w:rPr>
        <w:t xml:space="preserve"> </w:t>
      </w:r>
      <w:r w:rsidRPr="001B563D">
        <w:rPr>
          <w:rStyle w:val="hps"/>
          <w:b/>
        </w:rPr>
        <w:t>и европейските органи</w:t>
      </w:r>
      <w:r w:rsidRPr="001B563D">
        <w:rPr>
          <w:b/>
        </w:rPr>
        <w:t>.</w:t>
      </w:r>
    </w:p>
    <w:p w:rsidR="000A6D3A" w:rsidRPr="00607F89" w:rsidRDefault="000A6D3A" w:rsidP="00607F89">
      <w:pPr>
        <w:pStyle w:val="Heading4"/>
        <w:spacing w:after="240"/>
        <w:rPr>
          <w:rFonts w:eastAsia="Calibri"/>
          <w:color w:val="2E74B5" w:themeColor="accent1" w:themeShade="BF"/>
        </w:rPr>
      </w:pPr>
      <w:r w:rsidRPr="00607F89">
        <w:rPr>
          <w:rFonts w:eastAsia="Calibri"/>
          <w:color w:val="2E74B5" w:themeColor="accent1" w:themeShade="BF"/>
        </w:rPr>
        <w:t>Добри практики за избягване на грешките</w:t>
      </w:r>
    </w:p>
    <w:p w:rsidR="000A6D3A" w:rsidRDefault="000A6D3A" w:rsidP="000A6D3A">
      <w:pPr>
        <w:jc w:val="both"/>
        <w:rPr>
          <w:rStyle w:val="hps"/>
        </w:rPr>
      </w:pPr>
      <w:r w:rsidRPr="000A6D3A">
        <w:rPr>
          <w:rStyle w:val="hps"/>
        </w:rPr>
        <w:t>Берлин</w:t>
      </w:r>
      <w:r>
        <w:rPr>
          <w:rStyle w:val="hps"/>
        </w:rPr>
        <w:t xml:space="preserve"> използва финансови инструменти, финансирани от </w:t>
      </w:r>
      <w:r w:rsidR="003F6C93">
        <w:rPr>
          <w:rStyle w:val="hps"/>
        </w:rPr>
        <w:t xml:space="preserve">ЕФРР от периода 2000-2006г. На база на опита си те съветват да не се залагат много детайли в оперативната програма, а вместо това да се посочи </w:t>
      </w:r>
      <w:r w:rsidR="00E86D30">
        <w:rPr>
          <w:rStyle w:val="hps"/>
        </w:rPr>
        <w:t>сумата за финансови инструменти и индикатори за резултат, за да има повече възможност да промени в зависимост от търсенето на пазара.</w:t>
      </w:r>
    </w:p>
    <w:p w:rsidR="00E86D30" w:rsidRPr="00607F89" w:rsidRDefault="006A5F2D" w:rsidP="00607F89">
      <w:pPr>
        <w:pStyle w:val="Heading4"/>
        <w:spacing w:after="240"/>
        <w:rPr>
          <w:rFonts w:eastAsia="Calibri"/>
          <w:color w:val="2E74B5" w:themeColor="accent1" w:themeShade="BF"/>
        </w:rPr>
      </w:pPr>
      <w:r w:rsidRPr="00607F89">
        <w:rPr>
          <w:rFonts w:eastAsia="Calibri"/>
          <w:color w:val="2E74B5" w:themeColor="accent1" w:themeShade="BF"/>
        </w:rPr>
        <w:t xml:space="preserve">Съфинансиране </w:t>
      </w:r>
    </w:p>
    <w:p w:rsidR="006A5F2D" w:rsidRPr="00C7555E" w:rsidRDefault="006A5F2D" w:rsidP="002D05A0">
      <w:pPr>
        <w:shd w:val="clear" w:color="auto" w:fill="FFFFFF"/>
        <w:spacing w:before="100" w:beforeAutospacing="1" w:after="100" w:afterAutospacing="1" w:line="240" w:lineRule="auto"/>
      </w:pPr>
      <w:r w:rsidRPr="00C7555E">
        <w:rPr>
          <w:color w:val="000000"/>
          <w:spacing w:val="-7"/>
          <w:sz w:val="24"/>
          <w:szCs w:val="24"/>
        </w:rPr>
        <w:t>Има два вида съфинансиране:</w:t>
      </w:r>
    </w:p>
    <w:p w:rsidR="006A5F2D" w:rsidRPr="0052186B" w:rsidRDefault="006A5F2D" w:rsidP="001A036E">
      <w:pPr>
        <w:numPr>
          <w:ilvl w:val="1"/>
          <w:numId w:val="106"/>
        </w:numPr>
        <w:shd w:val="clear" w:color="auto" w:fill="FFFFFF"/>
        <w:spacing w:before="100" w:beforeAutospacing="1" w:after="100" w:afterAutospacing="1" w:line="240" w:lineRule="auto"/>
        <w:jc w:val="both"/>
      </w:pPr>
      <w:r w:rsidRPr="0052186B">
        <w:rPr>
          <w:bCs/>
          <w:color w:val="000000"/>
          <w:spacing w:val="-5"/>
          <w:sz w:val="24"/>
          <w:szCs w:val="24"/>
        </w:rPr>
        <w:t xml:space="preserve">национално </w:t>
      </w:r>
    </w:p>
    <w:p w:rsidR="006A5F2D" w:rsidRPr="0052186B" w:rsidRDefault="006A5F2D" w:rsidP="001A036E">
      <w:pPr>
        <w:numPr>
          <w:ilvl w:val="1"/>
          <w:numId w:val="106"/>
        </w:numPr>
        <w:shd w:val="clear" w:color="auto" w:fill="FFFFFF"/>
        <w:spacing w:before="100" w:beforeAutospacing="1" w:after="100" w:afterAutospacing="1" w:line="240" w:lineRule="auto"/>
      </w:pPr>
      <w:r w:rsidRPr="0052186B">
        <w:rPr>
          <w:bCs/>
          <w:color w:val="000000"/>
          <w:spacing w:val="-6"/>
          <w:sz w:val="24"/>
          <w:szCs w:val="24"/>
        </w:rPr>
        <w:t>частно</w:t>
      </w:r>
    </w:p>
    <w:p w:rsidR="00C7555E" w:rsidRPr="00C7555E" w:rsidRDefault="00C7555E" w:rsidP="002D05A0">
      <w:pPr>
        <w:shd w:val="clear" w:color="auto" w:fill="FFFFFF"/>
        <w:spacing w:before="100" w:beforeAutospacing="1" w:after="100" w:afterAutospacing="1" w:line="240" w:lineRule="auto"/>
        <w:rPr>
          <w:color w:val="000000"/>
          <w:spacing w:val="-7"/>
          <w:sz w:val="24"/>
          <w:szCs w:val="24"/>
        </w:rPr>
      </w:pPr>
      <w:r w:rsidRPr="00C7555E">
        <w:rPr>
          <w:color w:val="000000"/>
          <w:spacing w:val="-7"/>
          <w:sz w:val="24"/>
          <w:szCs w:val="24"/>
        </w:rPr>
        <w:t>Съфинансирането може да бъде направено на три нива</w:t>
      </w:r>
      <w:r>
        <w:rPr>
          <w:color w:val="000000"/>
          <w:spacing w:val="-7"/>
          <w:sz w:val="24"/>
          <w:szCs w:val="24"/>
        </w:rPr>
        <w:t>:</w:t>
      </w:r>
    </w:p>
    <w:p w:rsidR="006A5F2D" w:rsidRDefault="00F21233" w:rsidP="001A036E">
      <w:pPr>
        <w:widowControl w:val="0"/>
        <w:numPr>
          <w:ilvl w:val="0"/>
          <w:numId w:val="107"/>
        </w:numPr>
        <w:shd w:val="clear" w:color="auto" w:fill="FFFFFF"/>
        <w:tabs>
          <w:tab w:val="left" w:pos="720"/>
        </w:tabs>
        <w:autoSpaceDE w:val="0"/>
        <w:autoSpaceDN w:val="0"/>
        <w:adjustRightInd w:val="0"/>
        <w:spacing w:before="100" w:beforeAutospacing="1" w:after="100" w:afterAutospacing="1" w:line="240" w:lineRule="auto"/>
        <w:rPr>
          <w:color w:val="000000"/>
          <w:sz w:val="24"/>
          <w:szCs w:val="24"/>
        </w:rPr>
      </w:pPr>
      <w:r>
        <w:rPr>
          <w:color w:val="000000"/>
          <w:spacing w:val="-5"/>
          <w:sz w:val="24"/>
          <w:szCs w:val="24"/>
        </w:rPr>
        <w:t>Директна инвестиция в Холдинговия фонд</w:t>
      </w:r>
    </w:p>
    <w:p w:rsidR="006A5F2D" w:rsidRDefault="00F21233" w:rsidP="001A036E">
      <w:pPr>
        <w:widowControl w:val="0"/>
        <w:numPr>
          <w:ilvl w:val="0"/>
          <w:numId w:val="107"/>
        </w:numPr>
        <w:shd w:val="clear" w:color="auto" w:fill="FFFFFF"/>
        <w:tabs>
          <w:tab w:val="left" w:pos="720"/>
        </w:tabs>
        <w:autoSpaceDE w:val="0"/>
        <w:autoSpaceDN w:val="0"/>
        <w:adjustRightInd w:val="0"/>
        <w:spacing w:before="100" w:beforeAutospacing="1" w:after="100" w:afterAutospacing="1" w:line="240" w:lineRule="auto"/>
        <w:rPr>
          <w:color w:val="000000"/>
          <w:sz w:val="24"/>
          <w:szCs w:val="24"/>
        </w:rPr>
      </w:pPr>
      <w:r>
        <w:rPr>
          <w:color w:val="000000"/>
          <w:spacing w:val="-7"/>
          <w:sz w:val="24"/>
          <w:szCs w:val="24"/>
        </w:rPr>
        <w:t>Инвестиция във финансовия посредник</w:t>
      </w:r>
    </w:p>
    <w:p w:rsidR="006A5F2D" w:rsidRDefault="00F21233" w:rsidP="001A036E">
      <w:pPr>
        <w:widowControl w:val="0"/>
        <w:numPr>
          <w:ilvl w:val="0"/>
          <w:numId w:val="107"/>
        </w:numPr>
        <w:shd w:val="clear" w:color="auto" w:fill="FFFFFF"/>
        <w:tabs>
          <w:tab w:val="left" w:pos="720"/>
        </w:tabs>
        <w:autoSpaceDE w:val="0"/>
        <w:autoSpaceDN w:val="0"/>
        <w:adjustRightInd w:val="0"/>
        <w:spacing w:before="100" w:beforeAutospacing="1" w:after="100" w:afterAutospacing="1" w:line="240" w:lineRule="auto"/>
        <w:rPr>
          <w:color w:val="000000"/>
          <w:sz w:val="24"/>
          <w:szCs w:val="24"/>
        </w:rPr>
      </w:pPr>
      <w:r>
        <w:rPr>
          <w:color w:val="000000"/>
          <w:spacing w:val="-9"/>
          <w:sz w:val="24"/>
          <w:szCs w:val="24"/>
        </w:rPr>
        <w:t>Инвестиция в проекта (например 50% частно съфинансиране в капитала на дружеството</w:t>
      </w:r>
      <w:r w:rsidR="006A5F2D">
        <w:rPr>
          <w:color w:val="000000"/>
          <w:sz w:val="24"/>
          <w:szCs w:val="24"/>
        </w:rPr>
        <w:t>)</w:t>
      </w:r>
    </w:p>
    <w:p w:rsidR="006F377B" w:rsidRDefault="006F377B" w:rsidP="006F377B">
      <w:pPr>
        <w:jc w:val="both"/>
        <w:rPr>
          <w:rStyle w:val="hps"/>
        </w:rPr>
      </w:pPr>
      <w:r w:rsidRPr="006F377B">
        <w:rPr>
          <w:rStyle w:val="hps"/>
        </w:rPr>
        <w:t xml:space="preserve">Нивото на съфинансиране е много важно. </w:t>
      </w:r>
      <w:r w:rsidRPr="004B6340">
        <w:rPr>
          <w:rStyle w:val="hps"/>
          <w:b/>
        </w:rPr>
        <w:t>Съфинансиране на нивото на Холдингов фонд е по-трудно, тъй като структурата е твърде голяма и ползите са по-ограничени или</w:t>
      </w:r>
      <w:r w:rsidR="006B2C48" w:rsidRPr="004B6340">
        <w:rPr>
          <w:rStyle w:val="hps"/>
          <w:b/>
        </w:rPr>
        <w:t xml:space="preserve"> е</w:t>
      </w:r>
      <w:r w:rsidRPr="004B6340">
        <w:rPr>
          <w:rStyle w:val="hps"/>
          <w:b/>
        </w:rPr>
        <w:t xml:space="preserve"> по-трудно да се направи оценка от частните инвеститори.</w:t>
      </w:r>
      <w:r w:rsidRPr="006F377B">
        <w:rPr>
          <w:rStyle w:val="hps"/>
        </w:rPr>
        <w:t xml:space="preserve"> Следователно </w:t>
      </w:r>
      <w:r w:rsidR="00D23CEC">
        <w:rPr>
          <w:rStyle w:val="hps"/>
        </w:rPr>
        <w:t>привличане на</w:t>
      </w:r>
      <w:r w:rsidRPr="006F377B">
        <w:rPr>
          <w:rStyle w:val="hps"/>
        </w:rPr>
        <w:t xml:space="preserve"> съинвеститори на ниво сделка е по-лесно. Въпреки това, някои страни са успели да привл</w:t>
      </w:r>
      <w:r w:rsidR="00D23CEC">
        <w:rPr>
          <w:rStyle w:val="hps"/>
        </w:rPr>
        <w:t>екат</w:t>
      </w:r>
      <w:r w:rsidRPr="006F377B">
        <w:rPr>
          <w:rStyle w:val="hps"/>
        </w:rPr>
        <w:t xml:space="preserve"> съфинансиране на нивото на холдинговия фонд. </w:t>
      </w:r>
    </w:p>
    <w:p w:rsidR="006F377B" w:rsidRDefault="00D23CEC" w:rsidP="006F377B">
      <w:pPr>
        <w:jc w:val="both"/>
        <w:rPr>
          <w:rStyle w:val="hps"/>
        </w:rPr>
      </w:pPr>
      <w:r>
        <w:rPr>
          <w:rStyle w:val="hps"/>
        </w:rPr>
        <w:t>Н</w:t>
      </w:r>
      <w:r w:rsidR="006F377B" w:rsidRPr="006F377B">
        <w:rPr>
          <w:rStyle w:val="hps"/>
        </w:rPr>
        <w:t xml:space="preserve">еобходимо да има много балансиран инструмент между частния и обществения интерес. </w:t>
      </w:r>
      <w:r>
        <w:rPr>
          <w:rStyle w:val="hps"/>
        </w:rPr>
        <w:t>М</w:t>
      </w:r>
      <w:r w:rsidR="006F377B" w:rsidRPr="006F377B">
        <w:rPr>
          <w:rStyle w:val="hps"/>
        </w:rPr>
        <w:t>оже да се</w:t>
      </w:r>
      <w:r>
        <w:rPr>
          <w:rStyle w:val="hps"/>
        </w:rPr>
        <w:t xml:space="preserve"> наложи</w:t>
      </w:r>
      <w:r w:rsidR="006F377B" w:rsidRPr="006F377B">
        <w:rPr>
          <w:rStyle w:val="hps"/>
        </w:rPr>
        <w:t xml:space="preserve"> въве</w:t>
      </w:r>
      <w:r>
        <w:rPr>
          <w:rStyle w:val="hps"/>
        </w:rPr>
        <w:t>ждането на</w:t>
      </w:r>
      <w:r w:rsidR="006F377B" w:rsidRPr="006F377B">
        <w:rPr>
          <w:rStyle w:val="hps"/>
        </w:rPr>
        <w:t xml:space="preserve"> различни мерки, за да </w:t>
      </w:r>
      <w:r>
        <w:rPr>
          <w:rStyle w:val="hps"/>
        </w:rPr>
        <w:t>има</w:t>
      </w:r>
      <w:r w:rsidR="006F377B" w:rsidRPr="006F377B">
        <w:rPr>
          <w:rStyle w:val="hps"/>
        </w:rPr>
        <w:t xml:space="preserve"> повече ползи за частни</w:t>
      </w:r>
      <w:r>
        <w:rPr>
          <w:rStyle w:val="hps"/>
        </w:rPr>
        <w:t>те</w:t>
      </w:r>
      <w:r w:rsidR="006F377B" w:rsidRPr="006F377B">
        <w:rPr>
          <w:rStyle w:val="hps"/>
        </w:rPr>
        <w:t xml:space="preserve"> </w:t>
      </w:r>
      <w:r>
        <w:rPr>
          <w:rStyle w:val="hps"/>
        </w:rPr>
        <w:t>финансови институции</w:t>
      </w:r>
      <w:r w:rsidR="006F377B" w:rsidRPr="006F377B">
        <w:rPr>
          <w:rStyle w:val="hps"/>
        </w:rPr>
        <w:t>, което прави инвестицията по-привлекателн</w:t>
      </w:r>
      <w:r w:rsidR="00F65449">
        <w:rPr>
          <w:rStyle w:val="hps"/>
        </w:rPr>
        <w:t>а</w:t>
      </w:r>
      <w:r w:rsidR="006F377B" w:rsidRPr="006F377B">
        <w:rPr>
          <w:rStyle w:val="hps"/>
        </w:rPr>
        <w:t xml:space="preserve"> за тях. В допълнение, </w:t>
      </w:r>
      <w:r w:rsidR="00F65449">
        <w:rPr>
          <w:rStyle w:val="hps"/>
        </w:rPr>
        <w:t xml:space="preserve">колкото по-ясен е </w:t>
      </w:r>
      <w:r w:rsidR="006F377B" w:rsidRPr="006F377B">
        <w:rPr>
          <w:rStyle w:val="hps"/>
        </w:rPr>
        <w:t>договор</w:t>
      </w:r>
      <w:r w:rsidR="00F65449">
        <w:rPr>
          <w:rStyle w:val="hps"/>
        </w:rPr>
        <w:t>ът</w:t>
      </w:r>
      <w:r w:rsidR="006F377B" w:rsidRPr="006F377B">
        <w:rPr>
          <w:rStyle w:val="hps"/>
        </w:rPr>
        <w:t xml:space="preserve"> за финансиране</w:t>
      </w:r>
      <w:r w:rsidR="00F65449">
        <w:rPr>
          <w:rStyle w:val="hps"/>
        </w:rPr>
        <w:t>, толкова</w:t>
      </w:r>
      <w:r w:rsidR="006F377B" w:rsidRPr="006F377B">
        <w:rPr>
          <w:rStyle w:val="hps"/>
        </w:rPr>
        <w:t xml:space="preserve"> по-добри</w:t>
      </w:r>
      <w:r w:rsidR="00F65449">
        <w:rPr>
          <w:rStyle w:val="hps"/>
        </w:rPr>
        <w:t xml:space="preserve"> са</w:t>
      </w:r>
      <w:r w:rsidR="006F377B" w:rsidRPr="006F377B">
        <w:rPr>
          <w:rStyle w:val="hps"/>
        </w:rPr>
        <w:t xml:space="preserve"> отношения</w:t>
      </w:r>
      <w:r w:rsidR="00F65449">
        <w:rPr>
          <w:rStyle w:val="hps"/>
        </w:rPr>
        <w:t>та</w:t>
      </w:r>
      <w:r w:rsidR="006F377B" w:rsidRPr="006F377B">
        <w:rPr>
          <w:rStyle w:val="hps"/>
        </w:rPr>
        <w:t xml:space="preserve"> е с </w:t>
      </w:r>
      <w:r w:rsidR="00F65449">
        <w:rPr>
          <w:rStyle w:val="hps"/>
        </w:rPr>
        <w:t>частния инвеститор.</w:t>
      </w:r>
    </w:p>
    <w:p w:rsidR="00F65449" w:rsidRPr="00607F89" w:rsidRDefault="00F65449" w:rsidP="00607F89">
      <w:pPr>
        <w:pStyle w:val="Heading4"/>
        <w:spacing w:after="240"/>
        <w:rPr>
          <w:rFonts w:eastAsia="Calibri"/>
          <w:color w:val="2E74B5" w:themeColor="accent1" w:themeShade="BF"/>
        </w:rPr>
      </w:pPr>
      <w:r w:rsidRPr="00607F89">
        <w:rPr>
          <w:rFonts w:eastAsia="Calibri"/>
          <w:color w:val="2E74B5" w:themeColor="accent1" w:themeShade="BF"/>
        </w:rPr>
        <w:t>Добри практики за привличане на частно съфинансиране</w:t>
      </w:r>
    </w:p>
    <w:p w:rsidR="00CB2C49" w:rsidRDefault="00CB2C49" w:rsidP="006F377B">
      <w:pPr>
        <w:jc w:val="both"/>
        <w:rPr>
          <w:rStyle w:val="hps"/>
        </w:rPr>
      </w:pPr>
      <w:r w:rsidRPr="00CB2C49">
        <w:rPr>
          <w:rStyle w:val="hps"/>
          <w:u w:val="single"/>
        </w:rPr>
        <w:t>Висок процент на съфинансиране</w:t>
      </w:r>
      <w:r>
        <w:rPr>
          <w:rStyle w:val="hps"/>
        </w:rPr>
        <w:t xml:space="preserve"> – примерът </w:t>
      </w:r>
      <w:r w:rsidR="004F6DB9">
        <w:rPr>
          <w:rStyle w:val="hps"/>
        </w:rPr>
        <w:t>на Финломбардия, Италия</w:t>
      </w:r>
    </w:p>
    <w:p w:rsidR="00CB2C49" w:rsidRDefault="00843F67" w:rsidP="006F377B">
      <w:pPr>
        <w:jc w:val="both"/>
      </w:pPr>
      <w:r>
        <w:rPr>
          <w:rStyle w:val="hps"/>
        </w:rPr>
        <w:t>Инструменти</w:t>
      </w:r>
      <w:r w:rsidR="00B5621B">
        <w:rPr>
          <w:rStyle w:val="hps"/>
        </w:rPr>
        <w:t>те</w:t>
      </w:r>
      <w:r>
        <w:t xml:space="preserve"> </w:t>
      </w:r>
      <w:r>
        <w:rPr>
          <w:rStyle w:val="hps"/>
        </w:rPr>
        <w:t>за финансов инженеринг</w:t>
      </w:r>
      <w:r>
        <w:t xml:space="preserve"> са предназначени да </w:t>
      </w:r>
      <w:r>
        <w:rPr>
          <w:rStyle w:val="hps"/>
        </w:rPr>
        <w:t>бъдат съфинансирани</w:t>
      </w:r>
      <w:r>
        <w:t xml:space="preserve">. </w:t>
      </w:r>
      <w:r>
        <w:rPr>
          <w:rStyle w:val="hps"/>
        </w:rPr>
        <w:t>Тъй като размерът</w:t>
      </w:r>
      <w:r>
        <w:t xml:space="preserve"> </w:t>
      </w:r>
      <w:r>
        <w:rPr>
          <w:rStyle w:val="hps"/>
        </w:rPr>
        <w:t>на наличните средства</w:t>
      </w:r>
      <w:r>
        <w:t xml:space="preserve"> </w:t>
      </w:r>
      <w:r>
        <w:rPr>
          <w:rStyle w:val="hps"/>
        </w:rPr>
        <w:t xml:space="preserve">е </w:t>
      </w:r>
      <w:r w:rsidR="005D3CFA">
        <w:rPr>
          <w:rStyle w:val="hps"/>
        </w:rPr>
        <w:t>в</w:t>
      </w:r>
      <w:r>
        <w:t xml:space="preserve"> </w:t>
      </w:r>
      <w:r>
        <w:rPr>
          <w:rStyle w:val="hps"/>
        </w:rPr>
        <w:t>постоянен</w:t>
      </w:r>
      <w:r>
        <w:t xml:space="preserve"> </w:t>
      </w:r>
      <w:r>
        <w:rPr>
          <w:rStyle w:val="hps"/>
        </w:rPr>
        <w:t>спад</w:t>
      </w:r>
      <w:r>
        <w:t xml:space="preserve">, е необходимо </w:t>
      </w:r>
      <w:r>
        <w:rPr>
          <w:rStyle w:val="hps"/>
        </w:rPr>
        <w:t>внимателно да</w:t>
      </w:r>
      <w:r>
        <w:t xml:space="preserve"> </w:t>
      </w:r>
      <w:r>
        <w:rPr>
          <w:rStyle w:val="hps"/>
        </w:rPr>
        <w:t>се включат и местните</w:t>
      </w:r>
      <w:r>
        <w:t xml:space="preserve"> </w:t>
      </w:r>
      <w:r>
        <w:rPr>
          <w:rStyle w:val="hps"/>
        </w:rPr>
        <w:t>икономически субекти</w:t>
      </w:r>
      <w:r>
        <w:t xml:space="preserve"> </w:t>
      </w:r>
      <w:r w:rsidR="005D3CFA">
        <w:rPr>
          <w:rStyle w:val="hps"/>
        </w:rPr>
        <w:t>с цел предоставяне на съфинансиране</w:t>
      </w:r>
      <w:r>
        <w:t>: това е</w:t>
      </w:r>
      <w:r w:rsidR="005D3CFA">
        <w:t xml:space="preserve"> </w:t>
      </w:r>
      <w:r>
        <w:rPr>
          <w:rStyle w:val="hps"/>
        </w:rPr>
        <w:t>механизъм, който</w:t>
      </w:r>
      <w:r>
        <w:t xml:space="preserve"> </w:t>
      </w:r>
      <w:r>
        <w:rPr>
          <w:rStyle w:val="hps"/>
        </w:rPr>
        <w:t>призовава</w:t>
      </w:r>
      <w:r>
        <w:t xml:space="preserve"> </w:t>
      </w:r>
      <w:r>
        <w:rPr>
          <w:rStyle w:val="hps"/>
        </w:rPr>
        <w:t>различните</w:t>
      </w:r>
      <w:r>
        <w:t xml:space="preserve"> </w:t>
      </w:r>
      <w:r>
        <w:rPr>
          <w:rStyle w:val="hps"/>
        </w:rPr>
        <w:t>участници в</w:t>
      </w:r>
      <w:r>
        <w:t xml:space="preserve"> </w:t>
      </w:r>
      <w:r>
        <w:rPr>
          <w:rStyle w:val="hps"/>
        </w:rPr>
        <w:t>съвместен</w:t>
      </w:r>
      <w:r>
        <w:t xml:space="preserve"> </w:t>
      </w:r>
      <w:r>
        <w:rPr>
          <w:rStyle w:val="hps"/>
        </w:rPr>
        <w:t>местен проект</w:t>
      </w:r>
      <w:r w:rsidR="005D3CFA">
        <w:rPr>
          <w:rStyle w:val="hps"/>
        </w:rPr>
        <w:t>, който има и</w:t>
      </w:r>
      <w:r>
        <w:t xml:space="preserve"> </w:t>
      </w:r>
      <w:r>
        <w:rPr>
          <w:rStyle w:val="hps"/>
        </w:rPr>
        <w:t>последващ</w:t>
      </w:r>
      <w:r>
        <w:t xml:space="preserve"> </w:t>
      </w:r>
      <w:r>
        <w:rPr>
          <w:rStyle w:val="hps"/>
        </w:rPr>
        <w:t>ефект на лоста.</w:t>
      </w:r>
      <w:r>
        <w:t xml:space="preserve"> </w:t>
      </w:r>
      <w:r w:rsidR="00385A5C">
        <w:t xml:space="preserve">В тази връзка Финломбардия променя два от инструментите, за да привлече частни </w:t>
      </w:r>
      <w:r w:rsidR="00385A5C">
        <w:lastRenderedPageBreak/>
        <w:t xml:space="preserve">инвеститори. </w:t>
      </w:r>
      <w:r w:rsidR="003623FF" w:rsidRPr="008D2C24">
        <w:rPr>
          <w:b/>
        </w:rPr>
        <w:t>Процентът на финансиране от фонда е увеличен с цел намаляване размера на съфинансиране от частните банки</w:t>
      </w:r>
      <w:r w:rsidR="008864DE">
        <w:t xml:space="preserve">. Другата промяна се състои в намаляване срока на финансовия посредник, предоставящ гаранции, наполовина с цел да го мотивират да </w:t>
      </w:r>
      <w:r w:rsidR="00657601">
        <w:t>обслужи бенефициентите по-бързо, както и възможност да се използват повече от един ф</w:t>
      </w:r>
      <w:r w:rsidR="00CC48C9">
        <w:t>и</w:t>
      </w:r>
      <w:r w:rsidR="00657601">
        <w:t>нансови посредници.</w:t>
      </w:r>
    </w:p>
    <w:p w:rsidR="00657601" w:rsidRPr="00C8764D" w:rsidRDefault="00C8764D" w:rsidP="00CC48C9">
      <w:pPr>
        <w:shd w:val="clear" w:color="auto" w:fill="FFFFFF"/>
        <w:spacing w:before="120" w:after="120" w:line="333" w:lineRule="exact"/>
        <w:ind w:left="15"/>
        <w:rPr>
          <w:rStyle w:val="hps"/>
        </w:rPr>
      </w:pPr>
      <w:r w:rsidRPr="00C8764D">
        <w:rPr>
          <w:rStyle w:val="hps"/>
          <w:u w:val="single"/>
        </w:rPr>
        <w:t>Изискване фонд мениджърът да осигури съфинансиране</w:t>
      </w:r>
      <w:r>
        <w:rPr>
          <w:rStyle w:val="hps"/>
        </w:rPr>
        <w:t xml:space="preserve"> - </w:t>
      </w:r>
      <w:r w:rsidRPr="00C8764D">
        <w:rPr>
          <w:rStyle w:val="hps"/>
        </w:rPr>
        <w:t>п</w:t>
      </w:r>
      <w:r w:rsidR="008B43C9">
        <w:rPr>
          <w:rStyle w:val="hps"/>
        </w:rPr>
        <w:t>римерът на регион Ц</w:t>
      </w:r>
      <w:r w:rsidR="00CC48C9" w:rsidRPr="00C8764D">
        <w:rPr>
          <w:rStyle w:val="hps"/>
        </w:rPr>
        <w:t>ентрална Дания</w:t>
      </w:r>
      <w:r w:rsidR="00657601" w:rsidRPr="00C8764D">
        <w:rPr>
          <w:rStyle w:val="hps"/>
        </w:rPr>
        <w:t xml:space="preserve"> </w:t>
      </w:r>
    </w:p>
    <w:p w:rsidR="00657601" w:rsidRPr="00C11402" w:rsidRDefault="0060358C" w:rsidP="00C11402">
      <w:pPr>
        <w:jc w:val="both"/>
        <w:rPr>
          <w:rStyle w:val="hps"/>
        </w:rPr>
      </w:pPr>
      <w:r w:rsidRPr="00C11402">
        <w:rPr>
          <w:rStyle w:val="hps"/>
        </w:rPr>
        <w:t>Осигуряването на съфинансираща институция е използвано като условие в процедурата за избор на фонд мениджър, което да е равно на</w:t>
      </w:r>
      <w:r w:rsidR="00E40399" w:rsidRPr="00C11402">
        <w:rPr>
          <w:rStyle w:val="hps"/>
        </w:rPr>
        <w:t xml:space="preserve"> това от ЕФРР. По този начин финансовите институции са участвали в поръчката заедно с фонд мениджъра, за да покажат социална отговорност</w:t>
      </w:r>
      <w:r w:rsidR="00427020" w:rsidRPr="00C11402">
        <w:rPr>
          <w:rStyle w:val="hps"/>
        </w:rPr>
        <w:t>, но и заради увереността им в доходността на инициативата.</w:t>
      </w:r>
    </w:p>
    <w:p w:rsidR="004068F1" w:rsidRPr="00910245" w:rsidRDefault="004068F1" w:rsidP="004068F1">
      <w:pPr>
        <w:shd w:val="clear" w:color="auto" w:fill="FFFFFF"/>
        <w:spacing w:before="120" w:after="120" w:line="331" w:lineRule="exact"/>
        <w:ind w:left="5" w:right="20"/>
        <w:jc w:val="both"/>
        <w:rPr>
          <w:rStyle w:val="hps"/>
          <w:u w:val="single"/>
        </w:rPr>
      </w:pPr>
      <w:r w:rsidRPr="00910245">
        <w:rPr>
          <w:rStyle w:val="hps"/>
          <w:u w:val="single"/>
        </w:rPr>
        <w:t>Преференциални клаузи</w:t>
      </w:r>
      <w:r w:rsidR="0089740C" w:rsidRPr="00910245">
        <w:rPr>
          <w:rStyle w:val="hps"/>
          <w:u w:val="single"/>
        </w:rPr>
        <w:t xml:space="preserve"> </w:t>
      </w:r>
      <w:r w:rsidR="0089740C" w:rsidRPr="00910245">
        <w:rPr>
          <w:rStyle w:val="hps"/>
        </w:rPr>
        <w:t>-</w:t>
      </w:r>
      <w:r w:rsidRPr="00910245">
        <w:rPr>
          <w:rStyle w:val="hps"/>
        </w:rPr>
        <w:t xml:space="preserve"> Националната агенция за развитие в Унгария</w:t>
      </w:r>
    </w:p>
    <w:p w:rsidR="004068F1" w:rsidRPr="00C11402" w:rsidRDefault="00910245" w:rsidP="00C11402">
      <w:pPr>
        <w:jc w:val="both"/>
        <w:rPr>
          <w:rStyle w:val="hps"/>
        </w:rPr>
      </w:pPr>
      <w:r w:rsidRPr="00C11402">
        <w:rPr>
          <w:rStyle w:val="hps"/>
        </w:rPr>
        <w:t>При инвестиции в рисков капитал</w:t>
      </w:r>
      <w:r w:rsidR="004068F1" w:rsidRPr="00C11402">
        <w:rPr>
          <w:rStyle w:val="hps"/>
        </w:rPr>
        <w:t>, Унгария призова частни</w:t>
      </w:r>
      <w:r w:rsidRPr="00C11402">
        <w:rPr>
          <w:rStyle w:val="hps"/>
        </w:rPr>
        <w:t>те</w:t>
      </w:r>
      <w:r w:rsidR="004068F1" w:rsidRPr="00C11402">
        <w:rPr>
          <w:rStyle w:val="hps"/>
        </w:rPr>
        <w:t xml:space="preserve"> инвеститори за съвместно финан</w:t>
      </w:r>
      <w:r w:rsidRPr="00C11402">
        <w:rPr>
          <w:rStyle w:val="hps"/>
        </w:rPr>
        <w:t>сиране на крайните получатели. В</w:t>
      </w:r>
      <w:r w:rsidR="004068F1" w:rsidRPr="00C11402">
        <w:rPr>
          <w:rStyle w:val="hps"/>
        </w:rPr>
        <w:t>ъведена</w:t>
      </w:r>
      <w:r w:rsidRPr="00C11402">
        <w:rPr>
          <w:rStyle w:val="hps"/>
        </w:rPr>
        <w:t xml:space="preserve"> е</w:t>
      </w:r>
      <w:r w:rsidR="00704F85">
        <w:rPr>
          <w:rStyle w:val="hps"/>
        </w:rPr>
        <w:t xml:space="preserve"> клауза "ограничена</w:t>
      </w:r>
      <w:r w:rsidR="004068F1" w:rsidRPr="00C11402">
        <w:rPr>
          <w:rStyle w:val="hps"/>
        </w:rPr>
        <w:t xml:space="preserve"> доходност" и клауза за "смекчаване на загуба", за да привлекат колкото се може повече съинвеститори.</w:t>
      </w:r>
    </w:p>
    <w:p w:rsidR="004068F1" w:rsidRPr="00C11402" w:rsidRDefault="00704F85" w:rsidP="00C11402">
      <w:pPr>
        <w:jc w:val="both"/>
        <w:rPr>
          <w:rStyle w:val="hps"/>
        </w:rPr>
      </w:pPr>
      <w:r w:rsidRPr="00704F85">
        <w:rPr>
          <w:rStyle w:val="hps"/>
          <w:b/>
        </w:rPr>
        <w:t>"Ограничена</w:t>
      </w:r>
      <w:r w:rsidR="004068F1" w:rsidRPr="00704F85">
        <w:rPr>
          <w:rStyle w:val="hps"/>
          <w:b/>
        </w:rPr>
        <w:t xml:space="preserve"> Доходност"</w:t>
      </w:r>
      <w:r w:rsidR="004068F1" w:rsidRPr="00C11402">
        <w:rPr>
          <w:rStyle w:val="hps"/>
        </w:rPr>
        <w:t>: по време на окончателната оц</w:t>
      </w:r>
      <w:r w:rsidR="00493EC0" w:rsidRPr="00C11402">
        <w:rPr>
          <w:rStyle w:val="hps"/>
        </w:rPr>
        <w:t>енка, ако фондът има положителна</w:t>
      </w:r>
      <w:r w:rsidR="004068F1" w:rsidRPr="00C11402">
        <w:rPr>
          <w:rStyle w:val="hps"/>
        </w:rPr>
        <w:t xml:space="preserve"> общ</w:t>
      </w:r>
      <w:r w:rsidR="00493EC0" w:rsidRPr="00C11402">
        <w:rPr>
          <w:rStyle w:val="hps"/>
        </w:rPr>
        <w:t>а</w:t>
      </w:r>
      <w:r w:rsidR="004068F1" w:rsidRPr="00C11402">
        <w:rPr>
          <w:rStyle w:val="hps"/>
        </w:rPr>
        <w:t xml:space="preserve"> </w:t>
      </w:r>
      <w:r w:rsidR="00493EC0" w:rsidRPr="00C11402">
        <w:rPr>
          <w:rStyle w:val="hps"/>
        </w:rPr>
        <w:t>доходност</w:t>
      </w:r>
      <w:r w:rsidR="004546AF" w:rsidRPr="00C11402">
        <w:rPr>
          <w:rStyle w:val="hps"/>
        </w:rPr>
        <w:t xml:space="preserve">, </w:t>
      </w:r>
      <w:r w:rsidR="004068F1" w:rsidRPr="00C11402">
        <w:rPr>
          <w:rStyle w:val="hps"/>
        </w:rPr>
        <w:t>ограничение на последната може да се прилага по отношение на нацио</w:t>
      </w:r>
      <w:r w:rsidR="005C3CEF">
        <w:rPr>
          <w:rStyle w:val="hps"/>
        </w:rPr>
        <w:t>налните ресурси, инвестирани в капитала</w:t>
      </w:r>
      <w:r w:rsidR="004068F1" w:rsidRPr="00C11402">
        <w:rPr>
          <w:rStyle w:val="hps"/>
        </w:rPr>
        <w:t>. Това означава, че само предварително определена сума на доходността може да се припише на държавата - и всеки излишък се връща на частните инвеститори.</w:t>
      </w:r>
    </w:p>
    <w:p w:rsidR="004068F1" w:rsidRPr="00C11402" w:rsidRDefault="004546AF" w:rsidP="00C11402">
      <w:pPr>
        <w:jc w:val="both"/>
        <w:rPr>
          <w:rStyle w:val="hps"/>
        </w:rPr>
      </w:pPr>
      <w:r w:rsidRPr="00704F85">
        <w:rPr>
          <w:rStyle w:val="hps"/>
          <w:b/>
        </w:rPr>
        <w:t>"Смекчаване на загубата</w:t>
      </w:r>
      <w:r w:rsidR="004068F1" w:rsidRPr="00704F85">
        <w:rPr>
          <w:rStyle w:val="hps"/>
          <w:b/>
        </w:rPr>
        <w:t>"</w:t>
      </w:r>
      <w:r w:rsidR="004068F1" w:rsidRPr="00C11402">
        <w:rPr>
          <w:rStyle w:val="hps"/>
        </w:rPr>
        <w:t>: съответно, ако фондът има отрицателна доходност, определен процент</w:t>
      </w:r>
      <w:r w:rsidRPr="00C11402">
        <w:rPr>
          <w:rStyle w:val="hps"/>
        </w:rPr>
        <w:t xml:space="preserve"> на загуба, равна на най-високия</w:t>
      </w:r>
      <w:r w:rsidR="004068F1" w:rsidRPr="00C11402">
        <w:rPr>
          <w:rStyle w:val="hps"/>
        </w:rPr>
        <w:t xml:space="preserve"> записан капитал на фонда</w:t>
      </w:r>
      <w:r w:rsidR="0027567F" w:rsidRPr="00C11402">
        <w:rPr>
          <w:rStyle w:val="hps"/>
        </w:rPr>
        <w:t>,</w:t>
      </w:r>
      <w:r w:rsidR="004068F1" w:rsidRPr="00C11402">
        <w:rPr>
          <w:rStyle w:val="hps"/>
        </w:rPr>
        <w:t xml:space="preserve"> ще бъде по</w:t>
      </w:r>
      <w:r w:rsidR="0027567F" w:rsidRPr="00C11402">
        <w:rPr>
          <w:rStyle w:val="hps"/>
        </w:rPr>
        <w:t>крита</w:t>
      </w:r>
      <w:r w:rsidR="004068F1" w:rsidRPr="00C11402">
        <w:rPr>
          <w:rStyle w:val="hps"/>
        </w:rPr>
        <w:t xml:space="preserve"> от фонда. Останалата сума от загубата ще бъде поделена между дъ</w:t>
      </w:r>
      <w:r w:rsidR="00E67EDB">
        <w:rPr>
          <w:rStyle w:val="hps"/>
        </w:rPr>
        <w:t>ржавата и частните инвеститори</w:t>
      </w:r>
      <w:r w:rsidR="004068F1" w:rsidRPr="00C11402">
        <w:rPr>
          <w:rStyle w:val="hps"/>
        </w:rPr>
        <w:t xml:space="preserve"> пропорционално на техния принос.</w:t>
      </w:r>
    </w:p>
    <w:p w:rsidR="00911796" w:rsidRPr="00911796" w:rsidRDefault="00911796" w:rsidP="00911796">
      <w:pPr>
        <w:rPr>
          <w:u w:val="single"/>
        </w:rPr>
      </w:pPr>
      <w:r w:rsidRPr="00911796">
        <w:rPr>
          <w:u w:val="single"/>
        </w:rPr>
        <w:t>Привличане на ЕИБ като частен съинвеститор: пример за DCLG в Северозападна Англия</w:t>
      </w:r>
    </w:p>
    <w:p w:rsidR="006A5F2D" w:rsidRPr="006A5F2D" w:rsidRDefault="00911796" w:rsidP="00911796">
      <w:pPr>
        <w:jc w:val="both"/>
      </w:pPr>
      <w:r>
        <w:t>Северозападна Англия прилага финансови инструменти, чрез създаване на North West фонд. След получаван</w:t>
      </w:r>
      <w:r w:rsidR="00A314DC">
        <w:t xml:space="preserve">е на 102 милиона </w:t>
      </w:r>
      <w:r w:rsidR="000D5B62">
        <w:t>евро</w:t>
      </w:r>
      <w:r w:rsidR="00A314DC">
        <w:t xml:space="preserve"> съфинансиране от</w:t>
      </w:r>
      <w:r>
        <w:t xml:space="preserve"> ЕФРР, холдинговия</w:t>
      </w:r>
      <w:r w:rsidR="00A314DC">
        <w:t>т</w:t>
      </w:r>
      <w:r>
        <w:t xml:space="preserve"> фонд изисква еквивалентна сума от Европейската инвестиционна банка под формата на заем</w:t>
      </w:r>
      <w:r w:rsidR="00A314DC">
        <w:t>. П</w:t>
      </w:r>
      <w:r>
        <w:t xml:space="preserve">одписано </w:t>
      </w:r>
      <w:r w:rsidR="00A314DC">
        <w:t xml:space="preserve">е </w:t>
      </w:r>
      <w:r>
        <w:t xml:space="preserve">споразумение за финансиране между региона и </w:t>
      </w:r>
      <w:r w:rsidR="003D5393">
        <w:t>ЕИБ, в което</w:t>
      </w:r>
      <w:r>
        <w:t xml:space="preserve"> ясно се споменава, че заемът трябва да бъдат възстановен като приоритет. То включва задължение за холдинговия фонд да вод</w:t>
      </w:r>
      <w:r w:rsidR="003D5393">
        <w:t>и</w:t>
      </w:r>
      <w:r>
        <w:t xml:space="preserve"> отделни сметки между средствата от ЕФРР и тези от ЕИБ. Финансирането чрез ресурси, които не са държавни ресурси по смисъла на член 107, ал. 1 от Договора за ЕО се счита за </w:t>
      </w:r>
      <w:r w:rsidR="003D5393">
        <w:t>предоставено от</w:t>
      </w:r>
      <w:r>
        <w:t xml:space="preserve"> частни инвеститори. Това </w:t>
      </w:r>
      <w:r w:rsidR="003D5393">
        <w:t>важи и</w:t>
      </w:r>
      <w:r>
        <w:t xml:space="preserve"> за финансиране от Европейската инвестиционна банка и Европейския инвестиционен фонд.</w:t>
      </w:r>
    </w:p>
    <w:p w:rsidR="000A6D3A" w:rsidRPr="00911FF9" w:rsidRDefault="008F4990" w:rsidP="00911FF9">
      <w:pPr>
        <w:pStyle w:val="Heading4"/>
        <w:spacing w:after="240"/>
        <w:rPr>
          <w:rFonts w:eastAsia="Calibri"/>
          <w:color w:val="2E74B5" w:themeColor="accent1" w:themeShade="BF"/>
        </w:rPr>
      </w:pPr>
      <w:r w:rsidRPr="00911FF9">
        <w:rPr>
          <w:rFonts w:eastAsia="Calibri"/>
          <w:color w:val="2E74B5" w:themeColor="accent1" w:themeShade="BF"/>
        </w:rPr>
        <w:t>Управление на фонда</w:t>
      </w:r>
    </w:p>
    <w:p w:rsidR="007E5B07" w:rsidRDefault="00BA7E31" w:rsidP="00BA7E31">
      <w:pPr>
        <w:jc w:val="both"/>
      </w:pPr>
      <w:r>
        <w:t>Според разпоредбите на чл. 34 от Регламент 1303/2013 ф</w:t>
      </w:r>
      <w:r w:rsidR="003F500A">
        <w:t xml:space="preserve">онд мениджърът може да бъде публична или частна институция. </w:t>
      </w:r>
      <w:r w:rsidR="0081292E">
        <w:t xml:space="preserve">При решение средствата да се управляват от холдингов фонд </w:t>
      </w:r>
      <w:r w:rsidR="00615C30">
        <w:t>има няколко варианта за избор на фонд мениджър:</w:t>
      </w:r>
    </w:p>
    <w:p w:rsidR="005B59A5" w:rsidRPr="00B436C4" w:rsidRDefault="005B59A5" w:rsidP="001A036E">
      <w:pPr>
        <w:widowControl w:val="0"/>
        <w:numPr>
          <w:ilvl w:val="0"/>
          <w:numId w:val="108"/>
        </w:numPr>
        <w:shd w:val="clear" w:color="auto" w:fill="FFFFFF"/>
        <w:tabs>
          <w:tab w:val="left" w:pos="720"/>
        </w:tabs>
        <w:autoSpaceDE w:val="0"/>
        <w:autoSpaceDN w:val="0"/>
        <w:adjustRightInd w:val="0"/>
        <w:spacing w:after="0" w:line="240" w:lineRule="auto"/>
        <w:rPr>
          <w:color w:val="000000"/>
          <w:spacing w:val="-5"/>
        </w:rPr>
      </w:pPr>
      <w:r w:rsidRPr="00B436C4">
        <w:rPr>
          <w:color w:val="000000"/>
          <w:spacing w:val="-5"/>
        </w:rPr>
        <w:lastRenderedPageBreak/>
        <w:t>ЕИБ</w:t>
      </w:r>
      <w:r w:rsidR="00AA307B" w:rsidRPr="00B436C4">
        <w:rPr>
          <w:color w:val="000000"/>
          <w:spacing w:val="-5"/>
        </w:rPr>
        <w:t>;</w:t>
      </w:r>
    </w:p>
    <w:p w:rsidR="005B59A5" w:rsidRPr="00B436C4" w:rsidRDefault="005B59A5" w:rsidP="001A036E">
      <w:pPr>
        <w:widowControl w:val="0"/>
        <w:numPr>
          <w:ilvl w:val="0"/>
          <w:numId w:val="108"/>
        </w:numPr>
        <w:shd w:val="clear" w:color="auto" w:fill="FFFFFF"/>
        <w:tabs>
          <w:tab w:val="left" w:pos="720"/>
        </w:tabs>
        <w:autoSpaceDE w:val="0"/>
        <w:autoSpaceDN w:val="0"/>
        <w:adjustRightInd w:val="0"/>
        <w:spacing w:after="0" w:line="240" w:lineRule="auto"/>
        <w:rPr>
          <w:color w:val="000000"/>
          <w:spacing w:val="-5"/>
        </w:rPr>
      </w:pPr>
      <w:r w:rsidRPr="00B436C4">
        <w:rPr>
          <w:color w:val="000000"/>
          <w:spacing w:val="-5"/>
        </w:rPr>
        <w:t>Международна финансова институция, в която страната членка е акционер или финансов</w:t>
      </w:r>
      <w:r w:rsidR="00B436C4" w:rsidRPr="00B436C4">
        <w:rPr>
          <w:color w:val="000000"/>
          <w:spacing w:val="-5"/>
        </w:rPr>
        <w:t xml:space="preserve">и институции в страната, които </w:t>
      </w:r>
      <w:r w:rsidRPr="00B436C4">
        <w:rPr>
          <w:color w:val="000000"/>
          <w:spacing w:val="-5"/>
        </w:rPr>
        <w:t xml:space="preserve">работят в </w:t>
      </w:r>
      <w:r w:rsidR="00E62196" w:rsidRPr="00B436C4">
        <w:rPr>
          <w:color w:val="000000"/>
          <w:spacing w:val="-5"/>
        </w:rPr>
        <w:t>публичен интерес под контрола на публичните власти;</w:t>
      </w:r>
    </w:p>
    <w:p w:rsidR="00615C30" w:rsidRPr="00B436C4" w:rsidRDefault="00B436C4" w:rsidP="001A036E">
      <w:pPr>
        <w:widowControl w:val="0"/>
        <w:numPr>
          <w:ilvl w:val="0"/>
          <w:numId w:val="108"/>
        </w:numPr>
        <w:shd w:val="clear" w:color="auto" w:fill="FFFFFF"/>
        <w:tabs>
          <w:tab w:val="left" w:pos="720"/>
        </w:tabs>
        <w:autoSpaceDE w:val="0"/>
        <w:autoSpaceDN w:val="0"/>
        <w:adjustRightInd w:val="0"/>
        <w:spacing w:after="0" w:line="240" w:lineRule="auto"/>
        <w:rPr>
          <w:color w:val="000000"/>
          <w:spacing w:val="-5"/>
        </w:rPr>
      </w:pPr>
      <w:r w:rsidRPr="00B436C4">
        <w:rPr>
          <w:color w:val="000000"/>
          <w:spacing w:val="-5"/>
        </w:rPr>
        <w:t>Друга</w:t>
      </w:r>
      <w:r w:rsidR="00E62196" w:rsidRPr="00B436C4">
        <w:rPr>
          <w:color w:val="000000"/>
          <w:spacing w:val="-5"/>
        </w:rPr>
        <w:t xml:space="preserve"> институция, действаща по законите на страната.</w:t>
      </w:r>
    </w:p>
    <w:p w:rsidR="00BA7E31" w:rsidRDefault="00BA7E31" w:rsidP="00BA7E31">
      <w:pPr>
        <w:widowControl w:val="0"/>
        <w:shd w:val="clear" w:color="auto" w:fill="FFFFFF"/>
        <w:tabs>
          <w:tab w:val="left" w:pos="720"/>
        </w:tabs>
        <w:autoSpaceDE w:val="0"/>
        <w:autoSpaceDN w:val="0"/>
        <w:adjustRightInd w:val="0"/>
        <w:spacing w:after="0" w:line="240" w:lineRule="auto"/>
        <w:rPr>
          <w:color w:val="000000"/>
          <w:spacing w:val="-5"/>
          <w:sz w:val="24"/>
          <w:szCs w:val="24"/>
        </w:rPr>
      </w:pPr>
    </w:p>
    <w:p w:rsidR="00BA7E31" w:rsidRDefault="00BA7E31" w:rsidP="00BA7E31">
      <w:pPr>
        <w:jc w:val="both"/>
      </w:pPr>
      <w:r w:rsidRPr="00BA7E31">
        <w:t xml:space="preserve">Важно </w:t>
      </w:r>
      <w:r>
        <w:t>е да се спазят и разпоредбите относно мениджмънт таксите за периода 2014-2020г., както следва:</w:t>
      </w:r>
    </w:p>
    <w:p w:rsidR="00767EA0" w:rsidRPr="00911FF9" w:rsidRDefault="00FC6710" w:rsidP="001A036E">
      <w:pPr>
        <w:widowControl w:val="0"/>
        <w:numPr>
          <w:ilvl w:val="0"/>
          <w:numId w:val="108"/>
        </w:numPr>
        <w:shd w:val="clear" w:color="auto" w:fill="FFFFFF"/>
        <w:tabs>
          <w:tab w:val="left" w:pos="720"/>
        </w:tabs>
        <w:autoSpaceDE w:val="0"/>
        <w:autoSpaceDN w:val="0"/>
        <w:adjustRightInd w:val="0"/>
        <w:spacing w:after="0" w:line="240" w:lineRule="auto"/>
        <w:rPr>
          <w:color w:val="000000"/>
          <w:spacing w:val="-5"/>
        </w:rPr>
      </w:pPr>
      <w:r w:rsidRPr="00911FF9">
        <w:rPr>
          <w:color w:val="000000"/>
          <w:spacing w:val="-5"/>
        </w:rPr>
        <w:t xml:space="preserve">Мениджмънт таксите се изчисляват на базата на резултатите и приложимите </w:t>
      </w:r>
      <w:r w:rsidR="003A6E4F" w:rsidRPr="00911FF9">
        <w:rPr>
          <w:color w:val="000000"/>
          <w:spacing w:val="-5"/>
        </w:rPr>
        <w:t>прагове:</w:t>
      </w:r>
    </w:p>
    <w:p w:rsidR="00767EA0" w:rsidRPr="00767EA0" w:rsidRDefault="00FC6710" w:rsidP="001A036E">
      <w:pPr>
        <w:numPr>
          <w:ilvl w:val="1"/>
          <w:numId w:val="109"/>
        </w:numPr>
        <w:spacing w:before="240"/>
        <w:ind w:left="1985"/>
        <w:jc w:val="both"/>
      </w:pPr>
      <w:r>
        <w:t xml:space="preserve">Резултати от финансовия </w:t>
      </w:r>
      <w:r w:rsidR="00A52C9B">
        <w:t>инструмент.</w:t>
      </w:r>
    </w:p>
    <w:p w:rsidR="00767EA0" w:rsidRPr="00767EA0" w:rsidRDefault="00FC6710" w:rsidP="001A036E">
      <w:pPr>
        <w:numPr>
          <w:ilvl w:val="1"/>
          <w:numId w:val="109"/>
        </w:numPr>
        <w:ind w:left="1985"/>
        <w:jc w:val="both"/>
      </w:pPr>
      <w:r>
        <w:t xml:space="preserve">Качество на подкрепа за крайните получатели, </w:t>
      </w:r>
      <w:r w:rsidR="00A13C66">
        <w:t>както и техния принос към постигане на целите и резултатите, които оправдават финансовия принос на програмата към финансовия инструмент.</w:t>
      </w:r>
    </w:p>
    <w:p w:rsidR="00767EA0" w:rsidRPr="00911FF9" w:rsidRDefault="00100247" w:rsidP="001A036E">
      <w:pPr>
        <w:widowControl w:val="0"/>
        <w:numPr>
          <w:ilvl w:val="0"/>
          <w:numId w:val="108"/>
        </w:numPr>
        <w:shd w:val="clear" w:color="auto" w:fill="FFFFFF"/>
        <w:tabs>
          <w:tab w:val="left" w:pos="720"/>
        </w:tabs>
        <w:autoSpaceDE w:val="0"/>
        <w:autoSpaceDN w:val="0"/>
        <w:adjustRightInd w:val="0"/>
        <w:spacing w:after="0" w:line="240" w:lineRule="auto"/>
        <w:rPr>
          <w:color w:val="000000"/>
          <w:spacing w:val="-5"/>
        </w:rPr>
      </w:pPr>
      <w:r w:rsidRPr="00911FF9">
        <w:rPr>
          <w:color w:val="000000"/>
          <w:spacing w:val="-5"/>
        </w:rPr>
        <w:t>Да се постигне ефикасност и ефективност на инвестициите.</w:t>
      </w:r>
    </w:p>
    <w:p w:rsidR="00767EA0" w:rsidRPr="00911FF9" w:rsidRDefault="00100247" w:rsidP="001A036E">
      <w:pPr>
        <w:widowControl w:val="0"/>
        <w:numPr>
          <w:ilvl w:val="0"/>
          <w:numId w:val="108"/>
        </w:numPr>
        <w:shd w:val="clear" w:color="auto" w:fill="FFFFFF"/>
        <w:tabs>
          <w:tab w:val="left" w:pos="720"/>
        </w:tabs>
        <w:autoSpaceDE w:val="0"/>
        <w:autoSpaceDN w:val="0"/>
        <w:adjustRightInd w:val="0"/>
        <w:spacing w:after="0" w:line="240" w:lineRule="auto"/>
        <w:rPr>
          <w:color w:val="000000"/>
          <w:spacing w:val="-5"/>
        </w:rPr>
      </w:pPr>
      <w:r w:rsidRPr="00911FF9">
        <w:rPr>
          <w:color w:val="000000"/>
          <w:spacing w:val="-5"/>
        </w:rPr>
        <w:t>Да се избягва двойното таксуване.</w:t>
      </w:r>
    </w:p>
    <w:p w:rsidR="008F4990" w:rsidRPr="00767EA0" w:rsidRDefault="008F4990" w:rsidP="008F4990">
      <w:pPr>
        <w:widowControl w:val="0"/>
        <w:shd w:val="clear" w:color="auto" w:fill="FFFFFF"/>
        <w:tabs>
          <w:tab w:val="left" w:pos="720"/>
        </w:tabs>
        <w:autoSpaceDE w:val="0"/>
        <w:autoSpaceDN w:val="0"/>
        <w:adjustRightInd w:val="0"/>
        <w:spacing w:after="0" w:line="240" w:lineRule="auto"/>
        <w:rPr>
          <w:color w:val="000000"/>
          <w:spacing w:val="-5"/>
          <w:sz w:val="24"/>
          <w:szCs w:val="24"/>
        </w:rPr>
      </w:pPr>
    </w:p>
    <w:p w:rsidR="00767EA0" w:rsidRPr="00911FF9" w:rsidRDefault="008F4990" w:rsidP="00911FF9">
      <w:pPr>
        <w:pStyle w:val="Heading4"/>
        <w:spacing w:after="240"/>
        <w:rPr>
          <w:rFonts w:eastAsia="Calibri"/>
          <w:color w:val="2E74B5" w:themeColor="accent1" w:themeShade="BF"/>
        </w:rPr>
      </w:pPr>
      <w:r w:rsidRPr="00911FF9">
        <w:rPr>
          <w:rFonts w:eastAsia="Calibri"/>
          <w:color w:val="2E74B5" w:themeColor="accent1" w:themeShade="BF"/>
        </w:rPr>
        <w:t>Добри практики за управление на фонда</w:t>
      </w:r>
    </w:p>
    <w:p w:rsidR="008F4990" w:rsidRDefault="008F4990" w:rsidP="00BA7E31">
      <w:pPr>
        <w:jc w:val="both"/>
        <w:rPr>
          <w:rStyle w:val="hps"/>
        </w:rPr>
      </w:pPr>
      <w:r w:rsidRPr="003A6E4F">
        <w:rPr>
          <w:rStyle w:val="hps"/>
          <w:u w:val="single"/>
        </w:rPr>
        <w:t>Управление чрез</w:t>
      </w:r>
      <w:r w:rsidRPr="003A6E4F">
        <w:rPr>
          <w:u w:val="single"/>
        </w:rPr>
        <w:t xml:space="preserve"> </w:t>
      </w:r>
      <w:r w:rsidRPr="003A6E4F">
        <w:rPr>
          <w:rStyle w:val="hps"/>
          <w:u w:val="single"/>
        </w:rPr>
        <w:t>съвместно партньорство</w:t>
      </w:r>
      <w:r>
        <w:t xml:space="preserve"> </w:t>
      </w:r>
      <w:r>
        <w:rPr>
          <w:rStyle w:val="hps"/>
        </w:rPr>
        <w:t>(</w:t>
      </w:r>
      <w:r>
        <w:t xml:space="preserve">публичен / частен): </w:t>
      </w:r>
      <w:r>
        <w:rPr>
          <w:rStyle w:val="hps"/>
        </w:rPr>
        <w:t>например</w:t>
      </w:r>
      <w:r>
        <w:t xml:space="preserve"> </w:t>
      </w:r>
      <w:r>
        <w:rPr>
          <w:rStyle w:val="hps"/>
        </w:rPr>
        <w:t>на региона</w:t>
      </w:r>
      <w:r>
        <w:t xml:space="preserve"> </w:t>
      </w:r>
      <w:r>
        <w:rPr>
          <w:rStyle w:val="hps"/>
        </w:rPr>
        <w:t>Оверн, Франция.</w:t>
      </w:r>
    </w:p>
    <w:p w:rsidR="003A6E4F" w:rsidRDefault="00A74F8F" w:rsidP="00BA7E31">
      <w:pPr>
        <w:jc w:val="both"/>
        <w:rPr>
          <w:rStyle w:val="hps"/>
        </w:rPr>
      </w:pPr>
      <w:r>
        <w:rPr>
          <w:rStyle w:val="hps"/>
        </w:rPr>
        <w:t>Управляващ</w:t>
      </w:r>
      <w:r w:rsidR="009F0EC0">
        <w:rPr>
          <w:rStyle w:val="hps"/>
        </w:rPr>
        <w:t>ият</w:t>
      </w:r>
      <w:r>
        <w:t xml:space="preserve"> </w:t>
      </w:r>
      <w:r>
        <w:rPr>
          <w:rStyle w:val="hps"/>
        </w:rPr>
        <w:t>орган</w:t>
      </w:r>
      <w:r>
        <w:t xml:space="preserve"> </w:t>
      </w:r>
      <w:r w:rsidR="009F0EC0">
        <w:rPr>
          <w:rStyle w:val="hps"/>
        </w:rPr>
        <w:t>решава да избере</w:t>
      </w:r>
      <w:r>
        <w:t xml:space="preserve"> </w:t>
      </w:r>
      <w:r>
        <w:rPr>
          <w:rStyle w:val="hps"/>
        </w:rPr>
        <w:t>мениджър</w:t>
      </w:r>
      <w:r>
        <w:t xml:space="preserve"> </w:t>
      </w:r>
      <w:r>
        <w:rPr>
          <w:rStyle w:val="hps"/>
        </w:rPr>
        <w:t>за</w:t>
      </w:r>
      <w:r>
        <w:t xml:space="preserve"> </w:t>
      </w:r>
      <w:r>
        <w:rPr>
          <w:rStyle w:val="hps"/>
        </w:rPr>
        <w:t>фонда си</w:t>
      </w:r>
      <w:r w:rsidR="009F0EC0">
        <w:rPr>
          <w:rStyle w:val="hps"/>
        </w:rPr>
        <w:t>,</w:t>
      </w:r>
      <w:r>
        <w:t xml:space="preserve"> </w:t>
      </w:r>
      <w:r>
        <w:rPr>
          <w:rStyle w:val="hps"/>
        </w:rPr>
        <w:t>чрез покана</w:t>
      </w:r>
      <w:r>
        <w:t xml:space="preserve"> </w:t>
      </w:r>
      <w:r>
        <w:rPr>
          <w:rStyle w:val="hps"/>
        </w:rPr>
        <w:t>за участие в търг</w:t>
      </w:r>
      <w:r>
        <w:t xml:space="preserve">. </w:t>
      </w:r>
      <w:r w:rsidR="009F0EC0">
        <w:t>Е</w:t>
      </w:r>
      <w:r>
        <w:rPr>
          <w:rStyle w:val="hps"/>
        </w:rPr>
        <w:t>дин</w:t>
      </w:r>
      <w:r w:rsidR="009F0EC0">
        <w:rPr>
          <w:rStyle w:val="hps"/>
        </w:rPr>
        <w:t xml:space="preserve"> от двамата кандидати</w:t>
      </w:r>
      <w:r>
        <w:t xml:space="preserve"> </w:t>
      </w:r>
      <w:r>
        <w:rPr>
          <w:rStyle w:val="hps"/>
        </w:rPr>
        <w:t>напълно</w:t>
      </w:r>
      <w:r>
        <w:t xml:space="preserve"> </w:t>
      </w:r>
      <w:r>
        <w:rPr>
          <w:rStyle w:val="hps"/>
        </w:rPr>
        <w:t>отговаря на критериите</w:t>
      </w:r>
      <w:r w:rsidR="009F0EC0">
        <w:rPr>
          <w:rStyle w:val="hps"/>
        </w:rPr>
        <w:t xml:space="preserve">, </w:t>
      </w:r>
      <w:r>
        <w:rPr>
          <w:rStyle w:val="alt-edited"/>
        </w:rPr>
        <w:t>поискани от</w:t>
      </w:r>
      <w:r>
        <w:t xml:space="preserve"> </w:t>
      </w:r>
      <w:r>
        <w:rPr>
          <w:rStyle w:val="hps"/>
        </w:rPr>
        <w:t>Управляващия орган.</w:t>
      </w:r>
      <w:r>
        <w:t xml:space="preserve"> </w:t>
      </w:r>
      <w:r w:rsidR="009F0EC0">
        <w:rPr>
          <w:rStyle w:val="hps"/>
        </w:rPr>
        <w:t xml:space="preserve">Кандидатът е </w:t>
      </w:r>
      <w:r w:rsidR="004E14AD">
        <w:rPr>
          <w:rStyle w:val="hps"/>
        </w:rPr>
        <w:t>частно дружество в консорциум с Кама</w:t>
      </w:r>
      <w:r>
        <w:rPr>
          <w:rStyle w:val="hps"/>
        </w:rPr>
        <w:t>ра</w:t>
      </w:r>
      <w:r w:rsidR="004E14AD">
        <w:rPr>
          <w:rStyle w:val="hps"/>
        </w:rPr>
        <w:t>та</w:t>
      </w:r>
      <w:r>
        <w:t xml:space="preserve"> </w:t>
      </w:r>
      <w:r>
        <w:rPr>
          <w:rStyle w:val="hps"/>
        </w:rPr>
        <w:t>на търговията</w:t>
      </w:r>
      <w:r>
        <w:t xml:space="preserve"> </w:t>
      </w:r>
      <w:r>
        <w:rPr>
          <w:rStyle w:val="hps"/>
        </w:rPr>
        <w:t>и промишлеността (</w:t>
      </w:r>
      <w:r w:rsidR="004E14AD">
        <w:t xml:space="preserve">CCIRA). </w:t>
      </w:r>
      <w:r w:rsidR="004E14AD">
        <w:rPr>
          <w:rStyle w:val="hps"/>
        </w:rPr>
        <w:t xml:space="preserve">Частната финансова компания </w:t>
      </w:r>
      <w:r w:rsidR="00CF5394">
        <w:rPr>
          <w:rStyle w:val="hps"/>
        </w:rPr>
        <w:t xml:space="preserve">Софимак партнерс </w:t>
      </w:r>
      <w:r w:rsidR="004E14AD">
        <w:rPr>
          <w:rStyle w:val="hps"/>
        </w:rPr>
        <w:t>има</w:t>
      </w:r>
      <w:r>
        <w:rPr>
          <w:rStyle w:val="hps"/>
        </w:rPr>
        <w:t xml:space="preserve"> 35</w:t>
      </w:r>
      <w:r>
        <w:t>-годишен опит</w:t>
      </w:r>
      <w:r w:rsidR="000D6B47">
        <w:t xml:space="preserve"> </w:t>
      </w:r>
      <w:r w:rsidR="00137D44">
        <w:t>изпълнява ролята</w:t>
      </w:r>
      <w:r w:rsidR="000D6B47">
        <w:t xml:space="preserve"> на мениджър на други фондове в региона</w:t>
      </w:r>
      <w:r>
        <w:t xml:space="preserve">. </w:t>
      </w:r>
      <w:r>
        <w:rPr>
          <w:rStyle w:val="hps"/>
        </w:rPr>
        <w:t>Съответно</w:t>
      </w:r>
      <w:r>
        <w:t xml:space="preserve">, </w:t>
      </w:r>
      <w:r>
        <w:rPr>
          <w:rStyle w:val="hps"/>
        </w:rPr>
        <w:t>това публично</w:t>
      </w:r>
      <w:r w:rsidR="000D6B47">
        <w:rPr>
          <w:rStyle w:val="hps"/>
        </w:rPr>
        <w:t>-</w:t>
      </w:r>
      <w:r>
        <w:rPr>
          <w:rStyle w:val="hps"/>
        </w:rPr>
        <w:t>частно партньорство</w:t>
      </w:r>
      <w:r>
        <w:t xml:space="preserve"> </w:t>
      </w:r>
      <w:r>
        <w:rPr>
          <w:rStyle w:val="hps"/>
        </w:rPr>
        <w:t>е решение</w:t>
      </w:r>
      <w:r w:rsidR="000D6B47">
        <w:t>, покриващо</w:t>
      </w:r>
      <w:r>
        <w:t xml:space="preserve"> всички </w:t>
      </w:r>
      <w:r>
        <w:rPr>
          <w:rStyle w:val="hps"/>
        </w:rPr>
        <w:t>области на действие</w:t>
      </w:r>
      <w:r>
        <w:t xml:space="preserve">. </w:t>
      </w:r>
      <w:r>
        <w:rPr>
          <w:rStyle w:val="hps"/>
        </w:rPr>
        <w:t>Всъщност</w:t>
      </w:r>
      <w:r>
        <w:t xml:space="preserve">, </w:t>
      </w:r>
      <w:r w:rsidR="00CF5394">
        <w:rPr>
          <w:rStyle w:val="hps"/>
        </w:rPr>
        <w:t>Софимак</w:t>
      </w:r>
      <w:r>
        <w:t xml:space="preserve"> </w:t>
      </w:r>
      <w:r w:rsidR="00CF5394">
        <w:t>партнерс</w:t>
      </w:r>
      <w:r>
        <w:t xml:space="preserve"> </w:t>
      </w:r>
      <w:r>
        <w:rPr>
          <w:rStyle w:val="hps"/>
        </w:rPr>
        <w:t>управлява</w:t>
      </w:r>
      <w:r>
        <w:t xml:space="preserve"> </w:t>
      </w:r>
      <w:r>
        <w:rPr>
          <w:rStyle w:val="hps"/>
        </w:rPr>
        <w:t>холдинговия фонд</w:t>
      </w:r>
      <w:r>
        <w:t xml:space="preserve"> </w:t>
      </w:r>
      <w:r>
        <w:rPr>
          <w:rStyle w:val="hps"/>
        </w:rPr>
        <w:t>и</w:t>
      </w:r>
      <w:r>
        <w:t xml:space="preserve"> </w:t>
      </w:r>
      <w:r w:rsidR="00CF5394">
        <w:rPr>
          <w:rStyle w:val="hps"/>
        </w:rPr>
        <w:t>упражнява мониторинг върху</w:t>
      </w:r>
      <w:r>
        <w:t xml:space="preserve"> </w:t>
      </w:r>
      <w:r>
        <w:rPr>
          <w:rStyle w:val="hps"/>
        </w:rPr>
        <w:t>инвестиционн</w:t>
      </w:r>
      <w:r w:rsidR="00CF5394">
        <w:rPr>
          <w:rStyle w:val="hps"/>
        </w:rPr>
        <w:t>ия</w:t>
      </w:r>
      <w:r>
        <w:rPr>
          <w:rStyle w:val="hps"/>
        </w:rPr>
        <w:t xml:space="preserve"> портфейл</w:t>
      </w:r>
      <w:r w:rsidR="00CF5394">
        <w:rPr>
          <w:rStyle w:val="hps"/>
        </w:rPr>
        <w:t xml:space="preserve"> с рисков капитал, </w:t>
      </w:r>
      <w:r>
        <w:rPr>
          <w:rStyle w:val="hps"/>
        </w:rPr>
        <w:t>CCIRA</w:t>
      </w:r>
      <w:r w:rsidR="00CF5394">
        <w:rPr>
          <w:rStyle w:val="hps"/>
        </w:rPr>
        <w:t xml:space="preserve"> - върху</w:t>
      </w:r>
      <w:r>
        <w:t xml:space="preserve"> </w:t>
      </w:r>
      <w:r w:rsidR="00CF5394">
        <w:t>к</w:t>
      </w:r>
      <w:r>
        <w:rPr>
          <w:rStyle w:val="hps"/>
        </w:rPr>
        <w:t>редитния портфейл</w:t>
      </w:r>
      <w:r>
        <w:t xml:space="preserve"> </w:t>
      </w:r>
      <w:r>
        <w:rPr>
          <w:rStyle w:val="hps"/>
        </w:rPr>
        <w:t>на</w:t>
      </w:r>
      <w:r>
        <w:t xml:space="preserve"> </w:t>
      </w:r>
      <w:r>
        <w:rPr>
          <w:rStyle w:val="hps"/>
        </w:rPr>
        <w:t>фонд</w:t>
      </w:r>
      <w:r w:rsidR="00CF5394">
        <w:rPr>
          <w:rStyle w:val="hps"/>
        </w:rPr>
        <w:t>а</w:t>
      </w:r>
      <w:r>
        <w:t xml:space="preserve">. </w:t>
      </w:r>
      <w:r>
        <w:rPr>
          <w:rStyle w:val="hps"/>
        </w:rPr>
        <w:t>Ефективното</w:t>
      </w:r>
      <w:r>
        <w:t xml:space="preserve"> </w:t>
      </w:r>
      <w:r>
        <w:rPr>
          <w:rStyle w:val="hps"/>
        </w:rPr>
        <w:t>сътрудничество</w:t>
      </w:r>
      <w:r>
        <w:t xml:space="preserve"> </w:t>
      </w:r>
      <w:r>
        <w:rPr>
          <w:rStyle w:val="hps"/>
        </w:rPr>
        <w:t>между</w:t>
      </w:r>
      <w:r>
        <w:t xml:space="preserve"> </w:t>
      </w:r>
      <w:r>
        <w:rPr>
          <w:rStyle w:val="hps"/>
        </w:rPr>
        <w:t>заинтересовани</w:t>
      </w:r>
      <w:r w:rsidR="00104C22">
        <w:rPr>
          <w:rStyle w:val="hps"/>
        </w:rPr>
        <w:t>те</w:t>
      </w:r>
      <w:r>
        <w:rPr>
          <w:rStyle w:val="hps"/>
        </w:rPr>
        <w:t xml:space="preserve"> страни,</w:t>
      </w:r>
      <w:r>
        <w:t xml:space="preserve"> </w:t>
      </w:r>
      <w:r>
        <w:rPr>
          <w:rStyle w:val="hps"/>
        </w:rPr>
        <w:t>е</w:t>
      </w:r>
      <w:r>
        <w:t xml:space="preserve"> </w:t>
      </w:r>
      <w:r>
        <w:rPr>
          <w:rStyle w:val="hps"/>
        </w:rPr>
        <w:t>един</w:t>
      </w:r>
      <w:r>
        <w:t xml:space="preserve"> </w:t>
      </w:r>
      <w:r>
        <w:rPr>
          <w:rStyle w:val="hps"/>
        </w:rPr>
        <w:t>от ключовите</w:t>
      </w:r>
      <w:r>
        <w:t xml:space="preserve"> </w:t>
      </w:r>
      <w:r>
        <w:rPr>
          <w:rStyle w:val="hps"/>
        </w:rPr>
        <w:t>фактори за</w:t>
      </w:r>
      <w:r>
        <w:t xml:space="preserve"> </w:t>
      </w:r>
      <w:r>
        <w:rPr>
          <w:rStyle w:val="hps"/>
        </w:rPr>
        <w:t>успеха</w:t>
      </w:r>
      <w:r>
        <w:t xml:space="preserve"> </w:t>
      </w:r>
      <w:r>
        <w:rPr>
          <w:rStyle w:val="hps"/>
        </w:rPr>
        <w:t>на фонда</w:t>
      </w:r>
      <w:r>
        <w:t xml:space="preserve"> </w:t>
      </w:r>
      <w:r>
        <w:rPr>
          <w:rStyle w:val="hps"/>
        </w:rPr>
        <w:t>в Оверн</w:t>
      </w:r>
      <w:r>
        <w:t>.</w:t>
      </w:r>
    </w:p>
    <w:p w:rsidR="008F4990" w:rsidRPr="00911FF9" w:rsidRDefault="0055742D" w:rsidP="00911FF9">
      <w:pPr>
        <w:pStyle w:val="Heading4"/>
        <w:spacing w:after="240"/>
        <w:rPr>
          <w:rFonts w:eastAsia="Calibri"/>
          <w:color w:val="2E74B5" w:themeColor="accent1" w:themeShade="BF"/>
        </w:rPr>
      </w:pPr>
      <w:r w:rsidRPr="00911FF9">
        <w:rPr>
          <w:rFonts w:eastAsia="Calibri"/>
          <w:color w:val="2E74B5" w:themeColor="accent1" w:themeShade="BF"/>
        </w:rPr>
        <w:t>Подготовка на споразумението за финансиране</w:t>
      </w:r>
    </w:p>
    <w:p w:rsidR="006D4C31" w:rsidRDefault="0055742D" w:rsidP="006D4C31">
      <w:pPr>
        <w:jc w:val="both"/>
      </w:pPr>
      <w:r>
        <w:rPr>
          <w:rStyle w:val="hps"/>
        </w:rPr>
        <w:t>Най-добрите практики</w:t>
      </w:r>
      <w:r>
        <w:t xml:space="preserve"> </w:t>
      </w:r>
      <w:r>
        <w:rPr>
          <w:rStyle w:val="hps"/>
        </w:rPr>
        <w:t>за изготвяне на</w:t>
      </w:r>
      <w:r>
        <w:t xml:space="preserve"> </w:t>
      </w:r>
      <w:r>
        <w:rPr>
          <w:rStyle w:val="hps"/>
        </w:rPr>
        <w:t>споразумението за</w:t>
      </w:r>
      <w:r>
        <w:t xml:space="preserve"> </w:t>
      </w:r>
      <w:r>
        <w:rPr>
          <w:rStyle w:val="hps"/>
        </w:rPr>
        <w:t>финансиране</w:t>
      </w:r>
      <w:r w:rsidR="00062BA1">
        <w:rPr>
          <w:rStyle w:val="hps"/>
        </w:rPr>
        <w:t xml:space="preserve"> е</w:t>
      </w:r>
      <w:r>
        <w:rPr>
          <w:rStyle w:val="hps"/>
        </w:rPr>
        <w:t xml:space="preserve"> да се</w:t>
      </w:r>
      <w:r>
        <w:t xml:space="preserve"> </w:t>
      </w:r>
      <w:r w:rsidR="00062BA1">
        <w:t>използват</w:t>
      </w:r>
      <w:r w:rsidR="00D456F3">
        <w:t xml:space="preserve"> специалист в </w:t>
      </w:r>
      <w:r>
        <w:rPr>
          <w:rStyle w:val="hps"/>
        </w:rPr>
        <w:t>публичното право</w:t>
      </w:r>
      <w:r>
        <w:t xml:space="preserve">, </w:t>
      </w:r>
      <w:r>
        <w:rPr>
          <w:rStyle w:val="hps"/>
        </w:rPr>
        <w:t>защото</w:t>
      </w:r>
      <w:r>
        <w:t xml:space="preserve"> </w:t>
      </w:r>
      <w:r>
        <w:rPr>
          <w:rStyle w:val="hps"/>
        </w:rPr>
        <w:t>недостатъчно</w:t>
      </w:r>
      <w:r>
        <w:t xml:space="preserve"> </w:t>
      </w:r>
      <w:r>
        <w:rPr>
          <w:rStyle w:val="hps"/>
        </w:rPr>
        <w:t>консултации и подкрепа</w:t>
      </w:r>
      <w:r>
        <w:t xml:space="preserve"> </w:t>
      </w:r>
      <w:r w:rsidR="006D4C31">
        <w:rPr>
          <w:rStyle w:val="hps"/>
        </w:rPr>
        <w:t>от експерти</w:t>
      </w:r>
      <w:r>
        <w:rPr>
          <w:rStyle w:val="hps"/>
        </w:rPr>
        <w:t xml:space="preserve"> в</w:t>
      </w:r>
      <w:r>
        <w:t xml:space="preserve"> </w:t>
      </w:r>
      <w:r>
        <w:rPr>
          <w:rStyle w:val="hps"/>
        </w:rPr>
        <w:t>тази област</w:t>
      </w:r>
      <w:r w:rsidR="00D456F3">
        <w:rPr>
          <w:rStyle w:val="hps"/>
        </w:rPr>
        <w:t xml:space="preserve"> често во</w:t>
      </w:r>
      <w:r w:rsidR="006D4C31">
        <w:rPr>
          <w:rStyle w:val="hps"/>
        </w:rPr>
        <w:t>д</w:t>
      </w:r>
      <w:r w:rsidR="00D456F3">
        <w:rPr>
          <w:rStyle w:val="hps"/>
        </w:rPr>
        <w:t>и до нежелани резултати</w:t>
      </w:r>
      <w:r>
        <w:t>.</w:t>
      </w:r>
    </w:p>
    <w:p w:rsidR="006D4C31" w:rsidRDefault="0055742D" w:rsidP="006D4C31">
      <w:pPr>
        <w:jc w:val="both"/>
        <w:rPr>
          <w:rStyle w:val="hps"/>
        </w:rPr>
      </w:pPr>
      <w:r>
        <w:rPr>
          <w:rStyle w:val="hps"/>
        </w:rPr>
        <w:t>Някои партньори</w:t>
      </w:r>
      <w:r>
        <w:t xml:space="preserve"> </w:t>
      </w:r>
      <w:r>
        <w:rPr>
          <w:rStyle w:val="hps"/>
        </w:rPr>
        <w:t>обмислят</w:t>
      </w:r>
      <w:r>
        <w:t xml:space="preserve"> </w:t>
      </w:r>
      <w:r>
        <w:rPr>
          <w:rStyle w:val="hps"/>
        </w:rPr>
        <w:t>създаването на работна</w:t>
      </w:r>
      <w:r>
        <w:t xml:space="preserve"> </w:t>
      </w:r>
      <w:r>
        <w:rPr>
          <w:rStyle w:val="hps"/>
        </w:rPr>
        <w:t>група</w:t>
      </w:r>
      <w:r>
        <w:t xml:space="preserve">, </w:t>
      </w:r>
      <w:r>
        <w:rPr>
          <w:rStyle w:val="hps"/>
        </w:rPr>
        <w:t>която може да се</w:t>
      </w:r>
      <w:r>
        <w:t xml:space="preserve"> </w:t>
      </w:r>
      <w:r>
        <w:rPr>
          <w:rStyle w:val="hps"/>
        </w:rPr>
        <w:t>състои от</w:t>
      </w:r>
      <w:r>
        <w:t xml:space="preserve"> </w:t>
      </w:r>
      <w:r>
        <w:rPr>
          <w:rStyle w:val="hps"/>
        </w:rPr>
        <w:t>два отбора</w:t>
      </w:r>
      <w:r>
        <w:t xml:space="preserve">. </w:t>
      </w:r>
      <w:r>
        <w:rPr>
          <w:rStyle w:val="hps"/>
        </w:rPr>
        <w:t>Комбинацията от</w:t>
      </w:r>
      <w:r>
        <w:t xml:space="preserve"> </w:t>
      </w:r>
      <w:r>
        <w:rPr>
          <w:rStyle w:val="hps"/>
        </w:rPr>
        <w:t>правни и оперативни</w:t>
      </w:r>
      <w:r>
        <w:t xml:space="preserve"> </w:t>
      </w:r>
      <w:r>
        <w:rPr>
          <w:rStyle w:val="hps"/>
        </w:rPr>
        <w:t>специалисти</w:t>
      </w:r>
      <w:r>
        <w:t xml:space="preserve"> </w:t>
      </w:r>
      <w:r w:rsidR="006D4C31">
        <w:t>е</w:t>
      </w:r>
      <w:r>
        <w:rPr>
          <w:rStyle w:val="hps"/>
        </w:rPr>
        <w:t xml:space="preserve"> мъдър</w:t>
      </w:r>
      <w:r>
        <w:t xml:space="preserve"> </w:t>
      </w:r>
      <w:r>
        <w:rPr>
          <w:rStyle w:val="hps"/>
        </w:rPr>
        <w:t>избор за</w:t>
      </w:r>
      <w:r>
        <w:t xml:space="preserve"> </w:t>
      </w:r>
      <w:r>
        <w:rPr>
          <w:rStyle w:val="hps"/>
        </w:rPr>
        <w:t>комбиниране на различни</w:t>
      </w:r>
      <w:r>
        <w:t xml:space="preserve">, но допълващи се </w:t>
      </w:r>
      <w:r>
        <w:rPr>
          <w:rStyle w:val="hps"/>
        </w:rPr>
        <w:t>гледни точки.</w:t>
      </w:r>
    </w:p>
    <w:p w:rsidR="007E5B07" w:rsidRDefault="0055742D" w:rsidP="006D4C31">
      <w:pPr>
        <w:jc w:val="both"/>
      </w:pPr>
      <w:r>
        <w:rPr>
          <w:rStyle w:val="hps"/>
        </w:rPr>
        <w:t>Необходимо е също така</w:t>
      </w:r>
      <w:r>
        <w:t xml:space="preserve"> </w:t>
      </w:r>
      <w:r>
        <w:rPr>
          <w:rStyle w:val="hps"/>
        </w:rPr>
        <w:t>да се</w:t>
      </w:r>
      <w:r>
        <w:t xml:space="preserve"> </w:t>
      </w:r>
      <w:r>
        <w:rPr>
          <w:rStyle w:val="hps"/>
        </w:rPr>
        <w:t>насърчи диалог</w:t>
      </w:r>
      <w:r w:rsidR="00727598">
        <w:rPr>
          <w:rStyle w:val="hps"/>
        </w:rPr>
        <w:t>ът</w:t>
      </w:r>
      <w:r>
        <w:rPr>
          <w:rStyle w:val="hps"/>
        </w:rPr>
        <w:t xml:space="preserve"> с</w:t>
      </w:r>
      <w:r>
        <w:t xml:space="preserve"> </w:t>
      </w:r>
      <w:r>
        <w:rPr>
          <w:rStyle w:val="hps"/>
        </w:rPr>
        <w:t>властите</w:t>
      </w:r>
      <w:r>
        <w:t>,</w:t>
      </w:r>
      <w:r w:rsidR="006D4C31">
        <w:t xml:space="preserve"> за</w:t>
      </w:r>
      <w:r>
        <w:t xml:space="preserve"> </w:t>
      </w:r>
      <w:r>
        <w:rPr>
          <w:rStyle w:val="hps"/>
        </w:rPr>
        <w:t>да се адаптират</w:t>
      </w:r>
      <w:r>
        <w:t xml:space="preserve"> </w:t>
      </w:r>
      <w:r>
        <w:rPr>
          <w:rStyle w:val="hps"/>
        </w:rPr>
        <w:t>правилата и</w:t>
      </w:r>
      <w:r>
        <w:t xml:space="preserve"> </w:t>
      </w:r>
      <w:r>
        <w:rPr>
          <w:rStyle w:val="hps"/>
        </w:rPr>
        <w:t>изгладят</w:t>
      </w:r>
      <w:r>
        <w:t xml:space="preserve"> </w:t>
      </w:r>
      <w:r>
        <w:rPr>
          <w:rStyle w:val="hps"/>
        </w:rPr>
        <w:t>всички различия</w:t>
      </w:r>
      <w:r>
        <w:t xml:space="preserve"> </w:t>
      </w:r>
      <w:r>
        <w:rPr>
          <w:rStyle w:val="hps"/>
        </w:rPr>
        <w:t>в тълкуването</w:t>
      </w:r>
      <w:r>
        <w:t>.</w:t>
      </w:r>
    </w:p>
    <w:p w:rsidR="00E30383" w:rsidRPr="00911FF9" w:rsidRDefault="008455D2" w:rsidP="00911FF9">
      <w:pPr>
        <w:pStyle w:val="Heading4"/>
        <w:spacing w:after="240"/>
        <w:rPr>
          <w:rFonts w:eastAsia="Calibri"/>
          <w:color w:val="2E74B5" w:themeColor="accent1" w:themeShade="BF"/>
        </w:rPr>
      </w:pPr>
      <w:r w:rsidRPr="00911FF9">
        <w:rPr>
          <w:rFonts w:eastAsia="Calibri"/>
          <w:color w:val="2E74B5" w:themeColor="accent1" w:themeShade="BF"/>
        </w:rPr>
        <w:lastRenderedPageBreak/>
        <w:t>Избор на инвестиционна схема</w:t>
      </w:r>
    </w:p>
    <w:p w:rsidR="008455D2" w:rsidRDefault="008455D2" w:rsidP="00D85ED7">
      <w:pPr>
        <w:jc w:val="both"/>
      </w:pPr>
      <w:r>
        <w:rPr>
          <w:rStyle w:val="hps"/>
        </w:rPr>
        <w:t>При създаване на</w:t>
      </w:r>
      <w:r>
        <w:t xml:space="preserve"> </w:t>
      </w:r>
      <w:r>
        <w:rPr>
          <w:rStyle w:val="hps"/>
        </w:rPr>
        <w:t>фонд</w:t>
      </w:r>
      <w:r>
        <w:t xml:space="preserve"> </w:t>
      </w:r>
      <w:r>
        <w:rPr>
          <w:rStyle w:val="hps"/>
        </w:rPr>
        <w:t>- независимо дали</w:t>
      </w:r>
      <w:r>
        <w:t xml:space="preserve"> </w:t>
      </w:r>
      <w:r>
        <w:rPr>
          <w:rStyle w:val="hps"/>
        </w:rPr>
        <w:t>е холдингов фонд</w:t>
      </w:r>
      <w:r w:rsidR="00D85ED7">
        <w:rPr>
          <w:rStyle w:val="hps"/>
        </w:rPr>
        <w:t xml:space="preserve"> или не</w:t>
      </w:r>
      <w:r>
        <w:t xml:space="preserve"> </w:t>
      </w:r>
      <w:r>
        <w:rPr>
          <w:rStyle w:val="hps"/>
        </w:rPr>
        <w:t>-</w:t>
      </w:r>
      <w:r>
        <w:t xml:space="preserve"> </w:t>
      </w:r>
      <w:r>
        <w:rPr>
          <w:rStyle w:val="hps"/>
        </w:rPr>
        <w:t>има две възможности</w:t>
      </w:r>
      <w:r>
        <w:t xml:space="preserve">: създаване на </w:t>
      </w:r>
      <w:r>
        <w:rPr>
          <w:rStyle w:val="hps"/>
        </w:rPr>
        <w:t>отделен</w:t>
      </w:r>
      <w:r>
        <w:t xml:space="preserve"> </w:t>
      </w:r>
      <w:r>
        <w:rPr>
          <w:rStyle w:val="hps"/>
        </w:rPr>
        <w:t>фонд</w:t>
      </w:r>
      <w:r>
        <w:t xml:space="preserve"> </w:t>
      </w:r>
      <w:r>
        <w:rPr>
          <w:rStyle w:val="hps"/>
        </w:rPr>
        <w:t>(</w:t>
      </w:r>
      <w:r w:rsidR="00F71AC6">
        <w:rPr>
          <w:rStyle w:val="hps"/>
        </w:rPr>
        <w:t>под различни</w:t>
      </w:r>
      <w:r>
        <w:t xml:space="preserve"> </w:t>
      </w:r>
      <w:r>
        <w:rPr>
          <w:rStyle w:val="hps"/>
        </w:rPr>
        <w:t>правни форми</w:t>
      </w:r>
      <w:r w:rsidR="00D85ED7">
        <w:t>), кой</w:t>
      </w:r>
      <w:r>
        <w:t xml:space="preserve">то </w:t>
      </w:r>
      <w:r>
        <w:rPr>
          <w:rStyle w:val="hps"/>
        </w:rPr>
        <w:t>ще управлява</w:t>
      </w:r>
      <w:r>
        <w:t xml:space="preserve"> </w:t>
      </w:r>
      <w:r>
        <w:rPr>
          <w:rStyle w:val="hps"/>
        </w:rPr>
        <w:t>безвъзмездната помощ</w:t>
      </w:r>
      <w:r>
        <w:t xml:space="preserve">, </w:t>
      </w:r>
      <w:r>
        <w:rPr>
          <w:rStyle w:val="hps"/>
        </w:rPr>
        <w:t>или да го</w:t>
      </w:r>
      <w:r>
        <w:t xml:space="preserve"> </w:t>
      </w:r>
      <w:r>
        <w:rPr>
          <w:rStyle w:val="hps"/>
        </w:rPr>
        <w:t xml:space="preserve">включат </w:t>
      </w:r>
      <w:r w:rsidR="00D85ED7">
        <w:rPr>
          <w:rStyle w:val="hps"/>
        </w:rPr>
        <w:t>като дейност на</w:t>
      </w:r>
      <w:r>
        <w:t xml:space="preserve"> </w:t>
      </w:r>
      <w:r>
        <w:rPr>
          <w:rStyle w:val="hps"/>
        </w:rPr>
        <w:t>финансова</w:t>
      </w:r>
      <w:r>
        <w:t xml:space="preserve"> </w:t>
      </w:r>
      <w:r>
        <w:rPr>
          <w:rStyle w:val="hps"/>
        </w:rPr>
        <w:t>институция</w:t>
      </w:r>
      <w:r>
        <w:t xml:space="preserve"> </w:t>
      </w:r>
      <w:r>
        <w:rPr>
          <w:rStyle w:val="hps"/>
        </w:rPr>
        <w:t>под</w:t>
      </w:r>
      <w:r>
        <w:t xml:space="preserve"> </w:t>
      </w:r>
      <w:r>
        <w:rPr>
          <w:rStyle w:val="hps"/>
        </w:rPr>
        <w:t>отделна сметка</w:t>
      </w:r>
      <w:r>
        <w:t>.</w:t>
      </w:r>
    </w:p>
    <w:p w:rsidR="00D85ED7" w:rsidRDefault="00BA5525" w:rsidP="00D85ED7">
      <w:pPr>
        <w:jc w:val="both"/>
      </w:pPr>
      <w:r>
        <w:rPr>
          <w:rStyle w:val="hps"/>
        </w:rPr>
        <w:t>Инструменти</w:t>
      </w:r>
      <w:r w:rsidR="00305161">
        <w:rPr>
          <w:rStyle w:val="hps"/>
        </w:rPr>
        <w:t>те</w:t>
      </w:r>
      <w:r>
        <w:t xml:space="preserve"> </w:t>
      </w:r>
      <w:r>
        <w:rPr>
          <w:rStyle w:val="hps"/>
        </w:rPr>
        <w:t>за финансов инженеринг</w:t>
      </w:r>
      <w:r>
        <w:t>, в по-голямата си част,</w:t>
      </w:r>
      <w:r w:rsidR="00F71AC6">
        <w:t xml:space="preserve"> са управлявани</w:t>
      </w:r>
      <w:r>
        <w:t xml:space="preserve"> от </w:t>
      </w:r>
      <w:r>
        <w:rPr>
          <w:rStyle w:val="hps"/>
        </w:rPr>
        <w:t>национален орган за финансов</w:t>
      </w:r>
      <w:r>
        <w:t xml:space="preserve"> </w:t>
      </w:r>
      <w:r>
        <w:rPr>
          <w:rStyle w:val="hps"/>
        </w:rPr>
        <w:t>контрол и</w:t>
      </w:r>
      <w:r>
        <w:t xml:space="preserve"> </w:t>
      </w:r>
      <w:r>
        <w:rPr>
          <w:rStyle w:val="hps"/>
        </w:rPr>
        <w:t>гарантиране на</w:t>
      </w:r>
      <w:r>
        <w:t xml:space="preserve"> </w:t>
      </w:r>
      <w:r>
        <w:rPr>
          <w:rStyle w:val="hps"/>
        </w:rPr>
        <w:t>сигурността</w:t>
      </w:r>
      <w:r>
        <w:t xml:space="preserve"> </w:t>
      </w:r>
      <w:r>
        <w:rPr>
          <w:rStyle w:val="hps"/>
        </w:rPr>
        <w:t>на средствата</w:t>
      </w:r>
      <w:r>
        <w:t xml:space="preserve"> </w:t>
      </w:r>
      <w:r w:rsidR="00F71AC6">
        <w:t>на</w:t>
      </w:r>
      <w:r>
        <w:t xml:space="preserve"> </w:t>
      </w:r>
      <w:r>
        <w:rPr>
          <w:rStyle w:val="hps"/>
        </w:rPr>
        <w:t>акционерите</w:t>
      </w:r>
      <w:r>
        <w:t xml:space="preserve"> </w:t>
      </w:r>
      <w:r>
        <w:rPr>
          <w:rStyle w:val="hps"/>
        </w:rPr>
        <w:t xml:space="preserve">и </w:t>
      </w:r>
      <w:r w:rsidR="00F71AC6">
        <w:rPr>
          <w:rStyle w:val="hps"/>
        </w:rPr>
        <w:t>инвеститорите в</w:t>
      </w:r>
      <w:r>
        <w:t xml:space="preserve"> </w:t>
      </w:r>
      <w:r>
        <w:rPr>
          <w:rStyle w:val="hps"/>
        </w:rPr>
        <w:t>последния.</w:t>
      </w:r>
      <w:r>
        <w:t xml:space="preserve"> </w:t>
      </w:r>
      <w:r>
        <w:rPr>
          <w:rStyle w:val="hps"/>
        </w:rPr>
        <w:t>Европейските</w:t>
      </w:r>
      <w:r>
        <w:t xml:space="preserve"> </w:t>
      </w:r>
      <w:r w:rsidR="002B3D2C">
        <w:rPr>
          <w:rStyle w:val="hps"/>
        </w:rPr>
        <w:t>средства подлежат на</w:t>
      </w:r>
      <w:r>
        <w:t xml:space="preserve"> контрол</w:t>
      </w:r>
      <w:r w:rsidR="002B3D2C">
        <w:t xml:space="preserve"> на определен период </w:t>
      </w:r>
      <w:r>
        <w:rPr>
          <w:rStyle w:val="hps"/>
        </w:rPr>
        <w:t xml:space="preserve"> от време (</w:t>
      </w:r>
      <w:r>
        <w:t xml:space="preserve">на тримесечна </w:t>
      </w:r>
      <w:r>
        <w:rPr>
          <w:rStyle w:val="hps"/>
        </w:rPr>
        <w:t>/</w:t>
      </w:r>
      <w:r>
        <w:t xml:space="preserve"> </w:t>
      </w:r>
      <w:r>
        <w:rPr>
          <w:rStyle w:val="hps"/>
        </w:rPr>
        <w:t>шест</w:t>
      </w:r>
      <w:r>
        <w:rPr>
          <w:rStyle w:val="atn"/>
        </w:rPr>
        <w:t>-</w:t>
      </w:r>
      <w:r>
        <w:t xml:space="preserve">месечно </w:t>
      </w:r>
      <w:r>
        <w:rPr>
          <w:rStyle w:val="hps"/>
        </w:rPr>
        <w:t>/</w:t>
      </w:r>
      <w:r>
        <w:t xml:space="preserve"> </w:t>
      </w:r>
      <w:r>
        <w:rPr>
          <w:rStyle w:val="hps"/>
        </w:rPr>
        <w:t>годишно)</w:t>
      </w:r>
      <w:r>
        <w:t xml:space="preserve">, както и </w:t>
      </w:r>
      <w:r>
        <w:rPr>
          <w:rStyle w:val="hps"/>
        </w:rPr>
        <w:t>редовни одити</w:t>
      </w:r>
      <w:r>
        <w:t xml:space="preserve"> </w:t>
      </w:r>
      <w:r>
        <w:rPr>
          <w:rStyle w:val="hps"/>
        </w:rPr>
        <w:t>на Управляващия</w:t>
      </w:r>
      <w:r>
        <w:t xml:space="preserve"> </w:t>
      </w:r>
      <w:r>
        <w:rPr>
          <w:rStyle w:val="hps"/>
        </w:rPr>
        <w:t>орган (</w:t>
      </w:r>
      <w:r>
        <w:t xml:space="preserve">на регионално и </w:t>
      </w:r>
      <w:r>
        <w:rPr>
          <w:rStyle w:val="hps"/>
        </w:rPr>
        <w:t>национално равнище)</w:t>
      </w:r>
      <w:r>
        <w:t xml:space="preserve"> </w:t>
      </w:r>
      <w:r>
        <w:rPr>
          <w:rStyle w:val="hps"/>
        </w:rPr>
        <w:t>и</w:t>
      </w:r>
      <w:r>
        <w:t xml:space="preserve"> </w:t>
      </w:r>
      <w:r>
        <w:rPr>
          <w:rStyle w:val="hps"/>
        </w:rPr>
        <w:t>Европейската комисия</w:t>
      </w:r>
      <w:r>
        <w:t xml:space="preserve">, </w:t>
      </w:r>
      <w:r>
        <w:rPr>
          <w:rStyle w:val="hps"/>
        </w:rPr>
        <w:t>в</w:t>
      </w:r>
      <w:r>
        <w:t xml:space="preserve"> </w:t>
      </w:r>
      <w:r>
        <w:rPr>
          <w:rStyle w:val="hps"/>
        </w:rPr>
        <w:t>които</w:t>
      </w:r>
      <w:r>
        <w:t xml:space="preserve"> </w:t>
      </w:r>
      <w:r>
        <w:rPr>
          <w:rStyle w:val="hps"/>
        </w:rPr>
        <w:t>мениджърите и</w:t>
      </w:r>
      <w:r>
        <w:t xml:space="preserve"> </w:t>
      </w:r>
      <w:r>
        <w:rPr>
          <w:rStyle w:val="hps"/>
        </w:rPr>
        <w:t>крайни</w:t>
      </w:r>
      <w:r w:rsidR="009C0EFD">
        <w:rPr>
          <w:rStyle w:val="hps"/>
        </w:rPr>
        <w:t>те</w:t>
      </w:r>
      <w:r>
        <w:t xml:space="preserve"> </w:t>
      </w:r>
      <w:r>
        <w:rPr>
          <w:rStyle w:val="hps"/>
        </w:rPr>
        <w:t>получателите на</w:t>
      </w:r>
      <w:r>
        <w:t xml:space="preserve"> </w:t>
      </w:r>
      <w:r>
        <w:rPr>
          <w:rStyle w:val="hps"/>
        </w:rPr>
        <w:t>средствата</w:t>
      </w:r>
      <w:r>
        <w:t xml:space="preserve"> </w:t>
      </w:r>
      <w:r>
        <w:rPr>
          <w:rStyle w:val="hps"/>
        </w:rPr>
        <w:t>трябва да участват</w:t>
      </w:r>
      <w:r>
        <w:t>.</w:t>
      </w:r>
    </w:p>
    <w:p w:rsidR="004833AB" w:rsidRDefault="004833AB" w:rsidP="00D85ED7">
      <w:pPr>
        <w:jc w:val="both"/>
        <w:rPr>
          <w:rStyle w:val="hps"/>
        </w:rPr>
      </w:pPr>
      <w:r>
        <w:rPr>
          <w:rStyle w:val="hps"/>
        </w:rPr>
        <w:t>Изборът на</w:t>
      </w:r>
      <w:r>
        <w:t xml:space="preserve"> </w:t>
      </w:r>
      <w:r>
        <w:rPr>
          <w:rStyle w:val="hps"/>
        </w:rPr>
        <w:t>инвестиционен инструмент</w:t>
      </w:r>
      <w:r>
        <w:t xml:space="preserve"> </w:t>
      </w:r>
      <w:r>
        <w:rPr>
          <w:rStyle w:val="hps"/>
        </w:rPr>
        <w:t>до голяма степен</w:t>
      </w:r>
      <w:r>
        <w:t xml:space="preserve"> </w:t>
      </w:r>
      <w:r w:rsidR="006E352C">
        <w:rPr>
          <w:rStyle w:val="hps"/>
        </w:rPr>
        <w:t>зависи от националното</w:t>
      </w:r>
      <w:r>
        <w:t xml:space="preserve"> </w:t>
      </w:r>
      <w:r w:rsidR="006E352C">
        <w:t>нормативна уредба</w:t>
      </w:r>
      <w:r>
        <w:rPr>
          <w:rStyle w:val="hps"/>
        </w:rPr>
        <w:t>.</w:t>
      </w:r>
      <w:r>
        <w:t xml:space="preserve"> </w:t>
      </w:r>
      <w:r>
        <w:rPr>
          <w:rStyle w:val="hps"/>
        </w:rPr>
        <w:t>В Испания</w:t>
      </w:r>
      <w:r>
        <w:t xml:space="preserve">, средствата </w:t>
      </w:r>
      <w:r>
        <w:rPr>
          <w:rStyle w:val="hps"/>
        </w:rPr>
        <w:t>контролирани от</w:t>
      </w:r>
      <w:r>
        <w:t xml:space="preserve"> </w:t>
      </w:r>
      <w:r>
        <w:rPr>
          <w:rStyle w:val="hps"/>
        </w:rPr>
        <w:t>Националната</w:t>
      </w:r>
      <w:r>
        <w:t xml:space="preserve"> </w:t>
      </w:r>
      <w:r>
        <w:rPr>
          <w:rStyle w:val="hps"/>
        </w:rPr>
        <w:t>комисия по ценните книжа</w:t>
      </w:r>
      <w:r>
        <w:t xml:space="preserve"> </w:t>
      </w:r>
      <w:r w:rsidR="006E352C">
        <w:t xml:space="preserve">се ползват </w:t>
      </w:r>
      <w:r>
        <w:rPr>
          <w:rStyle w:val="hps"/>
        </w:rPr>
        <w:t>от</w:t>
      </w:r>
      <w:r>
        <w:t xml:space="preserve"> </w:t>
      </w:r>
      <w:r w:rsidR="001F07D2">
        <w:rPr>
          <w:rStyle w:val="hps"/>
        </w:rPr>
        <w:t>намаляване</w:t>
      </w:r>
      <w:r>
        <w:rPr>
          <w:rStyle w:val="hps"/>
        </w:rPr>
        <w:t xml:space="preserve"> на данъците</w:t>
      </w:r>
      <w:r>
        <w:t xml:space="preserve"> </w:t>
      </w:r>
      <w:r>
        <w:rPr>
          <w:rStyle w:val="hps"/>
        </w:rPr>
        <w:t>(</w:t>
      </w:r>
      <w:r>
        <w:t xml:space="preserve">от само 1%), но </w:t>
      </w:r>
      <w:r>
        <w:rPr>
          <w:rStyle w:val="hps"/>
        </w:rPr>
        <w:t>са много ограничени</w:t>
      </w:r>
      <w:r>
        <w:t xml:space="preserve"> </w:t>
      </w:r>
      <w:r>
        <w:rPr>
          <w:rStyle w:val="hps"/>
        </w:rPr>
        <w:t>(</w:t>
      </w:r>
      <w:r w:rsidR="00F6740C">
        <w:rPr>
          <w:rStyle w:val="hps"/>
        </w:rPr>
        <w:t xml:space="preserve">само за </w:t>
      </w:r>
      <w:r>
        <w:t xml:space="preserve">дялово участие в </w:t>
      </w:r>
      <w:r w:rsidR="001A658E">
        <w:rPr>
          <w:rStyle w:val="hps"/>
        </w:rPr>
        <w:t>капитал</w:t>
      </w:r>
      <w:r>
        <w:t xml:space="preserve"> </w:t>
      </w:r>
      <w:r>
        <w:rPr>
          <w:rStyle w:val="hps"/>
        </w:rPr>
        <w:t xml:space="preserve">и </w:t>
      </w:r>
      <w:r w:rsidR="001A658E">
        <w:rPr>
          <w:rStyle w:val="hps"/>
        </w:rPr>
        <w:t>квази-капиталови</w:t>
      </w:r>
      <w:r>
        <w:t xml:space="preserve"> </w:t>
      </w:r>
      <w:r>
        <w:rPr>
          <w:rStyle w:val="hps"/>
        </w:rPr>
        <w:t>заеми</w:t>
      </w:r>
      <w:r>
        <w:t xml:space="preserve">). </w:t>
      </w:r>
      <w:r>
        <w:rPr>
          <w:rStyle w:val="hps"/>
        </w:rPr>
        <w:t>Съответно</w:t>
      </w:r>
      <w:r>
        <w:t xml:space="preserve">, </w:t>
      </w:r>
      <w:r w:rsidR="001A658E">
        <w:t>УО</w:t>
      </w:r>
      <w:r>
        <w:t xml:space="preserve"> </w:t>
      </w:r>
      <w:r>
        <w:rPr>
          <w:rStyle w:val="hps"/>
        </w:rPr>
        <w:t>е избрал</w:t>
      </w:r>
      <w:r>
        <w:t xml:space="preserve"> </w:t>
      </w:r>
      <w:r>
        <w:rPr>
          <w:rStyle w:val="hps"/>
        </w:rPr>
        <w:t>нерегулиран</w:t>
      </w:r>
      <w:r>
        <w:t xml:space="preserve"> </w:t>
      </w:r>
      <w:r>
        <w:rPr>
          <w:rStyle w:val="hps"/>
        </w:rPr>
        <w:t>фонд</w:t>
      </w:r>
      <w:r>
        <w:t xml:space="preserve"> </w:t>
      </w:r>
      <w:r>
        <w:rPr>
          <w:rStyle w:val="hps"/>
        </w:rPr>
        <w:t>(</w:t>
      </w:r>
      <w:r>
        <w:t xml:space="preserve">без юридическа </w:t>
      </w:r>
      <w:r>
        <w:rPr>
          <w:rStyle w:val="hps"/>
        </w:rPr>
        <w:t>правосубектност)</w:t>
      </w:r>
      <w:r>
        <w:t>, ко</w:t>
      </w:r>
      <w:r w:rsidR="001A658E">
        <w:t>й</w:t>
      </w:r>
      <w:r>
        <w:t xml:space="preserve">то е обект </w:t>
      </w:r>
      <w:r>
        <w:rPr>
          <w:rStyle w:val="hps"/>
        </w:rPr>
        <w:t>на облагане с данък</w:t>
      </w:r>
      <w:r>
        <w:t xml:space="preserve">, но, от друга </w:t>
      </w:r>
      <w:r>
        <w:rPr>
          <w:rStyle w:val="hps"/>
        </w:rPr>
        <w:t>страна,</w:t>
      </w:r>
      <w:r>
        <w:t xml:space="preserve"> </w:t>
      </w:r>
      <w:r>
        <w:rPr>
          <w:rStyle w:val="hps"/>
        </w:rPr>
        <w:t>има</w:t>
      </w:r>
      <w:r>
        <w:t xml:space="preserve"> </w:t>
      </w:r>
      <w:r>
        <w:rPr>
          <w:rStyle w:val="hps"/>
        </w:rPr>
        <w:t>по-голяма гъвкавост</w:t>
      </w:r>
      <w:r>
        <w:t xml:space="preserve"> </w:t>
      </w:r>
      <w:r>
        <w:rPr>
          <w:rStyle w:val="hps"/>
        </w:rPr>
        <w:t>по отношение на финансовите</w:t>
      </w:r>
      <w:r>
        <w:t xml:space="preserve"> </w:t>
      </w:r>
      <w:r>
        <w:rPr>
          <w:rStyle w:val="hps"/>
        </w:rPr>
        <w:t>инструменти.</w:t>
      </w:r>
      <w:r>
        <w:t xml:space="preserve"> </w:t>
      </w:r>
      <w:r>
        <w:rPr>
          <w:rStyle w:val="hps"/>
        </w:rPr>
        <w:t>Фактът</w:t>
      </w:r>
      <w:r>
        <w:t xml:space="preserve">, че фондът </w:t>
      </w:r>
      <w:r>
        <w:rPr>
          <w:rStyle w:val="hps"/>
        </w:rPr>
        <w:t>е 100</w:t>
      </w:r>
      <w:r>
        <w:t>% публичн</w:t>
      </w:r>
      <w:r w:rsidR="001A658E">
        <w:t>а собственост е</w:t>
      </w:r>
      <w:r>
        <w:t xml:space="preserve"> </w:t>
      </w:r>
      <w:r>
        <w:rPr>
          <w:rStyle w:val="hps"/>
        </w:rPr>
        <w:t>улесни</w:t>
      </w:r>
      <w:r w:rsidR="001A658E">
        <w:rPr>
          <w:rStyle w:val="hps"/>
        </w:rPr>
        <w:t>л</w:t>
      </w:r>
      <w:r>
        <w:t xml:space="preserve"> </w:t>
      </w:r>
      <w:r>
        <w:rPr>
          <w:rStyle w:val="hps"/>
        </w:rPr>
        <w:t>избор</w:t>
      </w:r>
      <w:r w:rsidR="001A658E">
        <w:rPr>
          <w:rStyle w:val="hps"/>
        </w:rPr>
        <w:t>а</w:t>
      </w:r>
      <w:r>
        <w:t xml:space="preserve"> </w:t>
      </w:r>
      <w:r>
        <w:rPr>
          <w:rStyle w:val="hps"/>
        </w:rPr>
        <w:t>на</w:t>
      </w:r>
      <w:r>
        <w:t xml:space="preserve"> </w:t>
      </w:r>
      <w:r>
        <w:rPr>
          <w:rStyle w:val="hps"/>
        </w:rPr>
        <w:t>тази правна</w:t>
      </w:r>
      <w:r>
        <w:t xml:space="preserve"> </w:t>
      </w:r>
      <w:r>
        <w:rPr>
          <w:rStyle w:val="hps"/>
        </w:rPr>
        <w:t>структура (</w:t>
      </w:r>
      <w:r>
        <w:t>гъвкавост</w:t>
      </w:r>
      <w:r w:rsidR="001A658E">
        <w:t>та</w:t>
      </w:r>
      <w:r>
        <w:t xml:space="preserve"> </w:t>
      </w:r>
      <w:r>
        <w:rPr>
          <w:rStyle w:val="hps"/>
        </w:rPr>
        <w:t>е</w:t>
      </w:r>
      <w:r>
        <w:t xml:space="preserve"> </w:t>
      </w:r>
      <w:r>
        <w:rPr>
          <w:rStyle w:val="hps"/>
        </w:rPr>
        <w:t>по-важн</w:t>
      </w:r>
      <w:r w:rsidR="001A658E">
        <w:rPr>
          <w:rStyle w:val="hps"/>
        </w:rPr>
        <w:t>а</w:t>
      </w:r>
      <w:r>
        <w:rPr>
          <w:rStyle w:val="hps"/>
        </w:rPr>
        <w:t xml:space="preserve"> от</w:t>
      </w:r>
      <w:r>
        <w:t xml:space="preserve"> </w:t>
      </w:r>
      <w:r>
        <w:rPr>
          <w:rStyle w:val="hps"/>
        </w:rPr>
        <w:t>освобождаване от данъци</w:t>
      </w:r>
      <w:r>
        <w:t xml:space="preserve"> </w:t>
      </w:r>
      <w:r>
        <w:rPr>
          <w:rStyle w:val="hps"/>
        </w:rPr>
        <w:t>и</w:t>
      </w:r>
      <w:r>
        <w:t xml:space="preserve"> </w:t>
      </w:r>
      <w:r>
        <w:rPr>
          <w:rStyle w:val="hps"/>
        </w:rPr>
        <w:t>печалба)</w:t>
      </w:r>
      <w:r>
        <w:t xml:space="preserve">. </w:t>
      </w:r>
      <w:r w:rsidR="00694C5D">
        <w:rPr>
          <w:rStyle w:val="hps"/>
        </w:rPr>
        <w:t xml:space="preserve">Изборът би бил </w:t>
      </w:r>
      <w:r w:rsidR="000A438E">
        <w:rPr>
          <w:rStyle w:val="hps"/>
        </w:rPr>
        <w:t>различен</w:t>
      </w:r>
      <w:r w:rsidR="000A438E">
        <w:t>, ако</w:t>
      </w:r>
      <w:r>
        <w:t xml:space="preserve"> </w:t>
      </w:r>
      <w:r>
        <w:rPr>
          <w:rStyle w:val="hps"/>
        </w:rPr>
        <w:t>са били</w:t>
      </w:r>
      <w:r>
        <w:t xml:space="preserve"> </w:t>
      </w:r>
      <w:r>
        <w:rPr>
          <w:rStyle w:val="hps"/>
        </w:rPr>
        <w:t>ангажирани</w:t>
      </w:r>
      <w:r>
        <w:t xml:space="preserve"> </w:t>
      </w:r>
      <w:r>
        <w:rPr>
          <w:rStyle w:val="hps"/>
        </w:rPr>
        <w:t>частни инвеститори.</w:t>
      </w:r>
    </w:p>
    <w:p w:rsidR="0023779C" w:rsidRPr="00911FF9" w:rsidRDefault="006B7C2B" w:rsidP="00911FF9">
      <w:pPr>
        <w:pStyle w:val="Heading4"/>
        <w:spacing w:after="240"/>
        <w:rPr>
          <w:rFonts w:eastAsia="Calibri"/>
          <w:color w:val="2E74B5" w:themeColor="accent1" w:themeShade="BF"/>
        </w:rPr>
      </w:pPr>
      <w:r w:rsidRPr="00911FF9">
        <w:rPr>
          <w:rFonts w:eastAsia="Calibri"/>
          <w:color w:val="2E74B5" w:themeColor="accent1" w:themeShade="BF"/>
        </w:rPr>
        <w:t>Управление</w:t>
      </w:r>
    </w:p>
    <w:p w:rsidR="0023779C" w:rsidRPr="0023779C" w:rsidRDefault="006B7C2B" w:rsidP="004F00B9">
      <w:pPr>
        <w:jc w:val="both"/>
      </w:pPr>
      <w:r>
        <w:t>Управлението</w:t>
      </w:r>
      <w:r w:rsidR="0023779C" w:rsidRPr="0023779C">
        <w:t xml:space="preserve"> </w:t>
      </w:r>
      <w:r w:rsidR="001D737D">
        <w:t>се изпълнява</w:t>
      </w:r>
      <w:r w:rsidR="0023779C" w:rsidRPr="0023779C">
        <w:t xml:space="preserve"> от </w:t>
      </w:r>
      <w:r>
        <w:t>Управителния съвет</w:t>
      </w:r>
      <w:r w:rsidR="0023779C" w:rsidRPr="0023779C">
        <w:t xml:space="preserve">, съставен от Управляващия орган и понякога </w:t>
      </w:r>
      <w:r w:rsidR="00C47AB1">
        <w:t xml:space="preserve">представители на съфинансиращите институции </w:t>
      </w:r>
      <w:r w:rsidR="0023779C" w:rsidRPr="0023779C">
        <w:t xml:space="preserve">. Що се отнася до </w:t>
      </w:r>
      <w:r>
        <w:t>фонд мениджъра</w:t>
      </w:r>
      <w:r w:rsidR="0023779C" w:rsidRPr="0023779C">
        <w:t>, т</w:t>
      </w:r>
      <w:r>
        <w:t>ой</w:t>
      </w:r>
      <w:r w:rsidR="0023779C" w:rsidRPr="0023779C">
        <w:t xml:space="preserve"> също може да бъде член на този Управителен съвет, </w:t>
      </w:r>
      <w:r w:rsidR="00B1622B" w:rsidRPr="0023779C">
        <w:t>с или</w:t>
      </w:r>
      <w:r w:rsidR="0023779C" w:rsidRPr="0023779C">
        <w:t xml:space="preserve"> без правомощия за вземане на решения.</w:t>
      </w:r>
    </w:p>
    <w:p w:rsidR="00594263" w:rsidRPr="00E91EAD" w:rsidRDefault="009012A7" w:rsidP="00E91EAD">
      <w:pPr>
        <w:pStyle w:val="Heading3"/>
        <w:rPr>
          <w:b/>
        </w:rPr>
      </w:pPr>
      <w:bookmarkStart w:id="175" w:name="_Toc399494563"/>
      <w:r w:rsidRPr="00BE25FA">
        <w:t>4.1.</w:t>
      </w:r>
      <w:r w:rsidR="00DF6247">
        <w:t>3</w:t>
      </w:r>
      <w:r w:rsidRPr="00BE25FA">
        <w:t xml:space="preserve">. </w:t>
      </w:r>
      <w:r w:rsidR="00594263" w:rsidRPr="00BE25FA">
        <w:t>Пример</w:t>
      </w:r>
      <w:r w:rsidR="00225B75">
        <w:t>и</w:t>
      </w:r>
      <w:r w:rsidR="00594263" w:rsidRPr="00BE25FA">
        <w:t xml:space="preserve"> за </w:t>
      </w:r>
      <w:r w:rsidR="00A869A2" w:rsidRPr="00BE25FA">
        <w:t xml:space="preserve">местни </w:t>
      </w:r>
      <w:r w:rsidR="009E557D" w:rsidRPr="00BE25FA">
        <w:t>инструменти в подкрепа на околната среда</w:t>
      </w:r>
      <w:r w:rsidR="006C19BC">
        <w:t xml:space="preserve"> в други държави.</w:t>
      </w:r>
      <w:bookmarkEnd w:id="175"/>
    </w:p>
    <w:p w:rsidR="009012A7" w:rsidRPr="00911FF9" w:rsidRDefault="009012A7" w:rsidP="001A036E">
      <w:pPr>
        <w:pStyle w:val="Heading4"/>
        <w:numPr>
          <w:ilvl w:val="0"/>
          <w:numId w:val="111"/>
        </w:numPr>
        <w:spacing w:after="240"/>
        <w:rPr>
          <w:rFonts w:asciiTheme="minorHAnsi" w:eastAsia="Calibri" w:hAnsiTheme="minorHAnsi" w:cstheme="minorHAnsi"/>
          <w:color w:val="2E74B5" w:themeColor="accent1" w:themeShade="BF"/>
        </w:rPr>
      </w:pPr>
      <w:r w:rsidRPr="00911FF9">
        <w:rPr>
          <w:rFonts w:asciiTheme="minorHAnsi" w:eastAsia="Calibri" w:hAnsiTheme="minorHAnsi" w:cstheme="minorHAnsi"/>
          <w:color w:val="2E74B5" w:themeColor="accent1" w:themeShade="BF"/>
        </w:rPr>
        <w:t>Система на основните източници на финансиране на екологични проекти в Полша</w:t>
      </w:r>
      <w:r w:rsidR="00911FF9" w:rsidRPr="00911FF9">
        <w:rPr>
          <w:rStyle w:val="FootnoteReference"/>
          <w:rFonts w:asciiTheme="minorHAnsi" w:eastAsia="Calibri" w:hAnsiTheme="minorHAnsi" w:cstheme="minorHAnsi"/>
          <w:color w:val="2E74B5" w:themeColor="accent1" w:themeShade="BF"/>
        </w:rPr>
        <w:footnoteReference w:id="129"/>
      </w:r>
    </w:p>
    <w:p w:rsidR="009012A7" w:rsidRPr="00FF7A4E" w:rsidRDefault="009012A7" w:rsidP="00266F92">
      <w:pPr>
        <w:spacing w:after="0" w:line="240" w:lineRule="auto"/>
        <w:ind w:right="301"/>
        <w:jc w:val="both"/>
        <w:rPr>
          <w:rFonts w:cs="Times New Roman"/>
        </w:rPr>
      </w:pPr>
      <w:r w:rsidRPr="00FF7A4E">
        <w:rPr>
          <w:rFonts w:cs="Times New Roman"/>
        </w:rPr>
        <w:t xml:space="preserve">Успехът в сферата на устойчивото развитие, подобреното качество на живот и здраве на населението, ефективно опазване на ресурсите и тяхното рационално използване в Полша са резултат от функционирането на система за финансиране на опазване на околната среда и управление на водите, която е гъвкава и лесно приспособима към новите предизвикателства. Системата включва национални и международни източници на финансиране. В резултат от еволюцията на системата в момента тя се базира на екологични фондове (Фондове) - Националния фонд за опразване на околната среда и </w:t>
      </w:r>
      <w:r w:rsidR="0079327E" w:rsidRPr="00FF7A4E">
        <w:rPr>
          <w:rFonts w:cs="Times New Roman"/>
        </w:rPr>
        <w:t>управление</w:t>
      </w:r>
      <w:r w:rsidRPr="00FF7A4E">
        <w:rPr>
          <w:rFonts w:cs="Times New Roman"/>
        </w:rPr>
        <w:t xml:space="preserve"> на водите, основа през 1989г., който изпълнява проекти от стратегическо значение на национално ниво и Регионални фондове за опазване на околната среда и управление на водите, учредени през 1993г., които подкрепят проект от регионално значение в 16те региона на Полша. </w:t>
      </w:r>
    </w:p>
    <w:p w:rsidR="00751D14" w:rsidRDefault="009012A7" w:rsidP="00BA2260">
      <w:pPr>
        <w:spacing w:before="60" w:afterLines="60" w:after="144" w:line="280" w:lineRule="exact"/>
        <w:ind w:right="284"/>
        <w:jc w:val="both"/>
        <w:rPr>
          <w:rFonts w:cs="Times New Roman"/>
        </w:rPr>
      </w:pPr>
      <w:r w:rsidRPr="00FF7A4E">
        <w:rPr>
          <w:rFonts w:cs="Times New Roman"/>
        </w:rPr>
        <w:lastRenderedPageBreak/>
        <w:t>Спецификата на полската система за финансиране опазването на околната среда включва целево отпускане на средства, чийто произход са такси и глоби за ползване на околната среда в сферата на устойчивото развитие. По този начин е приложен принципът „замърсителят плаща” и средствата са насочени към проекти, които предотвратяват замърсяването. Екологичните фондове, както националният, така и регионалните, играят ключова роля и при разпределянето на чужди средства за опазване на околната среда и управление на водните ресурси. Системата от фондове представлява финансов инструмент и средство за организация на Министъра на околната среда, който подкрепя осъществяването на Националната политика по околна среда.</w:t>
      </w:r>
    </w:p>
    <w:p w:rsidR="00751D14" w:rsidRDefault="009012A7" w:rsidP="00BA2260">
      <w:pPr>
        <w:spacing w:before="60" w:afterLines="60" w:after="144" w:line="280" w:lineRule="exact"/>
        <w:ind w:right="284"/>
        <w:jc w:val="both"/>
        <w:rPr>
          <w:rFonts w:cs="Times New Roman"/>
        </w:rPr>
      </w:pPr>
      <w:r w:rsidRPr="00FF7A4E">
        <w:rPr>
          <w:rFonts w:cs="Times New Roman"/>
        </w:rPr>
        <w:t>В периода 1989-2012 най-голяма част от средствата са използвани за контрол върху замърсяване на водите, управление на водните ресурси и контрол върху замърсяването на въздуха, които са довели до значително подобряване качеството на околната среда. През 1999г. към системата са добавени районните фондове. В резултат от реформата на системата за публични финанси през 2010г. общинските и районни фондове са контролирани директно от бюджета на отделните административни единици, като в същото време са задължени да използват постъпленията от екологични такси и глоби за дейности, свързани с опазване на околната среда.</w:t>
      </w:r>
    </w:p>
    <w:p w:rsidR="009012A7" w:rsidRPr="00911FF9" w:rsidRDefault="009012A7" w:rsidP="00266F92">
      <w:pPr>
        <w:spacing w:before="100" w:beforeAutospacing="1" w:after="0"/>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Синергия и ефект на лоста с други източници на средства</w:t>
      </w:r>
    </w:p>
    <w:p w:rsidR="00751D14" w:rsidRDefault="009012A7" w:rsidP="00BA2260">
      <w:pPr>
        <w:spacing w:before="60" w:afterLines="60" w:after="144" w:line="280" w:lineRule="exact"/>
        <w:ind w:right="284"/>
        <w:jc w:val="both"/>
        <w:rPr>
          <w:rFonts w:cs="Times New Roman"/>
        </w:rPr>
      </w:pPr>
      <w:r w:rsidRPr="008F308F">
        <w:rPr>
          <w:rStyle w:val="hps"/>
        </w:rPr>
        <w:t>Имало</w:t>
      </w:r>
      <w:r w:rsidRPr="008F308F">
        <w:t xml:space="preserve"> </w:t>
      </w:r>
      <w:r w:rsidRPr="008F308F">
        <w:rPr>
          <w:rStyle w:val="hps"/>
        </w:rPr>
        <w:t>е и има значително</w:t>
      </w:r>
      <w:r w:rsidRPr="008F308F">
        <w:t xml:space="preserve"> </w:t>
      </w:r>
      <w:r w:rsidRPr="008F308F">
        <w:rPr>
          <w:rStyle w:val="hps"/>
        </w:rPr>
        <w:t>повече елементи</w:t>
      </w:r>
      <w:r w:rsidRPr="008F308F">
        <w:t xml:space="preserve"> </w:t>
      </w:r>
      <w:r w:rsidRPr="008F308F">
        <w:rPr>
          <w:rStyle w:val="hps"/>
        </w:rPr>
        <w:t>във веригата</w:t>
      </w:r>
      <w:r w:rsidRPr="008F308F">
        <w:t xml:space="preserve"> </w:t>
      </w:r>
      <w:r w:rsidRPr="008F308F">
        <w:rPr>
          <w:rStyle w:val="hps"/>
        </w:rPr>
        <w:t>на наличните</w:t>
      </w:r>
      <w:r w:rsidRPr="008F308F">
        <w:t xml:space="preserve"> </w:t>
      </w:r>
      <w:r w:rsidRPr="008F308F">
        <w:rPr>
          <w:rStyle w:val="hps"/>
        </w:rPr>
        <w:t>източници на</w:t>
      </w:r>
      <w:r w:rsidRPr="008F308F">
        <w:t xml:space="preserve"> </w:t>
      </w:r>
      <w:r w:rsidRPr="008F308F">
        <w:rPr>
          <w:rStyle w:val="hps"/>
        </w:rPr>
        <w:t>фина</w:t>
      </w:r>
      <w:r w:rsidRPr="00FF7A4E">
        <w:rPr>
          <w:rFonts w:cs="Times New Roman"/>
        </w:rPr>
        <w:t>нсиране за опазване на околната среда в Полша, които допринасят за икономическия механизъм, който се променя и адаптира към нуждите на една модерна държава. Най-важната характеристика на системата са синергията и ефекта на "финансов ливъридж". Системата от екологични фондове стимулира хиляди проекти в цялата страна, благодарение на съфинансирането, като задейства инициативата да търсят други, допълнителни източници на финансиране и отваря друг пазарен механизъм, с участието на банковия и частния сектор например.</w:t>
      </w:r>
    </w:p>
    <w:p w:rsidR="009012A7" w:rsidRPr="00911FF9" w:rsidRDefault="009012A7" w:rsidP="00266F92">
      <w:pPr>
        <w:spacing w:before="100" w:beforeAutospacing="1" w:after="0"/>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Банка за опазване на око</w:t>
      </w:r>
      <w:r w:rsidR="00911FF9" w:rsidRPr="00911FF9">
        <w:rPr>
          <w:rFonts w:asciiTheme="majorHAnsi" w:eastAsia="Calibri" w:hAnsiTheme="majorHAnsi" w:cstheme="majorBidi"/>
          <w:b/>
          <w:bCs/>
          <w:iCs/>
          <w:color w:val="2E74B5" w:themeColor="accent1" w:themeShade="BF"/>
        </w:rPr>
        <w:t>лната среда и Фондация Екофондс</w:t>
      </w:r>
    </w:p>
    <w:p w:rsidR="00751D14" w:rsidRDefault="009012A7" w:rsidP="00BA2260">
      <w:pPr>
        <w:spacing w:before="60" w:afterLines="60" w:after="144" w:line="280" w:lineRule="exact"/>
        <w:ind w:right="284"/>
        <w:jc w:val="both"/>
      </w:pPr>
      <w:r w:rsidRPr="00FF7A4E">
        <w:t>В системата за финансиране на опазването на околната среда, която се основава на екологични фондове, важна роля играя Банка за опазване на околната среда, чрез съфинансиране и сътрудничество с екологичните фондове (започнала дейността си през 1991 г.), която има предвидени 11 млрд. злоти за финансиране на проекти за опазване на околната среда през последните 22 години. Фондация Екофондс, създадена през 1992 г. и активна до 2010 г., също играе голяма роля и получава признание в световен мащаб. Целта на фондацията е ефективно управление на средствата, които произлизат от превръщането на част от полския дълг към финансиране на проекти за опазване на околната среда, така нареченото еко-преобразуване или „дълг срещу околна среда”. През периода на своята дейност 1992 – 2010г. Фондация Екофондс</w:t>
      </w:r>
      <w:r w:rsidRPr="008F308F">
        <w:t xml:space="preserve"> има разплатени около 2,5 млрд. полски злоти от своите средства за дейности в полза на околната среда.</w:t>
      </w:r>
    </w:p>
    <w:p w:rsidR="009012A7" w:rsidRPr="00911FF9" w:rsidRDefault="009012A7" w:rsidP="00911FF9">
      <w:pPr>
        <w:spacing w:before="100" w:beforeAutospacing="1" w:after="0"/>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 xml:space="preserve">Нарастващи източници на финансиране </w:t>
      </w:r>
    </w:p>
    <w:p w:rsidR="00751D14" w:rsidRDefault="009012A7" w:rsidP="00BA2260">
      <w:pPr>
        <w:spacing w:before="60" w:afterLines="60" w:after="144" w:line="280" w:lineRule="exact"/>
        <w:ind w:right="284"/>
        <w:jc w:val="both"/>
      </w:pPr>
      <w:r w:rsidRPr="008F308F">
        <w:t xml:space="preserve">Приходите на екологичните фондове са постъпленията от екологични такси и глоби, както и приходи от лихви по отпуснати заеми. В допълнение към основните форми на финансова помощ, като безвъзмездни помощи, заеми и отписвания на кредити, са възникнали нови </w:t>
      </w:r>
      <w:r w:rsidRPr="008F308F">
        <w:lastRenderedPageBreak/>
        <w:t xml:space="preserve">възможности за съфинансиране, свързани с отпускането на субсидии за лихви по банкови кредити, частични плащания по главница на банкови кредити и лихви или субсидии за обратно изкупуване на облигации. От 2001г. плащанията по отпуснати кредити надвишават приходите от екологични такси и глоби и са се превърнали в основен източник на финансиране за фондовете, като по този начин са се превърнали в нарастващи източници на финансиране.  </w:t>
      </w:r>
    </w:p>
    <w:p w:rsidR="009012A7" w:rsidRPr="00911FF9" w:rsidRDefault="009012A7" w:rsidP="00911FF9">
      <w:pPr>
        <w:spacing w:before="100" w:beforeAutospacing="1" w:after="0"/>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Финансирани проекти</w:t>
      </w:r>
    </w:p>
    <w:p w:rsidR="00751D14" w:rsidRDefault="009012A7" w:rsidP="00BA2260">
      <w:pPr>
        <w:spacing w:before="60" w:afterLines="60" w:after="144" w:line="280" w:lineRule="exact"/>
        <w:ind w:right="284"/>
        <w:jc w:val="both"/>
      </w:pPr>
      <w:r w:rsidRPr="008F308F">
        <w:t xml:space="preserve">Националният и регионалните фондове засилват връзката с местните власти и разширяват възможностите за финансиране на екологични проекти в различни сектори на икономиката. Разходите им за екологични проекти непрекъснато нараства в последните години. Благодарение на усилията на фондовете за опазване на околната среда и управление на водните ресурси, състоянието на околната среда в Полша значително се е подобрило. Това включва намаляване емисиите прах в атмосферата, подкрепа за програмата за изграждане на пречиствателни станции за отпадъчни води, драстичен спад на емисиите вредни вещества в околната среда, създаване на система за управление на отпадъците, както и засилване на консервацията. В допълнение към инвестиционната дейност, Фондовете подкрепят различни проекти за екологично образование за много социални групи.  </w:t>
      </w:r>
    </w:p>
    <w:p w:rsidR="009012A7" w:rsidRPr="00911FF9" w:rsidRDefault="009012A7" w:rsidP="00911FF9">
      <w:pPr>
        <w:spacing w:before="100" w:beforeAutospacing="1" w:after="0"/>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Партньори по света и в Европа</w:t>
      </w:r>
    </w:p>
    <w:p w:rsidR="00751D14" w:rsidRDefault="009012A7" w:rsidP="00BA2260">
      <w:pPr>
        <w:spacing w:before="60" w:afterLines="60" w:after="144" w:line="280" w:lineRule="exact"/>
        <w:ind w:right="284"/>
        <w:jc w:val="both"/>
      </w:pPr>
      <w:r w:rsidRPr="008F308F">
        <w:t xml:space="preserve">Системата от екологични фондове е механизъм, който е уникален от гледна точка на размер и видове дейности. Националната система за финансиране опазването на околната среда, подкрепяна от екологичните фондове, е международно призната, включително то Европейската комисия, Организацията за икономическо сътрудничество и развитие и Световната банка. Полската система се дава за добър пример на модел за развиващите се икономики и страни в политически преход. </w:t>
      </w:r>
    </w:p>
    <w:p w:rsidR="009012A7" w:rsidRPr="00911FF9" w:rsidRDefault="009012A7" w:rsidP="00911FF9">
      <w:pPr>
        <w:spacing w:before="100" w:beforeAutospacing="1"/>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 xml:space="preserve">Фондовете преди и след приемането в ЕС </w:t>
      </w:r>
    </w:p>
    <w:p w:rsidR="00751D14" w:rsidRDefault="009012A7" w:rsidP="00BA2260">
      <w:pPr>
        <w:spacing w:before="60" w:afterLines="60" w:after="144" w:line="280" w:lineRule="exact"/>
        <w:ind w:right="284"/>
        <w:jc w:val="both"/>
      </w:pPr>
      <w:r w:rsidRPr="008F308F">
        <w:t xml:space="preserve">Фондовете изиграват важна роля в усвояването на финансова подкрепа от фондовете на ЕС, особено в предприсъединителния период, и осигуряват финансова подкрепа за програмите от бюджета на ЕС през периодите 2004-2006 и 2007-2013. </w:t>
      </w:r>
    </w:p>
    <w:p w:rsidR="00751D14" w:rsidRDefault="009012A7" w:rsidP="00BA2260">
      <w:pPr>
        <w:spacing w:before="60" w:afterLines="60" w:after="144" w:line="280" w:lineRule="exact"/>
        <w:ind w:right="284"/>
        <w:jc w:val="both"/>
      </w:pPr>
      <w:r w:rsidRPr="00FF7A4E">
        <w:t>Най-значимият аспект от гледна точка на финансиране е ролята на Националния и</w:t>
      </w:r>
      <w:r w:rsidRPr="008F308F">
        <w:t xml:space="preserve"> регионални фондове на изпълнителен орган на Оперативна програма Инфраструктура и околна среда в периода 2007-2013г. Този им опит допринася за това да бъдат определени за управлението на проекти, съфинансирани от Зелената Инвестиционна Схема </w:t>
      </w:r>
      <w:r w:rsidRPr="008F308F">
        <w:rPr>
          <w:lang w:val="en-US"/>
        </w:rPr>
        <w:t xml:space="preserve">(GIS), </w:t>
      </w:r>
      <w:r w:rsidRPr="008F308F">
        <w:t>финансовия инструмент LIFE+ Financial Instrument, Норвежкия финансов механизъм и финансовия механизъм на Европейското икономическо пространство, предприсъединителни фонд ISPA, Кохезионния фонд в периода 2000-2006, Секторната оперативна програма „Подобряване конкурентноспособността на предприятията</w:t>
      </w:r>
      <w:r w:rsidRPr="008F308F">
        <w:rPr>
          <w:rFonts w:eastAsia="MS Mincho" w:hAnsi="MS Mincho"/>
        </w:rPr>
        <w:t>‟</w:t>
      </w:r>
      <w:r w:rsidRPr="008F308F">
        <w:t xml:space="preserve"> (2004-2006), Екологичен партньорски фонд PHARE, Датския екологичен партньорски фонд, SIDA Фонд на шведската агенция за международно сътрудничество и развитие, както и двустранни фондове в периода 1990-2008г. Регионалните фондове за опазване н околната среда изиграват ключова роля в усвояването на средства през първите години на членство в ЕС както и в бюджетния период 2007-2013 по оперативни програми, чрез осигуряването на силна институционална и </w:t>
      </w:r>
      <w:r w:rsidRPr="008F308F">
        <w:lastRenderedPageBreak/>
        <w:t xml:space="preserve">финансова подкрепа за органите на местните власти, бизнеса, екологичните организации и други бенефициенти.  </w:t>
      </w:r>
    </w:p>
    <w:p w:rsidR="00751D14" w:rsidRDefault="009012A7" w:rsidP="00BA2260">
      <w:pPr>
        <w:spacing w:before="60" w:afterLines="60" w:after="144" w:line="280" w:lineRule="exact"/>
        <w:ind w:right="284"/>
        <w:jc w:val="both"/>
      </w:pPr>
      <w:r w:rsidRPr="008F308F">
        <w:t xml:space="preserve">Броят и стойността на проектите, както и постигнатите резултати, са доказали институционалния капацитет на Фондовете да изпълняват и финансират разнообразни проекти и програми и така потвърждават ефективността на цялата система. Фондовете са напълно подготвени да посрещнат новите предизвикателства, като осигурят тласък за полската икономика и местните власти в следващите години. </w:t>
      </w:r>
    </w:p>
    <w:p w:rsidR="009012A7" w:rsidRPr="00911FF9" w:rsidRDefault="009012A7" w:rsidP="00911FF9">
      <w:pPr>
        <w:spacing w:before="100" w:beforeAutospacing="1"/>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Обща стратегия 2013-2016</w:t>
      </w:r>
    </w:p>
    <w:p w:rsidR="00751D14" w:rsidRDefault="009012A7" w:rsidP="00BA2260">
      <w:pPr>
        <w:spacing w:before="60" w:afterLines="60" w:after="144" w:line="280" w:lineRule="exact"/>
        <w:ind w:right="284"/>
        <w:jc w:val="both"/>
      </w:pPr>
      <w:r w:rsidRPr="008F308F">
        <w:t xml:space="preserve">Приоритет на ЕС до 2020г. – поради заплахите от измененията в климата – е преходът към нисковъглеродна икономика и ефективна употреба на ресурсите. В новия финансов период 2014–2020 ЕК ще отдели най-много средства в подкрепа на енергийната ефективност и източниците на възобновяема енергия, научно-изследователска и развойна дейност и иновации, в подкрепа на малки и средни предприятия, както и развитие на селските райони.  </w:t>
      </w:r>
    </w:p>
    <w:p w:rsidR="00751D14" w:rsidRDefault="009012A7" w:rsidP="00BA2260">
      <w:pPr>
        <w:spacing w:before="60" w:afterLines="60" w:after="144" w:line="280" w:lineRule="exact"/>
        <w:ind w:right="284"/>
        <w:jc w:val="both"/>
      </w:pPr>
      <w:r w:rsidRPr="008F308F">
        <w:t xml:space="preserve">Във връзка с тези ясно очертани предизвикателства за екологично устойчиво развитие на Европейския съюз в "Общата стратегия за действие за Националния фонд и регионалните фондове за опазване на околната среда и управлението на водите за периода 2013-2016 с перспектива за 2020 година" са формулирани цели за четирите основни направления </w:t>
      </w:r>
      <w:r w:rsidRPr="00FF7A4E">
        <w:t>за финансиране на</w:t>
      </w:r>
      <w:r w:rsidRPr="008F308F">
        <w:t xml:space="preserve"> </w:t>
      </w:r>
      <w:r w:rsidRPr="00FF7A4E">
        <w:t>опазването на околната среда</w:t>
      </w:r>
      <w:r w:rsidRPr="008F308F">
        <w:t xml:space="preserve"> </w:t>
      </w:r>
      <w:r w:rsidRPr="00FF7A4E">
        <w:t>в Полша</w:t>
      </w:r>
      <w:r w:rsidRPr="008F308F">
        <w:t xml:space="preserve">: устойчиво </w:t>
      </w:r>
      <w:r w:rsidRPr="00FF7A4E">
        <w:t>опазване и управление</w:t>
      </w:r>
      <w:r w:rsidRPr="008F308F">
        <w:t xml:space="preserve"> </w:t>
      </w:r>
      <w:r w:rsidRPr="00FF7A4E">
        <w:t>на водните ресурси,</w:t>
      </w:r>
      <w:r w:rsidRPr="008F308F">
        <w:t xml:space="preserve"> </w:t>
      </w:r>
      <w:r w:rsidRPr="00FF7A4E">
        <w:t>управление и защита на</w:t>
      </w:r>
      <w:r w:rsidRPr="008F308F">
        <w:t xml:space="preserve"> </w:t>
      </w:r>
      <w:r w:rsidRPr="00FF7A4E">
        <w:t>депата за отпадъци</w:t>
      </w:r>
      <w:r w:rsidRPr="008F308F">
        <w:t xml:space="preserve">, опазване </w:t>
      </w:r>
      <w:r w:rsidRPr="00FF7A4E">
        <w:t>на атмосферата</w:t>
      </w:r>
      <w:r w:rsidRPr="008F308F">
        <w:t xml:space="preserve">, включително </w:t>
      </w:r>
      <w:r w:rsidRPr="00FF7A4E">
        <w:t>противодействие на</w:t>
      </w:r>
      <w:r w:rsidRPr="008F308F">
        <w:t xml:space="preserve"> </w:t>
      </w:r>
      <w:r w:rsidRPr="00FF7A4E">
        <w:t>климатичните</w:t>
      </w:r>
      <w:r w:rsidRPr="008F308F">
        <w:t xml:space="preserve"> </w:t>
      </w:r>
      <w:r w:rsidRPr="00FF7A4E">
        <w:t>промени</w:t>
      </w:r>
      <w:r w:rsidRPr="008F308F">
        <w:t xml:space="preserve">, </w:t>
      </w:r>
      <w:r w:rsidRPr="00FF7A4E">
        <w:t>както и</w:t>
      </w:r>
      <w:r w:rsidRPr="008F308F">
        <w:t xml:space="preserve"> </w:t>
      </w:r>
      <w:r w:rsidRPr="00FF7A4E">
        <w:t>опазването</w:t>
      </w:r>
      <w:r w:rsidRPr="008F308F">
        <w:t xml:space="preserve"> </w:t>
      </w:r>
      <w:r w:rsidRPr="00FF7A4E">
        <w:t>на</w:t>
      </w:r>
      <w:r w:rsidRPr="008F308F">
        <w:t xml:space="preserve"> </w:t>
      </w:r>
      <w:r w:rsidRPr="00FF7A4E">
        <w:t>природата и биологичното разнообразие</w:t>
      </w:r>
      <w:r w:rsidRPr="008F308F">
        <w:t xml:space="preserve">. Стратегията за </w:t>
      </w:r>
      <w:r w:rsidRPr="00FF7A4E">
        <w:t>2013-2016 планира подкрепа от Националния към регионалните фондове с отпускането на целеви средства за решаване на регионални проблеми. Стратегията</w:t>
      </w:r>
      <w:r w:rsidRPr="008F308F">
        <w:t xml:space="preserve"> </w:t>
      </w:r>
      <w:r w:rsidRPr="00FF7A4E">
        <w:t>предвижда подкрепа</w:t>
      </w:r>
      <w:r w:rsidRPr="008F308F">
        <w:t xml:space="preserve"> </w:t>
      </w:r>
      <w:r w:rsidRPr="00FF7A4E">
        <w:t>за прилагането на</w:t>
      </w:r>
      <w:r w:rsidRPr="008F308F">
        <w:t xml:space="preserve"> </w:t>
      </w:r>
      <w:r w:rsidRPr="00FF7A4E">
        <w:t>съществени</w:t>
      </w:r>
      <w:r w:rsidRPr="008F308F">
        <w:t xml:space="preserve"> </w:t>
      </w:r>
      <w:r w:rsidRPr="00FF7A4E">
        <w:t>дейности</w:t>
      </w:r>
      <w:r w:rsidRPr="008F308F">
        <w:t xml:space="preserve"> </w:t>
      </w:r>
      <w:r w:rsidRPr="00FF7A4E">
        <w:t>на Фондовете по</w:t>
      </w:r>
      <w:r w:rsidRPr="008F308F">
        <w:t xml:space="preserve"> </w:t>
      </w:r>
      <w:r w:rsidRPr="00FF7A4E">
        <w:t>приоритетите на</w:t>
      </w:r>
      <w:r w:rsidRPr="008F308F">
        <w:t xml:space="preserve"> </w:t>
      </w:r>
      <w:r w:rsidRPr="00FF7A4E">
        <w:t>преследваните</w:t>
      </w:r>
      <w:r w:rsidRPr="008F308F">
        <w:t xml:space="preserve"> </w:t>
      </w:r>
      <w:r w:rsidRPr="00FF7A4E">
        <w:t>екологични цели</w:t>
      </w:r>
      <w:r w:rsidRPr="008F308F">
        <w:t xml:space="preserve">, произтичащи от </w:t>
      </w:r>
      <w:r w:rsidRPr="00FF7A4E">
        <w:t>националните</w:t>
      </w:r>
      <w:r w:rsidRPr="008F308F">
        <w:t xml:space="preserve"> </w:t>
      </w:r>
      <w:r w:rsidRPr="00FF7A4E">
        <w:t>и регионални</w:t>
      </w:r>
      <w:r w:rsidRPr="008F308F">
        <w:t xml:space="preserve"> </w:t>
      </w:r>
      <w:r w:rsidRPr="00FF7A4E">
        <w:t>стратегически</w:t>
      </w:r>
      <w:r w:rsidRPr="008F308F">
        <w:t xml:space="preserve"> </w:t>
      </w:r>
      <w:r w:rsidRPr="00FF7A4E">
        <w:t>документи</w:t>
      </w:r>
      <w:r w:rsidRPr="008F308F">
        <w:t xml:space="preserve">, </w:t>
      </w:r>
      <w:r w:rsidRPr="00FF7A4E">
        <w:t>по-специално</w:t>
      </w:r>
      <w:r w:rsidRPr="008F308F">
        <w:t xml:space="preserve"> </w:t>
      </w:r>
      <w:r w:rsidRPr="00FF7A4E">
        <w:t>на Националната</w:t>
      </w:r>
      <w:r w:rsidRPr="008F308F">
        <w:t xml:space="preserve"> </w:t>
      </w:r>
      <w:r w:rsidRPr="00FF7A4E">
        <w:t>политика в областта на</w:t>
      </w:r>
      <w:r w:rsidRPr="008F308F">
        <w:t xml:space="preserve"> </w:t>
      </w:r>
      <w:r w:rsidRPr="00FF7A4E">
        <w:t>околната среда</w:t>
      </w:r>
      <w:r w:rsidRPr="008F308F">
        <w:t xml:space="preserve"> </w:t>
      </w:r>
      <w:r w:rsidRPr="00FF7A4E">
        <w:t>за периода</w:t>
      </w:r>
      <w:r w:rsidRPr="008F308F">
        <w:t xml:space="preserve"> </w:t>
      </w:r>
      <w:r w:rsidRPr="00FF7A4E">
        <w:t>2009-2012</w:t>
      </w:r>
      <w:r w:rsidRPr="008F308F">
        <w:t xml:space="preserve"> </w:t>
      </w:r>
      <w:r w:rsidRPr="00FF7A4E">
        <w:t>с</w:t>
      </w:r>
      <w:r w:rsidRPr="008F308F">
        <w:t xml:space="preserve"> </w:t>
      </w:r>
      <w:r w:rsidRPr="00FF7A4E">
        <w:t>перспектива</w:t>
      </w:r>
      <w:r w:rsidRPr="008F308F">
        <w:t xml:space="preserve"> </w:t>
      </w:r>
      <w:r w:rsidRPr="00FF7A4E">
        <w:t>до</w:t>
      </w:r>
      <w:r w:rsidRPr="008F308F">
        <w:t xml:space="preserve"> </w:t>
      </w:r>
      <w:r w:rsidRPr="00FF7A4E">
        <w:t>2016</w:t>
      </w:r>
      <w:r w:rsidRPr="008F308F">
        <w:t xml:space="preserve"> </w:t>
      </w:r>
      <w:r w:rsidRPr="00FF7A4E">
        <w:t>година</w:t>
      </w:r>
      <w:r w:rsidRPr="008F308F">
        <w:t xml:space="preserve">, както и </w:t>
      </w:r>
      <w:r w:rsidRPr="00FF7A4E">
        <w:t>стратегията</w:t>
      </w:r>
      <w:r w:rsidRPr="008F308F">
        <w:t xml:space="preserve"> </w:t>
      </w:r>
      <w:r w:rsidRPr="00FF7A4E">
        <w:t>за</w:t>
      </w:r>
      <w:r w:rsidRPr="008F308F">
        <w:t xml:space="preserve"> </w:t>
      </w:r>
      <w:r w:rsidRPr="00FF7A4E">
        <w:t>енергийна сигурност</w:t>
      </w:r>
      <w:r w:rsidRPr="008F308F">
        <w:t xml:space="preserve"> </w:t>
      </w:r>
      <w:r w:rsidRPr="00FF7A4E">
        <w:t>и околна среда.</w:t>
      </w:r>
      <w:r w:rsidRPr="008F308F">
        <w:t xml:space="preserve"> Под стратегическата перспектива до 2020г. системата от Фондове, които взаимно се подпомагат, ще подкрепя бенефициентите в изпълнението на висококачествени проекти за подобряване на околната среда и устойчиво управление на ресурсите й, като постоянно подобряват ефективността им.</w:t>
      </w:r>
    </w:p>
    <w:p w:rsidR="009012A7" w:rsidRPr="00911FF9" w:rsidRDefault="009012A7" w:rsidP="00911FF9">
      <w:pPr>
        <w:spacing w:before="100" w:beforeAutospacing="1"/>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Екологична политика до 2016</w:t>
      </w:r>
      <w:r w:rsidR="00911FF9" w:rsidRPr="00911FF9">
        <w:rPr>
          <w:rFonts w:asciiTheme="majorHAnsi" w:eastAsia="Calibri" w:hAnsiTheme="majorHAnsi" w:cstheme="majorBidi"/>
          <w:b/>
          <w:bCs/>
          <w:iCs/>
          <w:color w:val="2E74B5" w:themeColor="accent1" w:themeShade="BF"/>
        </w:rPr>
        <w:t xml:space="preserve"> </w:t>
      </w:r>
      <w:r w:rsidRPr="00911FF9">
        <w:rPr>
          <w:rFonts w:asciiTheme="majorHAnsi" w:eastAsia="Calibri" w:hAnsiTheme="majorHAnsi" w:cstheme="majorBidi"/>
          <w:b/>
          <w:bCs/>
          <w:iCs/>
          <w:color w:val="2E74B5" w:themeColor="accent1" w:themeShade="BF"/>
        </w:rPr>
        <w:t xml:space="preserve">г.  </w:t>
      </w:r>
    </w:p>
    <w:p w:rsidR="00751D14" w:rsidRDefault="009012A7" w:rsidP="00BA2260">
      <w:pPr>
        <w:spacing w:before="60" w:afterLines="60" w:after="144" w:line="280" w:lineRule="exact"/>
        <w:ind w:right="284"/>
        <w:jc w:val="both"/>
      </w:pPr>
      <w:r w:rsidRPr="008F308F">
        <w:t>Нуждите от финансиране на проекти за опазване на околната среда са огромни. От една страна те са резултат от изпълнение на задълженията на Полша в областта на опазване на околната среда в следствие приемане на приложимото право, а от друга от необходимостта от съобразяване на икономическия растеж с грижа за околната среда. Основната посока за интервенции по отношение на опазването на околната среда ще включва действия, насочени към осигуряването на устойчиво развитие и ефективно функциониране на икономиката и обществото в лицето на рисковете, породени от изменението на климата.</w:t>
      </w:r>
    </w:p>
    <w:p w:rsidR="00751D14" w:rsidRDefault="009012A7" w:rsidP="00BA2260">
      <w:pPr>
        <w:spacing w:before="60" w:afterLines="60" w:after="144" w:line="280" w:lineRule="exact"/>
        <w:ind w:right="284"/>
        <w:jc w:val="both"/>
      </w:pPr>
      <w:r w:rsidRPr="008F308F">
        <w:t xml:space="preserve">Значителен поток на средствата от ЕС, включително възстановими средства, предназначени за дейности по опазване на околната среда в годините 2014-2020, нови финансови инструменти, повишаващи информираността на населението за околната среда, нови </w:t>
      </w:r>
      <w:r w:rsidRPr="008F308F">
        <w:lastRenderedPageBreak/>
        <w:t>области на икономическото развитие, иновации и нови технологии, дават възможност на фондове за развитие на техните институционални компетенции.</w:t>
      </w:r>
    </w:p>
    <w:p w:rsidR="001F5CC5" w:rsidRDefault="009012A7" w:rsidP="00BA2260">
      <w:pPr>
        <w:spacing w:before="60" w:afterLines="60" w:after="144" w:line="280" w:lineRule="exact"/>
        <w:ind w:right="284"/>
        <w:jc w:val="both"/>
      </w:pPr>
      <w:r w:rsidRPr="008F308F">
        <w:t>Добри възможности се предоставят и чрез увеличаване и оптимизация разпределението на приходите от екологични такси и глоби пр</w:t>
      </w:r>
      <w:r w:rsidRPr="00FF7A4E">
        <w:t>и запазване</w:t>
      </w:r>
      <w:r w:rsidRPr="008F308F">
        <w:t xml:space="preserve"> </w:t>
      </w:r>
      <w:r w:rsidRPr="00FF7A4E">
        <w:t>на ефективна,</w:t>
      </w:r>
      <w:r w:rsidRPr="008F308F">
        <w:t xml:space="preserve"> </w:t>
      </w:r>
      <w:r w:rsidRPr="00FF7A4E">
        <w:t>децентрализирана</w:t>
      </w:r>
      <w:r w:rsidRPr="008F308F">
        <w:t xml:space="preserve"> </w:t>
      </w:r>
      <w:r w:rsidRPr="00FF7A4E">
        <w:t>система за</w:t>
      </w:r>
      <w:r w:rsidRPr="008F308F">
        <w:t xml:space="preserve"> </w:t>
      </w:r>
      <w:r w:rsidRPr="00FF7A4E">
        <w:t>събирането им</w:t>
      </w:r>
      <w:r w:rsidRPr="008F308F">
        <w:t xml:space="preserve">, </w:t>
      </w:r>
      <w:r w:rsidRPr="00FF7A4E">
        <w:t>а също и</w:t>
      </w:r>
      <w:r w:rsidRPr="008F308F">
        <w:t xml:space="preserve"> </w:t>
      </w:r>
      <w:r w:rsidRPr="00FF7A4E">
        <w:t>чрез стимулиране на</w:t>
      </w:r>
      <w:r w:rsidRPr="008F308F">
        <w:t xml:space="preserve"> </w:t>
      </w:r>
      <w:r w:rsidRPr="00FF7A4E">
        <w:t>"</w:t>
      </w:r>
      <w:r w:rsidRPr="008F308F">
        <w:t xml:space="preserve">зелен" </w:t>
      </w:r>
      <w:r w:rsidRPr="00FF7A4E">
        <w:t>(</w:t>
      </w:r>
      <w:r w:rsidRPr="008F308F">
        <w:t xml:space="preserve">екологосъобразен) </w:t>
      </w:r>
      <w:r w:rsidRPr="00FF7A4E">
        <w:t>икономически растеж</w:t>
      </w:r>
      <w:r w:rsidRPr="008F308F">
        <w:t xml:space="preserve"> </w:t>
      </w:r>
      <w:r w:rsidRPr="00FF7A4E">
        <w:t>в Полша</w:t>
      </w:r>
      <w:r w:rsidRPr="008F308F">
        <w:t xml:space="preserve">, </w:t>
      </w:r>
      <w:r w:rsidRPr="00FF7A4E">
        <w:t>чрез</w:t>
      </w:r>
      <w:r w:rsidRPr="008F308F">
        <w:t xml:space="preserve">, </w:t>
      </w:r>
      <w:r w:rsidRPr="00FF7A4E">
        <w:t>наред с други неща</w:t>
      </w:r>
      <w:r w:rsidRPr="008F308F">
        <w:t xml:space="preserve">, </w:t>
      </w:r>
      <w:r w:rsidRPr="00FF7A4E">
        <w:t>подкрепа за енергийната ефективност</w:t>
      </w:r>
      <w:r w:rsidRPr="008F308F">
        <w:t xml:space="preserve">, възобновяемите </w:t>
      </w:r>
      <w:r w:rsidRPr="00FF7A4E">
        <w:t>източници на енергия</w:t>
      </w:r>
      <w:r w:rsidRPr="008F308F">
        <w:t>, еко</w:t>
      </w:r>
      <w:r w:rsidRPr="00FF7A4E">
        <w:t>и</w:t>
      </w:r>
      <w:r w:rsidRPr="008F308F">
        <w:t xml:space="preserve">новации, </w:t>
      </w:r>
      <w:r w:rsidRPr="00FF7A4E">
        <w:t>икономика</w:t>
      </w:r>
      <w:r w:rsidRPr="008F308F">
        <w:t xml:space="preserve"> </w:t>
      </w:r>
      <w:r w:rsidRPr="00FF7A4E">
        <w:t>с ниски емисии</w:t>
      </w:r>
      <w:r w:rsidRPr="008F308F">
        <w:t xml:space="preserve"> </w:t>
      </w:r>
      <w:r w:rsidRPr="00FF7A4E">
        <w:t>и</w:t>
      </w:r>
      <w:r w:rsidRPr="008F308F">
        <w:t xml:space="preserve"> </w:t>
      </w:r>
      <w:r w:rsidRPr="00FF7A4E">
        <w:t>създаване на условия за</w:t>
      </w:r>
      <w:r w:rsidRPr="008F308F">
        <w:t xml:space="preserve"> </w:t>
      </w:r>
      <w:r w:rsidRPr="00FF7A4E">
        <w:t>създаването</w:t>
      </w:r>
      <w:r w:rsidRPr="008F308F">
        <w:t xml:space="preserve"> </w:t>
      </w:r>
      <w:r w:rsidRPr="00FF7A4E">
        <w:t>на "зелени"</w:t>
      </w:r>
      <w:r w:rsidRPr="008F308F">
        <w:t xml:space="preserve"> </w:t>
      </w:r>
      <w:r w:rsidRPr="00FF7A4E">
        <w:t>работни места.</w:t>
      </w:r>
      <w:r w:rsidRPr="008F308F">
        <w:t xml:space="preserve"> Също така е важно да се насърчава екологичното поведение, действия и инициативи за консервация на биоразнообразието, както дейностите за адаптация към изменението на климата, които се превръщат във важно, трудно и скъпо предизвикателство.</w:t>
      </w:r>
    </w:p>
    <w:p w:rsidR="00F00027" w:rsidRDefault="00F00027" w:rsidP="00911FF9">
      <w:pPr>
        <w:spacing w:before="100" w:beforeAutospacing="1"/>
        <w:ind w:right="284"/>
        <w:rPr>
          <w:rFonts w:asciiTheme="majorHAnsi" w:eastAsia="Calibri" w:hAnsiTheme="majorHAnsi" w:cstheme="majorBidi"/>
          <w:b/>
          <w:bCs/>
          <w:iCs/>
          <w:color w:val="2E74B5" w:themeColor="accent1" w:themeShade="BF"/>
        </w:rPr>
      </w:pPr>
    </w:p>
    <w:p w:rsidR="009012A7" w:rsidRPr="00911FF9" w:rsidRDefault="009012A7" w:rsidP="00911FF9">
      <w:pPr>
        <w:spacing w:before="100" w:beforeAutospacing="1"/>
        <w:ind w:right="284"/>
        <w:rPr>
          <w:rFonts w:asciiTheme="majorHAnsi" w:eastAsia="Calibri" w:hAnsiTheme="majorHAnsi" w:cstheme="majorBidi"/>
          <w:b/>
          <w:bCs/>
          <w:iCs/>
          <w:color w:val="2E74B5" w:themeColor="accent1" w:themeShade="BF"/>
        </w:rPr>
      </w:pPr>
      <w:r w:rsidRPr="00911FF9">
        <w:rPr>
          <w:rFonts w:asciiTheme="majorHAnsi" w:eastAsia="Calibri" w:hAnsiTheme="majorHAnsi" w:cstheme="majorBidi"/>
          <w:b/>
          <w:bCs/>
          <w:iCs/>
          <w:color w:val="2E74B5" w:themeColor="accent1" w:themeShade="BF"/>
        </w:rPr>
        <w:t>Силни страни на системата от фондове за опазване на околна</w:t>
      </w:r>
      <w:r w:rsidR="00911FF9" w:rsidRPr="00911FF9">
        <w:rPr>
          <w:rFonts w:asciiTheme="majorHAnsi" w:eastAsia="Calibri" w:hAnsiTheme="majorHAnsi" w:cstheme="majorBidi"/>
          <w:b/>
          <w:bCs/>
          <w:iCs/>
          <w:color w:val="2E74B5" w:themeColor="accent1" w:themeShade="BF"/>
        </w:rPr>
        <w:t>та среда и управление на водите</w:t>
      </w:r>
    </w:p>
    <w:p w:rsidR="009012A7" w:rsidRPr="008F308F" w:rsidRDefault="009012A7" w:rsidP="001A036E">
      <w:pPr>
        <w:pStyle w:val="Default"/>
        <w:numPr>
          <w:ilvl w:val="0"/>
          <w:numId w:val="110"/>
        </w:numPr>
        <w:spacing w:after="160"/>
        <w:ind w:left="851" w:right="284"/>
        <w:jc w:val="both"/>
        <w:rPr>
          <w:rFonts w:asciiTheme="minorHAnsi" w:hAnsiTheme="minorHAnsi"/>
          <w:sz w:val="22"/>
          <w:szCs w:val="22"/>
        </w:rPr>
      </w:pPr>
      <w:r w:rsidRPr="008F308F">
        <w:rPr>
          <w:rFonts w:asciiTheme="minorHAnsi" w:hAnsiTheme="minorHAnsi"/>
          <w:sz w:val="22"/>
          <w:szCs w:val="22"/>
        </w:rPr>
        <w:t>голям финансов потенциал и позицията на най-големия специализиран участник на пазара за финансиране на опазването на околната среда;</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висококвалифициран персонал;</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познаване на икономическите и правни въпроси, свързани с проекти за опазване на околната среда;</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опит във финансирането на екологични проекти;</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опит в управлението на средства, произхождащи от чуждестранни източници, включително по-специално от фондовете на ЕС;</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статут на юридическо лице въз основа на законови разпоредби, даващ възможност за използване на различни форми на преференциално финансиране на опазването на околната среда, съобразени с нуждите на бенефициентите, и позволяващо максимизиране на въздействието върху околната среда;</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 xml:space="preserve">източници на приходи въз основа на законови разпоредби (стабилен бюджет); </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 xml:space="preserve">разработени принципи на сътрудничество с централните правителствени органи, националните правителства и местни органи на управление, както и неправителствени екологични организации; </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 xml:space="preserve">контакти с международни финансови организации; </w:t>
      </w:r>
    </w:p>
    <w:p w:rsidR="009012A7" w:rsidRPr="008F308F" w:rsidRDefault="009012A7" w:rsidP="001A036E">
      <w:pPr>
        <w:pStyle w:val="Default"/>
        <w:numPr>
          <w:ilvl w:val="0"/>
          <w:numId w:val="110"/>
        </w:numPr>
        <w:ind w:left="851" w:right="284"/>
        <w:jc w:val="both"/>
        <w:rPr>
          <w:rFonts w:asciiTheme="minorHAnsi" w:hAnsiTheme="minorHAnsi"/>
          <w:sz w:val="22"/>
          <w:szCs w:val="22"/>
        </w:rPr>
      </w:pPr>
      <w:r w:rsidRPr="008F308F">
        <w:rPr>
          <w:rFonts w:asciiTheme="minorHAnsi" w:hAnsiTheme="minorHAnsi"/>
          <w:sz w:val="22"/>
          <w:szCs w:val="22"/>
        </w:rPr>
        <w:t>възстановяваща се (револвираща) система за финансиране.</w:t>
      </w:r>
    </w:p>
    <w:p w:rsidR="009012A7" w:rsidRPr="008F308F" w:rsidRDefault="009012A7" w:rsidP="009012A7">
      <w:pPr>
        <w:pStyle w:val="Default"/>
        <w:ind w:firstLine="709"/>
        <w:jc w:val="both"/>
        <w:rPr>
          <w:rFonts w:asciiTheme="minorHAnsi" w:hAnsiTheme="minorHAnsi"/>
          <w:sz w:val="22"/>
          <w:szCs w:val="22"/>
        </w:rPr>
      </w:pPr>
    </w:p>
    <w:p w:rsidR="009012A7" w:rsidRPr="00911FF9" w:rsidRDefault="004932EA" w:rsidP="001A036E">
      <w:pPr>
        <w:pStyle w:val="Heading4"/>
        <w:numPr>
          <w:ilvl w:val="0"/>
          <w:numId w:val="111"/>
        </w:numPr>
        <w:spacing w:after="240"/>
        <w:rPr>
          <w:rFonts w:asciiTheme="minorHAnsi" w:eastAsia="Calibri" w:hAnsiTheme="minorHAnsi" w:cstheme="minorHAnsi"/>
          <w:color w:val="2E74B5" w:themeColor="accent1" w:themeShade="BF"/>
        </w:rPr>
      </w:pPr>
      <w:r w:rsidRPr="00911FF9">
        <w:rPr>
          <w:rFonts w:asciiTheme="minorHAnsi" w:eastAsia="Calibri" w:hAnsiTheme="minorHAnsi" w:cstheme="minorHAnsi"/>
          <w:color w:val="2E74B5" w:themeColor="accent1" w:themeShade="BF"/>
        </w:rPr>
        <w:t xml:space="preserve"> </w:t>
      </w:r>
      <w:r w:rsidR="009012A7" w:rsidRPr="00911FF9">
        <w:rPr>
          <w:rFonts w:asciiTheme="minorHAnsi" w:eastAsia="Calibri" w:hAnsiTheme="minorHAnsi" w:cstheme="minorHAnsi"/>
          <w:color w:val="2E74B5" w:themeColor="accent1" w:themeShade="BF"/>
        </w:rPr>
        <w:t>Структура на прилагане на</w:t>
      </w:r>
      <w:r w:rsidR="00436F46" w:rsidRPr="00911FF9">
        <w:rPr>
          <w:rFonts w:asciiTheme="minorHAnsi" w:eastAsia="Calibri" w:hAnsiTheme="minorHAnsi" w:cstheme="minorHAnsi"/>
          <w:color w:val="2E74B5" w:themeColor="accent1" w:themeShade="BF"/>
        </w:rPr>
        <w:t xml:space="preserve"> местни</w:t>
      </w:r>
      <w:r w:rsidR="009012A7" w:rsidRPr="00911FF9">
        <w:rPr>
          <w:rFonts w:asciiTheme="minorHAnsi" w:eastAsia="Calibri" w:hAnsiTheme="minorHAnsi" w:cstheme="minorHAnsi"/>
          <w:color w:val="2E74B5" w:themeColor="accent1" w:themeShade="BF"/>
        </w:rPr>
        <w:t xml:space="preserve"> финансови инструменти в Латвия</w:t>
      </w:r>
    </w:p>
    <w:p w:rsidR="009012A7" w:rsidRPr="00436F46" w:rsidRDefault="009012A7" w:rsidP="00436F46">
      <w:pPr>
        <w:spacing w:before="100" w:beforeAutospacing="1" w:after="0"/>
        <w:rPr>
          <w:rFonts w:ascii="Calibri" w:eastAsia="Calibri" w:hAnsi="Calibri" w:cs="Times New Roman"/>
          <w:b/>
          <w:color w:val="4F81BD"/>
        </w:rPr>
      </w:pPr>
      <w:r w:rsidRPr="00436F46">
        <w:rPr>
          <w:rFonts w:ascii="Calibri" w:eastAsia="Calibri" w:hAnsi="Calibri" w:cs="Times New Roman"/>
          <w:b/>
          <w:color w:val="4F81BD"/>
        </w:rPr>
        <w:t>Латвийският инвестиционен екологичен фонд</w:t>
      </w:r>
    </w:p>
    <w:p w:rsidR="00751D14" w:rsidRDefault="009012A7" w:rsidP="00BA2260">
      <w:pPr>
        <w:spacing w:before="60" w:afterLines="60" w:after="144" w:line="280" w:lineRule="exact"/>
        <w:jc w:val="both"/>
      </w:pPr>
      <w:r w:rsidRPr="008F308F">
        <w:t xml:space="preserve">Латвийският екологичен инвестиционен фонд (Фонда) е създаден 1997г. Министерство за опазване на околната среда и регионално развитие на Латвия притежава 100% от дяловете на Фонда. </w:t>
      </w:r>
    </w:p>
    <w:p w:rsidR="00751D14" w:rsidRDefault="009012A7" w:rsidP="00BA2260">
      <w:pPr>
        <w:spacing w:before="60" w:afterLines="60" w:after="144" w:line="280" w:lineRule="exact"/>
        <w:jc w:val="both"/>
      </w:pPr>
      <w:r w:rsidRPr="008F308F">
        <w:t xml:space="preserve">Мисията на Фонда е да намали замърсяването на околната среда, като насърчава проекти за опазването й и повишава капацитета на общините и търговските предприятия в подготовката и </w:t>
      </w:r>
      <w:r w:rsidRPr="008F308F">
        <w:lastRenderedPageBreak/>
        <w:t>изпълнението на качествени и ефективни проекти от идеята до реализацията им. Дейността му е насочена към постигане на възможно най-голямо подобрение на околната среда, като инвестира ресурси в екологични инфраструктурни инвестиционни проекти.</w:t>
      </w:r>
    </w:p>
    <w:p w:rsidR="001F5CC5" w:rsidRDefault="009012A7" w:rsidP="00BA2260">
      <w:pPr>
        <w:spacing w:before="60" w:afterLines="60" w:after="144" w:line="280" w:lineRule="exact"/>
        <w:jc w:val="both"/>
      </w:pPr>
      <w:r w:rsidRPr="008F308F">
        <w:t>Дейността на Фонда се изразява в подкрепа на търговските начинания на частния и публичния сектор, чрез привличане на финансиране за реализация на проекти за изграждане на екологична и бизнес инфраструктура. От 2010г. Фондът упражнява надзор на изпълнението и мониторинг след изпълнението на проекти, съфинансирани от Финансовия инструмент за изменение в климата (Climate change financial instrument – схема за зелени инвестиции, осигуряваща съфинансиране от около 200 млн. евро).</w:t>
      </w:r>
    </w:p>
    <w:p w:rsidR="001F5CC5" w:rsidRDefault="009012A7" w:rsidP="00BA2260">
      <w:pPr>
        <w:spacing w:before="60" w:afterLines="60" w:after="144" w:line="280" w:lineRule="exact"/>
        <w:jc w:val="both"/>
      </w:pPr>
      <w:r w:rsidRPr="008F308F">
        <w:t>Партньори на Фонда са предприятия, доставчици на комунални услуги, местни власти, асоциации и изследователски центрове.</w:t>
      </w:r>
    </w:p>
    <w:p w:rsidR="001F5CC5" w:rsidRDefault="009012A7" w:rsidP="00BA2260">
      <w:pPr>
        <w:spacing w:before="60" w:afterLines="60" w:after="144" w:line="280" w:lineRule="exact"/>
        <w:jc w:val="both"/>
      </w:pPr>
      <w:r w:rsidRPr="008F308F">
        <w:t>Като партньор в проекти за трансгранично сътрудничество, Фондът осигурява:</w:t>
      </w:r>
    </w:p>
    <w:p w:rsidR="009012A7" w:rsidRPr="008F308F" w:rsidRDefault="009012A7" w:rsidP="001A036E">
      <w:pPr>
        <w:numPr>
          <w:ilvl w:val="0"/>
          <w:numId w:val="114"/>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управлението на проекта,</w:t>
      </w:r>
    </w:p>
    <w:p w:rsidR="009012A7" w:rsidRPr="008F308F" w:rsidRDefault="009012A7" w:rsidP="001A036E">
      <w:pPr>
        <w:numPr>
          <w:ilvl w:val="0"/>
          <w:numId w:val="114"/>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трансфер на знания, добри практики и технологии;</w:t>
      </w:r>
    </w:p>
    <w:p w:rsidR="009012A7" w:rsidRPr="008F308F" w:rsidRDefault="009012A7" w:rsidP="001A036E">
      <w:pPr>
        <w:numPr>
          <w:ilvl w:val="0"/>
          <w:numId w:val="114"/>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обучения и информационни събития,</w:t>
      </w:r>
    </w:p>
    <w:p w:rsidR="009012A7" w:rsidRPr="008F308F" w:rsidRDefault="009012A7" w:rsidP="001A036E">
      <w:pPr>
        <w:numPr>
          <w:ilvl w:val="0"/>
          <w:numId w:val="114"/>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управление на комуникациите.</w:t>
      </w:r>
    </w:p>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Основни дейности, които Фондът упражнява са:</w:t>
      </w:r>
    </w:p>
    <w:tbl>
      <w:tblPr>
        <w:tblW w:w="5000" w:type="pct"/>
        <w:tblCellSpacing w:w="15" w:type="dxa"/>
        <w:tblCellMar>
          <w:left w:w="0" w:type="dxa"/>
          <w:right w:w="0" w:type="dxa"/>
        </w:tblCellMar>
        <w:tblLook w:val="04A0" w:firstRow="1" w:lastRow="0" w:firstColumn="1" w:lastColumn="0" w:noHBand="0" w:noVBand="1"/>
      </w:tblPr>
      <w:tblGrid>
        <w:gridCol w:w="1082"/>
        <w:gridCol w:w="7991"/>
      </w:tblGrid>
      <w:tr w:rsidR="009012A7" w:rsidRPr="008F308F" w:rsidTr="00896933">
        <w:trPr>
          <w:trHeight w:val="653"/>
          <w:tblCellSpacing w:w="15" w:type="dxa"/>
        </w:trPr>
        <w:tc>
          <w:tcPr>
            <w:tcW w:w="4967" w:type="pct"/>
            <w:gridSpan w:val="2"/>
            <w:shd w:val="clear" w:color="auto" w:fill="auto"/>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i/>
                <w:iCs/>
                <w:lang w:eastAsia="bg-BG"/>
              </w:rPr>
              <w:t xml:space="preserve">Финансови услуги – </w:t>
            </w:r>
            <w:r w:rsidRPr="008F308F">
              <w:rPr>
                <w:rStyle w:val="hps"/>
                <w:rFonts w:cs="Times New Roman"/>
                <w:i/>
              </w:rPr>
              <w:t>отпускане на заеми</w:t>
            </w:r>
            <w:r w:rsidRPr="008F308F">
              <w:rPr>
                <w:rFonts w:cs="Times New Roman"/>
                <w:i/>
              </w:rPr>
              <w:t xml:space="preserve">, съчетаващ </w:t>
            </w:r>
            <w:r w:rsidRPr="008F308F">
              <w:rPr>
                <w:rStyle w:val="hps"/>
                <w:rFonts w:cs="Times New Roman"/>
                <w:i/>
              </w:rPr>
              <w:t>местни</w:t>
            </w:r>
            <w:r w:rsidRPr="008F308F">
              <w:rPr>
                <w:rFonts w:cs="Times New Roman"/>
                <w:i/>
              </w:rPr>
              <w:t xml:space="preserve"> </w:t>
            </w:r>
            <w:r w:rsidRPr="008F308F">
              <w:rPr>
                <w:rStyle w:val="hps"/>
                <w:rFonts w:cs="Times New Roman"/>
                <w:i/>
              </w:rPr>
              <w:t>и чуждестранни финансови</w:t>
            </w:r>
            <w:r w:rsidRPr="008F308F">
              <w:rPr>
                <w:rFonts w:cs="Times New Roman"/>
                <w:i/>
              </w:rPr>
              <w:t xml:space="preserve"> </w:t>
            </w:r>
            <w:r w:rsidRPr="008F308F">
              <w:rPr>
                <w:rStyle w:val="hps"/>
                <w:rFonts w:cs="Times New Roman"/>
                <w:i/>
              </w:rPr>
              <w:t>ресурси</w:t>
            </w:r>
            <w:r w:rsidRPr="008F308F">
              <w:rPr>
                <w:rFonts w:cs="Times New Roman"/>
                <w:i/>
              </w:rPr>
              <w:t xml:space="preserve"> в подкрепа на </w:t>
            </w:r>
            <w:r w:rsidRPr="008F308F">
              <w:rPr>
                <w:rStyle w:val="hps"/>
                <w:rFonts w:cs="Times New Roman"/>
                <w:i/>
              </w:rPr>
              <w:t>общини и</w:t>
            </w:r>
            <w:r w:rsidRPr="008F308F">
              <w:rPr>
                <w:rFonts w:cs="Times New Roman"/>
                <w:i/>
              </w:rPr>
              <w:t xml:space="preserve"> </w:t>
            </w:r>
            <w:r w:rsidRPr="008F308F">
              <w:rPr>
                <w:rStyle w:val="hps"/>
                <w:rFonts w:cs="Times New Roman"/>
                <w:i/>
              </w:rPr>
              <w:t>търговски дружества</w:t>
            </w:r>
            <w:r w:rsidRPr="008F308F">
              <w:rPr>
                <w:rFonts w:cs="Times New Roman"/>
                <w:i/>
              </w:rPr>
              <w:t xml:space="preserve"> при </w:t>
            </w:r>
            <w:r w:rsidRPr="008F308F">
              <w:rPr>
                <w:rStyle w:val="hps"/>
                <w:rFonts w:cs="Times New Roman"/>
                <w:i/>
              </w:rPr>
              <w:t>изпълнението</w:t>
            </w:r>
            <w:r w:rsidRPr="008F308F">
              <w:rPr>
                <w:rFonts w:cs="Times New Roman"/>
                <w:i/>
              </w:rPr>
              <w:t xml:space="preserve"> </w:t>
            </w:r>
            <w:r w:rsidRPr="008F308F">
              <w:rPr>
                <w:rStyle w:val="hps"/>
                <w:rFonts w:cs="Times New Roman"/>
                <w:i/>
              </w:rPr>
              <w:t>на благоприятни</w:t>
            </w:r>
            <w:r w:rsidRPr="008F308F">
              <w:rPr>
                <w:rFonts w:cs="Times New Roman"/>
                <w:i/>
              </w:rPr>
              <w:t xml:space="preserve"> </w:t>
            </w:r>
            <w:r w:rsidRPr="008F308F">
              <w:rPr>
                <w:rStyle w:val="hps"/>
                <w:rFonts w:cs="Times New Roman"/>
                <w:i/>
              </w:rPr>
              <w:t>за околната среда</w:t>
            </w:r>
            <w:r w:rsidRPr="008F308F">
              <w:rPr>
                <w:rFonts w:cs="Times New Roman"/>
                <w:i/>
              </w:rPr>
              <w:t xml:space="preserve"> </w:t>
            </w:r>
            <w:r w:rsidRPr="008F308F">
              <w:rPr>
                <w:rStyle w:val="hps"/>
                <w:rFonts w:cs="Times New Roman"/>
                <w:i/>
              </w:rPr>
              <w:t>проекти</w:t>
            </w:r>
          </w:p>
        </w:tc>
      </w:tr>
      <w:tr w:rsidR="009012A7" w:rsidRPr="008F308F" w:rsidTr="00F00027">
        <w:trPr>
          <w:trHeight w:val="1073"/>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t>1998-2012</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Споразумение за заем с Nordic Environmental Finance Corporation (</w:t>
            </w:r>
            <w:r w:rsidRPr="008F308F">
              <w:rPr>
                <w:rFonts w:eastAsia="Times New Roman" w:cs="Times New Roman"/>
                <w:lang w:val="en-US" w:eastAsia="bg-BG"/>
              </w:rPr>
              <w:t xml:space="preserve">NEFCO - </w:t>
            </w:r>
            <w:r w:rsidRPr="008F308F">
              <w:rPr>
                <w:rFonts w:eastAsia="Times New Roman" w:cs="Times New Roman"/>
                <w:lang w:eastAsia="bg-BG"/>
              </w:rPr>
              <w:t>Международна финансова институция, основана от скандинавските страни, която отпуска финансиране на страните Русия, Украйна, Естония, Латвия, Литва и Беларус) на стойност 3.5 млн. евро за осъществяването на проекти в сектор води от общините</w:t>
            </w:r>
          </w:p>
        </w:tc>
      </w:tr>
      <w:tr w:rsidR="009012A7" w:rsidRPr="008F308F" w:rsidTr="00F00027">
        <w:trPr>
          <w:trHeight w:val="432"/>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t>1999-2002</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Споразумение за заем с програма Phare на стойност 2 млн. евро за проекти за екологична инфраструктура</w:t>
            </w:r>
          </w:p>
        </w:tc>
      </w:tr>
      <w:tr w:rsidR="009012A7" w:rsidRPr="008F308F" w:rsidTr="00F00027">
        <w:trPr>
          <w:trHeight w:val="851"/>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t>2005-2008</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Споразумение за заем с NEFCO на стойност 3 млн. евро (инвестиран на револвиращ принцип три пъти за три години с общ размер на инвестицията 9 млн. евро), отпускани на общините за реализацията на проекти във водния сектор, съфинансирани от ЕФРР.</w:t>
            </w:r>
          </w:p>
        </w:tc>
      </w:tr>
      <w:tr w:rsidR="009012A7" w:rsidRPr="008F308F" w:rsidTr="00F00027">
        <w:trPr>
          <w:trHeight w:val="641"/>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t>2010-2013</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Споразумение за заем с NEFCO на стойност 5 млн. евро отпускани на общините за реализацията на проекти във водния сектор, съфинансирани от ЕФРР</w:t>
            </w:r>
          </w:p>
        </w:tc>
      </w:tr>
      <w:tr w:rsidR="009012A7" w:rsidRPr="008F308F" w:rsidTr="00896933">
        <w:trPr>
          <w:trHeight w:val="460"/>
          <w:tblCellSpacing w:w="15" w:type="dxa"/>
        </w:trPr>
        <w:tc>
          <w:tcPr>
            <w:tcW w:w="4967" w:type="pct"/>
            <w:gridSpan w:val="2"/>
            <w:shd w:val="clear" w:color="auto" w:fill="auto"/>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i/>
                <w:iCs/>
                <w:lang w:eastAsia="bg-BG"/>
              </w:rPr>
              <w:t xml:space="preserve">Управление на програми </w:t>
            </w:r>
            <w:r w:rsidRPr="008F308F">
              <w:rPr>
                <w:rFonts w:eastAsia="Times New Roman" w:cs="Times New Roman"/>
                <w:i/>
                <w:iCs/>
                <w:lang w:eastAsia="bg-BG"/>
              </w:rPr>
              <w:t xml:space="preserve">– набиране на финансови средства за изпълнението на инфраструктурни екологични проекти и мониторинг на изпълнението на проектите </w:t>
            </w:r>
          </w:p>
        </w:tc>
      </w:tr>
      <w:tr w:rsidR="009012A7" w:rsidRPr="008F308F" w:rsidTr="00F00027">
        <w:trPr>
          <w:trHeight w:val="641"/>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t>2003-2004</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 xml:space="preserve">Схема за финансиране </w:t>
            </w:r>
            <w:r w:rsidRPr="008F308F">
              <w:rPr>
                <w:rFonts w:eastAsia="Times New Roman" w:cs="Times New Roman"/>
                <w:i/>
                <w:iCs/>
                <w:lang w:eastAsia="bg-BG"/>
              </w:rPr>
              <w:t>"Реконструкция на котелни помещения в насърчаване преминаването на биомаса"</w:t>
            </w:r>
            <w:r w:rsidRPr="008F308F">
              <w:rPr>
                <w:rFonts w:eastAsia="Times New Roman" w:cs="Times New Roman"/>
                <w:lang w:eastAsia="bg-BG"/>
              </w:rPr>
              <w:t>, финансирана от ПРООН (UNDP) (осигурено съфинансиране на стойност 0.2 млн. щ.д.)</w:t>
            </w:r>
          </w:p>
        </w:tc>
      </w:tr>
      <w:tr w:rsidR="009012A7" w:rsidRPr="008F308F" w:rsidTr="00F00027">
        <w:trPr>
          <w:trHeight w:val="863"/>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t>2003-2004</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 xml:space="preserve">Програма </w:t>
            </w:r>
            <w:r w:rsidRPr="008F308F">
              <w:rPr>
                <w:rFonts w:eastAsia="Times New Roman" w:cs="Times New Roman"/>
                <w:i/>
                <w:iCs/>
                <w:lang w:eastAsia="bg-BG"/>
              </w:rPr>
              <w:t xml:space="preserve">"Инициатива за енергийна ефективност на жилищата в Латвия, " </w:t>
            </w:r>
            <w:r w:rsidRPr="008F308F">
              <w:rPr>
                <w:rFonts w:eastAsia="Times New Roman" w:cs="Times New Roman"/>
                <w:lang w:eastAsia="bg-BG"/>
              </w:rPr>
              <w:t xml:space="preserve">финансирана от Германското федерално министерство на околната среда, в </w:t>
            </w:r>
            <w:r w:rsidRPr="008F308F">
              <w:rPr>
                <w:rFonts w:eastAsia="Times New Roman" w:cs="Times New Roman"/>
                <w:lang w:eastAsia="bg-BG"/>
              </w:rPr>
              <w:lastRenderedPageBreak/>
              <w:t>качеството му на изпълнителен орган на проекта Консервация на природата и Ядрена безопасност (заем 5млн. евро, безвъзмездно 2 млн. евро)</w:t>
            </w:r>
          </w:p>
        </w:tc>
      </w:tr>
      <w:tr w:rsidR="009012A7" w:rsidRPr="008F308F" w:rsidTr="00F00027">
        <w:trPr>
          <w:trHeight w:val="653"/>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lastRenderedPageBreak/>
              <w:t>2006-2008</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 xml:space="preserve">Проекти </w:t>
            </w:r>
            <w:r w:rsidRPr="008F308F">
              <w:rPr>
                <w:rFonts w:eastAsia="Times New Roman" w:cs="Times New Roman"/>
                <w:i/>
                <w:iCs/>
                <w:lang w:eastAsia="bg-BG"/>
              </w:rPr>
              <w:t>"Екологично обезвреждане на оборудване, съдържащо ПХБ (полихлорирани бифенили)"</w:t>
            </w:r>
            <w:r w:rsidRPr="008F308F">
              <w:rPr>
                <w:rFonts w:eastAsia="Times New Roman" w:cs="Times New Roman"/>
                <w:lang w:eastAsia="bg-BG"/>
              </w:rPr>
              <w:t>, съфинансиран от ПРООН (съфинансиране в размер на 0.7млн. щ.д.)</w:t>
            </w:r>
          </w:p>
        </w:tc>
      </w:tr>
      <w:tr w:rsidR="009012A7" w:rsidRPr="008F308F" w:rsidTr="00F00027">
        <w:trPr>
          <w:trHeight w:val="851"/>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t>2010-2011</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 xml:space="preserve">Проект </w:t>
            </w:r>
            <w:r w:rsidRPr="008F308F">
              <w:rPr>
                <w:rFonts w:eastAsia="Times New Roman" w:cs="Times New Roman"/>
                <w:i/>
                <w:iCs/>
                <w:lang w:eastAsia="bg-BG"/>
              </w:rPr>
              <w:t>"Демонстриране и насърчаване на добри практики за намаляване отпадъците от здравеопазването и предотвратяване изпускането на диоксини и живак "</w:t>
            </w:r>
            <w:r w:rsidRPr="008F308F">
              <w:rPr>
                <w:rFonts w:eastAsia="Times New Roman" w:cs="Times New Roman"/>
                <w:lang w:eastAsia="bg-BG"/>
              </w:rPr>
              <w:t xml:space="preserve"> – съфинансиран от ПРООН (съфинансиране в размер на 0.6млн. щ.д.)</w:t>
            </w:r>
          </w:p>
        </w:tc>
      </w:tr>
      <w:tr w:rsidR="009012A7" w:rsidRPr="008F308F" w:rsidTr="00896933">
        <w:trPr>
          <w:trHeight w:val="341"/>
          <w:tblCellSpacing w:w="15" w:type="dxa"/>
        </w:trPr>
        <w:tc>
          <w:tcPr>
            <w:tcW w:w="4967" w:type="pct"/>
            <w:gridSpan w:val="2"/>
            <w:shd w:val="clear" w:color="auto" w:fill="auto"/>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i/>
                <w:iCs/>
                <w:lang w:eastAsia="bg-BG"/>
              </w:rPr>
              <w:t xml:space="preserve">Мониторинг на изпълнението на проекти, съфинансирани от </w:t>
            </w:r>
            <w:r w:rsidRPr="008F308F">
              <w:rPr>
                <w:rFonts w:eastAsia="Times New Roman" w:cs="Times New Roman"/>
                <w:b/>
                <w:lang w:eastAsia="bg-BG"/>
              </w:rPr>
              <w:t xml:space="preserve">Финансовия инструмент за изменение в климата </w:t>
            </w:r>
            <w:r w:rsidRPr="008F308F">
              <w:rPr>
                <w:rFonts w:eastAsia="Times New Roman" w:cs="Times New Roman"/>
                <w:i/>
                <w:iCs/>
                <w:lang w:eastAsia="bg-BG"/>
              </w:rPr>
              <w:t>– осигуряване на ефективно използване на съфинансирането за устойчивост на проектите и намаляване на въглеродния двуокис.</w:t>
            </w:r>
          </w:p>
        </w:tc>
      </w:tr>
      <w:tr w:rsidR="009012A7" w:rsidRPr="008F308F" w:rsidTr="00F00027">
        <w:trPr>
          <w:trHeight w:val="839"/>
          <w:tblCellSpacing w:w="15" w:type="dxa"/>
        </w:trPr>
        <w:tc>
          <w:tcPr>
            <w:tcW w:w="573" w:type="pct"/>
            <w:vAlign w:val="center"/>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b/>
                <w:bCs/>
                <w:lang w:eastAsia="bg-BG"/>
              </w:rPr>
              <w:t>2010-2015</w:t>
            </w:r>
          </w:p>
        </w:tc>
        <w:tc>
          <w:tcPr>
            <w:tcW w:w="4378" w:type="pct"/>
            <w:hideMark/>
          </w:tcPr>
          <w:p w:rsidR="009012A7" w:rsidRPr="008F308F" w:rsidRDefault="009012A7" w:rsidP="006D1ED0">
            <w:pPr>
              <w:spacing w:before="100" w:beforeAutospacing="1" w:after="100" w:afterAutospacing="1"/>
              <w:jc w:val="both"/>
              <w:rPr>
                <w:rFonts w:eastAsia="Times New Roman" w:cs="Times New Roman"/>
                <w:lang w:eastAsia="bg-BG"/>
              </w:rPr>
            </w:pPr>
            <w:r w:rsidRPr="008F308F">
              <w:rPr>
                <w:rFonts w:eastAsia="Times New Roman" w:cs="Times New Roman"/>
                <w:lang w:eastAsia="bg-BG"/>
              </w:rPr>
              <w:t xml:space="preserve">Фондът упражнява мониторинг по време на и след изпълнението на проекти, съфинансирани от </w:t>
            </w:r>
            <w:r w:rsidRPr="008F308F">
              <w:rPr>
                <w:rFonts w:eastAsia="Times New Roman" w:cs="Times New Roman"/>
                <w:b/>
                <w:lang w:eastAsia="bg-BG"/>
              </w:rPr>
              <w:t xml:space="preserve">Финансовия инструмент за изменение в климата </w:t>
            </w:r>
            <w:r w:rsidRPr="008F308F">
              <w:rPr>
                <w:rFonts w:eastAsia="Times New Roman" w:cs="Times New Roman"/>
                <w:lang w:eastAsia="bg-BG"/>
              </w:rPr>
              <w:t>в размер на 200 млн. евро.</w:t>
            </w:r>
          </w:p>
        </w:tc>
      </w:tr>
    </w:tbl>
    <w:p w:rsidR="009012A7" w:rsidRPr="00436F46" w:rsidRDefault="009012A7" w:rsidP="006D1ED0">
      <w:pPr>
        <w:spacing w:before="100" w:beforeAutospacing="1" w:after="0"/>
        <w:jc w:val="both"/>
        <w:rPr>
          <w:rFonts w:ascii="Calibri" w:eastAsia="Calibri" w:hAnsi="Calibri" w:cs="Times New Roman"/>
          <w:b/>
          <w:color w:val="4F81BD"/>
        </w:rPr>
      </w:pPr>
      <w:r w:rsidRPr="00436F46">
        <w:rPr>
          <w:rFonts w:ascii="Calibri" w:eastAsia="Calibri" w:hAnsi="Calibri" w:cs="Times New Roman"/>
          <w:b/>
          <w:color w:val="4F81BD"/>
        </w:rPr>
        <w:t>Фондът за изменение на климата (ФИК) - програма, финансирана</w:t>
      </w:r>
      <w:r w:rsidR="00911FF9">
        <w:rPr>
          <w:rFonts w:ascii="Calibri" w:eastAsia="Calibri" w:hAnsi="Calibri" w:cs="Times New Roman"/>
          <w:b/>
          <w:color w:val="4F81BD"/>
        </w:rPr>
        <w:t xml:space="preserve"> от държавния бюджет на Латвия</w:t>
      </w:r>
    </w:p>
    <w:p w:rsidR="00751D14" w:rsidRDefault="009012A7" w:rsidP="00BA2260">
      <w:pPr>
        <w:spacing w:before="60" w:afterLines="60" w:after="144" w:line="280" w:lineRule="exact"/>
        <w:jc w:val="both"/>
      </w:pPr>
      <w:r w:rsidRPr="008F308F">
        <w:t>Целта на ФИК е предотвратяване на глобалното изменение на климата, адаптация към ефектите от изменение на климата и принос към намаляване емисиите парникови газове (например, чрез подпомагане енергийната ефективност на сгради в публичния и частния сектор, разработването и внедряването на технологии за добив на енергия от възобновяеми източници, както и приложението на интегрирани решения за намаляване емисиите парникови газове).</w:t>
      </w:r>
    </w:p>
    <w:p w:rsidR="00751D14" w:rsidRDefault="009012A7" w:rsidP="00BA2260">
      <w:pPr>
        <w:spacing w:before="60" w:afterLines="60" w:after="144" w:line="280" w:lineRule="exact"/>
        <w:jc w:val="both"/>
      </w:pPr>
      <w:r w:rsidRPr="008F308F">
        <w:t xml:space="preserve">Финансирането се осигурява от постъпленията от продажба на квотите емисии, търгувани съгласно Протокола от Киото. Продажбата на емисии е възможна, защото Латвия няма да има нужда от предоставените и квоти, тъй като съгласно контрола на изпълнението на протокола за периода 2008-2012 е отчетено намаление на нивата от 1990г., и потенциалният излишък ще е поне 40 милиона квоти. Използването на всички останали квоти за други цели, като предоставянето на квоти на търговски предприятия, не е възможно. Продажбата на квоти е възможна, при условие че целият приход се инвестира в развитието на Латвия. Решението за участието на Латвия в международната търговия с емисии е взето от Съвета на министрите през 2006г. </w:t>
      </w:r>
    </w:p>
    <w:p w:rsidR="001F5CC5" w:rsidRDefault="009012A7" w:rsidP="00BA2260">
      <w:pPr>
        <w:spacing w:before="60" w:afterLines="60" w:after="144" w:line="280" w:lineRule="exact"/>
        <w:jc w:val="both"/>
      </w:pPr>
      <w:r w:rsidRPr="008F308F">
        <w:t xml:space="preserve">Дейността на ФИК се регулира от сключените международни договори за продажбата на емисионни квоти, както и от приложимото законодателство, като например Закона за участието на Латвия в механизмите по Протокола от Киото от 2007г., </w:t>
      </w:r>
      <w:r w:rsidRPr="00FF7A4E">
        <w:t>подзаконовия нормативен акт на Консултативния съвет на Съвета на министрите за Финансовия инструмент за изменение на климата", Решение на Съвета на министрите No. 644 "Процедури за изпълнение на проекти, финансирани от Финансовия инструмент за изменение на климата, подаване и разглеждане на доклади за изпълнението им".</w:t>
      </w:r>
    </w:p>
    <w:p w:rsidR="009012A7" w:rsidRPr="00436F46" w:rsidRDefault="009012A7" w:rsidP="006D1ED0">
      <w:pPr>
        <w:spacing w:before="100" w:beforeAutospacing="1" w:after="0"/>
        <w:jc w:val="both"/>
        <w:rPr>
          <w:rFonts w:ascii="Calibri" w:eastAsia="Calibri" w:hAnsi="Calibri" w:cs="Times New Roman"/>
          <w:b/>
          <w:color w:val="4F81BD"/>
        </w:rPr>
      </w:pPr>
      <w:r w:rsidRPr="00436F46">
        <w:rPr>
          <w:rFonts w:ascii="Calibri" w:eastAsia="Calibri" w:hAnsi="Calibri" w:cs="Times New Roman"/>
          <w:b/>
          <w:color w:val="4F81BD"/>
        </w:rPr>
        <w:t>Условия за финансиране</w:t>
      </w:r>
    </w:p>
    <w:p w:rsidR="00751D14" w:rsidRDefault="009012A7" w:rsidP="00BA2260">
      <w:pPr>
        <w:spacing w:before="60" w:afterLines="60" w:after="144" w:line="280" w:lineRule="exact"/>
        <w:jc w:val="both"/>
      </w:pPr>
      <w:r w:rsidRPr="008F308F">
        <w:t>Фондът за изменение на климата отпуска заеми за изпълнението на проекти при следните условия:</w:t>
      </w:r>
    </w:p>
    <w:p w:rsidR="009012A7" w:rsidRPr="008F308F" w:rsidRDefault="009012A7" w:rsidP="001A036E">
      <w:pPr>
        <w:numPr>
          <w:ilvl w:val="0"/>
          <w:numId w:val="113"/>
        </w:numPr>
        <w:spacing w:before="100" w:beforeAutospacing="1" w:after="100" w:afterAutospacing="1" w:line="240" w:lineRule="auto"/>
        <w:jc w:val="both"/>
        <w:rPr>
          <w:rFonts w:cs="Times New Roman"/>
        </w:rPr>
      </w:pPr>
      <w:r w:rsidRPr="008F308F">
        <w:rPr>
          <w:rFonts w:cs="Times New Roman"/>
        </w:rPr>
        <w:lastRenderedPageBreak/>
        <w:t xml:space="preserve">Ако изпълнението на проекта води до отлично количествено и качествено подобрение на околната среда, </w:t>
      </w:r>
    </w:p>
    <w:p w:rsidR="009012A7" w:rsidRPr="008F308F" w:rsidRDefault="009012A7" w:rsidP="001A036E">
      <w:pPr>
        <w:numPr>
          <w:ilvl w:val="0"/>
          <w:numId w:val="113"/>
        </w:numPr>
        <w:spacing w:before="100" w:beforeAutospacing="1" w:after="100" w:afterAutospacing="1" w:line="240" w:lineRule="auto"/>
        <w:jc w:val="both"/>
        <w:rPr>
          <w:rFonts w:cs="Times New Roman"/>
        </w:rPr>
      </w:pPr>
      <w:r w:rsidRPr="008F308F">
        <w:rPr>
          <w:rFonts w:cs="Times New Roman"/>
        </w:rPr>
        <w:t>Ако проектът е финансово жизнеспособен, т.е. предоставеното финансиране покрива разходите по изпълнението на проекта и проектът генерира достатъчно приходи, за да покрие всички оперативни разходи, включително изплащането на главницата и лихвите по заема.</w:t>
      </w:r>
    </w:p>
    <w:p w:rsidR="009012A7" w:rsidRPr="008F308F" w:rsidRDefault="009012A7" w:rsidP="00911FF9">
      <w:pPr>
        <w:pStyle w:val="Default"/>
        <w:jc w:val="both"/>
        <w:rPr>
          <w:rFonts w:asciiTheme="minorHAnsi" w:eastAsia="Times New Roman" w:hAnsiTheme="minorHAnsi"/>
          <w:sz w:val="22"/>
          <w:szCs w:val="22"/>
          <w:lang w:eastAsia="bg-BG"/>
        </w:rPr>
      </w:pPr>
      <w:r w:rsidRPr="008F308F">
        <w:rPr>
          <w:rFonts w:asciiTheme="minorHAnsi" w:eastAsia="Times New Roman" w:hAnsiTheme="minorHAnsi"/>
          <w:sz w:val="22"/>
          <w:szCs w:val="22"/>
          <w:lang w:eastAsia="bg-BG"/>
        </w:rPr>
        <w:t xml:space="preserve">Фондът финансира проекти, благоприятни за околната среда, и подкрепя общини и търговски дружества по време изпълнението на проекти в следните сфери: </w:t>
      </w:r>
    </w:p>
    <w:p w:rsidR="009012A7" w:rsidRPr="008F308F" w:rsidRDefault="009012A7" w:rsidP="001A036E">
      <w:pPr>
        <w:numPr>
          <w:ilvl w:val="0"/>
          <w:numId w:val="112"/>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Подобряване качеството на питейната вода,</w:t>
      </w:r>
    </w:p>
    <w:p w:rsidR="009012A7" w:rsidRPr="008F308F" w:rsidRDefault="009012A7" w:rsidP="001A036E">
      <w:pPr>
        <w:numPr>
          <w:ilvl w:val="0"/>
          <w:numId w:val="112"/>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Пречистване на отпадъчни води,</w:t>
      </w:r>
    </w:p>
    <w:p w:rsidR="009012A7" w:rsidRPr="008F308F" w:rsidRDefault="009012A7" w:rsidP="001A036E">
      <w:pPr>
        <w:numPr>
          <w:ilvl w:val="0"/>
          <w:numId w:val="112"/>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Природосъобразно производство на топлинна енергия,</w:t>
      </w:r>
    </w:p>
    <w:p w:rsidR="009012A7" w:rsidRPr="008F308F" w:rsidRDefault="009012A7" w:rsidP="001A036E">
      <w:pPr>
        <w:numPr>
          <w:ilvl w:val="0"/>
          <w:numId w:val="112"/>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Екологично производство,</w:t>
      </w:r>
    </w:p>
    <w:p w:rsidR="009012A7" w:rsidRPr="008F308F" w:rsidRDefault="009012A7" w:rsidP="001A036E">
      <w:pPr>
        <w:numPr>
          <w:ilvl w:val="0"/>
          <w:numId w:val="112"/>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Топлоизолация на сгради,</w:t>
      </w:r>
    </w:p>
    <w:p w:rsidR="009012A7" w:rsidRPr="008F308F" w:rsidRDefault="009012A7" w:rsidP="001A036E">
      <w:pPr>
        <w:numPr>
          <w:ilvl w:val="0"/>
          <w:numId w:val="112"/>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Оползотворяване на отпадъци,</w:t>
      </w:r>
    </w:p>
    <w:p w:rsidR="009012A7" w:rsidRPr="008F308F" w:rsidRDefault="009012A7" w:rsidP="001A036E">
      <w:pPr>
        <w:numPr>
          <w:ilvl w:val="0"/>
          <w:numId w:val="112"/>
        </w:numPr>
        <w:spacing w:before="100" w:beforeAutospacing="1" w:after="100" w:afterAutospacing="1" w:line="240" w:lineRule="auto"/>
        <w:jc w:val="both"/>
        <w:rPr>
          <w:rFonts w:eastAsia="Times New Roman" w:cs="Times New Roman"/>
          <w:lang w:eastAsia="bg-BG"/>
        </w:rPr>
      </w:pPr>
      <w:r w:rsidRPr="008F308F">
        <w:rPr>
          <w:rFonts w:eastAsia="Times New Roman" w:cs="Times New Roman"/>
          <w:lang w:eastAsia="bg-BG"/>
        </w:rPr>
        <w:t>Други.</w:t>
      </w:r>
    </w:p>
    <w:p w:rsidR="009012A7" w:rsidRPr="00911FF9" w:rsidRDefault="009012A7" w:rsidP="001A036E">
      <w:pPr>
        <w:pStyle w:val="Heading4"/>
        <w:numPr>
          <w:ilvl w:val="0"/>
          <w:numId w:val="111"/>
        </w:numPr>
        <w:spacing w:after="240"/>
        <w:rPr>
          <w:rFonts w:asciiTheme="minorHAnsi" w:eastAsia="Calibri" w:hAnsiTheme="minorHAnsi" w:cstheme="minorHAnsi"/>
          <w:color w:val="2E74B5" w:themeColor="accent1" w:themeShade="BF"/>
        </w:rPr>
      </w:pPr>
      <w:r w:rsidRPr="00911FF9">
        <w:rPr>
          <w:rFonts w:asciiTheme="minorHAnsi" w:eastAsia="Calibri" w:hAnsiTheme="minorHAnsi" w:cstheme="minorHAnsi"/>
          <w:color w:val="2E74B5" w:themeColor="accent1" w:themeShade="BF"/>
        </w:rPr>
        <w:t>Структура на прилагане на финансови инструменти в Република Хърватска</w:t>
      </w:r>
    </w:p>
    <w:p w:rsidR="009012A7" w:rsidRPr="008F308F" w:rsidRDefault="009012A7" w:rsidP="006D1ED0">
      <w:pPr>
        <w:spacing w:before="100" w:beforeAutospacing="1" w:after="0"/>
        <w:jc w:val="both"/>
      </w:pPr>
      <w:r w:rsidRPr="00436F46">
        <w:rPr>
          <w:rFonts w:ascii="Calibri" w:eastAsia="Calibri" w:hAnsi="Calibri" w:cs="Times New Roman"/>
          <w:b/>
          <w:color w:val="4F81BD"/>
        </w:rPr>
        <w:t>Фонд за опазване на околната среда и енергийна ефективност на Република Хърватска</w:t>
      </w:r>
      <w:r w:rsidRPr="008F308F">
        <w:t xml:space="preserve"> е структуриран извънбюджетен фонд, който финансира проекти в следните три основни области: опазване на околната среда, енергийна ефективност и използване на енергия от възобновяеми източници.</w:t>
      </w:r>
    </w:p>
    <w:p w:rsidR="00751D14" w:rsidRDefault="009012A7" w:rsidP="00BA2260">
      <w:pPr>
        <w:spacing w:before="60" w:afterLines="60" w:after="144" w:line="280" w:lineRule="exact"/>
        <w:jc w:val="both"/>
      </w:pPr>
      <w:r w:rsidRPr="008F308F">
        <w:t>Създаден през 2003г. със закона за опазване на околната среда и енергийната ефективност, Фондът е първият и единствен извънбюджетен фонд, който финансира програми и проекти за опазване на околната среда, за енергийна ефективност и за енергия от ВЕИ. Фондът е юридическо лице с публични правомощия да определя административни актове за глоби, регистрационни такси, условия, на които трябва да отговарят получателите на финансиране, условия за разпределяне на средствата.</w:t>
      </w:r>
    </w:p>
    <w:p w:rsidR="00751D14" w:rsidRDefault="009012A7" w:rsidP="00BA2260">
      <w:pPr>
        <w:spacing w:before="60" w:afterLines="60" w:after="144" w:line="280" w:lineRule="exact"/>
        <w:jc w:val="both"/>
      </w:pPr>
      <w:r w:rsidRPr="008F308F">
        <w:t>Учредителните права и задълженията се упражняват от Правителството на Хърватия, като отговорни са министрите на околната страна и икономиката (енергетиката).</w:t>
      </w:r>
    </w:p>
    <w:p w:rsidR="001F5CC5" w:rsidRDefault="009012A7" w:rsidP="00BA2260">
      <w:pPr>
        <w:spacing w:before="60" w:afterLines="60" w:after="144" w:line="280" w:lineRule="exact"/>
        <w:jc w:val="both"/>
      </w:pPr>
      <w:r w:rsidRPr="008F308F">
        <w:t xml:space="preserve">Фондът е отговорен за дейността си до размера на активите си. Република Хърватска има солидарна неограничена отговорност, без ограничение, за задълженията на Фонда. </w:t>
      </w:r>
    </w:p>
    <w:p w:rsidR="009012A7" w:rsidRPr="00436F46" w:rsidRDefault="009012A7" w:rsidP="006D1ED0">
      <w:pPr>
        <w:spacing w:before="100" w:beforeAutospacing="1"/>
        <w:jc w:val="both"/>
        <w:rPr>
          <w:rFonts w:ascii="Calibri" w:eastAsia="Calibri" w:hAnsi="Calibri" w:cs="Times New Roman"/>
          <w:b/>
          <w:color w:val="4F81BD"/>
        </w:rPr>
      </w:pPr>
      <w:r w:rsidRPr="00436F46">
        <w:rPr>
          <w:rFonts w:ascii="Calibri" w:eastAsia="Calibri" w:hAnsi="Calibri" w:cs="Times New Roman"/>
          <w:b/>
          <w:color w:val="4F81BD"/>
        </w:rPr>
        <w:t>Основната дейност на Фонда е:</w:t>
      </w:r>
    </w:p>
    <w:p w:rsidR="009012A7" w:rsidRPr="008F308F" w:rsidRDefault="009012A7" w:rsidP="006D1ED0">
      <w:pPr>
        <w:jc w:val="both"/>
        <w:rPr>
          <w:rFonts w:eastAsia="Times New Roman" w:cs="Times New Roman"/>
          <w:lang w:eastAsia="bg-BG"/>
        </w:rPr>
      </w:pPr>
      <w:r w:rsidRPr="008F308F">
        <w:rPr>
          <w:rFonts w:eastAsia="Times New Roman" w:cs="Times New Roman"/>
          <w:lang w:eastAsia="bg-BG"/>
        </w:rPr>
        <w:t>Финансиране на подготовката, разработването и изпълнението на програми, проекти и други подобни начинания в сферата на:</w:t>
      </w:r>
    </w:p>
    <w:p w:rsidR="009012A7" w:rsidRPr="008F308F" w:rsidRDefault="009012A7" w:rsidP="001A036E">
      <w:pPr>
        <w:numPr>
          <w:ilvl w:val="0"/>
          <w:numId w:val="115"/>
        </w:numPr>
        <w:spacing w:after="0" w:line="240" w:lineRule="auto"/>
        <w:jc w:val="both"/>
        <w:rPr>
          <w:rFonts w:eastAsia="Times New Roman" w:cs="Times New Roman"/>
          <w:lang w:eastAsia="bg-BG"/>
        </w:rPr>
      </w:pPr>
      <w:r w:rsidRPr="008F308F">
        <w:rPr>
          <w:rFonts w:eastAsia="Times New Roman" w:cs="Times New Roman"/>
          <w:lang w:eastAsia="bg-BG"/>
        </w:rPr>
        <w:t>Опазване на околната среда</w:t>
      </w:r>
    </w:p>
    <w:p w:rsidR="009012A7" w:rsidRPr="008F308F" w:rsidRDefault="009012A7" w:rsidP="001A036E">
      <w:pPr>
        <w:numPr>
          <w:ilvl w:val="0"/>
          <w:numId w:val="115"/>
        </w:numPr>
        <w:spacing w:after="0" w:line="240" w:lineRule="auto"/>
        <w:jc w:val="both"/>
        <w:rPr>
          <w:rFonts w:eastAsia="Times New Roman" w:cs="Times New Roman"/>
          <w:lang w:eastAsia="bg-BG"/>
        </w:rPr>
      </w:pPr>
      <w:r w:rsidRPr="008F308F">
        <w:rPr>
          <w:rFonts w:eastAsia="Times New Roman" w:cs="Times New Roman"/>
          <w:lang w:eastAsia="bg-BG"/>
        </w:rPr>
        <w:t>Управление на отпадъците</w:t>
      </w:r>
    </w:p>
    <w:p w:rsidR="009012A7" w:rsidRPr="008F308F" w:rsidRDefault="009012A7" w:rsidP="001A036E">
      <w:pPr>
        <w:numPr>
          <w:ilvl w:val="0"/>
          <w:numId w:val="115"/>
        </w:numPr>
        <w:spacing w:after="0" w:line="240" w:lineRule="auto"/>
        <w:jc w:val="both"/>
        <w:rPr>
          <w:rFonts w:eastAsia="Times New Roman" w:cs="Times New Roman"/>
          <w:lang w:eastAsia="bg-BG"/>
        </w:rPr>
      </w:pPr>
      <w:r w:rsidRPr="008F308F">
        <w:rPr>
          <w:rFonts w:eastAsia="Times New Roman" w:cs="Times New Roman"/>
          <w:lang w:eastAsia="bg-BG"/>
        </w:rPr>
        <w:t>Енергийна ефективност и използване на енергия от ВЕИ</w:t>
      </w:r>
    </w:p>
    <w:p w:rsidR="009012A7" w:rsidRPr="008F308F" w:rsidRDefault="009012A7" w:rsidP="00911FF9">
      <w:pPr>
        <w:spacing w:before="240"/>
        <w:jc w:val="both"/>
        <w:rPr>
          <w:rFonts w:eastAsia="Times New Roman" w:cs="Times New Roman"/>
          <w:lang w:eastAsia="bg-BG"/>
        </w:rPr>
      </w:pPr>
      <w:r w:rsidRPr="008F308F">
        <w:rPr>
          <w:rFonts w:eastAsia="Times New Roman" w:cs="Times New Roman"/>
          <w:lang w:eastAsia="bg-BG"/>
        </w:rPr>
        <w:t>В допълнение в сферата на енергийната ефективност:</w:t>
      </w:r>
    </w:p>
    <w:p w:rsidR="009012A7" w:rsidRPr="008F308F" w:rsidRDefault="009012A7" w:rsidP="001A036E">
      <w:pPr>
        <w:numPr>
          <w:ilvl w:val="0"/>
          <w:numId w:val="116"/>
        </w:numPr>
        <w:spacing w:after="0" w:line="240" w:lineRule="auto"/>
        <w:jc w:val="both"/>
        <w:rPr>
          <w:rFonts w:eastAsia="Times New Roman" w:cs="Times New Roman"/>
          <w:lang w:eastAsia="bg-BG"/>
        </w:rPr>
      </w:pPr>
      <w:r w:rsidRPr="008F308F">
        <w:rPr>
          <w:rFonts w:eastAsia="Times New Roman" w:cs="Times New Roman"/>
          <w:lang w:eastAsia="bg-BG"/>
        </w:rPr>
        <w:lastRenderedPageBreak/>
        <w:t xml:space="preserve">Изпълнение на политиката по енергийна ефективност в съответствие със Закона за ефективност на крайното потребление на енергия. </w:t>
      </w:r>
    </w:p>
    <w:p w:rsidR="009012A7" w:rsidRPr="008F308F" w:rsidRDefault="009012A7" w:rsidP="001A036E">
      <w:pPr>
        <w:numPr>
          <w:ilvl w:val="0"/>
          <w:numId w:val="116"/>
        </w:numPr>
        <w:spacing w:after="0" w:line="240" w:lineRule="auto"/>
        <w:jc w:val="both"/>
        <w:rPr>
          <w:rFonts w:eastAsia="Times New Roman" w:cs="Times New Roman"/>
          <w:lang w:eastAsia="bg-BG"/>
        </w:rPr>
      </w:pPr>
      <w:r w:rsidRPr="008F308F">
        <w:rPr>
          <w:rFonts w:eastAsia="Times New Roman" w:cs="Times New Roman"/>
          <w:lang w:eastAsia="bg-BG"/>
        </w:rPr>
        <w:t>Фондът изпълнява ролята на Национална агенция по енергийна ефективност съвместно с Министерство на икономиката, труда и предприемачеството.</w:t>
      </w:r>
    </w:p>
    <w:p w:rsidR="009012A7" w:rsidRPr="008F308F" w:rsidRDefault="009012A7" w:rsidP="001A036E">
      <w:pPr>
        <w:numPr>
          <w:ilvl w:val="0"/>
          <w:numId w:val="116"/>
        </w:numPr>
        <w:spacing w:after="0" w:line="240" w:lineRule="auto"/>
        <w:jc w:val="both"/>
        <w:rPr>
          <w:rFonts w:eastAsia="Times New Roman" w:cs="Times New Roman"/>
          <w:lang w:eastAsia="bg-BG"/>
        </w:rPr>
      </w:pPr>
      <w:r w:rsidRPr="008F308F">
        <w:rPr>
          <w:rFonts w:eastAsia="Times New Roman" w:cs="Times New Roman"/>
          <w:lang w:eastAsia="bg-BG"/>
        </w:rPr>
        <w:t>Нова роля в подготовката и изпълнението на енергийни проекти като Междинно звено за енергийни проекти, финансирани от Структурните фондове на ЕС.</w:t>
      </w:r>
    </w:p>
    <w:p w:rsidR="009012A7" w:rsidRPr="00436F46" w:rsidRDefault="009012A7" w:rsidP="006D1ED0">
      <w:pPr>
        <w:spacing w:before="100" w:beforeAutospacing="1"/>
        <w:jc w:val="both"/>
        <w:rPr>
          <w:rFonts w:ascii="Calibri" w:eastAsia="Calibri" w:hAnsi="Calibri" w:cs="Times New Roman"/>
          <w:b/>
          <w:color w:val="4F81BD"/>
        </w:rPr>
      </w:pPr>
      <w:r w:rsidRPr="00436F46">
        <w:rPr>
          <w:rFonts w:ascii="Calibri" w:eastAsia="Calibri" w:hAnsi="Calibri" w:cs="Times New Roman"/>
          <w:b/>
          <w:color w:val="4F81BD"/>
        </w:rPr>
        <w:t>Източници на финансиране</w:t>
      </w:r>
    </w:p>
    <w:p w:rsidR="009012A7" w:rsidRPr="008F308F" w:rsidRDefault="009012A7" w:rsidP="006D1ED0">
      <w:pPr>
        <w:pStyle w:val="Default"/>
        <w:jc w:val="both"/>
        <w:rPr>
          <w:rFonts w:asciiTheme="minorHAnsi" w:eastAsia="Times New Roman" w:hAnsiTheme="minorHAnsi"/>
          <w:b/>
          <w:bCs/>
          <w:color w:val="auto"/>
          <w:sz w:val="22"/>
          <w:szCs w:val="22"/>
          <w:lang w:eastAsia="bg-BG"/>
        </w:rPr>
      </w:pPr>
      <w:r w:rsidRPr="008F308F">
        <w:rPr>
          <w:rFonts w:asciiTheme="minorHAnsi" w:eastAsia="Times New Roman" w:hAnsiTheme="minorHAnsi"/>
          <w:color w:val="auto"/>
          <w:sz w:val="22"/>
          <w:szCs w:val="22"/>
          <w:lang w:eastAsia="bg-BG"/>
        </w:rPr>
        <w:t>Средствата за финансиране дейността на Фонда се осигуряват в съответствие с принципа „замърсителят плаща” от такси, събрани от задължени лица, според закона за опазване на околната среда и закона за енергийната ефективност, както и от други източници, произтичащи от специалните регламенти, както следва:</w:t>
      </w:r>
    </w:p>
    <w:p w:rsidR="009012A7" w:rsidRPr="008F308F" w:rsidRDefault="009012A7" w:rsidP="001A036E">
      <w:pPr>
        <w:numPr>
          <w:ilvl w:val="0"/>
          <w:numId w:val="117"/>
        </w:numPr>
        <w:spacing w:before="240" w:after="0" w:line="240" w:lineRule="auto"/>
        <w:jc w:val="both"/>
        <w:rPr>
          <w:rFonts w:eastAsia="Times New Roman" w:cs="Times New Roman"/>
          <w:lang w:eastAsia="bg-BG"/>
        </w:rPr>
      </w:pPr>
      <w:r w:rsidRPr="008F308F">
        <w:rPr>
          <w:rFonts w:eastAsia="Times New Roman" w:cs="Times New Roman"/>
          <w:lang w:eastAsia="bg-BG"/>
        </w:rPr>
        <w:t>Такси, събирани на основание Закона за фонда и Закона за отпадъците</w:t>
      </w:r>
    </w:p>
    <w:p w:rsidR="009012A7" w:rsidRPr="008F308F" w:rsidRDefault="009012A7" w:rsidP="001A036E">
      <w:pPr>
        <w:numPr>
          <w:ilvl w:val="0"/>
          <w:numId w:val="117"/>
        </w:numPr>
        <w:spacing w:after="0" w:line="240" w:lineRule="auto"/>
        <w:jc w:val="both"/>
        <w:rPr>
          <w:rFonts w:eastAsia="Times New Roman" w:cs="Times New Roman"/>
          <w:lang w:eastAsia="bg-BG"/>
        </w:rPr>
      </w:pPr>
      <w:r w:rsidRPr="008F308F">
        <w:rPr>
          <w:rFonts w:eastAsia="Times New Roman" w:cs="Times New Roman"/>
          <w:lang w:eastAsia="bg-BG"/>
        </w:rPr>
        <w:t>Двустранни и многостранни споразумения за сътрудничество</w:t>
      </w:r>
    </w:p>
    <w:p w:rsidR="009012A7" w:rsidRPr="008F308F" w:rsidRDefault="009012A7" w:rsidP="001A036E">
      <w:pPr>
        <w:numPr>
          <w:ilvl w:val="0"/>
          <w:numId w:val="117"/>
        </w:numPr>
        <w:spacing w:after="0" w:line="240" w:lineRule="auto"/>
        <w:jc w:val="both"/>
        <w:rPr>
          <w:rFonts w:eastAsia="Times New Roman" w:cs="Times New Roman"/>
          <w:lang w:eastAsia="bg-BG"/>
        </w:rPr>
      </w:pPr>
      <w:r w:rsidRPr="008F308F">
        <w:rPr>
          <w:rFonts w:eastAsia="Times New Roman" w:cs="Times New Roman"/>
          <w:lang w:eastAsia="bg-BG"/>
        </w:rPr>
        <w:t>Приходи от управление на паричните средства на Фонда</w:t>
      </w:r>
    </w:p>
    <w:p w:rsidR="009012A7" w:rsidRPr="008F308F" w:rsidRDefault="009012A7" w:rsidP="001A036E">
      <w:pPr>
        <w:numPr>
          <w:ilvl w:val="0"/>
          <w:numId w:val="117"/>
        </w:numPr>
        <w:spacing w:after="0" w:line="240" w:lineRule="auto"/>
        <w:jc w:val="both"/>
        <w:rPr>
          <w:rFonts w:eastAsia="Times New Roman" w:cs="Times New Roman"/>
          <w:lang w:eastAsia="bg-BG"/>
        </w:rPr>
      </w:pPr>
      <w:r w:rsidRPr="008F308F">
        <w:rPr>
          <w:rFonts w:eastAsia="Times New Roman" w:cs="Times New Roman"/>
          <w:lang w:eastAsia="bg-BG"/>
        </w:rPr>
        <w:t>Бюджети на органите на регионалното и местното самоуправление в съответствие със съвместните програми за изпълнение</w:t>
      </w:r>
    </w:p>
    <w:p w:rsidR="009012A7" w:rsidRPr="008F308F" w:rsidRDefault="009012A7" w:rsidP="001A036E">
      <w:pPr>
        <w:numPr>
          <w:ilvl w:val="0"/>
          <w:numId w:val="117"/>
        </w:numPr>
        <w:spacing w:after="0" w:line="240" w:lineRule="auto"/>
        <w:jc w:val="both"/>
        <w:rPr>
          <w:rFonts w:eastAsia="Times New Roman" w:cs="Times New Roman"/>
          <w:lang w:eastAsia="bg-BG"/>
        </w:rPr>
      </w:pPr>
      <w:r w:rsidRPr="008F308F">
        <w:rPr>
          <w:rFonts w:eastAsia="Times New Roman" w:cs="Times New Roman"/>
          <w:lang w:eastAsia="bg-BG"/>
        </w:rPr>
        <w:t>Безвъзмездна помощ</w:t>
      </w:r>
    </w:p>
    <w:p w:rsidR="009012A7" w:rsidRPr="00436F46" w:rsidRDefault="009012A7" w:rsidP="006D1ED0">
      <w:pPr>
        <w:spacing w:before="100" w:beforeAutospacing="1"/>
        <w:jc w:val="both"/>
        <w:rPr>
          <w:rFonts w:ascii="Calibri" w:eastAsia="Calibri" w:hAnsi="Calibri" w:cs="Times New Roman"/>
          <w:b/>
          <w:color w:val="4F81BD"/>
        </w:rPr>
      </w:pPr>
      <w:r w:rsidRPr="00436F46">
        <w:rPr>
          <w:rFonts w:ascii="Calibri" w:eastAsia="Calibri" w:hAnsi="Calibri" w:cs="Times New Roman"/>
          <w:b/>
          <w:color w:val="4F81BD"/>
        </w:rPr>
        <w:t>Специфичните такси, които се използват като източник на финансиране са:</w:t>
      </w:r>
    </w:p>
    <w:p w:rsidR="009012A7" w:rsidRPr="008F308F" w:rsidRDefault="009012A7" w:rsidP="001A036E">
      <w:pPr>
        <w:numPr>
          <w:ilvl w:val="0"/>
          <w:numId w:val="118"/>
        </w:numPr>
        <w:spacing w:after="0" w:line="240" w:lineRule="auto"/>
        <w:jc w:val="both"/>
        <w:rPr>
          <w:rFonts w:eastAsia="Times New Roman" w:cs="Times New Roman"/>
          <w:lang w:eastAsia="bg-BG"/>
        </w:rPr>
      </w:pPr>
      <w:r w:rsidRPr="008F308F">
        <w:rPr>
          <w:rFonts w:eastAsia="Times New Roman" w:cs="Times New Roman"/>
          <w:lang w:eastAsia="bg-BG"/>
        </w:rPr>
        <w:t>Такси за замърсяване на околната среда (такси за емисии въглероден двуокис, серен двуокис и азотен двуокис)</w:t>
      </w:r>
    </w:p>
    <w:p w:rsidR="009012A7" w:rsidRPr="008F308F" w:rsidRDefault="009012A7" w:rsidP="001A036E">
      <w:pPr>
        <w:numPr>
          <w:ilvl w:val="0"/>
          <w:numId w:val="118"/>
        </w:numPr>
        <w:spacing w:after="0" w:line="240" w:lineRule="auto"/>
        <w:jc w:val="both"/>
        <w:rPr>
          <w:rFonts w:eastAsia="Times New Roman" w:cs="Times New Roman"/>
          <w:lang w:eastAsia="bg-BG"/>
        </w:rPr>
      </w:pPr>
      <w:r w:rsidRPr="008F308F">
        <w:rPr>
          <w:rFonts w:eastAsia="Times New Roman" w:cs="Times New Roman"/>
          <w:lang w:eastAsia="bg-BG"/>
        </w:rPr>
        <w:t>Такси за изхвърляне на отпадъци в околната среда (неопасни и опасни отпадъци, индустриални отпадъци, специални категории отпадъци като опаковки, употребявани гуми, електрическо и електронно оборудване, масла, употребявани превозни средства, батерии и акумулатори)</w:t>
      </w:r>
    </w:p>
    <w:p w:rsidR="009012A7" w:rsidRPr="008F308F" w:rsidRDefault="009012A7" w:rsidP="001A036E">
      <w:pPr>
        <w:numPr>
          <w:ilvl w:val="0"/>
          <w:numId w:val="118"/>
        </w:numPr>
        <w:spacing w:after="0" w:line="240" w:lineRule="auto"/>
        <w:jc w:val="both"/>
        <w:rPr>
          <w:rFonts w:eastAsia="Times New Roman" w:cs="Times New Roman"/>
          <w:lang w:eastAsia="bg-BG"/>
        </w:rPr>
      </w:pPr>
      <w:r w:rsidRPr="008F308F">
        <w:rPr>
          <w:rFonts w:eastAsia="Times New Roman" w:cs="Times New Roman"/>
          <w:lang w:eastAsia="bg-BG"/>
        </w:rPr>
        <w:t>Екологична такса върху моторните превозни средства.</w:t>
      </w:r>
    </w:p>
    <w:p w:rsidR="009012A7" w:rsidRPr="00436F46" w:rsidRDefault="009012A7" w:rsidP="006D1ED0">
      <w:pPr>
        <w:spacing w:before="100" w:beforeAutospacing="1"/>
        <w:jc w:val="both"/>
        <w:rPr>
          <w:rFonts w:ascii="Calibri" w:eastAsia="Calibri" w:hAnsi="Calibri" w:cs="Times New Roman"/>
          <w:b/>
          <w:color w:val="4F81BD"/>
        </w:rPr>
      </w:pPr>
      <w:r w:rsidRPr="00436F46">
        <w:rPr>
          <w:rFonts w:ascii="Calibri" w:eastAsia="Calibri" w:hAnsi="Calibri" w:cs="Times New Roman"/>
          <w:b/>
          <w:color w:val="4F81BD"/>
        </w:rPr>
        <w:t>Разпределение на ресурсите на Фонда</w:t>
      </w:r>
    </w:p>
    <w:p w:rsidR="009012A7" w:rsidRPr="008F308F" w:rsidRDefault="009012A7" w:rsidP="006D1ED0">
      <w:pPr>
        <w:jc w:val="both"/>
        <w:rPr>
          <w:rFonts w:eastAsia="Times New Roman" w:cs="Times New Roman"/>
          <w:lang w:eastAsia="bg-BG"/>
        </w:rPr>
      </w:pPr>
      <w:r w:rsidRPr="008F308F">
        <w:rPr>
          <w:rFonts w:eastAsia="Times New Roman" w:cs="Times New Roman"/>
          <w:lang w:eastAsia="bg-BG"/>
        </w:rPr>
        <w:t>На базата на публично обявени покани за кандидатстване, ресурсите се изразходват за:</w:t>
      </w:r>
    </w:p>
    <w:p w:rsidR="009012A7" w:rsidRPr="008F308F" w:rsidRDefault="009012A7" w:rsidP="001A036E">
      <w:pPr>
        <w:numPr>
          <w:ilvl w:val="0"/>
          <w:numId w:val="119"/>
        </w:numPr>
        <w:spacing w:after="0" w:line="240" w:lineRule="auto"/>
        <w:jc w:val="both"/>
        <w:rPr>
          <w:rFonts w:eastAsia="Times New Roman" w:cs="Times New Roman"/>
          <w:lang w:eastAsia="bg-BG"/>
        </w:rPr>
      </w:pPr>
      <w:r w:rsidRPr="008F308F">
        <w:rPr>
          <w:rFonts w:eastAsia="Times New Roman" w:cs="Times New Roman"/>
          <w:lang w:eastAsia="bg-BG"/>
        </w:rPr>
        <w:t>Местни и регионални органи на самоуправление;</w:t>
      </w:r>
    </w:p>
    <w:p w:rsidR="009012A7" w:rsidRPr="008F308F" w:rsidRDefault="009012A7" w:rsidP="001A036E">
      <w:pPr>
        <w:numPr>
          <w:ilvl w:val="0"/>
          <w:numId w:val="119"/>
        </w:numPr>
        <w:spacing w:after="0" w:line="240" w:lineRule="auto"/>
        <w:jc w:val="both"/>
        <w:rPr>
          <w:rFonts w:eastAsia="Times New Roman" w:cs="Times New Roman"/>
          <w:lang w:eastAsia="bg-BG"/>
        </w:rPr>
      </w:pPr>
      <w:r w:rsidRPr="008F308F">
        <w:rPr>
          <w:rFonts w:eastAsia="Times New Roman" w:cs="Times New Roman"/>
          <w:lang w:eastAsia="bg-BG"/>
        </w:rPr>
        <w:t>Юридически и физически лица, които инвестират собствени средства в проекти, в проекти, за които са публикувани покани.</w:t>
      </w:r>
    </w:p>
    <w:p w:rsidR="009012A7" w:rsidRPr="008F308F" w:rsidRDefault="009012A7" w:rsidP="00911FF9">
      <w:pPr>
        <w:spacing w:before="240"/>
        <w:jc w:val="both"/>
        <w:rPr>
          <w:rFonts w:eastAsia="Times New Roman" w:cs="Times New Roman"/>
          <w:lang w:eastAsia="bg-BG"/>
        </w:rPr>
      </w:pPr>
      <w:r w:rsidRPr="008F308F">
        <w:rPr>
          <w:rFonts w:eastAsia="Times New Roman" w:cs="Times New Roman"/>
          <w:lang w:eastAsia="bg-BG"/>
        </w:rPr>
        <w:t>Фондът не публикува покани за проектни предложения, когато той самият, като страна по договор, директно съфинансира или участва в изпълнението на проекти.</w:t>
      </w:r>
    </w:p>
    <w:p w:rsidR="009012A7" w:rsidRPr="008F308F" w:rsidRDefault="009012A7" w:rsidP="006D1ED0">
      <w:pPr>
        <w:spacing w:after="120"/>
        <w:jc w:val="both"/>
        <w:rPr>
          <w:rFonts w:eastAsia="Times New Roman" w:cs="Times New Roman"/>
          <w:lang w:eastAsia="bg-BG"/>
        </w:rPr>
      </w:pPr>
      <w:r w:rsidRPr="008F308F">
        <w:rPr>
          <w:rFonts w:eastAsia="Times New Roman" w:cs="Times New Roman"/>
          <w:lang w:eastAsia="bg-BG"/>
        </w:rPr>
        <w:t>Финансирането от Фонда не може да надвишава 40% от допустимите инвестиционни разходи, като изключения се правят за:</w:t>
      </w:r>
    </w:p>
    <w:p w:rsidR="009012A7" w:rsidRPr="008F308F" w:rsidRDefault="009012A7" w:rsidP="001A036E">
      <w:pPr>
        <w:numPr>
          <w:ilvl w:val="0"/>
          <w:numId w:val="119"/>
        </w:numPr>
        <w:spacing w:after="0" w:line="240" w:lineRule="auto"/>
        <w:jc w:val="both"/>
        <w:rPr>
          <w:rFonts w:eastAsia="Times New Roman" w:cs="Times New Roman"/>
          <w:lang w:eastAsia="bg-BG"/>
        </w:rPr>
      </w:pPr>
      <w:r w:rsidRPr="008F308F">
        <w:rPr>
          <w:rFonts w:eastAsia="Times New Roman" w:cs="Times New Roman"/>
          <w:lang w:eastAsia="bg-BG"/>
        </w:rPr>
        <w:t>Проекти и програми от на регионалните или местни власти за:</w:t>
      </w:r>
    </w:p>
    <w:p w:rsidR="009012A7" w:rsidRPr="008F308F" w:rsidRDefault="009012A7" w:rsidP="001A036E">
      <w:pPr>
        <w:numPr>
          <w:ilvl w:val="1"/>
          <w:numId w:val="120"/>
        </w:numPr>
        <w:spacing w:after="0" w:line="240" w:lineRule="auto"/>
        <w:jc w:val="both"/>
        <w:rPr>
          <w:rFonts w:eastAsia="Times New Roman" w:cs="Times New Roman"/>
          <w:lang w:eastAsia="bg-BG"/>
        </w:rPr>
      </w:pPr>
      <w:r w:rsidRPr="008F308F">
        <w:rPr>
          <w:rFonts w:eastAsia="Times New Roman" w:cs="Times New Roman"/>
          <w:lang w:eastAsia="bg-BG"/>
        </w:rPr>
        <w:t>територии под специалната защита на правителството - до 80%</w:t>
      </w:r>
    </w:p>
    <w:p w:rsidR="009012A7" w:rsidRPr="008F308F" w:rsidRDefault="009012A7" w:rsidP="001A036E">
      <w:pPr>
        <w:numPr>
          <w:ilvl w:val="1"/>
          <w:numId w:val="120"/>
        </w:numPr>
        <w:spacing w:after="0" w:line="240" w:lineRule="auto"/>
        <w:jc w:val="both"/>
        <w:rPr>
          <w:rFonts w:eastAsia="Times New Roman" w:cs="Times New Roman"/>
          <w:lang w:eastAsia="bg-BG"/>
        </w:rPr>
      </w:pPr>
      <w:r w:rsidRPr="008F308F">
        <w:rPr>
          <w:rFonts w:eastAsia="Times New Roman" w:cs="Times New Roman"/>
          <w:lang w:eastAsia="bg-BG"/>
        </w:rPr>
        <w:t>острови и планински райони - до 60%</w:t>
      </w:r>
    </w:p>
    <w:p w:rsidR="009012A7" w:rsidRPr="008F308F" w:rsidRDefault="009012A7" w:rsidP="001A036E">
      <w:pPr>
        <w:numPr>
          <w:ilvl w:val="0"/>
          <w:numId w:val="119"/>
        </w:numPr>
        <w:spacing w:after="0" w:line="240" w:lineRule="auto"/>
        <w:jc w:val="both"/>
        <w:rPr>
          <w:rFonts w:eastAsia="Times New Roman" w:cs="Times New Roman"/>
          <w:lang w:eastAsia="bg-BG"/>
        </w:rPr>
      </w:pPr>
      <w:r w:rsidRPr="008F308F">
        <w:rPr>
          <w:rFonts w:eastAsia="Times New Roman" w:cs="Times New Roman"/>
          <w:lang w:eastAsia="bg-BG"/>
        </w:rPr>
        <w:t>Национални програми и проекти (одобрени от правителството).</w:t>
      </w:r>
    </w:p>
    <w:p w:rsidR="009012A7" w:rsidRPr="008F308F" w:rsidRDefault="009012A7" w:rsidP="006D1ED0">
      <w:pPr>
        <w:spacing w:before="120" w:after="120"/>
        <w:jc w:val="both"/>
        <w:rPr>
          <w:rFonts w:eastAsia="Times New Roman" w:cs="Times New Roman"/>
          <w:lang w:eastAsia="bg-BG"/>
        </w:rPr>
      </w:pPr>
      <w:r w:rsidRPr="008F308F">
        <w:rPr>
          <w:rFonts w:eastAsia="Times New Roman" w:cs="Times New Roman"/>
          <w:lang w:eastAsia="bg-BG"/>
        </w:rPr>
        <w:lastRenderedPageBreak/>
        <w:t>Ресурсите се отпускат под формата на:</w:t>
      </w:r>
    </w:p>
    <w:p w:rsidR="009012A7" w:rsidRPr="008F308F" w:rsidRDefault="009012A7" w:rsidP="001A036E">
      <w:pPr>
        <w:numPr>
          <w:ilvl w:val="0"/>
          <w:numId w:val="119"/>
        </w:numPr>
        <w:spacing w:after="0" w:line="240" w:lineRule="auto"/>
        <w:jc w:val="both"/>
        <w:rPr>
          <w:rFonts w:eastAsia="Times New Roman" w:cs="Times New Roman"/>
          <w:lang w:eastAsia="bg-BG"/>
        </w:rPr>
      </w:pPr>
      <w:r w:rsidRPr="008F308F">
        <w:rPr>
          <w:rFonts w:eastAsia="Times New Roman" w:cs="Times New Roman"/>
          <w:lang w:eastAsia="bg-BG"/>
        </w:rPr>
        <w:t>Безлихвен заем – за период от 7 години (гратисен период 2 години, период на изплащане 5 години) в размер до 190 000 евро.</w:t>
      </w:r>
    </w:p>
    <w:p w:rsidR="009012A7" w:rsidRPr="008F308F" w:rsidRDefault="009012A7" w:rsidP="001A036E">
      <w:pPr>
        <w:numPr>
          <w:ilvl w:val="0"/>
          <w:numId w:val="119"/>
        </w:numPr>
        <w:spacing w:after="0" w:line="240" w:lineRule="auto"/>
        <w:jc w:val="both"/>
        <w:rPr>
          <w:rFonts w:eastAsia="Times New Roman" w:cs="Times New Roman"/>
          <w:lang w:eastAsia="bg-BG"/>
        </w:rPr>
      </w:pPr>
      <w:r w:rsidRPr="008F308F">
        <w:rPr>
          <w:rFonts w:eastAsia="Times New Roman" w:cs="Times New Roman"/>
          <w:lang w:eastAsia="bg-BG"/>
        </w:rPr>
        <w:t>Субсидия на лихвите – до 2% от лихвения процент и в размер до 108 000 евро.</w:t>
      </w:r>
    </w:p>
    <w:p w:rsidR="009012A7" w:rsidRPr="008F308F" w:rsidRDefault="009012A7" w:rsidP="001A036E">
      <w:pPr>
        <w:numPr>
          <w:ilvl w:val="0"/>
          <w:numId w:val="119"/>
        </w:numPr>
        <w:spacing w:after="0" w:line="240" w:lineRule="auto"/>
        <w:jc w:val="both"/>
        <w:rPr>
          <w:rFonts w:eastAsia="Times New Roman" w:cs="Times New Roman"/>
          <w:lang w:eastAsia="bg-BG"/>
        </w:rPr>
      </w:pPr>
      <w:r w:rsidRPr="008F308F">
        <w:rPr>
          <w:rFonts w:eastAsia="Times New Roman" w:cs="Times New Roman"/>
          <w:lang w:eastAsia="bg-BG"/>
        </w:rPr>
        <w:t>Финансова помощ само за органите на регионалните и местни власти до 190 000 евро.</w:t>
      </w:r>
    </w:p>
    <w:p w:rsidR="009012A7" w:rsidRPr="008F308F" w:rsidRDefault="009012A7" w:rsidP="001A036E">
      <w:pPr>
        <w:numPr>
          <w:ilvl w:val="0"/>
          <w:numId w:val="119"/>
        </w:numPr>
        <w:spacing w:after="0" w:line="240" w:lineRule="auto"/>
        <w:jc w:val="both"/>
        <w:rPr>
          <w:rFonts w:eastAsia="Times New Roman" w:cs="Times New Roman"/>
          <w:lang w:eastAsia="bg-BG"/>
        </w:rPr>
      </w:pPr>
      <w:r w:rsidRPr="008F308F">
        <w:rPr>
          <w:rFonts w:eastAsia="Times New Roman" w:cs="Times New Roman"/>
          <w:lang w:eastAsia="bg-BG"/>
        </w:rPr>
        <w:t>Безвъзмездна помощ – за образователна, изследователска и развойна дейност в размер до 22 000 евро.</w:t>
      </w:r>
    </w:p>
    <w:p w:rsidR="00751D14" w:rsidRDefault="009012A7" w:rsidP="00BA2260">
      <w:pPr>
        <w:spacing w:before="60" w:afterLines="60" w:after="144" w:line="280" w:lineRule="exact"/>
        <w:jc w:val="both"/>
      </w:pPr>
      <w:r w:rsidRPr="008F308F">
        <w:t xml:space="preserve">Един от основните примери за прилагане на политиката за зелена икономика в Хърватска е създаването на Фонда за опазване на околната среда и енергийна ефективност, базиран на принципа „замърсителят плаща”, който е регламентиран в Закона за опазване на околната среда: замърсителят поема разходите, породени от замърсяване на околната среда, включително разходите за оценка на щетите, оценка на необходимите мерки и разходите за отстраняване на вредите за околната среда. Замърсителят също така поема разходите за мониторинг на околната среда и прилагане на предписаните мерки за предотвратяване на замърсяванията, независимо дали тези разходи произтичат от предписаната екологична отговорност, като отделяне на емисии в околната среда, или се събират под формата на такса, създадена по силата на подходящ финансов инструмент или задължение, произтичащо от регламент за намаляване замърсяването на околната среда. </w:t>
      </w:r>
    </w:p>
    <w:p w:rsidR="00751D14" w:rsidRDefault="009012A7" w:rsidP="00BA2260">
      <w:pPr>
        <w:spacing w:before="60" w:afterLines="60" w:after="144" w:line="280" w:lineRule="exact"/>
        <w:jc w:val="both"/>
      </w:pPr>
      <w:r w:rsidRPr="00FD36AF">
        <w:t>Фондът има ключова роля в екологизирането на икономиката на Република Хърватска, чрез финансиране на подготовката, изпълнението и разработването на програми, проекти и други подобни дейности в сферата на:</w:t>
      </w:r>
    </w:p>
    <w:p w:rsidR="009012A7" w:rsidRPr="00911FF9" w:rsidRDefault="009012A7" w:rsidP="001A036E">
      <w:pPr>
        <w:numPr>
          <w:ilvl w:val="0"/>
          <w:numId w:val="119"/>
        </w:numPr>
        <w:spacing w:after="0" w:line="240" w:lineRule="auto"/>
        <w:jc w:val="both"/>
        <w:rPr>
          <w:rFonts w:eastAsia="Times New Roman" w:cs="Times New Roman"/>
          <w:lang w:eastAsia="bg-BG"/>
        </w:rPr>
      </w:pPr>
      <w:r w:rsidRPr="00911FF9">
        <w:rPr>
          <w:rFonts w:eastAsia="Times New Roman" w:cs="Times New Roman"/>
          <w:lang w:eastAsia="bg-BG"/>
        </w:rPr>
        <w:t>запазването, устойчивото използване, опазването и подобрението на околната среда,</w:t>
      </w:r>
    </w:p>
    <w:p w:rsidR="009012A7" w:rsidRPr="00911FF9" w:rsidRDefault="009012A7" w:rsidP="001A036E">
      <w:pPr>
        <w:numPr>
          <w:ilvl w:val="0"/>
          <w:numId w:val="119"/>
        </w:numPr>
        <w:spacing w:after="0" w:line="240" w:lineRule="auto"/>
        <w:jc w:val="both"/>
        <w:rPr>
          <w:rFonts w:eastAsia="Times New Roman" w:cs="Times New Roman"/>
          <w:lang w:eastAsia="bg-BG"/>
        </w:rPr>
      </w:pPr>
      <w:r w:rsidRPr="00911FF9">
        <w:rPr>
          <w:rFonts w:eastAsia="Times New Roman" w:cs="Times New Roman"/>
          <w:lang w:eastAsia="bg-BG"/>
        </w:rPr>
        <w:t xml:space="preserve">енергийната ефективност и използването на енергия от ВЕИ, </w:t>
      </w:r>
    </w:p>
    <w:p w:rsidR="009012A7" w:rsidRPr="00911FF9" w:rsidRDefault="009012A7" w:rsidP="001A036E">
      <w:pPr>
        <w:numPr>
          <w:ilvl w:val="0"/>
          <w:numId w:val="119"/>
        </w:numPr>
        <w:spacing w:after="0" w:line="240" w:lineRule="auto"/>
        <w:jc w:val="both"/>
        <w:rPr>
          <w:rFonts w:eastAsia="Times New Roman" w:cs="Times New Roman"/>
          <w:lang w:eastAsia="bg-BG"/>
        </w:rPr>
      </w:pPr>
      <w:r w:rsidRPr="00911FF9">
        <w:rPr>
          <w:rFonts w:eastAsia="Times New Roman" w:cs="Times New Roman"/>
          <w:lang w:eastAsia="bg-BG"/>
        </w:rPr>
        <w:t>популяризирането на целите и принципите за опазване на околната среда за постигане на систематично и интегрирано екологично качество</w:t>
      </w:r>
    </w:p>
    <w:p w:rsidR="009012A7" w:rsidRPr="00911FF9" w:rsidRDefault="009012A7" w:rsidP="001A036E">
      <w:pPr>
        <w:numPr>
          <w:ilvl w:val="0"/>
          <w:numId w:val="119"/>
        </w:numPr>
        <w:spacing w:after="0" w:line="240" w:lineRule="auto"/>
        <w:jc w:val="both"/>
        <w:rPr>
          <w:rFonts w:eastAsia="Times New Roman" w:cs="Times New Roman"/>
          <w:lang w:eastAsia="bg-BG"/>
        </w:rPr>
      </w:pPr>
      <w:r w:rsidRPr="00911FF9">
        <w:rPr>
          <w:rFonts w:eastAsia="Times New Roman" w:cs="Times New Roman"/>
          <w:lang w:eastAsia="bg-BG"/>
        </w:rPr>
        <w:t>консервация на природните дадености и рационално използване на природните ресурси и енергия като основна предпоставка за устойчиво развитие</w:t>
      </w:r>
    </w:p>
    <w:p w:rsidR="009012A7" w:rsidRPr="00911FF9" w:rsidRDefault="009012A7" w:rsidP="001A036E">
      <w:pPr>
        <w:numPr>
          <w:ilvl w:val="0"/>
          <w:numId w:val="119"/>
        </w:numPr>
        <w:spacing w:after="0" w:line="240" w:lineRule="auto"/>
        <w:jc w:val="both"/>
        <w:rPr>
          <w:rFonts w:eastAsia="Times New Roman" w:cs="Times New Roman"/>
          <w:lang w:eastAsia="bg-BG"/>
        </w:rPr>
      </w:pPr>
      <w:r w:rsidRPr="00911FF9">
        <w:rPr>
          <w:rFonts w:eastAsia="Times New Roman" w:cs="Times New Roman"/>
          <w:lang w:eastAsia="bg-BG"/>
        </w:rPr>
        <w:t xml:space="preserve">упражняване на гражданските права за здравословна околна среда. </w:t>
      </w:r>
    </w:p>
    <w:p w:rsidR="009F4905" w:rsidRDefault="009F4905">
      <w:pPr>
        <w:rPr>
          <w:rFonts w:cs="Times New Roman"/>
        </w:rPr>
      </w:pPr>
      <w:r>
        <w:rPr>
          <w:rFonts w:cs="Times New Roman"/>
        </w:rPr>
        <w:br w:type="page"/>
      </w:r>
    </w:p>
    <w:tbl>
      <w:tblPr>
        <w:tblpPr w:leftFromText="141" w:rightFromText="141" w:vertAnchor="text" w:horzAnchor="margin" w:tblpXSpec="center" w:tblpY="1289"/>
        <w:tblW w:w="10467" w:type="dxa"/>
        <w:tblBorders>
          <w:top w:val="single" w:sz="2" w:space="0" w:color="984806"/>
          <w:left w:val="single" w:sz="2" w:space="0" w:color="984806"/>
          <w:bottom w:val="single" w:sz="2" w:space="0" w:color="984806"/>
          <w:right w:val="single" w:sz="2" w:space="0" w:color="984806"/>
        </w:tblBorders>
        <w:shd w:val="clear" w:color="auto" w:fill="DEEAF6" w:themeFill="accent1" w:themeFillTint="33"/>
        <w:tblLayout w:type="fixed"/>
        <w:tblLook w:val="04A0" w:firstRow="1" w:lastRow="0" w:firstColumn="1" w:lastColumn="0" w:noHBand="0" w:noVBand="1"/>
      </w:tblPr>
      <w:tblGrid>
        <w:gridCol w:w="403"/>
        <w:gridCol w:w="4252"/>
        <w:gridCol w:w="5812"/>
      </w:tblGrid>
      <w:tr w:rsidR="00E85686" w:rsidRPr="00266107" w:rsidTr="009E65C1">
        <w:trPr>
          <w:cantSplit/>
          <w:trHeight w:val="192"/>
        </w:trPr>
        <w:tc>
          <w:tcPr>
            <w:tcW w:w="403" w:type="dxa"/>
            <w:tcBorders>
              <w:top w:val="single" w:sz="4" w:space="0" w:color="5B9BD5" w:themeColor="accent1"/>
              <w:left w:val="single" w:sz="4" w:space="0" w:color="5B9BD5" w:themeColor="accent1"/>
            </w:tcBorders>
            <w:shd w:val="clear" w:color="auto" w:fill="5B9BD5" w:themeFill="accent1"/>
          </w:tcPr>
          <w:p w:rsidR="00E85686" w:rsidRPr="006E39EC" w:rsidRDefault="00E85686" w:rsidP="009E65C1">
            <w:pPr>
              <w:spacing w:after="0" w:line="240" w:lineRule="auto"/>
            </w:pPr>
          </w:p>
        </w:tc>
        <w:tc>
          <w:tcPr>
            <w:tcW w:w="4252" w:type="dxa"/>
            <w:tcBorders>
              <w:top w:val="single" w:sz="4" w:space="0" w:color="5B9BD5" w:themeColor="accent1"/>
              <w:bottom w:val="single" w:sz="4" w:space="0" w:color="5B9BD5" w:themeColor="accent1"/>
            </w:tcBorders>
            <w:shd w:val="clear" w:color="auto" w:fill="5B9BD5" w:themeFill="accent1"/>
          </w:tcPr>
          <w:p w:rsidR="00E85686" w:rsidRPr="006E39EC" w:rsidRDefault="00E85686" w:rsidP="009E65C1">
            <w:pPr>
              <w:spacing w:after="0" w:line="240" w:lineRule="auto"/>
            </w:pPr>
            <w:r w:rsidRPr="006E39EC">
              <w:t>Вътрешни</w:t>
            </w:r>
          </w:p>
        </w:tc>
        <w:tc>
          <w:tcPr>
            <w:tcW w:w="5812" w:type="dxa"/>
            <w:tcBorders>
              <w:top w:val="single" w:sz="4" w:space="0" w:color="5B9BD5" w:themeColor="accent1"/>
              <w:bottom w:val="single" w:sz="4" w:space="0" w:color="5B9BD5" w:themeColor="accent1"/>
              <w:right w:val="single" w:sz="4" w:space="0" w:color="5B9BD5" w:themeColor="accent1"/>
            </w:tcBorders>
            <w:shd w:val="clear" w:color="auto" w:fill="5B9BD5" w:themeFill="accent1"/>
          </w:tcPr>
          <w:p w:rsidR="00E85686" w:rsidRPr="006E39EC" w:rsidRDefault="00E85686" w:rsidP="009E65C1">
            <w:pPr>
              <w:spacing w:after="0" w:line="240" w:lineRule="auto"/>
            </w:pPr>
            <w:r w:rsidRPr="006E39EC">
              <w:t>Външни</w:t>
            </w:r>
          </w:p>
        </w:tc>
      </w:tr>
      <w:tr w:rsidR="00E85686" w:rsidRPr="00266107" w:rsidTr="009E65C1">
        <w:trPr>
          <w:cantSplit/>
          <w:trHeight w:val="3614"/>
        </w:trPr>
        <w:tc>
          <w:tcPr>
            <w:tcW w:w="403" w:type="dxa"/>
            <w:tcBorders>
              <w:left w:val="single" w:sz="4" w:space="0" w:color="5B9BD5" w:themeColor="accent1"/>
              <w:right w:val="single" w:sz="4" w:space="0" w:color="5B9BD5" w:themeColor="accent1"/>
            </w:tcBorders>
            <w:shd w:val="clear" w:color="auto" w:fill="9CC2E5" w:themeFill="accent1" w:themeFillTint="99"/>
            <w:textDirection w:val="btLr"/>
          </w:tcPr>
          <w:p w:rsidR="00E85686" w:rsidRPr="006E39EC" w:rsidRDefault="00E85686" w:rsidP="009E65C1">
            <w:pPr>
              <w:spacing w:after="0" w:line="240" w:lineRule="auto"/>
            </w:pPr>
            <w:r w:rsidRPr="006E39EC">
              <w:t>Положителни</w:t>
            </w:r>
          </w:p>
          <w:p w:rsidR="00E85686" w:rsidRPr="006E39EC" w:rsidRDefault="00E85686" w:rsidP="009E65C1">
            <w:pPr>
              <w:spacing w:after="0" w:line="240" w:lineRule="auto"/>
            </w:pPr>
          </w:p>
        </w:tc>
        <w:tc>
          <w:tcPr>
            <w:tcW w:w="425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shd w:val="clear" w:color="auto" w:fill="DEEAF6" w:themeFill="accent1" w:themeFillTint="33"/>
          </w:tcPr>
          <w:p w:rsidR="00E85686" w:rsidRPr="00E85686" w:rsidRDefault="00E85686" w:rsidP="009E65C1">
            <w:pPr>
              <w:spacing w:after="0" w:line="240" w:lineRule="auto"/>
              <w:rPr>
                <w:b/>
                <w:color w:val="5B9BD5" w:themeColor="accent1"/>
              </w:rPr>
            </w:pPr>
            <w:r w:rsidRPr="00E85686">
              <w:rPr>
                <w:b/>
                <w:color w:val="5B9BD5" w:themeColor="accent1"/>
              </w:rPr>
              <w:t>Силни страни</w:t>
            </w:r>
          </w:p>
          <w:p w:rsidR="00E85686" w:rsidRPr="006E39EC" w:rsidRDefault="00E85686" w:rsidP="009E65C1">
            <w:pPr>
              <w:spacing w:after="0" w:line="240" w:lineRule="auto"/>
              <w:jc w:val="both"/>
            </w:pPr>
            <w:r w:rsidRPr="000F72B2">
              <w:rPr>
                <w:b/>
                <w:color w:val="A6A6A6" w:themeColor="background1" w:themeShade="A6"/>
              </w:rPr>
              <w:t>ПУДООС</w:t>
            </w:r>
            <w:r w:rsidRPr="006E39EC">
              <w:t xml:space="preserve"> – опит в оценка на проекти и в двата сектора ВиК и отпадъци. Опит в управлението на финансови средства от различни източници включително БФП.</w:t>
            </w:r>
          </w:p>
          <w:p w:rsidR="00E85686" w:rsidRPr="006E39EC" w:rsidRDefault="00E85686" w:rsidP="009E65C1">
            <w:pPr>
              <w:spacing w:after="0" w:line="240" w:lineRule="auto"/>
              <w:jc w:val="both"/>
            </w:pPr>
            <w:r w:rsidRPr="000F72B2">
              <w:rPr>
                <w:b/>
                <w:color w:val="A6A6A6" w:themeColor="background1" w:themeShade="A6"/>
              </w:rPr>
              <w:t xml:space="preserve">ФЛАГ </w:t>
            </w:r>
            <w:r w:rsidRPr="006E39EC">
              <w:t xml:space="preserve">– опит в оценка на проекти във ВиК сектора и оценка финансовото състояние на общини. </w:t>
            </w:r>
          </w:p>
          <w:p w:rsidR="00E85686" w:rsidRPr="006E39EC" w:rsidRDefault="00E85686" w:rsidP="009E65C1">
            <w:pPr>
              <w:spacing w:after="0" w:line="240" w:lineRule="auto"/>
              <w:jc w:val="both"/>
            </w:pPr>
            <w:r w:rsidRPr="000F72B2">
              <w:rPr>
                <w:b/>
                <w:color w:val="A6A6A6" w:themeColor="background1" w:themeShade="A6"/>
              </w:rPr>
              <w:t xml:space="preserve">НГФ </w:t>
            </w:r>
            <w:r w:rsidRPr="006E39EC">
              <w:t>- опит в предоставянето на гаранции и работата с търговски банки. Опит в оценка на финансовото състояние на предприятия. Финансова институция, съгласно законите на България.</w:t>
            </w:r>
          </w:p>
        </w:tc>
        <w:tc>
          <w:tcPr>
            <w:tcW w:w="581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shd w:val="clear" w:color="auto" w:fill="DEEAF6" w:themeFill="accent1" w:themeFillTint="33"/>
          </w:tcPr>
          <w:p w:rsidR="00E85686" w:rsidRPr="00E85686" w:rsidRDefault="00E85686" w:rsidP="009E65C1">
            <w:pPr>
              <w:spacing w:after="0" w:line="240" w:lineRule="auto"/>
              <w:rPr>
                <w:b/>
                <w:color w:val="5B9BD5" w:themeColor="accent1"/>
              </w:rPr>
            </w:pPr>
            <w:r w:rsidRPr="00E85686">
              <w:rPr>
                <w:b/>
                <w:color w:val="5B9BD5" w:themeColor="accent1"/>
              </w:rPr>
              <w:t>Възможности</w:t>
            </w:r>
          </w:p>
          <w:p w:rsidR="00E85686" w:rsidRPr="006E39EC" w:rsidRDefault="00E85686" w:rsidP="009E65C1">
            <w:pPr>
              <w:spacing w:after="0" w:line="240" w:lineRule="auto"/>
              <w:jc w:val="both"/>
            </w:pPr>
            <w:r w:rsidRPr="000F72B2">
              <w:rPr>
                <w:b/>
                <w:color w:val="A6A6A6" w:themeColor="background1" w:themeShade="A6"/>
              </w:rPr>
              <w:t>ПУДООС</w:t>
            </w:r>
            <w:r w:rsidRPr="006E39EC">
              <w:t>- възможност да бъде използвана при оценка на проектите, кандидатстващи за финансов инструмент в сектор отпадъци и сектор води.</w:t>
            </w:r>
          </w:p>
          <w:p w:rsidR="00E85686" w:rsidRPr="006E39EC" w:rsidRDefault="00E85686" w:rsidP="009E65C1">
            <w:pPr>
              <w:spacing w:after="0" w:line="240" w:lineRule="auto"/>
              <w:jc w:val="both"/>
            </w:pPr>
            <w:r w:rsidRPr="000F72B2">
              <w:rPr>
                <w:b/>
                <w:color w:val="A6A6A6" w:themeColor="background1" w:themeShade="A6"/>
              </w:rPr>
              <w:t>ФЛАГ</w:t>
            </w:r>
            <w:r w:rsidRPr="006E39EC">
              <w:t xml:space="preserve"> – възможност да бъде използвана създадената структура за оценка на проектите, чиито бенефициенти са общини. </w:t>
            </w:r>
          </w:p>
          <w:p w:rsidR="00E85686" w:rsidRPr="006E39EC" w:rsidRDefault="000F72B2" w:rsidP="009E65C1">
            <w:pPr>
              <w:spacing w:after="0" w:line="240" w:lineRule="auto"/>
              <w:jc w:val="both"/>
            </w:pPr>
            <w:r>
              <w:rPr>
                <w:b/>
                <w:color w:val="A6A6A6" w:themeColor="background1" w:themeShade="A6"/>
              </w:rPr>
              <w:t>НГФ</w:t>
            </w:r>
            <w:r w:rsidR="00E85686" w:rsidRPr="006E39EC">
              <w:t xml:space="preserve"> - възможност да бъде използвана създадената структура за предоставяне на гаранции в сектор отпадъци.</w:t>
            </w:r>
          </w:p>
          <w:p w:rsidR="00E85686" w:rsidRPr="006E39EC" w:rsidRDefault="00E85686" w:rsidP="009E65C1">
            <w:pPr>
              <w:spacing w:after="0" w:line="240" w:lineRule="auto"/>
              <w:jc w:val="both"/>
            </w:pPr>
            <w:r>
              <w:t>Възможност за създаване на нова структура за управление на финансовите инструменти по  ОП Околна среда.</w:t>
            </w:r>
          </w:p>
        </w:tc>
      </w:tr>
      <w:tr w:rsidR="00E85686" w:rsidRPr="00266107" w:rsidTr="009E65C1">
        <w:trPr>
          <w:cantSplit/>
          <w:trHeight w:val="1754"/>
        </w:trPr>
        <w:tc>
          <w:tcPr>
            <w:tcW w:w="403" w:type="dxa"/>
            <w:tcBorders>
              <w:left w:val="single" w:sz="4" w:space="0" w:color="5B9BD5" w:themeColor="accent1"/>
              <w:bottom w:val="single" w:sz="4" w:space="0" w:color="5B9BD5" w:themeColor="accent1"/>
              <w:right w:val="single" w:sz="4" w:space="0" w:color="5B9BD5" w:themeColor="accent1"/>
            </w:tcBorders>
            <w:shd w:val="clear" w:color="auto" w:fill="9CC2E5" w:themeFill="accent1" w:themeFillTint="99"/>
            <w:textDirection w:val="btLr"/>
          </w:tcPr>
          <w:p w:rsidR="00E85686" w:rsidRPr="006E39EC" w:rsidRDefault="00E85686" w:rsidP="009E65C1">
            <w:pPr>
              <w:spacing w:after="0" w:line="240" w:lineRule="auto"/>
            </w:pPr>
            <w:r w:rsidRPr="006E39EC">
              <w:t>Отрицателни</w:t>
            </w:r>
          </w:p>
        </w:tc>
        <w:tc>
          <w:tcPr>
            <w:tcW w:w="425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shd w:val="clear" w:color="auto" w:fill="DEEAF6" w:themeFill="accent1" w:themeFillTint="33"/>
          </w:tcPr>
          <w:p w:rsidR="00E85686" w:rsidRPr="00E85686" w:rsidRDefault="00E85686" w:rsidP="009E65C1">
            <w:pPr>
              <w:spacing w:after="0" w:line="240" w:lineRule="auto"/>
              <w:rPr>
                <w:b/>
                <w:color w:val="5B9BD5" w:themeColor="accent1"/>
              </w:rPr>
            </w:pPr>
            <w:r w:rsidRPr="00E85686">
              <w:rPr>
                <w:b/>
                <w:color w:val="5B9BD5" w:themeColor="accent1"/>
              </w:rPr>
              <w:t>Слаби страни</w:t>
            </w:r>
          </w:p>
          <w:p w:rsidR="00E85686" w:rsidRPr="006E39EC" w:rsidRDefault="00E85686" w:rsidP="009E65C1">
            <w:pPr>
              <w:spacing w:after="0" w:line="240" w:lineRule="auto"/>
              <w:jc w:val="both"/>
            </w:pPr>
            <w:r w:rsidRPr="000F72B2">
              <w:rPr>
                <w:b/>
                <w:color w:val="A6A6A6" w:themeColor="background1" w:themeShade="A6"/>
              </w:rPr>
              <w:t>ПУДООС</w:t>
            </w:r>
            <w:r w:rsidRPr="006E39EC">
              <w:t xml:space="preserve"> – липса на капацитет за управление и отчитане на финансови инструменти. Не е финансова институция. </w:t>
            </w:r>
          </w:p>
          <w:p w:rsidR="00E85686" w:rsidRPr="006E39EC" w:rsidRDefault="00E85686" w:rsidP="009E65C1">
            <w:pPr>
              <w:spacing w:after="0" w:line="240" w:lineRule="auto"/>
              <w:jc w:val="both"/>
            </w:pPr>
            <w:r w:rsidRPr="000F72B2">
              <w:rPr>
                <w:b/>
                <w:color w:val="A6A6A6" w:themeColor="background1" w:themeShade="A6"/>
              </w:rPr>
              <w:t>ФЛАГ</w:t>
            </w:r>
            <w:r w:rsidRPr="006E39EC">
              <w:t xml:space="preserve"> – липса на опит в оценка на проекти в сектор отпадъци. Не е финансова институция. </w:t>
            </w:r>
          </w:p>
          <w:p w:rsidR="00E85686" w:rsidRPr="006E39EC" w:rsidRDefault="00E85686" w:rsidP="009E65C1">
            <w:pPr>
              <w:spacing w:after="0" w:line="240" w:lineRule="auto"/>
              <w:jc w:val="both"/>
            </w:pPr>
            <w:r w:rsidRPr="000F72B2">
              <w:rPr>
                <w:b/>
                <w:color w:val="A6A6A6" w:themeColor="background1" w:themeShade="A6"/>
              </w:rPr>
              <w:t>НГФ</w:t>
            </w:r>
            <w:r w:rsidRPr="006E39EC">
              <w:t xml:space="preserve"> - липса на опит в публичния сектор. Финансовият им рейтинг е по-нисък от този на международните финансови институции.</w:t>
            </w:r>
          </w:p>
        </w:tc>
        <w:tc>
          <w:tcPr>
            <w:tcW w:w="5812"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shd w:val="clear" w:color="auto" w:fill="DEEAF6" w:themeFill="accent1" w:themeFillTint="33"/>
          </w:tcPr>
          <w:p w:rsidR="00E85686" w:rsidRPr="00E85686" w:rsidRDefault="00E85686" w:rsidP="009E65C1">
            <w:pPr>
              <w:spacing w:after="0" w:line="240" w:lineRule="auto"/>
              <w:rPr>
                <w:b/>
                <w:color w:val="5B9BD5" w:themeColor="accent1"/>
              </w:rPr>
            </w:pPr>
            <w:r w:rsidRPr="00E85686">
              <w:rPr>
                <w:b/>
                <w:color w:val="5B9BD5" w:themeColor="accent1"/>
              </w:rPr>
              <w:t>Опасности</w:t>
            </w:r>
          </w:p>
          <w:p w:rsidR="00E85686" w:rsidRPr="006E39EC" w:rsidRDefault="00E85686" w:rsidP="009E65C1">
            <w:pPr>
              <w:spacing w:after="0" w:line="240" w:lineRule="auto"/>
              <w:jc w:val="both"/>
            </w:pPr>
            <w:r w:rsidRPr="000F72B2">
              <w:rPr>
                <w:b/>
                <w:color w:val="A6A6A6" w:themeColor="background1" w:themeShade="A6"/>
              </w:rPr>
              <w:t>ПУДООС</w:t>
            </w:r>
            <w:r w:rsidRPr="006E39EC">
              <w:t xml:space="preserve"> – риск от отказ от страна на ЕК и международните финансови институции да поверят парите си на тази структура. Неясен изход от процедурата за нотификация на ЕК за държавна помощ.</w:t>
            </w:r>
          </w:p>
          <w:p w:rsidR="00E85686" w:rsidRPr="006E39EC" w:rsidRDefault="00E85686" w:rsidP="009E65C1">
            <w:pPr>
              <w:spacing w:after="0" w:line="240" w:lineRule="auto"/>
              <w:jc w:val="both"/>
            </w:pPr>
            <w:r w:rsidRPr="000F72B2">
              <w:rPr>
                <w:b/>
                <w:color w:val="A6A6A6" w:themeColor="background1" w:themeShade="A6"/>
              </w:rPr>
              <w:t>ФЛАГ</w:t>
            </w:r>
            <w:r w:rsidRPr="006E39EC">
              <w:t xml:space="preserve"> –  риск от отказ от страна на ЕК и международните финансови институции да поверят парите си на тази структура.  Неясен изход от процедурата за нотификация на ЕК за държавна помощ.</w:t>
            </w:r>
          </w:p>
          <w:p w:rsidR="00E85686" w:rsidRPr="006E39EC" w:rsidRDefault="00E85686" w:rsidP="009E65C1">
            <w:pPr>
              <w:spacing w:after="0" w:line="240" w:lineRule="auto"/>
              <w:jc w:val="both"/>
            </w:pPr>
            <w:r w:rsidRPr="000F72B2">
              <w:rPr>
                <w:b/>
                <w:color w:val="A6A6A6" w:themeColor="background1" w:themeShade="A6"/>
              </w:rPr>
              <w:t>/НГФ</w:t>
            </w:r>
            <w:r w:rsidRPr="006E39EC">
              <w:t xml:space="preserve"> - риск от отказ от страна на ЕК и международните финансови институции да поверят парите си на тази структура. Риск от по-малък размер на предоставеното от страна на търговските банки финансиране в сравнение с това при гаранция от международна финансова институция с кредитен рейтинг ААА.   Неясен изход от процедурата за нотификация на ЕК за държавна помощ.</w:t>
            </w:r>
          </w:p>
        </w:tc>
      </w:tr>
    </w:tbl>
    <w:p w:rsidR="00812D05" w:rsidRDefault="00034D0F" w:rsidP="009F4905">
      <w:pPr>
        <w:pStyle w:val="Heading2"/>
        <w:spacing w:after="240"/>
        <w:jc w:val="both"/>
        <w:rPr>
          <w:rFonts w:asciiTheme="minorHAnsi" w:hAnsiTheme="minorHAnsi" w:cs="Times New Roman"/>
        </w:rPr>
      </w:pPr>
      <w:bookmarkStart w:id="176" w:name="_Toc399494564"/>
      <w:r w:rsidRPr="00C370EC">
        <w:rPr>
          <w:rFonts w:asciiTheme="minorHAnsi" w:hAnsiTheme="minorHAnsi" w:cs="Times New Roman"/>
        </w:rPr>
        <w:t>4.2. Анализ на структурата на прилаганите в периода 2007-2013 г. финансови инструменти</w:t>
      </w:r>
      <w:r w:rsidR="007775CC" w:rsidRPr="00C370EC">
        <w:rPr>
          <w:rFonts w:asciiTheme="minorHAnsi" w:hAnsiTheme="minorHAnsi" w:cs="Times New Roman"/>
        </w:rPr>
        <w:t xml:space="preserve"> в сектор околна среда</w:t>
      </w:r>
      <w:r w:rsidRPr="00C370EC">
        <w:rPr>
          <w:rFonts w:asciiTheme="minorHAnsi" w:hAnsiTheme="minorHAnsi" w:cs="Times New Roman"/>
        </w:rPr>
        <w:t xml:space="preserve"> </w:t>
      </w:r>
      <w:r w:rsidRPr="008074A4">
        <w:rPr>
          <w:rFonts w:asciiTheme="minorHAnsi" w:hAnsiTheme="minorHAnsi" w:cs="Times New Roman"/>
        </w:rPr>
        <w:t>в България</w:t>
      </w:r>
      <w:r w:rsidR="009744EC">
        <w:rPr>
          <w:rFonts w:asciiTheme="minorHAnsi" w:hAnsiTheme="minorHAnsi" w:cs="Times New Roman"/>
        </w:rPr>
        <w:t xml:space="preserve"> </w:t>
      </w:r>
      <w:r w:rsidRPr="00C370EC">
        <w:rPr>
          <w:rFonts w:asciiTheme="minorHAnsi" w:hAnsiTheme="minorHAnsi" w:cs="Times New Roman"/>
        </w:rPr>
        <w:t xml:space="preserve">– </w:t>
      </w:r>
      <w:r w:rsidR="00EB7927">
        <w:rPr>
          <w:rFonts w:asciiTheme="minorHAnsi" w:hAnsiTheme="minorHAnsi" w:cs="Times New Roman"/>
        </w:rPr>
        <w:t>предимства и недостатъци</w:t>
      </w:r>
      <w:bookmarkEnd w:id="176"/>
      <w:r w:rsidRPr="00C370EC">
        <w:rPr>
          <w:rFonts w:asciiTheme="minorHAnsi" w:hAnsiTheme="minorHAnsi" w:cs="Times New Roman"/>
        </w:rPr>
        <w:t xml:space="preserve"> </w:t>
      </w:r>
    </w:p>
    <w:p w:rsidR="006E39EC" w:rsidRDefault="006E39EC" w:rsidP="00181C9C">
      <w:pPr>
        <w:pStyle w:val="Heading2"/>
        <w:rPr>
          <w:rFonts w:asciiTheme="minorHAnsi" w:hAnsiTheme="minorHAnsi" w:cs="Times New Roman"/>
        </w:rPr>
      </w:pPr>
    </w:p>
    <w:p w:rsidR="009E65C1" w:rsidRDefault="009E65C1" w:rsidP="00181C9C">
      <w:pPr>
        <w:pStyle w:val="Heading2"/>
        <w:rPr>
          <w:rFonts w:asciiTheme="minorHAnsi" w:hAnsiTheme="minorHAnsi" w:cs="Times New Roman"/>
          <w:lang w:val="en-US"/>
        </w:rPr>
      </w:pPr>
    </w:p>
    <w:p w:rsidR="00034D0F" w:rsidRDefault="00B91F9F" w:rsidP="00181C9C">
      <w:pPr>
        <w:pStyle w:val="Heading2"/>
        <w:rPr>
          <w:rFonts w:asciiTheme="minorHAnsi" w:hAnsiTheme="minorHAnsi" w:cs="Times New Roman"/>
        </w:rPr>
      </w:pPr>
      <w:bookmarkStart w:id="177" w:name="_Toc399494565"/>
      <w:r w:rsidRPr="00C370EC">
        <w:rPr>
          <w:rFonts w:asciiTheme="minorHAnsi" w:hAnsiTheme="minorHAnsi" w:cs="Times New Roman"/>
        </w:rPr>
        <w:t>4.</w:t>
      </w:r>
      <w:r w:rsidR="00E126C6" w:rsidRPr="00C370EC">
        <w:rPr>
          <w:rFonts w:asciiTheme="minorHAnsi" w:hAnsiTheme="minorHAnsi" w:cs="Times New Roman"/>
        </w:rPr>
        <w:t>3</w:t>
      </w:r>
      <w:r w:rsidRPr="00C370EC">
        <w:rPr>
          <w:rFonts w:asciiTheme="minorHAnsi" w:hAnsiTheme="minorHAnsi" w:cs="Times New Roman"/>
        </w:rPr>
        <w:t>.</w:t>
      </w:r>
      <w:r w:rsidR="00E126C6" w:rsidRPr="00C370EC">
        <w:rPr>
          <w:rFonts w:asciiTheme="minorHAnsi" w:hAnsiTheme="minorHAnsi" w:cs="Times New Roman"/>
        </w:rPr>
        <w:t xml:space="preserve"> </w:t>
      </w:r>
      <w:r w:rsidRPr="00C370EC">
        <w:rPr>
          <w:rFonts w:asciiTheme="minorHAnsi" w:hAnsiTheme="minorHAnsi" w:cs="Times New Roman"/>
        </w:rPr>
        <w:t>Трудности при прилагане на финансови инструменти</w:t>
      </w:r>
      <w:r w:rsidR="00E126C6" w:rsidRPr="00C370EC">
        <w:rPr>
          <w:rFonts w:asciiTheme="minorHAnsi" w:hAnsiTheme="minorHAnsi" w:cs="Times New Roman"/>
        </w:rPr>
        <w:t xml:space="preserve"> – извлечени поуки</w:t>
      </w:r>
      <w:bookmarkEnd w:id="177"/>
    </w:p>
    <w:p w:rsidR="000E137C" w:rsidRDefault="00F23A88" w:rsidP="00911FF9">
      <w:pPr>
        <w:spacing w:before="240"/>
      </w:pPr>
      <w:r>
        <w:t>На база о</w:t>
      </w:r>
      <w:r w:rsidR="00CD7D62">
        <w:t>сновните трудности пред прилагането на финансовите инструменти на отделните етапи от подготовката и управлението</w:t>
      </w:r>
      <w:r>
        <w:t>, могат да бъдат изведени следните препоръки</w:t>
      </w:r>
      <w:r w:rsidR="00CD7D62">
        <w:t>:</w:t>
      </w:r>
    </w:p>
    <w:p w:rsidR="00CD7D62" w:rsidRPr="00FA5E3B" w:rsidRDefault="00CD7D62" w:rsidP="00FA5E3B">
      <w:pPr>
        <w:jc w:val="both"/>
        <w:rPr>
          <w:rFonts w:ascii="Calibri" w:eastAsia="Calibri" w:hAnsi="Calibri" w:cs="Times New Roman"/>
          <w:b/>
          <w:color w:val="4F81BD"/>
        </w:rPr>
      </w:pPr>
      <w:r w:rsidRPr="00FA5E3B">
        <w:rPr>
          <w:rFonts w:ascii="Calibri" w:eastAsia="Calibri" w:hAnsi="Calibri" w:cs="Times New Roman"/>
          <w:b/>
          <w:color w:val="4F81BD"/>
        </w:rPr>
        <w:t xml:space="preserve">По време на </w:t>
      </w:r>
      <w:r w:rsidR="00304B13" w:rsidRPr="00FA5E3B">
        <w:rPr>
          <w:rFonts w:ascii="Calibri" w:eastAsia="Calibri" w:hAnsi="Calibri" w:cs="Times New Roman"/>
          <w:b/>
          <w:color w:val="4F81BD"/>
        </w:rPr>
        <w:t>планирането</w:t>
      </w:r>
      <w:r w:rsidRPr="00FA5E3B">
        <w:rPr>
          <w:rFonts w:ascii="Calibri" w:eastAsia="Calibri" w:hAnsi="Calibri" w:cs="Times New Roman"/>
          <w:b/>
          <w:color w:val="4F81BD"/>
        </w:rPr>
        <w:t>:</w:t>
      </w:r>
    </w:p>
    <w:p w:rsidR="00CD7D62" w:rsidRDefault="0065424F" w:rsidP="006D4B6D">
      <w:pPr>
        <w:pStyle w:val="ListParagraph"/>
        <w:numPr>
          <w:ilvl w:val="0"/>
          <w:numId w:val="2"/>
        </w:numPr>
        <w:jc w:val="both"/>
      </w:pPr>
      <w:r>
        <w:t>Избягване на к</w:t>
      </w:r>
      <w:r w:rsidR="00281920">
        <w:t>онкуренция с вече създадени местни инструменти</w:t>
      </w:r>
      <w:r w:rsidR="00967EC4">
        <w:t>.</w:t>
      </w:r>
    </w:p>
    <w:p w:rsidR="00281920" w:rsidRDefault="0065424F" w:rsidP="006D4B6D">
      <w:pPr>
        <w:pStyle w:val="ListParagraph"/>
        <w:numPr>
          <w:ilvl w:val="0"/>
          <w:numId w:val="2"/>
        </w:numPr>
        <w:jc w:val="both"/>
      </w:pPr>
      <w:r>
        <w:t>Избягване на к</w:t>
      </w:r>
      <w:r w:rsidR="00281920">
        <w:t>онкуренция с безвъзмездна финансова помощ</w:t>
      </w:r>
      <w:r w:rsidR="00967EC4">
        <w:t>.</w:t>
      </w:r>
    </w:p>
    <w:p w:rsidR="00533C1D" w:rsidRDefault="00533C1D" w:rsidP="006D4B6D">
      <w:pPr>
        <w:pStyle w:val="ListParagraph"/>
        <w:numPr>
          <w:ilvl w:val="0"/>
          <w:numId w:val="2"/>
        </w:numPr>
        <w:jc w:val="both"/>
      </w:pPr>
      <w:r>
        <w:t xml:space="preserve">Възможност за използване на вече съществуващи структури с цел спестяване на време и използване на натрупания капацитет. </w:t>
      </w:r>
    </w:p>
    <w:p w:rsidR="00D106B4" w:rsidRPr="00FA5E3B" w:rsidRDefault="00D106B4" w:rsidP="006D4B6D">
      <w:pPr>
        <w:jc w:val="both"/>
        <w:rPr>
          <w:rFonts w:ascii="Calibri" w:eastAsia="Calibri" w:hAnsi="Calibri" w:cs="Times New Roman"/>
          <w:b/>
          <w:color w:val="4F81BD"/>
        </w:rPr>
      </w:pPr>
      <w:r w:rsidRPr="00FA5E3B">
        <w:rPr>
          <w:rFonts w:ascii="Calibri" w:eastAsia="Calibri" w:hAnsi="Calibri" w:cs="Times New Roman"/>
          <w:b/>
          <w:color w:val="4F81BD"/>
        </w:rPr>
        <w:lastRenderedPageBreak/>
        <w:t>По време на структурирането на фонда и преговори с партньорите</w:t>
      </w:r>
    </w:p>
    <w:p w:rsidR="00D106B4" w:rsidRDefault="00FA5E3B" w:rsidP="006D4B6D">
      <w:pPr>
        <w:pStyle w:val="ListParagraph"/>
        <w:numPr>
          <w:ilvl w:val="0"/>
          <w:numId w:val="2"/>
        </w:numPr>
        <w:jc w:val="both"/>
      </w:pPr>
      <w:r>
        <w:t xml:space="preserve">От ключово значение е да бъде постигнат баланс между обществения и частния интерес, което може да стане само с </w:t>
      </w:r>
      <w:r w:rsidR="00967EC4">
        <w:t>консултации с ЕСИФ и банките партньори.</w:t>
      </w:r>
    </w:p>
    <w:p w:rsidR="00967EC4" w:rsidRPr="00EE566C" w:rsidRDefault="00967EC4" w:rsidP="00967EC4">
      <w:pPr>
        <w:jc w:val="both"/>
        <w:rPr>
          <w:rFonts w:ascii="Calibri" w:eastAsia="Calibri" w:hAnsi="Calibri" w:cs="Times New Roman"/>
          <w:b/>
          <w:color w:val="4F81BD"/>
        </w:rPr>
      </w:pPr>
      <w:r w:rsidRPr="00EE566C">
        <w:rPr>
          <w:rFonts w:ascii="Calibri" w:eastAsia="Calibri" w:hAnsi="Calibri" w:cs="Times New Roman"/>
          <w:b/>
          <w:color w:val="4F81BD"/>
        </w:rPr>
        <w:t>По време на избора на фонд мениджър</w:t>
      </w:r>
    </w:p>
    <w:p w:rsidR="000E137C" w:rsidRPr="00D008CE" w:rsidRDefault="00EE566C" w:rsidP="006D4B6D">
      <w:pPr>
        <w:pStyle w:val="ListParagraph"/>
        <w:numPr>
          <w:ilvl w:val="0"/>
          <w:numId w:val="2"/>
        </w:numPr>
        <w:jc w:val="both"/>
        <w:rPr>
          <w:lang w:val="en-US"/>
        </w:rPr>
      </w:pPr>
      <w:r>
        <w:t xml:space="preserve">От изключително значение е да бъдат определени условия към бъдещия фонд мениджър, които да гарантират </w:t>
      </w:r>
      <w:r w:rsidR="00CC080D">
        <w:t xml:space="preserve">не само неговите професионални способности и опит, но и финансовото му състояние и мотивация. Ако е избран чрез процедура за избор на изпълнител, може да се поиска </w:t>
      </w:r>
      <w:r w:rsidR="004F26E6">
        <w:t xml:space="preserve">от фонд мениджъра да предостави допълващо финансиране. Ако няма холдингов фонд ще е трудно </w:t>
      </w:r>
      <w:r w:rsidR="006D4B6D">
        <w:t>банка-партньор от България да има принос на ниво фонд, поради ограничения на законите относно дейността на международните финансови институции, техните вътрешни правила и др.</w:t>
      </w:r>
    </w:p>
    <w:p w:rsidR="00D008CE" w:rsidRPr="00FA5E3B" w:rsidRDefault="00D008CE" w:rsidP="00D008CE">
      <w:pPr>
        <w:jc w:val="both"/>
        <w:rPr>
          <w:rFonts w:ascii="Calibri" w:eastAsia="Calibri" w:hAnsi="Calibri" w:cs="Times New Roman"/>
          <w:b/>
          <w:color w:val="4F81BD"/>
        </w:rPr>
      </w:pPr>
      <w:r w:rsidRPr="00FA5E3B">
        <w:rPr>
          <w:rFonts w:ascii="Calibri" w:eastAsia="Calibri" w:hAnsi="Calibri" w:cs="Times New Roman"/>
          <w:b/>
          <w:color w:val="4F81BD"/>
        </w:rPr>
        <w:t xml:space="preserve">По време на подготовка на </w:t>
      </w:r>
      <w:r>
        <w:rPr>
          <w:rFonts w:ascii="Calibri" w:eastAsia="Calibri" w:hAnsi="Calibri" w:cs="Times New Roman"/>
          <w:b/>
          <w:color w:val="4F81BD"/>
        </w:rPr>
        <w:t>програма за финансиране</w:t>
      </w:r>
      <w:r w:rsidRPr="00FA5E3B">
        <w:rPr>
          <w:rFonts w:ascii="Calibri" w:eastAsia="Calibri" w:hAnsi="Calibri" w:cs="Times New Roman"/>
          <w:b/>
          <w:color w:val="4F81BD"/>
        </w:rPr>
        <w:t>:</w:t>
      </w:r>
    </w:p>
    <w:p w:rsidR="00D008CE" w:rsidRDefault="0065424F" w:rsidP="00D008CE">
      <w:pPr>
        <w:pStyle w:val="ListParagraph"/>
        <w:numPr>
          <w:ilvl w:val="0"/>
          <w:numId w:val="2"/>
        </w:numPr>
        <w:jc w:val="both"/>
      </w:pPr>
      <w:r>
        <w:t xml:space="preserve">Да не се допуска създаването на </w:t>
      </w:r>
      <w:r w:rsidR="00D008CE">
        <w:t>затворен финансов механизъм, който не позволява промяна на финансовите инструменти в процеса на прилагане.</w:t>
      </w:r>
    </w:p>
    <w:p w:rsidR="00D008CE" w:rsidRDefault="0065424F" w:rsidP="00D008CE">
      <w:pPr>
        <w:pStyle w:val="ListParagraph"/>
        <w:numPr>
          <w:ilvl w:val="0"/>
          <w:numId w:val="2"/>
        </w:numPr>
        <w:jc w:val="both"/>
      </w:pPr>
      <w:r>
        <w:t>Да се избегне риска от п</w:t>
      </w:r>
      <w:r w:rsidR="00D008CE">
        <w:t>ропуски при съгласуване с правилата за държавна помощ.</w:t>
      </w:r>
    </w:p>
    <w:p w:rsidR="00D008CE" w:rsidRDefault="0065424F" w:rsidP="00D008CE">
      <w:pPr>
        <w:pStyle w:val="ListParagraph"/>
        <w:numPr>
          <w:ilvl w:val="0"/>
          <w:numId w:val="2"/>
        </w:numPr>
        <w:jc w:val="both"/>
      </w:pPr>
      <w:r>
        <w:t>Да се съобрази пакетът от мерки</w:t>
      </w:r>
      <w:r w:rsidR="00D008CE">
        <w:t xml:space="preserve"> с капацитета и мотивацията на крайните получатели</w:t>
      </w:r>
      <w:r>
        <w:t xml:space="preserve">, за да </w:t>
      </w:r>
      <w:r w:rsidR="00D008CE">
        <w:t>се предвиди техническа помощ при необходимост от такава.</w:t>
      </w:r>
    </w:p>
    <w:p w:rsidR="00D008CE" w:rsidRDefault="00D008CE" w:rsidP="00D008CE">
      <w:pPr>
        <w:pStyle w:val="ListParagraph"/>
        <w:numPr>
          <w:ilvl w:val="0"/>
          <w:numId w:val="2"/>
        </w:numPr>
        <w:jc w:val="both"/>
      </w:pPr>
      <w:r>
        <w:t>Добре е да бъде създадена работна група от експерти с различен профил, за да се гарантира съобразяването както на правните, така и на техническите въпроси.</w:t>
      </w:r>
    </w:p>
    <w:p w:rsidR="00825D1D" w:rsidRDefault="00825D1D" w:rsidP="00181C9C">
      <w:pPr>
        <w:pStyle w:val="Heading1"/>
        <w:rPr>
          <w:rFonts w:asciiTheme="minorHAnsi" w:hAnsiTheme="minorHAnsi" w:cs="Times New Roman"/>
        </w:rPr>
      </w:pPr>
    </w:p>
    <w:p w:rsidR="00C14138" w:rsidRDefault="00C14138" w:rsidP="00181C9C">
      <w:pPr>
        <w:pStyle w:val="Heading1"/>
        <w:rPr>
          <w:rFonts w:asciiTheme="minorHAnsi" w:hAnsiTheme="minorHAnsi" w:cs="Times New Roman"/>
        </w:rPr>
        <w:sectPr w:rsidR="00C14138" w:rsidSect="006E39EC">
          <w:pgSz w:w="11906" w:h="16838"/>
          <w:pgMar w:top="1417" w:right="1416" w:bottom="1417" w:left="1417" w:header="708" w:footer="105" w:gutter="0"/>
          <w:cols w:space="708"/>
          <w:titlePg/>
          <w:docGrid w:linePitch="360"/>
        </w:sectPr>
      </w:pPr>
    </w:p>
    <w:p w:rsidR="00D101EE" w:rsidRDefault="00181C9C" w:rsidP="00181C9C">
      <w:pPr>
        <w:pStyle w:val="Heading1"/>
        <w:rPr>
          <w:rFonts w:asciiTheme="minorHAnsi" w:hAnsiTheme="minorHAnsi" w:cs="Times New Roman"/>
        </w:rPr>
      </w:pPr>
      <w:bookmarkStart w:id="178" w:name="_Toc399494566"/>
      <w:r w:rsidRPr="00C370EC">
        <w:rPr>
          <w:rFonts w:asciiTheme="minorHAnsi" w:hAnsiTheme="minorHAnsi" w:cs="Times New Roman"/>
        </w:rPr>
        <w:lastRenderedPageBreak/>
        <w:t xml:space="preserve">5. </w:t>
      </w:r>
      <w:r w:rsidR="00946453" w:rsidRPr="00C370EC">
        <w:rPr>
          <w:rFonts w:asciiTheme="minorHAnsi" w:hAnsiTheme="minorHAnsi" w:cs="Times New Roman"/>
        </w:rPr>
        <w:t>Предложение за и</w:t>
      </w:r>
      <w:r w:rsidR="00D101EE" w:rsidRPr="00C370EC">
        <w:rPr>
          <w:rFonts w:asciiTheme="minorHAnsi" w:hAnsiTheme="minorHAnsi" w:cs="Times New Roman"/>
        </w:rPr>
        <w:t>нвестиционна стратегия</w:t>
      </w:r>
      <w:bookmarkEnd w:id="178"/>
    </w:p>
    <w:p w:rsidR="00B41A94" w:rsidRDefault="00B41A94" w:rsidP="00B41A94">
      <w:pPr>
        <w:spacing w:before="240"/>
      </w:pPr>
      <w:r>
        <w:t>Предложението за инвестиционна стратегия се извършва на база следните стъпки:</w:t>
      </w:r>
    </w:p>
    <w:p w:rsidR="00B41A94" w:rsidRPr="00B41A94" w:rsidRDefault="00B41A94" w:rsidP="00B41A94">
      <w:pPr>
        <w:spacing w:before="240"/>
      </w:pPr>
      <w:r>
        <w:rPr>
          <w:noProof/>
          <w:lang w:eastAsia="bg-BG"/>
        </w:rPr>
        <w:drawing>
          <wp:inline distT="0" distB="0" distL="0" distR="0">
            <wp:extent cx="5676900" cy="3667125"/>
            <wp:effectExtent l="0" t="0" r="19050" b="9525"/>
            <wp:docPr id="38" name="Diagram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inline>
        </w:drawing>
      </w:r>
    </w:p>
    <w:p w:rsidR="00B41A94" w:rsidRDefault="00B41A94" w:rsidP="00181C9C">
      <w:pPr>
        <w:pStyle w:val="Heading2"/>
        <w:jc w:val="both"/>
        <w:rPr>
          <w:rFonts w:asciiTheme="minorHAnsi" w:hAnsiTheme="minorHAnsi" w:cs="Times New Roman"/>
        </w:rPr>
      </w:pPr>
    </w:p>
    <w:p w:rsidR="00BF1A93" w:rsidRDefault="00BF1A93" w:rsidP="00BF1A93">
      <w:pPr>
        <w:jc w:val="both"/>
      </w:pPr>
      <w:r>
        <w:t xml:space="preserve">Настоящата инвестиционна стратегия е част от фазата на проектиране на финансовите инструменти и представлява предложение за стратегическа политика, която УО и Министерство на финансите ще решат да прилагат. </w:t>
      </w:r>
    </w:p>
    <w:p w:rsidR="00BF1A93" w:rsidRPr="002A561A" w:rsidRDefault="00BF1A93" w:rsidP="00BF1A93">
      <w:pPr>
        <w:jc w:val="both"/>
      </w:pPr>
      <w:r>
        <w:t xml:space="preserve">Взетите решения на база настоящия доклад ще положат основата за прилагане на финансовите инструменти в следващите фази от процеса, а именно – създаване на финансовите инструменти и изготвяне на инвестиционната стратегия от Мениджъра на холдинговия фонд или фонд мениджъра, както и прилагането на финансовите инструменти във връзка със структурирането на инвестиционния портфейл и финансовия модел на проектите. След прилагане на инструментите УО следва да предвиди фазата на рециклиране на средствата. </w:t>
      </w:r>
    </w:p>
    <w:p w:rsidR="003E7C71" w:rsidRDefault="003E7C71" w:rsidP="003E7C71"/>
    <w:p w:rsidR="00F00027" w:rsidRDefault="00F00027" w:rsidP="003E7C71"/>
    <w:p w:rsidR="00F00027" w:rsidRPr="003E7C71" w:rsidRDefault="00F00027" w:rsidP="003E7C71"/>
    <w:p w:rsidR="00CB775D" w:rsidRDefault="00D101EE" w:rsidP="00181C9C">
      <w:pPr>
        <w:pStyle w:val="Heading2"/>
        <w:jc w:val="both"/>
        <w:rPr>
          <w:rFonts w:asciiTheme="minorHAnsi" w:hAnsiTheme="minorHAnsi" w:cs="Times New Roman"/>
        </w:rPr>
      </w:pPr>
      <w:bookmarkStart w:id="179" w:name="_Toc399494567"/>
      <w:r w:rsidRPr="00C370EC">
        <w:rPr>
          <w:rFonts w:asciiTheme="minorHAnsi" w:hAnsiTheme="minorHAnsi" w:cs="Times New Roman"/>
        </w:rPr>
        <w:lastRenderedPageBreak/>
        <w:t xml:space="preserve">5.1. Адекватни финансови инструменти, съгласно идентифицираните нужди в сектор околна </w:t>
      </w:r>
      <w:r w:rsidR="00020A3D" w:rsidRPr="00C370EC">
        <w:rPr>
          <w:rFonts w:asciiTheme="minorHAnsi" w:hAnsiTheme="minorHAnsi" w:cs="Times New Roman"/>
        </w:rPr>
        <w:t>среда за</w:t>
      </w:r>
      <w:r w:rsidRPr="00C370EC">
        <w:rPr>
          <w:rFonts w:asciiTheme="minorHAnsi" w:hAnsiTheme="minorHAnsi" w:cs="Times New Roman"/>
        </w:rPr>
        <w:t xml:space="preserve"> периода 2014-2020 г.</w:t>
      </w:r>
      <w:bookmarkEnd w:id="179"/>
    </w:p>
    <w:p w:rsidR="00CB775D" w:rsidRDefault="00CB775D" w:rsidP="00CB775D"/>
    <w:p w:rsidR="008E4A10" w:rsidRDefault="00CB775D" w:rsidP="008E4A10">
      <w:pPr>
        <w:jc w:val="both"/>
      </w:pPr>
      <w:r>
        <w:t>На база анализа на пазара, добавената стойност и очаквания ефект на лоста, подробно представени в</w:t>
      </w:r>
      <w:r w:rsidR="00A7593F">
        <w:t xml:space="preserve"> т.</w:t>
      </w:r>
      <w:r w:rsidR="00921114">
        <w:rPr>
          <w:lang w:val="en-US"/>
        </w:rPr>
        <w:t xml:space="preserve"> </w:t>
      </w:r>
      <w:r w:rsidR="00A7593F">
        <w:t>1, т.</w:t>
      </w:r>
      <w:r w:rsidR="00921114">
        <w:rPr>
          <w:lang w:val="en-US"/>
        </w:rPr>
        <w:t xml:space="preserve"> </w:t>
      </w:r>
      <w:r w:rsidR="00A7593F">
        <w:t>2 и т.</w:t>
      </w:r>
      <w:r w:rsidR="00921114">
        <w:rPr>
          <w:lang w:val="en-US"/>
        </w:rPr>
        <w:t xml:space="preserve"> </w:t>
      </w:r>
      <w:r w:rsidR="00A7593F">
        <w:t>3 от настоящия доклад</w:t>
      </w:r>
      <w:r w:rsidR="008E4A10">
        <w:t>, както и разгледаните добри практики и научени уроци в т. 4</w:t>
      </w:r>
      <w:r w:rsidR="00A7593F">
        <w:t xml:space="preserve">, са идентифицирани проблемите в сектор Води и сектор Отпадъци, чието разрешаване може да бъде подпомогнато, чрез прилагането на конкретни финансови инструменти. Препоръчва се използването на следните финансови инструменти, които ще допринесат за постигане целите на Оперативната програма, както и на стратегическите цели на национално и европейско ниво. </w:t>
      </w:r>
    </w:p>
    <w:p w:rsidR="008E4A10" w:rsidRDefault="008E4A10">
      <w:pPr>
        <w:sectPr w:rsidR="008E4A10" w:rsidSect="00CB775D">
          <w:pgSz w:w="11906" w:h="16838"/>
          <w:pgMar w:top="1417" w:right="1416" w:bottom="1417" w:left="1417" w:header="708" w:footer="105" w:gutter="0"/>
          <w:cols w:space="708"/>
          <w:titlePg/>
          <w:docGrid w:linePitch="360"/>
        </w:sectPr>
      </w:pPr>
    </w:p>
    <w:tbl>
      <w:tblPr>
        <w:tblStyle w:val="GridTable5Dark-Accent11"/>
        <w:tblW w:w="14997" w:type="dxa"/>
        <w:tblInd w:w="-572" w:type="dxa"/>
        <w:tblLook w:val="04A0" w:firstRow="1" w:lastRow="0" w:firstColumn="1" w:lastColumn="0" w:noHBand="0" w:noVBand="1"/>
      </w:tblPr>
      <w:tblGrid>
        <w:gridCol w:w="1550"/>
        <w:gridCol w:w="3245"/>
        <w:gridCol w:w="3996"/>
        <w:gridCol w:w="2966"/>
        <w:gridCol w:w="3240"/>
      </w:tblGrid>
      <w:tr w:rsidR="008E4A10" w:rsidRPr="008E4A10" w:rsidTr="009211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Pr>
          <w:p w:rsidR="008E4A10" w:rsidRPr="00921114" w:rsidRDefault="00921114" w:rsidP="008E4A10">
            <w:pPr>
              <w:rPr>
                <w:lang w:val="en-US"/>
              </w:rPr>
            </w:pPr>
            <w:r>
              <w:lastRenderedPageBreak/>
              <w:t xml:space="preserve">Предвидено по ОПОС </w:t>
            </w:r>
          </w:p>
        </w:tc>
        <w:tc>
          <w:tcPr>
            <w:tcW w:w="3245" w:type="dxa"/>
          </w:tcPr>
          <w:p w:rsidR="008E4A10" w:rsidRPr="008E4A10" w:rsidRDefault="008E4A10" w:rsidP="008E4A10">
            <w:pPr>
              <w:cnfStyle w:val="100000000000" w:firstRow="1" w:lastRow="0" w:firstColumn="0" w:lastColumn="0" w:oddVBand="0" w:evenVBand="0" w:oddHBand="0" w:evenHBand="0" w:firstRowFirstColumn="0" w:firstRowLastColumn="0" w:lastRowFirstColumn="0" w:lastRowLastColumn="0"/>
            </w:pPr>
            <w:r w:rsidRPr="008E4A10">
              <w:t>Проблеми, които могат да бъдат адресирани, чрез финансови инструменти</w:t>
            </w:r>
          </w:p>
        </w:tc>
        <w:tc>
          <w:tcPr>
            <w:tcW w:w="3996" w:type="dxa"/>
          </w:tcPr>
          <w:p w:rsidR="008E4A10" w:rsidRPr="008E4A10" w:rsidRDefault="008E4A10" w:rsidP="008E4A10">
            <w:pPr>
              <w:cnfStyle w:val="100000000000" w:firstRow="1" w:lastRow="0" w:firstColumn="0" w:lastColumn="0" w:oddVBand="0" w:evenVBand="0" w:oddHBand="0" w:evenHBand="0" w:firstRowFirstColumn="0" w:firstRowLastColumn="0" w:lastRowFirstColumn="0" w:lastRowLastColumn="0"/>
            </w:pPr>
            <w:r w:rsidRPr="008E4A10">
              <w:t>Решения  на проблемите</w:t>
            </w:r>
          </w:p>
        </w:tc>
        <w:tc>
          <w:tcPr>
            <w:tcW w:w="2966" w:type="dxa"/>
          </w:tcPr>
          <w:p w:rsidR="008E4A10" w:rsidRPr="008E4A10" w:rsidRDefault="008E4A10" w:rsidP="008E4A10">
            <w:pPr>
              <w:cnfStyle w:val="100000000000" w:firstRow="1" w:lastRow="0" w:firstColumn="0" w:lastColumn="0" w:oddVBand="0" w:evenVBand="0" w:oddHBand="0" w:evenHBand="0" w:firstRowFirstColumn="0" w:firstRowLastColumn="0" w:lastRowFirstColumn="0" w:lastRowLastColumn="0"/>
            </w:pPr>
            <w:r w:rsidRPr="008E4A10">
              <w:t>Подходящи инструменти за решение на проблемите</w:t>
            </w:r>
            <w:r>
              <w:t xml:space="preserve"> </w:t>
            </w:r>
          </w:p>
        </w:tc>
        <w:tc>
          <w:tcPr>
            <w:tcW w:w="3240" w:type="dxa"/>
          </w:tcPr>
          <w:p w:rsidR="008E4A10" w:rsidRPr="008E4A10" w:rsidRDefault="00024A51" w:rsidP="008E4A10">
            <w:pPr>
              <w:cnfStyle w:val="100000000000" w:firstRow="1" w:lastRow="0" w:firstColumn="0" w:lastColumn="0" w:oddVBand="0" w:evenVBand="0" w:oddHBand="0" w:evenHBand="0" w:firstRowFirstColumn="0" w:firstRowLastColumn="0" w:lastRowFirstColumn="0" w:lastRowLastColumn="0"/>
              <w:rPr>
                <w:b w:val="0"/>
                <w:bCs w:val="0"/>
              </w:rPr>
            </w:pPr>
            <w:r>
              <w:t>С</w:t>
            </w:r>
            <w:r w:rsidR="008E4A10" w:rsidRPr="008E4A10">
              <w:t>труктуриране на финансовите инструменти</w:t>
            </w:r>
          </w:p>
        </w:tc>
      </w:tr>
      <w:tr w:rsidR="008E4A10" w:rsidRPr="008E4A10" w:rsidTr="009211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Pr>
          <w:p w:rsidR="008E4A10" w:rsidRPr="008E4A10" w:rsidRDefault="008E4A10" w:rsidP="008E4A10">
            <w:r w:rsidRPr="008E4A10">
              <w:t>Приоритетна ос 1 Води</w:t>
            </w:r>
          </w:p>
          <w:p w:rsidR="008E4A10" w:rsidRPr="008E4A10" w:rsidRDefault="008E4A10" w:rsidP="008E4A10">
            <w:r w:rsidRPr="00921114">
              <w:t>10% от</w:t>
            </w:r>
            <w:r w:rsidRPr="008E4A10">
              <w:t xml:space="preserve"> средствата от ЕСИФ да бъдат заделени за финансови инструменти</w:t>
            </w:r>
          </w:p>
        </w:tc>
        <w:tc>
          <w:tcPr>
            <w:tcW w:w="3245" w:type="dxa"/>
          </w:tcPr>
          <w:p w:rsidR="008E4A10" w:rsidRPr="008E4A10" w:rsidRDefault="008E4A10" w:rsidP="008E4A10">
            <w:pPr>
              <w:widowControl w:val="0"/>
              <w:autoSpaceDE w:val="0"/>
              <w:autoSpaceDN w:val="0"/>
              <w:adjustRightInd w:val="0"/>
              <w:spacing w:line="238" w:lineRule="auto"/>
              <w:ind w:right="65"/>
              <w:jc w:val="both"/>
              <w:cnfStyle w:val="000000100000" w:firstRow="0" w:lastRow="0" w:firstColumn="0" w:lastColumn="0" w:oddVBand="0" w:evenVBand="0" w:oddHBand="1" w:evenHBand="0" w:firstRowFirstColumn="0" w:firstRowLastColumn="0" w:lastRowFirstColumn="0" w:lastRowLastColumn="0"/>
              <w:rPr>
                <w:rFonts w:cs="Calibri"/>
                <w:bCs/>
              </w:rPr>
            </w:pPr>
            <w:r w:rsidRPr="008E4A10">
              <w:rPr>
                <w:rFonts w:cs="Calibri"/>
                <w:bCs/>
                <w:lang w:eastAsia="bg-BG"/>
              </w:rPr>
              <w:t>Слабата финансова жизнеспособност и липсата на ефективност пречат на ВиК дружествата да финансират и изпълняват големи програми за капиталови инвестиции, които са необходими за постигане на изискванията за съответствие и необходимите дългосрочни нива на обслужване.</w:t>
            </w: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rPr>
                <w:bCs/>
              </w:rPr>
            </w:pP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rPr>
                <w:rFonts w:eastAsia="Calibri" w:cstheme="minorHAnsi"/>
              </w:rPr>
            </w:pPr>
            <w:r w:rsidRPr="008E4A10">
              <w:rPr>
                <w:rFonts w:eastAsia="Calibri" w:cstheme="minorHAnsi"/>
              </w:rPr>
              <w:t>Проектите във ВиК сектора като цяло са на значителна стойност. Повечето инвестиции се изплащат много бавно, а за част от тях практически липсва възвращаемост. Същевременно наличната БФП е недостатъчна за покриване на инвестиционните нужди.</w:t>
            </w: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rPr>
                <w:rFonts w:eastAsia="Calibri" w:cstheme="minorHAnsi"/>
              </w:rPr>
            </w:pP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rPr>
                <w:bCs/>
              </w:rPr>
            </w:pPr>
            <w:r w:rsidRPr="008E4A10">
              <w:rPr>
                <w:rFonts w:eastAsia="Calibri" w:cstheme="minorHAnsi"/>
              </w:rPr>
              <w:t xml:space="preserve">Недостатъчно в реализирането на проекти е участието на операторите, които пряко събират приходите от ВиК </w:t>
            </w:r>
            <w:r w:rsidRPr="008E4A10">
              <w:rPr>
                <w:rFonts w:eastAsia="Calibri" w:cstheme="minorHAnsi"/>
              </w:rPr>
              <w:lastRenderedPageBreak/>
              <w:t>услуги, което предполага и недостиг на капацитет в рамките на техните структури.</w:t>
            </w:r>
          </w:p>
          <w:p w:rsidR="008E4A10" w:rsidRPr="008E4A10" w:rsidRDefault="008E4A10" w:rsidP="008E4A10">
            <w:pPr>
              <w:cnfStyle w:val="000000100000" w:firstRow="0" w:lastRow="0" w:firstColumn="0" w:lastColumn="0" w:oddVBand="0" w:evenVBand="0" w:oddHBand="1" w:evenHBand="0" w:firstRowFirstColumn="0" w:firstRowLastColumn="0" w:lastRowFirstColumn="0" w:lastRowLastColumn="0"/>
            </w:pPr>
          </w:p>
        </w:tc>
        <w:tc>
          <w:tcPr>
            <w:tcW w:w="3996" w:type="dxa"/>
          </w:tcPr>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r w:rsidRPr="008E4A10">
              <w:rPr>
                <w:rFonts w:ascii="Calibri" w:eastAsia="Calibri" w:hAnsi="Calibri" w:cs="Times New Roman"/>
              </w:rPr>
              <w:lastRenderedPageBreak/>
              <w:t xml:space="preserve">Да бъде приложен финансов инструмент, чрез който ВиК дружествата ще могат да осигурят по-голяма част </w:t>
            </w:r>
            <w:r w:rsidR="00921114">
              <w:rPr>
                <w:rFonts w:ascii="Calibri" w:eastAsia="Calibri" w:hAnsi="Calibri" w:cs="Times New Roman"/>
              </w:rPr>
              <w:t xml:space="preserve">от </w:t>
            </w:r>
            <w:r w:rsidRPr="008E4A10">
              <w:rPr>
                <w:rFonts w:ascii="Calibri" w:eastAsia="Calibri" w:hAnsi="Calibri" w:cs="Times New Roman"/>
              </w:rPr>
              <w:t>необходимото съфинансиране на проектите при облекчени условия.</w:t>
            </w: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pP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rPr>
                <w:rFonts w:cs="Times New Roman"/>
              </w:rPr>
            </w:pPr>
            <w:r w:rsidRPr="008E4A10">
              <w:rPr>
                <w:rFonts w:cs="Times New Roman"/>
              </w:rPr>
              <w:t>Въвеждането на финансов инструмент в сектора ще даде възможност на ВиК операторите да ползват кредитен ресурс, до който те нямат достъп на пазарен принцип, поради сравнително слабата им финансова ефективност, породена от регулирането на сектора. По този начин ще бъдат създадени условия за поне частично запълване на финансовия недостиг, както и за дисциплиниране на сектора като цяло.</w:t>
            </w: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rPr>
                <w:rFonts w:cs="Times New Roman"/>
              </w:rPr>
            </w:pP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pPr>
            <w:r w:rsidRPr="008E4A10">
              <w:rPr>
                <w:rFonts w:cs="Times New Roman"/>
              </w:rPr>
              <w:t>Структуриране на финансов инструмент с участието на международните финансови институции и предвиждане на техническа помощ за крайните бенефициенти при реализиране на инвестициите, ще привлече капацитета на банковите институции за по-</w:t>
            </w:r>
            <w:r w:rsidRPr="008E4A10">
              <w:rPr>
                <w:rFonts w:cs="Times New Roman"/>
              </w:rPr>
              <w:lastRenderedPageBreak/>
              <w:t>ефективно управление на финансовия ресурс. В  резултат от първоначалната оценка на финансовото състояние на ВиК дружествата за целите на структуриране на финансовия портфейл на проектите, ще бъдат идентифицирани мерки, които да подобрят капацитета на крайните бенефициенти в дългосрочен аспект.</w:t>
            </w:r>
          </w:p>
        </w:tc>
        <w:tc>
          <w:tcPr>
            <w:tcW w:w="2966" w:type="dxa"/>
          </w:tcPr>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pPr>
            <w:r w:rsidRPr="008E4A10">
              <w:lastRenderedPageBreak/>
              <w:t xml:space="preserve">Заем, който да финансира разходите на крайните получатели </w:t>
            </w:r>
            <w:r w:rsidR="00921114">
              <w:t>за съфинансиране на проектите в сектора</w:t>
            </w:r>
            <w:r w:rsidRPr="008E4A10">
              <w:t>.</w:t>
            </w:r>
            <w:r>
              <w:t xml:space="preserve"> </w:t>
            </w:r>
          </w:p>
          <w:p w:rsidR="008E4A10" w:rsidRDefault="008E4A10" w:rsidP="008E4A10">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pPr>
            <w:r w:rsidRPr="008E4A10">
              <w:rPr>
                <w:rFonts w:ascii="Calibri" w:eastAsia="Calibri" w:hAnsi="Calibri" w:cs="Times New Roman"/>
              </w:rPr>
              <w:t>За увеличаване на т.нар. ливъридж ефект, както и отчитайки факта, че банковата система в страната  е достатъчно ликвидна, е възможно осигуряване на паралелно финансиране чрез създаване на гаранционен механизъм.</w:t>
            </w:r>
          </w:p>
          <w:p w:rsidR="008E4A10" w:rsidRDefault="008E4A10" w:rsidP="008E4A10">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rPr>
            </w:pPr>
          </w:p>
          <w:p w:rsidR="008E4A10" w:rsidRPr="008E4A10" w:rsidRDefault="008E4A10" w:rsidP="008E4A10">
            <w:pPr>
              <w:jc w:val="both"/>
              <w:cnfStyle w:val="000000100000" w:firstRow="0" w:lastRow="0" w:firstColumn="0" w:lastColumn="0" w:oddVBand="0" w:evenVBand="0" w:oddHBand="1" w:evenHBand="0" w:firstRowFirstColumn="0" w:firstRowLastColumn="0" w:lastRowFirstColumn="0" w:lastRowLastColumn="0"/>
            </w:pPr>
          </w:p>
        </w:tc>
        <w:tc>
          <w:tcPr>
            <w:tcW w:w="3240" w:type="dxa"/>
          </w:tcPr>
          <w:p w:rsidR="008A70C2" w:rsidRDefault="0005338E" w:rsidP="00A83513">
            <w:pPr>
              <w:jc w:val="both"/>
              <w:cnfStyle w:val="000000100000" w:firstRow="0" w:lastRow="0" w:firstColumn="0" w:lastColumn="0" w:oddVBand="0" w:evenVBand="0" w:oddHBand="1" w:evenHBand="0" w:firstRowFirstColumn="0" w:firstRowLastColumn="0" w:lastRowFirstColumn="0" w:lastRowLastColumn="0"/>
            </w:pPr>
            <w:r>
              <w:t>2</w:t>
            </w:r>
            <w:r w:rsidR="000D18F4">
              <w:t>5</w:t>
            </w:r>
            <w:r w:rsidR="00024A51">
              <w:t xml:space="preserve">% от БФП </w:t>
            </w:r>
            <w:r w:rsidR="00EA4F53">
              <w:t xml:space="preserve">по ПО </w:t>
            </w:r>
            <w:r w:rsidR="00024A51">
              <w:t xml:space="preserve">за мерките </w:t>
            </w:r>
            <w:r w:rsidR="00A83513" w:rsidRPr="00DC6BFC">
              <w:rPr>
                <w:rFonts w:ascii="Times New Roman" w:eastAsia="Calibri" w:hAnsi="Times New Roman" w:cs="Times New Roman"/>
                <w:sz w:val="24"/>
                <w:szCs w:val="24"/>
              </w:rPr>
              <w:t xml:space="preserve">за </w:t>
            </w:r>
            <w:r w:rsidR="00A83513" w:rsidRPr="00DC6BFC">
              <w:t>изграждане, рехабилитация и модернизиране на ВиК инфраструктура</w:t>
            </w:r>
            <w:r w:rsidR="00A83513">
              <w:t xml:space="preserve"> да бъдат заделени за финансов инструмент. </w:t>
            </w:r>
            <w:r>
              <w:t>Същите да бъдат вложени във фонд за устойчиви инвестиции във ВиК сектора под формата на подчинен капитал, за да привлекат финансиране от международните финансови институции.</w:t>
            </w:r>
          </w:p>
          <w:p w:rsidR="008A70C2" w:rsidRDefault="008A70C2" w:rsidP="00A83513">
            <w:pPr>
              <w:jc w:val="both"/>
              <w:cnfStyle w:val="000000100000" w:firstRow="0" w:lastRow="0" w:firstColumn="0" w:lastColumn="0" w:oddVBand="0" w:evenVBand="0" w:oddHBand="1" w:evenHBand="0" w:firstRowFirstColumn="0" w:firstRowLastColumn="0" w:lastRowFirstColumn="0" w:lastRowLastColumn="0"/>
            </w:pPr>
            <w:r>
              <w:t xml:space="preserve">Средствата се предоставят под формата на заем директно на крайните бенефициенти </w:t>
            </w:r>
            <w:r w:rsidR="00921114">
              <w:t>и/</w:t>
            </w:r>
            <w:r>
              <w:t xml:space="preserve">или под формата на гаранция </w:t>
            </w:r>
            <w:r w:rsidR="00921114">
              <w:t>за допълващо финансиране от</w:t>
            </w:r>
            <w:r>
              <w:t xml:space="preserve"> търговски банки.</w:t>
            </w:r>
          </w:p>
          <w:p w:rsidR="008E4A10" w:rsidRDefault="0005338E" w:rsidP="00A83513">
            <w:pPr>
              <w:jc w:val="both"/>
              <w:cnfStyle w:val="000000100000" w:firstRow="0" w:lastRow="0" w:firstColumn="0" w:lastColumn="0" w:oddVBand="0" w:evenVBand="0" w:oddHBand="1" w:evenHBand="0" w:firstRowFirstColumn="0" w:firstRowLastColumn="0" w:lastRowFirstColumn="0" w:lastRowLastColumn="0"/>
            </w:pPr>
            <w:r>
              <w:t>Очакван ливъри</w:t>
            </w:r>
            <w:r w:rsidR="008A70C2">
              <w:t xml:space="preserve">дж ефект от международни финансови институции 1:4. Очаква ливъридж ефект от </w:t>
            </w:r>
            <w:r w:rsidR="00921114">
              <w:t>търговските банки по гаранционен механизъм 1:5</w:t>
            </w:r>
            <w:r w:rsidR="008A70C2">
              <w:t>.</w:t>
            </w:r>
          </w:p>
          <w:p w:rsidR="00A83513" w:rsidRDefault="00A83513" w:rsidP="00A83513">
            <w:pPr>
              <w:jc w:val="both"/>
              <w:cnfStyle w:val="000000100000" w:firstRow="0" w:lastRow="0" w:firstColumn="0" w:lastColumn="0" w:oddVBand="0" w:evenVBand="0" w:oddHBand="1" w:evenHBand="0" w:firstRowFirstColumn="0" w:firstRowLastColumn="0" w:lastRowFirstColumn="0" w:lastRowLastColumn="0"/>
            </w:pPr>
          </w:p>
          <w:p w:rsidR="00A83513" w:rsidRPr="008E4A10" w:rsidRDefault="00A83513" w:rsidP="00A83513">
            <w:pPr>
              <w:jc w:val="both"/>
              <w:cnfStyle w:val="000000100000" w:firstRow="0" w:lastRow="0" w:firstColumn="0" w:lastColumn="0" w:oddVBand="0" w:evenVBand="0" w:oddHBand="1" w:evenHBand="0" w:firstRowFirstColumn="0" w:firstRowLastColumn="0" w:lastRowFirstColumn="0" w:lastRowLastColumn="0"/>
            </w:pPr>
          </w:p>
        </w:tc>
      </w:tr>
      <w:tr w:rsidR="008E4A10" w:rsidRPr="008E4A10" w:rsidTr="00921114">
        <w:tc>
          <w:tcPr>
            <w:cnfStyle w:val="001000000000" w:firstRow="0" w:lastRow="0" w:firstColumn="1" w:lastColumn="0" w:oddVBand="0" w:evenVBand="0" w:oddHBand="0" w:evenHBand="0" w:firstRowFirstColumn="0" w:firstRowLastColumn="0" w:lastRowFirstColumn="0" w:lastRowLastColumn="0"/>
            <w:tcW w:w="1550" w:type="dxa"/>
          </w:tcPr>
          <w:p w:rsidR="008E4A10" w:rsidRPr="008E4A10" w:rsidRDefault="008E4A10" w:rsidP="008E4A10">
            <w:r w:rsidRPr="008E4A10">
              <w:lastRenderedPageBreak/>
              <w:t>Приоритетна ос 2 Отпадъци</w:t>
            </w:r>
          </w:p>
          <w:p w:rsidR="008E4A10" w:rsidRPr="008E4A10" w:rsidRDefault="008E4A10" w:rsidP="008E4A10">
            <w:r w:rsidRPr="008E4A10">
              <w:t xml:space="preserve">10% от средствата от ЕСИФ да бъдат заделени за финансови инструменти </w:t>
            </w:r>
          </w:p>
        </w:tc>
        <w:tc>
          <w:tcPr>
            <w:tcW w:w="3245" w:type="dxa"/>
          </w:tcPr>
          <w:p w:rsidR="008E4A10" w:rsidRPr="008E4A10" w:rsidRDefault="008E4A10" w:rsidP="008E4A10">
            <w:pPr>
              <w:jc w:val="both"/>
              <w:cnfStyle w:val="000000000000" w:firstRow="0" w:lastRow="0" w:firstColumn="0" w:lastColumn="0" w:oddVBand="0" w:evenVBand="0" w:oddHBand="0" w:evenHBand="0" w:firstRowFirstColumn="0" w:firstRowLastColumn="0" w:lastRowFirstColumn="0" w:lastRowLastColumn="0"/>
              <w:rPr>
                <w:rFonts w:cs="Times New Roman"/>
              </w:rPr>
            </w:pPr>
            <w:r w:rsidRPr="008E4A10">
              <w:rPr>
                <w:rFonts w:cs="Times New Roman"/>
              </w:rPr>
              <w:t>Въпреки, че се наблюдава навлизане на частни субекти в сектора, в по-голямата си част мерките по управление на отпадъците все още се реализират предимно от общините под формата на публични услуги, което води до неефективно оползотворяване на ресурсите.</w:t>
            </w:r>
          </w:p>
          <w:p w:rsidR="008E4A10" w:rsidRPr="008E4A10" w:rsidRDefault="008E4A10" w:rsidP="008E4A10">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rPr>
            </w:pPr>
          </w:p>
          <w:p w:rsidR="008E4A10" w:rsidRPr="008E4A10" w:rsidRDefault="008E4A10" w:rsidP="008E4A10">
            <w:pPr>
              <w:jc w:val="both"/>
              <w:cnfStyle w:val="000000000000" w:firstRow="0" w:lastRow="0" w:firstColumn="0" w:lastColumn="0" w:oddVBand="0" w:evenVBand="0" w:oddHBand="0" w:evenHBand="0" w:firstRowFirstColumn="0" w:firstRowLastColumn="0" w:lastRowFirstColumn="0" w:lastRowLastColumn="0"/>
            </w:pPr>
            <w:r w:rsidRPr="008E4A10">
              <w:rPr>
                <w:rFonts w:ascii="Calibri" w:eastAsia="Calibri" w:hAnsi="Calibri" w:cs="Times New Roman"/>
              </w:rPr>
              <w:t xml:space="preserve">Навлизането на бизнеса в сектора е частично ограничено чрез </w:t>
            </w:r>
            <w:r w:rsidRPr="00EA4F53">
              <w:rPr>
                <w:rFonts w:ascii="Calibri" w:eastAsia="Calibri" w:hAnsi="Calibri" w:cs="Times New Roman"/>
              </w:rPr>
              <w:t>нормативни рестрикции в ЗУТ</w:t>
            </w:r>
            <w:r w:rsidR="000933EC">
              <w:rPr>
                <w:rFonts w:ascii="Calibri" w:eastAsia="Calibri" w:hAnsi="Calibri" w:cs="Times New Roman"/>
              </w:rPr>
              <w:t xml:space="preserve"> </w:t>
            </w:r>
            <w:r w:rsidR="00EA4F53" w:rsidRPr="00EA4F53">
              <w:rPr>
                <w:rFonts w:ascii="Calibri" w:eastAsia="Calibri" w:hAnsi="Calibri" w:cs="Times New Roman"/>
              </w:rPr>
              <w:t>и други нормативни актове</w:t>
            </w:r>
            <w:r w:rsidRPr="00EA4F53">
              <w:rPr>
                <w:rFonts w:ascii="Calibri" w:eastAsia="Calibri" w:hAnsi="Calibri" w:cs="Times New Roman"/>
              </w:rPr>
              <w:t>,</w:t>
            </w:r>
            <w:r w:rsidRPr="008E4A10">
              <w:rPr>
                <w:rFonts w:ascii="Calibri" w:eastAsia="Calibri" w:hAnsi="Calibri" w:cs="Times New Roman"/>
              </w:rPr>
              <w:t xml:space="preserve"> което прави инвестиционните схеми недостатъчно ефективни.</w:t>
            </w:r>
          </w:p>
        </w:tc>
        <w:tc>
          <w:tcPr>
            <w:tcW w:w="3996" w:type="dxa"/>
          </w:tcPr>
          <w:p w:rsidR="008E4A10" w:rsidRPr="008E4A10" w:rsidRDefault="008E4A10" w:rsidP="008E4A10">
            <w:pPr>
              <w:jc w:val="both"/>
              <w:cnfStyle w:val="000000000000" w:firstRow="0" w:lastRow="0" w:firstColumn="0" w:lastColumn="0" w:oddVBand="0" w:evenVBand="0" w:oddHBand="0" w:evenHBand="0" w:firstRowFirstColumn="0" w:firstRowLastColumn="0" w:lastRowFirstColumn="0" w:lastRowLastColumn="0"/>
            </w:pPr>
            <w:r w:rsidRPr="008E4A10">
              <w:rPr>
                <w:rFonts w:cs="Times New Roman"/>
              </w:rPr>
              <w:t>Чрез създаване на стимули за частния сектор за навлизане по-активно в дейностите по управление на отпадъците, ще се преодолее липсата на ефективна връзка между собственика на отпадъка (общините) и субекта, който би могъл да ги оползотворява (бизнеса), като и двете страни биха могли да реализират приходи от това.</w:t>
            </w:r>
          </w:p>
        </w:tc>
        <w:tc>
          <w:tcPr>
            <w:tcW w:w="2966" w:type="dxa"/>
          </w:tcPr>
          <w:p w:rsidR="008E4A10" w:rsidRPr="008E4A10" w:rsidRDefault="008E4A10" w:rsidP="008E4A10">
            <w:pPr>
              <w:jc w:val="both"/>
              <w:cnfStyle w:val="000000000000" w:firstRow="0" w:lastRow="0" w:firstColumn="0" w:lastColumn="0" w:oddVBand="0" w:evenVBand="0" w:oddHBand="0" w:evenHBand="0" w:firstRowFirstColumn="0" w:firstRowLastColumn="0" w:lastRowFirstColumn="0" w:lastRowLastColumn="0"/>
            </w:pPr>
            <w:r w:rsidRPr="008E4A10">
              <w:rPr>
                <w:rFonts w:cs="Times New Roman"/>
              </w:rPr>
              <w:t>Гаранционен механизъм, който да подпомага достъпа до финансиране на частни и общински предприятия за реализиране на проекти по управление на отпадъците по модела на вече съществуващия гаранционен механизъм за МСП.</w:t>
            </w:r>
          </w:p>
        </w:tc>
        <w:tc>
          <w:tcPr>
            <w:tcW w:w="3240" w:type="dxa"/>
          </w:tcPr>
          <w:p w:rsidR="008E4A10" w:rsidRPr="008E4A10" w:rsidRDefault="000D18F4" w:rsidP="00EA4F53">
            <w:pPr>
              <w:jc w:val="both"/>
              <w:cnfStyle w:val="000000000000" w:firstRow="0" w:lastRow="0" w:firstColumn="0" w:lastColumn="0" w:oddVBand="0" w:evenVBand="0" w:oddHBand="0" w:evenHBand="0" w:firstRowFirstColumn="0" w:firstRowLastColumn="0" w:lastRowFirstColumn="0" w:lastRowLastColumn="0"/>
              <w:rPr>
                <w:rFonts w:cs="Times New Roman"/>
              </w:rPr>
            </w:pPr>
            <w:r>
              <w:rPr>
                <w:rFonts w:cs="Times New Roman"/>
              </w:rPr>
              <w:t xml:space="preserve">10% от БФП </w:t>
            </w:r>
            <w:r w:rsidR="00EA4F53">
              <w:rPr>
                <w:rFonts w:cs="Times New Roman"/>
              </w:rPr>
              <w:t>по ПО за ФИ за мерки за изграждане центрове за повторна употреба на битови отпадъци, изграждане на к</w:t>
            </w:r>
            <w:r w:rsidRPr="000D18F4">
              <w:t>омпостиращи  инсталации</w:t>
            </w:r>
            <w:r w:rsidRPr="00DC6BFC">
              <w:t xml:space="preserve"> за биор</w:t>
            </w:r>
            <w:r>
              <w:t>азградими и/или зелени отпадъци</w:t>
            </w:r>
            <w:r w:rsidR="00EA4F53">
              <w:t xml:space="preserve">, </w:t>
            </w:r>
            <w:r w:rsidR="00EA4F53" w:rsidRPr="00FC32FA">
              <w:rPr>
                <w:szCs w:val="24"/>
              </w:rPr>
              <w:t>площадки и инсталации за предварително третиране на битови отпадъци</w:t>
            </w:r>
            <w:r>
              <w:t>. Същите да бъдат вложени в гаранционен фонд, който да отпуска гаранции на търговските банки, които финансират МСП. Очакван ливъридж ефект от международни финансови институции 1:5, а от други източници 1:2,6.</w:t>
            </w:r>
          </w:p>
        </w:tc>
      </w:tr>
    </w:tbl>
    <w:p w:rsidR="008E4A10" w:rsidRPr="008E4A10" w:rsidRDefault="008E4A10" w:rsidP="008E4A10"/>
    <w:p w:rsidR="008E4A10" w:rsidRDefault="008E4A10" w:rsidP="008E4A10">
      <w:pPr>
        <w:tabs>
          <w:tab w:val="left" w:pos="1815"/>
        </w:tabs>
        <w:sectPr w:rsidR="008E4A10" w:rsidSect="008E4A10">
          <w:pgSz w:w="16838" w:h="11906" w:orient="landscape"/>
          <w:pgMar w:top="1416" w:right="1417" w:bottom="1417" w:left="1417" w:header="708" w:footer="105" w:gutter="0"/>
          <w:cols w:space="708"/>
          <w:titlePg/>
          <w:docGrid w:linePitch="360"/>
        </w:sectPr>
      </w:pPr>
    </w:p>
    <w:p w:rsidR="00332159" w:rsidRDefault="008E4A10" w:rsidP="008E4A10">
      <w:pPr>
        <w:jc w:val="both"/>
        <w:rPr>
          <w:rStyle w:val="hps"/>
        </w:rPr>
      </w:pPr>
      <w:r>
        <w:lastRenderedPageBreak/>
        <w:t>В</w:t>
      </w:r>
      <w:r>
        <w:rPr>
          <w:rFonts w:cs="Times New Roman"/>
        </w:rPr>
        <w:t xml:space="preserve"> </w:t>
      </w:r>
      <w:r w:rsidR="00E30D79">
        <w:rPr>
          <w:rStyle w:val="hps"/>
        </w:rPr>
        <w:t>допълнение към</w:t>
      </w:r>
      <w:r w:rsidR="00E30D79">
        <w:t xml:space="preserve"> </w:t>
      </w:r>
      <w:r w:rsidR="00E30D79">
        <w:rPr>
          <w:rStyle w:val="hps"/>
        </w:rPr>
        <w:t>субсидиране на</w:t>
      </w:r>
      <w:r w:rsidR="00E30D79">
        <w:t xml:space="preserve"> </w:t>
      </w:r>
      <w:r w:rsidR="00E30D79">
        <w:rPr>
          <w:rStyle w:val="hps"/>
        </w:rPr>
        <w:t>разходите за заеми</w:t>
      </w:r>
      <w:r w:rsidR="004232F2">
        <w:t xml:space="preserve"> или гаранции,</w:t>
      </w:r>
      <w:r w:rsidR="00E30D79">
        <w:t xml:space="preserve"> </w:t>
      </w:r>
      <w:r w:rsidR="00E30D79">
        <w:rPr>
          <w:rStyle w:val="hps"/>
        </w:rPr>
        <w:t>ресурсите от ЕСИФ могат</w:t>
      </w:r>
      <w:r w:rsidR="00E30D79">
        <w:t xml:space="preserve"> </w:t>
      </w:r>
      <w:r w:rsidR="00E30D79">
        <w:rPr>
          <w:rStyle w:val="hps"/>
        </w:rPr>
        <w:t>да се използват и</w:t>
      </w:r>
      <w:r w:rsidR="00E30D79">
        <w:t xml:space="preserve"> </w:t>
      </w:r>
      <w:r w:rsidR="00E30D79">
        <w:rPr>
          <w:rStyle w:val="hps"/>
        </w:rPr>
        <w:t>като рискови</w:t>
      </w:r>
      <w:r w:rsidR="00E30D79">
        <w:t xml:space="preserve"> </w:t>
      </w:r>
      <w:r w:rsidR="00E30D79">
        <w:rPr>
          <w:rStyle w:val="hps"/>
        </w:rPr>
        <w:t>буфери</w:t>
      </w:r>
      <w:r w:rsidR="00E30D79">
        <w:t xml:space="preserve"> </w:t>
      </w:r>
      <w:r w:rsidR="00E30D79">
        <w:rPr>
          <w:rStyle w:val="hps"/>
        </w:rPr>
        <w:t>за покриване на</w:t>
      </w:r>
      <w:r w:rsidR="00E30D79">
        <w:t xml:space="preserve"> първите</w:t>
      </w:r>
      <w:r w:rsidR="00E30D79">
        <w:rPr>
          <w:lang w:val="en-US"/>
        </w:rPr>
        <w:t xml:space="preserve"> </w:t>
      </w:r>
      <w:r w:rsidR="00E30D79">
        <w:t xml:space="preserve">загуби </w:t>
      </w:r>
      <w:r w:rsidR="00E30D79">
        <w:rPr>
          <w:rStyle w:val="hps"/>
        </w:rPr>
        <w:t>(</w:t>
      </w:r>
      <w:r w:rsidR="00E30D79">
        <w:rPr>
          <w:rStyle w:val="hps"/>
          <w:lang w:val="en-US"/>
        </w:rPr>
        <w:t>first-loss mechanism)</w:t>
      </w:r>
      <w:r w:rsidR="00E30D79">
        <w:t xml:space="preserve">, които предоставят </w:t>
      </w:r>
      <w:r w:rsidR="004232F2">
        <w:rPr>
          <w:rStyle w:val="hps"/>
        </w:rPr>
        <w:t>генерираните</w:t>
      </w:r>
      <w:r w:rsidR="00E30D79">
        <w:t xml:space="preserve"> </w:t>
      </w:r>
      <w:r w:rsidR="00E30D79">
        <w:rPr>
          <w:rStyle w:val="hps"/>
        </w:rPr>
        <w:t>приходи за</w:t>
      </w:r>
      <w:r w:rsidR="004232F2">
        <w:rPr>
          <w:rStyle w:val="hps"/>
        </w:rPr>
        <w:t xml:space="preserve"> възстановяване на основн</w:t>
      </w:r>
      <w:r w:rsidR="00E30D79">
        <w:rPr>
          <w:rStyle w:val="hps"/>
        </w:rPr>
        <w:t>ия капитал</w:t>
      </w:r>
      <w:r w:rsidR="00E30D79">
        <w:t xml:space="preserve">, предоставен от международните </w:t>
      </w:r>
      <w:r w:rsidR="00E30D79">
        <w:rPr>
          <w:rStyle w:val="hps"/>
        </w:rPr>
        <w:t>финансови институции и частните</w:t>
      </w:r>
      <w:r w:rsidR="00E30D79">
        <w:t xml:space="preserve"> </w:t>
      </w:r>
      <w:r w:rsidR="00E30D79">
        <w:rPr>
          <w:rStyle w:val="hps"/>
        </w:rPr>
        <w:t>инвеститори.</w:t>
      </w:r>
      <w:r w:rsidR="00E30D79">
        <w:t xml:space="preserve"> </w:t>
      </w:r>
      <w:r w:rsidR="00E30D79">
        <w:rPr>
          <w:rStyle w:val="hps"/>
        </w:rPr>
        <w:t>При такава</w:t>
      </w:r>
      <w:r w:rsidR="00E30D79">
        <w:t xml:space="preserve"> </w:t>
      </w:r>
      <w:r w:rsidR="00E30D79">
        <w:rPr>
          <w:rStyle w:val="hps"/>
        </w:rPr>
        <w:t>структура,</w:t>
      </w:r>
      <w:r w:rsidR="00E30D79">
        <w:t xml:space="preserve"> </w:t>
      </w:r>
      <w:r w:rsidR="00E30D79">
        <w:rPr>
          <w:rStyle w:val="hps"/>
        </w:rPr>
        <w:t>се създават</w:t>
      </w:r>
      <w:r w:rsidR="00E30D79">
        <w:t xml:space="preserve"> </w:t>
      </w:r>
      <w:r w:rsidR="00E30D79">
        <w:rPr>
          <w:rStyle w:val="hps"/>
        </w:rPr>
        <w:t>траншове от</w:t>
      </w:r>
      <w:r w:rsidR="00E30D79">
        <w:t xml:space="preserve"> </w:t>
      </w:r>
      <w:r w:rsidR="00E30D79">
        <w:rPr>
          <w:rStyle w:val="hps"/>
        </w:rPr>
        <w:t>капитал</w:t>
      </w:r>
      <w:r w:rsidR="00E30D79">
        <w:t xml:space="preserve"> с различно ниво на риск, </w:t>
      </w:r>
      <w:r w:rsidR="00E30D79">
        <w:rPr>
          <w:rStyle w:val="hps"/>
        </w:rPr>
        <w:t>където</w:t>
      </w:r>
      <w:r w:rsidR="00E30D79">
        <w:t xml:space="preserve"> </w:t>
      </w:r>
      <w:r w:rsidR="00E30D79">
        <w:rPr>
          <w:rStyle w:val="hps"/>
        </w:rPr>
        <w:t>първата загуба</w:t>
      </w:r>
      <w:r w:rsidR="00E30D79">
        <w:t xml:space="preserve"> </w:t>
      </w:r>
      <w:r w:rsidR="00E30D79">
        <w:rPr>
          <w:rStyle w:val="hps"/>
        </w:rPr>
        <w:t>може да бъде покрита</w:t>
      </w:r>
      <w:r w:rsidR="00E30D79">
        <w:t xml:space="preserve"> </w:t>
      </w:r>
      <w:r w:rsidR="00E30D79">
        <w:rPr>
          <w:rStyle w:val="hps"/>
        </w:rPr>
        <w:t>от средствата на ЕСИФ, а следващите</w:t>
      </w:r>
      <w:r w:rsidR="004232F2">
        <w:rPr>
          <w:rStyle w:val="hps"/>
        </w:rPr>
        <w:t xml:space="preserve"> -</w:t>
      </w:r>
      <w:r w:rsidR="00E30D79">
        <w:rPr>
          <w:rStyle w:val="hps"/>
        </w:rPr>
        <w:t xml:space="preserve"> от международните финансови институции</w:t>
      </w:r>
      <w:r w:rsidR="00E30D79">
        <w:t xml:space="preserve"> </w:t>
      </w:r>
      <w:r w:rsidR="00E30D79">
        <w:rPr>
          <w:rStyle w:val="hps"/>
        </w:rPr>
        <w:t>и</w:t>
      </w:r>
      <w:r w:rsidR="00E30D79">
        <w:t xml:space="preserve"> </w:t>
      </w:r>
      <w:r w:rsidR="00E30D79">
        <w:rPr>
          <w:rStyle w:val="hps"/>
        </w:rPr>
        <w:t>търговските</w:t>
      </w:r>
      <w:r w:rsidR="00E30D79">
        <w:t xml:space="preserve"> банки/банки-партньори</w:t>
      </w:r>
      <w:r w:rsidR="00E30D79">
        <w:rPr>
          <w:rStyle w:val="hps"/>
        </w:rPr>
        <w:t>.</w:t>
      </w:r>
      <w:r w:rsidR="00E30D79">
        <w:t xml:space="preserve"> При т</w:t>
      </w:r>
      <w:r w:rsidR="00E30D79">
        <w:rPr>
          <w:rStyle w:val="hps"/>
        </w:rPr>
        <w:t>акъв</w:t>
      </w:r>
      <w:r w:rsidR="00E30D79">
        <w:t xml:space="preserve"> </w:t>
      </w:r>
      <w:r w:rsidR="00E30D79">
        <w:rPr>
          <w:rStyle w:val="hps"/>
        </w:rPr>
        <w:t>механизъм за</w:t>
      </w:r>
      <w:r w:rsidR="00E30D79">
        <w:t xml:space="preserve"> </w:t>
      </w:r>
      <w:r w:rsidR="00E30D79">
        <w:rPr>
          <w:rStyle w:val="hps"/>
        </w:rPr>
        <w:t>погасяване</w:t>
      </w:r>
      <w:r w:rsidR="00E30D79">
        <w:t xml:space="preserve"> </w:t>
      </w:r>
      <w:r w:rsidR="00E30D79">
        <w:rPr>
          <w:rStyle w:val="hps"/>
        </w:rPr>
        <w:t>първите вноски се използват за погасяване</w:t>
      </w:r>
      <w:r w:rsidR="00E30D79">
        <w:t xml:space="preserve"> </w:t>
      </w:r>
      <w:r w:rsidR="00E30D79">
        <w:rPr>
          <w:rStyle w:val="hps"/>
        </w:rPr>
        <w:t>на</w:t>
      </w:r>
      <w:r w:rsidR="00E30D79">
        <w:t xml:space="preserve"> </w:t>
      </w:r>
      <w:r w:rsidR="00421EC4">
        <w:t>основния</w:t>
      </w:r>
      <w:r w:rsidR="00E30D79">
        <w:t xml:space="preserve"> капитал, а </w:t>
      </w:r>
      <w:r w:rsidR="00E30D79">
        <w:rPr>
          <w:rStyle w:val="hps"/>
        </w:rPr>
        <w:t>последният</w:t>
      </w:r>
      <w:r w:rsidR="00E30D79">
        <w:t xml:space="preserve"> </w:t>
      </w:r>
      <w:r w:rsidR="00E30D79">
        <w:rPr>
          <w:rStyle w:val="hps"/>
        </w:rPr>
        <w:t>транш</w:t>
      </w:r>
      <w:r w:rsidR="00E30D79">
        <w:t xml:space="preserve"> </w:t>
      </w:r>
      <w:r w:rsidR="00E30D79">
        <w:rPr>
          <w:rStyle w:val="hps"/>
        </w:rPr>
        <w:t>покрива подчинения капитал</w:t>
      </w:r>
      <w:r w:rsidR="00E30D79">
        <w:t xml:space="preserve">. </w:t>
      </w:r>
      <w:r w:rsidR="00E30D79">
        <w:rPr>
          <w:rStyle w:val="hps"/>
        </w:rPr>
        <w:t>Използването на</w:t>
      </w:r>
      <w:r w:rsidR="00E30D79">
        <w:t xml:space="preserve"> </w:t>
      </w:r>
      <w:r w:rsidR="00E30D79">
        <w:rPr>
          <w:rStyle w:val="hps"/>
        </w:rPr>
        <w:t>концесионни</w:t>
      </w:r>
      <w:r w:rsidR="00E30D79">
        <w:t xml:space="preserve"> </w:t>
      </w:r>
      <w:r w:rsidR="00E30D79">
        <w:rPr>
          <w:rStyle w:val="hps"/>
        </w:rPr>
        <w:t>ресурси в рамките</w:t>
      </w:r>
      <w:r w:rsidR="00E30D79">
        <w:t xml:space="preserve"> </w:t>
      </w:r>
      <w:r w:rsidR="00E30D79">
        <w:rPr>
          <w:rStyle w:val="hps"/>
        </w:rPr>
        <w:t>на тази структура</w:t>
      </w:r>
      <w:r w:rsidR="00E30D79">
        <w:t xml:space="preserve"> </w:t>
      </w:r>
      <w:r w:rsidR="00E30D79">
        <w:rPr>
          <w:rStyle w:val="hps"/>
        </w:rPr>
        <w:t>позволява</w:t>
      </w:r>
      <w:r w:rsidR="00E30D79">
        <w:t xml:space="preserve"> да бъдат привлечени </w:t>
      </w:r>
      <w:r w:rsidR="00E30D79">
        <w:rPr>
          <w:rStyle w:val="hps"/>
        </w:rPr>
        <w:t>допълнителни</w:t>
      </w:r>
      <w:r w:rsidR="00E30D79">
        <w:t xml:space="preserve"> </w:t>
      </w:r>
      <w:r w:rsidR="00E30D79">
        <w:rPr>
          <w:rStyle w:val="hps"/>
        </w:rPr>
        <w:t>търговски</w:t>
      </w:r>
      <w:r w:rsidR="00E30D79">
        <w:t xml:space="preserve"> </w:t>
      </w:r>
      <w:r w:rsidR="00E30D79">
        <w:rPr>
          <w:rStyle w:val="hps"/>
        </w:rPr>
        <w:t>средства, за да</w:t>
      </w:r>
      <w:r w:rsidR="00E30D79">
        <w:t xml:space="preserve"> </w:t>
      </w:r>
      <w:r w:rsidR="00E30D79">
        <w:rPr>
          <w:rStyle w:val="hps"/>
        </w:rPr>
        <w:t>бъдат използвани в по-голям мащаб за целите на програмата</w:t>
      </w:r>
      <w:r w:rsidR="00E30D79">
        <w:t xml:space="preserve">. </w:t>
      </w:r>
      <w:r w:rsidR="00E30D79">
        <w:rPr>
          <w:rStyle w:val="hps"/>
        </w:rPr>
        <w:t>Траншовете на средства от ЕСИФ ще осигурят условия за участието на инвеститори, които не са склонни да поемат съответните нива на риск.</w:t>
      </w:r>
    </w:p>
    <w:p w:rsidR="00332159" w:rsidRDefault="00332159">
      <w:pPr>
        <w:rPr>
          <w:rStyle w:val="hps"/>
        </w:rPr>
      </w:pPr>
      <w:r>
        <w:rPr>
          <w:rStyle w:val="hps"/>
        </w:rPr>
        <w:br w:type="page"/>
      </w:r>
    </w:p>
    <w:p w:rsidR="00C77A9C" w:rsidRDefault="00C77A9C" w:rsidP="00D51C28">
      <w:pPr>
        <w:pStyle w:val="Heading3"/>
      </w:pPr>
      <w:bookmarkStart w:id="180" w:name="_Toc399494568"/>
      <w:r>
        <w:lastRenderedPageBreak/>
        <w:t>5.1.1. Видове финансови инструменти по приоритетни оси</w:t>
      </w:r>
      <w:bookmarkEnd w:id="180"/>
    </w:p>
    <w:p w:rsidR="000002A0" w:rsidRPr="000002A0" w:rsidRDefault="000002A0" w:rsidP="000002A0">
      <w:pPr>
        <w:jc w:val="both"/>
      </w:pPr>
      <w:r>
        <w:t>В резултат от анализите в първата част на доклада и изводите за адекватните финансови инструменти, които могат да бъдат използвани за решаване на проблемите по съответните приоритети, представен в т. 5.1. по-горе, се препоръчва използването на заеми и гаранции по Приоритетна ос1 и гаранции по Приоритетна ос 2. Същите следва да бъдат приложени, чрез създаването на Фонд за устойчиви инвестиции във ВиК сектора и гаранционен фонд за проекти в сектор Отпадъци, мотивите за което са изложени в останалата част от т.5 „Предложение за инвестиционна стратегия.“</w:t>
      </w:r>
    </w:p>
    <w:p w:rsidR="00073135" w:rsidRDefault="00073135" w:rsidP="000002A0">
      <w:pPr>
        <w:pStyle w:val="Header"/>
        <w:keepNext/>
        <w:jc w:val="both"/>
        <w:rPr>
          <w:b/>
        </w:rPr>
      </w:pPr>
    </w:p>
    <w:p w:rsidR="00590F84" w:rsidRPr="00B710A4" w:rsidRDefault="00590F84" w:rsidP="00D51C28">
      <w:pPr>
        <w:pStyle w:val="Header"/>
        <w:keepNext/>
        <w:jc w:val="center"/>
        <w:rPr>
          <w:b/>
        </w:rPr>
      </w:pPr>
      <w:r>
        <w:rPr>
          <w:b/>
        </w:rPr>
        <w:t xml:space="preserve">Фонд за устойчиви инвестиции във </w:t>
      </w:r>
      <w:r w:rsidRPr="00B710A4">
        <w:rPr>
          <w:b/>
        </w:rPr>
        <w:t>ВиК сектор</w:t>
      </w:r>
      <w:r>
        <w:rPr>
          <w:b/>
        </w:rPr>
        <w:t>а</w:t>
      </w:r>
    </w:p>
    <w:p w:rsidR="00590F84" w:rsidRPr="00590F84" w:rsidRDefault="00590F84" w:rsidP="00D51C28">
      <w:pPr>
        <w:keepNext/>
      </w:pPr>
    </w:p>
    <w:p w:rsidR="00590F84" w:rsidRDefault="00896C88" w:rsidP="00B818E6">
      <w:pPr>
        <w:pStyle w:val="Header"/>
        <w:ind w:left="-284"/>
        <w:jc w:val="center"/>
      </w:pPr>
      <w:r>
        <w:rPr>
          <w:b/>
          <w:noProof/>
          <w:lang w:eastAsia="bg-BG"/>
        </w:rPr>
        <mc:AlternateContent>
          <mc:Choice Requires="wps">
            <w:drawing>
              <wp:anchor distT="0" distB="0" distL="114300" distR="114300" simplePos="0" relativeHeight="251667456" behindDoc="0" locked="0" layoutInCell="1" allowOverlap="1" wp14:anchorId="0A520CCC">
                <wp:simplePos x="0" y="0"/>
                <wp:positionH relativeFrom="column">
                  <wp:posOffset>3434080</wp:posOffset>
                </wp:positionH>
                <wp:positionV relativeFrom="paragraph">
                  <wp:posOffset>1857375</wp:posOffset>
                </wp:positionV>
                <wp:extent cx="695325" cy="494665"/>
                <wp:effectExtent l="38100" t="0" r="28575" b="57785"/>
                <wp:wrapNone/>
                <wp:docPr id="70"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494665"/>
                        </a:xfrm>
                        <a:prstGeom prst="downArrow">
                          <a:avLst>
                            <a:gd name="adj1" fmla="val 50000"/>
                            <a:gd name="adj2" fmla="val 25000"/>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C15DB" id="AutoShape 74" o:spid="_x0000_s1026" type="#_x0000_t67" style="position:absolute;margin-left:270.4pt;margin-top:146.25pt;width:54.75pt;height:38.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" fillcolor="#c9c9c9 [1942]" strokecolor="#c9c9c9 [1942]" strokeweight="1pt">
                <v:fill color2="#ededed [662]" angle="135" focus="50%" type="gradient"/>
                <v:shadow on="t" color="#525252 [1606]" opacity=".5" offset="1pt"/>
                <v:textbox style="layout-flow:vertical-ideographic"/>
              </v:shape>
            </w:pict>
          </mc:Fallback>
        </mc:AlternateContent>
      </w:r>
      <w:r>
        <w:rPr>
          <w:b/>
          <w:noProof/>
          <w:lang w:eastAsia="bg-BG"/>
        </w:rPr>
        <mc:AlternateContent>
          <mc:Choice Requires="wps">
            <w:drawing>
              <wp:anchor distT="0" distB="0" distL="114300" distR="114300" simplePos="0" relativeHeight="251666432" behindDoc="0" locked="0" layoutInCell="1" allowOverlap="1" wp14:anchorId="09E05C65">
                <wp:simplePos x="0" y="0"/>
                <wp:positionH relativeFrom="column">
                  <wp:posOffset>1995805</wp:posOffset>
                </wp:positionH>
                <wp:positionV relativeFrom="paragraph">
                  <wp:posOffset>1857375</wp:posOffset>
                </wp:positionV>
                <wp:extent cx="695325" cy="494665"/>
                <wp:effectExtent l="38100" t="0" r="28575" b="57785"/>
                <wp:wrapNone/>
                <wp:docPr id="71"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494665"/>
                        </a:xfrm>
                        <a:prstGeom prst="downArrow">
                          <a:avLst>
                            <a:gd name="adj1" fmla="val 50000"/>
                            <a:gd name="adj2" fmla="val 25000"/>
                          </a:avLst>
                        </a:prstGeom>
                        <a:gradFill rotWithShape="0">
                          <a:gsLst>
                            <a:gs pos="0">
                              <a:schemeClr val="accent3">
                                <a:lumMod val="60000"/>
                                <a:lumOff val="40000"/>
                              </a:schemeClr>
                            </a:gs>
                            <a:gs pos="50000">
                              <a:schemeClr val="accent3">
                                <a:lumMod val="20000"/>
                                <a:lumOff val="80000"/>
                              </a:schemeClr>
                            </a:gs>
                            <a:gs pos="100000">
                              <a:schemeClr val="accent3">
                                <a:lumMod val="60000"/>
                                <a:lumOff val="40000"/>
                              </a:schemeClr>
                            </a:gs>
                          </a:gsLst>
                          <a:lin ang="189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A4C2BD" id="AutoShape 73" o:spid="_x0000_s1026" type="#_x0000_t67" style="position:absolute;margin-left:157.15pt;margin-top:146.25pt;width:54.75pt;height:38.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" fillcolor="#c9c9c9 [1942]" strokecolor="#c9c9c9 [1942]" strokeweight="1pt">
                <v:fill color2="#ededed [662]" angle="135" focus="50%" type="gradient"/>
                <v:shadow on="t" color="#525252 [1606]" opacity=".5" offset="1pt"/>
                <v:textbox style="layout-flow:vertical-ideographic"/>
              </v:shape>
            </w:pict>
          </mc:Fallback>
        </mc:AlternateContent>
      </w:r>
      <w:r w:rsidR="00590F84" w:rsidRPr="00590F84">
        <w:rPr>
          <w:b/>
          <w:noProof/>
          <w:lang w:eastAsia="bg-BG"/>
        </w:rPr>
        <w:drawing>
          <wp:inline distT="0" distB="0" distL="0" distR="0">
            <wp:extent cx="3943350" cy="1819275"/>
            <wp:effectExtent l="0" t="38100" r="0" b="47625"/>
            <wp:docPr id="26"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p>
    <w:p w:rsidR="00590F84" w:rsidRDefault="00590F84" w:rsidP="00590F84">
      <w:pPr>
        <w:pStyle w:val="Header"/>
        <w:jc w:val="center"/>
      </w:pPr>
    </w:p>
    <w:p w:rsidR="00590F84" w:rsidRDefault="00590F84" w:rsidP="00590F84">
      <w:pPr>
        <w:pStyle w:val="Header"/>
        <w:jc w:val="center"/>
      </w:pPr>
    </w:p>
    <w:p w:rsidR="00590F84" w:rsidRDefault="00590F84" w:rsidP="00590F84">
      <w:pPr>
        <w:pStyle w:val="Header"/>
        <w:jc w:val="center"/>
      </w:pPr>
    </w:p>
    <w:p w:rsidR="00B94BCB" w:rsidRDefault="00896C88" w:rsidP="00B818E6">
      <w:pPr>
        <w:pStyle w:val="Header"/>
        <w:ind w:left="284"/>
        <w:jc w:val="center"/>
      </w:pPr>
      <w:r>
        <w:rPr>
          <w:noProof/>
          <w:lang w:eastAsia="bg-BG"/>
        </w:rPr>
        <mc:AlternateContent>
          <mc:Choice Requires="wps">
            <w:drawing>
              <wp:anchor distT="0" distB="0" distL="114300" distR="114300" simplePos="0" relativeHeight="251674624" behindDoc="0" locked="0" layoutInCell="1" allowOverlap="1" wp14:anchorId="65C7BC26">
                <wp:simplePos x="0" y="0"/>
                <wp:positionH relativeFrom="column">
                  <wp:posOffset>1762760</wp:posOffset>
                </wp:positionH>
                <wp:positionV relativeFrom="paragraph">
                  <wp:posOffset>2860040</wp:posOffset>
                </wp:positionV>
                <wp:extent cx="876300" cy="304800"/>
                <wp:effectExtent l="0" t="19050" r="57150" b="57150"/>
                <wp:wrapNone/>
                <wp:docPr id="67" name="AutoShap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304800"/>
                        </a:xfrm>
                        <a:prstGeom prst="rightArrow">
                          <a:avLst>
                            <a:gd name="adj1" fmla="val 50000"/>
                            <a:gd name="adj2" fmla="val 71875"/>
                          </a:avLst>
                        </a:prstGeom>
                        <a:gradFill rotWithShape="0">
                          <a:gsLst>
                            <a:gs pos="0">
                              <a:schemeClr val="accent1">
                                <a:lumMod val="60000"/>
                                <a:lumOff val="40000"/>
                              </a:schemeClr>
                            </a:gs>
                            <a:gs pos="50000">
                              <a:schemeClr val="accent1">
                                <a:lumMod val="100000"/>
                                <a:lumOff val="0"/>
                              </a:schemeClr>
                            </a:gs>
                            <a:gs pos="100000">
                              <a:schemeClr val="accent1">
                                <a:lumMod val="60000"/>
                                <a:lumOff val="40000"/>
                              </a:schemeClr>
                            </a:gs>
                          </a:gsLst>
                          <a:lin ang="5400000" scaled="1"/>
                        </a:gradFill>
                        <a:ln w="12700">
                          <a:solidFill>
                            <a:schemeClr val="accent1">
                              <a:lumMod val="100000"/>
                              <a:lumOff val="0"/>
                            </a:schemeClr>
                          </a:solidFill>
                          <a:miter lim="800000"/>
                          <a:headEnd/>
                          <a:tailEnd/>
                        </a:ln>
                        <a:effectLst>
                          <a:outerShdw dist="28398" dir="3806097" algn="ctr" rotWithShape="0">
                            <a:schemeClr val="accent1">
                              <a:lumMod val="50000"/>
                              <a:lumOff val="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44CA0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26" o:spid="_x0000_s1026" type="#_x0000_t13" style="position:absolute;margin-left:138.8pt;margin-top:225.2pt;width:69pt;height:2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" fillcolor="#9cc2e5 [1940]" strokecolor="#5b9bd5 [3204]" strokeweight="1pt">
                <v:fill color2="#5b9bd5 [3204]" focus="50%" type="gradient"/>
                <v:shadow on="t" color="#1f4d78 [1604]" offset="1pt"/>
              </v:shape>
            </w:pict>
          </mc:Fallback>
        </mc:AlternateContent>
      </w:r>
      <w:r w:rsidR="00B818E6" w:rsidRPr="00B818E6">
        <w:rPr>
          <w:noProof/>
          <w:lang w:eastAsia="bg-BG"/>
        </w:rPr>
        <w:drawing>
          <wp:inline distT="0" distB="0" distL="0" distR="0">
            <wp:extent cx="5193102" cy="3414263"/>
            <wp:effectExtent l="0" t="38100" r="0" b="34290"/>
            <wp:docPr id="69"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p>
    <w:p w:rsidR="00F00027" w:rsidRDefault="00F00027" w:rsidP="00EA4F53">
      <w:pPr>
        <w:spacing w:before="240"/>
        <w:ind w:left="426"/>
        <w:jc w:val="both"/>
      </w:pPr>
    </w:p>
    <w:p w:rsidR="00332159" w:rsidRPr="00DC6BFC" w:rsidRDefault="00332159" w:rsidP="00EA4F53">
      <w:pPr>
        <w:spacing w:before="240"/>
        <w:ind w:left="426"/>
        <w:jc w:val="both"/>
      </w:pPr>
      <w:r w:rsidRPr="00DC6BFC">
        <w:lastRenderedPageBreak/>
        <w:t>По ос 1 води се предвижда създаването на фонд за устойчиви инвестиции във ВиК сектора, който да предоставя два вида финансови инструменти – заеми за реализирането на инвестиционни проекти</w:t>
      </w:r>
      <w:r w:rsidRPr="00EA4F53">
        <w:t xml:space="preserve"> за</w:t>
      </w:r>
      <w:r w:rsidRPr="00DC6BFC">
        <w:rPr>
          <w:rFonts w:ascii="Times New Roman" w:eastAsia="Calibri" w:hAnsi="Times New Roman" w:cs="Times New Roman"/>
          <w:sz w:val="24"/>
          <w:szCs w:val="24"/>
        </w:rPr>
        <w:t xml:space="preserve"> </w:t>
      </w:r>
      <w:r w:rsidRPr="00DC6BFC">
        <w:t xml:space="preserve">изграждане, рехабилитация и модернизиране на ВиК инфраструктура, отчитайки Регионалните генерални планове и Плановете за управление на речните басейни, насочени към агломерации с над 10 000 екв.ж. и гаранции за обезпечаване финансирането на същите, предоставено от търговските банки в случай, че са достатъчно ликвидни и могат да осигурят </w:t>
      </w:r>
      <w:r w:rsidR="00EA4F53">
        <w:t xml:space="preserve">паралелно </w:t>
      </w:r>
      <w:r w:rsidRPr="00DC6BFC">
        <w:t xml:space="preserve">финансиране в съответния размер. </w:t>
      </w:r>
    </w:p>
    <w:p w:rsidR="00332159" w:rsidRDefault="00332159" w:rsidP="000D6A15"/>
    <w:p w:rsidR="00AE786C" w:rsidRPr="00B710A4" w:rsidRDefault="00AE786C" w:rsidP="006B4BD2">
      <w:pPr>
        <w:pStyle w:val="Header"/>
        <w:keepNext/>
        <w:spacing w:after="240"/>
        <w:jc w:val="center"/>
        <w:rPr>
          <w:b/>
        </w:rPr>
      </w:pPr>
      <w:r>
        <w:rPr>
          <w:b/>
        </w:rPr>
        <w:t xml:space="preserve">Гаранционен фонд за </w:t>
      </w:r>
      <w:r w:rsidR="000B2CF9">
        <w:rPr>
          <w:b/>
        </w:rPr>
        <w:t>проекти</w:t>
      </w:r>
      <w:r>
        <w:rPr>
          <w:b/>
        </w:rPr>
        <w:t xml:space="preserve"> в сектор Отпадъци</w:t>
      </w:r>
    </w:p>
    <w:p w:rsidR="00AE786C" w:rsidRDefault="00896C88" w:rsidP="000D6A15">
      <w:r>
        <w:rPr>
          <w:noProof/>
          <w:lang w:eastAsia="bg-BG"/>
        </w:rPr>
        <mc:AlternateContent>
          <mc:Choice Requires="wps">
            <w:drawing>
              <wp:anchor distT="0" distB="0" distL="114300" distR="114300" simplePos="0" relativeHeight="251669504" behindDoc="0" locked="0" layoutInCell="1" allowOverlap="1" wp14:anchorId="3A25837B">
                <wp:simplePos x="0" y="0"/>
                <wp:positionH relativeFrom="column">
                  <wp:posOffset>3024505</wp:posOffset>
                </wp:positionH>
                <wp:positionV relativeFrom="paragraph">
                  <wp:posOffset>1859915</wp:posOffset>
                </wp:positionV>
                <wp:extent cx="695325" cy="494665"/>
                <wp:effectExtent l="38100" t="0" r="28575" b="57785"/>
                <wp:wrapNone/>
                <wp:docPr id="63"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494665"/>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E0390" id="AutoShape 76" o:spid="_x0000_s1026" type="#_x0000_t67" style="position:absolute;margin-left:238.15pt;margin-top:146.45pt;width:54.75pt;height:38.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" fillcolor="#a8d08d [1945]" strokecolor="#a8d08d [1945]" strokeweight="1pt">
                <v:fill color2="#e2efd9 [665]" angle="135" focus="50%" type="gradient"/>
                <v:shadow on="t" color="#375623 [1609]" opacity=".5" offset="1pt"/>
                <v:textbox style="layout-flow:vertical-ideographic"/>
              </v:shape>
            </w:pict>
          </mc:Fallback>
        </mc:AlternateContent>
      </w:r>
      <w:r>
        <w:rPr>
          <w:noProof/>
          <w:lang w:eastAsia="bg-BG"/>
        </w:rPr>
        <mc:AlternateContent>
          <mc:Choice Requires="wps">
            <w:drawing>
              <wp:anchor distT="0" distB="0" distL="114300" distR="114300" simplePos="0" relativeHeight="251668480" behindDoc="0" locked="0" layoutInCell="1" allowOverlap="1" wp14:anchorId="30E5C304">
                <wp:simplePos x="0" y="0"/>
                <wp:positionH relativeFrom="column">
                  <wp:posOffset>1919605</wp:posOffset>
                </wp:positionH>
                <wp:positionV relativeFrom="paragraph">
                  <wp:posOffset>1859915</wp:posOffset>
                </wp:positionV>
                <wp:extent cx="695325" cy="494665"/>
                <wp:effectExtent l="38100" t="0" r="28575" b="57785"/>
                <wp:wrapNone/>
                <wp:docPr id="62"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494665"/>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F6C45" id="AutoShape 75" o:spid="_x0000_s1026" type="#_x0000_t67" style="position:absolute;margin-left:151.15pt;margin-top:146.45pt;width:54.75pt;height:38.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" fillcolor="#a8d08d [1945]" strokecolor="#a8d08d [1945]" strokeweight="1pt">
                <v:fill color2="#e2efd9 [665]" angle="135" focus="50%" type="gradient"/>
                <v:shadow on="t" color="#375623 [1609]" opacity=".5" offset="1pt"/>
                <v:textbox style="layout-flow:vertical-ideographic"/>
              </v:shape>
            </w:pict>
          </mc:Fallback>
        </mc:AlternateContent>
      </w:r>
      <w:r w:rsidR="00AE786C" w:rsidRPr="00AE786C">
        <w:rPr>
          <w:noProof/>
          <w:lang w:eastAsia="bg-BG"/>
        </w:rPr>
        <w:drawing>
          <wp:inline distT="0" distB="0" distL="0" distR="0">
            <wp:extent cx="5038725" cy="1781175"/>
            <wp:effectExtent l="0" t="38100" r="0" b="47625"/>
            <wp:docPr id="28"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6" r:lo="rId177" r:qs="rId178" r:cs="rId179"/>
              </a:graphicData>
            </a:graphic>
          </wp:inline>
        </w:drawing>
      </w:r>
    </w:p>
    <w:p w:rsidR="00AE786C" w:rsidRDefault="00AE786C" w:rsidP="000D6A15"/>
    <w:p w:rsidR="00AE786C" w:rsidRDefault="00AE786C" w:rsidP="000D6A15"/>
    <w:p w:rsidR="006B4BD2" w:rsidRPr="006B4BD2" w:rsidRDefault="00332159" w:rsidP="006B4BD2">
      <w:r>
        <w:rPr>
          <w:noProof/>
          <w:lang w:eastAsia="bg-BG"/>
        </w:rPr>
        <w:drawing>
          <wp:inline distT="0" distB="0" distL="0" distR="0">
            <wp:extent cx="5840083" cy="3931848"/>
            <wp:effectExtent l="0" t="57150" r="0" b="50165"/>
            <wp:docPr id="68" name="Diagram 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1" r:lo="rId182" r:qs="rId183" r:cs="rId184"/>
              </a:graphicData>
            </a:graphic>
          </wp:inline>
        </w:drawing>
      </w:r>
    </w:p>
    <w:p w:rsidR="00332159" w:rsidRPr="00DC6BFC" w:rsidRDefault="00332159" w:rsidP="00EA4F53">
      <w:pPr>
        <w:spacing w:before="240"/>
        <w:jc w:val="both"/>
      </w:pPr>
      <w:r w:rsidRPr="00DC6BFC">
        <w:lastRenderedPageBreak/>
        <w:t xml:space="preserve">По приоритетна ос 2 се предвижда създаването на гаранционен фонд с цел предоставяне на гаранции, срещу които търговските банки да финансират </w:t>
      </w:r>
      <w:r w:rsidR="00EA4F53">
        <w:t xml:space="preserve">частния сектор и </w:t>
      </w:r>
      <w:r w:rsidR="00EB6C68">
        <w:t>общинските</w:t>
      </w:r>
      <w:r w:rsidR="00EA4F53">
        <w:t xml:space="preserve"> предприятия за </w:t>
      </w:r>
      <w:r w:rsidRPr="00DC6BFC">
        <w:t xml:space="preserve">реализиране на инвестициите </w:t>
      </w:r>
      <w:r w:rsidR="00B82D9D">
        <w:t>в</w:t>
      </w:r>
      <w:r w:rsidR="00AF6A86">
        <w:t xml:space="preserve"> п</w:t>
      </w:r>
      <w:r w:rsidRPr="00DC6BFC">
        <w:t xml:space="preserve">роектиране и изграждане на </w:t>
      </w:r>
      <w:r w:rsidR="00EA4F53">
        <w:rPr>
          <w:rFonts w:cs="Times New Roman"/>
        </w:rPr>
        <w:t>изграждане центрове за повторна употреба на битови отпадъци, изграждане на к</w:t>
      </w:r>
      <w:r w:rsidR="00EA4F53" w:rsidRPr="000D18F4">
        <w:t>омпостиращи  инсталации</w:t>
      </w:r>
      <w:r w:rsidR="00EA4F53" w:rsidRPr="00DC6BFC">
        <w:t xml:space="preserve"> за биор</w:t>
      </w:r>
      <w:r w:rsidR="00EA4F53">
        <w:t xml:space="preserve">азградими и/или зелени отпадъци, </w:t>
      </w:r>
      <w:r w:rsidR="00EA4F53" w:rsidRPr="00FC32FA">
        <w:rPr>
          <w:szCs w:val="24"/>
        </w:rPr>
        <w:t>площадки и инсталации за предварително третиране на битови отпадъци</w:t>
      </w:r>
      <w:r w:rsidRPr="00DC6BFC">
        <w:t xml:space="preserve">. </w:t>
      </w:r>
    </w:p>
    <w:p w:rsidR="00244086" w:rsidRDefault="00C77A9C" w:rsidP="00ED5CEF">
      <w:pPr>
        <w:pStyle w:val="Heading3"/>
        <w:rPr>
          <w:b/>
        </w:rPr>
      </w:pPr>
      <w:bookmarkStart w:id="181" w:name="_Toc399494569"/>
      <w:r w:rsidRPr="00787873">
        <w:t xml:space="preserve">5.1.2. </w:t>
      </w:r>
      <w:r w:rsidR="00244086" w:rsidRPr="00787873">
        <w:t xml:space="preserve">Възможности за привличане на ресурс от международни финансови институции за финансиране на околна </w:t>
      </w:r>
      <w:r w:rsidR="00B42925">
        <w:t>среда</w:t>
      </w:r>
      <w:bookmarkEnd w:id="181"/>
    </w:p>
    <w:p w:rsidR="005A1BA7" w:rsidRPr="005A1BA7" w:rsidRDefault="005A1BA7" w:rsidP="005A1BA7"/>
    <w:p w:rsidR="00332159" w:rsidRPr="00DC6BFC" w:rsidRDefault="00332159" w:rsidP="00332159">
      <w:pPr>
        <w:spacing w:line="240" w:lineRule="auto"/>
        <w:jc w:val="both"/>
      </w:pPr>
      <w:r w:rsidRPr="00DC6BFC">
        <w:t>Възможните подходи за решения по основните въпроси, свързани с привличането на ресурс са:</w:t>
      </w:r>
    </w:p>
    <w:p w:rsidR="00332159" w:rsidRPr="00DC6BFC" w:rsidRDefault="00332159" w:rsidP="001A036E">
      <w:pPr>
        <w:numPr>
          <w:ilvl w:val="0"/>
          <w:numId w:val="140"/>
        </w:numPr>
        <w:spacing w:line="240" w:lineRule="auto"/>
        <w:ind w:left="567"/>
        <w:contextualSpacing/>
        <w:jc w:val="both"/>
      </w:pPr>
      <w:r w:rsidRPr="00DC6BFC">
        <w:t>Източници на финансиране</w:t>
      </w:r>
    </w:p>
    <w:p w:rsidR="00332159" w:rsidRPr="00DC6BFC" w:rsidRDefault="00332159" w:rsidP="001A036E">
      <w:pPr>
        <w:numPr>
          <w:ilvl w:val="0"/>
          <w:numId w:val="138"/>
        </w:numPr>
        <w:spacing w:before="240" w:after="200" w:line="240" w:lineRule="auto"/>
        <w:ind w:left="567"/>
        <w:contextualSpacing/>
        <w:jc w:val="both"/>
      </w:pPr>
      <w:r w:rsidRPr="00DC6BFC">
        <w:t>Една от възможностите е да се потърсят средства за целево финансиране на проекти за опазване на околна среда (основно) от следните международни финансови институции – Европейската инвестиционна банка (ЕИБ), Банка за развитие към Съвета на Европа (БРСЕ), Световна банка,</w:t>
      </w:r>
      <w:r w:rsidRPr="00DC6BFC">
        <w:rPr>
          <w:lang w:val="en-US"/>
        </w:rPr>
        <w:t xml:space="preserve"> </w:t>
      </w:r>
      <w:r w:rsidRPr="00DC6BFC">
        <w:t>Европейската банка за възстановяване и развитие, Скандинавската инвестиционна банка (СИБ), Черноморската банка за търговия и развитие (ЧБТР), КфВ, Японската банка за международно сътрудничество (ЯБМС).</w:t>
      </w:r>
    </w:p>
    <w:p w:rsidR="00332159" w:rsidRPr="00DC6BFC" w:rsidRDefault="00332159" w:rsidP="001A036E">
      <w:pPr>
        <w:numPr>
          <w:ilvl w:val="0"/>
          <w:numId w:val="138"/>
        </w:numPr>
        <w:spacing w:after="200" w:line="240" w:lineRule="auto"/>
        <w:ind w:left="567"/>
        <w:contextualSpacing/>
        <w:jc w:val="both"/>
      </w:pPr>
      <w:r w:rsidRPr="00DC6BFC">
        <w:t>Друг възможен подход за осигуряване на финансиране е целево емитиране на облигации   за финансиране на  проекти в областта на околната среда.</w:t>
      </w:r>
    </w:p>
    <w:p w:rsidR="00332159" w:rsidRPr="00DC6BFC" w:rsidRDefault="00332159" w:rsidP="001A036E">
      <w:pPr>
        <w:numPr>
          <w:ilvl w:val="0"/>
          <w:numId w:val="140"/>
        </w:numPr>
        <w:spacing w:line="240" w:lineRule="auto"/>
        <w:ind w:left="567"/>
        <w:contextualSpacing/>
        <w:jc w:val="both"/>
      </w:pPr>
      <w:r w:rsidRPr="00DC6BFC">
        <w:t>По отношение на привличането на ресурс от МФИ е важно да се уточни:</w:t>
      </w:r>
    </w:p>
    <w:p w:rsidR="00332159" w:rsidRPr="00DC6BFC" w:rsidRDefault="00332159" w:rsidP="001A036E">
      <w:pPr>
        <w:numPr>
          <w:ilvl w:val="1"/>
          <w:numId w:val="139"/>
        </w:numPr>
        <w:spacing w:after="0" w:line="240" w:lineRule="auto"/>
        <w:contextualSpacing/>
        <w:jc w:val="both"/>
      </w:pPr>
      <w:r w:rsidRPr="00DC6BFC">
        <w:t>при какви условия те биха предоставили ресурс – цена – лихвен процент и допълнителни такси и комисиони, цел на финансиране, обезпечение по заема, други специфични изисквания;</w:t>
      </w:r>
    </w:p>
    <w:p w:rsidR="00332159" w:rsidRPr="00DC6BFC" w:rsidRDefault="00332159" w:rsidP="001A036E">
      <w:pPr>
        <w:numPr>
          <w:ilvl w:val="1"/>
          <w:numId w:val="139"/>
        </w:numPr>
        <w:spacing w:after="0" w:line="240" w:lineRule="auto"/>
        <w:contextualSpacing/>
        <w:jc w:val="both"/>
      </w:pPr>
      <w:r w:rsidRPr="00DC6BFC">
        <w:t>за какъв тип проекти и Бенефициенти (МСП, големи предприятия, общ</w:t>
      </w:r>
      <w:r w:rsidR="00EA4F53">
        <w:t>ини) е необходимо финансирането</w:t>
      </w:r>
    </w:p>
    <w:p w:rsidR="00332159" w:rsidRPr="00DC6BFC" w:rsidRDefault="00332159" w:rsidP="001A036E">
      <w:pPr>
        <w:numPr>
          <w:ilvl w:val="0"/>
          <w:numId w:val="140"/>
        </w:numPr>
        <w:spacing w:line="240" w:lineRule="auto"/>
        <w:ind w:left="567"/>
        <w:contextualSpacing/>
        <w:jc w:val="both"/>
      </w:pPr>
      <w:r w:rsidRPr="00DC6BFC">
        <w:t>Възможен инициатор за привличане на финансов ресурс:</w:t>
      </w:r>
    </w:p>
    <w:p w:rsidR="00332159" w:rsidRPr="00DC6BFC" w:rsidRDefault="00332159" w:rsidP="001A036E">
      <w:pPr>
        <w:numPr>
          <w:ilvl w:val="1"/>
          <w:numId w:val="139"/>
        </w:numPr>
        <w:spacing w:before="240" w:after="0" w:line="240" w:lineRule="auto"/>
        <w:contextualSpacing/>
        <w:jc w:val="both"/>
      </w:pPr>
      <w:r w:rsidRPr="00DC6BFC">
        <w:t>Българската държава – за институции, в които България е акционер – ЕИБ, БРСЕ, ЧБТР, а също така и КфВ, ЯБМС и СИБ, с които България поддържа много добри отношения; много по-лесно ще се получат средства. Инициативата за този подход може да дойде от Министерство на финансите или Министерство на околната среда и водите.</w:t>
      </w:r>
    </w:p>
    <w:p w:rsidR="00332159" w:rsidRPr="00DC6BFC" w:rsidRDefault="00332159" w:rsidP="001A036E">
      <w:pPr>
        <w:numPr>
          <w:ilvl w:val="0"/>
          <w:numId w:val="140"/>
        </w:numPr>
        <w:spacing w:line="240" w:lineRule="auto"/>
        <w:ind w:left="567"/>
        <w:contextualSpacing/>
        <w:jc w:val="both"/>
      </w:pPr>
      <w:r w:rsidRPr="00DC6BFC">
        <w:t>Възможни са различни начини на финансиране:</w:t>
      </w:r>
    </w:p>
    <w:p w:rsidR="00332159" w:rsidRPr="00DC6BFC" w:rsidRDefault="00332159" w:rsidP="001A036E">
      <w:pPr>
        <w:numPr>
          <w:ilvl w:val="1"/>
          <w:numId w:val="139"/>
        </w:numPr>
        <w:spacing w:before="240" w:after="0" w:line="240" w:lineRule="auto"/>
        <w:contextualSpacing/>
        <w:jc w:val="both"/>
      </w:pPr>
      <w:r w:rsidRPr="00DC6BFC">
        <w:t>От гледна точка на източника на финансиране, може да се използва само един източник или комбинация на източници на финансов ресурс от няколко институции при предварително определени условия;</w:t>
      </w:r>
    </w:p>
    <w:p w:rsidR="00332159" w:rsidRPr="00DC6BFC" w:rsidRDefault="00332159" w:rsidP="001A036E">
      <w:pPr>
        <w:numPr>
          <w:ilvl w:val="1"/>
          <w:numId w:val="139"/>
        </w:numPr>
        <w:spacing w:before="240" w:after="0" w:line="240" w:lineRule="auto"/>
        <w:contextualSpacing/>
        <w:jc w:val="both"/>
      </w:pPr>
      <w:r w:rsidRPr="00DC6BFC">
        <w:t>От гледна точка на продукта е възможно да се финансират отделни големи проекти или определена програма, по която се финансират определен тип проекти и Бенефициенти –</w:t>
      </w:r>
      <w:r w:rsidR="00AF6A86">
        <w:t xml:space="preserve"> </w:t>
      </w:r>
      <w:r w:rsidRPr="00DC6BFC">
        <w:t xml:space="preserve">например, само за ВиК проекти. </w:t>
      </w:r>
    </w:p>
    <w:p w:rsidR="00332159" w:rsidRPr="00DC6BFC" w:rsidRDefault="00332159" w:rsidP="00AF6A86">
      <w:pPr>
        <w:spacing w:before="240" w:line="240" w:lineRule="auto"/>
        <w:jc w:val="both"/>
      </w:pPr>
      <w:r w:rsidRPr="00DC6BFC">
        <w:t xml:space="preserve">Важен елемент за увеличаване на финансовия ресурс за целите на програмата е привличането на интереса на търговските банки към осигуряване на допълнителни средства (ливъридж). </w:t>
      </w:r>
    </w:p>
    <w:p w:rsidR="00332159" w:rsidRPr="00DC6BFC" w:rsidRDefault="00332159" w:rsidP="00332159">
      <w:pPr>
        <w:spacing w:line="240" w:lineRule="auto"/>
        <w:jc w:val="both"/>
      </w:pPr>
      <w:r w:rsidRPr="00DC6BFC">
        <w:t xml:space="preserve">В зависимост от конкретната ситуация на финансовия пазар е възможно да се приложи комбинация от предоставяне на средства, което е по-подходящият подход в условия на недостатъчна ликвидност и споделяне на риска, чрез гаранции и/или съфинансиране.  </w:t>
      </w:r>
    </w:p>
    <w:p w:rsidR="00332159" w:rsidRPr="00DC6BFC" w:rsidRDefault="00332159" w:rsidP="00332159">
      <w:pPr>
        <w:spacing w:line="240" w:lineRule="auto"/>
        <w:jc w:val="both"/>
      </w:pPr>
      <w:r w:rsidRPr="00DC6BFC">
        <w:t xml:space="preserve">Към днешна дата българските банки имат добра ликвидност и предпочитаната от тях подкрепа е споделяне на риска чрез гаранции. По тази причина е висок интересът към гаранционни схеми, а средствата за свързано с проектите на бенефициентите кредитиране се осигуряват от банките. </w:t>
      </w:r>
      <w:r w:rsidRPr="00DC6BFC">
        <w:lastRenderedPageBreak/>
        <w:t xml:space="preserve">В рамките на програмния период ситуацията може да се промени, затова е подходящо в инструментариума да бъдат заложени и подходи за осигуряване на ликвидност.  </w:t>
      </w:r>
    </w:p>
    <w:p w:rsidR="00332159" w:rsidRPr="00DC6BFC" w:rsidRDefault="00332159" w:rsidP="001A036E">
      <w:pPr>
        <w:numPr>
          <w:ilvl w:val="0"/>
          <w:numId w:val="140"/>
        </w:numPr>
        <w:spacing w:line="240" w:lineRule="auto"/>
        <w:ind w:left="567"/>
        <w:contextualSpacing/>
        <w:jc w:val="both"/>
      </w:pPr>
      <w:r w:rsidRPr="00DC6BFC">
        <w:t xml:space="preserve">Размер на финансирането и наличие на държавна гаранция - Възможно е някои международни финансови институции (КфВ, БРСЕ) да изискат пълна или частична държавна гаранция за финансирането. Това би изискало бързо стартиране на процедура за търсене на ресурс, за да може предоставянето на гаранция да бъде  включено в държавния бюджет за 2015 година, който се гласува в края на предходната година, т.е. на 2014. Алтернативата е такава гаранция да бъде предложена в процедурата по изготвяне на Бюджет 2016. </w:t>
      </w:r>
    </w:p>
    <w:p w:rsidR="00332159" w:rsidRPr="00DC6BFC" w:rsidRDefault="00332159" w:rsidP="00AF6A86">
      <w:pPr>
        <w:spacing w:before="240" w:line="240" w:lineRule="auto"/>
        <w:jc w:val="both"/>
      </w:pPr>
      <w:r w:rsidRPr="00DC6BFC">
        <w:t>По време на проучването на пазара са проведени интервюта с няколко международни финансови институции, а именно – Световна банка, ЕИФ и ЕБВР. Предвид политиката на всяка една от тези организации се очертават следните конкретни възможности:</w:t>
      </w:r>
    </w:p>
    <w:p w:rsidR="00332159" w:rsidRPr="00DC6BFC" w:rsidRDefault="00332159" w:rsidP="00332159">
      <w:pPr>
        <w:spacing w:line="240" w:lineRule="auto"/>
        <w:jc w:val="both"/>
      </w:pPr>
      <w:r w:rsidRPr="00DC6BFC">
        <w:rPr>
          <w:b/>
        </w:rPr>
        <w:t>Световна банка</w:t>
      </w:r>
      <w:r w:rsidRPr="00DC6BFC">
        <w:t xml:space="preserve"> – могат да осигурят средства за финансиране на ВиК сектора. Същите са изготвили Националната стратегия за управление и развитие на водния сектор в България по задание на Министерство на регионалното развитие. </w:t>
      </w:r>
    </w:p>
    <w:p w:rsidR="00332159" w:rsidRPr="00DC6BFC" w:rsidRDefault="00332159" w:rsidP="00332159">
      <w:pPr>
        <w:spacing w:line="240" w:lineRule="auto"/>
        <w:jc w:val="both"/>
      </w:pPr>
      <w:r w:rsidRPr="00DC6BFC">
        <w:rPr>
          <w:b/>
        </w:rPr>
        <w:t>ЕБВР</w:t>
      </w:r>
      <w:r w:rsidRPr="00DC6BFC">
        <w:t xml:space="preserve"> – имат интерес да финансират ВиК сектора. Имат опит във финансирането на отделни ВиК оператори и инфраструктурни проекти, както и във финансирането и управлението на </w:t>
      </w:r>
      <w:r w:rsidR="00AF6A86">
        <w:t xml:space="preserve">Фонд </w:t>
      </w:r>
      <w:r w:rsidRPr="00DC6BFC">
        <w:t xml:space="preserve">ФЛАГ. </w:t>
      </w:r>
    </w:p>
    <w:p w:rsidR="00332159" w:rsidRPr="00DC6BFC" w:rsidRDefault="00332159" w:rsidP="00332159">
      <w:pPr>
        <w:spacing w:line="240" w:lineRule="auto"/>
        <w:jc w:val="both"/>
      </w:pPr>
      <w:r w:rsidRPr="00DC6BFC">
        <w:rPr>
          <w:b/>
        </w:rPr>
        <w:t>ЕИБ</w:t>
      </w:r>
      <w:r w:rsidRPr="00DC6BFC">
        <w:t xml:space="preserve"> – политиката им е насочена към финансиране на малки и средни предприятия и бизнеса като цяло. По тази причина не биха финансирали ВиК сектора. Могат да предоставят средства за създаването на фонд, който да осигурява финансиране на частни компании или ПЧП в сектор отпадъци.</w:t>
      </w:r>
    </w:p>
    <w:p w:rsidR="00332159" w:rsidRDefault="00332159" w:rsidP="00332159">
      <w:pPr>
        <w:spacing w:line="240" w:lineRule="auto"/>
        <w:jc w:val="both"/>
      </w:pPr>
      <w:r w:rsidRPr="00DC6BFC">
        <w:t>По време на структурирането на фонда е добре да бъдат поканени за преговори и останалите международни финансови институции, за да се договорят възможно най-добрите условия за постигане целите на конкретните финансови инструменти.</w:t>
      </w:r>
    </w:p>
    <w:p w:rsidR="00F00027" w:rsidRPr="00DC6BFC" w:rsidRDefault="00F00027" w:rsidP="00332159">
      <w:pPr>
        <w:spacing w:line="240" w:lineRule="auto"/>
        <w:jc w:val="both"/>
      </w:pPr>
    </w:p>
    <w:p w:rsidR="004232F2" w:rsidRDefault="00946453" w:rsidP="00C37F8C">
      <w:pPr>
        <w:pStyle w:val="Heading2"/>
        <w:jc w:val="both"/>
        <w:rPr>
          <w:rFonts w:asciiTheme="minorHAnsi" w:hAnsiTheme="minorHAnsi" w:cs="Times New Roman"/>
        </w:rPr>
      </w:pPr>
      <w:bookmarkStart w:id="182" w:name="_Toc399494570"/>
      <w:r w:rsidRPr="00C370EC">
        <w:rPr>
          <w:rFonts w:asciiTheme="minorHAnsi" w:hAnsiTheme="minorHAnsi" w:cs="Times New Roman"/>
        </w:rPr>
        <w:t xml:space="preserve">5.2. </w:t>
      </w:r>
      <w:r w:rsidR="00D101EE" w:rsidRPr="00C370EC">
        <w:rPr>
          <w:rFonts w:asciiTheme="minorHAnsi" w:hAnsiTheme="minorHAnsi" w:cs="Times New Roman"/>
        </w:rPr>
        <w:t>Целева група на крайните получатели и възможности за комбиниране на финансови инструменти с други форми на подкрепа, в т.ч. техническа помощ и безвъзмездна финансова помощ.</w:t>
      </w:r>
      <w:bookmarkEnd w:id="182"/>
    </w:p>
    <w:p w:rsidR="00A9789A" w:rsidRDefault="009E0606" w:rsidP="00B41A94">
      <w:pPr>
        <w:spacing w:before="240"/>
        <w:jc w:val="both"/>
      </w:pPr>
      <w:r>
        <w:t xml:space="preserve">Пазарният анализ очертава няколко основни групи бенефициенти, които имат нужда </w:t>
      </w:r>
      <w:r w:rsidR="00A9789A">
        <w:t>да получат</w:t>
      </w:r>
      <w:r>
        <w:t xml:space="preserve"> финансови инструменти с цел  неутрализиране или намаляване на ефекта от пазарните  неуспехи и </w:t>
      </w:r>
      <w:r w:rsidR="00A9789A">
        <w:t>не</w:t>
      </w:r>
      <w:r>
        <w:t>оптимални инвестиционни ситуации.</w:t>
      </w:r>
      <w:r w:rsidR="00A9789A">
        <w:t xml:space="preserve"> </w:t>
      </w:r>
    </w:p>
    <w:p w:rsidR="0050230D" w:rsidRPr="00113B86" w:rsidRDefault="0050230D" w:rsidP="0050230D">
      <w:pPr>
        <w:jc w:val="both"/>
        <w:rPr>
          <w:rFonts w:cstheme="minorHAnsi"/>
          <w:b/>
          <w:sz w:val="24"/>
          <w:szCs w:val="24"/>
          <w:u w:val="single"/>
        </w:rPr>
      </w:pPr>
      <w:r w:rsidRPr="00113B86">
        <w:rPr>
          <w:rFonts w:cstheme="minorHAnsi"/>
          <w:b/>
          <w:sz w:val="24"/>
          <w:szCs w:val="24"/>
          <w:u w:val="single"/>
        </w:rPr>
        <w:t>Сектор Води</w:t>
      </w:r>
    </w:p>
    <w:p w:rsidR="002A6E9D" w:rsidRDefault="00A9789A" w:rsidP="00A9789A">
      <w:pPr>
        <w:jc w:val="both"/>
      </w:pPr>
      <w:r>
        <w:t>При адресиране на неуспехите на пазара във ВиК сектора се очертава нуждата от</w:t>
      </w:r>
      <w:r w:rsidR="000412A1">
        <w:t xml:space="preserve"> осигуряване на допълнителни финансови средства над размера на безвъзмездната финансова помощ за реализиране на планираните инвестиции  на ВиК операторите. </w:t>
      </w:r>
      <w:r w:rsidR="002A6E9D">
        <w:t xml:space="preserve">При все че активите ще бъдат собственост на общините и държавата след прилагане на реформата във ВиК сектора, съгласно приетия от правителството график за отписване на активите и в съответствие със Стратегията за развитие на водния сектор, банките идентифицират ВиК операторите като основният получател на средства. Причината за това е ролята им на  контролиращ паричния поток играч, който  носи пряка отговорност за събирането на потребителските такси от гражданите. </w:t>
      </w:r>
      <w:r w:rsidR="00183225">
        <w:t xml:space="preserve"> </w:t>
      </w:r>
    </w:p>
    <w:p w:rsidR="00183225" w:rsidRDefault="00183225" w:rsidP="00A9789A">
      <w:pPr>
        <w:jc w:val="both"/>
      </w:pPr>
      <w:r>
        <w:lastRenderedPageBreak/>
        <w:t>Във ВиК Сектора пазарът е сегментиран в три основни групи оператори:</w:t>
      </w:r>
    </w:p>
    <w:p w:rsidR="00183225" w:rsidRDefault="00183225" w:rsidP="001A036E">
      <w:pPr>
        <w:pStyle w:val="ListParagraph"/>
        <w:numPr>
          <w:ilvl w:val="0"/>
          <w:numId w:val="34"/>
        </w:numPr>
        <w:jc w:val="both"/>
      </w:pPr>
      <w:r>
        <w:t>Оператори, които биха могли да изтеглят кредит на пазарен принцип, за да допълнят инвестиционния недостиг за постигане на съответствие с изискванията на нормативната база.</w:t>
      </w:r>
    </w:p>
    <w:p w:rsidR="00183225" w:rsidRDefault="00183225" w:rsidP="001A036E">
      <w:pPr>
        <w:pStyle w:val="ListParagraph"/>
        <w:numPr>
          <w:ilvl w:val="0"/>
          <w:numId w:val="34"/>
        </w:numPr>
        <w:jc w:val="both"/>
      </w:pPr>
      <w:r>
        <w:t>Оператори, които са в средния сегмент и се характеризират със сравнително добра кредитоспособност (</w:t>
      </w:r>
      <w:r w:rsidRPr="00E85686">
        <w:t>съгласно</w:t>
      </w:r>
      <w:r w:rsidR="00000FD6" w:rsidRPr="00E85686">
        <w:t xml:space="preserve"> данни от</w:t>
      </w:r>
      <w:r w:rsidRPr="00E85686">
        <w:t xml:space="preserve"> </w:t>
      </w:r>
      <w:r w:rsidR="00D420CD" w:rsidRPr="00E85686">
        <w:t>Сравнителен анализ на ВиК сектора</w:t>
      </w:r>
      <w:r w:rsidRPr="00E85686">
        <w:t>, изготвен от ДКЕВР</w:t>
      </w:r>
      <w:r w:rsidR="00000FD6">
        <w:t xml:space="preserve"> във връзка с одобрението на бизнес плановете и анализ на състоянието на ВиК Операторите към Национална стратегия за развитие и управление на водния сектор</w:t>
      </w:r>
      <w:r>
        <w:t xml:space="preserve">), но имат проблем с финансирането на пазарен принцип, поради недостатъчно </w:t>
      </w:r>
      <w:r w:rsidR="00AF6A86">
        <w:t>стабилни финансови показатели</w:t>
      </w:r>
      <w:r>
        <w:t>.</w:t>
      </w:r>
    </w:p>
    <w:p w:rsidR="00183225" w:rsidRDefault="00183225" w:rsidP="001A036E">
      <w:pPr>
        <w:pStyle w:val="ListParagraph"/>
        <w:numPr>
          <w:ilvl w:val="0"/>
          <w:numId w:val="34"/>
        </w:numPr>
        <w:jc w:val="both"/>
      </w:pPr>
      <w:r>
        <w:t>Оператори, които са в лошо финансово състояние и не биха могли да получат финансиране нито на пазарен принцип, нито има смисъл да се финансират, чрез финансов инструмент.</w:t>
      </w:r>
    </w:p>
    <w:p w:rsidR="00183225" w:rsidRDefault="00183225" w:rsidP="00183225">
      <w:pPr>
        <w:pStyle w:val="ListParagraph"/>
        <w:jc w:val="both"/>
      </w:pPr>
    </w:p>
    <w:p w:rsidR="003762F9" w:rsidRDefault="003762F9" w:rsidP="003762F9">
      <w:pPr>
        <w:pStyle w:val="ListParagraph"/>
        <w:ind w:left="0"/>
        <w:jc w:val="both"/>
      </w:pPr>
      <w:r>
        <w:t>Сегментите на пазара на ВиК операторите ясно показват основната нужда от финансов инструмент, а именно в средния сегмент, в който операторите имат положителен финансов поток, но в същото време недостатъчно устойчив, за да си позволят финансиране при пазарни условия.</w:t>
      </w:r>
    </w:p>
    <w:p w:rsidR="00A71411" w:rsidRDefault="00A71411" w:rsidP="003762F9">
      <w:pPr>
        <w:pStyle w:val="ListParagraph"/>
        <w:ind w:left="0"/>
        <w:jc w:val="both"/>
      </w:pPr>
    </w:p>
    <w:p w:rsidR="00036804" w:rsidRDefault="00A71411" w:rsidP="003762F9">
      <w:pPr>
        <w:pStyle w:val="ListParagraph"/>
        <w:ind w:left="0"/>
        <w:jc w:val="both"/>
      </w:pPr>
      <w:r>
        <w:t xml:space="preserve">В рамките на предишния програмен период, бенефициенти по ос 1 Води от ОП „Околна среда 2007-2013г.“ са общините, на чиято територия се предоставят ВиК услугите и чиито актив са водопроводната и канализационна мрежа. ВиК операторите са били </w:t>
      </w:r>
      <w:r w:rsidR="00AF6A86">
        <w:t xml:space="preserve">асоциирани </w:t>
      </w:r>
      <w:r>
        <w:t>партньори по проектите, като в екипа на всеки един от финансираните проекти е имало представител/и на ВиК оператора. Това е позволило частично натрупване на знания и опит за управление на инвестиционни проекти, финансирани със средства от ЕС у операторите. Основно опит са изградили общините, което пък води до въпроса  - не е ли по-логично те да изпълняват проектите и да бъдат получатели на финансовия инструмент и през периода 2014-2020г.</w:t>
      </w:r>
      <w:r w:rsidR="00036804">
        <w:t xml:space="preserve"> Отговорът на този въпрос идва от резултатите от анализа на пазара и мнението на заинтересованите страни. От една страна общините и държавата в качеството си на собственици на активите (дори и в бъдещ период след прилагане на </w:t>
      </w:r>
      <w:r w:rsidR="008B71F3">
        <w:t xml:space="preserve">Националната </w:t>
      </w:r>
      <w:r w:rsidR="008B71F3" w:rsidRPr="00811231">
        <w:t>с</w:t>
      </w:r>
      <w:r w:rsidR="00036804" w:rsidRPr="00811231">
        <w:t xml:space="preserve">тратегия за </w:t>
      </w:r>
      <w:r w:rsidR="008B71F3" w:rsidRPr="00811231">
        <w:t xml:space="preserve"> управление</w:t>
      </w:r>
      <w:r w:rsidR="00811231" w:rsidRPr="00811231">
        <w:t xml:space="preserve"> и развитие</w:t>
      </w:r>
      <w:r w:rsidR="00036804" w:rsidRPr="00811231">
        <w:t xml:space="preserve"> на водния сектор</w:t>
      </w:r>
      <w:r w:rsidR="00D420CD" w:rsidRPr="00811231">
        <w:t>)</w:t>
      </w:r>
      <w:r w:rsidR="00D420CD">
        <w:t>, са натрупали опит в управлението на проекти през периода 2007-2013</w:t>
      </w:r>
      <w:r w:rsidR="00AF6A86">
        <w:t xml:space="preserve"> </w:t>
      </w:r>
      <w:r w:rsidR="00D420CD">
        <w:t>г. От друга страна обаче, за да могат да изплащат обратно средствата от допълнителното финансиране, получено под формата на финансов инструмент, те трябва да използват потребителските такси. Събирането на таксите е ангажимент на ВиК операторите. В случай, че ВиК операторите бъдат ангажирани с изплащането на средствата, получени от общините, чрез подписване на тристранен договор между финансиращата институция, общината и ВиК оператора съответно, ще се получи колизия с</w:t>
      </w:r>
      <w:r w:rsidR="00743DBD">
        <w:t xml:space="preserve"> ролята на</w:t>
      </w:r>
      <w:r w:rsidR="00D420CD">
        <w:t xml:space="preserve"> ВиК асоциацията. Защо? Съгласно </w:t>
      </w:r>
      <w:r w:rsidR="00743DBD">
        <w:t>Националната стратегия</w:t>
      </w:r>
      <w:r w:rsidR="00D420CD">
        <w:t xml:space="preserve"> за развитие</w:t>
      </w:r>
      <w:r w:rsidR="00743DBD">
        <w:t xml:space="preserve"> и управление</w:t>
      </w:r>
      <w:r w:rsidR="00D420CD">
        <w:t xml:space="preserve"> на водния сектор</w:t>
      </w:r>
      <w:r w:rsidR="00743DBD">
        <w:t xml:space="preserve"> и приетия Закон за водите, са създадени ВиК асоциации. </w:t>
      </w:r>
      <w:r w:rsidR="006A01B6">
        <w:t xml:space="preserve">След прехвърляне на активите от ВиК дружествата към общините и държавата, асоциациите трябва да подпишат договори за управление на ВиК активите и предоставяне на ВиК услуги с операторите. </w:t>
      </w:r>
      <w:r w:rsidR="00106E31">
        <w:t xml:space="preserve">Следователно договорните отношения се изместват от общините и държавата към асоциациите, които съгласно чл. </w:t>
      </w:r>
      <w:r w:rsidR="0050230D">
        <w:t>198в, ал</w:t>
      </w:r>
      <w:r w:rsidR="000F3935">
        <w:t>.</w:t>
      </w:r>
      <w:r w:rsidR="0050230D">
        <w:t xml:space="preserve"> 4</w:t>
      </w:r>
      <w:r w:rsidR="00106E31">
        <w:t xml:space="preserve"> </w:t>
      </w:r>
      <w:r w:rsidR="00106E31" w:rsidRPr="00811231">
        <w:t>от Закона за водите имат следните функции:</w:t>
      </w:r>
    </w:p>
    <w:p w:rsidR="0050230D" w:rsidRDefault="0050230D" w:rsidP="0050230D">
      <w:pPr>
        <w:pStyle w:val="ListParagraph"/>
        <w:jc w:val="both"/>
      </w:pPr>
    </w:p>
    <w:p w:rsidR="0050230D" w:rsidRDefault="000F3935" w:rsidP="001A036E">
      <w:pPr>
        <w:pStyle w:val="ListParagraph"/>
        <w:numPr>
          <w:ilvl w:val="1"/>
          <w:numId w:val="141"/>
        </w:numPr>
        <w:ind w:left="1134"/>
        <w:jc w:val="both"/>
      </w:pPr>
      <w:r>
        <w:t>определя Ви</w:t>
      </w:r>
      <w:r w:rsidR="0050230D">
        <w:t>К оператора по реда на този закон или избира В и К оператор по реда на Закона за концесиите;</w:t>
      </w:r>
    </w:p>
    <w:p w:rsidR="00717444" w:rsidRDefault="0050230D" w:rsidP="001A036E">
      <w:pPr>
        <w:pStyle w:val="ListParagraph"/>
        <w:numPr>
          <w:ilvl w:val="1"/>
          <w:numId w:val="141"/>
        </w:numPr>
        <w:ind w:left="1134"/>
        <w:jc w:val="both"/>
      </w:pPr>
      <w:r>
        <w:lastRenderedPageBreak/>
        <w:t xml:space="preserve">приема решение за сключване на договора от името </w:t>
      </w:r>
      <w:r w:rsidR="000F3935">
        <w:t>и за сметка на собственика на ВиК системата с Ви</w:t>
      </w:r>
      <w:r>
        <w:t>К оператора за възлагане на дейностите по предоставянето на В</w:t>
      </w:r>
      <w:r w:rsidR="000F3935">
        <w:t>и</w:t>
      </w:r>
      <w:r>
        <w:t>К</w:t>
      </w:r>
      <w:r w:rsidR="000F3935">
        <w:t xml:space="preserve"> услугата и поддържането на Ви</w:t>
      </w:r>
      <w:r>
        <w:t>К системите, включително за поема</w:t>
      </w:r>
      <w:r w:rsidR="000F3935">
        <w:t>не на финансови задължения от Ви</w:t>
      </w:r>
      <w:r>
        <w:t>К оператори, и контр</w:t>
      </w:r>
      <w:r w:rsidR="000F3935">
        <w:t>олира изпълнението по договора.</w:t>
      </w:r>
    </w:p>
    <w:p w:rsidR="000F3935" w:rsidRDefault="000F3935" w:rsidP="000F3935">
      <w:pPr>
        <w:pStyle w:val="ListParagraph"/>
        <w:spacing w:before="240"/>
        <w:ind w:left="0"/>
        <w:jc w:val="both"/>
      </w:pPr>
    </w:p>
    <w:p w:rsidR="00717444" w:rsidRDefault="00717444" w:rsidP="000F3935">
      <w:pPr>
        <w:pStyle w:val="ListParagraph"/>
        <w:spacing w:before="240"/>
        <w:ind w:left="0"/>
        <w:jc w:val="both"/>
      </w:pPr>
      <w:r>
        <w:t xml:space="preserve">В тази ситуация общините нямат преки взаимоотношения с операторите, т.е. при евентуални взаимоотношения по време на изпълнението на проекти за инвестиции във ВиК инфраструктура, отношенията следва да се запазят.  </w:t>
      </w:r>
    </w:p>
    <w:p w:rsidR="0050230D" w:rsidRPr="00B607DB" w:rsidRDefault="0050230D" w:rsidP="0050230D">
      <w:pPr>
        <w:jc w:val="both"/>
        <w:rPr>
          <w:rFonts w:cstheme="minorHAnsi"/>
        </w:rPr>
      </w:pPr>
      <w:r w:rsidRPr="00F00027">
        <w:rPr>
          <w:rFonts w:cstheme="minorHAnsi"/>
        </w:rPr>
        <w:t>Във варианта си от м. юни 2014 г. ОПОС 2014-2020 г. предвижда бенефициенти на инвестиционните мерки по програмата в сектор Води да бъдат Общини, Асоциации по ВиК и ВиК оператори. Икономическата логика обаче показва, че бенефициенти на средства по ОПОС, в т.ч. финансови инструменти, следва да бъдат ВиК дружествата, тъй като те са юридическите лица, които събират приходите от ВиК услуги. Това е потвърдено и от Европейската комисия, която в официалните си коментари м. август 2014 г. по текста на оперативната програма казва, че „предвид техния технически капацитет и отговорности за изпълнение на изискванията за заустване, както и увеличение на тарифите, бенефициенти на инвестиции във ВиК инфраструктура финансирани чрез ОПОС следва да бъдат консолидираните регионални ВиК дружества”.</w:t>
      </w:r>
    </w:p>
    <w:p w:rsidR="0050230D" w:rsidRPr="00B607DB" w:rsidRDefault="0050230D" w:rsidP="0050230D">
      <w:pPr>
        <w:jc w:val="both"/>
        <w:rPr>
          <w:rFonts w:cstheme="minorHAnsi"/>
        </w:rPr>
      </w:pPr>
      <w:r w:rsidRPr="00B607DB">
        <w:rPr>
          <w:rFonts w:cstheme="minorHAnsi"/>
        </w:rPr>
        <w:t>Определянето на крайните бенефициенти на финансови инструменти е необходимо да бъде направено въз основа на анализ на основните финансови показатели на операторите на ВиК услуги. Такъв анализ е вече извършен за целите на Националната стратегия за управление и развитие на водния сектор (НСУРВС) в Република България</w:t>
      </w:r>
      <w:r w:rsidRPr="00B607DB">
        <w:rPr>
          <w:rStyle w:val="FootnoteReference"/>
          <w:rFonts w:cstheme="minorHAnsi"/>
        </w:rPr>
        <w:footnoteReference w:id="130"/>
      </w:r>
      <w:r w:rsidRPr="00B607DB">
        <w:rPr>
          <w:rFonts w:cstheme="minorHAnsi"/>
        </w:rPr>
        <w:t>, а резултатите от него са представени накратко както следва:</w:t>
      </w:r>
    </w:p>
    <w:p w:rsidR="0050230D" w:rsidRPr="00B607DB" w:rsidRDefault="0050230D" w:rsidP="001A036E">
      <w:pPr>
        <w:numPr>
          <w:ilvl w:val="0"/>
          <w:numId w:val="37"/>
        </w:numPr>
        <w:spacing w:before="120" w:after="120" w:line="276" w:lineRule="auto"/>
        <w:rPr>
          <w:rFonts w:cstheme="minorHAnsi"/>
          <w:b/>
          <w:bCs/>
          <w:iCs/>
          <w:color w:val="000000"/>
        </w:rPr>
      </w:pPr>
      <w:r w:rsidRPr="00B607DB">
        <w:rPr>
          <w:rFonts w:cstheme="minorHAnsi"/>
          <w:b/>
          <w:bCs/>
          <w:iCs/>
          <w:color w:val="000000"/>
        </w:rPr>
        <w:t>Показатели за рентабилност</w:t>
      </w:r>
    </w:p>
    <w:p w:rsidR="0050230D" w:rsidRPr="00B607DB" w:rsidRDefault="0050230D" w:rsidP="0050230D">
      <w:pPr>
        <w:spacing w:after="120"/>
        <w:jc w:val="both"/>
        <w:rPr>
          <w:rFonts w:cstheme="minorHAnsi"/>
          <w:color w:val="000000"/>
        </w:rPr>
      </w:pPr>
      <w:r w:rsidRPr="00B607DB">
        <w:rPr>
          <w:rFonts w:cstheme="minorHAnsi"/>
          <w:color w:val="000000"/>
        </w:rPr>
        <w:t xml:space="preserve">Показателите за рентабилност се разглеждат и като показатели за доходност или за възвращаемост. Чрез тях се установява ефективността при използването на ресурси или приходи на фирмите. Коефициентите на рентабилност са положителни величини, когато финансовият резултат е печалба, и отрицателни, когато финансовият резултат е загуба. При анализа на рентабилността на ВиК дружествата са използвани следните показатели: </w:t>
      </w:r>
    </w:p>
    <w:p w:rsidR="0050230D" w:rsidRPr="00B607DB" w:rsidRDefault="0050230D" w:rsidP="0050230D">
      <w:pPr>
        <w:spacing w:after="120"/>
        <w:jc w:val="both"/>
        <w:rPr>
          <w:rFonts w:cstheme="minorHAnsi"/>
          <w:color w:val="000000"/>
        </w:rPr>
      </w:pPr>
    </w:p>
    <w:p w:rsidR="0050230D" w:rsidRPr="00B607DB" w:rsidRDefault="0050230D" w:rsidP="0050230D">
      <w:pPr>
        <w:rPr>
          <w:rFonts w:eastAsiaTheme="minorEastAsia" w:cstheme="minorHAnsi"/>
          <w:b/>
        </w:rPr>
      </w:pPr>
      <m:oMathPara>
        <m:oMath>
          <m:r>
            <m:rPr>
              <m:sty m:val="bi"/>
            </m:rPr>
            <w:rPr>
              <w:rFonts w:ascii="Cambria Math" w:hAnsi="Cambria Math" w:cstheme="minorHAnsi"/>
            </w:rPr>
            <m:t>Коефициент</m:t>
          </m:r>
          <m:r>
            <m:rPr>
              <m:sty m:val="bi"/>
            </m:rPr>
            <w:rPr>
              <w:rFonts w:ascii="Cambria Math" w:cstheme="minorHAnsi"/>
            </w:rPr>
            <m:t xml:space="preserve"> </m:t>
          </m:r>
          <m:r>
            <m:rPr>
              <m:sty m:val="bi"/>
            </m:rPr>
            <w:rPr>
              <w:rFonts w:ascii="Cambria Math" w:hAnsi="Cambria Math" w:cstheme="minorHAnsi"/>
            </w:rPr>
            <m:t>на</m:t>
          </m:r>
          <m:r>
            <m:rPr>
              <m:sty m:val="bi"/>
            </m:rPr>
            <w:rPr>
              <w:rFonts w:ascii="Cambria Math" w:cstheme="minorHAnsi"/>
            </w:rPr>
            <m:t xml:space="preserve"> </m:t>
          </m:r>
          <m:r>
            <m:rPr>
              <m:sty m:val="bi"/>
            </m:rPr>
            <w:rPr>
              <w:rFonts w:ascii="Cambria Math" w:hAnsi="Cambria Math" w:cstheme="minorHAnsi"/>
            </w:rPr>
            <m:t>рентабилност</m:t>
          </m:r>
          <m:r>
            <m:rPr>
              <m:sty m:val="bi"/>
            </m:rPr>
            <w:rPr>
              <w:rFonts w:ascii="Cambria Math" w:cstheme="minorHAnsi"/>
            </w:rPr>
            <m:t xml:space="preserve"> </m:t>
          </m:r>
          <m:r>
            <m:rPr>
              <m:sty m:val="bi"/>
            </m:rPr>
            <w:rPr>
              <w:rFonts w:ascii="Cambria Math" w:hAnsi="Cambria Math" w:cstheme="minorHAnsi"/>
            </w:rPr>
            <m:t>на</m:t>
          </m:r>
          <m:r>
            <m:rPr>
              <m:sty m:val="bi"/>
            </m:rPr>
            <w:rPr>
              <w:rFonts w:ascii="Cambria Math" w:cstheme="minorHAnsi"/>
            </w:rPr>
            <m:t xml:space="preserve"> </m:t>
          </m:r>
          <m:r>
            <m:rPr>
              <m:sty m:val="bi"/>
            </m:rPr>
            <w:rPr>
              <w:rFonts w:ascii="Cambria Math" w:hAnsi="Cambria Math" w:cstheme="minorHAnsi"/>
            </w:rPr>
            <m:t>приходите</m:t>
          </m:r>
          <m:r>
            <m:rPr>
              <m:sty m:val="bi"/>
            </m:rPr>
            <w:rPr>
              <w:rFonts w:ascii="Cambria Math" w:cstheme="minorHAnsi"/>
            </w:rPr>
            <m:t xml:space="preserve"> </m:t>
          </m:r>
          <m:r>
            <m:rPr>
              <m:sty m:val="bi"/>
            </m:rPr>
            <w:rPr>
              <w:rFonts w:ascii="Cambria Math" w:hAnsi="Cambria Math" w:cstheme="minorHAnsi"/>
            </w:rPr>
            <m:t>от</m:t>
          </m:r>
          <m:r>
            <m:rPr>
              <m:sty m:val="bi"/>
            </m:rPr>
            <w:rPr>
              <w:rFonts w:ascii="Cambria Math" w:cstheme="minorHAnsi"/>
            </w:rPr>
            <m:t xml:space="preserve"> </m:t>
          </m:r>
          <m:r>
            <m:rPr>
              <m:sty m:val="bi"/>
            </m:rPr>
            <w:rPr>
              <w:rFonts w:ascii="Cambria Math" w:hAnsi="Cambria Math" w:cstheme="minorHAnsi"/>
            </w:rPr>
            <m:t>продажби</m:t>
          </m:r>
        </m:oMath>
      </m:oMathPara>
    </w:p>
    <w:p w:rsidR="0050230D" w:rsidRPr="00B607DB" w:rsidRDefault="0050230D" w:rsidP="0050230D">
      <w:pPr>
        <w:rPr>
          <w:rFonts w:cstheme="minorHAnsi"/>
          <w:b/>
          <w:i/>
        </w:rPr>
      </w:pPr>
      <m:oMathPara>
        <m:oMathParaPr>
          <m:jc m:val="center"/>
        </m:oMathParaPr>
        <m:oMath>
          <m:r>
            <m:rPr>
              <m:sty m:val="bi"/>
            </m:rPr>
            <w:rPr>
              <w:rFonts w:ascii="Cambria Math" w:cstheme="minorHAnsi"/>
            </w:rPr>
            <m:t>=</m:t>
          </m:r>
          <m:f>
            <m:fPr>
              <m:ctrlPr>
                <w:rPr>
                  <w:rFonts w:ascii="Cambria Math" w:hAnsi="Cambria Math" w:cstheme="minorHAnsi"/>
                  <w:b/>
                  <w:i/>
                </w:rPr>
              </m:ctrlPr>
            </m:fPr>
            <m:num>
              <m:r>
                <m:rPr>
                  <m:sty m:val="bi"/>
                </m:rPr>
                <w:rPr>
                  <w:rFonts w:ascii="Cambria Math" w:hAnsi="Cambria Math" w:cstheme="minorHAnsi"/>
                </w:rPr>
                <m:t>Финансов</m:t>
              </m:r>
              <m:r>
                <m:rPr>
                  <m:sty m:val="bi"/>
                </m:rPr>
                <w:rPr>
                  <w:rFonts w:ascii="Cambria Math" w:cstheme="minorHAnsi"/>
                </w:rPr>
                <m:t xml:space="preserve"> </m:t>
              </m:r>
              <m:r>
                <m:rPr>
                  <m:sty m:val="bi"/>
                </m:rPr>
                <w:rPr>
                  <w:rFonts w:ascii="Cambria Math" w:hAnsi="Cambria Math" w:cstheme="minorHAnsi"/>
                </w:rPr>
                <m:t>резултат</m:t>
              </m:r>
            </m:num>
            <m:den>
              <m:r>
                <m:rPr>
                  <m:sty m:val="bi"/>
                </m:rPr>
                <w:rPr>
                  <w:rFonts w:ascii="Cambria Math" w:hAnsi="Cambria Math" w:cstheme="minorHAnsi"/>
                </w:rPr>
                <m:t>Нетен</m:t>
              </m:r>
              <m:r>
                <m:rPr>
                  <m:sty m:val="bi"/>
                </m:rPr>
                <w:rPr>
                  <w:rFonts w:ascii="Cambria Math" w:cstheme="minorHAnsi"/>
                </w:rPr>
                <m:t xml:space="preserve"> </m:t>
              </m:r>
              <m:r>
                <m:rPr>
                  <m:sty m:val="bi"/>
                </m:rPr>
                <w:rPr>
                  <w:rFonts w:ascii="Cambria Math" w:hAnsi="Cambria Math" w:cstheme="minorHAnsi"/>
                </w:rPr>
                <m:t>размер</m:t>
              </m:r>
              <m:r>
                <m:rPr>
                  <m:sty m:val="bi"/>
                </m:rPr>
                <w:rPr>
                  <w:rFonts w:ascii="Cambria Math" w:cstheme="minorHAnsi"/>
                </w:rPr>
                <m:t xml:space="preserve"> </m:t>
              </m:r>
              <m:r>
                <m:rPr>
                  <m:sty m:val="bi"/>
                </m:rPr>
                <w:rPr>
                  <w:rFonts w:ascii="Cambria Math" w:hAnsi="Cambria Math" w:cstheme="minorHAnsi"/>
                </w:rPr>
                <m:t>на</m:t>
              </m:r>
              <m:r>
                <m:rPr>
                  <m:sty m:val="bi"/>
                </m:rPr>
                <w:rPr>
                  <w:rFonts w:ascii="Cambria Math" w:cstheme="minorHAnsi"/>
                </w:rPr>
                <m:t xml:space="preserve"> </m:t>
              </m:r>
              <m:r>
                <m:rPr>
                  <m:sty m:val="bi"/>
                </m:rPr>
                <w:rPr>
                  <w:rFonts w:ascii="Cambria Math" w:hAnsi="Cambria Math" w:cstheme="minorHAnsi"/>
                </w:rPr>
                <m:t>приходите</m:t>
              </m:r>
              <m:r>
                <m:rPr>
                  <m:sty m:val="bi"/>
                </m:rPr>
                <w:rPr>
                  <w:rFonts w:ascii="Cambria Math" w:cstheme="minorHAnsi"/>
                </w:rPr>
                <m:t xml:space="preserve"> </m:t>
              </m:r>
              <m:r>
                <m:rPr>
                  <m:sty m:val="bi"/>
                </m:rPr>
                <w:rPr>
                  <w:rFonts w:ascii="Cambria Math" w:hAnsi="Cambria Math" w:cstheme="minorHAnsi"/>
                </w:rPr>
                <m:t>от</m:t>
              </m:r>
              <m:r>
                <m:rPr>
                  <m:sty m:val="bi"/>
                </m:rPr>
                <w:rPr>
                  <w:rFonts w:ascii="Cambria Math" w:cstheme="minorHAnsi"/>
                </w:rPr>
                <m:t xml:space="preserve"> </m:t>
              </m:r>
              <m:r>
                <m:rPr>
                  <m:sty m:val="bi"/>
                </m:rPr>
                <w:rPr>
                  <w:rFonts w:ascii="Cambria Math" w:hAnsi="Cambria Math" w:cstheme="minorHAnsi"/>
                </w:rPr>
                <m:t>продажби</m:t>
              </m:r>
            </m:den>
          </m:f>
        </m:oMath>
      </m:oMathPara>
    </w:p>
    <w:p w:rsidR="0050230D" w:rsidRPr="00B607DB" w:rsidRDefault="0050230D" w:rsidP="0050230D">
      <w:pPr>
        <w:spacing w:after="120"/>
        <w:jc w:val="both"/>
        <w:rPr>
          <w:rFonts w:cstheme="minorHAnsi"/>
          <w:color w:val="000000"/>
        </w:rPr>
      </w:pPr>
    </w:p>
    <w:p w:rsidR="0050230D" w:rsidRPr="00B607DB" w:rsidRDefault="0050230D" w:rsidP="0050230D">
      <w:pPr>
        <w:spacing w:after="120"/>
        <w:jc w:val="both"/>
        <w:rPr>
          <w:rFonts w:cstheme="minorHAnsi"/>
          <w:color w:val="000000"/>
        </w:rPr>
      </w:pPr>
      <w:r w:rsidRPr="00B607DB">
        <w:rPr>
          <w:rFonts w:cstheme="minorHAnsi"/>
          <w:color w:val="000000"/>
        </w:rPr>
        <w:t>Стойностите на показателя за анализираните ВиК дружества за периода 2007-2009 г. са представени в следващата таблица:</w:t>
      </w:r>
    </w:p>
    <w:p w:rsidR="0050230D" w:rsidRPr="00B607DB" w:rsidRDefault="0050230D" w:rsidP="0050230D">
      <w:pPr>
        <w:spacing w:after="120"/>
        <w:jc w:val="both"/>
        <w:rPr>
          <w:rFonts w:cstheme="minorHAnsi"/>
          <w:color w:val="000000"/>
        </w:rPr>
      </w:pPr>
    </w:p>
    <w:p w:rsidR="0050230D" w:rsidRPr="00B607DB" w:rsidRDefault="0050230D" w:rsidP="0050230D">
      <w:pPr>
        <w:pStyle w:val="Caption"/>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1</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Коефициент на рентабилността на приходите от продажби</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lastRenderedPageBreak/>
              <w:t>Малки ВиК дружества (17)</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-0,0661</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rPr>
            </w:pPr>
            <w:r w:rsidRPr="00B607DB">
              <w:rPr>
                <w:rFonts w:cstheme="minorHAnsi"/>
              </w:rPr>
              <w:t>-0,1064</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-0,1200</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spacing w:after="80"/>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0,0109</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rPr>
            </w:pPr>
            <w:r w:rsidRPr="00B607DB">
              <w:rPr>
                <w:rFonts w:cstheme="minorHAnsi"/>
              </w:rPr>
              <w:t>0,0346</w:t>
            </w:r>
          </w:p>
        </w:tc>
        <w:tc>
          <w:tcPr>
            <w:tcW w:w="1120" w:type="dxa"/>
            <w:noWrap/>
          </w:tcPr>
          <w:p w:rsidR="0050230D" w:rsidRPr="00B607DB" w:rsidRDefault="0050230D" w:rsidP="00345ABF">
            <w:pPr>
              <w:spacing w:after="80"/>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0,0359</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Големи ВиК дружества (13)</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-0,0805</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rPr>
            </w:pPr>
            <w:r w:rsidRPr="00B607DB">
              <w:rPr>
                <w:rFonts w:cstheme="minorHAnsi"/>
              </w:rPr>
              <w:t>-0,0398</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-0,0200</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Много големи ВиК дружества (11)</w:t>
            </w:r>
          </w:p>
        </w:tc>
        <w:tc>
          <w:tcPr>
            <w:tcW w:w="1120" w:type="dxa"/>
            <w:noWrap/>
          </w:tcPr>
          <w:p w:rsidR="0050230D" w:rsidRPr="00B607DB" w:rsidRDefault="0050230D" w:rsidP="00345ABF">
            <w:pPr>
              <w:spacing w:after="80"/>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0,0415</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rPr>
            </w:pPr>
            <w:r w:rsidRPr="00B607DB">
              <w:rPr>
                <w:rFonts w:cstheme="minorHAnsi"/>
              </w:rPr>
              <w:t>0,1349</w:t>
            </w:r>
          </w:p>
        </w:tc>
        <w:tc>
          <w:tcPr>
            <w:tcW w:w="1120" w:type="dxa"/>
            <w:noWrap/>
          </w:tcPr>
          <w:p w:rsidR="0050230D" w:rsidRPr="00B607DB" w:rsidRDefault="0050230D" w:rsidP="00345ABF">
            <w:pPr>
              <w:spacing w:after="80"/>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0,1547</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b/>
              </w:rPr>
            </w:pPr>
            <w:r w:rsidRPr="00B607DB">
              <w:rPr>
                <w:rFonts w:cstheme="minorHAnsi"/>
                <w:b/>
              </w:rPr>
              <w:t>Общо ВиК дружества (56)</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0,0063</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b/>
              </w:rPr>
            </w:pPr>
            <w:r w:rsidRPr="00B607DB">
              <w:rPr>
                <w:rFonts w:cstheme="minorHAnsi"/>
                <w:b/>
              </w:rPr>
              <w:t>0,0775</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0,1014</w:t>
            </w:r>
          </w:p>
        </w:tc>
      </w:tr>
    </w:tbl>
    <w:p w:rsidR="0050230D" w:rsidRPr="00B607DB" w:rsidRDefault="0050230D" w:rsidP="0050230D">
      <w:pPr>
        <w:spacing w:after="120"/>
        <w:jc w:val="both"/>
        <w:rPr>
          <w:rFonts w:cstheme="minorHAnsi"/>
          <w:color w:val="000000"/>
        </w:rPr>
      </w:pPr>
    </w:p>
    <w:p w:rsidR="0050230D" w:rsidRPr="00B607DB" w:rsidRDefault="0050230D" w:rsidP="0050230D">
      <w:pPr>
        <w:jc w:val="center"/>
        <w:rPr>
          <w:rFonts w:eastAsiaTheme="minorEastAsia" w:cstheme="minorHAnsi"/>
          <w:b/>
        </w:rPr>
      </w:pPr>
      <m:oMathPara>
        <m:oMath>
          <m:r>
            <m:rPr>
              <m:sty m:val="bi"/>
            </m:rPr>
            <w:rPr>
              <w:rFonts w:ascii="Cambria Math" w:hAnsi="Cambria Math" w:cstheme="minorHAnsi"/>
            </w:rPr>
            <m:t>Коефициент</m:t>
          </m:r>
          <m:r>
            <m:rPr>
              <m:sty m:val="bi"/>
            </m:rPr>
            <w:rPr>
              <w:rFonts w:ascii="Cambria Math" w:cstheme="minorHAnsi"/>
            </w:rPr>
            <m:t xml:space="preserve"> </m:t>
          </m:r>
          <m:r>
            <m:rPr>
              <m:sty m:val="bi"/>
            </m:rPr>
            <w:rPr>
              <w:rFonts w:ascii="Cambria Math" w:hAnsi="Cambria Math" w:cstheme="minorHAnsi"/>
            </w:rPr>
            <m:t>на</m:t>
          </m:r>
          <m:r>
            <m:rPr>
              <m:sty m:val="bi"/>
            </m:rPr>
            <w:rPr>
              <w:rFonts w:ascii="Cambria Math" w:cstheme="minorHAnsi"/>
            </w:rPr>
            <m:t xml:space="preserve"> </m:t>
          </m:r>
          <m:r>
            <m:rPr>
              <m:sty m:val="bi"/>
            </m:rPr>
            <w:rPr>
              <w:rFonts w:ascii="Cambria Math" w:hAnsi="Cambria Math" w:cstheme="minorHAnsi"/>
            </w:rPr>
            <m:t>рентабилност</m:t>
          </m:r>
          <m:r>
            <m:rPr>
              <m:sty m:val="bi"/>
            </m:rPr>
            <w:rPr>
              <w:rFonts w:ascii="Cambria Math" w:cstheme="minorHAnsi"/>
            </w:rPr>
            <m:t xml:space="preserve"> </m:t>
          </m:r>
          <m:r>
            <m:rPr>
              <m:sty m:val="bi"/>
            </m:rPr>
            <w:rPr>
              <w:rFonts w:ascii="Cambria Math" w:hAnsi="Cambria Math" w:cstheme="minorHAnsi"/>
            </w:rPr>
            <m:t>на</m:t>
          </m:r>
          <m:r>
            <m:rPr>
              <m:sty m:val="bi"/>
            </m:rPr>
            <w:rPr>
              <w:rFonts w:ascii="Cambria Math" w:cstheme="minorHAnsi"/>
            </w:rPr>
            <m:t xml:space="preserve"> </m:t>
          </m:r>
          <m:r>
            <m:rPr>
              <m:sty m:val="bi"/>
            </m:rPr>
            <w:rPr>
              <w:rFonts w:ascii="Cambria Math" w:hAnsi="Cambria Math" w:cstheme="minorHAnsi"/>
            </w:rPr>
            <m:t>собствения</m:t>
          </m:r>
          <m:r>
            <m:rPr>
              <m:sty m:val="bi"/>
            </m:rPr>
            <w:rPr>
              <w:rFonts w:ascii="Cambria Math" w:cstheme="minorHAnsi"/>
            </w:rPr>
            <m:t xml:space="preserve"> </m:t>
          </m:r>
          <m:r>
            <m:rPr>
              <m:sty m:val="bi"/>
            </m:rPr>
            <w:rPr>
              <w:rFonts w:ascii="Cambria Math" w:hAnsi="Cambria Math" w:cstheme="minorHAnsi"/>
            </w:rPr>
            <m:t>капитал</m:t>
          </m:r>
        </m:oMath>
      </m:oMathPara>
    </w:p>
    <w:p w:rsidR="0050230D" w:rsidRPr="00B607DB" w:rsidRDefault="0050230D" w:rsidP="0050230D">
      <w:pPr>
        <w:jc w:val="center"/>
        <w:rPr>
          <w:rFonts w:cstheme="minorHAnsi"/>
          <w:b/>
          <w:i/>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hAnsi="Cambria Math" w:cstheme="minorHAnsi"/>
                </w:rPr>
                <m:t>Финансов</m:t>
              </m:r>
              <m:r>
                <m:rPr>
                  <m:sty m:val="bi"/>
                </m:rPr>
                <w:rPr>
                  <w:rFonts w:ascii="Cambria Math" w:cstheme="minorHAnsi"/>
                </w:rPr>
                <m:t xml:space="preserve"> </m:t>
              </m:r>
              <m:r>
                <m:rPr>
                  <m:sty m:val="bi"/>
                </m:rPr>
                <w:rPr>
                  <w:rFonts w:ascii="Cambria Math" w:hAnsi="Cambria Math" w:cstheme="minorHAnsi"/>
                </w:rPr>
                <m:t>резултат</m:t>
              </m:r>
            </m:num>
            <m:den>
              <m:r>
                <m:rPr>
                  <m:sty m:val="bi"/>
                </m:rPr>
                <w:rPr>
                  <w:rFonts w:ascii="Cambria Math" w:hAnsi="Cambria Math" w:cstheme="minorHAnsi"/>
                </w:rPr>
                <m:t>Собствен</m:t>
              </m:r>
              <m:r>
                <m:rPr>
                  <m:sty m:val="bi"/>
                </m:rPr>
                <w:rPr>
                  <w:rFonts w:ascii="Cambria Math" w:cstheme="minorHAnsi"/>
                </w:rPr>
                <m:t xml:space="preserve"> </m:t>
              </m:r>
              <m:r>
                <m:rPr>
                  <m:sty m:val="bi"/>
                </m:rPr>
                <w:rPr>
                  <w:rFonts w:ascii="Cambria Math" w:hAnsi="Cambria Math" w:cstheme="minorHAnsi"/>
                </w:rPr>
                <m:t>капитал</m:t>
              </m:r>
            </m:den>
          </m:f>
        </m:oMath>
      </m:oMathPara>
    </w:p>
    <w:p w:rsidR="0050230D" w:rsidRPr="00B607DB" w:rsidRDefault="0050230D" w:rsidP="0050230D">
      <w:pPr>
        <w:spacing w:after="120"/>
        <w:jc w:val="center"/>
        <w:rPr>
          <w:rFonts w:cstheme="minorHAnsi"/>
          <w:color w:val="000000"/>
        </w:rPr>
      </w:pPr>
    </w:p>
    <w:p w:rsidR="0050230D" w:rsidRPr="00B607DB" w:rsidRDefault="0050230D" w:rsidP="0050230D">
      <w:pPr>
        <w:spacing w:after="120"/>
        <w:jc w:val="both"/>
        <w:rPr>
          <w:rFonts w:cstheme="minorHAnsi"/>
          <w:color w:val="000000"/>
        </w:rPr>
      </w:pPr>
      <w:r w:rsidRPr="00B607DB">
        <w:rPr>
          <w:rFonts w:cstheme="minorHAnsi"/>
          <w:color w:val="000000"/>
        </w:rPr>
        <w:t>Стойностите на показателя за анализираните ВиК дружества за периода 2007-2009 г. са представени в следващата таблица:</w:t>
      </w:r>
    </w:p>
    <w:p w:rsidR="0050230D" w:rsidRPr="00B607DB" w:rsidRDefault="0050230D" w:rsidP="0050230D">
      <w:pPr>
        <w:pStyle w:val="Caption"/>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2</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Коефициент на рентабилността на собствения капитал</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Малки ВиК дружества (17)</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-0,1106</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rPr>
            </w:pPr>
            <w:r w:rsidRPr="00B607DB">
              <w:rPr>
                <w:rFonts w:cstheme="minorHAnsi"/>
              </w:rPr>
              <w:t>-0,2455</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-0,2852</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spacing w:after="80"/>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0,0082</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rPr>
            </w:pPr>
            <w:r w:rsidRPr="00B607DB">
              <w:rPr>
                <w:rFonts w:cstheme="minorHAnsi"/>
              </w:rPr>
              <w:t>0,0242</w:t>
            </w:r>
          </w:p>
        </w:tc>
        <w:tc>
          <w:tcPr>
            <w:tcW w:w="1120" w:type="dxa"/>
            <w:noWrap/>
          </w:tcPr>
          <w:p w:rsidR="0050230D" w:rsidRPr="00B607DB" w:rsidRDefault="0050230D" w:rsidP="00345ABF">
            <w:pPr>
              <w:spacing w:after="80"/>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0,0291</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Големи ВиК дружества (13)</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-0,0730</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rPr>
            </w:pPr>
            <w:r w:rsidRPr="00B607DB">
              <w:rPr>
                <w:rFonts w:cstheme="minorHAnsi"/>
              </w:rPr>
              <w:t>-0,0403</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-0,0211</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Много големи ВиК дружества (11)</w:t>
            </w:r>
          </w:p>
        </w:tc>
        <w:tc>
          <w:tcPr>
            <w:tcW w:w="1120" w:type="dxa"/>
            <w:noWrap/>
          </w:tcPr>
          <w:p w:rsidR="0050230D" w:rsidRPr="00B607DB" w:rsidRDefault="0050230D" w:rsidP="00345ABF">
            <w:pPr>
              <w:spacing w:after="80"/>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0,0515</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rPr>
            </w:pPr>
            <w:r w:rsidRPr="00B607DB">
              <w:rPr>
                <w:rFonts w:cstheme="minorHAnsi"/>
              </w:rPr>
              <w:t>0,1599</w:t>
            </w:r>
          </w:p>
        </w:tc>
        <w:tc>
          <w:tcPr>
            <w:tcW w:w="1120" w:type="dxa"/>
            <w:noWrap/>
          </w:tcPr>
          <w:p w:rsidR="0050230D" w:rsidRPr="00B607DB" w:rsidRDefault="0050230D" w:rsidP="00345ABF">
            <w:pPr>
              <w:spacing w:after="80"/>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0,2134</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b/>
              </w:rPr>
            </w:pPr>
            <w:r w:rsidRPr="00B607DB">
              <w:rPr>
                <w:rFonts w:cstheme="minorHAnsi"/>
                <w:b/>
              </w:rPr>
              <w:t>Общо ВиК дружества (56)</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0,0068</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spacing w:after="80"/>
              <w:jc w:val="right"/>
              <w:rPr>
                <w:rFonts w:cstheme="minorHAnsi"/>
                <w:b/>
              </w:rPr>
            </w:pPr>
            <w:r w:rsidRPr="00B607DB">
              <w:rPr>
                <w:rFonts w:cstheme="minorHAnsi"/>
                <w:b/>
              </w:rPr>
              <w:t>0,0833</w:t>
            </w:r>
          </w:p>
        </w:tc>
        <w:tc>
          <w:tcPr>
            <w:tcW w:w="1120" w:type="dxa"/>
            <w:noWrap/>
          </w:tcPr>
          <w:p w:rsidR="0050230D" w:rsidRPr="00B607DB" w:rsidRDefault="0050230D" w:rsidP="00345ABF">
            <w:pPr>
              <w:spacing w:after="80"/>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0,1246</w:t>
            </w:r>
          </w:p>
        </w:tc>
      </w:tr>
    </w:tbl>
    <w:p w:rsidR="0050230D" w:rsidRPr="00B607DB" w:rsidRDefault="0050230D" w:rsidP="0050230D">
      <w:pPr>
        <w:spacing w:after="120"/>
        <w:jc w:val="both"/>
        <w:rPr>
          <w:rFonts w:cstheme="minorHAnsi"/>
          <w:color w:val="000000"/>
        </w:rPr>
      </w:pPr>
    </w:p>
    <w:p w:rsidR="0050230D" w:rsidRPr="00B607DB" w:rsidRDefault="0050230D" w:rsidP="0050230D">
      <w:pPr>
        <w:jc w:val="center"/>
        <w:rPr>
          <w:rFonts w:eastAsiaTheme="minorEastAsia" w:cstheme="minorHAnsi"/>
          <w:b/>
        </w:rPr>
      </w:pPr>
      <m:oMathPara>
        <m:oMath>
          <m:r>
            <m:rPr>
              <m:sty m:val="bi"/>
            </m:rPr>
            <w:rPr>
              <w:rFonts w:ascii="Cambria Math" w:cstheme="minorHAnsi"/>
            </w:rPr>
            <m:t>Коефициент</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капитализация</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активите</m:t>
          </m:r>
        </m:oMath>
      </m:oMathPara>
    </w:p>
    <w:p w:rsidR="0050230D" w:rsidRPr="00B607DB" w:rsidRDefault="0050230D" w:rsidP="0050230D">
      <w:pPr>
        <w:jc w:val="center"/>
        <w:rPr>
          <w:rFonts w:cstheme="minorHAnsi"/>
          <w:i/>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cstheme="minorHAnsi"/>
                </w:rPr>
                <m:t>Финансов</m:t>
              </m:r>
              <m:r>
                <m:rPr>
                  <m:sty m:val="bi"/>
                </m:rPr>
                <w:rPr>
                  <w:rFonts w:ascii="Cambria Math" w:cstheme="minorHAnsi"/>
                </w:rPr>
                <m:t xml:space="preserve"> </m:t>
              </m:r>
              <m:r>
                <m:rPr>
                  <m:sty m:val="bi"/>
                </m:rPr>
                <w:rPr>
                  <w:rFonts w:ascii="Cambria Math" w:cstheme="minorHAnsi"/>
                </w:rPr>
                <m:t>резултат</m:t>
              </m:r>
            </m:num>
            <m:den>
              <m:r>
                <m:rPr>
                  <m:sty m:val="bi"/>
                </m:rPr>
                <w:rPr>
                  <w:rFonts w:ascii="Cambria Math" w:cstheme="minorHAnsi"/>
                </w:rPr>
                <m:t>Сума</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реалните</m:t>
              </m:r>
              <m:r>
                <m:rPr>
                  <m:sty m:val="bi"/>
                </m:rPr>
                <w:rPr>
                  <w:rFonts w:ascii="Cambria Math" w:cstheme="minorHAnsi"/>
                </w:rPr>
                <m:t xml:space="preserve"> </m:t>
              </m:r>
              <m:r>
                <m:rPr>
                  <m:sty m:val="bi"/>
                </m:rPr>
                <w:rPr>
                  <w:rFonts w:ascii="Cambria Math" w:cstheme="minorHAnsi"/>
                </w:rPr>
                <m:t>активи</m:t>
              </m:r>
              <m:r>
                <m:rPr>
                  <m:sty m:val="bi"/>
                </m:rPr>
                <w:rPr>
                  <w:rFonts w:ascii="Cambria Math" w:cstheme="minorHAnsi"/>
                </w:rPr>
                <m:t xml:space="preserve"> </m:t>
              </m:r>
            </m:den>
          </m:f>
        </m:oMath>
      </m:oMathPara>
    </w:p>
    <w:p w:rsidR="00F00027" w:rsidRDefault="00F00027" w:rsidP="0050230D">
      <w:pPr>
        <w:spacing w:after="120"/>
        <w:jc w:val="both"/>
        <w:rPr>
          <w:rFonts w:cstheme="minorHAnsi"/>
          <w:i/>
          <w:color w:val="000000"/>
        </w:rPr>
      </w:pPr>
    </w:p>
    <w:p w:rsidR="0050230D" w:rsidRPr="00B607DB" w:rsidRDefault="0050230D" w:rsidP="0050230D">
      <w:pPr>
        <w:spacing w:after="120"/>
        <w:jc w:val="both"/>
        <w:rPr>
          <w:rFonts w:cstheme="minorHAnsi"/>
          <w:i/>
          <w:color w:val="000000"/>
        </w:rPr>
      </w:pPr>
      <w:r w:rsidRPr="00B607DB">
        <w:rPr>
          <w:rFonts w:cstheme="minorHAnsi"/>
          <w:i/>
          <w:color w:val="000000"/>
        </w:rPr>
        <w:t xml:space="preserve">където: </w:t>
      </w:r>
    </w:p>
    <w:p w:rsidR="0050230D" w:rsidRPr="00B607DB" w:rsidRDefault="0050230D" w:rsidP="0050230D">
      <w:pPr>
        <w:spacing w:after="120"/>
        <w:jc w:val="both"/>
        <w:rPr>
          <w:rFonts w:cstheme="minorHAnsi"/>
          <w:i/>
          <w:color w:val="000000"/>
        </w:rPr>
      </w:pPr>
      <w:r w:rsidRPr="00B607DB">
        <w:rPr>
          <w:rFonts w:cstheme="minorHAnsi"/>
          <w:i/>
          <w:color w:val="000000"/>
        </w:rPr>
        <w:t xml:space="preserve">Реални активи = ДМА + КрМА – Краткосрочни задължения </w:t>
      </w:r>
    </w:p>
    <w:p w:rsidR="0050230D" w:rsidRPr="00B607DB" w:rsidRDefault="0050230D" w:rsidP="0050230D">
      <w:pPr>
        <w:spacing w:after="120"/>
        <w:jc w:val="both"/>
        <w:rPr>
          <w:rFonts w:cstheme="minorHAnsi"/>
          <w:color w:val="000000"/>
        </w:rPr>
      </w:pPr>
    </w:p>
    <w:p w:rsidR="0050230D" w:rsidRPr="00B607DB" w:rsidRDefault="0050230D" w:rsidP="0050230D">
      <w:pPr>
        <w:spacing w:after="120"/>
        <w:jc w:val="both"/>
        <w:rPr>
          <w:rFonts w:cstheme="minorHAnsi"/>
          <w:color w:val="000000"/>
        </w:rPr>
      </w:pPr>
      <w:r w:rsidRPr="00B607DB">
        <w:rPr>
          <w:rFonts w:cstheme="minorHAnsi"/>
          <w:color w:val="000000"/>
        </w:rPr>
        <w:t>Стойностите на показателя за анализираните ВиК дружества за периода 2007-2009 г. са представени в следващата таблица:</w:t>
      </w:r>
    </w:p>
    <w:p w:rsidR="0050230D" w:rsidRDefault="0050230D" w:rsidP="0050230D">
      <w:pPr>
        <w:spacing w:after="120"/>
        <w:jc w:val="both"/>
        <w:rPr>
          <w:rFonts w:cstheme="minorHAnsi"/>
          <w:color w:val="000000"/>
        </w:rPr>
      </w:pPr>
    </w:p>
    <w:p w:rsidR="00F00027" w:rsidRDefault="00F00027" w:rsidP="0050230D">
      <w:pPr>
        <w:spacing w:after="120"/>
        <w:jc w:val="both"/>
        <w:rPr>
          <w:rFonts w:cstheme="minorHAnsi"/>
          <w:color w:val="000000"/>
        </w:rPr>
      </w:pPr>
    </w:p>
    <w:p w:rsidR="00F00027" w:rsidRPr="00B607DB" w:rsidRDefault="00F00027" w:rsidP="0050230D">
      <w:pPr>
        <w:spacing w:after="120"/>
        <w:jc w:val="both"/>
        <w:rPr>
          <w:rFonts w:cstheme="minorHAnsi"/>
          <w:color w:val="000000"/>
        </w:rPr>
      </w:pPr>
    </w:p>
    <w:p w:rsidR="0050230D" w:rsidRPr="00B607DB" w:rsidRDefault="0050230D" w:rsidP="0050230D">
      <w:pPr>
        <w:pStyle w:val="Caption"/>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3</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xml:space="preserve">. Коефициент на капитализация на активите </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Малки ВиК дружества (17)</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-0,0730</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-0,1587</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-0,2253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0,0074</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0,0248</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0,0277</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lastRenderedPageBreak/>
              <w:t>Големи ВиК дружества (13)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-0,0474</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-0,0264</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-0,0145</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Много големи ВиК дружества (11)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0,0285</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0,0899</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0,1158</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b/>
              </w:rPr>
            </w:pPr>
            <w:r w:rsidRPr="00B607DB">
              <w:rPr>
                <w:rFonts w:cstheme="minorHAnsi"/>
                <w:b/>
              </w:rPr>
              <w:t>Общо ВиК дружества (56)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0,0042</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b/>
              </w:rPr>
            </w:pPr>
            <w:r w:rsidRPr="00B607DB">
              <w:rPr>
                <w:rFonts w:cstheme="minorHAnsi"/>
                <w:b/>
              </w:rPr>
              <w:t>0,0525</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0,0764</w:t>
            </w:r>
          </w:p>
        </w:tc>
      </w:tr>
    </w:tbl>
    <w:p w:rsidR="0050230D" w:rsidRPr="00B607DB" w:rsidRDefault="0050230D" w:rsidP="0050230D">
      <w:pPr>
        <w:rPr>
          <w:rFonts w:cstheme="minorHAnsi"/>
        </w:rPr>
      </w:pPr>
    </w:p>
    <w:p w:rsidR="0050230D" w:rsidRPr="00B607DB" w:rsidRDefault="0050230D" w:rsidP="001A036E">
      <w:pPr>
        <w:numPr>
          <w:ilvl w:val="0"/>
          <w:numId w:val="37"/>
        </w:numPr>
        <w:spacing w:before="120" w:after="120" w:line="276" w:lineRule="auto"/>
        <w:rPr>
          <w:rFonts w:cstheme="minorHAnsi"/>
          <w:b/>
          <w:bCs/>
          <w:iCs/>
          <w:color w:val="000000"/>
        </w:rPr>
      </w:pPr>
      <w:r w:rsidRPr="00B607DB">
        <w:rPr>
          <w:rFonts w:cstheme="minorHAnsi"/>
          <w:b/>
          <w:bCs/>
          <w:iCs/>
          <w:color w:val="000000"/>
        </w:rPr>
        <w:t>Показатели за ефективност</w:t>
      </w:r>
    </w:p>
    <w:p w:rsidR="0050230D" w:rsidRDefault="0050230D" w:rsidP="0050230D">
      <w:pPr>
        <w:spacing w:after="120"/>
        <w:jc w:val="both"/>
        <w:rPr>
          <w:rFonts w:cstheme="minorHAnsi"/>
          <w:color w:val="000000"/>
        </w:rPr>
      </w:pPr>
      <w:r w:rsidRPr="00B607DB">
        <w:rPr>
          <w:rFonts w:cstheme="minorHAnsi"/>
          <w:color w:val="000000"/>
        </w:rPr>
        <w:t>Показателите за ефективност са количествени характеристики на съотношението между приходите и разходите на предприятието. Те разкриват какви икономически ефекти реализират дружествата с помощта на единица разходи или единица приходи. Показателите за ефективност, които се използват в анализа, са:</w:t>
      </w:r>
    </w:p>
    <w:p w:rsidR="00BB5A85" w:rsidRDefault="00BB5A85" w:rsidP="0050230D">
      <w:pPr>
        <w:spacing w:after="120"/>
        <w:jc w:val="both"/>
        <w:rPr>
          <w:rFonts w:cstheme="minorHAnsi"/>
          <w:color w:val="000000"/>
        </w:rPr>
      </w:pPr>
    </w:p>
    <w:p w:rsidR="0050230D" w:rsidRPr="00B607DB" w:rsidRDefault="0050230D" w:rsidP="0050230D">
      <w:pPr>
        <w:spacing w:before="100" w:beforeAutospacing="1" w:after="120"/>
        <w:jc w:val="center"/>
        <w:rPr>
          <w:rFonts w:eastAsiaTheme="minorEastAsia" w:cstheme="minorHAnsi"/>
          <w:b/>
        </w:rPr>
      </w:pPr>
      <m:oMathPara>
        <m:oMath>
          <m:r>
            <m:rPr>
              <m:sty m:val="bi"/>
            </m:rPr>
            <w:rPr>
              <w:rFonts w:ascii="Cambria Math" w:cstheme="minorHAnsi"/>
            </w:rPr>
            <m:t>Коефициент</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ефективност</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приходите</m:t>
          </m:r>
        </m:oMath>
      </m:oMathPara>
    </w:p>
    <w:p w:rsidR="0050230D" w:rsidRPr="00B607DB" w:rsidRDefault="0050230D" w:rsidP="0050230D">
      <w:pPr>
        <w:spacing w:before="100" w:beforeAutospacing="1" w:after="120"/>
        <w:jc w:val="center"/>
        <w:rPr>
          <w:rFonts w:cstheme="minorHAnsi"/>
          <w:b/>
          <w:color w:val="000000"/>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cstheme="minorHAnsi"/>
                </w:rPr>
                <m:t>Общо</m:t>
              </m:r>
              <m:r>
                <m:rPr>
                  <m:sty m:val="bi"/>
                </m:rPr>
                <w:rPr>
                  <w:rFonts w:ascii="Cambria Math" w:cstheme="minorHAnsi"/>
                </w:rPr>
                <m:t xml:space="preserve"> </m:t>
              </m:r>
              <m:r>
                <m:rPr>
                  <m:sty m:val="bi"/>
                </m:rPr>
                <w:rPr>
                  <w:rFonts w:ascii="Cambria Math" w:cstheme="minorHAnsi"/>
                </w:rPr>
                <m:t>разходи</m:t>
              </m:r>
              <m:r>
                <m:rPr>
                  <m:sty m:val="bi"/>
                </m:rPr>
                <w:rPr>
                  <w:rFonts w:ascii="Cambria Math" w:cstheme="minorHAnsi"/>
                </w:rPr>
                <m:t xml:space="preserve"> </m:t>
              </m:r>
            </m:num>
            <m:den>
              <m:r>
                <m:rPr>
                  <m:sty m:val="bi"/>
                </m:rPr>
                <w:rPr>
                  <w:rFonts w:ascii="Cambria Math" w:cstheme="minorHAnsi"/>
                </w:rPr>
                <m:t>Общо</m:t>
              </m:r>
              <m:r>
                <m:rPr>
                  <m:sty m:val="bi"/>
                </m:rPr>
                <w:rPr>
                  <w:rFonts w:ascii="Cambria Math" w:cstheme="minorHAnsi"/>
                </w:rPr>
                <m:t xml:space="preserve"> </m:t>
              </m:r>
              <m:r>
                <m:rPr>
                  <m:sty m:val="bi"/>
                </m:rPr>
                <w:rPr>
                  <w:rFonts w:ascii="Cambria Math" w:cstheme="minorHAnsi"/>
                </w:rPr>
                <m:t>приходи</m:t>
              </m:r>
              <m:r>
                <m:rPr>
                  <m:sty m:val="bi"/>
                </m:rPr>
                <w:rPr>
                  <w:rFonts w:ascii="Cambria Math" w:cstheme="minorHAnsi"/>
                </w:rPr>
                <m:t xml:space="preserve"> </m:t>
              </m:r>
            </m:den>
          </m:f>
        </m:oMath>
      </m:oMathPara>
    </w:p>
    <w:p w:rsidR="0050230D" w:rsidRPr="00B607DB" w:rsidRDefault="0050230D" w:rsidP="0050230D">
      <w:pPr>
        <w:spacing w:after="120"/>
        <w:jc w:val="both"/>
        <w:rPr>
          <w:rFonts w:cstheme="minorHAnsi"/>
          <w:color w:val="000000"/>
        </w:rPr>
      </w:pPr>
    </w:p>
    <w:p w:rsidR="0050230D" w:rsidRPr="00B607DB" w:rsidRDefault="0050230D" w:rsidP="0050230D">
      <w:pPr>
        <w:spacing w:after="120"/>
        <w:jc w:val="both"/>
        <w:rPr>
          <w:rFonts w:cstheme="minorHAnsi"/>
          <w:color w:val="000000"/>
        </w:rPr>
      </w:pPr>
      <w:r w:rsidRPr="00B607DB">
        <w:rPr>
          <w:rFonts w:cstheme="minorHAnsi"/>
          <w:color w:val="000000"/>
        </w:rPr>
        <w:t xml:space="preserve">Стойностите на показателя за анализираните ВиК дружества за периода 2007-2009 г. са представени в следващата таблица: </w:t>
      </w:r>
    </w:p>
    <w:p w:rsidR="0050230D" w:rsidRPr="00B607DB" w:rsidRDefault="0050230D" w:rsidP="0050230D">
      <w:pPr>
        <w:pStyle w:val="Caption"/>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4</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xml:space="preserve">. Коефициент на ефективност на приходите </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Малки ВиК дружества (17)</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1,0478</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0,9742</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0,9361</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0,8820</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0,8986</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0,8908</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Големи ВиК дружества (13)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0,8974</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0,8871</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0,8761</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Много големи ВиК дружества (11)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0,8779</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0,8213</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0,8202</w:t>
            </w:r>
          </w:p>
        </w:tc>
      </w:tr>
      <w:tr w:rsidR="0050230D" w:rsidRPr="00B607DB" w:rsidTr="00345ABF">
        <w:trPr>
          <w:trHeight w:val="402"/>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b/>
              </w:rPr>
            </w:pPr>
            <w:r w:rsidRPr="00B607DB">
              <w:rPr>
                <w:rFonts w:cstheme="minorHAnsi"/>
                <w:b/>
              </w:rPr>
              <w:t>Общо ВиК дружества (56)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0,8862</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b/>
              </w:rPr>
            </w:pPr>
            <w:r w:rsidRPr="00B607DB">
              <w:rPr>
                <w:rFonts w:cstheme="minorHAnsi"/>
                <w:b/>
              </w:rPr>
              <w:t>0,8480</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0,8406</w:t>
            </w:r>
          </w:p>
        </w:tc>
      </w:tr>
    </w:tbl>
    <w:p w:rsidR="0050230D" w:rsidRPr="00B607DB" w:rsidRDefault="0050230D" w:rsidP="0050230D">
      <w:pPr>
        <w:spacing w:after="120"/>
        <w:rPr>
          <w:rFonts w:cstheme="minorHAnsi"/>
          <w:color w:val="000000"/>
        </w:rPr>
      </w:pPr>
    </w:p>
    <w:p w:rsidR="0050230D" w:rsidRPr="00BB5A85" w:rsidRDefault="0050230D" w:rsidP="0050230D">
      <w:pPr>
        <w:spacing w:before="100" w:beforeAutospacing="1" w:after="120"/>
        <w:jc w:val="center"/>
        <w:rPr>
          <w:rFonts w:ascii="Cambria Math" w:cstheme="minorHAnsi"/>
          <w:b/>
          <w:i/>
        </w:rPr>
      </w:pPr>
      <m:oMathPara>
        <m:oMath>
          <m:r>
            <m:rPr>
              <m:sty m:val="bi"/>
            </m:rPr>
            <w:rPr>
              <w:rFonts w:ascii="Cambria Math" w:hAnsi="Cambria Math" w:cstheme="minorHAnsi"/>
            </w:rPr>
            <m:t>Коефициент</m:t>
          </m:r>
          <m:r>
            <m:rPr>
              <m:sty m:val="bi"/>
            </m:rPr>
            <w:rPr>
              <w:rFonts w:ascii="Cambria Math" w:cstheme="minorHAnsi"/>
            </w:rPr>
            <m:t xml:space="preserve"> </m:t>
          </m:r>
          <m:r>
            <m:rPr>
              <m:sty m:val="bi"/>
            </m:rPr>
            <w:rPr>
              <w:rFonts w:ascii="Cambria Math" w:hAnsi="Cambria Math" w:cstheme="minorHAnsi"/>
            </w:rPr>
            <m:t>на</m:t>
          </m:r>
          <m:r>
            <m:rPr>
              <m:sty m:val="bi"/>
            </m:rPr>
            <w:rPr>
              <w:rFonts w:ascii="Cambria Math" w:cstheme="minorHAnsi"/>
            </w:rPr>
            <m:t xml:space="preserve"> </m:t>
          </m:r>
          <m:r>
            <m:rPr>
              <m:sty m:val="bi"/>
            </m:rPr>
            <w:rPr>
              <w:rFonts w:ascii="Cambria Math" w:hAnsi="Cambria Math" w:cstheme="minorHAnsi"/>
            </w:rPr>
            <m:t>ефективност</m:t>
          </m:r>
          <m:r>
            <m:rPr>
              <m:sty m:val="bi"/>
            </m:rPr>
            <w:rPr>
              <w:rFonts w:ascii="Cambria Math" w:cstheme="minorHAnsi"/>
            </w:rPr>
            <m:t xml:space="preserve"> </m:t>
          </m:r>
          <m:r>
            <m:rPr>
              <m:sty m:val="bi"/>
            </m:rPr>
            <w:rPr>
              <w:rFonts w:ascii="Cambria Math" w:hAnsi="Cambria Math" w:cstheme="minorHAnsi"/>
            </w:rPr>
            <m:t>на</m:t>
          </m:r>
          <m:r>
            <m:rPr>
              <m:sty m:val="bi"/>
            </m:rPr>
            <w:rPr>
              <w:rFonts w:ascii="Cambria Math" w:cstheme="minorHAnsi"/>
            </w:rPr>
            <m:t xml:space="preserve"> </m:t>
          </m:r>
          <m:r>
            <m:rPr>
              <m:sty m:val="bi"/>
            </m:rPr>
            <w:rPr>
              <w:rFonts w:ascii="Cambria Math" w:hAnsi="Cambria Math" w:cstheme="minorHAnsi"/>
            </w:rPr>
            <m:t>разходите</m:t>
          </m:r>
        </m:oMath>
      </m:oMathPara>
    </w:p>
    <w:p w:rsidR="0050230D" w:rsidRPr="00BB5A85" w:rsidRDefault="0050230D" w:rsidP="0050230D">
      <w:pPr>
        <w:spacing w:before="100" w:beforeAutospacing="1" w:after="120"/>
        <w:jc w:val="center"/>
        <w:rPr>
          <w:rFonts w:ascii="Cambria Math" w:cstheme="minorHAnsi"/>
          <w:b/>
          <w:i/>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cstheme="minorHAnsi"/>
                </w:rPr>
                <m:t>Общо</m:t>
              </m:r>
              <m:r>
                <m:rPr>
                  <m:sty m:val="bi"/>
                </m:rPr>
                <w:rPr>
                  <w:rFonts w:ascii="Cambria Math" w:cstheme="minorHAnsi"/>
                </w:rPr>
                <m:t xml:space="preserve"> </m:t>
              </m:r>
              <m:r>
                <m:rPr>
                  <m:sty m:val="bi"/>
                </m:rPr>
                <w:rPr>
                  <w:rFonts w:ascii="Cambria Math" w:cstheme="minorHAnsi"/>
                </w:rPr>
                <m:t>приходи</m:t>
              </m:r>
              <m:r>
                <m:rPr>
                  <m:sty m:val="bi"/>
                </m:rPr>
                <w:rPr>
                  <w:rFonts w:ascii="Cambria Math" w:cstheme="minorHAnsi"/>
                </w:rPr>
                <m:t xml:space="preserve"> </m:t>
              </m:r>
            </m:num>
            <m:den>
              <m:r>
                <m:rPr>
                  <m:sty m:val="bi"/>
                </m:rPr>
                <w:rPr>
                  <w:rFonts w:ascii="Cambria Math" w:cstheme="minorHAnsi"/>
                </w:rPr>
                <m:t>Общо</m:t>
              </m:r>
              <m:r>
                <m:rPr>
                  <m:sty m:val="bi"/>
                </m:rPr>
                <w:rPr>
                  <w:rFonts w:ascii="Cambria Math" w:cstheme="minorHAnsi"/>
                </w:rPr>
                <m:t xml:space="preserve"> </m:t>
              </m:r>
              <m:r>
                <m:rPr>
                  <m:sty m:val="bi"/>
                </m:rPr>
                <w:rPr>
                  <w:rFonts w:ascii="Cambria Math" w:cstheme="minorHAnsi"/>
                </w:rPr>
                <m:t>разходи</m:t>
              </m:r>
              <m:r>
                <m:rPr>
                  <m:sty m:val="bi"/>
                </m:rPr>
                <w:rPr>
                  <w:rFonts w:ascii="Cambria Math" w:cstheme="minorHAnsi"/>
                </w:rPr>
                <m:t xml:space="preserve"> </m:t>
              </m:r>
            </m:den>
          </m:f>
        </m:oMath>
      </m:oMathPara>
    </w:p>
    <w:p w:rsidR="0050230D" w:rsidRPr="00B607DB" w:rsidRDefault="0050230D" w:rsidP="0050230D">
      <w:pPr>
        <w:spacing w:after="120"/>
        <w:jc w:val="center"/>
        <w:rPr>
          <w:rFonts w:cstheme="minorHAnsi"/>
          <w:color w:val="000000"/>
        </w:rPr>
      </w:pPr>
    </w:p>
    <w:p w:rsidR="0050230D" w:rsidRPr="00B607DB" w:rsidRDefault="0050230D" w:rsidP="0050230D">
      <w:pPr>
        <w:spacing w:after="120"/>
        <w:jc w:val="both"/>
        <w:rPr>
          <w:rFonts w:cstheme="minorHAnsi"/>
          <w:color w:val="000000"/>
        </w:rPr>
      </w:pPr>
      <w:r w:rsidRPr="00B607DB">
        <w:rPr>
          <w:rFonts w:cstheme="minorHAnsi"/>
          <w:color w:val="000000"/>
        </w:rPr>
        <w:t xml:space="preserve">Стойностите на показателя за анализираните ВиК дружества за периода 2007-2009 г. са представени в следващата таблица: </w:t>
      </w:r>
    </w:p>
    <w:p w:rsidR="0050230D" w:rsidRPr="00B607DB" w:rsidRDefault="0050230D" w:rsidP="00FD0610">
      <w:pPr>
        <w:pStyle w:val="Caption"/>
        <w:keepNext/>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5</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xml:space="preserve">. Коефициент на ефективност на разходите </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Малки ВиК дружества (17)</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0,9544</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1,0264</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1,0682</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1,1338</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1,1128</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1,1226</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Големи ВиК дружества (13)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1,1143</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1,1272</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1,1414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lastRenderedPageBreak/>
              <w:t>Много големи ВиК дружества (11)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1,1391</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1,2176</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1,2192</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b/>
              </w:rPr>
            </w:pPr>
            <w:r w:rsidRPr="00B607DB">
              <w:rPr>
                <w:rFonts w:cstheme="minorHAnsi"/>
                <w:b/>
              </w:rPr>
              <w:t>Общо ВиК дружества (56)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1,1285</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b/>
              </w:rPr>
            </w:pPr>
            <w:r w:rsidRPr="00B607DB">
              <w:rPr>
                <w:rFonts w:cstheme="minorHAnsi"/>
                <w:b/>
              </w:rPr>
              <w:t>1,1793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1,1896</w:t>
            </w:r>
          </w:p>
        </w:tc>
      </w:tr>
    </w:tbl>
    <w:p w:rsidR="0050230D" w:rsidRPr="00B607DB" w:rsidRDefault="0050230D" w:rsidP="0050230D">
      <w:pPr>
        <w:spacing w:before="120" w:after="120"/>
        <w:rPr>
          <w:rFonts w:cstheme="minorHAnsi"/>
          <w:b/>
          <w:bCs/>
          <w:i/>
          <w:iCs/>
          <w:color w:val="000000"/>
        </w:rPr>
      </w:pPr>
    </w:p>
    <w:p w:rsidR="0050230D" w:rsidRPr="00B607DB" w:rsidRDefault="0050230D" w:rsidP="001A036E">
      <w:pPr>
        <w:numPr>
          <w:ilvl w:val="0"/>
          <w:numId w:val="37"/>
        </w:numPr>
        <w:spacing w:before="120" w:after="120" w:line="276" w:lineRule="auto"/>
        <w:rPr>
          <w:rFonts w:cstheme="minorHAnsi"/>
          <w:b/>
          <w:bCs/>
          <w:iCs/>
          <w:color w:val="000000"/>
        </w:rPr>
      </w:pPr>
      <w:r w:rsidRPr="00B607DB">
        <w:rPr>
          <w:rFonts w:cstheme="minorHAnsi"/>
          <w:b/>
          <w:bCs/>
          <w:iCs/>
          <w:color w:val="000000"/>
        </w:rPr>
        <w:t>Показатели за финансова стабилност/ автономност</w:t>
      </w:r>
    </w:p>
    <w:p w:rsidR="0050230D" w:rsidRPr="00B607DB" w:rsidRDefault="0050230D" w:rsidP="0050230D">
      <w:pPr>
        <w:spacing w:after="120"/>
        <w:jc w:val="both"/>
        <w:rPr>
          <w:rFonts w:cstheme="minorHAnsi"/>
          <w:color w:val="000000"/>
        </w:rPr>
      </w:pPr>
      <w:r w:rsidRPr="00B607DB">
        <w:rPr>
          <w:rFonts w:cstheme="minorHAnsi"/>
          <w:color w:val="000000"/>
        </w:rPr>
        <w:t>Показателите за финансова автономност дават количествена характеристика на степента на финансовата независимост на фирмата от кредиторите. Те показват съотношението между собствения капитал и общия размер на всички източници на финансиране на фирмата.</w:t>
      </w:r>
    </w:p>
    <w:p w:rsidR="0050230D" w:rsidRPr="00B607DB" w:rsidRDefault="0050230D" w:rsidP="00BB5A85">
      <w:pPr>
        <w:keepNext/>
        <w:spacing w:before="100" w:beforeAutospacing="1" w:after="120"/>
        <w:jc w:val="center"/>
        <w:rPr>
          <w:rFonts w:eastAsiaTheme="minorEastAsia" w:cstheme="minorHAnsi"/>
          <w:b/>
        </w:rPr>
      </w:pPr>
      <m:oMathPara>
        <m:oMath>
          <m:r>
            <m:rPr>
              <m:sty m:val="bi"/>
            </m:rPr>
            <w:rPr>
              <w:rFonts w:ascii="Cambria Math" w:cstheme="minorHAnsi"/>
            </w:rPr>
            <m:t>Коефициент</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финансова</m:t>
          </m:r>
          <m:r>
            <m:rPr>
              <m:sty m:val="bi"/>
            </m:rPr>
            <w:rPr>
              <w:rFonts w:ascii="Cambria Math" w:cstheme="minorHAnsi"/>
            </w:rPr>
            <m:t xml:space="preserve"> </m:t>
          </m:r>
          <m:r>
            <m:rPr>
              <m:sty m:val="bi"/>
            </m:rPr>
            <w:rPr>
              <w:rFonts w:ascii="Cambria Math" w:cstheme="minorHAnsi"/>
            </w:rPr>
            <m:t>автономност</m:t>
          </m:r>
        </m:oMath>
      </m:oMathPara>
    </w:p>
    <w:p w:rsidR="0050230D" w:rsidRPr="00B607DB" w:rsidRDefault="0050230D" w:rsidP="0050230D">
      <w:pPr>
        <w:spacing w:before="100" w:beforeAutospacing="1" w:after="120"/>
        <w:jc w:val="center"/>
        <w:rPr>
          <w:rFonts w:cstheme="minorHAnsi"/>
          <w:b/>
          <w:color w:val="000000"/>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cstheme="minorHAnsi"/>
                </w:rPr>
                <m:t>Собствен</m:t>
              </m:r>
              <m:r>
                <m:rPr>
                  <m:sty m:val="bi"/>
                </m:rPr>
                <w:rPr>
                  <w:rFonts w:ascii="Cambria Math" w:cstheme="minorHAnsi"/>
                </w:rPr>
                <m:t xml:space="preserve"> </m:t>
              </m:r>
              <m:r>
                <m:rPr>
                  <m:sty m:val="bi"/>
                </m:rPr>
                <w:rPr>
                  <w:rFonts w:ascii="Cambria Math" w:cstheme="minorHAnsi"/>
                </w:rPr>
                <m:t>капитал</m:t>
              </m:r>
              <m:r>
                <m:rPr>
                  <m:sty m:val="bi"/>
                </m:rPr>
                <w:rPr>
                  <w:rFonts w:ascii="Cambria Math" w:cstheme="minorHAnsi"/>
                </w:rPr>
                <m:t xml:space="preserve"> </m:t>
              </m:r>
            </m:num>
            <m:den>
              <m:r>
                <m:rPr>
                  <m:sty m:val="bi"/>
                </m:rPr>
                <w:rPr>
                  <w:rFonts w:ascii="Cambria Math" w:cstheme="minorHAnsi"/>
                </w:rPr>
                <m:t>Пасиви</m:t>
              </m:r>
            </m:den>
          </m:f>
        </m:oMath>
      </m:oMathPara>
    </w:p>
    <w:p w:rsidR="0050230D" w:rsidRPr="00B607DB" w:rsidRDefault="0050230D" w:rsidP="0050230D">
      <w:pPr>
        <w:spacing w:after="120"/>
        <w:jc w:val="both"/>
        <w:rPr>
          <w:rFonts w:cstheme="minorHAnsi"/>
          <w:color w:val="000000"/>
        </w:rPr>
      </w:pPr>
    </w:p>
    <w:p w:rsidR="0050230D" w:rsidRPr="00B607DB" w:rsidRDefault="0050230D" w:rsidP="0050230D">
      <w:pPr>
        <w:spacing w:after="120"/>
        <w:jc w:val="both"/>
        <w:rPr>
          <w:rFonts w:cstheme="minorHAnsi"/>
          <w:color w:val="000000"/>
        </w:rPr>
      </w:pPr>
      <w:r w:rsidRPr="00B607DB">
        <w:rPr>
          <w:rFonts w:cstheme="minorHAnsi"/>
          <w:color w:val="000000"/>
        </w:rPr>
        <w:t xml:space="preserve">Стойностите на показателя за анализираните ВиК дружества за периода 2007-2009 г. са представени в следващата таблица: </w:t>
      </w:r>
    </w:p>
    <w:p w:rsidR="0050230D" w:rsidRPr="00B607DB" w:rsidRDefault="0050230D" w:rsidP="0050230D">
      <w:pPr>
        <w:pStyle w:val="Caption"/>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6</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xml:space="preserve">. Коефициент на финансова автономност </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Малки ВиК дружества (17)</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0,5503</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0,4834</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0,4004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0,7182</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0,8189</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0,8326</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Големи ВиК дружества (13)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0,5711</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0,5543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0,5588</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Много големи ВиК дружества (11)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0,4571</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0,4451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0,4247</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Общо ВиК дружества (56)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0,5153</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0,5070</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0,4866</w:t>
            </w:r>
          </w:p>
        </w:tc>
      </w:tr>
    </w:tbl>
    <w:p w:rsidR="0050230D" w:rsidRPr="00B607DB" w:rsidRDefault="0050230D" w:rsidP="0050230D">
      <w:pPr>
        <w:rPr>
          <w:rFonts w:cstheme="minorHAnsi"/>
        </w:rPr>
      </w:pPr>
    </w:p>
    <w:p w:rsidR="0050230D" w:rsidRPr="00B607DB" w:rsidRDefault="0050230D" w:rsidP="0050230D">
      <w:pPr>
        <w:spacing w:before="100" w:beforeAutospacing="1" w:after="120"/>
        <w:jc w:val="center"/>
        <w:rPr>
          <w:rFonts w:eastAsiaTheme="minorEastAsia" w:cstheme="minorHAnsi"/>
          <w:b/>
        </w:rPr>
      </w:pPr>
      <m:oMathPara>
        <m:oMath>
          <m:r>
            <m:rPr>
              <m:sty m:val="bi"/>
            </m:rPr>
            <w:rPr>
              <w:rFonts w:ascii="Cambria Math" w:cstheme="minorHAnsi"/>
            </w:rPr>
            <m:t>Коефициент</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задлъжнялост</m:t>
          </m:r>
        </m:oMath>
      </m:oMathPara>
    </w:p>
    <w:p w:rsidR="0050230D" w:rsidRPr="00B607DB" w:rsidRDefault="0050230D" w:rsidP="0050230D">
      <w:pPr>
        <w:spacing w:before="100" w:beforeAutospacing="1" w:after="120"/>
        <w:jc w:val="center"/>
        <w:rPr>
          <w:rFonts w:cstheme="minorHAnsi"/>
          <w:b/>
          <w:color w:val="000000"/>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cstheme="minorHAnsi"/>
                </w:rPr>
                <m:t>Пасиви</m:t>
              </m:r>
              <m:r>
                <m:rPr>
                  <m:sty m:val="bi"/>
                </m:rPr>
                <w:rPr>
                  <w:rFonts w:ascii="Cambria Math" w:cstheme="minorHAnsi"/>
                </w:rPr>
                <m:t xml:space="preserve"> </m:t>
              </m:r>
            </m:num>
            <m:den>
              <m:r>
                <m:rPr>
                  <m:sty m:val="bi"/>
                </m:rPr>
                <w:rPr>
                  <w:rFonts w:ascii="Cambria Math" w:cstheme="minorHAnsi"/>
                </w:rPr>
                <m:t>Собствен</m:t>
              </m:r>
              <m:r>
                <m:rPr>
                  <m:sty m:val="bi"/>
                </m:rPr>
                <w:rPr>
                  <w:rFonts w:ascii="Cambria Math" w:cstheme="minorHAnsi"/>
                </w:rPr>
                <m:t xml:space="preserve"> </m:t>
              </m:r>
              <m:r>
                <m:rPr>
                  <m:sty m:val="bi"/>
                </m:rPr>
                <w:rPr>
                  <w:rFonts w:ascii="Cambria Math" w:cstheme="minorHAnsi"/>
                </w:rPr>
                <m:t>капитал</m:t>
              </m:r>
            </m:den>
          </m:f>
        </m:oMath>
      </m:oMathPara>
    </w:p>
    <w:p w:rsidR="0050230D" w:rsidRPr="00B607DB" w:rsidRDefault="0050230D" w:rsidP="0050230D">
      <w:pPr>
        <w:spacing w:after="120"/>
        <w:jc w:val="both"/>
        <w:rPr>
          <w:rFonts w:cstheme="minorHAnsi"/>
          <w:color w:val="000000"/>
        </w:rPr>
      </w:pPr>
    </w:p>
    <w:p w:rsidR="0050230D" w:rsidRDefault="0050230D" w:rsidP="0050230D">
      <w:pPr>
        <w:spacing w:after="120"/>
        <w:jc w:val="both"/>
        <w:rPr>
          <w:rFonts w:cstheme="minorHAnsi"/>
          <w:color w:val="000000"/>
        </w:rPr>
      </w:pPr>
      <w:r w:rsidRPr="00B607DB">
        <w:rPr>
          <w:rFonts w:cstheme="minorHAnsi"/>
          <w:color w:val="000000"/>
        </w:rPr>
        <w:t xml:space="preserve">Стойностите на показателя за анализираните ВиК дружества за периода 2007-2009 г. са представени в следващата таблица: </w:t>
      </w:r>
    </w:p>
    <w:p w:rsidR="00F00027" w:rsidRPr="00B607DB" w:rsidRDefault="00F00027" w:rsidP="0050230D">
      <w:pPr>
        <w:spacing w:after="120"/>
        <w:jc w:val="both"/>
        <w:rPr>
          <w:rFonts w:cstheme="minorHAnsi"/>
          <w:color w:val="000000"/>
        </w:rPr>
      </w:pPr>
    </w:p>
    <w:p w:rsidR="0050230D" w:rsidRPr="00B607DB" w:rsidRDefault="0050230D" w:rsidP="00FD0610">
      <w:pPr>
        <w:pStyle w:val="Caption"/>
        <w:keepNext/>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7</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xml:space="preserve">. Коефициент на задлъжнялост </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Малки ВиК дружества (17)</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1,8171</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2,0685</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2,4974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1,3923</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1,2211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1,2011</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Големи ВиК дружества (13)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1,7511</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1,8040</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1,7894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Много големи ВиК дружества (11)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2,1877</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2,2468</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2,3545</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b/>
              </w:rPr>
            </w:pPr>
            <w:r w:rsidRPr="00B607DB">
              <w:rPr>
                <w:rFonts w:cstheme="minorHAnsi"/>
                <w:b/>
              </w:rPr>
              <w:t>Общо ВиК дружества (56)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1,9405</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b/>
              </w:rPr>
            </w:pPr>
            <w:r w:rsidRPr="00B607DB">
              <w:rPr>
                <w:rFonts w:cstheme="minorHAnsi"/>
                <w:b/>
              </w:rPr>
              <w:t>1,9726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2,0551</w:t>
            </w:r>
          </w:p>
        </w:tc>
      </w:tr>
    </w:tbl>
    <w:p w:rsidR="0050230D" w:rsidRPr="00B607DB" w:rsidRDefault="0050230D" w:rsidP="0050230D">
      <w:pPr>
        <w:rPr>
          <w:rFonts w:cstheme="minorHAnsi"/>
        </w:rPr>
      </w:pPr>
    </w:p>
    <w:p w:rsidR="0050230D" w:rsidRPr="00B607DB" w:rsidRDefault="0050230D" w:rsidP="001A036E">
      <w:pPr>
        <w:numPr>
          <w:ilvl w:val="0"/>
          <w:numId w:val="37"/>
        </w:numPr>
        <w:spacing w:before="120" w:after="120" w:line="276" w:lineRule="auto"/>
        <w:rPr>
          <w:rFonts w:cstheme="minorHAnsi"/>
          <w:b/>
          <w:bCs/>
          <w:iCs/>
          <w:color w:val="000000"/>
        </w:rPr>
      </w:pPr>
      <w:r w:rsidRPr="00B607DB">
        <w:rPr>
          <w:rFonts w:cstheme="minorHAnsi"/>
          <w:b/>
          <w:bCs/>
          <w:iCs/>
          <w:color w:val="000000"/>
        </w:rPr>
        <w:t>Показатели за ликвидност</w:t>
      </w:r>
    </w:p>
    <w:p w:rsidR="00B41A94" w:rsidRDefault="0050230D" w:rsidP="00B41A94">
      <w:pPr>
        <w:spacing w:after="120"/>
        <w:jc w:val="both"/>
        <w:rPr>
          <w:rFonts w:cstheme="minorHAnsi"/>
          <w:color w:val="000000"/>
        </w:rPr>
      </w:pPr>
      <w:r w:rsidRPr="00B607DB">
        <w:rPr>
          <w:rFonts w:cstheme="minorHAnsi"/>
          <w:color w:val="000000"/>
        </w:rPr>
        <w:t>Коефициентите за ликвидност показват възможностите на фирмата за изплащане на текущите й задължения. Ликвидността на ВиК дружествата е изследвана чрез следните показатели:</w:t>
      </w:r>
    </w:p>
    <w:p w:rsidR="00B41A94" w:rsidRDefault="00B41A94" w:rsidP="00B41A94">
      <w:pPr>
        <w:spacing w:after="120"/>
        <w:jc w:val="both"/>
        <w:rPr>
          <w:rFonts w:cstheme="minorHAnsi"/>
          <w:color w:val="000000"/>
        </w:rPr>
      </w:pPr>
    </w:p>
    <w:p w:rsidR="0050230D" w:rsidRPr="00B607DB" w:rsidRDefault="0050230D" w:rsidP="00B41A94">
      <w:pPr>
        <w:spacing w:after="120"/>
        <w:jc w:val="both"/>
        <w:rPr>
          <w:rFonts w:eastAsiaTheme="minorEastAsia" w:cstheme="minorHAnsi"/>
          <w:b/>
        </w:rPr>
      </w:pPr>
      <m:oMathPara>
        <m:oMath>
          <m:r>
            <m:rPr>
              <m:sty m:val="bi"/>
            </m:rPr>
            <w:rPr>
              <w:rFonts w:ascii="Cambria Math" w:cstheme="minorHAnsi"/>
            </w:rPr>
            <m:t>Коефициент</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обща</m:t>
          </m:r>
          <m:r>
            <m:rPr>
              <m:sty m:val="bi"/>
            </m:rPr>
            <w:rPr>
              <w:rFonts w:ascii="Cambria Math" w:cstheme="minorHAnsi"/>
            </w:rPr>
            <m:t xml:space="preserve"> </m:t>
          </m:r>
          <m:r>
            <m:rPr>
              <m:sty m:val="bi"/>
            </m:rPr>
            <w:rPr>
              <w:rFonts w:ascii="Cambria Math" w:cstheme="minorHAnsi"/>
            </w:rPr>
            <m:t>ликвидност</m:t>
          </m:r>
        </m:oMath>
      </m:oMathPara>
    </w:p>
    <w:p w:rsidR="0050230D" w:rsidRPr="00B607DB" w:rsidRDefault="0050230D" w:rsidP="0050230D">
      <w:pPr>
        <w:jc w:val="center"/>
        <w:rPr>
          <w:rFonts w:cstheme="minorHAnsi"/>
          <w:b/>
          <w:i/>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cstheme="minorHAnsi"/>
                </w:rPr>
                <m:t>Краткотрайни</m:t>
              </m:r>
              <m:r>
                <m:rPr>
                  <m:sty m:val="bi"/>
                </m:rPr>
                <w:rPr>
                  <w:rFonts w:ascii="Cambria Math" w:cstheme="minorHAnsi"/>
                </w:rPr>
                <m:t xml:space="preserve"> </m:t>
              </m:r>
              <m:r>
                <m:rPr>
                  <m:sty m:val="bi"/>
                </m:rPr>
                <w:rPr>
                  <w:rFonts w:ascii="Cambria Math" w:cstheme="minorHAnsi"/>
                </w:rPr>
                <m:t>активи</m:t>
              </m:r>
              <m:r>
                <m:rPr>
                  <m:sty m:val="bi"/>
                </m:rPr>
                <w:rPr>
                  <w:rFonts w:ascii="Cambria Math" w:cstheme="minorHAnsi"/>
                </w:rPr>
                <m:t xml:space="preserve">  </m:t>
              </m:r>
            </m:num>
            <m:den>
              <m:r>
                <m:rPr>
                  <m:sty m:val="bi"/>
                </m:rPr>
                <w:rPr>
                  <w:rFonts w:ascii="Cambria Math" w:cstheme="minorHAnsi"/>
                </w:rPr>
                <m:t>Краткосрочни</m:t>
              </m:r>
              <m:r>
                <m:rPr>
                  <m:sty m:val="bi"/>
                </m:rPr>
                <w:rPr>
                  <w:rFonts w:ascii="Cambria Math" w:cstheme="minorHAnsi"/>
                </w:rPr>
                <m:t xml:space="preserve"> </m:t>
              </m:r>
              <m:r>
                <m:rPr>
                  <m:sty m:val="bi"/>
                </m:rPr>
                <w:rPr>
                  <w:rFonts w:ascii="Cambria Math" w:cstheme="minorHAnsi"/>
                </w:rPr>
                <m:t>задължения</m:t>
              </m:r>
            </m:den>
          </m:f>
        </m:oMath>
      </m:oMathPara>
    </w:p>
    <w:p w:rsidR="0050230D" w:rsidRPr="00B607DB" w:rsidRDefault="0050230D" w:rsidP="0050230D">
      <w:pPr>
        <w:spacing w:after="120"/>
        <w:jc w:val="both"/>
        <w:rPr>
          <w:rFonts w:cstheme="minorHAnsi"/>
          <w:color w:val="000000"/>
        </w:rPr>
      </w:pPr>
    </w:p>
    <w:p w:rsidR="0050230D" w:rsidRPr="00B607DB" w:rsidRDefault="0050230D" w:rsidP="0050230D">
      <w:pPr>
        <w:spacing w:after="120"/>
        <w:jc w:val="both"/>
        <w:rPr>
          <w:rFonts w:cstheme="minorHAnsi"/>
          <w:color w:val="000000"/>
        </w:rPr>
      </w:pPr>
      <w:r w:rsidRPr="00B607DB">
        <w:rPr>
          <w:rFonts w:cstheme="minorHAnsi"/>
          <w:color w:val="000000"/>
        </w:rPr>
        <w:t xml:space="preserve">Стойностите на показателя за анализираните ВиК дружества за периода 2007-2009 г. са представени в следващата таблица: </w:t>
      </w:r>
    </w:p>
    <w:p w:rsidR="0050230D" w:rsidRPr="00B607DB" w:rsidRDefault="0050230D" w:rsidP="0050230D">
      <w:pPr>
        <w:spacing w:after="120"/>
        <w:jc w:val="both"/>
        <w:rPr>
          <w:rFonts w:cstheme="minorHAnsi"/>
          <w:color w:val="000000"/>
        </w:rPr>
      </w:pPr>
    </w:p>
    <w:p w:rsidR="0050230D" w:rsidRPr="00B607DB" w:rsidRDefault="0050230D" w:rsidP="0050230D">
      <w:pPr>
        <w:pStyle w:val="Caption"/>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8</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Коефициент на обща ликвидност</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Малки ВиК дружества (17)</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1,4256</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1,2295</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0,7684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1,1328</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1,4471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1,7490</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Големи ВиК дружества (13)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2,0273</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1,7568</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1,5426</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Много големи ВиК дружества (11)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1,4109</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1,3716</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1,2666</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b/>
              </w:rPr>
            </w:pPr>
            <w:r w:rsidRPr="00B607DB">
              <w:rPr>
                <w:rFonts w:cstheme="minorHAnsi"/>
                <w:b/>
              </w:rPr>
              <w:t>Общо ВиК дружества (56)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1,5007</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b/>
              </w:rPr>
            </w:pPr>
            <w:r w:rsidRPr="00B607DB">
              <w:rPr>
                <w:rFonts w:cstheme="minorHAnsi"/>
                <w:b/>
              </w:rPr>
              <w:t>1,4579</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1,3463</w:t>
            </w:r>
          </w:p>
        </w:tc>
      </w:tr>
    </w:tbl>
    <w:p w:rsidR="0050230D" w:rsidRPr="00B607DB" w:rsidRDefault="0050230D" w:rsidP="0050230D">
      <w:pPr>
        <w:spacing w:after="120"/>
        <w:jc w:val="both"/>
        <w:rPr>
          <w:rFonts w:cstheme="minorHAnsi"/>
        </w:rPr>
      </w:pPr>
    </w:p>
    <w:p w:rsidR="0050230D" w:rsidRPr="00B607DB" w:rsidRDefault="0050230D" w:rsidP="0050230D">
      <w:pPr>
        <w:spacing w:before="120" w:after="120"/>
        <w:jc w:val="center"/>
        <w:rPr>
          <w:rFonts w:eastAsiaTheme="minorEastAsia" w:cstheme="minorHAnsi"/>
          <w:b/>
        </w:rPr>
      </w:pPr>
      <m:oMathPara>
        <m:oMath>
          <m:r>
            <m:rPr>
              <m:sty m:val="bi"/>
            </m:rPr>
            <w:rPr>
              <w:rFonts w:ascii="Cambria Math" w:cstheme="minorHAnsi"/>
            </w:rPr>
            <m:t>Коефициент</m:t>
          </m:r>
          <m:r>
            <m:rPr>
              <m:sty m:val="bi"/>
            </m:rPr>
            <w:rPr>
              <w:rFonts w:ascii="Cambria Math" w:cstheme="minorHAnsi"/>
            </w:rPr>
            <m:t xml:space="preserve"> </m:t>
          </m:r>
          <m:r>
            <m:rPr>
              <m:sty m:val="bi"/>
            </m:rPr>
            <w:rPr>
              <w:rFonts w:ascii="Cambria Math" w:cstheme="minorHAnsi"/>
            </w:rPr>
            <m:t>на</m:t>
          </m:r>
          <m:r>
            <m:rPr>
              <m:sty m:val="bi"/>
            </m:rPr>
            <w:rPr>
              <w:rFonts w:ascii="Cambria Math" w:cstheme="minorHAnsi"/>
            </w:rPr>
            <m:t xml:space="preserve"> </m:t>
          </m:r>
          <m:r>
            <m:rPr>
              <m:sty m:val="bi"/>
            </m:rPr>
            <w:rPr>
              <w:rFonts w:ascii="Cambria Math" w:cstheme="minorHAnsi"/>
            </w:rPr>
            <m:t>незабавна</m:t>
          </m:r>
          <m:r>
            <m:rPr>
              <m:sty m:val="bi"/>
            </m:rPr>
            <w:rPr>
              <w:rFonts w:ascii="Cambria Math" w:cstheme="minorHAnsi"/>
            </w:rPr>
            <m:t xml:space="preserve"> </m:t>
          </m:r>
          <m:r>
            <m:rPr>
              <m:sty m:val="bi"/>
            </m:rPr>
            <w:rPr>
              <w:rFonts w:ascii="Cambria Math" w:cstheme="minorHAnsi"/>
            </w:rPr>
            <m:t>ликвидност</m:t>
          </m:r>
        </m:oMath>
      </m:oMathPara>
    </w:p>
    <w:p w:rsidR="0050230D" w:rsidRPr="00B607DB" w:rsidRDefault="0050230D" w:rsidP="0050230D">
      <w:pPr>
        <w:spacing w:before="120" w:after="120"/>
        <w:jc w:val="center"/>
        <w:rPr>
          <w:rFonts w:cstheme="minorHAnsi"/>
        </w:rPr>
      </w:pPr>
      <m:oMathPara>
        <m:oMath>
          <m:r>
            <m:rPr>
              <m:sty m:val="bi"/>
            </m:rPr>
            <w:rPr>
              <w:rFonts w:ascii="Cambria Math" w:cstheme="minorHAnsi"/>
            </w:rPr>
            <m:t>=</m:t>
          </m:r>
          <m:f>
            <m:fPr>
              <m:ctrlPr>
                <w:rPr>
                  <w:rFonts w:ascii="Cambria Math" w:hAnsi="Cambria Math" w:cstheme="minorHAnsi"/>
                  <w:b/>
                  <w:i/>
                </w:rPr>
              </m:ctrlPr>
            </m:fPr>
            <m:num>
              <m:r>
                <m:rPr>
                  <m:sty m:val="bi"/>
                </m:rPr>
                <w:rPr>
                  <w:rFonts w:ascii="Cambria Math" w:cstheme="minorHAnsi"/>
                </w:rPr>
                <m:t>Краткосрочни</m:t>
              </m:r>
              <m:r>
                <m:rPr>
                  <m:sty m:val="bi"/>
                </m:rPr>
                <w:rPr>
                  <w:rFonts w:ascii="Cambria Math" w:cstheme="minorHAnsi"/>
                </w:rPr>
                <m:t xml:space="preserve"> </m:t>
              </m:r>
              <m:r>
                <m:rPr>
                  <m:sty m:val="bi"/>
                </m:rPr>
                <w:rPr>
                  <w:rFonts w:ascii="Cambria Math" w:cstheme="minorHAnsi"/>
                </w:rPr>
                <m:t>вземания</m:t>
              </m:r>
              <m:r>
                <m:rPr>
                  <m:sty m:val="bi"/>
                </m:rPr>
                <w:rPr>
                  <w:rFonts w:ascii="Cambria Math" w:cstheme="minorHAnsi"/>
                </w:rPr>
                <m:t>+</m:t>
              </m:r>
              <m:r>
                <m:rPr>
                  <m:sty m:val="bi"/>
                </m:rPr>
                <w:rPr>
                  <w:rFonts w:ascii="Cambria Math" w:cstheme="minorHAnsi"/>
                </w:rPr>
                <m:t>парични</m:t>
              </m:r>
              <m:r>
                <m:rPr>
                  <m:sty m:val="bi"/>
                </m:rPr>
                <w:rPr>
                  <w:rFonts w:ascii="Cambria Math" w:cstheme="minorHAnsi"/>
                </w:rPr>
                <m:t xml:space="preserve"> </m:t>
              </m:r>
              <m:r>
                <m:rPr>
                  <m:sty m:val="bi"/>
                </m:rPr>
                <w:rPr>
                  <w:rFonts w:ascii="Cambria Math" w:cstheme="minorHAnsi"/>
                </w:rPr>
                <m:t>средства</m:t>
              </m:r>
              <m:r>
                <m:rPr>
                  <m:sty m:val="bi"/>
                </m:rPr>
                <w:rPr>
                  <w:rFonts w:ascii="Cambria Math" w:cstheme="minorHAnsi"/>
                </w:rPr>
                <m:t xml:space="preserve"> </m:t>
              </m:r>
            </m:num>
            <m:den>
              <m:r>
                <m:rPr>
                  <m:sty m:val="bi"/>
                </m:rPr>
                <w:rPr>
                  <w:rFonts w:ascii="Cambria Math" w:cstheme="minorHAnsi"/>
                </w:rPr>
                <m:t>Краткосрочни</m:t>
              </m:r>
              <m:r>
                <m:rPr>
                  <m:sty m:val="bi"/>
                </m:rPr>
                <w:rPr>
                  <w:rFonts w:ascii="Cambria Math" w:cstheme="minorHAnsi"/>
                </w:rPr>
                <m:t xml:space="preserve"> </m:t>
              </m:r>
              <m:r>
                <m:rPr>
                  <m:sty m:val="bi"/>
                </m:rPr>
                <w:rPr>
                  <w:rFonts w:ascii="Cambria Math" w:cstheme="minorHAnsi"/>
                </w:rPr>
                <m:t>задължения</m:t>
              </m:r>
            </m:den>
          </m:f>
        </m:oMath>
      </m:oMathPara>
    </w:p>
    <w:p w:rsidR="0050230D" w:rsidRPr="00B607DB" w:rsidRDefault="0050230D" w:rsidP="0050230D">
      <w:pPr>
        <w:spacing w:after="120"/>
        <w:jc w:val="both"/>
        <w:rPr>
          <w:rFonts w:cstheme="minorHAnsi"/>
          <w:color w:val="000000"/>
        </w:rPr>
      </w:pPr>
    </w:p>
    <w:p w:rsidR="0050230D" w:rsidRDefault="0050230D" w:rsidP="0050230D">
      <w:pPr>
        <w:spacing w:after="120"/>
        <w:jc w:val="both"/>
        <w:rPr>
          <w:rFonts w:cstheme="minorHAnsi"/>
          <w:color w:val="000000"/>
        </w:rPr>
      </w:pPr>
      <w:r w:rsidRPr="00B607DB">
        <w:rPr>
          <w:rFonts w:cstheme="minorHAnsi"/>
          <w:color w:val="000000"/>
        </w:rPr>
        <w:t xml:space="preserve">Стойностите на показателя за анализираните ВиК дружества за периода 2007-2009 г. са представени в следващата таблица: </w:t>
      </w:r>
    </w:p>
    <w:p w:rsidR="00F00027" w:rsidRPr="00B607DB" w:rsidRDefault="00F00027" w:rsidP="0050230D">
      <w:pPr>
        <w:spacing w:after="120"/>
        <w:jc w:val="both"/>
        <w:rPr>
          <w:rFonts w:cstheme="minorHAnsi"/>
          <w:color w:val="000000"/>
        </w:rPr>
      </w:pPr>
    </w:p>
    <w:p w:rsidR="0050230D" w:rsidRPr="00B607DB" w:rsidRDefault="0050230D" w:rsidP="00FD0610">
      <w:pPr>
        <w:pStyle w:val="Caption"/>
        <w:keepNext/>
        <w:spacing w:after="120"/>
        <w:jc w:val="center"/>
        <w:rPr>
          <w:rFonts w:asciiTheme="minorHAnsi" w:hAnsiTheme="minorHAnsi" w:cstheme="minorHAnsi"/>
          <w:i/>
          <w:sz w:val="22"/>
          <w:szCs w:val="22"/>
        </w:rPr>
      </w:pPr>
      <w:r w:rsidRPr="00B607DB">
        <w:rPr>
          <w:rFonts w:asciiTheme="minorHAnsi" w:hAnsiTheme="minorHAnsi" w:cstheme="minorHAnsi"/>
          <w:i/>
          <w:sz w:val="22"/>
          <w:szCs w:val="22"/>
        </w:rPr>
        <w:t xml:space="preserve">Таблица </w:t>
      </w:r>
      <w:r w:rsidR="008E6461" w:rsidRPr="00B607DB">
        <w:rPr>
          <w:rFonts w:asciiTheme="minorHAnsi" w:hAnsiTheme="minorHAnsi" w:cstheme="minorHAnsi"/>
          <w:i/>
          <w:sz w:val="22"/>
          <w:szCs w:val="22"/>
        </w:rPr>
        <w:fldChar w:fldCharType="begin"/>
      </w:r>
      <w:r w:rsidRPr="00B607DB">
        <w:rPr>
          <w:rFonts w:asciiTheme="minorHAnsi" w:hAnsiTheme="minorHAnsi" w:cstheme="minorHAnsi"/>
          <w:i/>
          <w:sz w:val="22"/>
          <w:szCs w:val="22"/>
        </w:rPr>
        <w:instrText xml:space="preserve"> SEQ Таблица_3. \* ARABIC </w:instrText>
      </w:r>
      <w:r w:rsidR="008E6461" w:rsidRPr="00B607DB">
        <w:rPr>
          <w:rFonts w:asciiTheme="minorHAnsi" w:hAnsiTheme="minorHAnsi" w:cstheme="minorHAnsi"/>
          <w:i/>
          <w:sz w:val="22"/>
          <w:szCs w:val="22"/>
        </w:rPr>
        <w:fldChar w:fldCharType="separate"/>
      </w:r>
      <w:r w:rsidR="003A69A7">
        <w:rPr>
          <w:rFonts w:asciiTheme="minorHAnsi" w:hAnsiTheme="minorHAnsi" w:cstheme="minorHAnsi"/>
          <w:i/>
          <w:noProof/>
          <w:sz w:val="22"/>
          <w:szCs w:val="22"/>
        </w:rPr>
        <w:t>9</w:t>
      </w:r>
      <w:r w:rsidR="008E6461" w:rsidRPr="00B607DB">
        <w:rPr>
          <w:rFonts w:asciiTheme="minorHAnsi" w:hAnsiTheme="minorHAnsi" w:cstheme="minorHAnsi"/>
          <w:i/>
          <w:sz w:val="22"/>
          <w:szCs w:val="22"/>
        </w:rPr>
        <w:fldChar w:fldCharType="end"/>
      </w:r>
      <w:r w:rsidRPr="00B607DB">
        <w:rPr>
          <w:rFonts w:asciiTheme="minorHAnsi" w:hAnsiTheme="minorHAnsi" w:cstheme="minorHAnsi"/>
          <w:i/>
          <w:sz w:val="22"/>
          <w:szCs w:val="22"/>
        </w:rPr>
        <w:t>. Коефициент на незабавна ликвидност</w:t>
      </w:r>
    </w:p>
    <w:tbl>
      <w:tblPr>
        <w:tblStyle w:val="LightShading-Accent13"/>
        <w:tblW w:w="7440" w:type="dxa"/>
        <w:jc w:val="center"/>
        <w:tblLook w:val="0000" w:firstRow="0" w:lastRow="0" w:firstColumn="0" w:lastColumn="0" w:noHBand="0" w:noVBand="0"/>
      </w:tblPr>
      <w:tblGrid>
        <w:gridCol w:w="4080"/>
        <w:gridCol w:w="1120"/>
        <w:gridCol w:w="1120"/>
        <w:gridCol w:w="1120"/>
      </w:tblGrid>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0010000000" w:firstRow="0" w:lastRow="0" w:firstColumn="0" w:lastColumn="0" w:oddVBand="1" w:evenVBand="0" w:oddHBand="0" w:evenHBand="0" w:firstRowFirstColumn="0" w:firstRowLastColumn="0" w:lastRowFirstColumn="0" w:lastRowLastColumn="0"/>
            <w:tcW w:w="4080" w:type="dxa"/>
            <w:noWrap/>
          </w:tcPr>
          <w:p w:rsidR="0050230D" w:rsidRPr="00B607DB" w:rsidRDefault="0050230D" w:rsidP="00345ABF">
            <w:pPr>
              <w:spacing w:after="80"/>
              <w:rPr>
                <w:rFonts w:cstheme="minorHAnsi"/>
              </w:rPr>
            </w:pP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2007 г.</w:t>
            </w:r>
          </w:p>
        </w:tc>
        <w:tc>
          <w:tcPr>
            <w:cnfStyle w:val="000010000000" w:firstRow="0" w:lastRow="0" w:firstColumn="0" w:lastColumn="0" w:oddVBand="1" w:evenVBand="0" w:oddHBand="0" w:evenHBand="0" w:firstRowFirstColumn="0" w:firstRowLastColumn="0" w:lastRowFirstColumn="0" w:lastRowLastColumn="0"/>
            <w:tcW w:w="1120" w:type="dxa"/>
          </w:tcPr>
          <w:p w:rsidR="0050230D" w:rsidRPr="00B607DB" w:rsidRDefault="0050230D" w:rsidP="00345ABF">
            <w:pPr>
              <w:spacing w:after="80"/>
              <w:jc w:val="center"/>
              <w:rPr>
                <w:rFonts w:cstheme="minorHAnsi"/>
                <w:b/>
                <w:bCs/>
              </w:rPr>
            </w:pPr>
            <w:r w:rsidRPr="00B607DB">
              <w:rPr>
                <w:rFonts w:cstheme="minorHAnsi"/>
                <w:b/>
                <w:bCs/>
              </w:rPr>
              <w:t>2008 г.</w:t>
            </w:r>
          </w:p>
        </w:tc>
        <w:tc>
          <w:tcPr>
            <w:tcW w:w="1120" w:type="dxa"/>
          </w:tcPr>
          <w:p w:rsidR="0050230D" w:rsidRPr="00B607DB" w:rsidRDefault="0050230D" w:rsidP="00345ABF">
            <w:pPr>
              <w:spacing w:after="80"/>
              <w:jc w:val="center"/>
              <w:cnfStyle w:val="000000100000" w:firstRow="0" w:lastRow="0" w:firstColumn="0" w:lastColumn="0" w:oddVBand="0" w:evenVBand="0" w:oddHBand="1" w:evenHBand="0" w:firstRowFirstColumn="0" w:firstRowLastColumn="0" w:lastRowFirstColumn="0" w:lastRowLastColumn="0"/>
              <w:rPr>
                <w:rFonts w:cstheme="minorHAnsi"/>
                <w:b/>
                <w:bCs/>
              </w:rPr>
            </w:pPr>
            <w:r w:rsidRPr="00B607DB">
              <w:rPr>
                <w:rFonts w:cstheme="minorHAnsi"/>
                <w:b/>
                <w:bCs/>
              </w:rPr>
              <w:t>2009 г.</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Малки ВиК дружества (17)</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1,0156</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0,7346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0,6012</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Средни ВиК дружества (15)</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0,9284</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1,1905</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1,4814</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Големи ВиК дружества (13)</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1,7723</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1,5200</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rPr>
            </w:pPr>
            <w:r w:rsidRPr="00B607DB">
              <w:rPr>
                <w:rFonts w:cstheme="minorHAnsi"/>
              </w:rPr>
              <w:t>1,3479</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rPr>
            </w:pPr>
            <w:r w:rsidRPr="00B607DB">
              <w:rPr>
                <w:rFonts w:cstheme="minorHAnsi"/>
              </w:rPr>
              <w:t>Много големи ВиК дружества (11)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1,1870</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rPr>
            </w:pPr>
            <w:r w:rsidRPr="00B607DB">
              <w:rPr>
                <w:rFonts w:cstheme="minorHAnsi"/>
              </w:rPr>
              <w:t>1,1511</w:t>
            </w:r>
          </w:p>
        </w:tc>
        <w:tc>
          <w:tcPr>
            <w:tcW w:w="1120" w:type="dxa"/>
            <w:noWrap/>
          </w:tcPr>
          <w:p w:rsidR="0050230D" w:rsidRPr="00B607DB" w:rsidRDefault="0050230D" w:rsidP="00345ABF">
            <w:pPr>
              <w:jc w:val="right"/>
              <w:cnfStyle w:val="000000100000" w:firstRow="0" w:lastRow="0" w:firstColumn="0" w:lastColumn="0" w:oddVBand="0" w:evenVBand="0" w:oddHBand="1" w:evenHBand="0" w:firstRowFirstColumn="0" w:firstRowLastColumn="0" w:lastRowFirstColumn="0" w:lastRowLastColumn="0"/>
              <w:rPr>
                <w:rFonts w:cstheme="minorHAnsi"/>
              </w:rPr>
            </w:pPr>
            <w:r w:rsidRPr="00B607DB">
              <w:rPr>
                <w:rFonts w:cstheme="minorHAnsi"/>
              </w:rPr>
              <w:t>1,0718</w:t>
            </w:r>
          </w:p>
        </w:tc>
      </w:tr>
      <w:tr w:rsidR="0050230D" w:rsidRPr="00B607DB" w:rsidTr="00345ABF">
        <w:trPr>
          <w:trHeight w:val="255"/>
          <w:jc w:val="center"/>
        </w:trPr>
        <w:tc>
          <w:tcPr>
            <w:cnfStyle w:val="000010000000" w:firstRow="0" w:lastRow="0" w:firstColumn="0" w:lastColumn="0" w:oddVBand="1" w:evenVBand="0" w:oddHBand="0" w:evenHBand="0" w:firstRowFirstColumn="0" w:firstRowLastColumn="0" w:lastRowFirstColumn="0" w:lastRowLastColumn="0"/>
            <w:tcW w:w="4080" w:type="dxa"/>
          </w:tcPr>
          <w:p w:rsidR="0050230D" w:rsidRPr="00B607DB" w:rsidRDefault="0050230D" w:rsidP="00345ABF">
            <w:pPr>
              <w:spacing w:after="80"/>
              <w:rPr>
                <w:rFonts w:cstheme="minorHAnsi"/>
                <w:b/>
              </w:rPr>
            </w:pPr>
            <w:r w:rsidRPr="00B607DB">
              <w:rPr>
                <w:rFonts w:cstheme="minorHAnsi"/>
                <w:b/>
              </w:rPr>
              <w:t>Общо ВиК дружества (56)</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1,2697</w:t>
            </w:r>
          </w:p>
        </w:tc>
        <w:tc>
          <w:tcPr>
            <w:cnfStyle w:val="000010000000" w:firstRow="0" w:lastRow="0" w:firstColumn="0" w:lastColumn="0" w:oddVBand="1" w:evenVBand="0" w:oddHBand="0" w:evenHBand="0" w:firstRowFirstColumn="0" w:firstRowLastColumn="0" w:lastRowFirstColumn="0" w:lastRowLastColumn="0"/>
            <w:tcW w:w="1120" w:type="dxa"/>
            <w:noWrap/>
          </w:tcPr>
          <w:p w:rsidR="0050230D" w:rsidRPr="00B607DB" w:rsidRDefault="0050230D" w:rsidP="00345ABF">
            <w:pPr>
              <w:jc w:val="right"/>
              <w:rPr>
                <w:rFonts w:cstheme="minorHAnsi"/>
                <w:b/>
              </w:rPr>
            </w:pPr>
            <w:r w:rsidRPr="00B607DB">
              <w:rPr>
                <w:rFonts w:cstheme="minorHAnsi"/>
                <w:b/>
              </w:rPr>
              <w:t>1,2255</w:t>
            </w:r>
          </w:p>
        </w:tc>
        <w:tc>
          <w:tcPr>
            <w:tcW w:w="1120" w:type="dxa"/>
            <w:noWrap/>
          </w:tcPr>
          <w:p w:rsidR="0050230D" w:rsidRPr="00B607DB" w:rsidRDefault="0050230D" w:rsidP="00345ABF">
            <w:pPr>
              <w:jc w:val="right"/>
              <w:cnfStyle w:val="000000000000" w:firstRow="0" w:lastRow="0" w:firstColumn="0" w:lastColumn="0" w:oddVBand="0" w:evenVBand="0" w:oddHBand="0" w:evenHBand="0" w:firstRowFirstColumn="0" w:firstRowLastColumn="0" w:lastRowFirstColumn="0" w:lastRowLastColumn="0"/>
              <w:rPr>
                <w:rFonts w:cstheme="minorHAnsi"/>
                <w:b/>
              </w:rPr>
            </w:pPr>
            <w:r w:rsidRPr="00B607DB">
              <w:rPr>
                <w:rFonts w:cstheme="minorHAnsi"/>
                <w:b/>
              </w:rPr>
              <w:t>1,1478</w:t>
            </w:r>
          </w:p>
        </w:tc>
      </w:tr>
    </w:tbl>
    <w:p w:rsidR="0050230D" w:rsidRPr="00B607DB" w:rsidRDefault="0050230D" w:rsidP="0050230D">
      <w:pPr>
        <w:jc w:val="both"/>
        <w:rPr>
          <w:rFonts w:cstheme="minorHAnsi"/>
          <w:bCs/>
          <w:iCs/>
          <w:color w:val="000000"/>
        </w:rPr>
      </w:pPr>
    </w:p>
    <w:p w:rsidR="0050230D" w:rsidRPr="00B607DB" w:rsidRDefault="0050230D" w:rsidP="0050230D">
      <w:pPr>
        <w:jc w:val="both"/>
        <w:rPr>
          <w:rFonts w:cstheme="minorHAnsi"/>
          <w:bCs/>
          <w:iCs/>
          <w:color w:val="000000"/>
        </w:rPr>
      </w:pPr>
      <w:r w:rsidRPr="00B607DB">
        <w:rPr>
          <w:rFonts w:cstheme="minorHAnsi"/>
          <w:bCs/>
          <w:iCs/>
          <w:color w:val="000000"/>
        </w:rPr>
        <w:t>Основните изводи, които са изведени в резултат от анализа са:</w:t>
      </w:r>
    </w:p>
    <w:p w:rsidR="0050230D" w:rsidRPr="00B607DB" w:rsidRDefault="0050230D" w:rsidP="001A036E">
      <w:pPr>
        <w:numPr>
          <w:ilvl w:val="0"/>
          <w:numId w:val="37"/>
        </w:numPr>
        <w:spacing w:after="200" w:line="276" w:lineRule="auto"/>
        <w:jc w:val="both"/>
        <w:rPr>
          <w:rFonts w:cstheme="minorHAnsi"/>
        </w:rPr>
      </w:pPr>
      <w:r w:rsidRPr="00B607DB">
        <w:rPr>
          <w:color w:val="000000"/>
        </w:rPr>
        <w:lastRenderedPageBreak/>
        <w:t>Малките и големите дружества не успяват да реализират печалба от постъпленията си.</w:t>
      </w:r>
    </w:p>
    <w:p w:rsidR="0050230D" w:rsidRPr="00B607DB" w:rsidRDefault="0050230D" w:rsidP="001A036E">
      <w:pPr>
        <w:numPr>
          <w:ilvl w:val="0"/>
          <w:numId w:val="37"/>
        </w:numPr>
        <w:spacing w:after="200" w:line="276" w:lineRule="auto"/>
        <w:jc w:val="both"/>
        <w:rPr>
          <w:rFonts w:cstheme="minorHAnsi"/>
        </w:rPr>
      </w:pPr>
      <w:r w:rsidRPr="00B607DB">
        <w:rPr>
          <w:color w:val="000000"/>
        </w:rPr>
        <w:t>Малките ВиК дружества са в по-неблагоприятно положение спрямо другите оператори по отношение ефективност на приходите.</w:t>
      </w:r>
    </w:p>
    <w:p w:rsidR="0050230D" w:rsidRPr="00B607DB" w:rsidRDefault="0050230D" w:rsidP="001A036E">
      <w:pPr>
        <w:numPr>
          <w:ilvl w:val="0"/>
          <w:numId w:val="37"/>
        </w:numPr>
        <w:spacing w:after="200" w:line="276" w:lineRule="auto"/>
        <w:jc w:val="both"/>
        <w:rPr>
          <w:rFonts w:cstheme="minorHAnsi"/>
        </w:rPr>
      </w:pPr>
      <w:r w:rsidRPr="00B607DB">
        <w:rPr>
          <w:color w:val="000000"/>
        </w:rPr>
        <w:t>Коефициентът на ефективност на разходите показва подобряване на финансовите резултати за средните, големите и много големите ВиК дружества, докато при малките има влошаване на стойностите.</w:t>
      </w:r>
    </w:p>
    <w:p w:rsidR="0050230D" w:rsidRPr="00B607DB" w:rsidRDefault="0050230D" w:rsidP="001A036E">
      <w:pPr>
        <w:numPr>
          <w:ilvl w:val="0"/>
          <w:numId w:val="37"/>
        </w:numPr>
        <w:spacing w:after="200" w:line="276" w:lineRule="auto"/>
        <w:jc w:val="both"/>
        <w:rPr>
          <w:rFonts w:cstheme="minorHAnsi"/>
        </w:rPr>
      </w:pPr>
      <w:r w:rsidRPr="00B607DB">
        <w:t>Коефициентите на обща ликвидност на анализираните ВиК дружества са над единица, което показва способността на компаниите да изплатят краткосрочните си задължения наведнъж.</w:t>
      </w:r>
    </w:p>
    <w:p w:rsidR="0050230D" w:rsidRPr="00B607DB" w:rsidRDefault="0050230D" w:rsidP="001A036E">
      <w:pPr>
        <w:numPr>
          <w:ilvl w:val="0"/>
          <w:numId w:val="37"/>
        </w:numPr>
        <w:spacing w:before="120" w:after="120" w:line="276" w:lineRule="auto"/>
        <w:jc w:val="both"/>
        <w:rPr>
          <w:bCs/>
          <w:iCs/>
          <w:color w:val="000000"/>
        </w:rPr>
      </w:pPr>
      <w:r w:rsidRPr="00B607DB">
        <w:rPr>
          <w:bCs/>
          <w:iCs/>
          <w:color w:val="000000"/>
        </w:rPr>
        <w:t>Средните по големина ВиК дружества имат най-добри стойности на незабавна ликвидност, но при другите три групи дружества текущите стойности на коефициента също са благоприятни.</w:t>
      </w:r>
    </w:p>
    <w:p w:rsidR="0050230D" w:rsidRDefault="0050230D" w:rsidP="0050230D">
      <w:pPr>
        <w:jc w:val="both"/>
        <w:rPr>
          <w:rFonts w:cstheme="minorHAnsi"/>
        </w:rPr>
      </w:pPr>
      <w:r w:rsidRPr="00B607DB">
        <w:rPr>
          <w:rFonts w:cstheme="minorHAnsi"/>
        </w:rPr>
        <w:t>Следователно:</w:t>
      </w:r>
    </w:p>
    <w:p w:rsidR="006B7691" w:rsidRPr="00B607DB" w:rsidRDefault="00896C88" w:rsidP="003762F9">
      <w:pPr>
        <w:jc w:val="both"/>
      </w:pPr>
      <w:r>
        <w:rPr>
          <w:noProof/>
          <w:lang w:eastAsia="bg-BG"/>
        </w:rPr>
        <mc:AlternateContent>
          <mc:Choice Requires="wps">
            <w:drawing>
              <wp:anchor distT="0" distB="0" distL="114300" distR="114300" simplePos="0" relativeHeight="251670528" behindDoc="0" locked="0" layoutInCell="1" allowOverlap="1" wp14:anchorId="06BFBA01">
                <wp:simplePos x="0" y="0"/>
                <wp:positionH relativeFrom="column">
                  <wp:posOffset>-71120</wp:posOffset>
                </wp:positionH>
                <wp:positionV relativeFrom="paragraph">
                  <wp:posOffset>76200</wp:posOffset>
                </wp:positionV>
                <wp:extent cx="5695950" cy="2284095"/>
                <wp:effectExtent l="0" t="0" r="38100" b="59055"/>
                <wp:wrapNone/>
                <wp:docPr id="61"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0" cy="2284095"/>
                        </a:xfrm>
                        <a:prstGeom prst="rect">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EA2176" w:rsidRDefault="00EA2176" w:rsidP="001A036E">
                            <w:pPr>
                              <w:numPr>
                                <w:ilvl w:val="0"/>
                                <w:numId w:val="36"/>
                              </w:numPr>
                              <w:spacing w:after="200" w:line="276" w:lineRule="auto"/>
                              <w:jc w:val="both"/>
                              <w:rPr>
                                <w:b/>
                              </w:rPr>
                            </w:pPr>
                            <w:r>
                              <w:rPr>
                                <w:b/>
                              </w:rPr>
                              <w:t>Потенциалните бенефициенти на финансови инструменти могат да бъдат всички ВиК дружества от категориите средни, големи и много големи (общо 39 на брой), а част от ВиК дружества биха могли да използват заемно финансиране на пазарен принцип.</w:t>
                            </w:r>
                          </w:p>
                          <w:p w:rsidR="00EA2176" w:rsidRPr="009B38F3" w:rsidRDefault="00EA2176" w:rsidP="001A036E">
                            <w:pPr>
                              <w:numPr>
                                <w:ilvl w:val="0"/>
                                <w:numId w:val="36"/>
                              </w:numPr>
                              <w:spacing w:after="200" w:line="276" w:lineRule="auto"/>
                              <w:jc w:val="both"/>
                              <w:rPr>
                                <w:b/>
                              </w:rPr>
                            </w:pPr>
                            <w:r w:rsidRPr="009B38F3">
                              <w:rPr>
                                <w:b/>
                              </w:rPr>
                              <w:t>Окончателното решение за финансиране на ВиК оператори чрез финансови инструменти и размерът на тяхното използване следва да</w:t>
                            </w:r>
                            <w:r>
                              <w:rPr>
                                <w:b/>
                              </w:rPr>
                              <w:t xml:space="preserve"> се вземе на база конкретен проект след изготвяне на отделен анализ „разходи – ползи”/финансов анализ с анализ на чувствителността и риска, вкл. оценка на социалната поносимост на тарифите за ВиК услуги за отделните схеми на финансиране чрез комбинация от БФП и заемен и/или собствен ресурс.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BFBA01" id="Text Box 79" o:spid="_x0000_s1110" type="#_x0000_t202" style="position:absolute;left:0;text-align:left;margin-left:-5.6pt;margin-top:6pt;width:448.5pt;height:179.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" fillcolor="#9cc2e5 [1940]" strokecolor="#9cc2e5 [1940]" strokeweight="1pt">
                <v:fill color2="#deeaf6 [660]" angle="135" focus="50%" type="gradient"/>
                <v:shadow on="t" color="#1f4d78 [1604]" opacity=".5" offset="1pt"/>
                <v:textbox>
                  <w:txbxContent>
                    <w:p w:rsidR="00EA2176" w:rsidRDefault="00EA2176" w:rsidP="001A036E">
                      <w:pPr>
                        <w:numPr>
                          <w:ilvl w:val="0"/>
                          <w:numId w:val="36"/>
                        </w:numPr>
                        <w:spacing w:after="200" w:line="276" w:lineRule="auto"/>
                        <w:jc w:val="both"/>
                        <w:rPr>
                          <w:b/>
                        </w:rPr>
                      </w:pPr>
                      <w:r>
                        <w:rPr>
                          <w:b/>
                        </w:rPr>
                        <w:t>Потенциалните бенефициенти на финансови инструменти могат да бъдат всички ВиК дружества от категориите средни, големи и много големи (общо 39 на брой), а част от ВиК дружества биха могли да използват заемно финансиране на пазарен принцип.</w:t>
                      </w:r>
                    </w:p>
                    <w:p w:rsidR="00EA2176" w:rsidRPr="009B38F3" w:rsidRDefault="00EA2176" w:rsidP="001A036E">
                      <w:pPr>
                        <w:numPr>
                          <w:ilvl w:val="0"/>
                          <w:numId w:val="36"/>
                        </w:numPr>
                        <w:spacing w:after="200" w:line="276" w:lineRule="auto"/>
                        <w:jc w:val="both"/>
                        <w:rPr>
                          <w:b/>
                        </w:rPr>
                      </w:pPr>
                      <w:r w:rsidRPr="009B38F3">
                        <w:rPr>
                          <w:b/>
                        </w:rPr>
                        <w:t>Окончателното решение за финансиране на ВиК оператори чрез финансови инструменти и размерът на тяхното използване следва да</w:t>
                      </w:r>
                      <w:r>
                        <w:rPr>
                          <w:b/>
                        </w:rPr>
                        <w:t xml:space="preserve"> се вземе на база конкретен проект след изготвяне на отделен анализ „разходи – ползи”/финансов анализ с анализ на чувствителността и риска, вкл. оценка на социалната поносимост на тарифите за ВиК услуги за отделните схеми на финансиране чрез комбинация от БФП и заемен и/или собствен ресурс.</w:t>
                      </w:r>
                    </w:p>
                  </w:txbxContent>
                </v:textbox>
              </v:shape>
            </w:pict>
          </mc:Fallback>
        </mc:AlternateContent>
      </w:r>
    </w:p>
    <w:p w:rsidR="00183225" w:rsidRPr="00B607DB" w:rsidRDefault="00183225" w:rsidP="00183225">
      <w:pPr>
        <w:pStyle w:val="ListParagraph"/>
        <w:jc w:val="both"/>
      </w:pPr>
    </w:p>
    <w:p w:rsidR="00183225" w:rsidRPr="00B607DB" w:rsidRDefault="00183225" w:rsidP="00183225">
      <w:pPr>
        <w:jc w:val="both"/>
      </w:pPr>
    </w:p>
    <w:p w:rsidR="0050230D" w:rsidRPr="00B607DB" w:rsidRDefault="0050230D" w:rsidP="00183225">
      <w:pPr>
        <w:jc w:val="both"/>
      </w:pPr>
    </w:p>
    <w:p w:rsidR="0050230D" w:rsidRPr="00B607DB" w:rsidRDefault="0050230D" w:rsidP="00183225">
      <w:pPr>
        <w:jc w:val="both"/>
      </w:pPr>
    </w:p>
    <w:p w:rsidR="0050230D" w:rsidRPr="00B607DB" w:rsidRDefault="0050230D" w:rsidP="00183225">
      <w:pPr>
        <w:jc w:val="both"/>
      </w:pPr>
    </w:p>
    <w:p w:rsidR="0050230D" w:rsidRPr="00B607DB" w:rsidRDefault="0050230D" w:rsidP="00183225">
      <w:pPr>
        <w:jc w:val="both"/>
      </w:pPr>
    </w:p>
    <w:p w:rsidR="0050230D" w:rsidRPr="00B607DB" w:rsidRDefault="0050230D" w:rsidP="00183225">
      <w:pPr>
        <w:jc w:val="both"/>
      </w:pPr>
    </w:p>
    <w:p w:rsidR="00FD0610" w:rsidRDefault="00FD0610" w:rsidP="0050230D">
      <w:pPr>
        <w:jc w:val="both"/>
        <w:rPr>
          <w:rFonts w:cstheme="minorHAnsi"/>
          <w:b/>
          <w:u w:val="single"/>
        </w:rPr>
      </w:pPr>
    </w:p>
    <w:p w:rsidR="0050230D" w:rsidRPr="00B607DB" w:rsidRDefault="0050230D" w:rsidP="00FD0610">
      <w:pPr>
        <w:keepNext/>
        <w:jc w:val="both"/>
        <w:rPr>
          <w:rFonts w:cstheme="minorHAnsi"/>
          <w:b/>
          <w:u w:val="single"/>
        </w:rPr>
      </w:pPr>
      <w:r w:rsidRPr="00B607DB">
        <w:rPr>
          <w:rFonts w:cstheme="minorHAnsi"/>
          <w:b/>
          <w:u w:val="single"/>
        </w:rPr>
        <w:t>Сектор Отпадъци</w:t>
      </w:r>
    </w:p>
    <w:p w:rsidR="0050230D" w:rsidRPr="00B607DB" w:rsidRDefault="0050230D" w:rsidP="0050230D">
      <w:pPr>
        <w:jc w:val="both"/>
      </w:pPr>
      <w:r w:rsidRPr="00B607DB">
        <w:rPr>
          <w:rFonts w:cstheme="minorHAnsi"/>
        </w:rPr>
        <w:t>ОПОС 2014-2020 г. предвижда бенефициенти на инвестиционните мерки по програмата в сектор Отпадъци да бъдат</w:t>
      </w:r>
      <w:r w:rsidRPr="00B607DB">
        <w:t xml:space="preserve"> Общини и Юридически лица със стопанска цел (ЮЛСЦ). В резултат от анализа на пазара, в т.ч. анкетни проучвания и интервюта сред заинтересованите страни, са идентифицирани два типа ЮЛСЦ – дружества, регистрирани по Търговския закон и общински предприятия, създадени съгласно Закона за общинската собственост.</w:t>
      </w:r>
    </w:p>
    <w:p w:rsidR="0050230D" w:rsidRPr="00B607DB" w:rsidRDefault="0050230D" w:rsidP="0050230D">
      <w:pPr>
        <w:jc w:val="both"/>
        <w:rPr>
          <w:rFonts w:cstheme="minorHAnsi"/>
        </w:rPr>
      </w:pPr>
      <w:r w:rsidRPr="00B607DB">
        <w:rPr>
          <w:rFonts w:cstheme="minorHAnsi"/>
        </w:rPr>
        <w:t>Определянето на крайните бенефициенти на финансови инструменти в сектор Отпадъци е необходимо да бъде направено въз основа на анализ на основните финансови показатели на съответния ползвател.</w:t>
      </w:r>
    </w:p>
    <w:p w:rsidR="0050230D" w:rsidRPr="00B607DB" w:rsidRDefault="0050230D" w:rsidP="0050230D">
      <w:pPr>
        <w:jc w:val="both"/>
        <w:rPr>
          <w:rFonts w:cstheme="minorHAnsi"/>
        </w:rPr>
      </w:pPr>
      <w:r w:rsidRPr="00B607DB">
        <w:rPr>
          <w:rFonts w:cstheme="minorHAnsi"/>
        </w:rPr>
        <w:lastRenderedPageBreak/>
        <w:t>Министерството на финансите е разработило методика за периодична оценка на общините</w:t>
      </w:r>
      <w:r w:rsidRPr="00B607DB">
        <w:t xml:space="preserve"> за финансовата им самостоятелност и финансовите резултати от дейността им</w:t>
      </w:r>
      <w:r w:rsidRPr="00B607DB">
        <w:rPr>
          <w:vertAlign w:val="superscript"/>
        </w:rPr>
        <w:footnoteReference w:id="131"/>
      </w:r>
      <w:r w:rsidRPr="00B607DB">
        <w:rPr>
          <w:rFonts w:cstheme="minorHAnsi"/>
        </w:rPr>
        <w:t xml:space="preserve">. Оценката се прави с цел: </w:t>
      </w:r>
    </w:p>
    <w:p w:rsidR="0050230D" w:rsidRPr="00B607DB" w:rsidRDefault="0050230D" w:rsidP="001A036E">
      <w:pPr>
        <w:pStyle w:val="Default"/>
        <w:numPr>
          <w:ilvl w:val="0"/>
          <w:numId w:val="38"/>
        </w:numPr>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постигане на по-добро управление на публичните ресурси на местно ниво; </w:t>
      </w:r>
    </w:p>
    <w:p w:rsidR="0050230D" w:rsidRPr="00B607DB" w:rsidRDefault="0050230D" w:rsidP="001A036E">
      <w:pPr>
        <w:pStyle w:val="Default"/>
        <w:numPr>
          <w:ilvl w:val="0"/>
          <w:numId w:val="38"/>
        </w:numPr>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постигане на по-голяма прозрачност в дейността; </w:t>
      </w:r>
    </w:p>
    <w:p w:rsidR="0050230D" w:rsidRPr="00B607DB" w:rsidRDefault="0050230D" w:rsidP="001A036E">
      <w:pPr>
        <w:pStyle w:val="Default"/>
        <w:numPr>
          <w:ilvl w:val="0"/>
          <w:numId w:val="38"/>
        </w:numPr>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приемане на решения за стимули; </w:t>
      </w:r>
    </w:p>
    <w:p w:rsidR="0050230D" w:rsidRPr="00B607DB" w:rsidRDefault="0050230D" w:rsidP="001A036E">
      <w:pPr>
        <w:pStyle w:val="Default"/>
        <w:numPr>
          <w:ilvl w:val="0"/>
          <w:numId w:val="38"/>
        </w:numPr>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повишаване на контрола на местно ниво. </w:t>
      </w:r>
    </w:p>
    <w:p w:rsidR="0050230D" w:rsidRPr="00B607DB" w:rsidRDefault="0050230D" w:rsidP="0050230D">
      <w:pPr>
        <w:jc w:val="both"/>
        <w:rPr>
          <w:rFonts w:cstheme="minorHAnsi"/>
        </w:rPr>
      </w:pPr>
    </w:p>
    <w:p w:rsidR="0050230D" w:rsidRPr="00B607DB" w:rsidRDefault="0050230D" w:rsidP="0050230D">
      <w:pPr>
        <w:pStyle w:val="Default"/>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Общата оценка се извършва въз основа на подреждането на общините по резултата от средноаритметичната стойност на четири групи показатели: 1) показатели за финансова самостоятелност; 2) показатели за финансова устойчивост; 3) показатели за ефективност; и 4) показатели за инвестиционна активност. Тежестта на всеки от показателите в общата оценка на общината зависи от особеностите на всеки от тях. </w:t>
      </w:r>
    </w:p>
    <w:p w:rsidR="0050230D" w:rsidRPr="00B607DB" w:rsidRDefault="0050230D" w:rsidP="0050230D">
      <w:pPr>
        <w:jc w:val="both"/>
      </w:pPr>
      <w:r w:rsidRPr="00B607DB">
        <w:t xml:space="preserve">Групирането на общините става посредством обобщените, претеглени показатели в следните интервали: </w:t>
      </w:r>
    </w:p>
    <w:p w:rsidR="0050230D" w:rsidRPr="00B607DB" w:rsidRDefault="0050230D" w:rsidP="001A036E">
      <w:pPr>
        <w:numPr>
          <w:ilvl w:val="0"/>
          <w:numId w:val="39"/>
        </w:numPr>
        <w:spacing w:after="0" w:line="276" w:lineRule="auto"/>
        <w:jc w:val="both"/>
        <w:rPr>
          <w:rFonts w:cstheme="minorHAnsi"/>
        </w:rPr>
      </w:pPr>
      <w:r w:rsidRPr="00B607DB">
        <w:t xml:space="preserve">над 80 т. – </w:t>
      </w:r>
      <w:r w:rsidRPr="00B607DB">
        <w:rPr>
          <w:b/>
          <w:bCs/>
        </w:rPr>
        <w:t>1 група</w:t>
      </w:r>
      <w:r w:rsidRPr="00B607DB">
        <w:t xml:space="preserve">; </w:t>
      </w:r>
    </w:p>
    <w:p w:rsidR="0050230D" w:rsidRPr="00B607DB" w:rsidRDefault="0050230D" w:rsidP="001A036E">
      <w:pPr>
        <w:numPr>
          <w:ilvl w:val="0"/>
          <w:numId w:val="39"/>
        </w:numPr>
        <w:spacing w:after="0" w:line="276" w:lineRule="auto"/>
        <w:jc w:val="both"/>
        <w:rPr>
          <w:rFonts w:cstheme="minorHAnsi"/>
        </w:rPr>
      </w:pPr>
      <w:r w:rsidRPr="00B607DB">
        <w:t xml:space="preserve">между 60 т. и 79.9 т. – </w:t>
      </w:r>
      <w:r w:rsidRPr="00B607DB">
        <w:rPr>
          <w:b/>
          <w:bCs/>
        </w:rPr>
        <w:t>2 група</w:t>
      </w:r>
      <w:r w:rsidRPr="00B607DB">
        <w:t xml:space="preserve">; </w:t>
      </w:r>
    </w:p>
    <w:p w:rsidR="0050230D" w:rsidRPr="00B607DB" w:rsidRDefault="0050230D" w:rsidP="001A036E">
      <w:pPr>
        <w:numPr>
          <w:ilvl w:val="0"/>
          <w:numId w:val="39"/>
        </w:numPr>
        <w:spacing w:after="0" w:line="276" w:lineRule="auto"/>
        <w:jc w:val="both"/>
        <w:rPr>
          <w:rFonts w:cstheme="minorHAnsi"/>
        </w:rPr>
      </w:pPr>
      <w:r w:rsidRPr="00B607DB">
        <w:t xml:space="preserve">между 40 т.и 59.9 т. – </w:t>
      </w:r>
      <w:r w:rsidRPr="00B607DB">
        <w:rPr>
          <w:b/>
          <w:bCs/>
        </w:rPr>
        <w:t>3 група</w:t>
      </w:r>
      <w:r w:rsidRPr="00B607DB">
        <w:t>;</w:t>
      </w:r>
    </w:p>
    <w:p w:rsidR="0050230D" w:rsidRPr="00B607DB" w:rsidRDefault="0050230D" w:rsidP="001A036E">
      <w:pPr>
        <w:numPr>
          <w:ilvl w:val="0"/>
          <w:numId w:val="39"/>
        </w:numPr>
        <w:spacing w:after="0" w:line="276" w:lineRule="auto"/>
        <w:jc w:val="both"/>
        <w:rPr>
          <w:rFonts w:cstheme="minorHAnsi"/>
        </w:rPr>
      </w:pPr>
      <w:r w:rsidRPr="00B607DB">
        <w:t xml:space="preserve">между 20 т.и 39.9 т. – </w:t>
      </w:r>
      <w:r w:rsidRPr="00B607DB">
        <w:rPr>
          <w:b/>
          <w:bCs/>
        </w:rPr>
        <w:t>4 група</w:t>
      </w:r>
      <w:r w:rsidRPr="00B607DB">
        <w:t xml:space="preserve">; </w:t>
      </w:r>
    </w:p>
    <w:p w:rsidR="0050230D" w:rsidRPr="00B607DB" w:rsidRDefault="0050230D" w:rsidP="001A036E">
      <w:pPr>
        <w:numPr>
          <w:ilvl w:val="0"/>
          <w:numId w:val="39"/>
        </w:numPr>
        <w:spacing w:after="0" w:line="276" w:lineRule="auto"/>
        <w:jc w:val="both"/>
        <w:rPr>
          <w:rFonts w:cstheme="minorHAnsi"/>
        </w:rPr>
      </w:pPr>
      <w:r w:rsidRPr="00B607DB">
        <w:t xml:space="preserve">под 20 т. – </w:t>
      </w:r>
      <w:r w:rsidRPr="00B607DB">
        <w:rPr>
          <w:b/>
          <w:bCs/>
        </w:rPr>
        <w:t>5 група</w:t>
      </w:r>
      <w:r w:rsidRPr="00B607DB">
        <w:t>.</w:t>
      </w:r>
    </w:p>
    <w:p w:rsidR="0050230D" w:rsidRPr="00B607DB" w:rsidRDefault="0050230D" w:rsidP="0050230D">
      <w:pPr>
        <w:pStyle w:val="Default"/>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Всяка от групите дава обобщена характеристика за състоянието на общината по отношение на финансовата самостоятелност, устойчивост и ефективност: </w:t>
      </w:r>
    </w:p>
    <w:p w:rsidR="000F3935" w:rsidRDefault="000F3935" w:rsidP="0050230D">
      <w:pPr>
        <w:pStyle w:val="Default"/>
        <w:spacing w:before="100" w:after="100"/>
        <w:jc w:val="both"/>
        <w:rPr>
          <w:rFonts w:asciiTheme="minorHAnsi" w:hAnsiTheme="minorHAnsi" w:cstheme="minorHAnsi"/>
          <w:b/>
          <w:i/>
          <w:color w:val="auto"/>
          <w:sz w:val="22"/>
          <w:szCs w:val="22"/>
        </w:rPr>
      </w:pPr>
    </w:p>
    <w:p w:rsidR="0050230D" w:rsidRPr="00B607DB" w:rsidRDefault="0050230D" w:rsidP="0050230D">
      <w:pPr>
        <w:pStyle w:val="Default"/>
        <w:spacing w:before="100" w:after="100"/>
        <w:jc w:val="both"/>
        <w:rPr>
          <w:rFonts w:asciiTheme="minorHAnsi" w:hAnsiTheme="minorHAnsi" w:cstheme="minorHAnsi"/>
          <w:b/>
          <w:i/>
          <w:color w:val="auto"/>
          <w:sz w:val="22"/>
          <w:szCs w:val="22"/>
        </w:rPr>
      </w:pPr>
      <w:r w:rsidRPr="00B607DB">
        <w:rPr>
          <w:rFonts w:asciiTheme="minorHAnsi" w:hAnsiTheme="minorHAnsi" w:cstheme="minorHAnsi"/>
          <w:b/>
          <w:i/>
          <w:color w:val="auto"/>
          <w:sz w:val="22"/>
          <w:szCs w:val="22"/>
        </w:rPr>
        <w:t xml:space="preserve">Група 1: </w:t>
      </w:r>
      <w:r w:rsidR="00EB6C68" w:rsidRPr="00B607DB">
        <w:rPr>
          <w:rFonts w:asciiTheme="minorHAnsi" w:hAnsiTheme="minorHAnsi" w:cstheme="minorHAnsi"/>
          <w:b/>
          <w:i/>
          <w:color w:val="auto"/>
          <w:sz w:val="22"/>
          <w:szCs w:val="22"/>
        </w:rPr>
        <w:t>Финансово</w:t>
      </w:r>
      <w:r w:rsidRPr="00B607DB">
        <w:rPr>
          <w:rFonts w:asciiTheme="minorHAnsi" w:hAnsiTheme="minorHAnsi" w:cstheme="minorHAnsi"/>
          <w:b/>
          <w:i/>
          <w:color w:val="auto"/>
          <w:sz w:val="22"/>
          <w:szCs w:val="22"/>
        </w:rPr>
        <w:t xml:space="preserve"> </w:t>
      </w:r>
      <w:r w:rsidR="00EB6C68" w:rsidRPr="00B607DB">
        <w:rPr>
          <w:rFonts w:asciiTheme="minorHAnsi" w:hAnsiTheme="minorHAnsi" w:cstheme="minorHAnsi"/>
          <w:b/>
          <w:i/>
          <w:color w:val="auto"/>
          <w:sz w:val="22"/>
          <w:szCs w:val="22"/>
        </w:rPr>
        <w:t>предсказуема</w:t>
      </w:r>
      <w:r w:rsidRPr="00B607DB">
        <w:rPr>
          <w:rFonts w:asciiTheme="minorHAnsi" w:hAnsiTheme="minorHAnsi" w:cstheme="minorHAnsi"/>
          <w:b/>
          <w:i/>
          <w:color w:val="auto"/>
          <w:sz w:val="22"/>
          <w:szCs w:val="22"/>
        </w:rPr>
        <w:t xml:space="preserve"> и добре балансирана </w:t>
      </w:r>
    </w:p>
    <w:p w:rsidR="0050230D" w:rsidRPr="00B607DB" w:rsidRDefault="0050230D" w:rsidP="0050230D">
      <w:pPr>
        <w:pStyle w:val="Default"/>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По отношение на управлението на бюджета, тази категория общини се характеризира с висока фискална автономност и умение да покрива разходите си чрез собствени средства. Нивото на прозрачност и надеждност на финансовата информация е високо и се асоциира с навременни, изчерпателни и добре контролирани финансови отчети. </w:t>
      </w:r>
    </w:p>
    <w:p w:rsidR="0050230D" w:rsidRDefault="0050230D" w:rsidP="0050230D">
      <w:pPr>
        <w:pStyle w:val="Default"/>
        <w:spacing w:before="100" w:after="100"/>
        <w:jc w:val="both"/>
        <w:rPr>
          <w:rFonts w:asciiTheme="minorHAnsi" w:hAnsiTheme="minorHAnsi" w:cstheme="minorHAnsi"/>
          <w:color w:val="auto"/>
          <w:sz w:val="22"/>
          <w:szCs w:val="22"/>
        </w:rPr>
      </w:pPr>
    </w:p>
    <w:p w:rsidR="00F00027" w:rsidRPr="00B607DB" w:rsidRDefault="00F00027" w:rsidP="0050230D">
      <w:pPr>
        <w:pStyle w:val="Default"/>
        <w:spacing w:before="100" w:after="100"/>
        <w:jc w:val="both"/>
        <w:rPr>
          <w:rFonts w:asciiTheme="minorHAnsi" w:hAnsiTheme="minorHAnsi" w:cstheme="minorHAnsi"/>
          <w:color w:val="auto"/>
          <w:sz w:val="22"/>
          <w:szCs w:val="22"/>
        </w:rPr>
      </w:pPr>
    </w:p>
    <w:p w:rsidR="0050230D" w:rsidRPr="00B607DB" w:rsidRDefault="0050230D" w:rsidP="0050230D">
      <w:pPr>
        <w:pStyle w:val="Default"/>
        <w:spacing w:before="100" w:after="100"/>
        <w:jc w:val="both"/>
        <w:rPr>
          <w:rFonts w:asciiTheme="minorHAnsi" w:hAnsiTheme="minorHAnsi" w:cstheme="minorHAnsi"/>
          <w:b/>
          <w:i/>
          <w:color w:val="auto"/>
          <w:sz w:val="22"/>
          <w:szCs w:val="22"/>
        </w:rPr>
      </w:pPr>
      <w:r w:rsidRPr="00B607DB">
        <w:rPr>
          <w:rFonts w:asciiTheme="minorHAnsi" w:hAnsiTheme="minorHAnsi" w:cstheme="minorHAnsi"/>
          <w:b/>
          <w:i/>
          <w:color w:val="auto"/>
          <w:sz w:val="22"/>
          <w:szCs w:val="22"/>
        </w:rPr>
        <w:t xml:space="preserve">Група 2: Балансирана </w:t>
      </w:r>
    </w:p>
    <w:p w:rsidR="0050230D" w:rsidRPr="00B607DB" w:rsidRDefault="0050230D" w:rsidP="0050230D">
      <w:pPr>
        <w:pStyle w:val="Default"/>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Тази категория общини се различава от група 1 в частта на балансирането на приходите и разходите, а именно могат да се наблюдават краткосрочни колебания в съотношението на баланса. Въпреки това общините от тази група следват разумна фискална политика. </w:t>
      </w:r>
    </w:p>
    <w:p w:rsidR="0050230D" w:rsidRPr="00B607DB" w:rsidRDefault="0050230D" w:rsidP="0050230D">
      <w:pPr>
        <w:pStyle w:val="Default"/>
        <w:spacing w:before="100" w:after="100"/>
        <w:jc w:val="both"/>
        <w:rPr>
          <w:rFonts w:asciiTheme="minorHAnsi" w:hAnsiTheme="minorHAnsi" w:cstheme="minorHAnsi"/>
          <w:color w:val="auto"/>
          <w:sz w:val="22"/>
          <w:szCs w:val="22"/>
        </w:rPr>
      </w:pPr>
    </w:p>
    <w:p w:rsidR="0050230D" w:rsidRPr="00B607DB" w:rsidRDefault="0050230D" w:rsidP="0050230D">
      <w:pPr>
        <w:pStyle w:val="Default"/>
        <w:spacing w:before="100" w:after="100"/>
        <w:jc w:val="both"/>
        <w:rPr>
          <w:rFonts w:asciiTheme="minorHAnsi" w:hAnsiTheme="minorHAnsi" w:cstheme="minorHAnsi"/>
          <w:b/>
          <w:i/>
          <w:color w:val="auto"/>
          <w:sz w:val="22"/>
          <w:szCs w:val="22"/>
        </w:rPr>
      </w:pPr>
      <w:r w:rsidRPr="00B607DB">
        <w:rPr>
          <w:rFonts w:asciiTheme="minorHAnsi" w:hAnsiTheme="minorHAnsi" w:cstheme="minorHAnsi"/>
          <w:b/>
          <w:i/>
          <w:color w:val="auto"/>
          <w:sz w:val="22"/>
          <w:szCs w:val="22"/>
        </w:rPr>
        <w:t xml:space="preserve">Група 3: Добре развиваща се </w:t>
      </w:r>
    </w:p>
    <w:p w:rsidR="0050230D" w:rsidRPr="00B607DB" w:rsidRDefault="0050230D" w:rsidP="0050230D">
      <w:pPr>
        <w:pStyle w:val="Default"/>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Приходите на общината като цяло са недостатъчни, за да покрият нуждите на инфраструктурното развитие, което води до натрупване на умерен дълг в общината. Нивото на прозрачност и надеждност на финансовата информация е добро, въпреки, че финансовите отчети може да не са толкова детайлни и пълни в сравнение с предните две категории.</w:t>
      </w:r>
    </w:p>
    <w:p w:rsidR="0050230D" w:rsidRPr="00B607DB" w:rsidRDefault="0050230D" w:rsidP="0050230D">
      <w:pPr>
        <w:pStyle w:val="Default"/>
        <w:spacing w:before="100" w:after="100"/>
        <w:jc w:val="both"/>
        <w:rPr>
          <w:rFonts w:asciiTheme="minorHAnsi" w:hAnsiTheme="minorHAnsi" w:cstheme="minorHAnsi"/>
          <w:color w:val="auto"/>
          <w:sz w:val="22"/>
          <w:szCs w:val="22"/>
        </w:rPr>
      </w:pPr>
    </w:p>
    <w:p w:rsidR="0050230D" w:rsidRPr="00B607DB" w:rsidRDefault="0050230D" w:rsidP="0050230D">
      <w:pPr>
        <w:pStyle w:val="Default"/>
        <w:spacing w:before="100" w:after="100"/>
        <w:jc w:val="both"/>
        <w:rPr>
          <w:rFonts w:asciiTheme="minorHAnsi" w:hAnsiTheme="minorHAnsi" w:cstheme="minorHAnsi"/>
          <w:b/>
          <w:i/>
          <w:color w:val="auto"/>
          <w:sz w:val="22"/>
          <w:szCs w:val="22"/>
        </w:rPr>
      </w:pPr>
      <w:r w:rsidRPr="00B607DB">
        <w:rPr>
          <w:rFonts w:asciiTheme="minorHAnsi" w:hAnsiTheme="minorHAnsi" w:cstheme="minorHAnsi"/>
          <w:b/>
          <w:i/>
          <w:color w:val="auto"/>
          <w:sz w:val="22"/>
          <w:szCs w:val="22"/>
        </w:rPr>
        <w:t xml:space="preserve">Група 4: Консолидираща се </w:t>
      </w:r>
    </w:p>
    <w:p w:rsidR="0050230D" w:rsidRPr="00B607DB" w:rsidRDefault="0050230D" w:rsidP="0050230D">
      <w:pPr>
        <w:pStyle w:val="Default"/>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Разходите в тази категория не се покриват напълно от приходите на общината. Възможно е натрупването на дълг да застраши водената фискална политика. Нивото на прозрачност на финансовата информация е ниско, контролът и наблюдението не са своевременни. Методиката за управление на риска трябва да се подобри.</w:t>
      </w:r>
    </w:p>
    <w:p w:rsidR="0050230D" w:rsidRPr="00B607DB" w:rsidRDefault="0050230D" w:rsidP="0050230D">
      <w:pPr>
        <w:pStyle w:val="Default"/>
        <w:spacing w:before="100" w:after="100"/>
        <w:jc w:val="both"/>
        <w:rPr>
          <w:rFonts w:asciiTheme="minorHAnsi" w:hAnsiTheme="minorHAnsi" w:cstheme="minorHAnsi"/>
          <w:color w:val="auto"/>
          <w:sz w:val="22"/>
          <w:szCs w:val="22"/>
        </w:rPr>
      </w:pPr>
    </w:p>
    <w:p w:rsidR="0050230D" w:rsidRPr="00B607DB" w:rsidRDefault="0050230D" w:rsidP="0050230D">
      <w:pPr>
        <w:pStyle w:val="Default"/>
        <w:spacing w:before="100" w:after="100"/>
        <w:jc w:val="both"/>
        <w:rPr>
          <w:rFonts w:asciiTheme="minorHAnsi" w:hAnsiTheme="minorHAnsi" w:cstheme="minorHAnsi"/>
          <w:b/>
          <w:i/>
          <w:color w:val="auto"/>
          <w:sz w:val="22"/>
          <w:szCs w:val="22"/>
        </w:rPr>
      </w:pPr>
      <w:r w:rsidRPr="00B607DB">
        <w:rPr>
          <w:rFonts w:asciiTheme="minorHAnsi" w:hAnsiTheme="minorHAnsi" w:cstheme="minorHAnsi"/>
          <w:b/>
          <w:i/>
          <w:color w:val="auto"/>
          <w:sz w:val="22"/>
          <w:szCs w:val="22"/>
        </w:rPr>
        <w:t xml:space="preserve">Група 5: Небалансирана </w:t>
      </w:r>
    </w:p>
    <w:p w:rsidR="0050230D" w:rsidRPr="00B607DB" w:rsidRDefault="0050230D" w:rsidP="0050230D">
      <w:pPr>
        <w:pStyle w:val="Default"/>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Разходите в тази категория общини не се покриват напълно от приходите, което води до лоши финансови резултати. Очертават се тенденции за растеж на дълга и просрочията в средно- и дългосрочен план. Високото равнище на стойностите за дълга и просрочените задължения може да е следствие нарушения на законовите норми, неефективна система за вътрешен контрол, неефективно използване на финансовите ресурси, забавено изплащане на дълга и задълженията към доставчици.</w:t>
      </w:r>
    </w:p>
    <w:p w:rsidR="0050230D" w:rsidRPr="00B607DB" w:rsidRDefault="0050230D" w:rsidP="0050230D">
      <w:pPr>
        <w:spacing w:after="0"/>
        <w:ind w:left="720"/>
        <w:jc w:val="both"/>
      </w:pPr>
    </w:p>
    <w:p w:rsidR="0050230D" w:rsidRPr="00B607DB" w:rsidRDefault="0050230D" w:rsidP="0050230D">
      <w:pPr>
        <w:pStyle w:val="Default"/>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За по голяма сравнимост общините са сравнявани и по категории, определени на база население: </w:t>
      </w:r>
    </w:p>
    <w:p w:rsidR="0050230D" w:rsidRPr="00B607DB" w:rsidRDefault="0050230D" w:rsidP="001A036E">
      <w:pPr>
        <w:pStyle w:val="Default"/>
        <w:numPr>
          <w:ilvl w:val="0"/>
          <w:numId w:val="40"/>
        </w:numPr>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първа категория – София, Пловдив, Варна; </w:t>
      </w:r>
    </w:p>
    <w:p w:rsidR="0050230D" w:rsidRPr="00B607DB" w:rsidRDefault="0050230D" w:rsidP="001A036E">
      <w:pPr>
        <w:pStyle w:val="Default"/>
        <w:numPr>
          <w:ilvl w:val="0"/>
          <w:numId w:val="40"/>
        </w:numPr>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втора категория – градове с население над 50 000 жители; </w:t>
      </w:r>
    </w:p>
    <w:p w:rsidR="0050230D" w:rsidRPr="00B607DB" w:rsidRDefault="0050230D" w:rsidP="001A036E">
      <w:pPr>
        <w:pStyle w:val="Default"/>
        <w:numPr>
          <w:ilvl w:val="0"/>
          <w:numId w:val="40"/>
        </w:numPr>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трета категория – градове с население от 20 000 до 49 999 жители; </w:t>
      </w:r>
    </w:p>
    <w:p w:rsidR="0050230D" w:rsidRPr="00B607DB" w:rsidRDefault="0050230D" w:rsidP="001A036E">
      <w:pPr>
        <w:pStyle w:val="Default"/>
        <w:numPr>
          <w:ilvl w:val="0"/>
          <w:numId w:val="40"/>
        </w:numPr>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четвърта категория – градове с население от 6 000 до 19 999 жители; </w:t>
      </w:r>
    </w:p>
    <w:p w:rsidR="0050230D" w:rsidRPr="00B607DB" w:rsidRDefault="0050230D" w:rsidP="001A036E">
      <w:pPr>
        <w:pStyle w:val="Default"/>
        <w:numPr>
          <w:ilvl w:val="0"/>
          <w:numId w:val="40"/>
        </w:numPr>
        <w:spacing w:before="100" w:after="100"/>
        <w:jc w:val="both"/>
        <w:rPr>
          <w:rFonts w:asciiTheme="minorHAnsi" w:hAnsiTheme="minorHAnsi" w:cstheme="minorHAnsi"/>
          <w:color w:val="auto"/>
          <w:sz w:val="22"/>
          <w:szCs w:val="22"/>
        </w:rPr>
      </w:pPr>
      <w:r w:rsidRPr="00B607DB">
        <w:rPr>
          <w:rFonts w:asciiTheme="minorHAnsi" w:hAnsiTheme="minorHAnsi" w:cstheme="minorHAnsi"/>
          <w:color w:val="auto"/>
          <w:sz w:val="22"/>
          <w:szCs w:val="22"/>
        </w:rPr>
        <w:t xml:space="preserve">пета категория – градове с население под 6 000 жители. </w:t>
      </w:r>
    </w:p>
    <w:p w:rsidR="00F00027" w:rsidRDefault="00F00027" w:rsidP="0050230D">
      <w:pPr>
        <w:spacing w:after="0"/>
        <w:jc w:val="both"/>
        <w:rPr>
          <w:rFonts w:cstheme="minorHAnsi"/>
        </w:rPr>
      </w:pPr>
    </w:p>
    <w:p w:rsidR="0050230D" w:rsidRPr="00B607DB" w:rsidRDefault="0050230D" w:rsidP="0050230D">
      <w:pPr>
        <w:spacing w:after="0"/>
        <w:jc w:val="both"/>
        <w:rPr>
          <w:rFonts w:cstheme="minorHAnsi"/>
        </w:rPr>
      </w:pPr>
      <w:r w:rsidRPr="00B607DB">
        <w:rPr>
          <w:rFonts w:cstheme="minorHAnsi"/>
        </w:rPr>
        <w:t>Резултатите от оценката на финансовото състояние на общините към края на 2012 г. са представени в следващата таблица:</w:t>
      </w:r>
    </w:p>
    <w:p w:rsidR="0050230D" w:rsidRPr="00B607DB" w:rsidRDefault="0050230D" w:rsidP="0050230D">
      <w:pPr>
        <w:spacing w:after="0"/>
        <w:jc w:val="both"/>
        <w:rPr>
          <w:rFonts w:cstheme="minorHAnsi"/>
        </w:rPr>
      </w:pPr>
    </w:p>
    <w:p w:rsidR="0050230D" w:rsidRPr="00B607DB" w:rsidRDefault="0050230D" w:rsidP="00CB3481">
      <w:pPr>
        <w:keepNext/>
        <w:jc w:val="both"/>
        <w:rPr>
          <w:rFonts w:cstheme="minorHAnsi"/>
          <w:b/>
          <w:i/>
        </w:rPr>
      </w:pPr>
      <w:r w:rsidRPr="00B607DB">
        <w:rPr>
          <w:rFonts w:cstheme="minorHAnsi"/>
          <w:b/>
          <w:i/>
        </w:rPr>
        <w:t xml:space="preserve">Таблица </w:t>
      </w:r>
      <w:r w:rsidR="008E6461" w:rsidRPr="00B607DB">
        <w:rPr>
          <w:rFonts w:cstheme="minorHAnsi"/>
          <w:b/>
          <w:i/>
        </w:rPr>
        <w:fldChar w:fldCharType="begin"/>
      </w:r>
      <w:r w:rsidRPr="00B607DB">
        <w:rPr>
          <w:rFonts w:cstheme="minorHAnsi"/>
          <w:b/>
          <w:i/>
        </w:rPr>
        <w:instrText xml:space="preserve"> SEQ Таблица_3. \* ARABIC </w:instrText>
      </w:r>
      <w:r w:rsidR="008E6461" w:rsidRPr="00B607DB">
        <w:rPr>
          <w:rFonts w:cstheme="minorHAnsi"/>
          <w:b/>
          <w:i/>
        </w:rPr>
        <w:fldChar w:fldCharType="separate"/>
      </w:r>
      <w:r w:rsidR="003A69A7">
        <w:rPr>
          <w:rFonts w:cstheme="minorHAnsi"/>
          <w:b/>
          <w:i/>
          <w:noProof/>
        </w:rPr>
        <w:t>10</w:t>
      </w:r>
      <w:r w:rsidR="008E6461" w:rsidRPr="00B607DB">
        <w:rPr>
          <w:rFonts w:cstheme="minorHAnsi"/>
          <w:b/>
          <w:i/>
        </w:rPr>
        <w:fldChar w:fldCharType="end"/>
      </w:r>
      <w:r w:rsidRPr="00B607DB">
        <w:rPr>
          <w:rFonts w:cstheme="minorHAnsi"/>
          <w:b/>
          <w:i/>
        </w:rPr>
        <w:t xml:space="preserve">.  </w:t>
      </w:r>
      <w:hyperlink r:id="rId186" w:history="1">
        <w:r w:rsidRPr="00B607DB">
          <w:rPr>
            <w:rFonts w:cstheme="minorHAnsi"/>
            <w:b/>
            <w:i/>
          </w:rPr>
          <w:t>Оценка на общините по степен на финансова устойчивост в края на 2012 г.</w:t>
        </w:r>
      </w:hyperlink>
    </w:p>
    <w:tbl>
      <w:tblPr>
        <w:tblStyle w:val="MediumGrid3-Accent1"/>
        <w:tblW w:w="6010" w:type="dxa"/>
        <w:jc w:val="center"/>
        <w:tblLook w:val="04A0" w:firstRow="1" w:lastRow="0" w:firstColumn="1" w:lastColumn="0" w:noHBand="0" w:noVBand="1"/>
      </w:tblPr>
      <w:tblGrid>
        <w:gridCol w:w="773"/>
        <w:gridCol w:w="2320"/>
        <w:gridCol w:w="1210"/>
        <w:gridCol w:w="1707"/>
      </w:tblGrid>
      <w:tr w:rsidR="0050230D" w:rsidRPr="00B607DB" w:rsidTr="00345ABF">
        <w:trPr>
          <w:cnfStyle w:val="100000000000" w:firstRow="1" w:lastRow="0" w:firstColumn="0" w:lastColumn="0" w:oddVBand="0" w:evenVBand="0" w:oddHBand="0" w:evenHBand="0" w:firstRowFirstColumn="0" w:firstRowLastColumn="0" w:lastRowFirstColumn="0" w:lastRowLastColumn="0"/>
          <w:trHeight w:val="1485"/>
          <w:jc w:val="center"/>
        </w:trPr>
        <w:tc>
          <w:tcPr>
            <w:cnfStyle w:val="001000000000" w:firstRow="0" w:lastRow="0" w:firstColumn="1" w:lastColumn="0" w:oddVBand="0" w:evenVBand="0" w:oddHBand="0" w:evenHBand="0" w:firstRowFirstColumn="0" w:firstRowLastColumn="0" w:lastRowFirstColumn="0" w:lastRowLastColumn="0"/>
            <w:tcW w:w="773" w:type="dxa"/>
            <w:vMerge w:val="restart"/>
            <w:noWrap/>
            <w:vAlign w:val="center"/>
            <w:hideMark/>
          </w:tcPr>
          <w:p w:rsidR="0050230D" w:rsidRPr="00B607DB" w:rsidRDefault="0050230D" w:rsidP="00345ABF">
            <w:pPr>
              <w:jc w:val="center"/>
              <w:rPr>
                <w:rFonts w:ascii="Calibri" w:eastAsia="Times New Roman" w:hAnsi="Calibri" w:cs="Calibri"/>
                <w:color w:val="auto"/>
                <w:lang w:eastAsia="bg-BG"/>
              </w:rPr>
            </w:pPr>
            <w:r w:rsidRPr="00B607DB">
              <w:rPr>
                <w:rFonts w:ascii="Calibri" w:eastAsia="Times New Roman" w:hAnsi="Calibri" w:cs="Calibri"/>
                <w:color w:val="auto"/>
                <w:lang w:eastAsia="bg-BG"/>
              </w:rPr>
              <w:t>№</w:t>
            </w:r>
          </w:p>
        </w:tc>
        <w:tc>
          <w:tcPr>
            <w:tcW w:w="3530" w:type="dxa"/>
            <w:gridSpan w:val="2"/>
            <w:vMerge w:val="restart"/>
            <w:vAlign w:val="center"/>
            <w:hideMark/>
          </w:tcPr>
          <w:p w:rsidR="0050230D" w:rsidRPr="00B607DB" w:rsidRDefault="0050230D" w:rsidP="00345AB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auto"/>
                <w:lang w:eastAsia="bg-BG"/>
              </w:rPr>
            </w:pPr>
            <w:r w:rsidRPr="00B607DB">
              <w:rPr>
                <w:rFonts w:ascii="Calibri" w:eastAsia="Times New Roman" w:hAnsi="Calibri" w:cs="Calibri"/>
                <w:color w:val="auto"/>
                <w:lang w:eastAsia="bg-BG"/>
              </w:rPr>
              <w:t>Общини</w:t>
            </w:r>
          </w:p>
        </w:tc>
        <w:tc>
          <w:tcPr>
            <w:tcW w:w="1707" w:type="dxa"/>
            <w:vMerge w:val="restart"/>
            <w:vAlign w:val="center"/>
            <w:hideMark/>
          </w:tcPr>
          <w:p w:rsidR="0050230D" w:rsidRPr="00B607DB" w:rsidRDefault="0050230D" w:rsidP="00345AB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auto"/>
                <w:lang w:eastAsia="bg-BG"/>
              </w:rPr>
            </w:pPr>
            <w:r w:rsidRPr="00B607DB">
              <w:rPr>
                <w:rFonts w:ascii="Calibri" w:eastAsia="Times New Roman" w:hAnsi="Calibri" w:cs="Calibri"/>
                <w:color w:val="auto"/>
                <w:lang w:eastAsia="bg-BG"/>
              </w:rPr>
              <w:t>Крайна оценка по всички показатели</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269"/>
          <w:jc w:val="center"/>
        </w:trPr>
        <w:tc>
          <w:tcPr>
            <w:cnfStyle w:val="001000000000" w:firstRow="0" w:lastRow="0" w:firstColumn="1" w:lastColumn="0" w:oddVBand="0" w:evenVBand="0" w:oddHBand="0" w:evenHBand="0" w:firstRowFirstColumn="0" w:firstRowLastColumn="0" w:lastRowFirstColumn="0" w:lastRowLastColumn="0"/>
            <w:tcW w:w="773" w:type="dxa"/>
            <w:vMerge/>
            <w:vAlign w:val="center"/>
            <w:hideMark/>
          </w:tcPr>
          <w:p w:rsidR="0050230D" w:rsidRPr="00B607DB" w:rsidRDefault="0050230D" w:rsidP="00345ABF">
            <w:pPr>
              <w:jc w:val="center"/>
              <w:rPr>
                <w:rFonts w:ascii="Calibri" w:eastAsia="Times New Roman" w:hAnsi="Calibri" w:cs="Calibri"/>
                <w:color w:val="auto"/>
                <w:lang w:eastAsia="bg-BG"/>
              </w:rPr>
            </w:pPr>
          </w:p>
        </w:tc>
        <w:tc>
          <w:tcPr>
            <w:tcW w:w="3530" w:type="dxa"/>
            <w:gridSpan w:val="2"/>
            <w:vMerge/>
            <w:vAlign w:val="center"/>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p>
        </w:tc>
        <w:tc>
          <w:tcPr>
            <w:tcW w:w="1707" w:type="dxa"/>
            <w:vMerge/>
            <w:vAlign w:val="center"/>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p>
        </w:tc>
      </w:tr>
      <w:tr w:rsidR="0050230D" w:rsidRPr="00B607DB" w:rsidTr="00345ABF">
        <w:trPr>
          <w:trHeight w:val="930"/>
          <w:jc w:val="center"/>
        </w:trPr>
        <w:tc>
          <w:tcPr>
            <w:cnfStyle w:val="001000000000" w:firstRow="0" w:lastRow="0" w:firstColumn="1" w:lastColumn="0" w:oddVBand="0" w:evenVBand="0" w:oddHBand="0" w:evenHBand="0" w:firstRowFirstColumn="0" w:firstRowLastColumn="0" w:lastRowFirstColumn="0" w:lastRowLastColumn="0"/>
            <w:tcW w:w="773" w:type="dxa"/>
            <w:vMerge/>
            <w:vAlign w:val="center"/>
            <w:hideMark/>
          </w:tcPr>
          <w:p w:rsidR="0050230D" w:rsidRPr="00B607DB" w:rsidRDefault="0050230D" w:rsidP="00345ABF">
            <w:pPr>
              <w:jc w:val="center"/>
              <w:rPr>
                <w:rFonts w:ascii="Calibri" w:eastAsia="Times New Roman" w:hAnsi="Calibri" w:cs="Calibri"/>
                <w:color w:val="auto"/>
                <w:lang w:eastAsia="bg-BG"/>
              </w:rPr>
            </w:pPr>
          </w:p>
        </w:tc>
        <w:tc>
          <w:tcPr>
            <w:tcW w:w="2320" w:type="dxa"/>
            <w:vAlign w:val="center"/>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Наименование</w:t>
            </w:r>
          </w:p>
        </w:tc>
        <w:tc>
          <w:tcPr>
            <w:tcW w:w="1210" w:type="dxa"/>
            <w:vAlign w:val="center"/>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Категория по население</w:t>
            </w:r>
          </w:p>
        </w:tc>
        <w:tc>
          <w:tcPr>
            <w:tcW w:w="1707" w:type="dxa"/>
            <w:vAlign w:val="center"/>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Група 31.12.2012</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ЧEЛOПEЧ</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1</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HECEБЬP</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ШAБЛA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ЧABДAP</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БAHCKO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lastRenderedPageBreak/>
              <w:t>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БЛAГOEBГPAД</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ПETPИЧ</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PAЗЛOГ</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CAHДAHCKИ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AЙTOC</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БУPГAC</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KAMEHO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KAPHOБAT</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ПOMOPИE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ПPИMOPCKO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PУEH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COЗOПOЛ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CPEДEЦ</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CУHГУPЛAPE</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ЦAPEBO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ABPEH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AKCAKOBO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БEЛOCЛAB</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БЯЛA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BAPHA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1</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BETPИHO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ДEBHЯ</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ПPOBAДИЯ</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CУBOPOBO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BEЛИKO TЬPHOBO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ГOPHA OPЯXOBИЦA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ЗЛATAPИЦA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ПABЛИKEHИ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ПOЛCKИ TPЬMБEШ</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CBИЩOB</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CTPAЖИЦA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BPAЦA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KOЗЛOДУЙ</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39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XAЙPEДИH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ГAБPOBO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CEBЛИEBO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TPЯBHA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ГEHEPAЛ TOШEBO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ДOБPИЧ</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ДOБPИЧ - CEЛCKA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lastRenderedPageBreak/>
              <w:t>46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KABAPHA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TEPBEЛ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AПPИЛЦИ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49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ЛETHИЦA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ЛУKOBИT</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TPOЯH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УГЬPЧИH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BЬЛЧEДPЬM</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MEДKOBEЦ</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MOHTAHA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ПAHAГЮPИЩE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CTPEЛЧA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БPEЗHИK</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59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ПEPHИK</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TPЬH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ГУЛЯHЦИ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ДOЛHA MИTPOПOЛИЯ</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ИCKЬP</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ЛEBCKИ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HИKOПOЛ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ПЛEBEH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ПOPДИM</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KHEЖA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69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ACEHOBГPAД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БPEЗOBO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KAЛOЯHOBO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MAPИЦA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ПЛOBДИB</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1</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PAKOBCKИ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POДOПИ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CAДOBO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CTAMБOЛИЙCKИ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CЬEДИHEHИE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79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КУКЛЕН</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ЗABET</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ИCПEPИX</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KУБPAT</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PAЗГPAД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CAMУИЛ</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lastRenderedPageBreak/>
              <w:t>85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БOPOBO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BETOBO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ДBE MOГИЛИ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ИBAHOBO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89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PУCE</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CЛИBO ПOЛE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ЦEHOBO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AЛФATAP</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CИЛИCTPA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CИTOBO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TУTPAKAH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HOBA ЗAГOPA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CЛИBEH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TBЬPДИЦA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99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CTOЛИЧHA OБЩИHA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1</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БOЖУPИЩE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БOTEBГPAД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ГOДEЧ</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ГOPHA MAЛИHA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ДOЛHA БAHЯ</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EЛИH ПEЛИH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ETPOПOЛE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ЗЛATИЦA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ИXTИMAH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109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KOПPИBЩИЦA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KOCTEHEЦ</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KOCTИHБPOД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MИPKOBO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CAMOKOB</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CBOГE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CЛИBHИЦA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БPATЯ ДACKAЛOBИ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ГЬЛЬБOBO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KAЗAHЛЬK</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119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PAДHEBO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CTAPA ЗAГOPA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ЧИPПAH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TЬPГOBИЩE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ДИMИTPOBГPAД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ЛЮБИMEЦ</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lastRenderedPageBreak/>
              <w:t>125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MИHEPAЛHИ БAHИ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CИMEOHOBГPAД</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XAPMAHЛИ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XACKOBO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129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BЬPБИЦA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KAOЛИHOBO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KACПИЧAH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ШУMEH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БOЛЯPOBO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EЛXOBO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CTPAЛДЖA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TУHДЖA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ЯMБOЛ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БEЛИЦA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139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ГOЦE ДEЛЧEB</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ГЬPMEH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KPECHA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CATOBЧA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CИMИTЛИ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XAДЖИДИMOBO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ЯKOPУДA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MAЛKO TЬPHOBO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BЬЛЧИ ДOЛ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ДOЛHИ ЧИФЛИK</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149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ДЬЛГOПOЛ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EЛEHA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ЛЯCKOBEЦ</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CУXИHДOЛ</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БEЛOГPAДЧИK</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БOЙHИЦA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БPEГOBO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BИДИH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ГPAMAДA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ДИMOBO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159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KУЛA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MAKPEШ</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HOBO CEЛO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PУЖИHЦИ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ЧУПPEHE</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БOPOBAH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lastRenderedPageBreak/>
              <w:t>165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БЯЛA CЛATИHA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KPИBOДOЛ</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MEЗДPA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MИЗИЯ</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169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OPЯXOBO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POMAH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ДPЯHOBO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БAЛЧИK</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KPУШAPИ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APДИHO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ДЖEБEЛ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KИPKOBO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KPУMOBГPAД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KЬPДЖAЛИ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179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MOMЧИЛГPAД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ЧEPHOOЧEHE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БOБOB ДOЛ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БOБOШEBO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ДУПHИЦA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KOЧEPИHOBO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KЮCTEHДИЛ</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HEBECTИHO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PИЛA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CAПAPEBA БAHЯ</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189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TPEKЛЯHO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ЛOBEЧ</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TETEBEH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ЯБЛAHИЦA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БEPKOBИЦA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БOЙЧИHOBЦИ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БPУCAPЦИ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BЬPШEЦ</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ГEOPГИ ДAMЯHOBO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ЛOM</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199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ЧИПPOBЦИ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ЯKИMOBO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БATAK</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БEЛOBO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БPAЦИГOBO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BEЛИHГPAД</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lastRenderedPageBreak/>
              <w:t>205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ЛECИЧEBO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ПAЗAPДЖИK</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ПEЩEPA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CEПTEMBPИ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209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ЗEMEH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KOBAЧEBЦИ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PAДOMИP</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БEЛEHE</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ДOЛHИ ДЪБHИK</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ЧEPBEH БPЯГ</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KAPЛOBO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2</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KPИЧИM</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ЛЬKИ</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ПEPУЩИЦA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219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ПЬPBOMAЙ</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XИCAPЯ</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СОПОТ</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ЛOЗHИЦA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ЦAP KAЛOЯH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БЯЛA</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ГЛABИHИЦA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ДУЛOBO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KAЙHAPДЖA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KOTEЛ</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229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БAHИTE</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ДEBИH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ДOCПAT</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MAДAH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HEДEЛИHO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CMOЛЯH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ЧEПEЛAPE</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AHTOH</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ДPAГOMAH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ПИPДOП</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239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ПPABEЦ</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ГУPKOBO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MЬГЛИЖ</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HИKOЛAEBO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OПAH</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ПABEЛ БAHЯ</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lastRenderedPageBreak/>
              <w:t>245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AHTOHOBO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OMУPTAГ</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OПAKA</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ПOПOBO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249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ИBAЙЛOBГPAД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MAДЖAPOBO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CBИЛEHГPAД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3</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CTAMБOЛOBO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TOПOЛOBГPAД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BEЛИKИ ПPECЛAB</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255</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BEHEЦ</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256</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HИKOЛA KOЗЛEBO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257</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HOBИ ПAЗAP</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258</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CMЯДOBO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259</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XИTPИHO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260</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CTPУMЯHИ</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261</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PAKИTOBO</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262</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БOPИHO</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r>
      <w:tr w:rsidR="0050230D" w:rsidRPr="00B607DB" w:rsidTr="00345ABF">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263</w:t>
            </w:r>
          </w:p>
        </w:tc>
        <w:tc>
          <w:tcPr>
            <w:tcW w:w="2320" w:type="dxa"/>
            <w:noWrap/>
            <w:hideMark/>
          </w:tcPr>
          <w:p w:rsidR="0050230D" w:rsidRPr="00B607DB" w:rsidRDefault="0050230D" w:rsidP="00345ABF">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ЗЛATOГPAД</w:t>
            </w:r>
          </w:p>
        </w:tc>
        <w:tc>
          <w:tcPr>
            <w:tcW w:w="1210" w:type="dxa"/>
            <w:noWrap/>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r>
      <w:tr w:rsidR="0050230D" w:rsidRPr="00B607DB" w:rsidTr="00345ABF">
        <w:trPr>
          <w:trHeight w:val="315"/>
          <w:jc w:val="center"/>
        </w:trPr>
        <w:tc>
          <w:tcPr>
            <w:cnfStyle w:val="001000000000" w:firstRow="0" w:lastRow="0" w:firstColumn="1" w:lastColumn="0" w:oddVBand="0" w:evenVBand="0" w:oddHBand="0" w:evenHBand="0" w:firstRowFirstColumn="0" w:firstRowLastColumn="0" w:lastRowFirstColumn="0" w:lastRowLastColumn="0"/>
            <w:tcW w:w="773" w:type="dxa"/>
            <w:noWrap/>
            <w:hideMark/>
          </w:tcPr>
          <w:p w:rsidR="0050230D" w:rsidRPr="00B607DB" w:rsidRDefault="0050230D" w:rsidP="00345ABF">
            <w:pPr>
              <w:jc w:val="right"/>
              <w:rPr>
                <w:rFonts w:ascii="Calibri" w:eastAsia="Times New Roman" w:hAnsi="Calibri" w:cs="Calibri"/>
                <w:color w:val="auto"/>
                <w:lang w:eastAsia="bg-BG"/>
              </w:rPr>
            </w:pPr>
            <w:r w:rsidRPr="00B607DB">
              <w:rPr>
                <w:rFonts w:ascii="Calibri" w:eastAsia="Times New Roman" w:hAnsi="Calibri" w:cs="Calibri"/>
                <w:color w:val="auto"/>
                <w:lang w:eastAsia="bg-BG"/>
              </w:rPr>
              <w:t>264</w:t>
            </w:r>
          </w:p>
        </w:tc>
        <w:tc>
          <w:tcPr>
            <w:tcW w:w="2320" w:type="dxa"/>
            <w:noWrap/>
            <w:hideMark/>
          </w:tcPr>
          <w:p w:rsidR="0050230D" w:rsidRPr="00B607DB" w:rsidRDefault="0050230D" w:rsidP="00345AB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bg-BG"/>
              </w:rPr>
            </w:pPr>
            <w:r w:rsidRPr="00B607DB">
              <w:rPr>
                <w:rFonts w:ascii="Calibri" w:eastAsia="Times New Roman" w:hAnsi="Calibri" w:cs="Calibri"/>
                <w:b/>
                <w:bCs/>
                <w:lang w:eastAsia="bg-BG"/>
              </w:rPr>
              <w:t>PУДOЗEM</w:t>
            </w:r>
          </w:p>
        </w:tc>
        <w:tc>
          <w:tcPr>
            <w:tcW w:w="1210" w:type="dxa"/>
            <w:noWrap/>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4</w:t>
            </w:r>
          </w:p>
        </w:tc>
        <w:tc>
          <w:tcPr>
            <w:tcW w:w="1707" w:type="dxa"/>
            <w:hideMark/>
          </w:tcPr>
          <w:p w:rsidR="0050230D" w:rsidRPr="00B607DB" w:rsidRDefault="0050230D" w:rsidP="00345A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bg-BG"/>
              </w:rPr>
            </w:pPr>
            <w:r w:rsidRPr="00B607DB">
              <w:rPr>
                <w:rFonts w:ascii="Calibri" w:eastAsia="Times New Roman" w:hAnsi="Calibri" w:cs="Calibri"/>
                <w:lang w:eastAsia="bg-BG"/>
              </w:rPr>
              <w:t>5</w:t>
            </w:r>
          </w:p>
        </w:tc>
      </w:tr>
    </w:tbl>
    <w:p w:rsidR="000002A0" w:rsidRDefault="000002A0" w:rsidP="0050230D">
      <w:pPr>
        <w:jc w:val="both"/>
        <w:rPr>
          <w:rFonts w:cstheme="minorHAnsi"/>
        </w:rPr>
      </w:pPr>
    </w:p>
    <w:p w:rsidR="0050230D" w:rsidRPr="00B607DB" w:rsidRDefault="0050230D" w:rsidP="0050230D">
      <w:pPr>
        <w:jc w:val="both"/>
        <w:rPr>
          <w:rFonts w:cstheme="minorHAnsi"/>
        </w:rPr>
      </w:pPr>
      <w:r w:rsidRPr="00B607DB">
        <w:rPr>
          <w:rFonts w:cstheme="minorHAnsi"/>
        </w:rPr>
        <w:t>От представената по-горе информация е видно, че като цяло почти всички общини в България (с изключение на 5-те от пета група) са кредитоспособни, но особено тези от 3-та и 4-та група имат нужда от допълващо финансиране чрез финансови инструменти при по-облекчени условия, тъй като натрупването на дълг може да застраши фискалната им устойчивост в средносрочен и дългосрочен план.</w:t>
      </w:r>
    </w:p>
    <w:p w:rsidR="0050230D" w:rsidRPr="00B607DB" w:rsidRDefault="0050230D" w:rsidP="00DB6EE8">
      <w:pPr>
        <w:pStyle w:val="Caption"/>
        <w:keepNext/>
        <w:spacing w:after="240"/>
        <w:jc w:val="center"/>
        <w:rPr>
          <w:rFonts w:asciiTheme="minorHAnsi" w:hAnsiTheme="minorHAnsi" w:cstheme="minorHAnsi"/>
          <w:sz w:val="22"/>
          <w:szCs w:val="22"/>
        </w:rPr>
      </w:pPr>
      <w:bookmarkStart w:id="183" w:name="_Toc399494668"/>
      <w:r w:rsidRPr="00B607DB">
        <w:rPr>
          <w:rFonts w:asciiTheme="minorHAnsi" w:hAnsiTheme="minorHAnsi" w:cstheme="minorHAnsi"/>
          <w:sz w:val="22"/>
          <w:szCs w:val="22"/>
        </w:rPr>
        <w:lastRenderedPageBreak/>
        <w:t xml:space="preserve">Фигура </w:t>
      </w:r>
      <w:r w:rsidR="008E6461" w:rsidRPr="00B607DB">
        <w:rPr>
          <w:rFonts w:asciiTheme="minorHAnsi" w:hAnsiTheme="minorHAnsi" w:cstheme="minorHAnsi"/>
          <w:sz w:val="22"/>
          <w:szCs w:val="22"/>
        </w:rPr>
        <w:fldChar w:fldCharType="begin"/>
      </w:r>
      <w:r w:rsidRPr="00B607DB">
        <w:rPr>
          <w:rFonts w:asciiTheme="minorHAnsi" w:hAnsiTheme="minorHAnsi" w:cstheme="minorHAnsi"/>
          <w:sz w:val="22"/>
          <w:szCs w:val="22"/>
        </w:rPr>
        <w:instrText xml:space="preserve"> SEQ фигура \* ARABIC </w:instrText>
      </w:r>
      <w:r w:rsidR="008E6461" w:rsidRPr="00B607DB">
        <w:rPr>
          <w:rFonts w:asciiTheme="minorHAnsi" w:hAnsiTheme="minorHAnsi" w:cstheme="minorHAnsi"/>
          <w:sz w:val="22"/>
          <w:szCs w:val="22"/>
        </w:rPr>
        <w:fldChar w:fldCharType="separate"/>
      </w:r>
      <w:r w:rsidR="003A69A7">
        <w:rPr>
          <w:rFonts w:asciiTheme="minorHAnsi" w:hAnsiTheme="minorHAnsi" w:cstheme="minorHAnsi"/>
          <w:noProof/>
          <w:sz w:val="22"/>
          <w:szCs w:val="22"/>
        </w:rPr>
        <w:t>83</w:t>
      </w:r>
      <w:r w:rsidR="008E6461" w:rsidRPr="00B607DB">
        <w:rPr>
          <w:rFonts w:asciiTheme="minorHAnsi" w:hAnsiTheme="minorHAnsi" w:cstheme="minorHAnsi"/>
          <w:sz w:val="22"/>
          <w:szCs w:val="22"/>
        </w:rPr>
        <w:fldChar w:fldCharType="end"/>
      </w:r>
      <w:r w:rsidRPr="00B607DB">
        <w:rPr>
          <w:rFonts w:asciiTheme="minorHAnsi" w:hAnsiTheme="minorHAnsi" w:cstheme="minorHAnsi"/>
          <w:sz w:val="22"/>
          <w:szCs w:val="22"/>
        </w:rPr>
        <w:t xml:space="preserve"> Финансова устойчивост на общините в Р България по групи</w:t>
      </w:r>
      <w:bookmarkEnd w:id="183"/>
    </w:p>
    <w:p w:rsidR="0050230D" w:rsidRDefault="0050230D" w:rsidP="0050230D">
      <w:pPr>
        <w:jc w:val="center"/>
        <w:rPr>
          <w:rFonts w:cstheme="minorHAnsi"/>
        </w:rPr>
      </w:pPr>
      <w:r w:rsidRPr="00B607DB">
        <w:rPr>
          <w:rFonts w:cstheme="minorHAnsi"/>
          <w:noProof/>
          <w:lang w:eastAsia="bg-BG"/>
        </w:rPr>
        <w:drawing>
          <wp:inline distT="0" distB="0" distL="0" distR="0">
            <wp:extent cx="4594860" cy="2766060"/>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7" cstate="print"/>
                    <a:srcRect/>
                    <a:stretch>
                      <a:fillRect/>
                    </a:stretch>
                  </pic:blipFill>
                  <pic:spPr bwMode="auto">
                    <a:xfrm>
                      <a:off x="0" y="0"/>
                      <a:ext cx="4594860" cy="2766060"/>
                    </a:xfrm>
                    <a:prstGeom prst="rect">
                      <a:avLst/>
                    </a:prstGeom>
                    <a:noFill/>
                  </pic:spPr>
                </pic:pic>
              </a:graphicData>
            </a:graphic>
          </wp:inline>
        </w:drawing>
      </w:r>
    </w:p>
    <w:p w:rsidR="0050230D" w:rsidRDefault="00896C88" w:rsidP="000002A0">
      <w:pPr>
        <w:keepNext/>
        <w:jc w:val="both"/>
        <w:rPr>
          <w:rFonts w:cstheme="minorHAnsi"/>
        </w:rPr>
      </w:pPr>
      <w:r>
        <w:rPr>
          <w:noProof/>
          <w:lang w:eastAsia="bg-BG"/>
        </w:rPr>
        <mc:AlternateContent>
          <mc:Choice Requires="wps">
            <w:drawing>
              <wp:anchor distT="0" distB="0" distL="114300" distR="114300" simplePos="0" relativeHeight="251671552" behindDoc="0" locked="0" layoutInCell="1" allowOverlap="1" wp14:anchorId="3540CEBE">
                <wp:simplePos x="0" y="0"/>
                <wp:positionH relativeFrom="column">
                  <wp:posOffset>-299720</wp:posOffset>
                </wp:positionH>
                <wp:positionV relativeFrom="paragraph">
                  <wp:posOffset>198755</wp:posOffset>
                </wp:positionV>
                <wp:extent cx="5600700" cy="3261360"/>
                <wp:effectExtent l="0" t="0" r="38100" b="53340"/>
                <wp:wrapNone/>
                <wp:docPr id="6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3261360"/>
                        </a:xfrm>
                        <a:prstGeom prst="rect">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EA2176" w:rsidRDefault="00EA2176" w:rsidP="001A036E">
                            <w:pPr>
                              <w:numPr>
                                <w:ilvl w:val="0"/>
                                <w:numId w:val="41"/>
                              </w:numPr>
                              <w:spacing w:after="200" w:line="276" w:lineRule="auto"/>
                              <w:jc w:val="both"/>
                              <w:rPr>
                                <w:b/>
                              </w:rPr>
                            </w:pPr>
                            <w:r>
                              <w:rPr>
                                <w:b/>
                              </w:rPr>
                              <w:t xml:space="preserve">Минимум </w:t>
                            </w:r>
                            <w:r w:rsidRPr="009658BF">
                              <w:rPr>
                                <w:b/>
                              </w:rPr>
                              <w:t xml:space="preserve">255 общини в страната </w:t>
                            </w:r>
                            <w:r>
                              <w:rPr>
                                <w:b/>
                              </w:rPr>
                              <w:t>са потенциални ползватели на финансови инструменти за реализиране на инвестиционни мерки в сектор Отпадъци, като само 4 от общо 264 биха могли да осигурят съ-финансиране чрез кредити на пазарен принцип в зависимост от мащаба на съответния проект.</w:t>
                            </w:r>
                          </w:p>
                          <w:p w:rsidR="00EA2176" w:rsidRDefault="00EA2176" w:rsidP="001A036E">
                            <w:pPr>
                              <w:numPr>
                                <w:ilvl w:val="0"/>
                                <w:numId w:val="41"/>
                              </w:numPr>
                              <w:spacing w:after="200" w:line="276" w:lineRule="auto"/>
                              <w:jc w:val="both"/>
                              <w:rPr>
                                <w:b/>
                              </w:rPr>
                            </w:pPr>
                            <w:r>
                              <w:rPr>
                                <w:b/>
                              </w:rPr>
                              <w:t>Юридическите лица със стопанска цел също са потенциални бенефициенти на ФИ, като финансовият инженеринг би бил стимул за частния сектор за реализиране на съвместни проекти с общините в сектора.</w:t>
                            </w:r>
                          </w:p>
                          <w:p w:rsidR="00EA2176" w:rsidRPr="005748EA" w:rsidRDefault="00EA2176" w:rsidP="001A036E">
                            <w:pPr>
                              <w:numPr>
                                <w:ilvl w:val="0"/>
                                <w:numId w:val="41"/>
                              </w:numPr>
                              <w:spacing w:after="200" w:line="276" w:lineRule="auto"/>
                              <w:jc w:val="both"/>
                              <w:rPr>
                                <w:b/>
                              </w:rPr>
                            </w:pPr>
                            <w:r w:rsidRPr="009B38F3">
                              <w:rPr>
                                <w:b/>
                              </w:rPr>
                              <w:t xml:space="preserve">Окончателното решение за финансиране на </w:t>
                            </w:r>
                            <w:r>
                              <w:rPr>
                                <w:b/>
                              </w:rPr>
                              <w:t>бенефициентите</w:t>
                            </w:r>
                            <w:r w:rsidRPr="009B38F3">
                              <w:rPr>
                                <w:b/>
                              </w:rPr>
                              <w:t xml:space="preserve"> чрез финансови инструменти </w:t>
                            </w:r>
                            <w:r>
                              <w:rPr>
                                <w:b/>
                              </w:rPr>
                              <w:t>в сектор Отпадъци</w:t>
                            </w:r>
                            <w:r w:rsidRPr="009B38F3">
                              <w:rPr>
                                <w:b/>
                              </w:rPr>
                              <w:t xml:space="preserve"> следва да</w:t>
                            </w:r>
                            <w:r>
                              <w:rPr>
                                <w:b/>
                              </w:rPr>
                              <w:t xml:space="preserve"> се вземе на база конкретен проект след изготвяне на отделен анализ „разходи – ползи”/финансов анализ с анализ на чувствителността и риска, вкл. оценка на отделните схеми на финансиране чрез комбинация от БФП и заемен и/или собствен ресурс както и в зависимост от финансовото състояние на съответния бенефициент към момента на кандидатстване.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40CEBE" id="Text Box 80" o:spid="_x0000_s1111" type="#_x0000_t202" style="position:absolute;left:0;text-align:left;margin-left:-23.6pt;margin-top:15.65pt;width:441pt;height:256.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" fillcolor="#9cc2e5 [1940]" strokecolor="#9cc2e5 [1940]" strokeweight="1pt">
                <v:fill color2="#deeaf6 [660]" angle="135" focus="50%" type="gradient"/>
                <v:shadow on="t" color="#1f4d78 [1604]" opacity=".5" offset="1pt"/>
                <v:textbox>
                  <w:txbxContent>
                    <w:p w:rsidR="00EA2176" w:rsidRDefault="00EA2176" w:rsidP="001A036E">
                      <w:pPr>
                        <w:numPr>
                          <w:ilvl w:val="0"/>
                          <w:numId w:val="41"/>
                        </w:numPr>
                        <w:spacing w:after="200" w:line="276" w:lineRule="auto"/>
                        <w:jc w:val="both"/>
                        <w:rPr>
                          <w:b/>
                        </w:rPr>
                      </w:pPr>
                      <w:r>
                        <w:rPr>
                          <w:b/>
                        </w:rPr>
                        <w:t xml:space="preserve">Минимум </w:t>
                      </w:r>
                      <w:r w:rsidRPr="009658BF">
                        <w:rPr>
                          <w:b/>
                        </w:rPr>
                        <w:t xml:space="preserve">255 общини в страната </w:t>
                      </w:r>
                      <w:r>
                        <w:rPr>
                          <w:b/>
                        </w:rPr>
                        <w:t>са потенциални ползватели на финансови инструменти за реализиране на инвестиционни мерки в сектор Отпадъци, като само 4 от общо 264 биха могли да осигурят съ-финансиране чрез кредити на пазарен принцип в зависимост от мащаба на съответния проект.</w:t>
                      </w:r>
                    </w:p>
                    <w:p w:rsidR="00EA2176" w:rsidRDefault="00EA2176" w:rsidP="001A036E">
                      <w:pPr>
                        <w:numPr>
                          <w:ilvl w:val="0"/>
                          <w:numId w:val="41"/>
                        </w:numPr>
                        <w:spacing w:after="200" w:line="276" w:lineRule="auto"/>
                        <w:jc w:val="both"/>
                        <w:rPr>
                          <w:b/>
                        </w:rPr>
                      </w:pPr>
                      <w:r>
                        <w:rPr>
                          <w:b/>
                        </w:rPr>
                        <w:t>Юридическите лица със стопанска цел също са потенциални бенефициенти на ФИ, като финансовият инженеринг би бил стимул за частния сектор за реализиране на съвместни проекти с общините в сектора.</w:t>
                      </w:r>
                    </w:p>
                    <w:p w:rsidR="00EA2176" w:rsidRPr="005748EA" w:rsidRDefault="00EA2176" w:rsidP="001A036E">
                      <w:pPr>
                        <w:numPr>
                          <w:ilvl w:val="0"/>
                          <w:numId w:val="41"/>
                        </w:numPr>
                        <w:spacing w:after="200" w:line="276" w:lineRule="auto"/>
                        <w:jc w:val="both"/>
                        <w:rPr>
                          <w:b/>
                        </w:rPr>
                      </w:pPr>
                      <w:r w:rsidRPr="009B38F3">
                        <w:rPr>
                          <w:b/>
                        </w:rPr>
                        <w:t xml:space="preserve">Окончателното решение за финансиране на </w:t>
                      </w:r>
                      <w:r>
                        <w:rPr>
                          <w:b/>
                        </w:rPr>
                        <w:t>бенефициентите</w:t>
                      </w:r>
                      <w:r w:rsidRPr="009B38F3">
                        <w:rPr>
                          <w:b/>
                        </w:rPr>
                        <w:t xml:space="preserve"> чрез финансови инструменти </w:t>
                      </w:r>
                      <w:r>
                        <w:rPr>
                          <w:b/>
                        </w:rPr>
                        <w:t>в сектор Отпадъци</w:t>
                      </w:r>
                      <w:r w:rsidRPr="009B38F3">
                        <w:rPr>
                          <w:b/>
                        </w:rPr>
                        <w:t xml:space="preserve"> следва да</w:t>
                      </w:r>
                      <w:r>
                        <w:rPr>
                          <w:b/>
                        </w:rPr>
                        <w:t xml:space="preserve"> се вземе на база конкретен проект след изготвяне на отделен анализ „разходи – ползи”/финансов анализ с анализ на чувствителността и риска, вкл. оценка на отделните схеми на финансиране чрез комбинация от БФП и заемен и/или собствен ресурс както и в зависимост от финансовото състояние на съответния бенефициент към момента на кандидатстване.</w:t>
                      </w:r>
                    </w:p>
                  </w:txbxContent>
                </v:textbox>
              </v:shape>
            </w:pict>
          </mc:Fallback>
        </mc:AlternateContent>
      </w:r>
      <w:r w:rsidR="0050230D" w:rsidRPr="00B607DB">
        <w:rPr>
          <w:rFonts w:cstheme="minorHAnsi"/>
        </w:rPr>
        <w:t>Основните изводи, които могат да бъдат изведени в резултат от анализа са:</w:t>
      </w:r>
    </w:p>
    <w:p w:rsidR="0050230D" w:rsidRDefault="0050230D" w:rsidP="00183225">
      <w:pPr>
        <w:jc w:val="both"/>
      </w:pPr>
    </w:p>
    <w:p w:rsidR="00F00027" w:rsidRPr="00C37F8C" w:rsidRDefault="00F00027" w:rsidP="00183225">
      <w:pPr>
        <w:jc w:val="both"/>
        <w:sectPr w:rsidR="00F00027" w:rsidRPr="00C37F8C" w:rsidSect="00FD0610">
          <w:pgSz w:w="11906" w:h="16838"/>
          <w:pgMar w:top="1417" w:right="1416" w:bottom="1417" w:left="1417" w:header="142" w:footer="105" w:gutter="0"/>
          <w:cols w:space="708"/>
          <w:titlePg/>
          <w:docGrid w:linePitch="360"/>
        </w:sectPr>
      </w:pPr>
    </w:p>
    <w:p w:rsidR="005D1F5C" w:rsidRDefault="005D1F5C" w:rsidP="000F3935">
      <w:pPr>
        <w:pStyle w:val="Heading2"/>
        <w:ind w:left="567" w:hanging="567"/>
        <w:jc w:val="both"/>
        <w:rPr>
          <w:rFonts w:asciiTheme="minorHAnsi" w:hAnsiTheme="minorHAnsi" w:cs="Times New Roman"/>
        </w:rPr>
      </w:pPr>
      <w:bookmarkStart w:id="184" w:name="_Toc399494571"/>
      <w:r w:rsidRPr="00C370EC">
        <w:rPr>
          <w:rFonts w:asciiTheme="minorHAnsi" w:hAnsiTheme="minorHAnsi" w:cs="Times New Roman"/>
        </w:rPr>
        <w:lastRenderedPageBreak/>
        <w:t>5.3. Възможни пречки от институционален, административен, правен аспект и др., които могат да затруднят прилагането на финансови инструменти, както и набор от адекватни мерки за тяхното преодоляване</w:t>
      </w:r>
      <w:r>
        <w:rPr>
          <w:rFonts w:asciiTheme="minorHAnsi" w:hAnsiTheme="minorHAnsi" w:cs="Times New Roman"/>
        </w:rPr>
        <w:t>.</w:t>
      </w:r>
      <w:bookmarkEnd w:id="184"/>
    </w:p>
    <w:p w:rsidR="00877C94" w:rsidRDefault="00877C94" w:rsidP="000F3935">
      <w:pPr>
        <w:spacing w:before="240"/>
        <w:ind w:left="284" w:hanging="284"/>
        <w:rPr>
          <w:b/>
        </w:rPr>
      </w:pPr>
      <w:r w:rsidRPr="001D3536">
        <w:rPr>
          <w:b/>
          <w:lang w:val="en-US"/>
        </w:rPr>
        <w:t xml:space="preserve">SWOT </w:t>
      </w:r>
      <w:r w:rsidRPr="001D3536">
        <w:rPr>
          <w:b/>
        </w:rPr>
        <w:t>анализ на финансови инструменти и структури за управление</w:t>
      </w:r>
    </w:p>
    <w:tbl>
      <w:tblPr>
        <w:tblStyle w:val="ColorfulGrid-Accent5"/>
        <w:tblW w:w="14709" w:type="dxa"/>
        <w:tblLook w:val="04A0" w:firstRow="1" w:lastRow="0" w:firstColumn="1" w:lastColumn="0" w:noHBand="0" w:noVBand="1"/>
      </w:tblPr>
      <w:tblGrid>
        <w:gridCol w:w="680"/>
        <w:gridCol w:w="5973"/>
        <w:gridCol w:w="8056"/>
      </w:tblGrid>
      <w:tr w:rsidR="000F3935" w:rsidRPr="000F3935" w:rsidTr="000F3935">
        <w:trPr>
          <w:cnfStyle w:val="100000000000" w:firstRow="1" w:lastRow="0" w:firstColumn="0" w:lastColumn="0" w:oddVBand="0" w:evenVBand="0" w:oddHBand="0" w:evenHBand="0" w:firstRowFirstColumn="0" w:firstRowLastColumn="0" w:lastRowFirstColumn="0" w:lastRowLastColumn="0"/>
          <w:trHeight w:val="263"/>
          <w:tblHeader/>
        </w:trPr>
        <w:tc>
          <w:tcPr>
            <w:cnfStyle w:val="001000000000" w:firstRow="0" w:lastRow="0" w:firstColumn="1" w:lastColumn="0" w:oddVBand="0" w:evenVBand="0" w:oddHBand="0" w:evenHBand="0" w:firstRowFirstColumn="0" w:firstRowLastColumn="0" w:lastRowFirstColumn="0" w:lastRowLastColumn="0"/>
            <w:tcW w:w="680" w:type="dxa"/>
          </w:tcPr>
          <w:p w:rsidR="000F3935" w:rsidRPr="000F3935" w:rsidRDefault="000F3935" w:rsidP="000F3935">
            <w:pPr>
              <w:jc w:val="center"/>
              <w:rPr>
                <w:color w:val="auto"/>
              </w:rPr>
            </w:pPr>
          </w:p>
        </w:tc>
        <w:tc>
          <w:tcPr>
            <w:tcW w:w="5973" w:type="dxa"/>
          </w:tcPr>
          <w:p w:rsidR="000F3935" w:rsidRPr="000F3935" w:rsidRDefault="000F3935" w:rsidP="000F3935">
            <w:pPr>
              <w:jc w:val="center"/>
              <w:cnfStyle w:val="100000000000" w:firstRow="1" w:lastRow="0" w:firstColumn="0" w:lastColumn="0" w:oddVBand="0" w:evenVBand="0" w:oddHBand="0" w:evenHBand="0" w:firstRowFirstColumn="0" w:firstRowLastColumn="0" w:lastRowFirstColumn="0" w:lastRowLastColumn="0"/>
              <w:rPr>
                <w:color w:val="auto"/>
              </w:rPr>
            </w:pPr>
            <w:r w:rsidRPr="000F3935">
              <w:rPr>
                <w:color w:val="auto"/>
              </w:rPr>
              <w:t>Вътрешни</w:t>
            </w:r>
          </w:p>
        </w:tc>
        <w:tc>
          <w:tcPr>
            <w:tcW w:w="8056" w:type="dxa"/>
          </w:tcPr>
          <w:p w:rsidR="000F3935" w:rsidRPr="000F3935" w:rsidRDefault="000F3935" w:rsidP="000F3935">
            <w:pPr>
              <w:jc w:val="center"/>
              <w:cnfStyle w:val="100000000000" w:firstRow="1" w:lastRow="0" w:firstColumn="0" w:lastColumn="0" w:oddVBand="0" w:evenVBand="0" w:oddHBand="0" w:evenHBand="0" w:firstRowFirstColumn="0" w:firstRowLastColumn="0" w:lastRowFirstColumn="0" w:lastRowLastColumn="0"/>
              <w:rPr>
                <w:color w:val="auto"/>
              </w:rPr>
            </w:pPr>
            <w:r w:rsidRPr="000F3935">
              <w:rPr>
                <w:color w:val="auto"/>
              </w:rPr>
              <w:t>Външни</w:t>
            </w:r>
          </w:p>
        </w:tc>
      </w:tr>
      <w:tr w:rsidR="000F3935" w:rsidRPr="005A230C" w:rsidTr="000F3935">
        <w:trPr>
          <w:cnfStyle w:val="000000100000" w:firstRow="0" w:lastRow="0" w:firstColumn="0" w:lastColumn="0" w:oddVBand="0" w:evenVBand="0" w:oddHBand="1" w:evenHBand="0" w:firstRowFirstColumn="0" w:firstRowLastColumn="0" w:lastRowFirstColumn="0" w:lastRowLastColumn="0"/>
          <w:trHeight w:val="6882"/>
        </w:trPr>
        <w:tc>
          <w:tcPr>
            <w:cnfStyle w:val="001000000000" w:firstRow="0" w:lastRow="0" w:firstColumn="1" w:lastColumn="0" w:oddVBand="0" w:evenVBand="0" w:oddHBand="0" w:evenHBand="0" w:firstRowFirstColumn="0" w:firstRowLastColumn="0" w:lastRowFirstColumn="0" w:lastRowLastColumn="0"/>
            <w:tcW w:w="680" w:type="dxa"/>
            <w:textDirection w:val="btLr"/>
          </w:tcPr>
          <w:p w:rsidR="000F3935" w:rsidRPr="00BC4527" w:rsidRDefault="000F3935" w:rsidP="007205C4">
            <w:pPr>
              <w:ind w:left="113"/>
              <w:rPr>
                <w:b/>
              </w:rPr>
            </w:pPr>
            <w:r>
              <w:rPr>
                <w:b/>
              </w:rPr>
              <w:t>П</w:t>
            </w:r>
            <w:r w:rsidRPr="00BC4527">
              <w:rPr>
                <w:b/>
              </w:rPr>
              <w:t>оложителни</w:t>
            </w:r>
          </w:p>
          <w:p w:rsidR="000F3935" w:rsidRPr="001871E5" w:rsidRDefault="000F3935" w:rsidP="007205C4">
            <w:pPr>
              <w:ind w:left="113"/>
              <w:rPr>
                <w:b/>
                <w:color w:val="808080"/>
              </w:rPr>
            </w:pPr>
          </w:p>
        </w:tc>
        <w:tc>
          <w:tcPr>
            <w:tcW w:w="5973" w:type="dxa"/>
          </w:tcPr>
          <w:p w:rsidR="000F3935" w:rsidRPr="005C1EF1" w:rsidRDefault="000F3935" w:rsidP="007205C4">
            <w:pPr>
              <w:cnfStyle w:val="000000100000" w:firstRow="0" w:lastRow="0" w:firstColumn="0" w:lastColumn="0" w:oddVBand="0" w:evenVBand="0" w:oddHBand="1" w:evenHBand="0" w:firstRowFirstColumn="0" w:firstRowLastColumn="0" w:lastRowFirstColumn="0" w:lastRowLastColumn="0"/>
              <w:rPr>
                <w:b/>
                <w:color w:val="17365D"/>
              </w:rPr>
            </w:pPr>
            <w:r w:rsidRPr="005C1EF1">
              <w:rPr>
                <w:b/>
                <w:color w:val="17365D"/>
              </w:rPr>
              <w:t>Силни страни</w:t>
            </w:r>
          </w:p>
          <w:p w:rsidR="000F3935" w:rsidRPr="00E23F01" w:rsidRDefault="000F3935" w:rsidP="007205C4">
            <w:pPr>
              <w:jc w:val="both"/>
              <w:cnfStyle w:val="000000100000" w:firstRow="0" w:lastRow="0" w:firstColumn="0" w:lastColumn="0" w:oddVBand="0" w:evenVBand="0" w:oddHBand="1" w:evenHBand="0" w:firstRowFirstColumn="0" w:firstRowLastColumn="0" w:lastRowFirstColumn="0" w:lastRowLastColumn="0"/>
              <w:rPr>
                <w:rStyle w:val="hps"/>
              </w:rPr>
            </w:pPr>
            <w:r w:rsidRPr="000F3935">
              <w:rPr>
                <w:b/>
                <w:color w:val="FFFFFF" w:themeColor="background1"/>
              </w:rPr>
              <w:t>Заем (он-лендинг) -</w:t>
            </w:r>
            <w:r w:rsidRPr="000F3935">
              <w:rPr>
                <w:rStyle w:val="hps"/>
                <w:color w:val="auto"/>
              </w:rPr>
              <w:t xml:space="preserve"> </w:t>
            </w:r>
            <w:r>
              <w:rPr>
                <w:rStyle w:val="hps"/>
              </w:rPr>
              <w:t>Използва се, когато</w:t>
            </w:r>
            <w:r w:rsidRPr="00E23F01">
              <w:rPr>
                <w:rStyle w:val="hps"/>
              </w:rPr>
              <w:t xml:space="preserve"> </w:t>
            </w:r>
            <w:r>
              <w:rPr>
                <w:rStyle w:val="hps"/>
              </w:rPr>
              <w:t>пазарното финансиране</w:t>
            </w:r>
            <w:r w:rsidRPr="00E23F01">
              <w:rPr>
                <w:rStyle w:val="hps"/>
              </w:rPr>
              <w:t xml:space="preserve"> </w:t>
            </w:r>
            <w:r>
              <w:rPr>
                <w:rStyle w:val="hps"/>
              </w:rPr>
              <w:t>ще направи</w:t>
            </w:r>
            <w:r w:rsidRPr="00E23F01">
              <w:rPr>
                <w:rStyle w:val="hps"/>
              </w:rPr>
              <w:t xml:space="preserve"> </w:t>
            </w:r>
            <w:r>
              <w:rPr>
                <w:rStyle w:val="hps"/>
              </w:rPr>
              <w:t>инвестицията</w:t>
            </w:r>
            <w:r w:rsidRPr="00E23F01">
              <w:rPr>
                <w:rStyle w:val="hps"/>
              </w:rPr>
              <w:t xml:space="preserve"> </w:t>
            </w:r>
            <w:r>
              <w:rPr>
                <w:rStyle w:val="hps"/>
              </w:rPr>
              <w:t>нежизнеспособна</w:t>
            </w:r>
            <w:r w:rsidRPr="00E23F01">
              <w:rPr>
                <w:rStyle w:val="hps"/>
              </w:rPr>
              <w:t xml:space="preserve">. </w:t>
            </w:r>
            <w:r>
              <w:rPr>
                <w:rStyle w:val="hps"/>
              </w:rPr>
              <w:t>Намалява</w:t>
            </w:r>
            <w:r w:rsidRPr="00E23F01">
              <w:rPr>
                <w:rStyle w:val="hps"/>
              </w:rPr>
              <w:t xml:space="preserve"> </w:t>
            </w:r>
            <w:r>
              <w:rPr>
                <w:rStyle w:val="hps"/>
              </w:rPr>
              <w:t>риска</w:t>
            </w:r>
            <w:r w:rsidRPr="00E23F01">
              <w:rPr>
                <w:rStyle w:val="hps"/>
              </w:rPr>
              <w:t xml:space="preserve"> </w:t>
            </w:r>
            <w:r>
              <w:rPr>
                <w:rStyle w:val="hps"/>
              </w:rPr>
              <w:t>за всички</w:t>
            </w:r>
            <w:r w:rsidRPr="00E23F01">
              <w:rPr>
                <w:rStyle w:val="hps"/>
              </w:rPr>
              <w:t xml:space="preserve"> </w:t>
            </w:r>
            <w:r>
              <w:rPr>
                <w:rStyle w:val="hps"/>
              </w:rPr>
              <w:t>кредитори и</w:t>
            </w:r>
            <w:r w:rsidRPr="00E23F01">
              <w:rPr>
                <w:rStyle w:val="hps"/>
              </w:rPr>
              <w:t xml:space="preserve"> </w:t>
            </w:r>
            <w:r>
              <w:rPr>
                <w:rStyle w:val="hps"/>
              </w:rPr>
              <w:t>може да насърчи</w:t>
            </w:r>
            <w:r w:rsidRPr="00E23F01">
              <w:rPr>
                <w:rStyle w:val="hps"/>
              </w:rPr>
              <w:t xml:space="preserve"> </w:t>
            </w:r>
            <w:r>
              <w:rPr>
                <w:rStyle w:val="hps"/>
              </w:rPr>
              <w:t>местните</w:t>
            </w:r>
            <w:r w:rsidRPr="00E23F01">
              <w:rPr>
                <w:rStyle w:val="hps"/>
              </w:rPr>
              <w:t xml:space="preserve"> </w:t>
            </w:r>
            <w:r>
              <w:rPr>
                <w:rStyle w:val="hps"/>
              </w:rPr>
              <w:t>банки да</w:t>
            </w:r>
            <w:r w:rsidRPr="00E23F01">
              <w:rPr>
                <w:rStyle w:val="hps"/>
              </w:rPr>
              <w:t xml:space="preserve"> </w:t>
            </w:r>
            <w:r>
              <w:rPr>
                <w:rStyle w:val="hps"/>
              </w:rPr>
              <w:t>навлязат на пазара на</w:t>
            </w:r>
            <w:r w:rsidRPr="00E23F01">
              <w:rPr>
                <w:rStyle w:val="hps"/>
              </w:rPr>
              <w:t xml:space="preserve"> </w:t>
            </w:r>
            <w:r>
              <w:rPr>
                <w:rStyle w:val="hps"/>
              </w:rPr>
              <w:t>кредитиране на</w:t>
            </w:r>
            <w:r w:rsidRPr="00E23F01">
              <w:rPr>
                <w:rStyle w:val="hps"/>
              </w:rPr>
              <w:t xml:space="preserve"> </w:t>
            </w:r>
            <w:r>
              <w:rPr>
                <w:rStyle w:val="hps"/>
              </w:rPr>
              <w:t>инвестиции във ВиК сектора. Заемите към крайните получатели са подходящи за по-големи инвестиции, когато банките партньори не могат да осигурят достатъчно средства.</w:t>
            </w:r>
          </w:p>
          <w:p w:rsidR="000F3935" w:rsidRDefault="000F3935" w:rsidP="007205C4">
            <w:pPr>
              <w:jc w:val="both"/>
              <w:cnfStyle w:val="000000100000" w:firstRow="0" w:lastRow="0" w:firstColumn="0" w:lastColumn="0" w:oddVBand="0" w:evenVBand="0" w:oddHBand="1" w:evenHBand="0" w:firstRowFirstColumn="0" w:firstRowLastColumn="0" w:lastRowFirstColumn="0" w:lastRowLastColumn="0"/>
              <w:rPr>
                <w:rStyle w:val="hps"/>
              </w:rPr>
            </w:pPr>
            <w:r w:rsidRPr="000F3935">
              <w:rPr>
                <w:b/>
                <w:color w:val="FFFFFF" w:themeColor="background1"/>
              </w:rPr>
              <w:t>Гаранция -</w:t>
            </w:r>
            <w:r>
              <w:rPr>
                <w:b/>
                <w:color w:val="808080"/>
              </w:rPr>
              <w:t xml:space="preserve"> </w:t>
            </w:r>
            <w:r>
              <w:rPr>
                <w:rStyle w:val="hps"/>
              </w:rPr>
              <w:t>Привлича</w:t>
            </w:r>
            <w:r>
              <w:t xml:space="preserve"> </w:t>
            </w:r>
            <w:r>
              <w:rPr>
                <w:rStyle w:val="hps"/>
              </w:rPr>
              <w:t>капитал чрез</w:t>
            </w:r>
            <w:r>
              <w:t xml:space="preserve"> </w:t>
            </w:r>
            <w:r>
              <w:rPr>
                <w:rStyle w:val="hps"/>
              </w:rPr>
              <w:t>дълг</w:t>
            </w:r>
            <w:r>
              <w:t xml:space="preserve"> </w:t>
            </w:r>
            <w:r>
              <w:rPr>
                <w:rStyle w:val="hps"/>
              </w:rPr>
              <w:t>при условия, които</w:t>
            </w:r>
            <w:r>
              <w:t xml:space="preserve"> </w:t>
            </w:r>
            <w:r>
              <w:rPr>
                <w:rStyle w:val="hps"/>
              </w:rPr>
              <w:t>биха могли да гарантират</w:t>
            </w:r>
            <w:r>
              <w:t xml:space="preserve"> </w:t>
            </w:r>
            <w:r>
              <w:rPr>
                <w:rStyle w:val="hps"/>
              </w:rPr>
              <w:t>възможността за реализиране на</w:t>
            </w:r>
            <w:r>
              <w:t xml:space="preserve"> </w:t>
            </w:r>
            <w:r>
              <w:rPr>
                <w:rStyle w:val="hps"/>
              </w:rPr>
              <w:t>проекта.</w:t>
            </w:r>
            <w:r>
              <w:t xml:space="preserve"> </w:t>
            </w:r>
            <w:r>
              <w:rPr>
                <w:rStyle w:val="hps"/>
              </w:rPr>
              <w:t>Смекчава</w:t>
            </w:r>
            <w:r>
              <w:t xml:space="preserve"> </w:t>
            </w:r>
            <w:r>
              <w:rPr>
                <w:rStyle w:val="hps"/>
              </w:rPr>
              <w:t>или управлява</w:t>
            </w:r>
            <w:r>
              <w:t xml:space="preserve"> </w:t>
            </w:r>
            <w:r>
              <w:rPr>
                <w:rStyle w:val="hps"/>
              </w:rPr>
              <w:t>рискове. Подходящи при много на брой, но не много големи инвестиционни проекти.</w:t>
            </w:r>
          </w:p>
          <w:p w:rsidR="000F3935" w:rsidRPr="00285F12" w:rsidRDefault="000F3935" w:rsidP="007205C4">
            <w:pPr>
              <w:jc w:val="both"/>
              <w:cnfStyle w:val="000000100000" w:firstRow="0" w:lastRow="0" w:firstColumn="0" w:lastColumn="0" w:oddVBand="0" w:evenVBand="0" w:oddHBand="1" w:evenHBand="0" w:firstRowFirstColumn="0" w:firstRowLastColumn="0" w:lastRowFirstColumn="0" w:lastRowLastColumn="0"/>
              <w:rPr>
                <w:rStyle w:val="hps"/>
              </w:rPr>
            </w:pPr>
            <w:r w:rsidRPr="000F3935">
              <w:rPr>
                <w:b/>
                <w:color w:val="FFFFFF" w:themeColor="background1"/>
              </w:rPr>
              <w:t>Съфинансиране (коинвестиция) -</w:t>
            </w:r>
            <w:r>
              <w:rPr>
                <w:b/>
                <w:color w:val="808080"/>
              </w:rPr>
              <w:t xml:space="preserve"> </w:t>
            </w:r>
            <w:r w:rsidRPr="00285F12">
              <w:rPr>
                <w:rStyle w:val="hps"/>
              </w:rPr>
              <w:t>Подобрява условията за финансиране и привлича допълнителни ресурси.</w:t>
            </w:r>
          </w:p>
          <w:p w:rsidR="000F3935" w:rsidRDefault="000F3935" w:rsidP="007205C4">
            <w:pPr>
              <w:jc w:val="both"/>
              <w:cnfStyle w:val="000000100000" w:firstRow="0" w:lastRow="0" w:firstColumn="0" w:lastColumn="0" w:oddVBand="0" w:evenVBand="0" w:oddHBand="1" w:evenHBand="0" w:firstRowFirstColumn="0" w:firstRowLastColumn="0" w:lastRowFirstColumn="0" w:lastRowLastColumn="0"/>
              <w:rPr>
                <w:rStyle w:val="hps"/>
              </w:rPr>
            </w:pPr>
            <w:r w:rsidRPr="000F3935">
              <w:rPr>
                <w:b/>
                <w:color w:val="FFFFFF" w:themeColor="background1"/>
              </w:rPr>
              <w:t>Структура с холдингов фонд -</w:t>
            </w:r>
            <w:r>
              <w:rPr>
                <w:b/>
                <w:color w:val="808080"/>
              </w:rPr>
              <w:t xml:space="preserve"> </w:t>
            </w:r>
            <w:r>
              <w:rPr>
                <w:rStyle w:val="hps"/>
              </w:rPr>
              <w:t>специална структура за управление на множество фондове, която отговаря за управление на средствата, риска, за мониторинг и докладване изпълнението на инвестиционната стратегия от името на Управляващия орган. Позволява диверсификация на инвестициите и ефективен контрол.</w:t>
            </w:r>
          </w:p>
          <w:p w:rsidR="000F3935" w:rsidRDefault="000F3935" w:rsidP="007205C4">
            <w:pPr>
              <w:jc w:val="both"/>
              <w:cnfStyle w:val="000000100000" w:firstRow="0" w:lastRow="0" w:firstColumn="0" w:lastColumn="0" w:oddVBand="0" w:evenVBand="0" w:oddHBand="1" w:evenHBand="0" w:firstRowFirstColumn="0" w:firstRowLastColumn="0" w:lastRowFirstColumn="0" w:lastRowLastColumn="0"/>
            </w:pPr>
            <w:r w:rsidRPr="000F3935">
              <w:rPr>
                <w:b/>
                <w:color w:val="FFFFFF" w:themeColor="background1"/>
              </w:rPr>
              <w:t xml:space="preserve">Фонд Мениджър – </w:t>
            </w:r>
            <w:r w:rsidRPr="007F2DA9">
              <w:t>опит в управлението на финансови инструменти, капацитет да обслужва полу</w:t>
            </w:r>
            <w:r>
              <w:t xml:space="preserve">чателите на финансирането; предаване на опит и знания на УО; </w:t>
            </w:r>
          </w:p>
          <w:p w:rsidR="000F3935" w:rsidRPr="00AF2094" w:rsidRDefault="000F3935" w:rsidP="007205C4">
            <w:pPr>
              <w:jc w:val="both"/>
              <w:cnfStyle w:val="000000100000" w:firstRow="0" w:lastRow="0" w:firstColumn="0" w:lastColumn="0" w:oddVBand="0" w:evenVBand="0" w:oddHBand="1" w:evenHBand="0" w:firstRowFirstColumn="0" w:firstRowLastColumn="0" w:lastRowFirstColumn="0" w:lastRowLastColumn="0"/>
            </w:pPr>
          </w:p>
        </w:tc>
        <w:tc>
          <w:tcPr>
            <w:tcW w:w="8056" w:type="dxa"/>
          </w:tcPr>
          <w:p w:rsidR="000F3935" w:rsidRDefault="000F3935" w:rsidP="007205C4">
            <w:pPr>
              <w:cnfStyle w:val="000000100000" w:firstRow="0" w:lastRow="0" w:firstColumn="0" w:lastColumn="0" w:oddVBand="0" w:evenVBand="0" w:oddHBand="1" w:evenHBand="0" w:firstRowFirstColumn="0" w:firstRowLastColumn="0" w:lastRowFirstColumn="0" w:lastRowLastColumn="0"/>
              <w:rPr>
                <w:b/>
                <w:color w:val="17365D"/>
              </w:rPr>
            </w:pPr>
            <w:r w:rsidRPr="005C1EF1">
              <w:rPr>
                <w:b/>
                <w:color w:val="17365D"/>
              </w:rPr>
              <w:t>Възможности</w:t>
            </w:r>
          </w:p>
          <w:p w:rsidR="000F3935" w:rsidRPr="002D3117" w:rsidRDefault="000F3935" w:rsidP="007205C4">
            <w:pPr>
              <w:jc w:val="both"/>
              <w:cnfStyle w:val="000000100000" w:firstRow="0" w:lastRow="0" w:firstColumn="0" w:lastColumn="0" w:oddVBand="0" w:evenVBand="0" w:oddHBand="1" w:evenHBand="0" w:firstRowFirstColumn="0" w:firstRowLastColumn="0" w:lastRowFirstColumn="0" w:lastRowLastColumn="0"/>
              <w:rPr>
                <w:rStyle w:val="hps"/>
              </w:rPr>
            </w:pPr>
            <w:r w:rsidRPr="000F3935">
              <w:rPr>
                <w:b/>
                <w:color w:val="FFFFFF" w:themeColor="background1"/>
              </w:rPr>
              <w:t>Заем –</w:t>
            </w:r>
            <w:r>
              <w:rPr>
                <w:b/>
                <w:color w:val="808080"/>
              </w:rPr>
              <w:t xml:space="preserve"> </w:t>
            </w:r>
            <w:r w:rsidRPr="002D3117">
              <w:rPr>
                <w:rStyle w:val="hps"/>
              </w:rPr>
              <w:t>възможност за използване на част от средства от ЕСИФ по ОП Околна среда 2014-2020</w:t>
            </w:r>
            <w:r w:rsidR="00F65D89">
              <w:rPr>
                <w:rStyle w:val="hps"/>
              </w:rPr>
              <w:t xml:space="preserve"> </w:t>
            </w:r>
            <w:r w:rsidRPr="002D3117">
              <w:rPr>
                <w:rStyle w:val="hps"/>
              </w:rPr>
              <w:t>г.</w:t>
            </w:r>
            <w:r>
              <w:rPr>
                <w:rStyle w:val="hps"/>
              </w:rPr>
              <w:t xml:space="preserve"> Има възможност за комбиниране на БФП с финансови инструменти.</w:t>
            </w:r>
          </w:p>
          <w:p w:rsidR="000F3935" w:rsidRDefault="000F3935" w:rsidP="007205C4">
            <w:pPr>
              <w:jc w:val="both"/>
              <w:cnfStyle w:val="000000100000" w:firstRow="0" w:lastRow="0" w:firstColumn="0" w:lastColumn="0" w:oddVBand="0" w:evenVBand="0" w:oddHBand="1" w:evenHBand="0" w:firstRowFirstColumn="0" w:firstRowLastColumn="0" w:lastRowFirstColumn="0" w:lastRowLastColumn="0"/>
              <w:rPr>
                <w:rStyle w:val="hps"/>
              </w:rPr>
            </w:pPr>
            <w:r w:rsidRPr="000F3935">
              <w:rPr>
                <w:b/>
                <w:color w:val="FFFFFF" w:themeColor="background1"/>
              </w:rPr>
              <w:t>Гаранция –</w:t>
            </w:r>
            <w:r>
              <w:rPr>
                <w:b/>
                <w:color w:val="808080"/>
              </w:rPr>
              <w:t xml:space="preserve"> </w:t>
            </w:r>
            <w:r w:rsidRPr="00DF3F2A">
              <w:rPr>
                <w:rStyle w:val="hps"/>
              </w:rPr>
              <w:t>Международните финансови институции могат да изда</w:t>
            </w:r>
            <w:r>
              <w:rPr>
                <w:rStyle w:val="hps"/>
              </w:rPr>
              <w:t>д</w:t>
            </w:r>
            <w:r w:rsidRPr="00DF3F2A">
              <w:rPr>
                <w:rStyle w:val="hps"/>
              </w:rPr>
              <w:t xml:space="preserve">ат гаранции на банките-партньори в България за </w:t>
            </w:r>
            <w:r>
              <w:rPr>
                <w:rStyle w:val="hps"/>
              </w:rPr>
              <w:t>ф</w:t>
            </w:r>
            <w:r w:rsidRPr="00DF3F2A">
              <w:rPr>
                <w:rStyle w:val="hps"/>
              </w:rPr>
              <w:t>инансиране на инвестиции в сектор ВиК и отпадъци.</w:t>
            </w:r>
            <w:r>
              <w:rPr>
                <w:rStyle w:val="hps"/>
              </w:rPr>
              <w:t xml:space="preserve"> Банките на българския пазар потвърждават интерес в прилагането на гаранционна схема, която от една страна покрива риска им, а от друга им позволява да ползват собствените си средства. Възможност да се ползват и за по-големи инвестиции, каквито са проектите във ВиК сектора, тъй като ликвидността на търговските банки в момента е добра.</w:t>
            </w:r>
          </w:p>
          <w:p w:rsidR="000F3935" w:rsidRPr="00CC1BA9" w:rsidRDefault="000F3935" w:rsidP="007205C4">
            <w:pPr>
              <w:jc w:val="both"/>
              <w:cnfStyle w:val="000000100000" w:firstRow="0" w:lastRow="0" w:firstColumn="0" w:lastColumn="0" w:oddVBand="0" w:evenVBand="0" w:oddHBand="1" w:evenHBand="0" w:firstRowFirstColumn="0" w:firstRowLastColumn="0" w:lastRowFirstColumn="0" w:lastRowLastColumn="0"/>
            </w:pPr>
            <w:r w:rsidRPr="000F3935">
              <w:rPr>
                <w:b/>
                <w:color w:val="FFFFFF" w:themeColor="background1"/>
              </w:rPr>
              <w:t>Съфинансиране –</w:t>
            </w:r>
            <w:r>
              <w:rPr>
                <w:b/>
                <w:color w:val="808080"/>
              </w:rPr>
              <w:t xml:space="preserve"> </w:t>
            </w:r>
            <w:r w:rsidRPr="00CC1BA9">
              <w:t>има възможност средствата от ЕСИФ да се ползват като подчинен капитал или капитал за покриване на първите загуби, за да имат стимул международните финансови институции да предоставят финансиране във фонда.</w:t>
            </w:r>
          </w:p>
          <w:p w:rsidR="000F3935" w:rsidRPr="0005254F" w:rsidRDefault="000F3935" w:rsidP="007205C4">
            <w:pPr>
              <w:jc w:val="both"/>
              <w:cnfStyle w:val="000000100000" w:firstRow="0" w:lastRow="0" w:firstColumn="0" w:lastColumn="0" w:oddVBand="0" w:evenVBand="0" w:oddHBand="1" w:evenHBand="0" w:firstRowFirstColumn="0" w:firstRowLastColumn="0" w:lastRowFirstColumn="0" w:lastRowLastColumn="0"/>
            </w:pPr>
            <w:r w:rsidRPr="000F3935">
              <w:rPr>
                <w:b/>
                <w:color w:val="FFFFFF" w:themeColor="background1"/>
              </w:rPr>
              <w:t>Структура с холдингов фонд –</w:t>
            </w:r>
            <w:r>
              <w:rPr>
                <w:b/>
                <w:color w:val="808080"/>
              </w:rPr>
              <w:t xml:space="preserve"> </w:t>
            </w:r>
            <w:r w:rsidRPr="0005254F">
              <w:t>възможност да предоставя техническа помощ на УО в придобиване на умения за директно управление на фонд</w:t>
            </w:r>
            <w:r>
              <w:t>, както и да облекчи работата на УО в докладването.</w:t>
            </w:r>
          </w:p>
          <w:p w:rsidR="000F3935" w:rsidRPr="005C1EF1" w:rsidRDefault="000F3935" w:rsidP="000F3935">
            <w:pPr>
              <w:jc w:val="both"/>
              <w:cnfStyle w:val="000000100000" w:firstRow="0" w:lastRow="0" w:firstColumn="0" w:lastColumn="0" w:oddVBand="0" w:evenVBand="0" w:oddHBand="1" w:evenHBand="0" w:firstRowFirstColumn="0" w:firstRowLastColumn="0" w:lastRowFirstColumn="0" w:lastRowLastColumn="0"/>
              <w:rPr>
                <w:b/>
                <w:color w:val="17365D"/>
              </w:rPr>
            </w:pPr>
            <w:r w:rsidRPr="000F3935">
              <w:rPr>
                <w:b/>
                <w:color w:val="FFFFFF" w:themeColor="background1"/>
              </w:rPr>
              <w:t>Фонд Мениджър –</w:t>
            </w:r>
            <w:r>
              <w:rPr>
                <w:b/>
                <w:color w:val="808080"/>
              </w:rPr>
              <w:t xml:space="preserve"> </w:t>
            </w:r>
            <w:r w:rsidRPr="004C0A23">
              <w:t>възможност фондът да бъде поверен на ЕИБ, на международна финансова институция, в която България има дял или на</w:t>
            </w:r>
            <w:r>
              <w:t xml:space="preserve"> друга</w:t>
            </w:r>
            <w:r w:rsidRPr="004C0A23">
              <w:t xml:space="preserve"> институция, която работи в публичен интерес на територията на страната и която е под контрола на публичен орган</w:t>
            </w:r>
            <w:r>
              <w:t xml:space="preserve"> (съществуващи фондове, ББР, НГФ, ФЛАГ, ПУДООС)</w:t>
            </w:r>
            <w:r w:rsidRPr="004C0A23">
              <w:t>, или на друга институция, създадена по правилата на частното или публичното право, чрез процедура за избор, както и да бъде поет от УО.</w:t>
            </w:r>
            <w:r>
              <w:t xml:space="preserve"> Има възможност фонд мениджърът да предостави допълнително финансиране в резултат от изискване при избора му.</w:t>
            </w:r>
          </w:p>
        </w:tc>
      </w:tr>
      <w:tr w:rsidR="000F3935" w:rsidRPr="005A230C" w:rsidTr="000F3935">
        <w:trPr>
          <w:trHeight w:val="1754"/>
        </w:trPr>
        <w:tc>
          <w:tcPr>
            <w:cnfStyle w:val="001000000000" w:firstRow="0" w:lastRow="0" w:firstColumn="1" w:lastColumn="0" w:oddVBand="0" w:evenVBand="0" w:oddHBand="0" w:evenHBand="0" w:firstRowFirstColumn="0" w:firstRowLastColumn="0" w:lastRowFirstColumn="0" w:lastRowLastColumn="0"/>
            <w:tcW w:w="680" w:type="dxa"/>
            <w:textDirection w:val="btLr"/>
          </w:tcPr>
          <w:p w:rsidR="000F3935" w:rsidRPr="00BC4527" w:rsidRDefault="000F3935" w:rsidP="007205C4">
            <w:pPr>
              <w:ind w:left="113"/>
              <w:rPr>
                <w:b/>
              </w:rPr>
            </w:pPr>
            <w:r w:rsidRPr="00BC4527">
              <w:rPr>
                <w:b/>
              </w:rPr>
              <w:lastRenderedPageBreak/>
              <w:t>Отрицателни</w:t>
            </w:r>
          </w:p>
        </w:tc>
        <w:tc>
          <w:tcPr>
            <w:tcW w:w="5973" w:type="dxa"/>
            <w:shd w:val="clear" w:color="auto" w:fill="8EAADB" w:themeFill="accent5" w:themeFillTint="99"/>
          </w:tcPr>
          <w:p w:rsidR="000F3935" w:rsidRDefault="000F3935" w:rsidP="007205C4">
            <w:pPr>
              <w:cnfStyle w:val="000000000000" w:firstRow="0" w:lastRow="0" w:firstColumn="0" w:lastColumn="0" w:oddVBand="0" w:evenVBand="0" w:oddHBand="0" w:evenHBand="0" w:firstRowFirstColumn="0" w:firstRowLastColumn="0" w:lastRowFirstColumn="0" w:lastRowLastColumn="0"/>
              <w:rPr>
                <w:b/>
                <w:color w:val="17365D"/>
              </w:rPr>
            </w:pPr>
            <w:r w:rsidRPr="005C1EF1">
              <w:rPr>
                <w:b/>
                <w:color w:val="17365D"/>
              </w:rPr>
              <w:t>Слаби страни</w:t>
            </w:r>
          </w:p>
          <w:p w:rsidR="000F3935" w:rsidRPr="00C637BD"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0F3935">
              <w:rPr>
                <w:b/>
                <w:color w:val="FFFFFF" w:themeColor="background1"/>
              </w:rPr>
              <w:t>Заеми -</w:t>
            </w:r>
            <w:r>
              <w:rPr>
                <w:b/>
                <w:color w:val="808080"/>
              </w:rPr>
              <w:t xml:space="preserve"> </w:t>
            </w:r>
            <w:r w:rsidRPr="00C637BD">
              <w:rPr>
                <w:rStyle w:val="hps"/>
              </w:rPr>
              <w:t>При отпускане на средства, обвързани с изпълнението, е трудно да се определя</w:t>
            </w:r>
            <w:r>
              <w:rPr>
                <w:rStyle w:val="hps"/>
              </w:rPr>
              <w:t>т ключовите моменти</w:t>
            </w:r>
            <w:r w:rsidRPr="00C637BD">
              <w:rPr>
                <w:rStyle w:val="hps"/>
              </w:rPr>
              <w:t xml:space="preserve"> за отпускане на средства.</w:t>
            </w:r>
          </w:p>
          <w:p w:rsidR="000F3935" w:rsidRPr="00877D75"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0F3935">
              <w:rPr>
                <w:b/>
                <w:color w:val="FFFFFF" w:themeColor="background1"/>
              </w:rPr>
              <w:t>Гаранции -</w:t>
            </w:r>
            <w:r>
              <w:rPr>
                <w:b/>
                <w:color w:val="808080"/>
              </w:rPr>
              <w:t xml:space="preserve"> </w:t>
            </w:r>
            <w:r w:rsidRPr="00877D75">
              <w:rPr>
                <w:rStyle w:val="hps"/>
              </w:rPr>
              <w:t>Трудно е риск</w:t>
            </w:r>
            <w:r>
              <w:rPr>
                <w:rStyle w:val="hps"/>
              </w:rPr>
              <w:t xml:space="preserve">ът да се определи количествено и в международните финансови институции квотата за финансиране на гаранции е същата както при заеми. </w:t>
            </w:r>
          </w:p>
          <w:p w:rsidR="000F3935" w:rsidRPr="00171874"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0F3935">
              <w:rPr>
                <w:b/>
                <w:color w:val="FFFFFF" w:themeColor="background1"/>
              </w:rPr>
              <w:t>Холдингов фонд –</w:t>
            </w:r>
            <w:r>
              <w:rPr>
                <w:b/>
                <w:color w:val="808080"/>
              </w:rPr>
              <w:t xml:space="preserve"> </w:t>
            </w:r>
            <w:r w:rsidRPr="00171874">
              <w:rPr>
                <w:rStyle w:val="hps"/>
              </w:rPr>
              <w:t>Холдингов фонд не е нужен, когато вече има готови структури, които УО да използва за отпускане на финансови инструменти</w:t>
            </w:r>
            <w:r>
              <w:rPr>
                <w:rStyle w:val="hps"/>
              </w:rPr>
              <w:t xml:space="preserve"> или когато ще се ползва само един вид финансов инструмент за един тип инвестиция с ясни цели и структура на инвестицията. Създава допълнително ниво на мониторинг и контрол, които може да се окажат тежки и скъпи.</w:t>
            </w:r>
          </w:p>
          <w:p w:rsidR="000F3935"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0F3935">
              <w:rPr>
                <w:b/>
                <w:color w:val="FFFFFF" w:themeColor="background1"/>
              </w:rPr>
              <w:t>Фонд мениджър –</w:t>
            </w:r>
            <w:r>
              <w:rPr>
                <w:b/>
                <w:color w:val="17365D"/>
              </w:rPr>
              <w:t xml:space="preserve"> </w:t>
            </w:r>
            <w:r w:rsidRPr="00844301">
              <w:rPr>
                <w:rStyle w:val="hps"/>
              </w:rPr>
              <w:t xml:space="preserve">ако </w:t>
            </w:r>
            <w:r>
              <w:rPr>
                <w:rStyle w:val="hps"/>
              </w:rPr>
              <w:t>не участва със собствени средства, а само управлява средствата, може да не е достатъчно заинтересован и да не упражнява ефективен контрол.</w:t>
            </w:r>
          </w:p>
          <w:p w:rsidR="000F3935" w:rsidRPr="005C1EF1" w:rsidRDefault="000F3935" w:rsidP="007205C4">
            <w:pPr>
              <w:jc w:val="both"/>
              <w:cnfStyle w:val="000000000000" w:firstRow="0" w:lastRow="0" w:firstColumn="0" w:lastColumn="0" w:oddVBand="0" w:evenVBand="0" w:oddHBand="0" w:evenHBand="0" w:firstRowFirstColumn="0" w:firstRowLastColumn="0" w:lastRowFirstColumn="0" w:lastRowLastColumn="0"/>
              <w:rPr>
                <w:b/>
                <w:color w:val="17365D"/>
              </w:rPr>
            </w:pPr>
          </w:p>
        </w:tc>
        <w:tc>
          <w:tcPr>
            <w:tcW w:w="8056" w:type="dxa"/>
            <w:shd w:val="clear" w:color="auto" w:fill="8EAADB" w:themeFill="accent5" w:themeFillTint="99"/>
          </w:tcPr>
          <w:p w:rsidR="000F3935" w:rsidRDefault="000F3935" w:rsidP="007205C4">
            <w:pPr>
              <w:cnfStyle w:val="000000000000" w:firstRow="0" w:lastRow="0" w:firstColumn="0" w:lastColumn="0" w:oddVBand="0" w:evenVBand="0" w:oddHBand="0" w:evenHBand="0" w:firstRowFirstColumn="0" w:firstRowLastColumn="0" w:lastRowFirstColumn="0" w:lastRowLastColumn="0"/>
              <w:rPr>
                <w:b/>
                <w:color w:val="17365D"/>
              </w:rPr>
            </w:pPr>
            <w:r w:rsidRPr="005C1EF1">
              <w:rPr>
                <w:b/>
                <w:color w:val="17365D"/>
              </w:rPr>
              <w:t>Опасности</w:t>
            </w:r>
          </w:p>
          <w:p w:rsidR="000F3935" w:rsidRPr="009F7105"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9F7105">
              <w:rPr>
                <w:rStyle w:val="hps"/>
              </w:rPr>
              <w:t xml:space="preserve">Опасност от </w:t>
            </w:r>
            <w:r w:rsidR="00F65D89">
              <w:rPr>
                <w:rStyle w:val="hps"/>
              </w:rPr>
              <w:t>„</w:t>
            </w:r>
            <w:r w:rsidRPr="009F7105">
              <w:rPr>
                <w:rStyle w:val="hps"/>
              </w:rPr>
              <w:t>наводняване</w:t>
            </w:r>
            <w:r w:rsidR="00F65D89">
              <w:rPr>
                <w:rStyle w:val="hps"/>
              </w:rPr>
              <w:t>”</w:t>
            </w:r>
            <w:r w:rsidRPr="009F7105">
              <w:rPr>
                <w:rStyle w:val="hps"/>
              </w:rPr>
              <w:t xml:space="preserve"> на пазара с финансови инструменти</w:t>
            </w:r>
            <w:r>
              <w:rPr>
                <w:rStyle w:val="hps"/>
              </w:rPr>
              <w:t xml:space="preserve"> като цяло, което да доведе до липса на търсене. Опасност от липса на търсене на финансовите инструменти, поради липса на опит у крайните получатели или поради предпочитане на БФП</w:t>
            </w:r>
            <w:r w:rsidR="00F65D89">
              <w:rPr>
                <w:rStyle w:val="hps"/>
              </w:rPr>
              <w:t xml:space="preserve"> </w:t>
            </w:r>
            <w:r>
              <w:rPr>
                <w:rStyle w:val="hps"/>
              </w:rPr>
              <w:t>/конкуренция между БФП и ФИ/</w:t>
            </w:r>
          </w:p>
          <w:p w:rsidR="00F65D89"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0F3935">
              <w:rPr>
                <w:b/>
                <w:color w:val="FFFFFF" w:themeColor="background1"/>
              </w:rPr>
              <w:t>Заеми –</w:t>
            </w:r>
            <w:r>
              <w:rPr>
                <w:b/>
                <w:color w:val="808080"/>
              </w:rPr>
              <w:t xml:space="preserve"> </w:t>
            </w:r>
            <w:r>
              <w:rPr>
                <w:rStyle w:val="hps"/>
              </w:rPr>
              <w:t>трудности при упражняване на контрол върху изпълнение на задълженията от страна на крайния получател; липса на интерес от банките при добра ликвидност</w:t>
            </w:r>
            <w:r w:rsidR="00F65D89">
              <w:rPr>
                <w:rStyle w:val="hps"/>
              </w:rPr>
              <w:t>.</w:t>
            </w:r>
          </w:p>
          <w:p w:rsidR="000F3935"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0F3935">
              <w:rPr>
                <w:b/>
                <w:color w:val="FFFFFF" w:themeColor="background1"/>
              </w:rPr>
              <w:t>Гаранции -</w:t>
            </w:r>
            <w:r>
              <w:rPr>
                <w:rStyle w:val="hps"/>
              </w:rPr>
              <w:t xml:space="preserve"> обемът на заемите към крайните получатели във ВиК сектора може да не е по силите на всички банки в България, т.е. да не могат да отпуснат собствени средства само срещу гаранция.</w:t>
            </w:r>
          </w:p>
          <w:p w:rsidR="000F3935" w:rsidRPr="00697BB3"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0F3935">
              <w:rPr>
                <w:b/>
                <w:color w:val="FFFFFF" w:themeColor="background1"/>
              </w:rPr>
              <w:t>Холдингов фонд –</w:t>
            </w:r>
            <w:r>
              <w:rPr>
                <w:b/>
                <w:color w:val="808080"/>
              </w:rPr>
              <w:t xml:space="preserve"> </w:t>
            </w:r>
            <w:r w:rsidRPr="00697BB3">
              <w:rPr>
                <w:rStyle w:val="hps"/>
              </w:rPr>
              <w:t>създаването на холдингов фонд може да отнеме много повече време от създаването на директен фонд, поради сложността на структурата.</w:t>
            </w:r>
          </w:p>
          <w:p w:rsidR="000F3935" w:rsidRPr="00667C12" w:rsidRDefault="000F3935" w:rsidP="007205C4">
            <w:pPr>
              <w:jc w:val="both"/>
              <w:cnfStyle w:val="000000000000" w:firstRow="0" w:lastRow="0" w:firstColumn="0" w:lastColumn="0" w:oddVBand="0" w:evenVBand="0" w:oddHBand="0" w:evenHBand="0" w:firstRowFirstColumn="0" w:firstRowLastColumn="0" w:lastRowFirstColumn="0" w:lastRowLastColumn="0"/>
              <w:rPr>
                <w:rStyle w:val="hps"/>
              </w:rPr>
            </w:pPr>
            <w:r w:rsidRPr="000F3935">
              <w:rPr>
                <w:b/>
                <w:color w:val="FFFFFF" w:themeColor="background1"/>
              </w:rPr>
              <w:t>Фонд Мениджър –</w:t>
            </w:r>
            <w:r>
              <w:rPr>
                <w:b/>
                <w:color w:val="808080"/>
              </w:rPr>
              <w:t xml:space="preserve"> </w:t>
            </w:r>
            <w:r w:rsidRPr="00667C12">
              <w:rPr>
                <w:rStyle w:val="hps"/>
              </w:rPr>
              <w:t>пропуски при избора на Фонд мениджър да бъдат оценени капацитет</w:t>
            </w:r>
            <w:r>
              <w:rPr>
                <w:rStyle w:val="hps"/>
              </w:rPr>
              <w:t>ът</w:t>
            </w:r>
            <w:r w:rsidRPr="00667C12">
              <w:rPr>
                <w:rStyle w:val="hps"/>
              </w:rPr>
              <w:t xml:space="preserve"> и финансовото му състояние, могат да доведат до </w:t>
            </w:r>
            <w:r>
              <w:rPr>
                <w:rStyle w:val="hps"/>
              </w:rPr>
              <w:t>провал на стратегията за прилагане на финансовия инструмент. Когато срокът на управление от избрания фонд мениджър е по-къс или много по-къс от срока на действие на фонда, има опасност от прекъсване на процеса на отпускане на финансови инструменти при назначаване на нов фонд мениджър, както и периода на прехвърляне на документите от стария към новия фонд мениджър.</w:t>
            </w:r>
          </w:p>
          <w:p w:rsidR="000F3935" w:rsidRPr="005C1EF1" w:rsidRDefault="000F3935" w:rsidP="007205C4">
            <w:pPr>
              <w:cnfStyle w:val="000000000000" w:firstRow="0" w:lastRow="0" w:firstColumn="0" w:lastColumn="0" w:oddVBand="0" w:evenVBand="0" w:oddHBand="0" w:evenHBand="0" w:firstRowFirstColumn="0" w:firstRowLastColumn="0" w:lastRowFirstColumn="0" w:lastRowLastColumn="0"/>
              <w:rPr>
                <w:b/>
                <w:color w:val="17365D"/>
              </w:rPr>
            </w:pPr>
          </w:p>
        </w:tc>
      </w:tr>
    </w:tbl>
    <w:p w:rsidR="000F3935" w:rsidRPr="000F3935" w:rsidRDefault="000F3935" w:rsidP="00877C94">
      <w:pPr>
        <w:rPr>
          <w:rFonts w:cs="Times New Roman"/>
        </w:rPr>
        <w:sectPr w:rsidR="000F3935" w:rsidRPr="000F3935" w:rsidSect="00CB3481">
          <w:pgSz w:w="16838" w:h="11906" w:orient="landscape"/>
          <w:pgMar w:top="8" w:right="1559" w:bottom="284" w:left="851" w:header="0" w:footer="96" w:gutter="0"/>
          <w:cols w:space="708"/>
          <w:titlePg/>
          <w:docGrid w:linePitch="360"/>
        </w:sectPr>
      </w:pPr>
    </w:p>
    <w:p w:rsidR="00877C94" w:rsidRPr="002E2656" w:rsidRDefault="00877C94" w:rsidP="00877C94">
      <w:pPr>
        <w:rPr>
          <w:rFonts w:cs="Times New Roman"/>
          <w:b/>
        </w:rPr>
      </w:pPr>
      <w:r w:rsidRPr="002E2656">
        <w:rPr>
          <w:rFonts w:cs="Times New Roman"/>
          <w:b/>
        </w:rPr>
        <w:lastRenderedPageBreak/>
        <w:t xml:space="preserve">ИЗВОДИ НА БАЗА </w:t>
      </w:r>
      <w:r w:rsidRPr="002E2656">
        <w:rPr>
          <w:rFonts w:cs="Times New Roman"/>
          <w:b/>
          <w:lang w:val="en-US"/>
        </w:rPr>
        <w:t xml:space="preserve">SWOT </w:t>
      </w:r>
      <w:r w:rsidR="00BC4527">
        <w:rPr>
          <w:rFonts w:cs="Times New Roman"/>
          <w:b/>
        </w:rPr>
        <w:t>АНАЛИЗ</w:t>
      </w:r>
      <w:r w:rsidR="00390277">
        <w:rPr>
          <w:rFonts w:cs="Times New Roman"/>
          <w:b/>
        </w:rPr>
        <w:t>А</w:t>
      </w:r>
    </w:p>
    <w:p w:rsidR="00877C94" w:rsidRDefault="00877C94" w:rsidP="00125A7F">
      <w:pPr>
        <w:jc w:val="both"/>
        <w:rPr>
          <w:rFonts w:cs="Times New Roman"/>
        </w:rPr>
      </w:pPr>
      <w:r>
        <w:rPr>
          <w:rFonts w:cs="Times New Roman"/>
        </w:rPr>
        <w:t>На база направените анализи на пазара, включително изследване мнението на заинтересованите страни УО може да използва следните силни страни на вариантите за финансови инструменти и тяхното структуриране, за да</w:t>
      </w:r>
      <w:r w:rsidR="00911089">
        <w:rPr>
          <w:rFonts w:cs="Times New Roman"/>
        </w:rPr>
        <w:t xml:space="preserve"> се</w:t>
      </w:r>
      <w:r>
        <w:rPr>
          <w:rFonts w:cs="Times New Roman"/>
        </w:rPr>
        <w:t xml:space="preserve"> намали въздействието на слабите страни и опасностите, които носи външната среда:</w:t>
      </w:r>
    </w:p>
    <w:p w:rsidR="00877C94" w:rsidRDefault="00877C94" w:rsidP="001A036E">
      <w:pPr>
        <w:numPr>
          <w:ilvl w:val="1"/>
          <w:numId w:val="142"/>
        </w:numPr>
        <w:ind w:left="567"/>
        <w:jc w:val="both"/>
        <w:rPr>
          <w:rFonts w:cs="Times New Roman"/>
        </w:rPr>
      </w:pPr>
      <w:r>
        <w:rPr>
          <w:rFonts w:cs="Times New Roman"/>
        </w:rPr>
        <w:t>Средствата от ЕСИФ да бъдат използвани за подчинен капитал и покриване на първите загуби с цел привличане на средства от международни финансови институции и повишаване ефекта от инвестициите.</w:t>
      </w:r>
    </w:p>
    <w:p w:rsidR="00877C94" w:rsidRDefault="00877C94" w:rsidP="001A036E">
      <w:pPr>
        <w:numPr>
          <w:ilvl w:val="1"/>
          <w:numId w:val="142"/>
        </w:numPr>
        <w:ind w:left="567"/>
        <w:jc w:val="both"/>
        <w:rPr>
          <w:rFonts w:cs="Times New Roman"/>
        </w:rPr>
      </w:pPr>
      <w:r>
        <w:rPr>
          <w:rFonts w:cs="Times New Roman"/>
        </w:rPr>
        <w:t>Да бъде взето решение за прилагане на инструментите заем</w:t>
      </w:r>
      <w:r w:rsidR="00911089">
        <w:rPr>
          <w:rFonts w:cs="Times New Roman"/>
        </w:rPr>
        <w:t>и</w:t>
      </w:r>
      <w:r>
        <w:rPr>
          <w:rFonts w:cs="Times New Roman"/>
        </w:rPr>
        <w:t xml:space="preserve"> /он-лендинг и гаранции за привличане на допълнителни средства от банките в България в двата сектора, според изчислената в настоящия доклад добавена стойност. Предвид индикативните бюджети на проектите </w:t>
      </w:r>
      <w:r w:rsidR="00F65D89">
        <w:rPr>
          <w:rFonts w:cs="Times New Roman"/>
        </w:rPr>
        <w:t>в секторите Води и Отпадъци</w:t>
      </w:r>
      <w:r>
        <w:rPr>
          <w:rFonts w:cs="Times New Roman"/>
        </w:rPr>
        <w:t xml:space="preserve">, в сектор ВиК да бъдат приложени инструментите заеми и/или гаранции за банките партньори, а в сектор отпадъци – гаранции за банките партньори, които да отпускат заеми на крайните получатели. </w:t>
      </w:r>
    </w:p>
    <w:p w:rsidR="00877C94" w:rsidRDefault="00877C94" w:rsidP="001A036E">
      <w:pPr>
        <w:numPr>
          <w:ilvl w:val="1"/>
          <w:numId w:val="142"/>
        </w:numPr>
        <w:ind w:left="567"/>
        <w:jc w:val="both"/>
        <w:rPr>
          <w:rFonts w:cs="Times New Roman"/>
        </w:rPr>
      </w:pPr>
      <w:r>
        <w:rPr>
          <w:rFonts w:cs="Times New Roman"/>
        </w:rPr>
        <w:t>Да бъде използвана възможността за комбиниране на финансовия инструмент с БФП с цел премахване на опасността от конкуренция между БФП и ФИ, чрез използване на финансовия инструмент за допълване на собствения принос от страна на бенефициента по програмата.</w:t>
      </w:r>
    </w:p>
    <w:p w:rsidR="00877C94" w:rsidRDefault="00911089" w:rsidP="001A036E">
      <w:pPr>
        <w:numPr>
          <w:ilvl w:val="1"/>
          <w:numId w:val="142"/>
        </w:numPr>
        <w:ind w:left="567"/>
        <w:jc w:val="both"/>
        <w:rPr>
          <w:rFonts w:cs="Times New Roman"/>
        </w:rPr>
      </w:pPr>
      <w:r>
        <w:rPr>
          <w:rFonts w:cs="Times New Roman"/>
        </w:rPr>
        <w:t>Предвид липсата на опит в работата с финансови инструменти от страна на УО</w:t>
      </w:r>
      <w:r w:rsidR="00877C94">
        <w:rPr>
          <w:rFonts w:cs="Times New Roman"/>
        </w:rPr>
        <w:t>, трябва да бъде оценен капацитет</w:t>
      </w:r>
      <w:r>
        <w:rPr>
          <w:rFonts w:cs="Times New Roman"/>
        </w:rPr>
        <w:t>ът</w:t>
      </w:r>
      <w:r w:rsidR="00877C94">
        <w:rPr>
          <w:rFonts w:cs="Times New Roman"/>
        </w:rPr>
        <w:t xml:space="preserve"> на съществуващите структури и съществуващите фондове в страната, в това число дали институцията, финансираща съществуващ фонд би финансирала финансови инструменти в съответния сектор от съответния вид. Ако някоя от съществуващите структури може да поеме управлението на финансовите инструменти, ще се спести време. </w:t>
      </w:r>
    </w:p>
    <w:p w:rsidR="00877C94" w:rsidRDefault="00877C94" w:rsidP="001A036E">
      <w:pPr>
        <w:numPr>
          <w:ilvl w:val="1"/>
          <w:numId w:val="142"/>
        </w:numPr>
        <w:ind w:left="567"/>
        <w:jc w:val="both"/>
        <w:rPr>
          <w:rFonts w:cs="Times New Roman"/>
        </w:rPr>
      </w:pPr>
      <w:r>
        <w:rPr>
          <w:rFonts w:cs="Times New Roman"/>
        </w:rPr>
        <w:t>Ако бъде избрана опция за ползване на съществуваща структура, която не е финансова институция, работеща по законите в страната, следва да се организира избор на обслужваща банка, към която да бъде поставено изискването за допълнително финансиране на крайните получатели на финансиране.</w:t>
      </w:r>
    </w:p>
    <w:p w:rsidR="00877C94" w:rsidRDefault="006D1111" w:rsidP="001A036E">
      <w:pPr>
        <w:numPr>
          <w:ilvl w:val="1"/>
          <w:numId w:val="142"/>
        </w:numPr>
        <w:ind w:left="567"/>
        <w:jc w:val="both"/>
        <w:rPr>
          <w:rFonts w:cs="Times New Roman"/>
        </w:rPr>
      </w:pPr>
      <w:r>
        <w:rPr>
          <w:rFonts w:cs="Times New Roman"/>
        </w:rPr>
        <w:t>При</w:t>
      </w:r>
      <w:r w:rsidR="00877C94">
        <w:rPr>
          <w:rFonts w:cs="Times New Roman"/>
        </w:rPr>
        <w:t xml:space="preserve"> създаване на нов фонд</w:t>
      </w:r>
      <w:r>
        <w:rPr>
          <w:rFonts w:cs="Times New Roman"/>
        </w:rPr>
        <w:t xml:space="preserve"> </w:t>
      </w:r>
      <w:r w:rsidR="00877C94">
        <w:rPr>
          <w:rFonts w:cs="Times New Roman"/>
        </w:rPr>
        <w:t xml:space="preserve">следва да бъде избрана структура на управление – чрез холдингов фонд или в директен фонд. Това зависи най-вече от това дали </w:t>
      </w:r>
      <w:r w:rsidR="00F80B33">
        <w:rPr>
          <w:rFonts w:cs="Times New Roman"/>
        </w:rPr>
        <w:t>фондът ще управлява средствата по няколко оперативни програми</w:t>
      </w:r>
      <w:r w:rsidR="00877C94">
        <w:rPr>
          <w:rFonts w:cs="Times New Roman"/>
        </w:rPr>
        <w:t xml:space="preserve">, в който случай ще има смисъл </w:t>
      </w:r>
      <w:r w:rsidR="00F80B33">
        <w:rPr>
          <w:rFonts w:cs="Times New Roman"/>
        </w:rPr>
        <w:t>от холдингов фонд, или ще бъде фонд за управление на финансовите инструменти по ОПОС</w:t>
      </w:r>
      <w:r w:rsidR="00877C94">
        <w:rPr>
          <w:rFonts w:cs="Times New Roman"/>
        </w:rPr>
        <w:t>.</w:t>
      </w:r>
      <w:r w:rsidR="00345ABF">
        <w:rPr>
          <w:rFonts w:cs="Times New Roman"/>
        </w:rPr>
        <w:t xml:space="preserve"> Възможно е да бъдат направени два отделни фонда според вида финансови инструменти – фонд за съфинансиране на ВиК сектора</w:t>
      </w:r>
      <w:r w:rsidR="009C79E3">
        <w:rPr>
          <w:rFonts w:cs="Times New Roman"/>
        </w:rPr>
        <w:t xml:space="preserve"> и гаранционен фонд за гарантиране първите загуби в </w:t>
      </w:r>
      <w:r w:rsidR="00F65D89">
        <w:rPr>
          <w:rFonts w:cs="Times New Roman"/>
        </w:rPr>
        <w:t>сектор О</w:t>
      </w:r>
      <w:r w:rsidR="009C79E3">
        <w:rPr>
          <w:rFonts w:cs="Times New Roman"/>
        </w:rPr>
        <w:t xml:space="preserve">тпадъци. </w:t>
      </w:r>
    </w:p>
    <w:p w:rsidR="00877C94" w:rsidRPr="002E2656" w:rsidRDefault="00877C94" w:rsidP="001A036E">
      <w:pPr>
        <w:numPr>
          <w:ilvl w:val="1"/>
          <w:numId w:val="142"/>
        </w:numPr>
        <w:ind w:left="567"/>
        <w:jc w:val="both"/>
        <w:rPr>
          <w:rFonts w:cs="Times New Roman"/>
        </w:rPr>
      </w:pPr>
      <w:r>
        <w:rPr>
          <w:rFonts w:cs="Times New Roman"/>
        </w:rPr>
        <w:t xml:space="preserve">Изготвената в рамките на настоящия доклад стратегия следва да включва допускания, позволяващи преразглеждане на стратегията при промяна на външната среда, включително </w:t>
      </w:r>
      <w:r w:rsidR="00345ABF">
        <w:rPr>
          <w:rFonts w:cs="Times New Roman"/>
        </w:rPr>
        <w:t xml:space="preserve">промяна в </w:t>
      </w:r>
      <w:r>
        <w:rPr>
          <w:rFonts w:cs="Times New Roman"/>
        </w:rPr>
        <w:t>ликвидност</w:t>
      </w:r>
      <w:r w:rsidR="00345ABF">
        <w:rPr>
          <w:rFonts w:cs="Times New Roman"/>
        </w:rPr>
        <w:t>та</w:t>
      </w:r>
      <w:r>
        <w:rPr>
          <w:rFonts w:cs="Times New Roman"/>
        </w:rPr>
        <w:t xml:space="preserve"> на банките в България.</w:t>
      </w:r>
    </w:p>
    <w:p w:rsidR="003659C6" w:rsidRDefault="003659C6" w:rsidP="00181C9C">
      <w:pPr>
        <w:pStyle w:val="Heading2"/>
        <w:jc w:val="both"/>
        <w:rPr>
          <w:rFonts w:asciiTheme="minorHAnsi" w:hAnsiTheme="minorHAnsi" w:cs="Times New Roman"/>
        </w:rPr>
        <w:sectPr w:rsidR="003659C6" w:rsidSect="006E39EC">
          <w:pgSz w:w="11906" w:h="16838"/>
          <w:pgMar w:top="1417" w:right="1416" w:bottom="1417" w:left="1417" w:header="708" w:footer="105" w:gutter="0"/>
          <w:cols w:space="708"/>
          <w:titlePg/>
          <w:docGrid w:linePitch="360"/>
        </w:sectPr>
      </w:pPr>
    </w:p>
    <w:p w:rsidR="00946453" w:rsidRDefault="00946453" w:rsidP="00181C9C">
      <w:pPr>
        <w:pStyle w:val="Heading2"/>
        <w:jc w:val="both"/>
        <w:rPr>
          <w:rFonts w:asciiTheme="minorHAnsi" w:hAnsiTheme="minorHAnsi" w:cs="Times New Roman"/>
        </w:rPr>
      </w:pPr>
      <w:bookmarkStart w:id="185" w:name="_Toc399494572"/>
      <w:r w:rsidRPr="00C370EC">
        <w:rPr>
          <w:rFonts w:asciiTheme="minorHAnsi" w:hAnsiTheme="minorHAnsi" w:cs="Times New Roman"/>
        </w:rPr>
        <w:lastRenderedPageBreak/>
        <w:t xml:space="preserve">5.4. Мерки, които трябва да се приложат, за да се гарантира, че прилаганите финансови инструменти се използват за покриване на специфични нужди на пазара ефикасно, в съответствие с </w:t>
      </w:r>
      <w:r w:rsidRPr="0013525C">
        <w:rPr>
          <w:rFonts w:asciiTheme="minorHAnsi" w:hAnsiTheme="minorHAnsi" w:cs="Times New Roman"/>
        </w:rPr>
        <w:t xml:space="preserve">целите на </w:t>
      </w:r>
      <w:r w:rsidR="009C79E3">
        <w:rPr>
          <w:rFonts w:asciiTheme="minorHAnsi" w:hAnsiTheme="minorHAnsi" w:cs="Times New Roman"/>
        </w:rPr>
        <w:t>ОПОС</w:t>
      </w:r>
      <w:r w:rsidRPr="0013525C">
        <w:rPr>
          <w:rFonts w:asciiTheme="minorHAnsi" w:hAnsiTheme="minorHAnsi" w:cs="Times New Roman"/>
        </w:rPr>
        <w:t xml:space="preserve"> и без да ограничават частното финансиране (Методология за оценка на всяка процедура/покана по програмата, за да не се допусне нарушаване на принципите за защита на конкуренцията).</w:t>
      </w:r>
      <w:bookmarkEnd w:id="185"/>
    </w:p>
    <w:p w:rsidR="00972D3D" w:rsidRDefault="00972D3D" w:rsidP="00972D3D">
      <w:pPr>
        <w:spacing w:after="200" w:line="276" w:lineRule="auto"/>
        <w:jc w:val="both"/>
        <w:rPr>
          <w:rFonts w:ascii="Calibri" w:eastAsia="Calibri" w:hAnsi="Calibri" w:cs="Times New Roman"/>
        </w:rPr>
      </w:pPr>
    </w:p>
    <w:p w:rsidR="00972D3D" w:rsidRPr="00972D3D" w:rsidRDefault="00972D3D" w:rsidP="00972D3D">
      <w:pPr>
        <w:spacing w:after="200" w:line="276" w:lineRule="auto"/>
        <w:jc w:val="both"/>
        <w:rPr>
          <w:rFonts w:ascii="Calibri" w:eastAsia="Calibri" w:hAnsi="Calibri" w:cs="Times New Roman"/>
        </w:rPr>
      </w:pPr>
      <w:r w:rsidRPr="00972D3D">
        <w:rPr>
          <w:rFonts w:ascii="Calibri" w:eastAsia="Calibri" w:hAnsi="Calibri" w:cs="Times New Roman"/>
        </w:rPr>
        <w:t>Различните видове финансови инструменти трябва да бъдат прилагани единствено при спазване на правната рамка на Европейския съюз за оценка на съвместимостта на държавната подкрепа с правилата на конкуренцията и интегритета на общия пазар.</w:t>
      </w:r>
    </w:p>
    <w:p w:rsidR="00972D3D" w:rsidRPr="00972D3D" w:rsidRDefault="00972D3D" w:rsidP="00972D3D">
      <w:pPr>
        <w:spacing w:after="200" w:line="276" w:lineRule="auto"/>
        <w:jc w:val="both"/>
        <w:rPr>
          <w:rFonts w:ascii="Calibri" w:eastAsia="Calibri" w:hAnsi="Calibri" w:cs="Times New Roman"/>
          <w:u w:val="single"/>
        </w:rPr>
      </w:pPr>
      <w:r w:rsidRPr="00972D3D">
        <w:rPr>
          <w:rFonts w:ascii="Calibri" w:eastAsia="Calibri" w:hAnsi="Calibri" w:cs="Times New Roman"/>
        </w:rPr>
        <w:t xml:space="preserve">От гледна точка на практическо прилагане на правилата за държавните помощи при използването на финансовите инструменти УО (администраторът на помощта ) следва да обърне внимание върху </w:t>
      </w:r>
      <w:r w:rsidRPr="00972D3D">
        <w:rPr>
          <w:rFonts w:ascii="Calibri" w:eastAsia="Calibri" w:hAnsi="Calibri" w:cs="Times New Roman"/>
          <w:u w:val="single"/>
        </w:rPr>
        <w:t>следното:</w:t>
      </w:r>
    </w:p>
    <w:p w:rsidR="00972D3D" w:rsidRPr="00972D3D" w:rsidRDefault="00972D3D" w:rsidP="001A036E">
      <w:pPr>
        <w:numPr>
          <w:ilvl w:val="0"/>
          <w:numId w:val="44"/>
        </w:numPr>
        <w:spacing w:after="200" w:line="276" w:lineRule="auto"/>
        <w:jc w:val="both"/>
        <w:rPr>
          <w:rFonts w:ascii="Calibri" w:eastAsia="Calibri" w:hAnsi="Calibri" w:cs="Times New Roman"/>
        </w:rPr>
      </w:pPr>
      <w:r w:rsidRPr="00972D3D">
        <w:rPr>
          <w:rFonts w:ascii="Calibri" w:eastAsia="Calibri" w:hAnsi="Calibri" w:cs="Times New Roman"/>
        </w:rPr>
        <w:t>Възможно ли</w:t>
      </w:r>
      <w:r w:rsidR="00B83E87">
        <w:rPr>
          <w:rFonts w:ascii="Calibri" w:eastAsia="Calibri" w:hAnsi="Calibri" w:cs="Times New Roman"/>
          <w:lang w:val="en-US"/>
        </w:rPr>
        <w:t xml:space="preserve"> e</w:t>
      </w:r>
      <w:r w:rsidRPr="00972D3D">
        <w:rPr>
          <w:rFonts w:ascii="Calibri" w:eastAsia="Calibri" w:hAnsi="Calibri" w:cs="Times New Roman"/>
        </w:rPr>
        <w:t xml:space="preserve"> избраният финансов инструмент да бъде приложен без държавна помощ - т.е. задължителният в случая "тест за държавна помощ" да е отрицателен. В случай, че мярката за държавно подпомагане не съдържа елементите на определението за държавна помощ по чл.</w:t>
      </w:r>
      <w:r w:rsidR="00F65D89">
        <w:rPr>
          <w:rFonts w:ascii="Calibri" w:eastAsia="Calibri" w:hAnsi="Calibri" w:cs="Times New Roman"/>
        </w:rPr>
        <w:t xml:space="preserve"> </w:t>
      </w:r>
      <w:r w:rsidRPr="00972D3D">
        <w:rPr>
          <w:rFonts w:ascii="Calibri" w:eastAsia="Calibri" w:hAnsi="Calibri" w:cs="Times New Roman"/>
        </w:rPr>
        <w:t xml:space="preserve">107 (1) на ДФЕС или финансовият инструмент е приложен, при спазване на принципа </w:t>
      </w:r>
      <w:r w:rsidRPr="00972D3D">
        <w:rPr>
          <w:rFonts w:ascii="Calibri" w:eastAsia="Calibri" w:hAnsi="Calibri" w:cs="Times New Roman"/>
          <w:lang w:val="en-US"/>
        </w:rPr>
        <w:t>pari</w:t>
      </w:r>
      <w:r w:rsidRPr="00972D3D">
        <w:rPr>
          <w:rFonts w:ascii="Calibri" w:eastAsia="Calibri" w:hAnsi="Calibri" w:cs="Times New Roman"/>
        </w:rPr>
        <w:t xml:space="preserve"> </w:t>
      </w:r>
      <w:r w:rsidRPr="00972D3D">
        <w:rPr>
          <w:rFonts w:ascii="Calibri" w:eastAsia="Calibri" w:hAnsi="Calibri" w:cs="Times New Roman"/>
          <w:lang w:val="en-US"/>
        </w:rPr>
        <w:t>passu</w:t>
      </w:r>
      <w:r w:rsidRPr="00972D3D">
        <w:rPr>
          <w:rFonts w:ascii="Calibri" w:eastAsia="Calibri" w:hAnsi="Calibri" w:cs="Times New Roman"/>
        </w:rPr>
        <w:t xml:space="preserve">,  като модификация на теста за действието на частен инвеститор в икономиката, то </w:t>
      </w:r>
      <w:r w:rsidRPr="00972D3D">
        <w:rPr>
          <w:rFonts w:ascii="Calibri" w:eastAsia="Calibri" w:hAnsi="Calibri" w:cs="Times New Roman"/>
          <w:b/>
        </w:rPr>
        <w:t>финансовият инструмент може да бъде приложен без уведомление и оценка от ЕК</w:t>
      </w:r>
      <w:r w:rsidRPr="00972D3D">
        <w:rPr>
          <w:rFonts w:ascii="Calibri" w:eastAsia="Calibri" w:hAnsi="Calibri" w:cs="Times New Roman"/>
        </w:rPr>
        <w:t>.</w:t>
      </w:r>
    </w:p>
    <w:p w:rsidR="00972D3D" w:rsidRPr="00972D3D" w:rsidRDefault="00972D3D" w:rsidP="001A036E">
      <w:pPr>
        <w:numPr>
          <w:ilvl w:val="0"/>
          <w:numId w:val="44"/>
        </w:numPr>
        <w:spacing w:after="200" w:line="276" w:lineRule="auto"/>
        <w:jc w:val="both"/>
        <w:rPr>
          <w:rFonts w:ascii="Calibri" w:eastAsia="Calibri" w:hAnsi="Calibri" w:cs="Times New Roman"/>
        </w:rPr>
      </w:pPr>
      <w:r w:rsidRPr="00972D3D">
        <w:rPr>
          <w:rFonts w:ascii="Calibri" w:eastAsia="Calibri" w:hAnsi="Calibri" w:cs="Times New Roman"/>
        </w:rPr>
        <w:t>При условие, че УО има съмнение относно съвместимостта на предложения финансов инструмент с правилата за държавните помощи на ЕС,</w:t>
      </w:r>
      <w:r w:rsidRPr="00972D3D">
        <w:rPr>
          <w:rFonts w:ascii="Calibri" w:eastAsia="Calibri" w:hAnsi="Calibri" w:cs="Times New Roman"/>
          <w:lang w:val="en-US"/>
        </w:rPr>
        <w:t xml:space="preserve"> </w:t>
      </w:r>
      <w:r w:rsidRPr="00972D3D">
        <w:rPr>
          <w:rFonts w:ascii="Calibri" w:eastAsia="Calibri" w:hAnsi="Calibri" w:cs="Times New Roman"/>
        </w:rPr>
        <w:t>то следва да се предприемат следните действия:</w:t>
      </w:r>
    </w:p>
    <w:p w:rsidR="00972D3D" w:rsidRPr="00972D3D" w:rsidRDefault="00972D3D" w:rsidP="001A036E">
      <w:pPr>
        <w:numPr>
          <w:ilvl w:val="1"/>
          <w:numId w:val="44"/>
        </w:numPr>
        <w:spacing w:after="200" w:line="276" w:lineRule="auto"/>
        <w:jc w:val="both"/>
        <w:rPr>
          <w:rFonts w:ascii="Calibri" w:eastAsia="Calibri" w:hAnsi="Calibri" w:cs="Times New Roman"/>
        </w:rPr>
      </w:pPr>
      <w:r w:rsidRPr="00972D3D">
        <w:rPr>
          <w:rFonts w:ascii="Calibri" w:eastAsia="Calibri" w:hAnsi="Calibri" w:cs="Times New Roman"/>
        </w:rPr>
        <w:t xml:space="preserve">Въз основа на предоставените данни за размера на държавната подкрепа, вида и броя на потенциалните бенефициенти на помощта, допустимите разходи и други характеристики на предлагания финансов инструмент, да се прецени дали използваната мярка, като самостоятелен финансов инструмент или комбинация от инструменти, отговаря/ят на изискванията на Регламент 651/2014 за освобождаване от задължение за нотификация (Регламент </w:t>
      </w:r>
      <w:r w:rsidRPr="00972D3D">
        <w:rPr>
          <w:rFonts w:ascii="Calibri" w:eastAsia="Calibri" w:hAnsi="Calibri" w:cs="Times New Roman"/>
          <w:lang w:val="en-US"/>
        </w:rPr>
        <w:t>GBER</w:t>
      </w:r>
      <w:r w:rsidRPr="00972D3D">
        <w:rPr>
          <w:rFonts w:ascii="Calibri" w:eastAsia="Calibri" w:hAnsi="Calibri" w:cs="Times New Roman"/>
        </w:rPr>
        <w:t xml:space="preserve">). Подробни правила за видовете помощи, които могат да се ползван по този Регламент са посочени в чл.21-30 на Регламента. </w:t>
      </w:r>
    </w:p>
    <w:p w:rsidR="00972D3D" w:rsidRPr="00972D3D" w:rsidRDefault="00972D3D" w:rsidP="009C7A3B">
      <w:pPr>
        <w:keepNext/>
        <w:spacing w:after="200" w:line="276" w:lineRule="auto"/>
        <w:jc w:val="both"/>
        <w:rPr>
          <w:rFonts w:asciiTheme="majorHAnsi" w:eastAsiaTheme="majorEastAsia" w:hAnsiTheme="majorHAnsi" w:cstheme="majorBidi"/>
          <w:color w:val="1F4D78" w:themeColor="accent1" w:themeShade="7F"/>
          <w:sz w:val="24"/>
          <w:szCs w:val="24"/>
        </w:rPr>
      </w:pPr>
      <w:r w:rsidRPr="00972D3D">
        <w:rPr>
          <w:rFonts w:asciiTheme="majorHAnsi" w:eastAsiaTheme="majorEastAsia" w:hAnsiTheme="majorHAnsi" w:cstheme="majorBidi"/>
          <w:color w:val="1F4D78" w:themeColor="accent1" w:themeShade="7F"/>
          <w:sz w:val="24"/>
          <w:szCs w:val="24"/>
        </w:rPr>
        <w:t>Най- важните от тях са:</w:t>
      </w:r>
    </w:p>
    <w:p w:rsidR="00972D3D" w:rsidRPr="00972D3D" w:rsidRDefault="00972D3D" w:rsidP="001A036E">
      <w:pPr>
        <w:numPr>
          <w:ilvl w:val="0"/>
          <w:numId w:val="121"/>
        </w:numPr>
        <w:spacing w:after="200" w:line="276" w:lineRule="auto"/>
        <w:jc w:val="both"/>
        <w:rPr>
          <w:rFonts w:ascii="Calibri" w:eastAsia="Calibri" w:hAnsi="Calibri" w:cs="Times New Roman"/>
        </w:rPr>
      </w:pPr>
      <w:r w:rsidRPr="00972D3D">
        <w:rPr>
          <w:rFonts w:ascii="Calibri" w:eastAsia="Calibri" w:hAnsi="Calibri" w:cs="Times New Roman"/>
          <w:u w:val="single"/>
        </w:rPr>
        <w:t>на равнище допустими предприятия</w:t>
      </w:r>
      <w:r w:rsidRPr="00972D3D">
        <w:rPr>
          <w:rFonts w:ascii="Calibri" w:eastAsia="Calibri" w:hAnsi="Calibri" w:cs="Times New Roman"/>
        </w:rPr>
        <w:t xml:space="preserve"> - помощите за рисково финансиране са ограничени до сумата от 15 млн. евро за всяка допустимо предприятия. Допустимите предприятия могат да бъдат само МСП;</w:t>
      </w:r>
    </w:p>
    <w:p w:rsidR="00972D3D" w:rsidRPr="00972D3D" w:rsidRDefault="00972D3D" w:rsidP="001A036E">
      <w:pPr>
        <w:numPr>
          <w:ilvl w:val="0"/>
          <w:numId w:val="121"/>
        </w:numPr>
        <w:spacing w:after="200" w:line="276" w:lineRule="auto"/>
        <w:jc w:val="both"/>
        <w:rPr>
          <w:rFonts w:ascii="Calibri" w:eastAsia="Calibri" w:hAnsi="Calibri" w:cs="Times New Roman"/>
        </w:rPr>
      </w:pPr>
      <w:r w:rsidRPr="00972D3D">
        <w:rPr>
          <w:rFonts w:ascii="Calibri" w:eastAsia="Calibri" w:hAnsi="Calibri" w:cs="Times New Roman"/>
          <w:u w:val="single"/>
        </w:rPr>
        <w:lastRenderedPageBreak/>
        <w:t>помощ за капиталови и квазикапиталови инвестиции</w:t>
      </w:r>
      <w:r w:rsidRPr="00972D3D">
        <w:rPr>
          <w:rFonts w:ascii="Calibri" w:eastAsia="Calibri" w:hAnsi="Calibri" w:cs="Times New Roman"/>
        </w:rPr>
        <w:t xml:space="preserve"> в допустими предприятия могат да се предоставят в заместващ капитал, само ако той е съчетан с нов капитал, представляващ най-малко 50% от всеки инвестиционен кръг в допустимото предприятие;</w:t>
      </w:r>
    </w:p>
    <w:p w:rsidR="00972D3D" w:rsidRPr="00972D3D" w:rsidRDefault="00972D3D" w:rsidP="001A036E">
      <w:pPr>
        <w:numPr>
          <w:ilvl w:val="0"/>
          <w:numId w:val="121"/>
        </w:numPr>
        <w:spacing w:after="200" w:line="276" w:lineRule="auto"/>
        <w:jc w:val="both"/>
        <w:rPr>
          <w:rFonts w:ascii="Calibri" w:eastAsia="Calibri" w:hAnsi="Calibri" w:cs="Times New Roman"/>
        </w:rPr>
      </w:pPr>
      <w:r w:rsidRPr="00972D3D">
        <w:rPr>
          <w:rFonts w:ascii="Calibri" w:eastAsia="Calibri" w:hAnsi="Calibri" w:cs="Times New Roman"/>
          <w:u w:val="single"/>
        </w:rPr>
        <w:t>помощ за капиталови и квазикапиталови инвестиции</w:t>
      </w:r>
      <w:r w:rsidRPr="00972D3D">
        <w:rPr>
          <w:rFonts w:ascii="Calibri" w:eastAsia="Calibri" w:hAnsi="Calibri" w:cs="Times New Roman"/>
        </w:rPr>
        <w:t xml:space="preserve"> в допустими предприятия пряко или непряко в управление на ликвидността могат да се използват не повече от 30% от съвкупният капиталов риск на финансовия посредник и записания и непоискан капитал. Допълнителното финансиране от независимите частни инвеститори на равнище финансов посредник или допустимо предприятие е подробно разписано като процент в чл.21 (5) б.</w:t>
      </w:r>
      <w:r w:rsidR="00EB6C68">
        <w:rPr>
          <w:rFonts w:ascii="Calibri" w:eastAsia="Calibri" w:hAnsi="Calibri" w:cs="Times New Roman"/>
        </w:rPr>
        <w:t xml:space="preserve"> </w:t>
      </w:r>
      <w:r w:rsidRPr="00972D3D">
        <w:rPr>
          <w:rFonts w:ascii="Calibri" w:eastAsia="Calibri" w:hAnsi="Calibri" w:cs="Times New Roman"/>
        </w:rPr>
        <w:t xml:space="preserve">"а", "б" и "в" на Регламент </w:t>
      </w:r>
      <w:r w:rsidRPr="00972D3D">
        <w:rPr>
          <w:rFonts w:ascii="Calibri" w:eastAsia="Calibri" w:hAnsi="Calibri" w:cs="Times New Roman"/>
          <w:lang w:val="en-US"/>
        </w:rPr>
        <w:t>GBER</w:t>
      </w:r>
      <w:r w:rsidRPr="00972D3D">
        <w:rPr>
          <w:rFonts w:ascii="Calibri" w:eastAsia="Calibri" w:hAnsi="Calibri" w:cs="Times New Roman"/>
        </w:rPr>
        <w:t>.</w:t>
      </w:r>
    </w:p>
    <w:p w:rsidR="00972D3D" w:rsidRPr="00972D3D" w:rsidRDefault="00972D3D" w:rsidP="001A036E">
      <w:pPr>
        <w:numPr>
          <w:ilvl w:val="0"/>
          <w:numId w:val="121"/>
        </w:numPr>
        <w:spacing w:after="200" w:line="276" w:lineRule="auto"/>
        <w:jc w:val="both"/>
        <w:rPr>
          <w:rFonts w:ascii="Calibri" w:eastAsia="Calibri" w:hAnsi="Calibri" w:cs="Times New Roman"/>
        </w:rPr>
      </w:pPr>
      <w:r w:rsidRPr="00972D3D">
        <w:rPr>
          <w:rFonts w:ascii="Calibri" w:eastAsia="Calibri" w:hAnsi="Calibri" w:cs="Times New Roman"/>
          <w:u w:val="single"/>
        </w:rPr>
        <w:t>помощ под формата на гаранция</w:t>
      </w:r>
      <w:r w:rsidRPr="00972D3D">
        <w:rPr>
          <w:rFonts w:ascii="Calibri" w:eastAsia="Calibri" w:hAnsi="Calibri" w:cs="Times New Roman"/>
        </w:rPr>
        <w:t xml:space="preserve"> - номиналният размер на заема, за който се издава гаранцията, се вземе предвид при изчисляване на инвестицията, като не надхвърля 15 мл</w:t>
      </w:r>
      <w:r w:rsidR="00EB6C68">
        <w:rPr>
          <w:rFonts w:ascii="Calibri" w:eastAsia="Calibri" w:hAnsi="Calibri" w:cs="Times New Roman"/>
        </w:rPr>
        <w:t>н</w:t>
      </w:r>
      <w:r w:rsidRPr="00972D3D">
        <w:rPr>
          <w:rFonts w:ascii="Calibri" w:eastAsia="Calibri" w:hAnsi="Calibri" w:cs="Times New Roman"/>
        </w:rPr>
        <w:t>. евро за допустимо предприятия. Гаранцията не може да надхвърли 80% от заема, за който е издадена.</w:t>
      </w:r>
    </w:p>
    <w:p w:rsidR="00972D3D" w:rsidRPr="00972D3D" w:rsidRDefault="00972D3D" w:rsidP="001A036E">
      <w:pPr>
        <w:numPr>
          <w:ilvl w:val="0"/>
          <w:numId w:val="121"/>
        </w:numPr>
        <w:spacing w:after="200" w:line="276" w:lineRule="auto"/>
        <w:jc w:val="both"/>
        <w:rPr>
          <w:rFonts w:ascii="Calibri" w:eastAsia="Calibri" w:hAnsi="Calibri" w:cs="Times New Roman"/>
        </w:rPr>
      </w:pPr>
      <w:r w:rsidRPr="00972D3D">
        <w:rPr>
          <w:rFonts w:ascii="Calibri" w:eastAsia="Calibri" w:hAnsi="Calibri" w:cs="Times New Roman"/>
          <w:u w:val="single"/>
        </w:rPr>
        <w:t>помощ под формата на заем</w:t>
      </w:r>
      <w:r w:rsidRPr="00972D3D">
        <w:rPr>
          <w:rFonts w:ascii="Calibri" w:eastAsia="Calibri" w:hAnsi="Calibri" w:cs="Times New Roman"/>
        </w:rPr>
        <w:t xml:space="preserve"> - номиналният размер на заема се взема предвид при изчисляване на максималният размер на инвестицията, така че да н</w:t>
      </w:r>
      <w:r w:rsidR="00EB6C68">
        <w:rPr>
          <w:rFonts w:ascii="Calibri" w:eastAsia="Calibri" w:hAnsi="Calibri" w:cs="Times New Roman"/>
        </w:rPr>
        <w:t>е надхвърля общия таван от 15 млн</w:t>
      </w:r>
      <w:r w:rsidRPr="00972D3D">
        <w:rPr>
          <w:rFonts w:ascii="Calibri" w:eastAsia="Calibri" w:hAnsi="Calibri" w:cs="Times New Roman"/>
        </w:rPr>
        <w:t>. евро за допустимо предприятие.</w:t>
      </w:r>
    </w:p>
    <w:p w:rsidR="00972D3D" w:rsidRPr="00972D3D" w:rsidRDefault="00972D3D" w:rsidP="00972D3D">
      <w:pPr>
        <w:spacing w:after="200" w:line="276" w:lineRule="auto"/>
        <w:jc w:val="both"/>
        <w:rPr>
          <w:rFonts w:ascii="Calibri" w:eastAsia="Calibri" w:hAnsi="Calibri" w:cs="Times New Roman"/>
        </w:rPr>
      </w:pPr>
      <w:r w:rsidRPr="00972D3D">
        <w:rPr>
          <w:rFonts w:ascii="Calibri" w:eastAsia="Calibri" w:hAnsi="Calibri" w:cs="Times New Roman"/>
        </w:rPr>
        <w:t xml:space="preserve">В тези случаи, УО </w:t>
      </w:r>
      <w:r w:rsidRPr="00972D3D">
        <w:rPr>
          <w:rFonts w:ascii="Calibri" w:eastAsia="Calibri" w:hAnsi="Calibri" w:cs="Times New Roman"/>
          <w:lang w:val="en-US"/>
        </w:rPr>
        <w:t>(</w:t>
      </w:r>
      <w:r w:rsidRPr="00972D3D">
        <w:rPr>
          <w:rFonts w:ascii="Calibri" w:eastAsia="Calibri" w:hAnsi="Calibri" w:cs="Times New Roman"/>
        </w:rPr>
        <w:t>администраторът на помощта</w:t>
      </w:r>
      <w:r w:rsidRPr="00972D3D">
        <w:rPr>
          <w:rFonts w:ascii="Calibri" w:eastAsia="Calibri" w:hAnsi="Calibri" w:cs="Times New Roman"/>
          <w:lang w:val="en-US"/>
        </w:rPr>
        <w:t>)</w:t>
      </w:r>
      <w:r w:rsidRPr="00972D3D">
        <w:rPr>
          <w:rFonts w:ascii="Calibri" w:eastAsia="Calibri" w:hAnsi="Calibri" w:cs="Times New Roman"/>
        </w:rPr>
        <w:t xml:space="preserve"> е длъжен </w:t>
      </w:r>
      <w:r w:rsidRPr="00972D3D">
        <w:rPr>
          <w:rFonts w:ascii="Calibri" w:eastAsia="Calibri" w:hAnsi="Calibri" w:cs="Times New Roman"/>
          <w:b/>
        </w:rPr>
        <w:t>да съгласува условията за предоставяне на помощта с наблюдаващият национален орган - Министъра на финансите, по реда на чл. 9 ал.1 от ЗДП.</w:t>
      </w:r>
    </w:p>
    <w:p w:rsidR="00972D3D" w:rsidRPr="00972D3D" w:rsidRDefault="00972D3D" w:rsidP="001A036E">
      <w:pPr>
        <w:numPr>
          <w:ilvl w:val="1"/>
          <w:numId w:val="44"/>
        </w:numPr>
        <w:spacing w:after="200" w:line="276" w:lineRule="auto"/>
        <w:jc w:val="both"/>
        <w:rPr>
          <w:rFonts w:ascii="Calibri" w:eastAsia="Calibri" w:hAnsi="Calibri" w:cs="Times New Roman"/>
        </w:rPr>
      </w:pPr>
      <w:r w:rsidRPr="00972D3D">
        <w:rPr>
          <w:rFonts w:ascii="Calibri" w:eastAsia="Calibri" w:hAnsi="Calibri" w:cs="Times New Roman"/>
          <w:lang w:val="en-US"/>
        </w:rPr>
        <w:t xml:space="preserve"> </w:t>
      </w:r>
      <w:r w:rsidRPr="00972D3D">
        <w:rPr>
          <w:rFonts w:ascii="Calibri" w:eastAsia="Calibri" w:hAnsi="Calibri" w:cs="Times New Roman"/>
        </w:rPr>
        <w:t>По подобие на горепосочената процедура, УО (администраторът на помощта) следва да извърши проверка дали по</w:t>
      </w:r>
      <w:r w:rsidR="00B83E87">
        <w:rPr>
          <w:rFonts w:ascii="Calibri" w:eastAsia="Calibri" w:hAnsi="Calibri" w:cs="Times New Roman"/>
        </w:rPr>
        <w:t>мощта е била вече нотифицирана</w:t>
      </w:r>
      <w:r w:rsidRPr="00972D3D">
        <w:rPr>
          <w:rFonts w:ascii="Calibri" w:eastAsia="Calibri" w:hAnsi="Calibri" w:cs="Times New Roman"/>
        </w:rPr>
        <w:t xml:space="preserve"> пред ЕК (респективно, като част от вече одобрена схема за държавна помощ), или дали предвидената държавна помощ се управлява директно от ЕК или от упълномощен от нея- ЕИБ, ЕИФ или друга банкова институция</w:t>
      </w:r>
      <w:r w:rsidRPr="00972D3D">
        <w:rPr>
          <w:rFonts w:ascii="Calibri" w:eastAsia="Calibri" w:hAnsi="Calibri" w:cs="Times New Roman"/>
          <w:b/>
        </w:rPr>
        <w:t>. При наличие на подобно уведомление или при констатиране на обстоятелството, че планираната мярка, под формата на финансов инструмент, е администрирана от ЕК пряко или чрез избран от нея финансов посредник, не е необходимо депозирането на ново уведомление до ЕК-УО (администраторът на помощта) само посочва номера на одобрената схема и предоставя помощта</w:t>
      </w:r>
      <w:r w:rsidRPr="00972D3D">
        <w:rPr>
          <w:rFonts w:ascii="Calibri" w:eastAsia="Calibri" w:hAnsi="Calibri" w:cs="Times New Roman"/>
        </w:rPr>
        <w:t xml:space="preserve">. </w:t>
      </w:r>
    </w:p>
    <w:p w:rsidR="00972D3D" w:rsidRPr="00972D3D" w:rsidRDefault="00972D3D" w:rsidP="001A036E">
      <w:pPr>
        <w:numPr>
          <w:ilvl w:val="1"/>
          <w:numId w:val="44"/>
        </w:numPr>
        <w:spacing w:after="200" w:line="276" w:lineRule="auto"/>
        <w:jc w:val="both"/>
        <w:rPr>
          <w:rFonts w:ascii="Calibri" w:eastAsia="Calibri" w:hAnsi="Calibri" w:cs="Times New Roman"/>
        </w:rPr>
      </w:pPr>
      <w:r w:rsidRPr="00972D3D">
        <w:rPr>
          <w:rFonts w:ascii="Calibri" w:eastAsia="Calibri" w:hAnsi="Calibri" w:cs="Times New Roman"/>
          <w:lang w:val="en-US"/>
        </w:rPr>
        <w:t xml:space="preserve"> </w:t>
      </w:r>
      <w:r w:rsidRPr="00972D3D">
        <w:rPr>
          <w:rFonts w:ascii="Calibri" w:eastAsia="Calibri" w:hAnsi="Calibri" w:cs="Times New Roman"/>
        </w:rPr>
        <w:t xml:space="preserve">По подобие на процедурата посочена  в т.2.1.,  УО </w:t>
      </w:r>
      <w:r w:rsidRPr="00972D3D">
        <w:rPr>
          <w:rFonts w:ascii="Calibri" w:eastAsia="Calibri" w:hAnsi="Calibri" w:cs="Times New Roman"/>
          <w:lang w:val="en-US"/>
        </w:rPr>
        <w:t>(</w:t>
      </w:r>
      <w:r w:rsidRPr="00972D3D">
        <w:rPr>
          <w:rFonts w:ascii="Calibri" w:eastAsia="Calibri" w:hAnsi="Calibri" w:cs="Times New Roman"/>
        </w:rPr>
        <w:t>администраторът на помощта</w:t>
      </w:r>
      <w:r w:rsidRPr="00972D3D">
        <w:rPr>
          <w:rFonts w:ascii="Calibri" w:eastAsia="Calibri" w:hAnsi="Calibri" w:cs="Times New Roman"/>
          <w:lang w:val="en-US"/>
        </w:rPr>
        <w:t>)</w:t>
      </w:r>
      <w:r w:rsidRPr="00972D3D">
        <w:rPr>
          <w:rFonts w:ascii="Calibri" w:eastAsia="Calibri" w:hAnsi="Calibri" w:cs="Times New Roman"/>
        </w:rPr>
        <w:t xml:space="preserve"> следва да прецени, дали за конкретния финансов инструмент не е приложим Регламент (</w:t>
      </w:r>
      <w:r w:rsidRPr="00972D3D">
        <w:rPr>
          <w:rFonts w:ascii="Calibri" w:eastAsia="Calibri" w:hAnsi="Calibri" w:cs="Times New Roman"/>
          <w:lang w:val="en-US"/>
        </w:rPr>
        <w:t>E</w:t>
      </w:r>
      <w:r w:rsidRPr="00972D3D">
        <w:rPr>
          <w:rFonts w:ascii="Calibri" w:eastAsia="Calibri" w:hAnsi="Calibri" w:cs="Times New Roman"/>
        </w:rPr>
        <w:t xml:space="preserve">С) 1407/2013 за помощ  </w:t>
      </w:r>
      <w:r w:rsidRPr="00972D3D">
        <w:rPr>
          <w:rFonts w:ascii="Calibri" w:eastAsia="Calibri" w:hAnsi="Calibri" w:cs="Times New Roman"/>
          <w:lang w:val="en-US"/>
        </w:rPr>
        <w:t>de</w:t>
      </w:r>
      <w:r w:rsidRPr="00972D3D">
        <w:rPr>
          <w:rFonts w:ascii="Calibri" w:eastAsia="Calibri" w:hAnsi="Calibri" w:cs="Times New Roman"/>
        </w:rPr>
        <w:t xml:space="preserve"> </w:t>
      </w:r>
      <w:r w:rsidRPr="00972D3D">
        <w:rPr>
          <w:rFonts w:ascii="Calibri" w:eastAsia="Calibri" w:hAnsi="Calibri" w:cs="Times New Roman"/>
          <w:lang w:val="en-US"/>
        </w:rPr>
        <w:t>minimis</w:t>
      </w:r>
      <w:r w:rsidRPr="00972D3D">
        <w:rPr>
          <w:rFonts w:ascii="Calibri" w:eastAsia="Calibri" w:hAnsi="Calibri" w:cs="Times New Roman"/>
        </w:rPr>
        <w:t>. Преценката се отнася единствено за допустими помощи - само за  "прозрачни помощи"-т.е.</w:t>
      </w:r>
      <w:r w:rsidR="00EB6C68">
        <w:rPr>
          <w:rFonts w:ascii="Calibri" w:eastAsia="Calibri" w:hAnsi="Calibri" w:cs="Times New Roman"/>
        </w:rPr>
        <w:t xml:space="preserve"> </w:t>
      </w:r>
      <w:r w:rsidRPr="00972D3D">
        <w:rPr>
          <w:rFonts w:ascii="Calibri" w:eastAsia="Calibri" w:hAnsi="Calibri" w:cs="Times New Roman"/>
        </w:rPr>
        <w:t xml:space="preserve">помощи под формата на лихвени субсидии  или безвъзмездни средства. Помощи под формата на капиталови и квазикапиталови инвестиции се смятат за прозрачна помощ </w:t>
      </w:r>
      <w:r w:rsidRPr="00972D3D">
        <w:rPr>
          <w:rFonts w:ascii="Calibri" w:eastAsia="Calibri" w:hAnsi="Calibri" w:cs="Times New Roman"/>
          <w:lang w:val="en-US"/>
        </w:rPr>
        <w:t>de minimis</w:t>
      </w:r>
      <w:r w:rsidRPr="00972D3D">
        <w:rPr>
          <w:rFonts w:ascii="Calibri" w:eastAsia="Calibri" w:hAnsi="Calibri" w:cs="Times New Roman"/>
        </w:rPr>
        <w:t>,</w:t>
      </w:r>
      <w:r w:rsidRPr="00972D3D">
        <w:rPr>
          <w:rFonts w:ascii="Calibri" w:eastAsia="Calibri" w:hAnsi="Calibri" w:cs="Times New Roman"/>
          <w:lang w:val="en-US"/>
        </w:rPr>
        <w:t xml:space="preserve"> </w:t>
      </w:r>
      <w:r w:rsidRPr="00972D3D">
        <w:rPr>
          <w:rFonts w:ascii="Calibri" w:eastAsia="Calibri" w:hAnsi="Calibri" w:cs="Times New Roman"/>
        </w:rPr>
        <w:t xml:space="preserve">само ако капиталът, представен на едно и също предприятие не надхвърля тавана на помощ </w:t>
      </w:r>
      <w:r w:rsidRPr="00972D3D">
        <w:rPr>
          <w:rFonts w:ascii="Calibri" w:eastAsia="Calibri" w:hAnsi="Calibri" w:cs="Times New Roman"/>
          <w:lang w:val="en-US"/>
        </w:rPr>
        <w:t xml:space="preserve">de minimis- 200 000 </w:t>
      </w:r>
      <w:r w:rsidRPr="00972D3D">
        <w:rPr>
          <w:rFonts w:ascii="Calibri" w:eastAsia="Calibri" w:hAnsi="Calibri" w:cs="Times New Roman"/>
        </w:rPr>
        <w:t xml:space="preserve">евро за период от три бюджетни години. В тези случаи, ако се достигне до становището, че е налице минимална помощ, то съгласно чл.11 от ЗДП,  УО </w:t>
      </w:r>
      <w:r w:rsidRPr="00972D3D">
        <w:rPr>
          <w:rFonts w:ascii="Calibri" w:eastAsia="Calibri" w:hAnsi="Calibri" w:cs="Times New Roman"/>
          <w:lang w:val="en-US"/>
        </w:rPr>
        <w:t>(</w:t>
      </w:r>
      <w:r w:rsidRPr="00972D3D">
        <w:rPr>
          <w:rFonts w:ascii="Calibri" w:eastAsia="Calibri" w:hAnsi="Calibri" w:cs="Times New Roman"/>
        </w:rPr>
        <w:t>администраторът на помощта</w:t>
      </w:r>
      <w:r w:rsidRPr="00972D3D">
        <w:rPr>
          <w:rFonts w:ascii="Calibri" w:eastAsia="Calibri" w:hAnsi="Calibri" w:cs="Times New Roman"/>
          <w:lang w:val="en-US"/>
        </w:rPr>
        <w:t>)</w:t>
      </w:r>
      <w:r w:rsidRPr="00972D3D">
        <w:rPr>
          <w:rFonts w:ascii="Calibri" w:eastAsia="Calibri" w:hAnsi="Calibri" w:cs="Times New Roman"/>
        </w:rPr>
        <w:t xml:space="preserve">, </w:t>
      </w:r>
      <w:r w:rsidRPr="00972D3D">
        <w:rPr>
          <w:rFonts w:ascii="Calibri" w:eastAsia="Calibri" w:hAnsi="Calibri" w:cs="Times New Roman"/>
        </w:rPr>
        <w:lastRenderedPageBreak/>
        <w:t xml:space="preserve">е длъжен да </w:t>
      </w:r>
      <w:r w:rsidRPr="00972D3D">
        <w:rPr>
          <w:rFonts w:ascii="Calibri" w:eastAsia="Calibri" w:hAnsi="Calibri" w:cs="Times New Roman"/>
          <w:b/>
        </w:rPr>
        <w:t>информира министъра на финансите в срок до три дни от предоставянето на всяка минимална помощ</w:t>
      </w:r>
      <w:r w:rsidRPr="00972D3D">
        <w:rPr>
          <w:rFonts w:ascii="Calibri" w:eastAsia="Calibri" w:hAnsi="Calibri" w:cs="Times New Roman"/>
        </w:rPr>
        <w:t>, а също така</w:t>
      </w:r>
      <w:r w:rsidRPr="00972D3D">
        <w:rPr>
          <w:rFonts w:ascii="Calibri" w:eastAsia="Calibri" w:hAnsi="Calibri" w:cs="Times New Roman"/>
          <w:lang w:val="en-US"/>
        </w:rPr>
        <w:t>,</w:t>
      </w:r>
      <w:r w:rsidRPr="00972D3D">
        <w:rPr>
          <w:rFonts w:ascii="Calibri" w:eastAsia="Calibri" w:hAnsi="Calibri" w:cs="Times New Roman"/>
        </w:rPr>
        <w:t xml:space="preserve"> е задължен да публикува на Интернет страницата си условията на помощта  и получателя на помощта</w:t>
      </w:r>
    </w:p>
    <w:p w:rsidR="00972D3D" w:rsidRPr="00972D3D" w:rsidRDefault="00972D3D" w:rsidP="001A036E">
      <w:pPr>
        <w:numPr>
          <w:ilvl w:val="0"/>
          <w:numId w:val="44"/>
        </w:numPr>
        <w:spacing w:after="200" w:line="276" w:lineRule="auto"/>
        <w:jc w:val="both"/>
        <w:rPr>
          <w:rFonts w:ascii="Calibri" w:eastAsia="Calibri" w:hAnsi="Calibri" w:cs="Times New Roman"/>
        </w:rPr>
      </w:pPr>
      <w:r w:rsidRPr="00972D3D">
        <w:rPr>
          <w:rFonts w:ascii="Calibri" w:eastAsia="Calibri" w:hAnsi="Calibri" w:cs="Times New Roman"/>
        </w:rPr>
        <w:t xml:space="preserve"> В случай,</w:t>
      </w:r>
      <w:r w:rsidR="00835F5C">
        <w:rPr>
          <w:rFonts w:ascii="Calibri" w:eastAsia="Calibri" w:hAnsi="Calibri" w:cs="Times New Roman"/>
          <w:lang w:val="en-US"/>
        </w:rPr>
        <w:t xml:space="preserve"> </w:t>
      </w:r>
      <w:r w:rsidRPr="00972D3D">
        <w:rPr>
          <w:rFonts w:ascii="Calibri" w:eastAsia="Calibri" w:hAnsi="Calibri" w:cs="Times New Roman"/>
        </w:rPr>
        <w:t xml:space="preserve">че хипотезите на т.2 са неизпълними и планираната мярка </w:t>
      </w:r>
      <w:r w:rsidRPr="00972D3D">
        <w:rPr>
          <w:rFonts w:ascii="Calibri" w:eastAsia="Calibri" w:hAnsi="Calibri" w:cs="Times New Roman"/>
          <w:u w:val="single"/>
        </w:rPr>
        <w:t>най- вероятно представлява държавна помощ</w:t>
      </w:r>
      <w:r w:rsidRPr="00972D3D">
        <w:rPr>
          <w:rFonts w:ascii="Calibri" w:eastAsia="Calibri" w:hAnsi="Calibri" w:cs="Times New Roman"/>
        </w:rPr>
        <w:t xml:space="preserve">, то  УО </w:t>
      </w:r>
      <w:r w:rsidRPr="00972D3D">
        <w:rPr>
          <w:rFonts w:ascii="Calibri" w:eastAsia="Calibri" w:hAnsi="Calibri" w:cs="Times New Roman"/>
          <w:lang w:val="en-US"/>
        </w:rPr>
        <w:t>(</w:t>
      </w:r>
      <w:r w:rsidRPr="00972D3D">
        <w:rPr>
          <w:rFonts w:ascii="Calibri" w:eastAsia="Calibri" w:hAnsi="Calibri" w:cs="Times New Roman"/>
        </w:rPr>
        <w:t>администраторът на помощта</w:t>
      </w:r>
      <w:r w:rsidRPr="00972D3D">
        <w:rPr>
          <w:rFonts w:ascii="Calibri" w:eastAsia="Calibri" w:hAnsi="Calibri" w:cs="Times New Roman"/>
          <w:lang w:val="en-US"/>
        </w:rPr>
        <w:t>)</w:t>
      </w:r>
      <w:r w:rsidRPr="00972D3D">
        <w:rPr>
          <w:rFonts w:ascii="Calibri" w:eastAsia="Calibri" w:hAnsi="Calibri" w:cs="Times New Roman"/>
        </w:rPr>
        <w:t xml:space="preserve"> е длъжен да изготви и представи уведомление до ЕК при спазване на изискванията на Регламент (</w:t>
      </w:r>
      <w:r w:rsidRPr="00972D3D">
        <w:rPr>
          <w:rFonts w:ascii="Calibri" w:eastAsia="Calibri" w:hAnsi="Calibri" w:cs="Times New Roman"/>
          <w:lang w:val="en-US"/>
        </w:rPr>
        <w:t>E</w:t>
      </w:r>
      <w:r w:rsidRPr="00972D3D">
        <w:rPr>
          <w:rFonts w:ascii="Calibri" w:eastAsia="Calibri" w:hAnsi="Calibri" w:cs="Times New Roman"/>
        </w:rPr>
        <w:t>С) № 659/1999 на Съвета от 22.06.2013 г. за установяване на подробни правила за прилагането на чл. 108 от ДФЕС и Регламент (</w:t>
      </w:r>
      <w:r w:rsidRPr="00972D3D">
        <w:rPr>
          <w:rFonts w:ascii="Calibri" w:eastAsia="Calibri" w:hAnsi="Calibri" w:cs="Times New Roman"/>
          <w:lang w:val="en-US"/>
        </w:rPr>
        <w:t>EC</w:t>
      </w:r>
      <w:r w:rsidRPr="00972D3D">
        <w:rPr>
          <w:rFonts w:ascii="Calibri" w:eastAsia="Calibri" w:hAnsi="Calibri" w:cs="Times New Roman"/>
        </w:rPr>
        <w:t>) № 734/ 2013 на Съвета от 22.06.2013 г. за изменение на Регламент (</w:t>
      </w:r>
      <w:r w:rsidRPr="00972D3D">
        <w:rPr>
          <w:rFonts w:ascii="Calibri" w:eastAsia="Calibri" w:hAnsi="Calibri" w:cs="Times New Roman"/>
          <w:lang w:val="en-US"/>
        </w:rPr>
        <w:t>EC</w:t>
      </w:r>
      <w:r w:rsidRPr="00972D3D">
        <w:rPr>
          <w:rFonts w:ascii="Calibri" w:eastAsia="Calibri" w:hAnsi="Calibri" w:cs="Times New Roman"/>
        </w:rPr>
        <w:t xml:space="preserve">) № 659/1999 за установяване на подробни правила за прилагане на чл.93 от ДЕО. </w:t>
      </w:r>
      <w:r w:rsidRPr="00972D3D">
        <w:rPr>
          <w:rFonts w:ascii="Calibri" w:eastAsia="Calibri" w:hAnsi="Calibri" w:cs="Times New Roman"/>
          <w:b/>
        </w:rPr>
        <w:t>В този случай мярката за държавно подпомагане предоставена като финансов инструмент не може да бъде предоставена без официално решение, с което ЕК приема, че предлаганата мярка е съвместима с общия пазар</w:t>
      </w:r>
      <w:r w:rsidRPr="00972D3D">
        <w:rPr>
          <w:rFonts w:ascii="Calibri" w:eastAsia="Calibri" w:hAnsi="Calibri" w:cs="Times New Roman"/>
        </w:rPr>
        <w:t>. В случая, ЕК ще оценява мярката на държавно подпомагане съобразно разписаните критерии в "Съобщение на Комисията-Насоки относно държавните помощи за насърчаване на инвестициите в рисковото финансиране (2014/</w:t>
      </w:r>
      <w:r w:rsidRPr="00972D3D">
        <w:rPr>
          <w:rFonts w:ascii="Calibri" w:eastAsia="Calibri" w:hAnsi="Calibri" w:cs="Times New Roman"/>
          <w:lang w:val="en-US"/>
        </w:rPr>
        <w:t>C</w:t>
      </w:r>
      <w:r w:rsidRPr="00972D3D">
        <w:rPr>
          <w:rFonts w:ascii="Calibri" w:eastAsia="Calibri" w:hAnsi="Calibri" w:cs="Times New Roman"/>
        </w:rPr>
        <w:t xml:space="preserve"> 19/04)". Комисията ще оцени помощта подробно като прилага т.н</w:t>
      </w:r>
      <w:r w:rsidR="00EB6C68">
        <w:rPr>
          <w:rFonts w:ascii="Calibri" w:eastAsia="Calibri" w:hAnsi="Calibri" w:cs="Times New Roman"/>
        </w:rPr>
        <w:t>.</w:t>
      </w:r>
      <w:r w:rsidRPr="00972D3D">
        <w:rPr>
          <w:rFonts w:ascii="Calibri" w:eastAsia="Calibri" w:hAnsi="Calibri" w:cs="Times New Roman"/>
        </w:rPr>
        <w:t xml:space="preserve"> "</w:t>
      </w:r>
      <w:r w:rsidRPr="00972D3D">
        <w:rPr>
          <w:rFonts w:ascii="Calibri" w:eastAsia="Calibri" w:hAnsi="Calibri" w:cs="Times New Roman"/>
          <w:u w:val="single"/>
        </w:rPr>
        <w:t>общи принципи за съвместимост</w:t>
      </w:r>
      <w:r w:rsidRPr="00972D3D">
        <w:rPr>
          <w:rFonts w:ascii="Calibri" w:eastAsia="Calibri" w:hAnsi="Calibri" w:cs="Times New Roman"/>
        </w:rPr>
        <w:t>" и "</w:t>
      </w:r>
      <w:r w:rsidRPr="00972D3D">
        <w:rPr>
          <w:rFonts w:ascii="Calibri" w:eastAsia="Calibri" w:hAnsi="Calibri" w:cs="Times New Roman"/>
          <w:u w:val="single"/>
        </w:rPr>
        <w:t>специфични принципи за съвместимост</w:t>
      </w:r>
      <w:r w:rsidRPr="00972D3D">
        <w:rPr>
          <w:rFonts w:ascii="Calibri" w:eastAsia="Calibri" w:hAnsi="Calibri" w:cs="Times New Roman"/>
        </w:rPr>
        <w:t>"-приложими за конкретно избрания финансов инструмент или комбинация от финансови инструменти.</w:t>
      </w:r>
      <w:r w:rsidR="00812D05">
        <w:rPr>
          <w:rFonts w:ascii="Calibri" w:eastAsia="Calibri" w:hAnsi="Calibri" w:cs="Times New Roman"/>
          <w:lang w:val="en-US"/>
        </w:rPr>
        <w:t xml:space="preserve"> </w:t>
      </w:r>
      <w:r w:rsidRPr="00972D3D">
        <w:rPr>
          <w:rFonts w:ascii="Calibri" w:eastAsia="Calibri" w:hAnsi="Calibri" w:cs="Times New Roman"/>
        </w:rPr>
        <w:t>Оценката се извършва на три нива:</w:t>
      </w:r>
    </w:p>
    <w:p w:rsidR="00972D3D" w:rsidRPr="00972D3D" w:rsidRDefault="00972D3D" w:rsidP="001A036E">
      <w:pPr>
        <w:numPr>
          <w:ilvl w:val="1"/>
          <w:numId w:val="122"/>
        </w:numPr>
        <w:spacing w:after="200" w:line="276" w:lineRule="auto"/>
        <w:jc w:val="both"/>
        <w:rPr>
          <w:rFonts w:ascii="Calibri" w:eastAsia="Calibri" w:hAnsi="Calibri" w:cs="Times New Roman"/>
        </w:rPr>
      </w:pPr>
      <w:r w:rsidRPr="00972D3D">
        <w:rPr>
          <w:rFonts w:ascii="Calibri" w:eastAsia="Calibri" w:hAnsi="Calibri" w:cs="Times New Roman"/>
          <w:u w:val="single"/>
        </w:rPr>
        <w:t>на ниво инвеститор</w:t>
      </w:r>
      <w:r w:rsidRPr="00972D3D">
        <w:rPr>
          <w:rFonts w:ascii="Calibri" w:eastAsia="Calibri" w:hAnsi="Calibri" w:cs="Times New Roman"/>
        </w:rPr>
        <w:t xml:space="preserve"> - оценка дали  участието на частния инвеститор в мярката е икономически значимо? Размерът на частната инвестиция в проекта надхвърля ли 30%? Частната инвестиция извършена ли е едновременно с държавната инвестиция в крайния бенефициент?</w:t>
      </w:r>
    </w:p>
    <w:p w:rsidR="00972D3D" w:rsidRPr="00972D3D" w:rsidRDefault="00972D3D" w:rsidP="001A036E">
      <w:pPr>
        <w:numPr>
          <w:ilvl w:val="1"/>
          <w:numId w:val="122"/>
        </w:numPr>
        <w:spacing w:after="200" w:line="276" w:lineRule="auto"/>
        <w:jc w:val="both"/>
        <w:rPr>
          <w:rFonts w:ascii="Calibri" w:eastAsia="Calibri" w:hAnsi="Calibri" w:cs="Times New Roman"/>
        </w:rPr>
      </w:pPr>
      <w:r w:rsidRPr="00972D3D">
        <w:rPr>
          <w:rFonts w:ascii="Calibri" w:eastAsia="Calibri" w:hAnsi="Calibri" w:cs="Times New Roman"/>
          <w:u w:val="single"/>
        </w:rPr>
        <w:t>на ниво фонд (управител) или финансов посредник-</w:t>
      </w:r>
      <w:r w:rsidRPr="00972D3D">
        <w:rPr>
          <w:rFonts w:ascii="Calibri" w:eastAsia="Calibri" w:hAnsi="Calibri" w:cs="Times New Roman"/>
        </w:rPr>
        <w:t xml:space="preserve"> в случая, ако управляващият инвестицията не съинвестира с държавата, то посредникът се явява </w:t>
      </w:r>
      <w:r w:rsidRPr="00972D3D">
        <w:rPr>
          <w:rFonts w:ascii="Calibri" w:eastAsia="Calibri" w:hAnsi="Calibri" w:cs="Times New Roman"/>
          <w:b/>
        </w:rPr>
        <w:t>средство за трансфериране на държавната помощ,</w:t>
      </w:r>
      <w:r w:rsidRPr="00972D3D">
        <w:rPr>
          <w:rFonts w:ascii="Calibri" w:eastAsia="Calibri" w:hAnsi="Calibri" w:cs="Times New Roman"/>
        </w:rPr>
        <w:t xml:space="preserve"> а не като получател на помощта, при условие че финансовият посредник е избран чрез открита и недискриминационна процедура и неговото възнаграждение не е над пазарните нива. Ако финансовият посредник е публичен субект и той е избран без процедура за подбор, то Комисията ще оцени дали таксите за управление са ограничени с таван и ако общият размер на възнагражденията им отразява пазарните условия, то е възможно да приеме, че този посредник не получава държавна помощ. При условие, че инвестицията извършена от държавата чрез финансови посредник е под формата на заем или държавна гаранция, то следва, да се прилагат от посредника "Известие на Комисията относно прилагане на чл.87 и 88 от ДЕО по отношение на държавните помощи под формата на гаранции" и "Съобщение на Комисията относно референтните лихвени проценти". При прилагане на горните нормативни актове Комисията обикновено приема, че финансовият посредник не е получател на държавна помощ.</w:t>
      </w:r>
    </w:p>
    <w:p w:rsidR="00972D3D" w:rsidRPr="00972D3D" w:rsidRDefault="00972D3D" w:rsidP="001A036E">
      <w:pPr>
        <w:numPr>
          <w:ilvl w:val="1"/>
          <w:numId w:val="122"/>
        </w:numPr>
        <w:spacing w:after="200" w:line="276" w:lineRule="auto"/>
        <w:jc w:val="both"/>
        <w:rPr>
          <w:rFonts w:ascii="Calibri" w:eastAsia="Calibri" w:hAnsi="Calibri" w:cs="Times New Roman"/>
        </w:rPr>
      </w:pPr>
      <w:r w:rsidRPr="00972D3D">
        <w:rPr>
          <w:rFonts w:ascii="Calibri" w:eastAsia="Calibri" w:hAnsi="Calibri" w:cs="Times New Roman"/>
          <w:u w:val="single"/>
        </w:rPr>
        <w:lastRenderedPageBreak/>
        <w:t>на ниво предприятия, в които се извършва инвестицията</w:t>
      </w:r>
      <w:r w:rsidRPr="00972D3D">
        <w:rPr>
          <w:rFonts w:ascii="Calibri" w:eastAsia="Calibri" w:hAnsi="Calibri" w:cs="Times New Roman"/>
        </w:rPr>
        <w:t>. При условие, че финансовият посредник предоставя финансовия инструмент за рисково финансиране при условията на Известието за гаранциите и Съобщението за референтните лихвени проценти - т.е. на чисто търговски принцип, то не следва тези предприятия да се считат за бенефициенти на държавни помощи.</w:t>
      </w:r>
    </w:p>
    <w:p w:rsidR="00F65D89" w:rsidRDefault="00F65D89" w:rsidP="00181C9C">
      <w:pPr>
        <w:pStyle w:val="Heading2"/>
        <w:jc w:val="both"/>
        <w:rPr>
          <w:rFonts w:asciiTheme="minorHAnsi" w:hAnsiTheme="minorHAnsi" w:cs="Times New Roman"/>
        </w:rPr>
      </w:pPr>
    </w:p>
    <w:p w:rsidR="00BC66BD" w:rsidRDefault="00BC66BD" w:rsidP="00181C9C">
      <w:pPr>
        <w:pStyle w:val="Heading2"/>
        <w:jc w:val="both"/>
        <w:rPr>
          <w:rFonts w:asciiTheme="minorHAnsi" w:hAnsiTheme="minorHAnsi" w:cs="Times New Roman"/>
        </w:rPr>
      </w:pPr>
      <w:bookmarkStart w:id="186" w:name="_Toc399494573"/>
      <w:r w:rsidRPr="00C370EC">
        <w:rPr>
          <w:rFonts w:asciiTheme="minorHAnsi" w:hAnsiTheme="minorHAnsi" w:cs="Times New Roman"/>
        </w:rPr>
        <w:t>5.5. Определяне на адекватна институционална рамка за управление на инструментите за финансов инженеринг в България в периода 2014-2020 г</w:t>
      </w:r>
      <w:r w:rsidR="00CB4969">
        <w:rPr>
          <w:rFonts w:asciiTheme="minorHAnsi" w:hAnsiTheme="minorHAnsi" w:cs="Times New Roman"/>
        </w:rPr>
        <w:t>.</w:t>
      </w:r>
      <w:bookmarkEnd w:id="186"/>
    </w:p>
    <w:p w:rsidR="00A833FB" w:rsidRPr="00B3109A" w:rsidRDefault="00A833FB" w:rsidP="00F65D89">
      <w:pPr>
        <w:spacing w:before="240"/>
        <w:jc w:val="both"/>
        <w:rPr>
          <w:b/>
        </w:rPr>
      </w:pPr>
      <w:r>
        <w:rPr>
          <w:b/>
        </w:rPr>
        <w:t xml:space="preserve">Инвестиции в капитала на съществуваща или новосъздадена структура за управление на финансовите инструменти е подходяща опция </w:t>
      </w:r>
      <w:r w:rsidR="00F65D89">
        <w:rPr>
          <w:b/>
        </w:rPr>
        <w:t>в случай, че</w:t>
      </w:r>
      <w:r>
        <w:t xml:space="preserve">:  </w:t>
      </w:r>
    </w:p>
    <w:p w:rsidR="00A833FB" w:rsidRDefault="00A833FB" w:rsidP="001A036E">
      <w:pPr>
        <w:pStyle w:val="ListParagraph"/>
        <w:numPr>
          <w:ilvl w:val="0"/>
          <w:numId w:val="132"/>
        </w:numPr>
        <w:jc w:val="both"/>
      </w:pPr>
      <w:r>
        <w:t xml:space="preserve">Увеличаването на средствата в съществуващата структура би допринесло за постигане целите й и целите на програмата.  </w:t>
      </w:r>
    </w:p>
    <w:p w:rsidR="00A833FB" w:rsidRDefault="00A833FB" w:rsidP="001A036E">
      <w:pPr>
        <w:pStyle w:val="ListParagraph"/>
        <w:numPr>
          <w:ilvl w:val="0"/>
          <w:numId w:val="132"/>
        </w:numPr>
        <w:jc w:val="both"/>
      </w:pPr>
      <w:r>
        <w:t xml:space="preserve">УО цели да приложи финансовите инструменти, чрез отделна структура с ясно дефинирани цели и </w:t>
      </w:r>
      <w:r w:rsidR="00F65D89">
        <w:t>система за управление</w:t>
      </w:r>
      <w:r>
        <w:t xml:space="preserve">. Това не пречи УО да възложи част от задачите по управление на фонда на фондовете на други финансови посредници съгласно чл. 38 (5). </w:t>
      </w:r>
    </w:p>
    <w:p w:rsidR="00A833FB" w:rsidRDefault="00A833FB" w:rsidP="001A036E">
      <w:pPr>
        <w:pStyle w:val="ListParagraph"/>
        <w:numPr>
          <w:ilvl w:val="0"/>
          <w:numId w:val="132"/>
        </w:numPr>
        <w:jc w:val="both"/>
      </w:pPr>
      <w:r>
        <w:t xml:space="preserve">Структура с фонд на фондовете (холдингов фонд) се избира с цел прилагане на финансовите инструменти в съответствие с ЕСИФ.    </w:t>
      </w:r>
    </w:p>
    <w:p w:rsidR="00A833FB" w:rsidRPr="00AE08B3" w:rsidRDefault="00A833FB" w:rsidP="00A833FB">
      <w:pPr>
        <w:rPr>
          <w:b/>
        </w:rPr>
      </w:pPr>
      <w:r>
        <w:rPr>
          <w:b/>
        </w:rPr>
        <w:t>Поверяване на управлението на финансовите инструменти на друга структура</w:t>
      </w:r>
      <w:r w:rsidR="007205C4">
        <w:rPr>
          <w:b/>
        </w:rPr>
        <w:t>:</w:t>
      </w:r>
    </w:p>
    <w:p w:rsidR="00A833FB" w:rsidRDefault="00A833FB" w:rsidP="007205C4">
      <w:pPr>
        <w:jc w:val="both"/>
      </w:pPr>
      <w:r>
        <w:t xml:space="preserve">УО може да назначи финансова институция, която работи в обществен интерес и под контрола на публичните власти за:  </w:t>
      </w:r>
    </w:p>
    <w:p w:rsidR="00A833FB" w:rsidRDefault="00A833FB" w:rsidP="001A036E">
      <w:pPr>
        <w:pStyle w:val="ListParagraph"/>
        <w:numPr>
          <w:ilvl w:val="0"/>
          <w:numId w:val="132"/>
        </w:numPr>
        <w:jc w:val="both"/>
      </w:pPr>
      <w:r>
        <w:t>Фонд мениджър (отговорен за управлението на фонда на фондовете</w:t>
      </w:r>
      <w:r w:rsidR="007205C4">
        <w:t>);</w:t>
      </w:r>
      <w:r>
        <w:t xml:space="preserve"> или  </w:t>
      </w:r>
    </w:p>
    <w:p w:rsidR="00A833FB" w:rsidRDefault="00A833FB" w:rsidP="001A036E">
      <w:pPr>
        <w:pStyle w:val="ListParagraph"/>
        <w:numPr>
          <w:ilvl w:val="0"/>
          <w:numId w:val="132"/>
        </w:numPr>
        <w:jc w:val="both"/>
      </w:pPr>
      <w:r>
        <w:t xml:space="preserve">Мениджър на определен финансов инструмент (финансов посредник) </w:t>
      </w:r>
    </w:p>
    <w:p w:rsidR="00A833FB" w:rsidRDefault="00A833FB" w:rsidP="007205C4">
      <w:pPr>
        <w:jc w:val="both"/>
      </w:pPr>
      <w:r>
        <w:t xml:space="preserve">Това обикновено е национална или регионална банка за развитие или агенция, или международна финансова институция или ЕИБ. </w:t>
      </w:r>
    </w:p>
    <w:p w:rsidR="00A833FB" w:rsidRPr="00AE08B3" w:rsidRDefault="00A833FB" w:rsidP="00A833FB">
      <w:pPr>
        <w:jc w:val="both"/>
      </w:pPr>
      <w:r w:rsidRPr="00076F5C">
        <w:rPr>
          <w:b/>
        </w:rPr>
        <w:t>Прилагането на финансовите инструменти може да бъде поверено и на други структури</w:t>
      </w:r>
      <w:r>
        <w:t xml:space="preserve">, които подлежат на контрола на публичното или частното право, като например агенции, фондове за публично-частно партньорство, търговски банки или други институции. В този случай финансовите посредници се избират, чрез процедура за избор на изпълнител в съответствие с приложимото европейско право и националното законодателство.    </w:t>
      </w:r>
    </w:p>
    <w:p w:rsidR="00000B7B" w:rsidRDefault="00000B7B" w:rsidP="003223C3">
      <w:pPr>
        <w:jc w:val="both"/>
      </w:pPr>
      <w:r>
        <w:t>"Фонд от фондове" (в периода 2007-2013 г.</w:t>
      </w:r>
      <w:r w:rsidR="003223C3">
        <w:t xml:space="preserve"> </w:t>
      </w:r>
      <w:r>
        <w:t>известен като "Холдингов фонд") е фонд</w:t>
      </w:r>
      <w:r w:rsidR="003223C3">
        <w:t>, създаден с цел</w:t>
      </w:r>
      <w:r>
        <w:t xml:space="preserve"> </w:t>
      </w:r>
      <w:r w:rsidR="003223C3">
        <w:t xml:space="preserve">да осигури </w:t>
      </w:r>
      <w:r>
        <w:t>подкрепа за прилагане на финансови инструменти</w:t>
      </w:r>
      <w:r w:rsidR="003223C3">
        <w:t>, чрез няколко финансови посредника</w:t>
      </w:r>
      <w:r>
        <w:t xml:space="preserve">. Целта на "Фонд от Фондове" е </w:t>
      </w:r>
      <w:r w:rsidR="003223C3">
        <w:t>да обедини няколко фонда</w:t>
      </w:r>
      <w:r>
        <w:t>, създаден</w:t>
      </w:r>
      <w:r w:rsidR="003223C3">
        <w:t>и</w:t>
      </w:r>
      <w:r>
        <w:t>, за да инвестира</w:t>
      </w:r>
      <w:r w:rsidR="003223C3">
        <w:t>т в повече от един ф</w:t>
      </w:r>
      <w:r>
        <w:t>инансови инструменти чрез финансови посредници, за да се даде възможност за гъвкавост и балансиране на риска и ползите от фон</w:t>
      </w:r>
      <w:r w:rsidR="003223C3">
        <w:t>довете, в допълнение към създаването</w:t>
      </w:r>
      <w:r>
        <w:t>, управлението и контрола на финансови инструменти.</w:t>
      </w:r>
    </w:p>
    <w:p w:rsidR="00835F5C" w:rsidRDefault="00000B7B" w:rsidP="003223C3">
      <w:pPr>
        <w:jc w:val="both"/>
      </w:pPr>
      <w:r>
        <w:lastRenderedPageBreak/>
        <w:t xml:space="preserve">Това може да помогне за постигане на желания размер на </w:t>
      </w:r>
      <w:r w:rsidR="003223C3">
        <w:t>средствата, кои</w:t>
      </w:r>
      <w:r>
        <w:t xml:space="preserve">то да се привлекат </w:t>
      </w:r>
      <w:r w:rsidR="003223C3">
        <w:t xml:space="preserve">за </w:t>
      </w:r>
      <w:r>
        <w:t>инвестиции</w:t>
      </w:r>
      <w:r w:rsidR="003223C3">
        <w:t>, както за</w:t>
      </w:r>
      <w:r>
        <w:t xml:space="preserve"> постиг</w:t>
      </w:r>
      <w:r w:rsidR="003223C3">
        <w:t>а</w:t>
      </w:r>
      <w:r>
        <w:t>не</w:t>
      </w:r>
      <w:r w:rsidR="003223C3">
        <w:t xml:space="preserve"> на</w:t>
      </w:r>
      <w:r>
        <w:t xml:space="preserve"> ефективност на разме</w:t>
      </w:r>
      <w:r w:rsidR="003223C3">
        <w:t>ра</w:t>
      </w:r>
      <w:r>
        <w:t xml:space="preserve"> и обхват</w:t>
      </w:r>
      <w:r w:rsidR="003223C3">
        <w:t>а</w:t>
      </w:r>
      <w:r>
        <w:t xml:space="preserve">, </w:t>
      </w:r>
      <w:r w:rsidR="003223C3">
        <w:t xml:space="preserve">като в същото време се </w:t>
      </w:r>
      <w:r>
        <w:t>д</w:t>
      </w:r>
      <w:r w:rsidR="003223C3">
        <w:t>аде възможност за гъвкавост, и се</w:t>
      </w:r>
      <w:r>
        <w:t xml:space="preserve"> предоставят по-големи възможности за диверсификация на портфейла, за да се постигнат желаните финансови и нефинансови </w:t>
      </w:r>
      <w:r w:rsidR="003223C3">
        <w:t>ползи</w:t>
      </w:r>
      <w:r>
        <w:t xml:space="preserve"> и управление на рисковете.</w:t>
      </w:r>
    </w:p>
    <w:p w:rsidR="00015E09" w:rsidRDefault="00015E09" w:rsidP="00015E09">
      <w:pPr>
        <w:jc w:val="both"/>
      </w:pPr>
      <w:r>
        <w:t xml:space="preserve">Накратко плюсовете и минусите от структурирането на фонд на фондовете са: </w:t>
      </w:r>
    </w:p>
    <w:p w:rsidR="00015E09" w:rsidRDefault="00015E09" w:rsidP="00015E09">
      <w:pPr>
        <w:jc w:val="both"/>
      </w:pPr>
      <w:r>
        <w:t xml:space="preserve">Плюсове: </w:t>
      </w:r>
    </w:p>
    <w:p w:rsidR="00015E09" w:rsidRDefault="00615A90" w:rsidP="00015E09">
      <w:pPr>
        <w:pStyle w:val="ListParagraph"/>
        <w:numPr>
          <w:ilvl w:val="0"/>
          <w:numId w:val="148"/>
        </w:numPr>
        <w:jc w:val="both"/>
      </w:pPr>
      <w:r>
        <w:t xml:space="preserve">Стабилна структура, която осигурява независимо и професионално управление на средствата, което наблюдава ключови въпроси като управление на наличните средства, управление на риска, мониторинг и докладване. </w:t>
      </w:r>
    </w:p>
    <w:p w:rsidR="00615A90" w:rsidRDefault="00615A90" w:rsidP="00015E09">
      <w:pPr>
        <w:pStyle w:val="ListParagraph"/>
        <w:numPr>
          <w:ilvl w:val="0"/>
          <w:numId w:val="148"/>
        </w:numPr>
        <w:jc w:val="both"/>
      </w:pPr>
      <w:r>
        <w:t xml:space="preserve">Позволява по-голяма гъвкавост и диверсификация на инвестициите. </w:t>
      </w:r>
    </w:p>
    <w:p w:rsidR="00015E09" w:rsidRDefault="00615A90" w:rsidP="00015E09">
      <w:pPr>
        <w:pStyle w:val="ListParagraph"/>
        <w:numPr>
          <w:ilvl w:val="0"/>
          <w:numId w:val="148"/>
        </w:numPr>
        <w:jc w:val="both"/>
      </w:pPr>
      <w:r>
        <w:t>Осигурява техническа, управленска и финансова експертиза.</w:t>
      </w:r>
      <w:r w:rsidR="00015E09">
        <w:t xml:space="preserve"> </w:t>
      </w:r>
    </w:p>
    <w:p w:rsidR="00615A90" w:rsidRDefault="00615A90" w:rsidP="00015E09">
      <w:pPr>
        <w:pStyle w:val="ListParagraph"/>
        <w:numPr>
          <w:ilvl w:val="0"/>
          <w:numId w:val="148"/>
        </w:numPr>
        <w:jc w:val="both"/>
      </w:pPr>
      <w:r>
        <w:t xml:space="preserve">Ако има няколко фонда, Фондът на фондовете генерира ползи в резултат от икономия на мащаба. </w:t>
      </w:r>
    </w:p>
    <w:p w:rsidR="00015E09" w:rsidRDefault="00615A90" w:rsidP="00615A90">
      <w:pPr>
        <w:ind w:left="360"/>
        <w:jc w:val="both"/>
      </w:pPr>
      <w:r>
        <w:t>Минуси</w:t>
      </w:r>
      <w:r w:rsidR="00015E09">
        <w:t xml:space="preserve">: </w:t>
      </w:r>
    </w:p>
    <w:p w:rsidR="00015E09" w:rsidRDefault="00615A90" w:rsidP="00015E09">
      <w:pPr>
        <w:pStyle w:val="ListParagraph"/>
        <w:numPr>
          <w:ilvl w:val="0"/>
          <w:numId w:val="148"/>
        </w:numPr>
        <w:jc w:val="both"/>
      </w:pPr>
      <w:r>
        <w:t xml:space="preserve">Създаването на фонд на фондовете може да бъде сложно и продължително начинание до постигане на споразумение. </w:t>
      </w:r>
    </w:p>
    <w:p w:rsidR="00015E09" w:rsidRDefault="00615A90" w:rsidP="00015E09">
      <w:pPr>
        <w:pStyle w:val="ListParagraph"/>
        <w:numPr>
          <w:ilvl w:val="0"/>
          <w:numId w:val="148"/>
        </w:numPr>
        <w:jc w:val="both"/>
      </w:pPr>
      <w:r>
        <w:t xml:space="preserve">Изисква допълнително ниво на докладване и мониторинг. </w:t>
      </w:r>
    </w:p>
    <w:p w:rsidR="00015E09" w:rsidRDefault="00856465" w:rsidP="00015E09">
      <w:pPr>
        <w:pStyle w:val="ListParagraph"/>
        <w:numPr>
          <w:ilvl w:val="0"/>
          <w:numId w:val="148"/>
        </w:numPr>
        <w:jc w:val="both"/>
      </w:pPr>
      <w:r>
        <w:t>Добавената стойност на фонд на фондовете е много ниска при налична експертиза на публичните институции в сферата на финансирането и управлението на фондове.</w:t>
      </w:r>
    </w:p>
    <w:p w:rsidR="005C0D18" w:rsidRDefault="005C0D18" w:rsidP="005C0D18">
      <w:pPr>
        <w:spacing w:line="256" w:lineRule="auto"/>
        <w:jc w:val="both"/>
        <w:rPr>
          <w:rFonts w:ascii="Calibri" w:eastAsia="Calibri" w:hAnsi="Calibri" w:cs="Times New Roman"/>
        </w:rPr>
      </w:pPr>
      <w:r w:rsidRPr="005C0D18">
        <w:rPr>
          <w:rFonts w:ascii="Calibri" w:eastAsia="Calibri" w:hAnsi="Calibri" w:cs="Times New Roman"/>
        </w:rPr>
        <w:t xml:space="preserve">Споразумението за финансиране </w:t>
      </w:r>
      <w:r>
        <w:rPr>
          <w:rFonts w:ascii="Calibri" w:eastAsia="Calibri" w:hAnsi="Calibri" w:cs="Times New Roman"/>
        </w:rPr>
        <w:t xml:space="preserve">се подписва на две нива: </w:t>
      </w:r>
    </w:p>
    <w:p w:rsidR="005C0D18" w:rsidRPr="005C0D18" w:rsidRDefault="005C0D18" w:rsidP="005C0D18">
      <w:pPr>
        <w:spacing w:line="256" w:lineRule="auto"/>
        <w:jc w:val="both"/>
        <w:rPr>
          <w:rFonts w:ascii="Calibri" w:eastAsia="Calibri" w:hAnsi="Calibri" w:cs="Times New Roman"/>
        </w:rPr>
      </w:pPr>
      <w:r>
        <w:rPr>
          <w:rFonts w:ascii="Calibri" w:eastAsia="Calibri" w:hAnsi="Calibri" w:cs="Times New Roman"/>
        </w:rPr>
        <w:t>Ниво</w:t>
      </w:r>
      <w:r w:rsidRPr="005C0D18">
        <w:rPr>
          <w:rFonts w:ascii="Calibri" w:eastAsia="Calibri" w:hAnsi="Calibri" w:cs="Times New Roman"/>
        </w:rPr>
        <w:t xml:space="preserve"> I – </w:t>
      </w:r>
      <w:r>
        <w:rPr>
          <w:rFonts w:ascii="Calibri" w:eastAsia="Calibri" w:hAnsi="Calibri" w:cs="Times New Roman"/>
        </w:rPr>
        <w:t>между държавата член или УО и Фонд на фондовете</w:t>
      </w:r>
      <w:r w:rsidRPr="005C0D18">
        <w:rPr>
          <w:rFonts w:ascii="Calibri" w:eastAsia="Calibri" w:hAnsi="Calibri" w:cs="Times New Roman"/>
        </w:rPr>
        <w:t xml:space="preserve">. </w:t>
      </w:r>
    </w:p>
    <w:p w:rsidR="005C0D18" w:rsidRDefault="005C0D18" w:rsidP="005C0D18">
      <w:pPr>
        <w:spacing w:line="256" w:lineRule="auto"/>
        <w:jc w:val="both"/>
        <w:rPr>
          <w:rFonts w:ascii="Calibri" w:eastAsia="Calibri" w:hAnsi="Calibri" w:cs="Times New Roman"/>
        </w:rPr>
      </w:pPr>
      <w:r>
        <w:rPr>
          <w:rFonts w:ascii="Calibri" w:eastAsia="Calibri" w:hAnsi="Calibri" w:cs="Times New Roman"/>
        </w:rPr>
        <w:t>Ниво</w:t>
      </w:r>
      <w:r w:rsidRPr="005C0D18">
        <w:rPr>
          <w:rFonts w:ascii="Calibri" w:eastAsia="Calibri" w:hAnsi="Calibri" w:cs="Times New Roman"/>
        </w:rPr>
        <w:t xml:space="preserve"> II – </w:t>
      </w:r>
      <w:r>
        <w:rPr>
          <w:rFonts w:ascii="Calibri" w:eastAsia="Calibri" w:hAnsi="Calibri" w:cs="Times New Roman"/>
        </w:rPr>
        <w:t xml:space="preserve">между държавата член или УО </w:t>
      </w:r>
      <w:r w:rsidRPr="005C0D18">
        <w:rPr>
          <w:rFonts w:ascii="Calibri" w:eastAsia="Calibri" w:hAnsi="Calibri" w:cs="Times New Roman"/>
        </w:rPr>
        <w:t>(</w:t>
      </w:r>
      <w:r>
        <w:rPr>
          <w:rFonts w:ascii="Calibri" w:eastAsia="Calibri" w:hAnsi="Calibri" w:cs="Times New Roman"/>
        </w:rPr>
        <w:t>или Фонд на фондовете ако е приложимо</w:t>
      </w:r>
      <w:r w:rsidRPr="005C0D18">
        <w:rPr>
          <w:rFonts w:ascii="Calibri" w:eastAsia="Calibri" w:hAnsi="Calibri" w:cs="Times New Roman"/>
        </w:rPr>
        <w:t>)</w:t>
      </w:r>
      <w:r>
        <w:rPr>
          <w:rFonts w:ascii="Calibri" w:eastAsia="Calibri" w:hAnsi="Calibri" w:cs="Times New Roman"/>
        </w:rPr>
        <w:t xml:space="preserve"> и индивидуалния финансов инструмент. Ниво </w:t>
      </w:r>
      <w:r>
        <w:rPr>
          <w:rFonts w:ascii="Calibri" w:eastAsia="Calibri" w:hAnsi="Calibri" w:cs="Times New Roman"/>
          <w:lang w:val="en-US"/>
        </w:rPr>
        <w:t xml:space="preserve">II </w:t>
      </w:r>
      <w:r>
        <w:rPr>
          <w:rFonts w:ascii="Calibri" w:eastAsia="Calibri" w:hAnsi="Calibri" w:cs="Times New Roman"/>
        </w:rPr>
        <w:t xml:space="preserve">на Споразумението за финансиране се нарича и оперативно споразумение. </w:t>
      </w:r>
    </w:p>
    <w:p w:rsidR="00442A03" w:rsidRPr="005C0D18" w:rsidRDefault="00442A03" w:rsidP="005C0D18">
      <w:pPr>
        <w:spacing w:line="256" w:lineRule="auto"/>
        <w:jc w:val="both"/>
        <w:rPr>
          <w:rFonts w:ascii="Calibri" w:eastAsia="Calibri" w:hAnsi="Calibri" w:cs="Times New Roman"/>
        </w:rPr>
      </w:pPr>
      <w:r>
        <w:rPr>
          <w:rFonts w:ascii="Calibri" w:eastAsia="Calibri" w:hAnsi="Calibri" w:cs="Times New Roman"/>
        </w:rPr>
        <w:t>При избор на структура без фонд на фондовете споразумението за финансиране се подписва само на второто ниво между държавата член или УО и финансовите инструменти.</w:t>
      </w:r>
    </w:p>
    <w:p w:rsidR="00442A03" w:rsidRDefault="005C0D18" w:rsidP="00442A03">
      <w:pPr>
        <w:jc w:val="both"/>
      </w:pPr>
      <w:r>
        <w:rPr>
          <w:rFonts w:ascii="Calibri" w:eastAsia="Calibri" w:hAnsi="Calibri" w:cs="Times New Roman"/>
        </w:rPr>
        <w:t xml:space="preserve">Споразумението за финансиране трябва да осигури коректното прилагане на стратегията, включително цели, които трябва да бъдат постигнати, целеви сектори и крайни получатели, които получават подкрепата, чрез последователна инвестиционна стратегия, гама от продукти, типове проекти и индикатори, които да бъдат постигнати, чрез финансовите инструменти. Споразумението за финансиране съдържа и правила, задължения и процедури, които да бъдат спазвани от ангажираните в процеса страни относно финансовия принос на ОП „Околна среда 2014-2020г.“ </w:t>
      </w:r>
      <w:r w:rsidRPr="005C0D18">
        <w:rPr>
          <w:rFonts w:ascii="Calibri" w:eastAsia="Calibri" w:hAnsi="Calibri" w:cs="Times New Roman"/>
        </w:rPr>
        <w:t xml:space="preserve">  </w:t>
      </w:r>
      <w:r w:rsidR="00442A03">
        <w:t>В допълнение, споразуменията за финансиране, следва също така да съдържат правила и условия за това кога и как изплатените заемни средства трябва да бъдат върнати на Управляващия орган.</w:t>
      </w:r>
    </w:p>
    <w:p w:rsidR="00AE41E0" w:rsidRPr="0022736C" w:rsidRDefault="00AE41E0" w:rsidP="00AE41E0">
      <w:pPr>
        <w:jc w:val="both"/>
      </w:pPr>
      <w:r w:rsidRPr="0022736C">
        <w:lastRenderedPageBreak/>
        <w:t>Поради високите инвестиционни разходи във ВиК инфраструктура, не се препоръчва заемите да се отпускат на ВиК дружествата, чрез търговски банки</w:t>
      </w:r>
      <w:r w:rsidR="00F976B0" w:rsidRPr="0022736C">
        <w:t>, повечето от които не могат да си позволят да добавят собствен ресурс в такъв размер</w:t>
      </w:r>
      <w:r w:rsidRPr="0022736C">
        <w:t xml:space="preserve">, а директно чрез една банкова институция, която е определена за финансов посредник. </w:t>
      </w:r>
      <w:r w:rsidR="00F976B0" w:rsidRPr="0022736C">
        <w:t xml:space="preserve">Участието на много банки не носи </w:t>
      </w:r>
      <w:r w:rsidR="00382F6A" w:rsidRPr="0022736C">
        <w:t>добавена стойност в случая.</w:t>
      </w:r>
    </w:p>
    <w:p w:rsidR="00442A03" w:rsidRPr="0022736C" w:rsidRDefault="00F976B0" w:rsidP="00AE41E0">
      <w:pPr>
        <w:jc w:val="both"/>
      </w:pPr>
      <w:r w:rsidRPr="0022736C">
        <w:t>С</w:t>
      </w:r>
      <w:r w:rsidR="00442A03" w:rsidRPr="0022736C">
        <w:t xml:space="preserve">равнително ниските нива на инвестиционните разходи, необходими за реализиране на инвестиции в сектор отпадъци, където ще се прилагат само гаранции, </w:t>
      </w:r>
      <w:r w:rsidR="0022736C" w:rsidRPr="0022736C">
        <w:t xml:space="preserve">е препоръчително да се приложат, чрез </w:t>
      </w:r>
      <w:r w:rsidRPr="0022736C">
        <w:t>множество банки посредници, които са достатъчно ликвидни, за да осигурят заем срещу предоставената от гаранционния фонд гаранция, което доприняся за постигане ефекта на лоста.</w:t>
      </w:r>
      <w:r w:rsidR="00442A03" w:rsidRPr="0022736C">
        <w:t xml:space="preserve"> </w:t>
      </w:r>
    </w:p>
    <w:p w:rsidR="0022736C" w:rsidRDefault="0022736C" w:rsidP="00AE41E0">
      <w:pPr>
        <w:jc w:val="both"/>
      </w:pPr>
      <w:r w:rsidRPr="0022736C">
        <w:t>Използването на фонд на фондовете не е препоръчително предвид усложняване схемата на работа и по-дългия срок за структурирането му.</w:t>
      </w:r>
    </w:p>
    <w:p w:rsidR="00E91EF8" w:rsidRDefault="003C3B56" w:rsidP="003C3B56">
      <w:pPr>
        <w:jc w:val="both"/>
      </w:pPr>
      <w:r>
        <w:t>Банката</w:t>
      </w:r>
      <w:r w:rsidR="00F51069">
        <w:t xml:space="preserve"> посредник</w:t>
      </w:r>
      <w:r>
        <w:t>, която очевидно трябва да има лиценз за банкова дейност, може да бъде избрана чрез публична процедура за избор на изпълнител</w:t>
      </w:r>
      <w:r w:rsidR="00F51069">
        <w:t xml:space="preserve"> или</w:t>
      </w:r>
      <w:r>
        <w:t xml:space="preserve"> Управляващият орган директно </w:t>
      </w:r>
      <w:r w:rsidR="00F51069">
        <w:t xml:space="preserve">да </w:t>
      </w:r>
      <w:r>
        <w:t>изб</w:t>
      </w:r>
      <w:r w:rsidR="00F51069">
        <w:t>ере</w:t>
      </w:r>
      <w:r>
        <w:t xml:space="preserve"> съществуваща банка, за която не се прилага ЗОП (каквато е ББР), </w:t>
      </w:r>
      <w:r w:rsidR="00F51069">
        <w:t xml:space="preserve">като </w:t>
      </w:r>
      <w:r w:rsidR="00E91EF8">
        <w:t>директно се догов</w:t>
      </w:r>
      <w:r w:rsidR="00F51069">
        <w:t>о</w:t>
      </w:r>
      <w:r w:rsidR="00E91EF8">
        <w:t>рят условията и се сключ</w:t>
      </w:r>
      <w:r w:rsidR="00F51069">
        <w:t>и</w:t>
      </w:r>
      <w:r w:rsidR="00E91EF8">
        <w:t xml:space="preserve"> споразумението</w:t>
      </w:r>
      <w:r>
        <w:t>. Целта следва да бъде банката</w:t>
      </w:r>
      <w:r w:rsidR="00E91EF8">
        <w:t xml:space="preserve"> да</w:t>
      </w:r>
      <w:r>
        <w:t xml:space="preserve"> предоставя инвестиционни кредити директно на потенциалните кредитополучатели. Това предполага, че проверката на кредитоспособността, изплащането на кредита и мониторинг</w:t>
      </w:r>
      <w:r w:rsidR="00E91EF8">
        <w:t>а, както и оценката на</w:t>
      </w:r>
      <w:r>
        <w:t xml:space="preserve"> риска за рефинансиране </w:t>
      </w:r>
      <w:r w:rsidR="00E91EF8">
        <w:t>се извършва от банката</w:t>
      </w:r>
      <w:r>
        <w:t xml:space="preserve">. Банката може или да образува отделен фонд или просто да държи активите на </w:t>
      </w:r>
      <w:r w:rsidR="00E91EF8">
        <w:t>фонда</w:t>
      </w:r>
      <w:r>
        <w:t xml:space="preserve"> в отделна сметка (отделен финансов блок, като част от целия баланс на банката). </w:t>
      </w:r>
    </w:p>
    <w:p w:rsidR="00E91EF8" w:rsidRDefault="00E91EF8" w:rsidP="003C3B56">
      <w:pPr>
        <w:jc w:val="both"/>
      </w:pPr>
      <w:r>
        <w:t>Б</w:t>
      </w:r>
      <w:r w:rsidR="00DD30D6">
        <w:t>анката получава средствата от ЕСИФ</w:t>
      </w:r>
      <w:r w:rsidR="003C3B56">
        <w:t xml:space="preserve"> и съответното </w:t>
      </w:r>
      <w:r>
        <w:t xml:space="preserve">съфинансиране </w:t>
      </w:r>
      <w:r w:rsidR="003C3B56">
        <w:t xml:space="preserve">от Управляващия орган въз основа на споразумението за финансиране. Въпреки това, ако е необходимо, </w:t>
      </w:r>
      <w:r>
        <w:t>УО</w:t>
      </w:r>
      <w:r w:rsidR="003C3B56">
        <w:t xml:space="preserve"> може да включ</w:t>
      </w:r>
      <w:r>
        <w:t>и</w:t>
      </w:r>
      <w:r w:rsidR="003C3B56">
        <w:t xml:space="preserve"> в поканата за представяне на оферти задължение на банката да осигури съфинансиране от собствения си капитал. </w:t>
      </w:r>
    </w:p>
    <w:p w:rsidR="00420C4B" w:rsidRDefault="00420C4B" w:rsidP="00420C4B">
      <w:pPr>
        <w:jc w:val="both"/>
      </w:pPr>
      <w:r>
        <w:t xml:space="preserve">Като част от процедурата за избор на изпълнител кандидатите трябва да представят бизнес план, който да бъде приложен към Споразумението за финансиране.    </w:t>
      </w:r>
    </w:p>
    <w:p w:rsidR="00420C4B" w:rsidRDefault="00420C4B" w:rsidP="00420C4B">
      <w:pPr>
        <w:jc w:val="both"/>
      </w:pPr>
      <w:r>
        <w:t>Бизнес планът е от изключително значение, тъй като в него се определят обхватът и целите, инвестиционната стратегия, размера на финансовите инструменти, както и резултатите, измерени, чрез индикаторите за успех на финансовия инструмент. Той трябва да включва следното:</w:t>
      </w:r>
    </w:p>
    <w:p w:rsidR="00420C4B" w:rsidRDefault="00420C4B" w:rsidP="00420C4B">
      <w:pPr>
        <w:jc w:val="both"/>
      </w:pPr>
      <w:r w:rsidRPr="00360287">
        <w:rPr>
          <w:b/>
        </w:rPr>
        <w:t>Инвестиционна политика</w:t>
      </w:r>
      <w:r w:rsidR="00360287">
        <w:rPr>
          <w:b/>
        </w:rPr>
        <w:t xml:space="preserve"> на фонда</w:t>
      </w:r>
      <w:r>
        <w:t xml:space="preserve">:  инвестиционни цели, резюме на портфолиото от потенциални проекти, включително методология за избор на </w:t>
      </w:r>
      <w:r w:rsidR="00360287">
        <w:t>проекти, проектни индикатори, допустимост на крайните получатели, риск профил, срок, финансови и регулаторни ограничения.</w:t>
      </w:r>
      <w:r>
        <w:t xml:space="preserve">  </w:t>
      </w:r>
    </w:p>
    <w:p w:rsidR="00420C4B" w:rsidRDefault="00360287" w:rsidP="00420C4B">
      <w:pPr>
        <w:jc w:val="both"/>
      </w:pPr>
      <w:r w:rsidRPr="00360287">
        <w:rPr>
          <w:b/>
        </w:rPr>
        <w:t>Инвестиционен срок</w:t>
      </w:r>
      <w:r w:rsidR="00420C4B">
        <w:t xml:space="preserve">: </w:t>
      </w:r>
      <w:r>
        <w:t>Предлага срок за жизнен цикъл на финансовия инструмент, който ограничава периода на инвестицията.</w:t>
      </w:r>
      <w:r w:rsidR="00420C4B">
        <w:t xml:space="preserve"> </w:t>
      </w:r>
    </w:p>
    <w:p w:rsidR="00420C4B" w:rsidRDefault="00360287" w:rsidP="00420C4B">
      <w:pPr>
        <w:jc w:val="both"/>
      </w:pPr>
      <w:r w:rsidRPr="00360287">
        <w:rPr>
          <w:b/>
        </w:rPr>
        <w:t>Национално съфинансиране</w:t>
      </w:r>
      <w:r w:rsidR="00420C4B">
        <w:t xml:space="preserve">:  </w:t>
      </w:r>
      <w:r>
        <w:t>остойностява националното съфинансиране</w:t>
      </w:r>
      <w:r w:rsidR="00420C4B">
        <w:t xml:space="preserve">. </w:t>
      </w:r>
    </w:p>
    <w:p w:rsidR="00420C4B" w:rsidRDefault="00360287" w:rsidP="00420C4B">
      <w:pPr>
        <w:jc w:val="both"/>
      </w:pPr>
      <w:r w:rsidRPr="00360287">
        <w:rPr>
          <w:b/>
        </w:rPr>
        <w:lastRenderedPageBreak/>
        <w:t xml:space="preserve">Публични и частни привлечени средства за </w:t>
      </w:r>
      <w:r w:rsidR="00DD30D6">
        <w:rPr>
          <w:b/>
        </w:rPr>
        <w:t>ко</w:t>
      </w:r>
      <w:r w:rsidRPr="00360287">
        <w:rPr>
          <w:b/>
        </w:rPr>
        <w:t>инвестиции</w:t>
      </w:r>
      <w:r w:rsidR="00420C4B">
        <w:t xml:space="preserve">: </w:t>
      </w:r>
      <w:r>
        <w:t>определя очакваното ниво на съинвестиции на ниво фонд на фондовете, на ниво финансов инструмент или на ниво краен получател.</w:t>
      </w:r>
      <w:r w:rsidR="00420C4B">
        <w:t xml:space="preserve"> </w:t>
      </w:r>
    </w:p>
    <w:p w:rsidR="00360287" w:rsidRDefault="00360287" w:rsidP="00420C4B">
      <w:pPr>
        <w:jc w:val="both"/>
      </w:pPr>
      <w:r w:rsidRPr="00360287">
        <w:rPr>
          <w:b/>
        </w:rPr>
        <w:t>Правна и организационна структура</w:t>
      </w:r>
      <w:r w:rsidR="00420C4B">
        <w:t xml:space="preserve">: </w:t>
      </w:r>
      <w:r>
        <w:t>описва правната рамка и дяловото участие.</w:t>
      </w:r>
    </w:p>
    <w:p w:rsidR="00360287" w:rsidRDefault="00360287" w:rsidP="00420C4B">
      <w:pPr>
        <w:jc w:val="both"/>
      </w:pPr>
      <w:r w:rsidRPr="00360287">
        <w:rPr>
          <w:b/>
        </w:rPr>
        <w:t>Разходи и такси за управление</w:t>
      </w:r>
      <w:r w:rsidR="00420C4B">
        <w:t xml:space="preserve">: </w:t>
      </w:r>
      <w:r>
        <w:t>определя предложеното ниво на таксите за управление, включително образуване на таксите и метод на изчисление.</w:t>
      </w:r>
    </w:p>
    <w:p w:rsidR="00360287" w:rsidRDefault="00360287" w:rsidP="00420C4B">
      <w:pPr>
        <w:jc w:val="both"/>
      </w:pPr>
      <w:r w:rsidRPr="00360287">
        <w:rPr>
          <w:b/>
        </w:rPr>
        <w:t>Мониторинг и докладване</w:t>
      </w:r>
      <w:r w:rsidR="00420C4B">
        <w:t xml:space="preserve">: </w:t>
      </w:r>
      <w:r>
        <w:t>процедури за мониторинг и докладване в съответствие с регламентите на ЕС.</w:t>
      </w:r>
      <w:r w:rsidR="00420C4B">
        <w:t xml:space="preserve">  </w:t>
      </w:r>
    </w:p>
    <w:p w:rsidR="00360287" w:rsidRDefault="00360287" w:rsidP="00420C4B">
      <w:pPr>
        <w:jc w:val="both"/>
      </w:pPr>
      <w:r w:rsidRPr="00360287">
        <w:rPr>
          <w:b/>
        </w:rPr>
        <w:t>Процедура по одит</w:t>
      </w:r>
      <w:r w:rsidR="00420C4B">
        <w:t xml:space="preserve">: </w:t>
      </w:r>
      <w:r>
        <w:t xml:space="preserve">Фонд мениджърът ще получава регулярни отчети от независим одитор, посочен в споразуменията за структуриране на финансовите инструменти. </w:t>
      </w:r>
    </w:p>
    <w:p w:rsidR="00420C4B" w:rsidRDefault="009C521D" w:rsidP="00420C4B">
      <w:pPr>
        <w:jc w:val="both"/>
      </w:pPr>
      <w:r w:rsidRPr="009C521D">
        <w:rPr>
          <w:b/>
        </w:rPr>
        <w:t>Процедури за приключване на инвестициите и повторно използване на ресурсите</w:t>
      </w:r>
      <w:r>
        <w:t>:</w:t>
      </w:r>
      <w:r w:rsidR="00420C4B">
        <w:t xml:space="preserve"> </w:t>
      </w:r>
      <w:r>
        <w:t>планове за първоначални и последващи инвестиции, както и стратегии за излизане от пазара</w:t>
      </w:r>
      <w:r w:rsidR="00420C4B">
        <w:t>.</w:t>
      </w:r>
    </w:p>
    <w:p w:rsidR="00175AB3" w:rsidRDefault="00175AB3" w:rsidP="007B12DD">
      <w:pPr>
        <w:jc w:val="both"/>
      </w:pPr>
      <w:r>
        <w:t xml:space="preserve">Фонд мениджърът следва да обмисли различните предпоставки с цел привличане на частно финансиране (нива на лихвите, рискове за ликвидност, стимули за частния и публичния сектор, ниво на публична подкрепа). Фонд мениджърът следва да оценява финансовата ефективност на инвестициите </w:t>
      </w:r>
      <w:r w:rsidR="007B12DD">
        <w:t xml:space="preserve">и да идентифицира рисковете и възможностите за интервенции от страна на частните инвеститори. Независимо от конкретния им тип, финансовите инструменти следва да спазват принципа на споделяне на риска с публичните и частните съинвеститори. </w:t>
      </w:r>
    </w:p>
    <w:p w:rsidR="00835F5C" w:rsidRDefault="00E9037D" w:rsidP="00175AB3">
      <w:r>
        <w:t>Преди пристъпване към фазата на прилагане на финансовите инструменти, фонд мениджърът следва да определи правилата за управление и процесите, които:</w:t>
      </w:r>
    </w:p>
    <w:p w:rsidR="00E9037D" w:rsidRDefault="00E9037D" w:rsidP="004106F9">
      <w:pPr>
        <w:pStyle w:val="ListParagraph"/>
        <w:numPr>
          <w:ilvl w:val="0"/>
          <w:numId w:val="149"/>
        </w:numPr>
        <w:jc w:val="both"/>
      </w:pPr>
      <w:r>
        <w:t>Определят параметрите на пр</w:t>
      </w:r>
      <w:r w:rsidR="004106F9">
        <w:t>илаганите финансови инструменти;</w:t>
      </w:r>
    </w:p>
    <w:p w:rsidR="00E9037D" w:rsidRDefault="00E9037D" w:rsidP="004106F9">
      <w:pPr>
        <w:pStyle w:val="ListParagraph"/>
        <w:numPr>
          <w:ilvl w:val="0"/>
          <w:numId w:val="149"/>
        </w:numPr>
        <w:jc w:val="both"/>
      </w:pPr>
      <w:r>
        <w:t>Осигуряват ясен процес на взема на решения (например решения за инвестиции)</w:t>
      </w:r>
      <w:r w:rsidR="004106F9">
        <w:t>;</w:t>
      </w:r>
    </w:p>
    <w:p w:rsidR="00E9037D" w:rsidRDefault="00E9037D" w:rsidP="004106F9">
      <w:pPr>
        <w:pStyle w:val="ListParagraph"/>
        <w:numPr>
          <w:ilvl w:val="0"/>
          <w:numId w:val="149"/>
        </w:numPr>
        <w:jc w:val="both"/>
      </w:pPr>
      <w:r>
        <w:t>Определят принципите на управление (инвестиционна политика и процес на одобрение)</w:t>
      </w:r>
      <w:r w:rsidR="004106F9">
        <w:t>;</w:t>
      </w:r>
    </w:p>
    <w:p w:rsidR="00E9037D" w:rsidRDefault="00E9037D" w:rsidP="004106F9">
      <w:pPr>
        <w:pStyle w:val="ListParagraph"/>
        <w:numPr>
          <w:ilvl w:val="0"/>
          <w:numId w:val="149"/>
        </w:numPr>
        <w:jc w:val="both"/>
      </w:pPr>
      <w:r>
        <w:t>Определят всякакви допълнителни процедури за управление и контрол (стратегия за управление на риска, процедура за разрешаване на въпроси, възникващи по време на прилагането на финансови инструменти от ст</w:t>
      </w:r>
      <w:r w:rsidR="004106F9">
        <w:t>рана на УО и Фонда на фондовете към Фонд мениджъра;</w:t>
      </w:r>
    </w:p>
    <w:p w:rsidR="004106F9" w:rsidRDefault="004106F9" w:rsidP="004106F9">
      <w:pPr>
        <w:pStyle w:val="ListParagraph"/>
        <w:numPr>
          <w:ilvl w:val="0"/>
          <w:numId w:val="149"/>
        </w:numPr>
        <w:jc w:val="both"/>
      </w:pPr>
      <w:r>
        <w:t>Определят ясни роли и отговорности в одобрението на инвестициите, мониторинга и наблюдение на изпълнението и балансираното вземане на решения на база проверка на информацията;</w:t>
      </w:r>
    </w:p>
    <w:p w:rsidR="00A72913" w:rsidRDefault="00A72913" w:rsidP="00A72913">
      <w:pPr>
        <w:jc w:val="both"/>
      </w:pPr>
      <w:r>
        <w:t>На база предложенията на кандидатите за фонд мениджър по всички изброени дотук въпроси, УО или Фондът на фондовете</w:t>
      </w:r>
      <w:r w:rsidR="00DD30D6">
        <w:t xml:space="preserve"> (ако все пак се избере този вариант)</w:t>
      </w:r>
      <w:r>
        <w:t xml:space="preserve"> може да вземе решение за това кой е най-подходящият от тях, като оцени дали отговарят на следните минимални изисквания:</w:t>
      </w:r>
    </w:p>
    <w:p w:rsidR="008255A3" w:rsidRDefault="00A72913" w:rsidP="00A72913">
      <w:pPr>
        <w:jc w:val="both"/>
      </w:pPr>
      <w:r w:rsidRPr="00A72913">
        <w:t xml:space="preserve">а) да има право да изпълнява съответните задачи по прилагането на финансовите инструменти съгласно правото на Съюза и националното право; </w:t>
      </w:r>
    </w:p>
    <w:p w:rsidR="008255A3" w:rsidRDefault="00A72913" w:rsidP="00A72913">
      <w:pPr>
        <w:jc w:val="both"/>
      </w:pPr>
      <w:r w:rsidRPr="00A72913">
        <w:t xml:space="preserve">б) има подходяща икономическа и финансова жизнеспособност; </w:t>
      </w:r>
    </w:p>
    <w:p w:rsidR="008255A3" w:rsidRDefault="00A72913" w:rsidP="00A72913">
      <w:pPr>
        <w:jc w:val="both"/>
      </w:pPr>
      <w:r w:rsidRPr="00A72913">
        <w:lastRenderedPageBreak/>
        <w:t xml:space="preserve">в) има подходящ капацитет за прилагане на финансовия инструмент, включително организационна структура и рамка за управление, осигуряващи необходимата увереност за управляващия орган; </w:t>
      </w:r>
    </w:p>
    <w:p w:rsidR="008255A3" w:rsidRDefault="00A72913" w:rsidP="00A72913">
      <w:pPr>
        <w:jc w:val="both"/>
      </w:pPr>
      <w:r w:rsidRPr="00A72913">
        <w:t xml:space="preserve">г) разполага с ефективна и ефикасна система за вътрешен контрол; </w:t>
      </w:r>
    </w:p>
    <w:p w:rsidR="008255A3" w:rsidRDefault="00A72913" w:rsidP="00A72913">
      <w:pPr>
        <w:jc w:val="both"/>
      </w:pPr>
      <w:r w:rsidRPr="00A72913">
        <w:t xml:space="preserve">д) използва счетоводна система, осигуряваща своевременно точна, пълна и надеждна информация; </w:t>
      </w:r>
    </w:p>
    <w:p w:rsidR="008255A3" w:rsidRDefault="00A72913" w:rsidP="00A72913">
      <w:pPr>
        <w:jc w:val="both"/>
      </w:pPr>
      <w:r w:rsidRPr="00A72913">
        <w:t xml:space="preserve">е) споразумението трябва да бъде одитирано от одитните органи на държавата членка, Комисията и Европейската сметна палата. </w:t>
      </w:r>
    </w:p>
    <w:p w:rsidR="00A72913" w:rsidRDefault="008255A3" w:rsidP="00A72913">
      <w:pPr>
        <w:jc w:val="both"/>
      </w:pPr>
      <w:r>
        <w:t>Освен на минималните</w:t>
      </w:r>
      <w:r w:rsidR="00A72913" w:rsidRPr="00A72913">
        <w:t xml:space="preserve"> </w:t>
      </w:r>
      <w:r w:rsidR="008614F1">
        <w:t>изисквания, УО или Фондът на фондовете следва да оцени</w:t>
      </w:r>
      <w:r w:rsidR="00A72913" w:rsidRPr="00A72913">
        <w:t xml:space="preserve"> опита на организацията в прилагането на финансови инструменти със сходно естеството, експертните знания и опита на предвидените членове на екипа, както и оперативния и финансовия капацитет на организацията.   </w:t>
      </w:r>
    </w:p>
    <w:p w:rsidR="00F00027" w:rsidRPr="00835F5C" w:rsidRDefault="00F00027" w:rsidP="00A72913">
      <w:pPr>
        <w:jc w:val="both"/>
      </w:pPr>
    </w:p>
    <w:p w:rsidR="00BC66BD" w:rsidRPr="00C370EC" w:rsidRDefault="00BC66BD" w:rsidP="00181C9C">
      <w:pPr>
        <w:pStyle w:val="Heading2"/>
        <w:jc w:val="both"/>
        <w:rPr>
          <w:rFonts w:asciiTheme="minorHAnsi" w:hAnsiTheme="minorHAnsi" w:cs="Times New Roman"/>
        </w:rPr>
      </w:pPr>
      <w:bookmarkStart w:id="187" w:name="_Toc399494574"/>
      <w:r w:rsidRPr="00C370EC">
        <w:rPr>
          <w:rFonts w:asciiTheme="minorHAnsi" w:hAnsiTheme="minorHAnsi" w:cs="Times New Roman"/>
        </w:rPr>
        <w:t xml:space="preserve">5.6. Структура и механизъм за управление на </w:t>
      </w:r>
      <w:r w:rsidR="007B40C0" w:rsidRPr="00C370EC">
        <w:rPr>
          <w:rFonts w:asciiTheme="minorHAnsi" w:hAnsiTheme="minorHAnsi" w:cs="Times New Roman"/>
        </w:rPr>
        <w:t>инструментите:</w:t>
      </w:r>
      <w:bookmarkEnd w:id="187"/>
    </w:p>
    <w:p w:rsidR="00BC66BD" w:rsidRDefault="00B23F4D" w:rsidP="00181C9C">
      <w:pPr>
        <w:pStyle w:val="Heading2"/>
        <w:jc w:val="both"/>
        <w:rPr>
          <w:rFonts w:asciiTheme="minorHAnsi" w:hAnsiTheme="minorHAnsi" w:cs="Times New Roman"/>
        </w:rPr>
      </w:pPr>
      <w:bookmarkStart w:id="188" w:name="_Toc399494575"/>
      <w:r>
        <w:rPr>
          <w:rFonts w:asciiTheme="minorHAnsi" w:hAnsiTheme="minorHAnsi" w:cs="Times New Roman"/>
        </w:rPr>
        <w:t>А. Н</w:t>
      </w:r>
      <w:r w:rsidR="00BC66BD" w:rsidRPr="00C370EC">
        <w:rPr>
          <w:rFonts w:asciiTheme="minorHAnsi" w:hAnsiTheme="minorHAnsi" w:cs="Times New Roman"/>
        </w:rPr>
        <w:t>адграждане на съществуващи или създаване на нови финансови инструменти</w:t>
      </w:r>
      <w:r>
        <w:rPr>
          <w:rFonts w:asciiTheme="minorHAnsi" w:hAnsiTheme="minorHAnsi" w:cs="Times New Roman"/>
        </w:rPr>
        <w:t>.</w:t>
      </w:r>
      <w:bookmarkEnd w:id="188"/>
    </w:p>
    <w:p w:rsidR="00A833FB" w:rsidRDefault="00A833FB" w:rsidP="00A833FB">
      <w:pPr>
        <w:jc w:val="both"/>
      </w:pPr>
    </w:p>
    <w:p w:rsidR="00A833FB" w:rsidRPr="00D926F6" w:rsidRDefault="007205C4" w:rsidP="00A833FB">
      <w:pPr>
        <w:jc w:val="both"/>
      </w:pPr>
      <w:r>
        <w:t>След избора н</w:t>
      </w:r>
      <w:r w:rsidR="00A833FB">
        <w:t>а структур</w:t>
      </w:r>
      <w:r>
        <w:t>ата з</w:t>
      </w:r>
      <w:r w:rsidR="00A833FB">
        <w:t>а прилагане на финансовите инструменти УО следва да определи типа на финансовите инструменти. Както беше описано в т. 5.1. подходящите за прилагане инструменти за намаляване ефекта на пазарните неуспехи и неоптимални инвестиционни ситуации са специално създадените, тъй като на пазара не се предлагат инструменти за сектор околна среда</w:t>
      </w:r>
      <w:r>
        <w:rPr>
          <w:rStyle w:val="FootnoteReference"/>
        </w:rPr>
        <w:footnoteReference w:id="132"/>
      </w:r>
      <w:r w:rsidR="00A833FB">
        <w:t xml:space="preserve">. Освен това, крайните получатели в сектор Води са специфични и до момента не са структурирани инструменти, които да адресират техните нужди. Гаранционният инструмент в сектор Отпадъци е подобен на предлагания инструмент за МСП по </w:t>
      </w:r>
      <w:r w:rsidR="00A833FB">
        <w:rPr>
          <w:lang w:val="en-US"/>
        </w:rPr>
        <w:t xml:space="preserve">JEREMIЕ, </w:t>
      </w:r>
      <w:r w:rsidR="00A833FB" w:rsidRPr="00D926F6">
        <w:t>но включва</w:t>
      </w:r>
      <w:r w:rsidR="00A833FB">
        <w:t xml:space="preserve"> крайни получатели, които не са сред възможните получатели по </w:t>
      </w:r>
      <w:r w:rsidR="00A833FB">
        <w:rPr>
          <w:lang w:val="en-US"/>
        </w:rPr>
        <w:t xml:space="preserve">JEREMIE, </w:t>
      </w:r>
      <w:r w:rsidR="00A833FB">
        <w:t xml:space="preserve">както и предвиждат различен допустим размер на финансиране, което изисква структурирането на нов инструмент. Друг фактор за структурирането на нов инструмент са предвижданията за комбинация между безвъзмездна помощ и финансови средства, което може да се направи единствено, чрез </w:t>
      </w:r>
      <w:r>
        <w:t>разработването</w:t>
      </w:r>
      <w:r w:rsidR="00A833FB">
        <w:t xml:space="preserve"> на нов финансов инструмент.</w:t>
      </w:r>
    </w:p>
    <w:p w:rsidR="00BC66BD" w:rsidRDefault="00B23F4D" w:rsidP="00181C9C">
      <w:pPr>
        <w:pStyle w:val="Heading2"/>
        <w:jc w:val="both"/>
        <w:rPr>
          <w:rFonts w:asciiTheme="minorHAnsi" w:hAnsiTheme="minorHAnsi" w:cs="Times New Roman"/>
        </w:rPr>
      </w:pPr>
      <w:bookmarkStart w:id="189" w:name="_Toc399494576"/>
      <w:r>
        <w:rPr>
          <w:rFonts w:asciiTheme="minorHAnsi" w:hAnsiTheme="minorHAnsi" w:cs="Times New Roman"/>
        </w:rPr>
        <w:t>Б. С</w:t>
      </w:r>
      <w:r w:rsidR="00BC66BD" w:rsidRPr="00C370EC">
        <w:rPr>
          <w:rFonts w:asciiTheme="minorHAnsi" w:hAnsiTheme="minorHAnsi" w:cs="Times New Roman"/>
        </w:rPr>
        <w:t>ъотношение между финансовите инструменти в случай на комбиниране/припокриване</w:t>
      </w:r>
      <w:bookmarkEnd w:id="189"/>
    </w:p>
    <w:p w:rsidR="004F7899" w:rsidRDefault="004F7899" w:rsidP="007205C4">
      <w:pPr>
        <w:spacing w:before="240"/>
        <w:jc w:val="both"/>
      </w:pPr>
      <w:r>
        <w:t>Съгласно чл. 37 (7) Регламент</w:t>
      </w:r>
      <w:r>
        <w:rPr>
          <w:lang w:val="en-US"/>
        </w:rPr>
        <w:t xml:space="preserve"> 1303 </w:t>
      </w:r>
      <w:r>
        <w:t>финансовите инструменти могат да се комбинират с безвъзмездна помощ под формата на:</w:t>
      </w:r>
    </w:p>
    <w:p w:rsidR="004F7899" w:rsidRDefault="004F7899" w:rsidP="001A036E">
      <w:pPr>
        <w:pStyle w:val="ListParagraph"/>
        <w:numPr>
          <w:ilvl w:val="0"/>
          <w:numId w:val="133"/>
        </w:numPr>
        <w:jc w:val="both"/>
      </w:pPr>
      <w:r>
        <w:t xml:space="preserve">Грант за техническа помощ, субсидии на лихвите и субсидии на таксите по гаранции могат да се комбинират с финансовите инструменти, чрез едновременно отпускане, </w:t>
      </w:r>
      <w:r>
        <w:lastRenderedPageBreak/>
        <w:t xml:space="preserve">когато са директно свързани с финансовия инструмент и се отпускат на едни и същи крайни получатели.  </w:t>
      </w:r>
    </w:p>
    <w:p w:rsidR="004F7899" w:rsidRDefault="004F7899" w:rsidP="001A036E">
      <w:pPr>
        <w:pStyle w:val="ListParagraph"/>
        <w:numPr>
          <w:ilvl w:val="0"/>
          <w:numId w:val="133"/>
        </w:numPr>
        <w:jc w:val="both"/>
      </w:pPr>
      <w:r>
        <w:t xml:space="preserve">При все това средствата, отпуснати от безвъзмездна помощ, и тези по финансовия инструмент се отчитат отделно.   </w:t>
      </w:r>
    </w:p>
    <w:p w:rsidR="004F7899" w:rsidRDefault="004F7899" w:rsidP="001A036E">
      <w:pPr>
        <w:pStyle w:val="ListParagraph"/>
        <w:numPr>
          <w:ilvl w:val="0"/>
          <w:numId w:val="133"/>
        </w:numPr>
        <w:jc w:val="both"/>
      </w:pPr>
      <w:r>
        <w:t xml:space="preserve">Крайните получатели, които получават подкрепа, чрез финансов инструмент, финансиран от ЕСИФ, могат получат финансиране по друг приоритет или програма на ЕСИФ, както и от друг инструмент, подкрепен от бюджета на Съюза.  </w:t>
      </w:r>
    </w:p>
    <w:p w:rsidR="004F7899" w:rsidRDefault="004F7899" w:rsidP="001A036E">
      <w:pPr>
        <w:pStyle w:val="ListParagraph"/>
        <w:numPr>
          <w:ilvl w:val="0"/>
          <w:numId w:val="133"/>
        </w:numPr>
        <w:jc w:val="both"/>
      </w:pPr>
      <w:r>
        <w:t>Това означава, че двете форми на подкрепа са две отделни операции с отделни допустими разходи.</w:t>
      </w:r>
    </w:p>
    <w:p w:rsidR="004F7899" w:rsidRDefault="004F7899" w:rsidP="001A036E">
      <w:pPr>
        <w:pStyle w:val="ListParagraph"/>
        <w:numPr>
          <w:ilvl w:val="0"/>
          <w:numId w:val="133"/>
        </w:numPr>
      </w:pPr>
      <w:r>
        <w:t xml:space="preserve">Води се отделна отчетност за двете форми на подкрепа.    </w:t>
      </w:r>
    </w:p>
    <w:p w:rsidR="004F7899" w:rsidRDefault="004F7899" w:rsidP="007205C4">
      <w:pPr>
        <w:jc w:val="both"/>
      </w:pPr>
      <w:r>
        <w:t xml:space="preserve">Основните предимства на комбинирането на финансови инструменти и безвъзмездна помощ са следните: </w:t>
      </w:r>
    </w:p>
    <w:p w:rsidR="004F7899" w:rsidRDefault="004F7899" w:rsidP="001A036E">
      <w:pPr>
        <w:pStyle w:val="ListParagraph"/>
        <w:numPr>
          <w:ilvl w:val="0"/>
          <w:numId w:val="134"/>
        </w:numPr>
        <w:jc w:val="both"/>
      </w:pPr>
      <w:r>
        <w:t xml:space="preserve">Обуславя прехода от режим на БФП към револвиращи финансови инструменти, като премахва зависимостта от БФП.  </w:t>
      </w:r>
    </w:p>
    <w:p w:rsidR="004F7899" w:rsidRDefault="004F7899" w:rsidP="001A036E">
      <w:pPr>
        <w:pStyle w:val="ListParagraph"/>
        <w:numPr>
          <w:ilvl w:val="0"/>
          <w:numId w:val="134"/>
        </w:numPr>
        <w:jc w:val="both"/>
      </w:pPr>
      <w:r>
        <w:t xml:space="preserve">Гъвкавост в избора на подходяща комбинация от БФП и ФИ, в зависимост от специфичните нужди на крайните получатели и достъпа им до финансиране, където ФИ може да е по-полезен, независимо, че интензитетът на субсидията е по-нисък. </w:t>
      </w:r>
    </w:p>
    <w:p w:rsidR="004F7899" w:rsidRPr="004F7899" w:rsidRDefault="004F7899" w:rsidP="004F7899"/>
    <w:p w:rsidR="00BC66BD" w:rsidRPr="00C370EC" w:rsidRDefault="00BC66BD" w:rsidP="00181C9C">
      <w:pPr>
        <w:pStyle w:val="Heading2"/>
        <w:jc w:val="both"/>
        <w:rPr>
          <w:rFonts w:asciiTheme="minorHAnsi" w:hAnsiTheme="minorHAnsi" w:cs="Times New Roman"/>
        </w:rPr>
      </w:pPr>
      <w:bookmarkStart w:id="190" w:name="_Toc399494577"/>
      <w:r w:rsidRPr="00C370EC">
        <w:rPr>
          <w:rFonts w:asciiTheme="minorHAnsi" w:hAnsiTheme="minorHAnsi" w:cs="Times New Roman"/>
        </w:rPr>
        <w:t xml:space="preserve">В. </w:t>
      </w:r>
      <w:r w:rsidR="00F920D5" w:rsidRPr="00C370EC">
        <w:rPr>
          <w:rFonts w:asciiTheme="minorHAnsi" w:hAnsiTheme="minorHAnsi" w:cs="Times New Roman"/>
        </w:rPr>
        <w:t>Финансовите</w:t>
      </w:r>
      <w:r w:rsidRPr="00C370EC">
        <w:rPr>
          <w:rFonts w:asciiTheme="minorHAnsi" w:hAnsiTheme="minorHAnsi" w:cs="Times New Roman"/>
        </w:rPr>
        <w:t xml:space="preserve"> инструменти на ниво ЕС, национално или регионално </w:t>
      </w:r>
      <w:r w:rsidR="004F53B4" w:rsidRPr="00C370EC">
        <w:rPr>
          <w:rFonts w:asciiTheme="minorHAnsi" w:hAnsiTheme="minorHAnsi" w:cs="Times New Roman"/>
        </w:rPr>
        <w:t>ниво.</w:t>
      </w:r>
      <w:bookmarkEnd w:id="190"/>
    </w:p>
    <w:p w:rsidR="00FF2AA4" w:rsidRPr="00A20D15" w:rsidRDefault="00A20D15" w:rsidP="00175AB3">
      <w:pPr>
        <w:jc w:val="both"/>
      </w:pPr>
      <w:r w:rsidRPr="00A20D15">
        <w:t xml:space="preserve">Финансовите инструменти, </w:t>
      </w:r>
      <w:r w:rsidR="00922F43">
        <w:t>описани</w:t>
      </w:r>
      <w:r w:rsidRPr="00A20D15">
        <w:t xml:space="preserve"> в настоящото предложение за инвестиционна стратегия </w:t>
      </w:r>
      <w:r w:rsidR="00922F43">
        <w:t xml:space="preserve">се предвижда да </w:t>
      </w:r>
      <w:r w:rsidRPr="00A20D15">
        <w:t>се прилагат на национално ниво.</w:t>
      </w:r>
    </w:p>
    <w:p w:rsidR="007205C4" w:rsidRDefault="007205C4" w:rsidP="00181C9C">
      <w:pPr>
        <w:pStyle w:val="Heading1"/>
        <w:rPr>
          <w:rFonts w:asciiTheme="minorHAnsi" w:hAnsiTheme="minorHAnsi" w:cs="Times New Roman"/>
        </w:rPr>
        <w:sectPr w:rsidR="007205C4" w:rsidSect="006E39EC">
          <w:pgSz w:w="11906" w:h="16838"/>
          <w:pgMar w:top="1417" w:right="1416" w:bottom="1417" w:left="1417" w:header="708" w:footer="105" w:gutter="0"/>
          <w:cols w:space="708"/>
          <w:titlePg/>
          <w:docGrid w:linePitch="360"/>
        </w:sectPr>
      </w:pPr>
    </w:p>
    <w:p w:rsidR="00C22C35" w:rsidRDefault="00181C9C" w:rsidP="00181C9C">
      <w:pPr>
        <w:pStyle w:val="Heading1"/>
        <w:rPr>
          <w:rFonts w:asciiTheme="minorHAnsi" w:hAnsiTheme="minorHAnsi" w:cs="Times New Roman"/>
        </w:rPr>
      </w:pPr>
      <w:bookmarkStart w:id="191" w:name="_Toc399494578"/>
      <w:r w:rsidRPr="00C370EC">
        <w:rPr>
          <w:rFonts w:asciiTheme="minorHAnsi" w:hAnsiTheme="minorHAnsi" w:cs="Times New Roman"/>
        </w:rPr>
        <w:lastRenderedPageBreak/>
        <w:t xml:space="preserve">6. </w:t>
      </w:r>
      <w:r w:rsidR="00C22C35" w:rsidRPr="00C370EC">
        <w:rPr>
          <w:rFonts w:asciiTheme="minorHAnsi" w:hAnsiTheme="minorHAnsi" w:cs="Times New Roman"/>
        </w:rPr>
        <w:t>Очаквани резултати</w:t>
      </w:r>
      <w:bookmarkEnd w:id="191"/>
    </w:p>
    <w:p w:rsidR="00B511DD" w:rsidRPr="00B511DD" w:rsidRDefault="00B511DD" w:rsidP="007205C4">
      <w:pPr>
        <w:spacing w:before="240"/>
        <w:jc w:val="both"/>
      </w:pPr>
      <w:r w:rsidRPr="00B511DD">
        <w:t>Тъй като структурите и процесите за управление и използване на финансови инструменти са сложни, необходима е ясна система за мониторинг. Чл. 47 от Общия регламент изисква УО да подготвят специален доклад за прил</w:t>
      </w:r>
      <w:r w:rsidR="007205C4">
        <w:t>агане</w:t>
      </w:r>
      <w:r w:rsidRPr="00B511DD">
        <w:t xml:space="preserve"> на ФИ, който да бъде приложение към Годишния доклад за изпълнение. В този анекс трябва да се включи информация за дейностите, свързани с прил</w:t>
      </w:r>
      <w:r w:rsidR="007205C4">
        <w:t>агането</w:t>
      </w:r>
      <w:r w:rsidRPr="00B511DD">
        <w:t xml:space="preserve"> на </w:t>
      </w:r>
      <w:r w:rsidR="007205C4">
        <w:t>финансови инструменти</w:t>
      </w:r>
      <w:r w:rsidRPr="00B511DD">
        <w:t>.</w:t>
      </w:r>
    </w:p>
    <w:p w:rsidR="00B511DD" w:rsidRPr="00B511DD" w:rsidRDefault="00B511DD" w:rsidP="007205C4">
      <w:pPr>
        <w:spacing w:before="240"/>
        <w:jc w:val="both"/>
      </w:pPr>
      <w:r w:rsidRPr="00B511DD">
        <w:t>Изискванията за мониторинг и докладване трябва да са част от споразумението за възлагане на управление/за финансиране при прил</w:t>
      </w:r>
      <w:r w:rsidR="007205C4">
        <w:t>агане</w:t>
      </w:r>
      <w:r w:rsidRPr="00B511DD">
        <w:t xml:space="preserve"> на </w:t>
      </w:r>
      <w:r w:rsidR="007205C4">
        <w:t>финансови инструменти</w:t>
      </w:r>
      <w:r w:rsidRPr="00B511DD">
        <w:t>. Единствено</w:t>
      </w:r>
      <w:r w:rsidR="007205C4">
        <w:t>то</w:t>
      </w:r>
      <w:r w:rsidRPr="00B511DD">
        <w:t xml:space="preserve"> изключение е, когато УО сами прилагат </w:t>
      </w:r>
      <w:r w:rsidR="007205C4">
        <w:t>финансови инструменти</w:t>
      </w:r>
      <w:r w:rsidRPr="00B511DD">
        <w:t>, когато изискванията за докладване се определят като част от процедурите (системите за управление).</w:t>
      </w:r>
    </w:p>
    <w:p w:rsidR="00B511DD" w:rsidRPr="00B511DD" w:rsidRDefault="00B511DD" w:rsidP="007205C4">
      <w:pPr>
        <w:spacing w:before="240"/>
        <w:jc w:val="both"/>
      </w:pPr>
      <w:r w:rsidRPr="00B511DD">
        <w:t>Основните елементи на наблюдението са представени на следната графика:</w:t>
      </w:r>
    </w:p>
    <w:p w:rsidR="00B511DD" w:rsidRPr="00B511DD" w:rsidRDefault="00B511DD" w:rsidP="00B511DD">
      <w:pPr>
        <w:spacing w:before="240"/>
      </w:pPr>
      <w:r w:rsidRPr="00B511DD">
        <w:rPr>
          <w:noProof/>
          <w:lang w:eastAsia="bg-BG"/>
        </w:rPr>
        <w:drawing>
          <wp:inline distT="0" distB="0" distL="0" distR="0">
            <wp:extent cx="5368757" cy="2700068"/>
            <wp:effectExtent l="0" t="0" r="22860" b="5080"/>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8" r:lo="rId189" r:qs="rId190" r:cs="rId191"/>
              </a:graphicData>
            </a:graphic>
          </wp:inline>
        </w:drawing>
      </w:r>
    </w:p>
    <w:p w:rsidR="00B511DD" w:rsidRPr="00B511DD" w:rsidRDefault="00B511DD" w:rsidP="00B511DD">
      <w:pPr>
        <w:spacing w:before="240"/>
        <w:jc w:val="both"/>
      </w:pPr>
      <w:r w:rsidRPr="00B511DD">
        <w:t xml:space="preserve">Съдържанието на специфичния доклад за </w:t>
      </w:r>
      <w:r w:rsidR="007205C4">
        <w:t>финансовите инструменти</w:t>
      </w:r>
      <w:r w:rsidRPr="00B511DD">
        <w:t xml:space="preserve"> трябва да отговаря на изискванията на чл. 46 (2) като предоставя подробна информация за </w:t>
      </w:r>
      <w:r w:rsidR="007205C4">
        <w:t>същите</w:t>
      </w:r>
      <w:r w:rsidRPr="00B511DD">
        <w:t xml:space="preserve">. Тази информация и изисквания са част от споразумението за изпълнение на </w:t>
      </w:r>
      <w:r w:rsidR="007205C4">
        <w:t>финансови инструменти</w:t>
      </w:r>
      <w:r w:rsidRPr="00B511DD">
        <w:t xml:space="preserve">. За да може да отговори на изискванията, УО трябва да организира система за докладване и наблюдение, която да им носи нужната информация – биха могли да </w:t>
      </w:r>
      <w:r w:rsidR="007205C4">
        <w:t xml:space="preserve">се </w:t>
      </w:r>
      <w:r w:rsidRPr="00B511DD">
        <w:t>добавят изисквания за по-кратки интервали на докладване (например на тримесечие). По-кратките интервали на докладване и наблюдение могат да позволят на УО да открива по-бързо предизвикателствата в прил</w:t>
      </w:r>
      <w:r w:rsidR="007205C4">
        <w:t>агането</w:t>
      </w:r>
      <w:r w:rsidRPr="00B511DD">
        <w:t xml:space="preserve"> на </w:t>
      </w:r>
      <w:r w:rsidR="007205C4">
        <w:t>финансови инструменти</w:t>
      </w:r>
      <w:r w:rsidRPr="00B511DD">
        <w:t xml:space="preserve"> и да реагира бързо. Например, УО трябва да изисква информация за направените допустими разходи в исканията за плащане. </w:t>
      </w:r>
    </w:p>
    <w:p w:rsidR="00B511DD" w:rsidRPr="00B511DD" w:rsidRDefault="00B511DD" w:rsidP="00B511DD">
      <w:pPr>
        <w:spacing w:before="240"/>
        <w:jc w:val="both"/>
      </w:pPr>
      <w:r w:rsidRPr="00B511DD">
        <w:t>УО може да приложи процес в три стъпки:</w:t>
      </w:r>
    </w:p>
    <w:p w:rsidR="00B511DD" w:rsidRPr="00B511DD" w:rsidRDefault="00B511DD" w:rsidP="00B511DD">
      <w:pPr>
        <w:spacing w:before="240"/>
      </w:pPr>
      <w:r w:rsidRPr="00B511DD">
        <w:rPr>
          <w:noProof/>
          <w:lang w:eastAsia="bg-BG"/>
        </w:rPr>
        <w:lastRenderedPageBreak/>
        <w:drawing>
          <wp:inline distT="0" distB="0" distL="0" distR="0">
            <wp:extent cx="5743575" cy="2762250"/>
            <wp:effectExtent l="0" t="0" r="9525" b="0"/>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3" r:lo="rId194" r:qs="rId195" r:cs="rId196"/>
              </a:graphicData>
            </a:graphic>
          </wp:inline>
        </w:drawing>
      </w:r>
    </w:p>
    <w:p w:rsidR="00B511DD" w:rsidRPr="00B511DD" w:rsidRDefault="00B511DD" w:rsidP="007205C4">
      <w:pPr>
        <w:spacing w:before="240"/>
        <w:jc w:val="both"/>
      </w:pPr>
      <w:r w:rsidRPr="00B511DD">
        <w:t xml:space="preserve">УО трябва да зададе формата за </w:t>
      </w:r>
      <w:r w:rsidRPr="00B511DD">
        <w:rPr>
          <w:b/>
        </w:rPr>
        <w:t>събиране на данни</w:t>
      </w:r>
      <w:r w:rsidRPr="00B511DD">
        <w:t xml:space="preserve"> от системата за наблюдение, като по този начин ще се създадат еднакви категории данни и това ще улесни агрегирането на информация. </w:t>
      </w:r>
    </w:p>
    <w:p w:rsidR="00B511DD" w:rsidRPr="00B511DD" w:rsidRDefault="00B511DD" w:rsidP="007205C4">
      <w:pPr>
        <w:spacing w:before="240"/>
        <w:jc w:val="both"/>
      </w:pPr>
      <w:r w:rsidRPr="00B511DD">
        <w:rPr>
          <w:b/>
        </w:rPr>
        <w:t>Оперативните доклади</w:t>
      </w:r>
      <w:r w:rsidRPr="00B511DD">
        <w:t xml:space="preserve"> трябва да обхва</w:t>
      </w:r>
      <w:r w:rsidR="007205C4">
        <w:t>щат</w:t>
      </w:r>
      <w:r w:rsidRPr="00B511DD">
        <w:t xml:space="preserve"> набирането и оценката на проектни предложения и сключване</w:t>
      </w:r>
      <w:r w:rsidR="007205C4">
        <w:t>то</w:t>
      </w:r>
      <w:r w:rsidRPr="00B511DD">
        <w:t xml:space="preserve"> на договори, целевите групи, към които са насочени </w:t>
      </w:r>
      <w:r w:rsidR="007205C4">
        <w:t>финансовите инструменти</w:t>
      </w:r>
      <w:r w:rsidRPr="00B511DD">
        <w:t xml:space="preserve">, оценка на риска на инвестициите. Тези доклади трябва да представят информация за изпълнение на </w:t>
      </w:r>
      <w:r w:rsidR="007205C4">
        <w:t>финансовите инструменти</w:t>
      </w:r>
      <w:r w:rsidRPr="00B511DD">
        <w:t xml:space="preserve">. Докладите трябва да включват </w:t>
      </w:r>
      <w:r w:rsidR="007205C4">
        <w:t xml:space="preserve">и </w:t>
      </w:r>
      <w:r w:rsidRPr="00B511DD">
        <w:t>анализ на напредъка спрямо планираните цели, инвестиционната стратегия и клаузите на договорите за финансиране.</w:t>
      </w:r>
    </w:p>
    <w:p w:rsidR="00B511DD" w:rsidRPr="00B511DD" w:rsidRDefault="00B511DD" w:rsidP="007205C4">
      <w:pPr>
        <w:spacing w:before="240"/>
        <w:jc w:val="both"/>
      </w:pPr>
      <w:r w:rsidRPr="00B511DD">
        <w:rPr>
          <w:b/>
        </w:rPr>
        <w:t>Финансовите доклади</w:t>
      </w:r>
      <w:r w:rsidRPr="00B511DD">
        <w:t xml:space="preserve"> </w:t>
      </w:r>
      <w:r w:rsidR="007205C4">
        <w:t>е необходимо</w:t>
      </w:r>
      <w:r w:rsidRPr="00B511DD">
        <w:t xml:space="preserve"> да</w:t>
      </w:r>
      <w:r w:rsidR="007205C4">
        <w:t xml:space="preserve"> се</w:t>
      </w:r>
      <w:r w:rsidRPr="00B511DD">
        <w:t xml:space="preserve"> фокусират върху финансовото изпълнение, като тук информацията варира според вида на управление, като това трябва да бъде заложено в договора.</w:t>
      </w:r>
    </w:p>
    <w:p w:rsidR="00BC4527" w:rsidRDefault="00BC4527" w:rsidP="00BC4527">
      <w:pPr>
        <w:spacing w:before="240"/>
      </w:pPr>
    </w:p>
    <w:p w:rsidR="007205C4" w:rsidRDefault="007205C4" w:rsidP="00BC4527">
      <w:pPr>
        <w:spacing w:before="240"/>
      </w:pPr>
    </w:p>
    <w:p w:rsidR="007205C4" w:rsidRDefault="007205C4" w:rsidP="00BC4527">
      <w:pPr>
        <w:spacing w:before="240"/>
      </w:pPr>
    </w:p>
    <w:p w:rsidR="007205C4" w:rsidRDefault="007205C4" w:rsidP="00BC4527">
      <w:pPr>
        <w:spacing w:before="240"/>
      </w:pPr>
    </w:p>
    <w:p w:rsidR="007205C4" w:rsidRDefault="007205C4" w:rsidP="00BC4527">
      <w:pPr>
        <w:spacing w:before="240"/>
      </w:pPr>
    </w:p>
    <w:p w:rsidR="007205C4" w:rsidRDefault="007205C4" w:rsidP="00BC4527">
      <w:pPr>
        <w:spacing w:before="240"/>
      </w:pPr>
    </w:p>
    <w:p w:rsidR="007205C4" w:rsidRPr="00BC4527" w:rsidRDefault="007205C4" w:rsidP="00BC4527">
      <w:pPr>
        <w:spacing w:before="240"/>
      </w:pPr>
    </w:p>
    <w:p w:rsidR="00C22C35" w:rsidRPr="00C370EC" w:rsidRDefault="00C22C35" w:rsidP="00BC4527">
      <w:pPr>
        <w:pStyle w:val="Heading2"/>
        <w:spacing w:before="240"/>
        <w:rPr>
          <w:rFonts w:asciiTheme="minorHAnsi" w:hAnsiTheme="minorHAnsi" w:cs="Times New Roman"/>
        </w:rPr>
      </w:pPr>
      <w:bookmarkStart w:id="192" w:name="_Toc399494579"/>
      <w:r w:rsidRPr="00C370EC">
        <w:rPr>
          <w:rFonts w:asciiTheme="minorHAnsi" w:hAnsiTheme="minorHAnsi" w:cs="Times New Roman"/>
        </w:rPr>
        <w:lastRenderedPageBreak/>
        <w:t>6.1. Анализ очакваните резултати и как предвидените инструменти ще доведат до постигане на специфичните цели и резултати на съответната приоритетна ос или на конкретната мярка</w:t>
      </w:r>
      <w:bookmarkEnd w:id="192"/>
    </w:p>
    <w:p w:rsidR="00B511DD" w:rsidRPr="00B511DD" w:rsidRDefault="00B511DD" w:rsidP="00B511DD">
      <w:pPr>
        <w:spacing w:before="240"/>
      </w:pPr>
      <w:r w:rsidRPr="00B511DD">
        <w:t>Определянето на очакваните резултати преминава през следните стъпки:</w:t>
      </w:r>
    </w:p>
    <w:p w:rsidR="00B511DD" w:rsidRPr="00B511DD" w:rsidRDefault="00B511DD" w:rsidP="00B511DD">
      <w:pPr>
        <w:spacing w:before="240"/>
      </w:pPr>
      <w:r w:rsidRPr="00B511DD">
        <w:rPr>
          <w:noProof/>
          <w:lang w:eastAsia="bg-BG"/>
        </w:rPr>
        <w:drawing>
          <wp:inline distT="0" distB="0" distL="0" distR="0">
            <wp:extent cx="5743575" cy="2952750"/>
            <wp:effectExtent l="0" t="0" r="28575" b="0"/>
            <wp:docPr id="54" name="Diagram 5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8" r:lo="rId199" r:qs="rId200" r:cs="rId201"/>
              </a:graphicData>
            </a:graphic>
          </wp:inline>
        </w:drawing>
      </w:r>
    </w:p>
    <w:p w:rsidR="00B511DD" w:rsidRPr="00B511DD" w:rsidRDefault="00B511DD" w:rsidP="00B511DD"/>
    <w:p w:rsidR="00B511DD" w:rsidRDefault="00B511DD" w:rsidP="00B511DD">
      <w:pPr>
        <w:jc w:val="both"/>
      </w:pPr>
      <w:r w:rsidRPr="00B511DD">
        <w:t>В прегледаната литература (документален анализ), ползите от използване на финансови инструменти се изразяват чрез:</w:t>
      </w:r>
    </w:p>
    <w:p w:rsidR="007205C4" w:rsidRPr="00B511DD" w:rsidRDefault="007205C4" w:rsidP="00B511DD">
      <w:pPr>
        <w:jc w:val="both"/>
      </w:pPr>
    </w:p>
    <w:p w:rsidR="00B511DD" w:rsidRPr="00B511DD" w:rsidRDefault="00B511DD" w:rsidP="001A036E">
      <w:pPr>
        <w:numPr>
          <w:ilvl w:val="0"/>
          <w:numId w:val="143"/>
        </w:numPr>
        <w:spacing w:before="240"/>
        <w:contextualSpacing/>
        <w:jc w:val="both"/>
      </w:pPr>
      <w:r w:rsidRPr="00B511DD">
        <w:t>Балансирано използване на ресурсите и по-голям ефект от използване на ЕСИФ</w:t>
      </w:r>
    </w:p>
    <w:p w:rsidR="00B511DD" w:rsidRPr="00B511DD" w:rsidRDefault="00B511DD" w:rsidP="001A036E">
      <w:pPr>
        <w:numPr>
          <w:ilvl w:val="0"/>
          <w:numId w:val="143"/>
        </w:numPr>
        <w:spacing w:before="240"/>
        <w:contextualSpacing/>
        <w:jc w:val="both"/>
      </w:pPr>
      <w:r w:rsidRPr="00B511DD">
        <w:t xml:space="preserve">Повишена ефективност и ефикасност от използване на средствата, поради револвиращия им характер </w:t>
      </w:r>
    </w:p>
    <w:p w:rsidR="00B511DD" w:rsidRPr="00B511DD" w:rsidRDefault="00B511DD" w:rsidP="001A036E">
      <w:pPr>
        <w:numPr>
          <w:ilvl w:val="0"/>
          <w:numId w:val="143"/>
        </w:numPr>
        <w:spacing w:before="240"/>
        <w:contextualSpacing/>
        <w:jc w:val="both"/>
      </w:pPr>
      <w:r w:rsidRPr="00B511DD">
        <w:t>По-добър качествен подбор на проектите, тъй като бенефициентите трябва да възстановят финансирането</w:t>
      </w:r>
    </w:p>
    <w:p w:rsidR="00B511DD" w:rsidRPr="00B511DD" w:rsidRDefault="00B511DD" w:rsidP="001A036E">
      <w:pPr>
        <w:numPr>
          <w:ilvl w:val="0"/>
          <w:numId w:val="143"/>
        </w:numPr>
        <w:spacing w:before="240"/>
        <w:contextualSpacing/>
        <w:jc w:val="both"/>
      </w:pPr>
      <w:r w:rsidRPr="00B511DD">
        <w:t>Достъп до по-голям обхват финансови инструменти, които реализират и определени политики, като включват и частния сектор и по-голяма експертиза</w:t>
      </w:r>
    </w:p>
    <w:p w:rsidR="00B511DD" w:rsidRPr="00B511DD" w:rsidRDefault="004C2E61" w:rsidP="001A036E">
      <w:pPr>
        <w:numPr>
          <w:ilvl w:val="0"/>
          <w:numId w:val="143"/>
        </w:numPr>
        <w:spacing w:before="240"/>
        <w:contextualSpacing/>
        <w:jc w:val="both"/>
      </w:pPr>
      <w:r>
        <w:t xml:space="preserve">Промяна на „културата на </w:t>
      </w:r>
      <w:r w:rsidR="00B511DD" w:rsidRPr="00B511DD">
        <w:t>зависимост от БФП“</w:t>
      </w:r>
    </w:p>
    <w:p w:rsidR="00B511DD" w:rsidRPr="00B511DD" w:rsidRDefault="00B511DD" w:rsidP="001A036E">
      <w:pPr>
        <w:numPr>
          <w:ilvl w:val="0"/>
          <w:numId w:val="143"/>
        </w:numPr>
        <w:spacing w:before="240"/>
        <w:contextualSpacing/>
        <w:jc w:val="both"/>
      </w:pPr>
      <w:r w:rsidRPr="00B511DD">
        <w:t>Привличане на подкрепа от частния сектор (и финансиране) за изпълнение на целите на публичната политика</w:t>
      </w:r>
    </w:p>
    <w:p w:rsidR="007205C4" w:rsidRDefault="007205C4" w:rsidP="007205C4">
      <w:pPr>
        <w:spacing w:before="240"/>
      </w:pPr>
    </w:p>
    <w:p w:rsidR="00B511DD" w:rsidRPr="00B511DD" w:rsidRDefault="00B511DD" w:rsidP="004C2E61">
      <w:pPr>
        <w:jc w:val="both"/>
      </w:pPr>
      <w:r w:rsidRPr="00B511DD">
        <w:t>В конкретния случай – прил</w:t>
      </w:r>
      <w:r w:rsidR="004C2E61">
        <w:t>агане</w:t>
      </w:r>
      <w:r w:rsidRPr="00B511DD">
        <w:t xml:space="preserve"> на </w:t>
      </w:r>
      <w:r w:rsidR="004C2E61">
        <w:t>финансови инструменти</w:t>
      </w:r>
      <w:r w:rsidRPr="00B511DD">
        <w:t xml:space="preserve"> по ОПОС 2014 – 2020 се предвижда следното: </w:t>
      </w:r>
    </w:p>
    <w:p w:rsidR="007205C4" w:rsidRDefault="007205C4" w:rsidP="00B511DD">
      <w:pPr>
        <w:jc w:val="both"/>
        <w:rPr>
          <w:b/>
          <w:u w:val="single"/>
        </w:rPr>
      </w:pPr>
    </w:p>
    <w:p w:rsidR="00B511DD" w:rsidRPr="00B511DD" w:rsidRDefault="00B511DD" w:rsidP="00B511DD">
      <w:pPr>
        <w:jc w:val="both"/>
        <w:rPr>
          <w:b/>
          <w:u w:val="single"/>
        </w:rPr>
      </w:pPr>
      <w:r w:rsidRPr="00B511DD">
        <w:rPr>
          <w:b/>
          <w:u w:val="single"/>
        </w:rPr>
        <w:lastRenderedPageBreak/>
        <w:t>П</w:t>
      </w:r>
      <w:r w:rsidR="004C2E61">
        <w:rPr>
          <w:b/>
          <w:u w:val="single"/>
        </w:rPr>
        <w:t>риоритетна ос 1 - Води</w:t>
      </w:r>
    </w:p>
    <w:p w:rsidR="00B511DD" w:rsidRPr="00B511DD" w:rsidRDefault="00B511DD" w:rsidP="00B511DD">
      <w:pPr>
        <w:jc w:val="both"/>
        <w:rPr>
          <w:b/>
        </w:rPr>
      </w:pPr>
      <w:r w:rsidRPr="00B511DD">
        <w:rPr>
          <w:b/>
        </w:rPr>
        <w:t>Мерките, предвидени по ОП ще допринесат за:</w:t>
      </w:r>
    </w:p>
    <w:p w:rsidR="00B511DD" w:rsidRPr="004C2E61" w:rsidRDefault="00B511DD" w:rsidP="001A036E">
      <w:pPr>
        <w:numPr>
          <w:ilvl w:val="0"/>
          <w:numId w:val="144"/>
        </w:numPr>
        <w:spacing w:after="0" w:line="240" w:lineRule="auto"/>
        <w:contextualSpacing/>
        <w:jc w:val="both"/>
      </w:pPr>
      <w:r w:rsidRPr="004C2E61">
        <w:t>Осигуряване на вода за човешка консумация (инфраструктура за добив, пречистване, съхранение и разпределение);</w:t>
      </w:r>
    </w:p>
    <w:p w:rsidR="00B511DD" w:rsidRPr="004C2E61" w:rsidRDefault="00B511DD" w:rsidP="001A036E">
      <w:pPr>
        <w:numPr>
          <w:ilvl w:val="0"/>
          <w:numId w:val="144"/>
        </w:numPr>
        <w:spacing w:after="0" w:line="240" w:lineRule="auto"/>
        <w:contextualSpacing/>
        <w:jc w:val="both"/>
      </w:pPr>
      <w:r w:rsidRPr="004C2E61">
        <w:t>Управление на водите и опазване на питейните води (включително управление на речни басейни, водоснабдяване, специфични мерки за адаптиране към изменението на климата, отчитане на потреблението на централно ниво и на ниво отделен потребител, системи за таксуване и намаляване на течовете);</w:t>
      </w:r>
    </w:p>
    <w:p w:rsidR="00B511DD" w:rsidRPr="004C2E61" w:rsidRDefault="00B511DD" w:rsidP="001A036E">
      <w:pPr>
        <w:numPr>
          <w:ilvl w:val="0"/>
          <w:numId w:val="144"/>
        </w:numPr>
        <w:spacing w:after="0" w:line="240" w:lineRule="auto"/>
        <w:contextualSpacing/>
        <w:jc w:val="both"/>
      </w:pPr>
      <w:r w:rsidRPr="004C2E61">
        <w:t>Пречистване на отпадъчни</w:t>
      </w:r>
      <w:r w:rsidR="004C2E61" w:rsidRPr="004C2E61">
        <w:t xml:space="preserve"> води.</w:t>
      </w:r>
    </w:p>
    <w:p w:rsidR="004C2E61" w:rsidRPr="004C2E61" w:rsidRDefault="004C2E61" w:rsidP="004C2E61">
      <w:pPr>
        <w:spacing w:before="240"/>
        <w:jc w:val="both"/>
        <w:rPr>
          <w:b/>
          <w:i/>
          <w:color w:val="2E74B5" w:themeColor="accent1" w:themeShade="BF"/>
        </w:rPr>
      </w:pPr>
      <w:r>
        <w:rPr>
          <w:b/>
          <w:i/>
          <w:color w:val="2E74B5" w:themeColor="accent1" w:themeShade="BF"/>
        </w:rPr>
        <w:t>Финансови инструменти</w:t>
      </w:r>
    </w:p>
    <w:p w:rsidR="00B511DD" w:rsidRPr="00B511DD" w:rsidRDefault="004C2E61" w:rsidP="004C2E61">
      <w:pPr>
        <w:spacing w:before="240"/>
        <w:jc w:val="both"/>
      </w:pPr>
      <w:r>
        <w:rPr>
          <w:b/>
        </w:rPr>
        <w:t>Предлага</w:t>
      </w:r>
      <w:r w:rsidR="00B511DD" w:rsidRPr="00B511DD">
        <w:rPr>
          <w:b/>
        </w:rPr>
        <w:t xml:space="preserve"> се създаването на фонд за устойчиви инвестиции във ВиК сектора</w:t>
      </w:r>
      <w:r w:rsidR="00B511DD" w:rsidRPr="00B511DD">
        <w:t>, който да предоставя два вида финансови инструменти – заеми за реализирането на инвестиционни проекти</w:t>
      </w:r>
      <w:r w:rsidR="00B511DD" w:rsidRPr="00B511DD">
        <w:rPr>
          <w:rFonts w:ascii="Times New Roman" w:eastAsia="Calibri" w:hAnsi="Times New Roman" w:cs="Times New Roman"/>
          <w:sz w:val="24"/>
          <w:szCs w:val="24"/>
        </w:rPr>
        <w:t xml:space="preserve"> за </w:t>
      </w:r>
      <w:r w:rsidR="00B511DD" w:rsidRPr="00B511DD">
        <w:t xml:space="preserve">изграждане, рехабилитация и модернизиране на ВиК инфраструктура, отчитайки Регионалните генерални планове и Плановете за управление на речните басейни, насочени към агломерации с над 10 000 екв.ж. и гаранции за обезпечаване финансирането на същите, предоставено от търговските банки в случай, че са достатъчно ликвидни и могат да осигурят финансиране в съответния размер. </w:t>
      </w:r>
    </w:p>
    <w:p w:rsidR="00B511DD" w:rsidRPr="00B511DD" w:rsidRDefault="00B511DD" w:rsidP="00B511DD">
      <w:pPr>
        <w:rPr>
          <w:u w:val="single"/>
        </w:rPr>
      </w:pPr>
      <w:r w:rsidRPr="00B511DD">
        <w:rPr>
          <w:u w:val="single"/>
        </w:rPr>
        <w:t>Чрез използването на ФИ ще бъдат постигнати очакваните резултати от ПО, а именно:</w:t>
      </w:r>
    </w:p>
    <w:p w:rsidR="00B511DD" w:rsidRPr="00B511DD" w:rsidRDefault="00B511DD" w:rsidP="001A036E">
      <w:pPr>
        <w:numPr>
          <w:ilvl w:val="0"/>
          <w:numId w:val="144"/>
        </w:numPr>
        <w:spacing w:after="0" w:line="240" w:lineRule="auto"/>
        <w:contextualSpacing/>
        <w:jc w:val="both"/>
      </w:pPr>
      <w:r w:rsidRPr="00B511DD">
        <w:t>подобрено пречистване на питейните води  и подобрен достъп до питейни води с необходимо/подобрено качество и намаляване на необходимостта от пречистване на питейните води или подобрено качество на питейните води</w:t>
      </w:r>
    </w:p>
    <w:p w:rsidR="00B511DD" w:rsidRPr="00B511DD" w:rsidRDefault="00B511DD" w:rsidP="001A036E">
      <w:pPr>
        <w:numPr>
          <w:ilvl w:val="0"/>
          <w:numId w:val="144"/>
        </w:numPr>
        <w:spacing w:after="0" w:line="240" w:lineRule="auto"/>
        <w:contextualSpacing/>
        <w:jc w:val="both"/>
      </w:pPr>
      <w:r w:rsidRPr="00B511DD">
        <w:t>подобряване качеството на услугата по водоснабдяване; на ефективността на използване на водите или повишаване на дела от населението с достъп до питейни води с подобрено качество (като част от интегрираните проекти, когато е предвидено изграждане/ рехабилитация/реконструкция на водоснабдителна мрежа)</w:t>
      </w:r>
    </w:p>
    <w:p w:rsidR="00B511DD" w:rsidRPr="00B511DD" w:rsidRDefault="00B511DD" w:rsidP="001A036E">
      <w:pPr>
        <w:numPr>
          <w:ilvl w:val="0"/>
          <w:numId w:val="144"/>
        </w:numPr>
        <w:spacing w:after="0" w:line="240" w:lineRule="auto"/>
        <w:contextualSpacing/>
        <w:jc w:val="both"/>
      </w:pPr>
      <w:r w:rsidRPr="00B511DD">
        <w:t xml:space="preserve">Повишена ефективност и ефикасност от използване на средствата, поради револвиращия им характер </w:t>
      </w:r>
    </w:p>
    <w:p w:rsidR="00B511DD" w:rsidRPr="00B511DD" w:rsidRDefault="00B511DD" w:rsidP="001A036E">
      <w:pPr>
        <w:numPr>
          <w:ilvl w:val="0"/>
          <w:numId w:val="144"/>
        </w:numPr>
        <w:spacing w:after="0" w:line="240" w:lineRule="auto"/>
        <w:contextualSpacing/>
        <w:jc w:val="both"/>
      </w:pPr>
      <w:r w:rsidRPr="00B511DD">
        <w:t>По-добър качествен подбор на проектите, тъй като бенефициентите трябва да възстановят финансирането</w:t>
      </w:r>
    </w:p>
    <w:p w:rsidR="00B511DD" w:rsidRPr="00B511DD" w:rsidRDefault="00B511DD" w:rsidP="00B511DD"/>
    <w:p w:rsidR="00B511DD" w:rsidRPr="004C2E61" w:rsidRDefault="00B511DD" w:rsidP="00B511DD">
      <w:pPr>
        <w:rPr>
          <w:b/>
          <w:szCs w:val="18"/>
          <w:u w:val="single"/>
        </w:rPr>
      </w:pPr>
      <w:r w:rsidRPr="004C2E61">
        <w:rPr>
          <w:b/>
          <w:szCs w:val="18"/>
          <w:u w:val="single"/>
        </w:rPr>
        <w:t>Приоритетна ос 2 - ОТПАДЪЦИ</w:t>
      </w:r>
    </w:p>
    <w:p w:rsidR="00B511DD" w:rsidRPr="00B511DD" w:rsidRDefault="00B511DD" w:rsidP="00B511DD">
      <w:pPr>
        <w:autoSpaceDE w:val="0"/>
        <w:autoSpaceDN w:val="0"/>
        <w:adjustRightInd w:val="0"/>
        <w:rPr>
          <w:szCs w:val="18"/>
        </w:rPr>
      </w:pPr>
      <w:r w:rsidRPr="00B511DD">
        <w:rPr>
          <w:szCs w:val="18"/>
        </w:rPr>
        <w:t>Мерките, предвидени по тази приоритетна ос ще допринесат за:</w:t>
      </w:r>
    </w:p>
    <w:p w:rsidR="00B511DD" w:rsidRPr="004C2E61" w:rsidRDefault="00B511DD" w:rsidP="001A036E">
      <w:pPr>
        <w:numPr>
          <w:ilvl w:val="0"/>
          <w:numId w:val="144"/>
        </w:numPr>
        <w:spacing w:after="0" w:line="240" w:lineRule="auto"/>
        <w:contextualSpacing/>
        <w:jc w:val="both"/>
      </w:pPr>
      <w:r w:rsidRPr="004C2E61">
        <w:t>Управление на битови отпадъци (включващо мерки за минимизиране, сортиране и рециклиране на отпадъците);</w:t>
      </w:r>
    </w:p>
    <w:p w:rsidR="00B511DD" w:rsidRPr="004C2E61" w:rsidRDefault="00B511DD" w:rsidP="001A036E">
      <w:pPr>
        <w:numPr>
          <w:ilvl w:val="0"/>
          <w:numId w:val="144"/>
        </w:numPr>
        <w:spacing w:after="0" w:line="240" w:lineRule="auto"/>
        <w:contextualSpacing/>
        <w:jc w:val="both"/>
      </w:pPr>
      <w:r w:rsidRPr="004C2E61">
        <w:t>Управление на битови отпадъци (включващо мерки за механично-биологично третиране, термично третиране, изгаряне и депониране)</w:t>
      </w:r>
      <w:r w:rsidR="004C2E61" w:rsidRPr="004C2E61">
        <w:t>.</w:t>
      </w:r>
    </w:p>
    <w:p w:rsidR="004C2E61" w:rsidRDefault="004C2E61" w:rsidP="004C2E61">
      <w:pPr>
        <w:spacing w:before="240"/>
        <w:jc w:val="both"/>
        <w:rPr>
          <w:b/>
        </w:rPr>
      </w:pPr>
    </w:p>
    <w:p w:rsidR="004C2E61" w:rsidRDefault="004C2E61" w:rsidP="004C2E61">
      <w:pPr>
        <w:spacing w:before="240"/>
        <w:jc w:val="both"/>
        <w:rPr>
          <w:b/>
        </w:rPr>
      </w:pPr>
    </w:p>
    <w:p w:rsidR="004C2E61" w:rsidRPr="004C2E61" w:rsidRDefault="00B511DD" w:rsidP="004C2E61">
      <w:pPr>
        <w:spacing w:before="240"/>
        <w:jc w:val="both"/>
        <w:rPr>
          <w:b/>
          <w:i/>
          <w:color w:val="2E74B5" w:themeColor="accent1" w:themeShade="BF"/>
        </w:rPr>
      </w:pPr>
      <w:r w:rsidRPr="004C2E61">
        <w:rPr>
          <w:b/>
          <w:i/>
          <w:color w:val="2E74B5" w:themeColor="accent1" w:themeShade="BF"/>
        </w:rPr>
        <w:lastRenderedPageBreak/>
        <w:t>Финансови инструменти</w:t>
      </w:r>
    </w:p>
    <w:p w:rsidR="00B511DD" w:rsidRPr="00B511DD" w:rsidRDefault="004C2E61" w:rsidP="004C2E61">
      <w:pPr>
        <w:spacing w:before="240"/>
        <w:jc w:val="both"/>
      </w:pPr>
      <w:r>
        <w:rPr>
          <w:b/>
        </w:rPr>
        <w:t>П</w:t>
      </w:r>
      <w:r w:rsidR="00B511DD" w:rsidRPr="00B511DD">
        <w:rPr>
          <w:b/>
        </w:rPr>
        <w:t>ред</w:t>
      </w:r>
      <w:r>
        <w:rPr>
          <w:b/>
        </w:rPr>
        <w:t>лага</w:t>
      </w:r>
      <w:r w:rsidR="00B511DD" w:rsidRPr="00B511DD">
        <w:rPr>
          <w:b/>
        </w:rPr>
        <w:t xml:space="preserve"> се създаването на гаранционен фонд</w:t>
      </w:r>
      <w:r w:rsidR="00B511DD" w:rsidRPr="00B511DD">
        <w:t xml:space="preserve"> с цел предоставяне на гаранции, срещу които търговските банки да финансират реализ</w:t>
      </w:r>
      <w:r>
        <w:t>иране на инвестициите по мерки п</w:t>
      </w:r>
      <w:r w:rsidR="00B511DD" w:rsidRPr="00B511DD">
        <w:t xml:space="preserve">роектиране и изграждане на </w:t>
      </w:r>
      <w:r w:rsidR="00B511DD" w:rsidRPr="004C2E61">
        <w:t>компостиращи  инсталации</w:t>
      </w:r>
      <w:r w:rsidR="00B511DD" w:rsidRPr="00B511DD">
        <w:t xml:space="preserve"> за биоразградими и/или зелени отпадъци</w:t>
      </w:r>
      <w:r>
        <w:t xml:space="preserve">, </w:t>
      </w:r>
      <w:r>
        <w:rPr>
          <w:szCs w:val="24"/>
        </w:rPr>
        <w:t>п</w:t>
      </w:r>
      <w:r w:rsidRPr="00FC32FA">
        <w:rPr>
          <w:szCs w:val="24"/>
        </w:rPr>
        <w:t>роектиране и изграждане на площадки и инсталации за предварително третиране на битови отпадъци</w:t>
      </w:r>
      <w:r>
        <w:rPr>
          <w:szCs w:val="24"/>
        </w:rPr>
        <w:t>, п</w:t>
      </w:r>
      <w:r w:rsidRPr="00FC32FA">
        <w:rPr>
          <w:szCs w:val="24"/>
        </w:rPr>
        <w:t>роектиране и изграждане на инсталации за подготовка за оползотворяване и оползотворяване на битови отпадъци</w:t>
      </w:r>
    </w:p>
    <w:p w:rsidR="00B511DD" w:rsidRPr="00B511DD" w:rsidRDefault="00B511DD" w:rsidP="00B511DD">
      <w:pPr>
        <w:jc w:val="both"/>
        <w:rPr>
          <w:rFonts w:cstheme="minorHAnsi"/>
          <w:u w:val="single"/>
        </w:rPr>
      </w:pPr>
      <w:r w:rsidRPr="00B511DD">
        <w:rPr>
          <w:rFonts w:cstheme="minorHAnsi"/>
          <w:u w:val="single"/>
        </w:rPr>
        <w:t>Чрез използването на ФИ ще бъдат постигнати очакваните резултати от ПО, а именно:</w:t>
      </w:r>
    </w:p>
    <w:p w:rsidR="00B511DD" w:rsidRPr="00B511DD" w:rsidRDefault="00B511DD" w:rsidP="001A036E">
      <w:pPr>
        <w:numPr>
          <w:ilvl w:val="0"/>
          <w:numId w:val="144"/>
        </w:numPr>
        <w:spacing w:after="0" w:line="240" w:lineRule="auto"/>
        <w:contextualSpacing/>
        <w:jc w:val="both"/>
      </w:pPr>
      <w:r w:rsidRPr="00B511DD">
        <w:t>Предотвратяване образуването на битови отпадъци, респективно – намаляване на количеството на депонираните битови отпадъци</w:t>
      </w:r>
    </w:p>
    <w:p w:rsidR="00B511DD" w:rsidRPr="00B511DD" w:rsidRDefault="004C2E61" w:rsidP="001A036E">
      <w:pPr>
        <w:numPr>
          <w:ilvl w:val="0"/>
          <w:numId w:val="144"/>
        </w:numPr>
        <w:spacing w:after="0" w:line="240" w:lineRule="auto"/>
        <w:contextualSpacing/>
        <w:jc w:val="both"/>
      </w:pPr>
      <w:r>
        <w:t>У</w:t>
      </w:r>
      <w:r w:rsidR="00B511DD" w:rsidRPr="00B511DD">
        <w:t>величаване дела на оползотворените битови отпадъци и намаляване на количеството на депонираните битови отпадъци</w:t>
      </w:r>
    </w:p>
    <w:p w:rsidR="00B511DD" w:rsidRPr="00B511DD" w:rsidRDefault="004C2E61" w:rsidP="001A036E">
      <w:pPr>
        <w:numPr>
          <w:ilvl w:val="0"/>
          <w:numId w:val="144"/>
        </w:numPr>
        <w:spacing w:after="0" w:line="240" w:lineRule="auto"/>
        <w:contextualSpacing/>
        <w:jc w:val="both"/>
      </w:pPr>
      <w:r>
        <w:t>У</w:t>
      </w:r>
      <w:r w:rsidR="00B511DD" w:rsidRPr="00B511DD">
        <w:t>величаване дела на рециклираните битови отпадъци и намаляване количеството на депонираните битови отпадъци</w:t>
      </w:r>
    </w:p>
    <w:p w:rsidR="00B511DD" w:rsidRPr="00B511DD" w:rsidRDefault="004C2E61" w:rsidP="001A036E">
      <w:pPr>
        <w:numPr>
          <w:ilvl w:val="0"/>
          <w:numId w:val="144"/>
        </w:numPr>
        <w:spacing w:after="0" w:line="240" w:lineRule="auto"/>
        <w:contextualSpacing/>
        <w:jc w:val="both"/>
      </w:pPr>
      <w:r>
        <w:t>У</w:t>
      </w:r>
      <w:r w:rsidR="00B511DD" w:rsidRPr="00B511DD">
        <w:t>величаване дела на оползотворените битови отпадъци и намаляване на количеството на депонираните битови отпадъци</w:t>
      </w:r>
    </w:p>
    <w:p w:rsidR="00B511DD" w:rsidRPr="00B511DD" w:rsidRDefault="004C2E61" w:rsidP="001A036E">
      <w:pPr>
        <w:numPr>
          <w:ilvl w:val="0"/>
          <w:numId w:val="144"/>
        </w:numPr>
        <w:spacing w:after="0" w:line="240" w:lineRule="auto"/>
        <w:contextualSpacing/>
        <w:jc w:val="both"/>
      </w:pPr>
      <w:r>
        <w:t>П</w:t>
      </w:r>
      <w:r w:rsidR="00B511DD" w:rsidRPr="00B511DD">
        <w:t>ринос към постигане на целите и подобряване на управлението на отпадъците като цяло</w:t>
      </w:r>
    </w:p>
    <w:p w:rsidR="00B511DD" w:rsidRPr="00B511DD" w:rsidRDefault="00B511DD" w:rsidP="001A036E">
      <w:pPr>
        <w:numPr>
          <w:ilvl w:val="0"/>
          <w:numId w:val="144"/>
        </w:numPr>
        <w:spacing w:after="0" w:line="240" w:lineRule="auto"/>
        <w:contextualSpacing/>
        <w:jc w:val="both"/>
      </w:pPr>
      <w:r w:rsidRPr="00B511DD">
        <w:t xml:space="preserve">Повишена ефективност и ефикасност от използване на средствата, поради револвиращия им характер </w:t>
      </w:r>
    </w:p>
    <w:p w:rsidR="00B511DD" w:rsidRDefault="00B511DD" w:rsidP="001A036E">
      <w:pPr>
        <w:numPr>
          <w:ilvl w:val="0"/>
          <w:numId w:val="144"/>
        </w:numPr>
        <w:spacing w:after="0" w:line="240" w:lineRule="auto"/>
        <w:contextualSpacing/>
        <w:jc w:val="both"/>
      </w:pPr>
      <w:r w:rsidRPr="00B511DD">
        <w:t>По-добър качествен подбор на проектите, тъй като бенефициентите трябва да възстановят финансирането</w:t>
      </w:r>
      <w:r w:rsidR="004C2E61">
        <w:t xml:space="preserve"> </w:t>
      </w:r>
    </w:p>
    <w:p w:rsidR="004C2E61" w:rsidRDefault="004C2E61" w:rsidP="001A036E">
      <w:pPr>
        <w:numPr>
          <w:ilvl w:val="0"/>
          <w:numId w:val="144"/>
        </w:numPr>
        <w:spacing w:after="0" w:line="240" w:lineRule="auto"/>
        <w:contextualSpacing/>
        <w:jc w:val="both"/>
        <w:sectPr w:rsidR="004C2E61" w:rsidSect="006E39EC">
          <w:pgSz w:w="11906" w:h="16838"/>
          <w:pgMar w:top="1417" w:right="1416" w:bottom="1417" w:left="1417" w:header="708" w:footer="105" w:gutter="0"/>
          <w:cols w:space="708"/>
          <w:titlePg/>
          <w:docGrid w:linePitch="360"/>
        </w:sectPr>
      </w:pPr>
    </w:p>
    <w:p w:rsidR="00B511DD" w:rsidRPr="00B511DD" w:rsidRDefault="00B511DD" w:rsidP="00B511DD">
      <w:pPr>
        <w:ind w:left="403"/>
        <w:contextualSpacing/>
      </w:pPr>
    </w:p>
    <w:tbl>
      <w:tblPr>
        <w:tblStyle w:val="LightList-Accent11"/>
        <w:tblW w:w="14567" w:type="dxa"/>
        <w:tblLook w:val="04A0" w:firstRow="1" w:lastRow="0" w:firstColumn="1" w:lastColumn="0" w:noHBand="0" w:noVBand="1"/>
      </w:tblPr>
      <w:tblGrid>
        <w:gridCol w:w="1442"/>
        <w:gridCol w:w="1636"/>
        <w:gridCol w:w="4827"/>
        <w:gridCol w:w="1800"/>
        <w:gridCol w:w="4862"/>
      </w:tblGrid>
      <w:tr w:rsidR="00B511DD" w:rsidRPr="00B511DD" w:rsidTr="00F7651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42" w:type="dxa"/>
          </w:tcPr>
          <w:p w:rsidR="00B511DD" w:rsidRPr="00B511DD" w:rsidRDefault="00B511DD" w:rsidP="004C2E61">
            <w:pPr>
              <w:jc w:val="center"/>
            </w:pPr>
            <w:r w:rsidRPr="00B511DD">
              <w:t xml:space="preserve">ПО </w:t>
            </w:r>
          </w:p>
        </w:tc>
        <w:tc>
          <w:tcPr>
            <w:tcW w:w="1636" w:type="dxa"/>
          </w:tcPr>
          <w:p w:rsidR="00B511DD" w:rsidRPr="00B511DD" w:rsidRDefault="00B511DD" w:rsidP="004C2E61">
            <w:pPr>
              <w:jc w:val="center"/>
              <w:cnfStyle w:val="100000000000" w:firstRow="1" w:lastRow="0" w:firstColumn="0" w:lastColumn="0" w:oddVBand="0" w:evenVBand="0" w:oddHBand="0" w:evenHBand="0" w:firstRowFirstColumn="0" w:firstRowLastColumn="0" w:lastRowFirstColumn="0" w:lastRowLastColumn="0"/>
            </w:pPr>
            <w:r w:rsidRPr="00B511DD">
              <w:t>СЦ</w:t>
            </w:r>
          </w:p>
        </w:tc>
        <w:tc>
          <w:tcPr>
            <w:tcW w:w="4827" w:type="dxa"/>
          </w:tcPr>
          <w:p w:rsidR="00B511DD" w:rsidRPr="00B511DD" w:rsidRDefault="00B511DD" w:rsidP="004C2E61">
            <w:pPr>
              <w:jc w:val="center"/>
              <w:cnfStyle w:val="100000000000" w:firstRow="1" w:lastRow="0" w:firstColumn="0" w:lastColumn="0" w:oddVBand="0" w:evenVBand="0" w:oddHBand="0" w:evenHBand="0" w:firstRowFirstColumn="0" w:firstRowLastColumn="0" w:lastRowFirstColumn="0" w:lastRowLastColumn="0"/>
            </w:pPr>
            <w:r w:rsidRPr="00B511DD">
              <w:t>Очакван</w:t>
            </w:r>
            <w:r w:rsidR="00F76517">
              <w:t>и</w:t>
            </w:r>
            <w:r w:rsidRPr="00B511DD">
              <w:t xml:space="preserve"> резултат</w:t>
            </w:r>
            <w:r w:rsidR="00F76517">
              <w:t>и</w:t>
            </w:r>
          </w:p>
        </w:tc>
        <w:tc>
          <w:tcPr>
            <w:tcW w:w="1800" w:type="dxa"/>
          </w:tcPr>
          <w:p w:rsidR="00B511DD" w:rsidRPr="00B511DD" w:rsidRDefault="00B511DD" w:rsidP="004C2E61">
            <w:pPr>
              <w:jc w:val="center"/>
              <w:cnfStyle w:val="100000000000" w:firstRow="1" w:lastRow="0" w:firstColumn="0" w:lastColumn="0" w:oddVBand="0" w:evenVBand="0" w:oddHBand="0" w:evenHBand="0" w:firstRowFirstColumn="0" w:firstRowLastColumn="0" w:lastRowFirstColumn="0" w:lastRowLastColumn="0"/>
            </w:pPr>
            <w:r w:rsidRPr="00B511DD">
              <w:t>ФИ</w:t>
            </w:r>
          </w:p>
        </w:tc>
        <w:tc>
          <w:tcPr>
            <w:tcW w:w="4862" w:type="dxa"/>
          </w:tcPr>
          <w:p w:rsidR="00B511DD" w:rsidRPr="00B511DD" w:rsidRDefault="00B511DD" w:rsidP="004C2E61">
            <w:pPr>
              <w:jc w:val="center"/>
              <w:cnfStyle w:val="100000000000" w:firstRow="1" w:lastRow="0" w:firstColumn="0" w:lastColumn="0" w:oddVBand="0" w:evenVBand="0" w:oddHBand="0" w:evenHBand="0" w:firstRowFirstColumn="0" w:firstRowLastColumn="0" w:lastRowFirstColumn="0" w:lastRowLastColumn="0"/>
            </w:pPr>
            <w:r w:rsidRPr="00B511DD">
              <w:t>Очакван</w:t>
            </w:r>
            <w:r w:rsidR="00F76517">
              <w:t>и</w:t>
            </w:r>
            <w:r w:rsidRPr="00B511DD">
              <w:t xml:space="preserve"> резултат</w:t>
            </w:r>
            <w:r w:rsidR="00F76517">
              <w:t>и</w:t>
            </w:r>
          </w:p>
        </w:tc>
      </w:tr>
      <w:tr w:rsidR="00B511DD" w:rsidRPr="00B511DD" w:rsidTr="00F765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2" w:type="dxa"/>
          </w:tcPr>
          <w:p w:rsidR="00B511DD" w:rsidRPr="00B511DD" w:rsidRDefault="00B511DD" w:rsidP="00B511DD">
            <w:pPr>
              <w:rPr>
                <w:b w:val="0"/>
              </w:rPr>
            </w:pPr>
            <w:r w:rsidRPr="00B511DD">
              <w:rPr>
                <w:b w:val="0"/>
              </w:rPr>
              <w:t>ПО 1. Води</w:t>
            </w:r>
          </w:p>
        </w:tc>
        <w:tc>
          <w:tcPr>
            <w:tcW w:w="1636" w:type="dxa"/>
          </w:tcPr>
          <w:p w:rsidR="00B511DD" w:rsidRPr="00B511DD" w:rsidRDefault="00B511DD" w:rsidP="00B511DD">
            <w:pPr>
              <w:spacing w:before="120" w:after="120"/>
              <w:cnfStyle w:val="000000100000" w:firstRow="0" w:lastRow="0" w:firstColumn="0" w:lastColumn="0" w:oddVBand="0" w:evenVBand="0" w:oddHBand="1" w:evenHBand="0" w:firstRowFirstColumn="0" w:firstRowLastColumn="0" w:lastRowFirstColumn="0" w:lastRowLastColumn="0"/>
              <w:rPr>
                <w:rFonts w:eastAsia="Calibri"/>
                <w:lang w:eastAsia="en-GB"/>
              </w:rPr>
            </w:pPr>
            <w:r w:rsidRPr="00B511DD">
              <w:rPr>
                <w:rFonts w:eastAsia="Calibri"/>
                <w:lang w:eastAsia="en-GB"/>
              </w:rPr>
              <w:t>Специфична цел 1. Опазване и подобряване състоянието на водните ресурси</w:t>
            </w:r>
          </w:p>
          <w:p w:rsidR="00B511DD" w:rsidRPr="00B511DD" w:rsidRDefault="00B511DD" w:rsidP="00B511DD">
            <w:pPr>
              <w:spacing w:before="120" w:after="120"/>
              <w:cnfStyle w:val="000000100000" w:firstRow="0" w:lastRow="0" w:firstColumn="0" w:lastColumn="0" w:oddVBand="0" w:evenVBand="0" w:oddHBand="1" w:evenHBand="0" w:firstRowFirstColumn="0" w:firstRowLastColumn="0" w:lastRowFirstColumn="0" w:lastRowLastColumn="0"/>
              <w:rPr>
                <w:rFonts w:eastAsia="Calibri"/>
                <w:lang w:eastAsia="en-GB"/>
              </w:rPr>
            </w:pPr>
            <w:r w:rsidRPr="00B511DD">
              <w:rPr>
                <w:rFonts w:eastAsia="Calibri"/>
                <w:lang w:eastAsia="en-GB"/>
              </w:rPr>
              <w:t xml:space="preserve">Специфична цел 2. </w:t>
            </w:r>
          </w:p>
          <w:p w:rsidR="00B511DD" w:rsidRPr="00B511DD" w:rsidRDefault="00F76517" w:rsidP="00B511DD">
            <w:pPr>
              <w:cnfStyle w:val="000000100000" w:firstRow="0" w:lastRow="0" w:firstColumn="0" w:lastColumn="0" w:oddVBand="0" w:evenVBand="0" w:oddHBand="1" w:evenHBand="0" w:firstRowFirstColumn="0" w:firstRowLastColumn="0" w:lastRowFirstColumn="0" w:lastRowLastColumn="0"/>
            </w:pPr>
            <w:r w:rsidRPr="00F76517">
              <w:rPr>
                <w:rFonts w:eastAsia="Calibri"/>
                <w:lang w:eastAsia="en-GB"/>
              </w:rPr>
              <w:t>Подобряване оценката на състоянието на водите</w:t>
            </w:r>
          </w:p>
        </w:tc>
        <w:tc>
          <w:tcPr>
            <w:tcW w:w="4827" w:type="dxa"/>
          </w:tcPr>
          <w:p w:rsidR="00B511DD" w:rsidRPr="00B511DD" w:rsidRDefault="00F76517" w:rsidP="001A036E">
            <w:pPr>
              <w:numPr>
                <w:ilvl w:val="0"/>
                <w:numId w:val="137"/>
              </w:numPr>
              <w:ind w:left="361"/>
              <w:contextualSpacing/>
              <w:jc w:val="both"/>
              <w:cnfStyle w:val="000000100000" w:firstRow="0" w:lastRow="0" w:firstColumn="0" w:lastColumn="0" w:oddVBand="0" w:evenVBand="0" w:oddHBand="1" w:evenHBand="0" w:firstRowFirstColumn="0" w:firstRowLastColumn="0" w:lastRowFirstColumn="0" w:lastRowLastColumn="0"/>
            </w:pPr>
            <w:r>
              <w:t>П</w:t>
            </w:r>
            <w:r w:rsidR="00B511DD" w:rsidRPr="00B511DD">
              <w:t>одобрено пречистване на отпадъчните води и  намаляване на неблагоприятните въздействия от някои етапи на пречистването на отпадъчните води (за дейностите по третиране на утайки)</w:t>
            </w:r>
          </w:p>
          <w:p w:rsidR="00B511DD" w:rsidRPr="00B511DD" w:rsidRDefault="00F76517" w:rsidP="001A036E">
            <w:pPr>
              <w:numPr>
                <w:ilvl w:val="0"/>
                <w:numId w:val="137"/>
              </w:numPr>
              <w:ind w:left="361"/>
              <w:contextualSpacing/>
              <w:jc w:val="both"/>
              <w:cnfStyle w:val="000000100000" w:firstRow="0" w:lastRow="0" w:firstColumn="0" w:lastColumn="0" w:oddVBand="0" w:evenVBand="0" w:oddHBand="1" w:evenHBand="0" w:firstRowFirstColumn="0" w:firstRowLastColumn="0" w:lastRowFirstColumn="0" w:lastRowLastColumn="0"/>
            </w:pPr>
            <w:r>
              <w:t>П</w:t>
            </w:r>
            <w:r w:rsidR="00B511DD" w:rsidRPr="00B511DD">
              <w:t>одобрено пречистване на отпадъчните води</w:t>
            </w:r>
          </w:p>
          <w:p w:rsidR="00B511DD" w:rsidRPr="00B511DD" w:rsidRDefault="00F76517" w:rsidP="001A036E">
            <w:pPr>
              <w:numPr>
                <w:ilvl w:val="0"/>
                <w:numId w:val="137"/>
              </w:numPr>
              <w:ind w:left="361"/>
              <w:contextualSpacing/>
              <w:jc w:val="both"/>
              <w:cnfStyle w:val="000000100000" w:firstRow="0" w:lastRow="0" w:firstColumn="0" w:lastColumn="0" w:oddVBand="0" w:evenVBand="0" w:oddHBand="1" w:evenHBand="0" w:firstRowFirstColumn="0" w:firstRowLastColumn="0" w:lastRowFirstColumn="0" w:lastRowLastColumn="0"/>
            </w:pPr>
            <w:r>
              <w:t>П</w:t>
            </w:r>
            <w:r w:rsidR="00B511DD" w:rsidRPr="00B511DD">
              <w:t>одобрено пречистване на питейните води  и подобрен достъп до питейни води с необходимо/подобрено качество и намаляване на необходимостта от пречистване на питейните води или подобрено качество на питейните води</w:t>
            </w:r>
          </w:p>
          <w:p w:rsidR="00B511DD" w:rsidRDefault="00F76517" w:rsidP="001A036E">
            <w:pPr>
              <w:numPr>
                <w:ilvl w:val="0"/>
                <w:numId w:val="137"/>
              </w:numPr>
              <w:ind w:left="361"/>
              <w:contextualSpacing/>
              <w:jc w:val="both"/>
              <w:cnfStyle w:val="000000100000" w:firstRow="0" w:lastRow="0" w:firstColumn="0" w:lastColumn="0" w:oddVBand="0" w:evenVBand="0" w:oddHBand="1" w:evenHBand="0" w:firstRowFirstColumn="0" w:firstRowLastColumn="0" w:lastRowFirstColumn="0" w:lastRowLastColumn="0"/>
            </w:pPr>
            <w:r>
              <w:t>П</w:t>
            </w:r>
            <w:r w:rsidR="00B511DD" w:rsidRPr="00B511DD">
              <w:t>одобряване качеството на услугата по водоснабдяване; на ефективността на използване на водите или повишаване на дела от населението с достъп до питейни води с подобрено качество (като част от интегрираните проекти, когато е предвидено изграждане/рехабилитация/реконструкция на водоснабдителна мрежа)</w:t>
            </w:r>
          </w:p>
          <w:p w:rsidR="00F76517" w:rsidRDefault="00F76517" w:rsidP="00F76517">
            <w:pPr>
              <w:ind w:left="361"/>
              <w:contextualSpacing/>
              <w:jc w:val="both"/>
              <w:cnfStyle w:val="000000100000" w:firstRow="0" w:lastRow="0" w:firstColumn="0" w:lastColumn="0" w:oddVBand="0" w:evenVBand="0" w:oddHBand="1" w:evenHBand="0" w:firstRowFirstColumn="0" w:firstRowLastColumn="0" w:lastRowFirstColumn="0" w:lastRowLastColumn="0"/>
            </w:pPr>
          </w:p>
          <w:p w:rsidR="00F76517" w:rsidRDefault="00F76517" w:rsidP="00F76517">
            <w:pPr>
              <w:ind w:left="361"/>
              <w:contextualSpacing/>
              <w:jc w:val="both"/>
              <w:cnfStyle w:val="000000100000" w:firstRow="0" w:lastRow="0" w:firstColumn="0" w:lastColumn="0" w:oddVBand="0" w:evenVBand="0" w:oddHBand="1" w:evenHBand="0" w:firstRowFirstColumn="0" w:firstRowLastColumn="0" w:lastRowFirstColumn="0" w:lastRowLastColumn="0"/>
            </w:pPr>
          </w:p>
          <w:p w:rsidR="00F76517" w:rsidRDefault="00F76517" w:rsidP="00F76517">
            <w:pPr>
              <w:ind w:left="361"/>
              <w:contextualSpacing/>
              <w:jc w:val="both"/>
              <w:cnfStyle w:val="000000100000" w:firstRow="0" w:lastRow="0" w:firstColumn="0" w:lastColumn="0" w:oddVBand="0" w:evenVBand="0" w:oddHBand="1" w:evenHBand="0" w:firstRowFirstColumn="0" w:firstRowLastColumn="0" w:lastRowFirstColumn="0" w:lastRowLastColumn="0"/>
            </w:pPr>
          </w:p>
          <w:p w:rsidR="00F76517" w:rsidRPr="00B511DD" w:rsidRDefault="00F76517" w:rsidP="00F76517">
            <w:pPr>
              <w:ind w:left="361"/>
              <w:contextualSpacing/>
              <w:jc w:val="both"/>
              <w:cnfStyle w:val="000000100000" w:firstRow="0" w:lastRow="0" w:firstColumn="0" w:lastColumn="0" w:oddVBand="0" w:evenVBand="0" w:oddHBand="1" w:evenHBand="0" w:firstRowFirstColumn="0" w:firstRowLastColumn="0" w:lastRowFirstColumn="0" w:lastRowLastColumn="0"/>
            </w:pPr>
          </w:p>
        </w:tc>
        <w:tc>
          <w:tcPr>
            <w:tcW w:w="1800" w:type="dxa"/>
          </w:tcPr>
          <w:p w:rsidR="00B511DD" w:rsidRPr="00B511DD" w:rsidRDefault="00B511DD" w:rsidP="00B511DD">
            <w:pPr>
              <w:cnfStyle w:val="000000100000" w:firstRow="0" w:lastRow="0" w:firstColumn="0" w:lastColumn="0" w:oddVBand="0" w:evenVBand="0" w:oddHBand="1" w:evenHBand="0" w:firstRowFirstColumn="0" w:firstRowLastColumn="0" w:lastRowFirstColumn="0" w:lastRowLastColumn="0"/>
            </w:pPr>
            <w:r w:rsidRPr="00B511DD">
              <w:t>Фонд за устойчиви инвестиции във ВиК сектора</w:t>
            </w:r>
          </w:p>
        </w:tc>
        <w:tc>
          <w:tcPr>
            <w:tcW w:w="4862" w:type="dxa"/>
          </w:tcPr>
          <w:p w:rsidR="00F76517" w:rsidRDefault="00F76517" w:rsidP="001A036E">
            <w:pPr>
              <w:numPr>
                <w:ilvl w:val="0"/>
                <w:numId w:val="136"/>
              </w:numPr>
              <w:ind w:left="403"/>
              <w:contextualSpacing/>
              <w:jc w:val="both"/>
              <w:cnfStyle w:val="000000100000" w:firstRow="0" w:lastRow="0" w:firstColumn="0" w:lastColumn="0" w:oddVBand="0" w:evenVBand="0" w:oddHBand="1" w:evenHBand="0" w:firstRowFirstColumn="0" w:firstRowLastColumn="0" w:lastRowFirstColumn="0" w:lastRowLastColumn="0"/>
            </w:pPr>
            <w:r>
              <w:t>Мобилизиране на допълнителни средства от МФИ и други източници за запълване (поне частично) на инвестиционния недостиг</w:t>
            </w:r>
          </w:p>
          <w:p w:rsidR="00B511DD" w:rsidRPr="00B511DD" w:rsidRDefault="00B511DD" w:rsidP="001A036E">
            <w:pPr>
              <w:numPr>
                <w:ilvl w:val="0"/>
                <w:numId w:val="136"/>
              </w:numPr>
              <w:ind w:left="403"/>
              <w:contextualSpacing/>
              <w:jc w:val="both"/>
              <w:cnfStyle w:val="000000100000" w:firstRow="0" w:lastRow="0" w:firstColumn="0" w:lastColumn="0" w:oddVBand="0" w:evenVBand="0" w:oddHBand="1" w:evenHBand="0" w:firstRowFirstColumn="0" w:firstRowLastColumn="0" w:lastRowFirstColumn="0" w:lastRowLastColumn="0"/>
            </w:pPr>
            <w:r w:rsidRPr="00B511DD">
              <w:t xml:space="preserve">Повишена ефективност и ефикасност от използване на средствата, поради револвиращия им характер </w:t>
            </w:r>
          </w:p>
          <w:p w:rsidR="00B511DD" w:rsidRDefault="00B511DD" w:rsidP="001A036E">
            <w:pPr>
              <w:numPr>
                <w:ilvl w:val="0"/>
                <w:numId w:val="136"/>
              </w:numPr>
              <w:ind w:left="403"/>
              <w:contextualSpacing/>
              <w:jc w:val="both"/>
              <w:cnfStyle w:val="000000100000" w:firstRow="0" w:lastRow="0" w:firstColumn="0" w:lastColumn="0" w:oddVBand="0" w:evenVBand="0" w:oddHBand="1" w:evenHBand="0" w:firstRowFirstColumn="0" w:firstRowLastColumn="0" w:lastRowFirstColumn="0" w:lastRowLastColumn="0"/>
            </w:pPr>
            <w:r w:rsidRPr="00B511DD">
              <w:t>По-добър качествен подбор на проектите, тъй като бенефициентите трябва да възстановят финансирането</w:t>
            </w:r>
          </w:p>
          <w:p w:rsidR="00F76517" w:rsidRDefault="00F76517" w:rsidP="001A036E">
            <w:pPr>
              <w:numPr>
                <w:ilvl w:val="0"/>
                <w:numId w:val="136"/>
              </w:numPr>
              <w:ind w:left="403"/>
              <w:contextualSpacing/>
              <w:jc w:val="both"/>
              <w:cnfStyle w:val="000000100000" w:firstRow="0" w:lastRow="0" w:firstColumn="0" w:lastColumn="0" w:oddVBand="0" w:evenVBand="0" w:oddHBand="1" w:evenHBand="0" w:firstRowFirstColumn="0" w:firstRowLastColumn="0" w:lastRowFirstColumn="0" w:lastRowLastColumn="0"/>
            </w:pPr>
            <w:r>
              <w:t>Ускоряване реформата във ВиК сектора</w:t>
            </w:r>
          </w:p>
          <w:p w:rsidR="00F76517" w:rsidRDefault="00F76517" w:rsidP="001A036E">
            <w:pPr>
              <w:numPr>
                <w:ilvl w:val="0"/>
                <w:numId w:val="136"/>
              </w:numPr>
              <w:ind w:left="403"/>
              <w:contextualSpacing/>
              <w:jc w:val="both"/>
              <w:cnfStyle w:val="000000100000" w:firstRow="0" w:lastRow="0" w:firstColumn="0" w:lastColumn="0" w:oddVBand="0" w:evenVBand="0" w:oddHBand="1" w:evenHBand="0" w:firstRowFirstColumn="0" w:firstRowLastColumn="0" w:lastRowFirstColumn="0" w:lastRowLastColumn="0"/>
            </w:pPr>
            <w:r>
              <w:t>Създаване на административен капацитет във ВиК операторите за изпълнение на инвестиции и по-добро финансово управление</w:t>
            </w:r>
          </w:p>
          <w:p w:rsidR="00B511DD" w:rsidRDefault="00F76517" w:rsidP="001A036E">
            <w:pPr>
              <w:numPr>
                <w:ilvl w:val="0"/>
                <w:numId w:val="136"/>
              </w:numPr>
              <w:ind w:left="403"/>
              <w:contextualSpacing/>
              <w:jc w:val="both"/>
              <w:cnfStyle w:val="000000100000" w:firstRow="0" w:lastRow="0" w:firstColumn="0" w:lastColumn="0" w:oddVBand="0" w:evenVBand="0" w:oddHBand="1" w:evenHBand="0" w:firstRowFirstColumn="0" w:firstRowLastColumn="0" w:lastRowFirstColumn="0" w:lastRowLastColumn="0"/>
            </w:pPr>
            <w:r>
              <w:t>Принос към постигане целите на ОПОС 2014-2020</w:t>
            </w:r>
          </w:p>
          <w:p w:rsidR="00F76517" w:rsidRPr="00B511DD" w:rsidRDefault="00F76517" w:rsidP="001A036E">
            <w:pPr>
              <w:numPr>
                <w:ilvl w:val="0"/>
                <w:numId w:val="136"/>
              </w:numPr>
              <w:ind w:left="403"/>
              <w:contextualSpacing/>
              <w:jc w:val="both"/>
              <w:cnfStyle w:val="000000100000" w:firstRow="0" w:lastRow="0" w:firstColumn="0" w:lastColumn="0" w:oddVBand="0" w:evenVBand="0" w:oddHBand="1" w:evenHBand="0" w:firstRowFirstColumn="0" w:firstRowLastColumn="0" w:lastRowFirstColumn="0" w:lastRowLastColumn="0"/>
            </w:pPr>
            <w:r>
              <w:t>Натрупан опит в сектора за разработване и управление на финансови инструменти</w:t>
            </w:r>
          </w:p>
        </w:tc>
      </w:tr>
      <w:tr w:rsidR="00B511DD" w:rsidRPr="00B511DD" w:rsidTr="00F76517">
        <w:tc>
          <w:tcPr>
            <w:cnfStyle w:val="001000000000" w:firstRow="0" w:lastRow="0" w:firstColumn="1" w:lastColumn="0" w:oddVBand="0" w:evenVBand="0" w:oddHBand="0" w:evenHBand="0" w:firstRowFirstColumn="0" w:firstRowLastColumn="0" w:lastRowFirstColumn="0" w:lastRowLastColumn="0"/>
            <w:tcW w:w="1442" w:type="dxa"/>
          </w:tcPr>
          <w:p w:rsidR="00B511DD" w:rsidRPr="00B511DD" w:rsidRDefault="00B511DD" w:rsidP="00B511DD">
            <w:pPr>
              <w:rPr>
                <w:b w:val="0"/>
              </w:rPr>
            </w:pPr>
            <w:r w:rsidRPr="00B511DD">
              <w:rPr>
                <w:b w:val="0"/>
              </w:rPr>
              <w:lastRenderedPageBreak/>
              <w:t>ПО 2. Отпадъци</w:t>
            </w:r>
          </w:p>
        </w:tc>
        <w:tc>
          <w:tcPr>
            <w:tcW w:w="1636" w:type="dxa"/>
          </w:tcPr>
          <w:p w:rsidR="00B511DD" w:rsidRPr="00B511DD" w:rsidRDefault="00B511DD" w:rsidP="00B511DD">
            <w:pPr>
              <w:cnfStyle w:val="000000000000" w:firstRow="0" w:lastRow="0" w:firstColumn="0" w:lastColumn="0" w:oddVBand="0" w:evenVBand="0" w:oddHBand="0" w:evenHBand="0" w:firstRowFirstColumn="0" w:firstRowLastColumn="0" w:lastRowFirstColumn="0" w:lastRowLastColumn="0"/>
            </w:pPr>
            <w:r w:rsidRPr="00B511DD">
              <w:rPr>
                <w:rFonts w:eastAsia="Calibri"/>
                <w:lang w:eastAsia="en-GB"/>
              </w:rPr>
              <w:t>Специфична цел</w:t>
            </w:r>
            <w:r w:rsidR="00F76517">
              <w:rPr>
                <w:rFonts w:eastAsia="Calibri"/>
                <w:lang w:eastAsia="en-GB"/>
              </w:rPr>
              <w:t xml:space="preserve"> 1</w:t>
            </w:r>
            <w:r w:rsidRPr="00B511DD">
              <w:rPr>
                <w:rFonts w:eastAsia="Calibri"/>
                <w:lang w:eastAsia="en-GB"/>
              </w:rPr>
              <w:t>. Намаляване на количеството депонирани отпадъци</w:t>
            </w:r>
          </w:p>
        </w:tc>
        <w:tc>
          <w:tcPr>
            <w:tcW w:w="4827" w:type="dxa"/>
          </w:tcPr>
          <w:p w:rsidR="00B511DD" w:rsidRPr="00B511DD" w:rsidRDefault="00B511DD" w:rsidP="001A036E">
            <w:pPr>
              <w:numPr>
                <w:ilvl w:val="0"/>
                <w:numId w:val="136"/>
              </w:numPr>
              <w:ind w:left="432"/>
              <w:contextualSpacing/>
              <w:jc w:val="both"/>
              <w:cnfStyle w:val="000000000000" w:firstRow="0" w:lastRow="0" w:firstColumn="0" w:lastColumn="0" w:oddVBand="0" w:evenVBand="0" w:oddHBand="0" w:evenHBand="0" w:firstRowFirstColumn="0" w:firstRowLastColumn="0" w:lastRowFirstColumn="0" w:lastRowLastColumn="0"/>
            </w:pPr>
            <w:r w:rsidRPr="00B511DD">
              <w:t>Предотвратяване образуването на битови отпадъци, респективно – намаляване на количеството на депонираните битови отпадъци</w:t>
            </w:r>
          </w:p>
          <w:p w:rsidR="00B511DD" w:rsidRPr="00B511DD" w:rsidRDefault="00B511DD" w:rsidP="001A036E">
            <w:pPr>
              <w:numPr>
                <w:ilvl w:val="0"/>
                <w:numId w:val="136"/>
              </w:numPr>
              <w:ind w:left="432"/>
              <w:contextualSpacing/>
              <w:jc w:val="both"/>
              <w:cnfStyle w:val="000000000000" w:firstRow="0" w:lastRow="0" w:firstColumn="0" w:lastColumn="0" w:oddVBand="0" w:evenVBand="0" w:oddHBand="0" w:evenHBand="0" w:firstRowFirstColumn="0" w:firstRowLastColumn="0" w:lastRowFirstColumn="0" w:lastRowLastColumn="0"/>
            </w:pPr>
            <w:r w:rsidRPr="00B511DD">
              <w:t>увеличаване дела на оползотворените битови отпадъци и намаляване на количеството на депонираните битови отпадъци</w:t>
            </w:r>
          </w:p>
          <w:p w:rsidR="00B511DD" w:rsidRPr="00B511DD" w:rsidRDefault="00B511DD" w:rsidP="001A036E">
            <w:pPr>
              <w:numPr>
                <w:ilvl w:val="0"/>
                <w:numId w:val="136"/>
              </w:numPr>
              <w:ind w:left="432"/>
              <w:contextualSpacing/>
              <w:jc w:val="both"/>
              <w:cnfStyle w:val="000000000000" w:firstRow="0" w:lastRow="0" w:firstColumn="0" w:lastColumn="0" w:oddVBand="0" w:evenVBand="0" w:oddHBand="0" w:evenHBand="0" w:firstRowFirstColumn="0" w:firstRowLastColumn="0" w:lastRowFirstColumn="0" w:lastRowLastColumn="0"/>
            </w:pPr>
            <w:r w:rsidRPr="00B511DD">
              <w:t>увеличаване дела на рециклираните битови отпадъци и намаляване количеството на депонираните битови отпадъци</w:t>
            </w:r>
          </w:p>
          <w:p w:rsidR="00B511DD" w:rsidRPr="00B511DD" w:rsidRDefault="00B511DD" w:rsidP="001A036E">
            <w:pPr>
              <w:numPr>
                <w:ilvl w:val="0"/>
                <w:numId w:val="136"/>
              </w:numPr>
              <w:ind w:left="432"/>
              <w:contextualSpacing/>
              <w:jc w:val="both"/>
              <w:cnfStyle w:val="000000000000" w:firstRow="0" w:lastRow="0" w:firstColumn="0" w:lastColumn="0" w:oddVBand="0" w:evenVBand="0" w:oddHBand="0" w:evenHBand="0" w:firstRowFirstColumn="0" w:firstRowLastColumn="0" w:lastRowFirstColumn="0" w:lastRowLastColumn="0"/>
            </w:pPr>
            <w:r w:rsidRPr="00B511DD">
              <w:t>увеличаване дела на оползотворените битови отпадъци и намаляване на количеството на депонираните битови отпадъци</w:t>
            </w:r>
          </w:p>
          <w:p w:rsidR="00B511DD" w:rsidRPr="00B511DD" w:rsidRDefault="00B511DD" w:rsidP="001A036E">
            <w:pPr>
              <w:numPr>
                <w:ilvl w:val="0"/>
                <w:numId w:val="136"/>
              </w:numPr>
              <w:ind w:left="432"/>
              <w:contextualSpacing/>
              <w:jc w:val="both"/>
              <w:cnfStyle w:val="000000000000" w:firstRow="0" w:lastRow="0" w:firstColumn="0" w:lastColumn="0" w:oddVBand="0" w:evenVBand="0" w:oddHBand="0" w:evenHBand="0" w:firstRowFirstColumn="0" w:firstRowLastColumn="0" w:lastRowFirstColumn="0" w:lastRowLastColumn="0"/>
            </w:pPr>
            <w:r w:rsidRPr="00B511DD">
              <w:t>принос към постигане на целите и подобряване на управлението на отпадъците като цяло</w:t>
            </w:r>
          </w:p>
        </w:tc>
        <w:tc>
          <w:tcPr>
            <w:tcW w:w="1800" w:type="dxa"/>
          </w:tcPr>
          <w:p w:rsidR="00B511DD" w:rsidRPr="00B511DD" w:rsidRDefault="00B511DD" w:rsidP="00B511DD">
            <w:pPr>
              <w:cnfStyle w:val="000000000000" w:firstRow="0" w:lastRow="0" w:firstColumn="0" w:lastColumn="0" w:oddVBand="0" w:evenVBand="0" w:oddHBand="0" w:evenHBand="0" w:firstRowFirstColumn="0" w:firstRowLastColumn="0" w:lastRowFirstColumn="0" w:lastRowLastColumn="0"/>
            </w:pPr>
            <w:r w:rsidRPr="00B511DD">
              <w:t>Гаранции за поемане на част от кредитния риск</w:t>
            </w:r>
          </w:p>
        </w:tc>
        <w:tc>
          <w:tcPr>
            <w:tcW w:w="4862" w:type="dxa"/>
          </w:tcPr>
          <w:p w:rsidR="00B511DD" w:rsidRPr="00B511DD" w:rsidRDefault="00F76517" w:rsidP="001A036E">
            <w:pPr>
              <w:numPr>
                <w:ilvl w:val="0"/>
                <w:numId w:val="136"/>
              </w:numPr>
              <w:ind w:left="432"/>
              <w:contextualSpacing/>
              <w:jc w:val="both"/>
              <w:cnfStyle w:val="000000000000" w:firstRow="0" w:lastRow="0" w:firstColumn="0" w:lastColumn="0" w:oddVBand="0" w:evenVBand="0" w:oddHBand="0" w:evenHBand="0" w:firstRowFirstColumn="0" w:firstRowLastColumn="0" w:lastRowFirstColumn="0" w:lastRowLastColumn="0"/>
            </w:pPr>
            <w:r>
              <w:t>П</w:t>
            </w:r>
            <w:r w:rsidR="00B511DD" w:rsidRPr="00B511DD">
              <w:t>ринос към постигане на целите и подобряване на управлението на отпадъците като цяло</w:t>
            </w:r>
          </w:p>
          <w:p w:rsidR="00B511DD" w:rsidRPr="00B511DD" w:rsidRDefault="00B511DD" w:rsidP="001A036E">
            <w:pPr>
              <w:numPr>
                <w:ilvl w:val="0"/>
                <w:numId w:val="136"/>
              </w:numPr>
              <w:ind w:left="403"/>
              <w:contextualSpacing/>
              <w:jc w:val="both"/>
              <w:cnfStyle w:val="000000000000" w:firstRow="0" w:lastRow="0" w:firstColumn="0" w:lastColumn="0" w:oddVBand="0" w:evenVBand="0" w:oddHBand="0" w:evenHBand="0" w:firstRowFirstColumn="0" w:firstRowLastColumn="0" w:lastRowFirstColumn="0" w:lastRowLastColumn="0"/>
            </w:pPr>
            <w:r w:rsidRPr="00B511DD">
              <w:t xml:space="preserve">Повишена ефективност и ефикасност от използване на средствата, поради револвиращия им характер </w:t>
            </w:r>
          </w:p>
          <w:p w:rsidR="00B511DD" w:rsidRDefault="00B511DD" w:rsidP="001A036E">
            <w:pPr>
              <w:numPr>
                <w:ilvl w:val="0"/>
                <w:numId w:val="136"/>
              </w:numPr>
              <w:ind w:left="403"/>
              <w:contextualSpacing/>
              <w:jc w:val="both"/>
              <w:cnfStyle w:val="000000000000" w:firstRow="0" w:lastRow="0" w:firstColumn="0" w:lastColumn="0" w:oddVBand="0" w:evenVBand="0" w:oddHBand="0" w:evenHBand="0" w:firstRowFirstColumn="0" w:firstRowLastColumn="0" w:lastRowFirstColumn="0" w:lastRowLastColumn="0"/>
            </w:pPr>
            <w:r w:rsidRPr="00B511DD">
              <w:t>По-добър качествен подбор на проектите, тъй като бенефициентите трябва да възстановят финансирането</w:t>
            </w:r>
          </w:p>
          <w:p w:rsidR="00F76517" w:rsidRDefault="00F76517" w:rsidP="001A036E">
            <w:pPr>
              <w:numPr>
                <w:ilvl w:val="0"/>
                <w:numId w:val="136"/>
              </w:numPr>
              <w:ind w:left="403"/>
              <w:contextualSpacing/>
              <w:jc w:val="both"/>
              <w:cnfStyle w:val="000000000000" w:firstRow="0" w:lastRow="0" w:firstColumn="0" w:lastColumn="0" w:oddVBand="0" w:evenVBand="0" w:oddHBand="0" w:evenHBand="0" w:firstRowFirstColumn="0" w:firstRowLastColumn="0" w:lastRowFirstColumn="0" w:lastRowLastColumn="0"/>
            </w:pPr>
            <w:r>
              <w:t>Създадени стимули за партньорство между бизнеса и публичния сектор за справяне с предизвикателствата в сектора</w:t>
            </w:r>
          </w:p>
          <w:p w:rsidR="00764E73" w:rsidRDefault="00764E73" w:rsidP="001A036E">
            <w:pPr>
              <w:numPr>
                <w:ilvl w:val="0"/>
                <w:numId w:val="136"/>
              </w:numPr>
              <w:ind w:left="403"/>
              <w:contextualSpacing/>
              <w:jc w:val="both"/>
              <w:cnfStyle w:val="000000000000" w:firstRow="0" w:lastRow="0" w:firstColumn="0" w:lastColumn="0" w:oddVBand="0" w:evenVBand="0" w:oddHBand="0" w:evenHBand="0" w:firstRowFirstColumn="0" w:firstRowLastColumn="0" w:lastRowFirstColumn="0" w:lastRowLastColumn="0"/>
            </w:pPr>
            <w:r>
              <w:t>Използвана експертиза и опит от страна на частния сектор</w:t>
            </w:r>
          </w:p>
          <w:p w:rsidR="00F76517" w:rsidRPr="00B511DD" w:rsidRDefault="00F76517" w:rsidP="001A036E">
            <w:pPr>
              <w:numPr>
                <w:ilvl w:val="0"/>
                <w:numId w:val="136"/>
              </w:numPr>
              <w:ind w:left="403"/>
              <w:contextualSpacing/>
              <w:jc w:val="both"/>
              <w:cnfStyle w:val="000000000000" w:firstRow="0" w:lastRow="0" w:firstColumn="0" w:lastColumn="0" w:oddVBand="0" w:evenVBand="0" w:oddHBand="0" w:evenHBand="0" w:firstRowFirstColumn="0" w:firstRowLastColumn="0" w:lastRowFirstColumn="0" w:lastRowLastColumn="0"/>
            </w:pPr>
            <w:r>
              <w:t>По-ефективно управление на отпадъците и преминаваме от линейна икономика към икономика на кръговете</w:t>
            </w:r>
          </w:p>
        </w:tc>
      </w:tr>
    </w:tbl>
    <w:p w:rsidR="00B511DD" w:rsidRDefault="00B511DD" w:rsidP="00181C9C">
      <w:pPr>
        <w:pStyle w:val="Heading2"/>
        <w:rPr>
          <w:rFonts w:asciiTheme="minorHAnsi" w:hAnsiTheme="minorHAnsi" w:cs="Times New Roman"/>
        </w:rPr>
        <w:sectPr w:rsidR="00B511DD" w:rsidSect="00B511DD">
          <w:pgSz w:w="16838" w:h="11906" w:orient="landscape"/>
          <w:pgMar w:top="1417" w:right="1417" w:bottom="1416" w:left="1417" w:header="708" w:footer="105" w:gutter="0"/>
          <w:cols w:space="708"/>
          <w:titlePg/>
          <w:docGrid w:linePitch="360"/>
        </w:sectPr>
      </w:pPr>
    </w:p>
    <w:p w:rsidR="00C22C35" w:rsidRPr="00C370EC" w:rsidRDefault="00C22C35" w:rsidP="00181C9C">
      <w:pPr>
        <w:pStyle w:val="Heading2"/>
        <w:rPr>
          <w:rFonts w:asciiTheme="minorHAnsi" w:hAnsiTheme="minorHAnsi" w:cs="Times New Roman"/>
        </w:rPr>
      </w:pPr>
      <w:bookmarkStart w:id="193" w:name="_Toc399494580"/>
      <w:r w:rsidRPr="00C370EC">
        <w:rPr>
          <w:rFonts w:asciiTheme="minorHAnsi" w:hAnsiTheme="minorHAnsi" w:cs="Times New Roman"/>
        </w:rPr>
        <w:lastRenderedPageBreak/>
        <w:t>6.2. Анализ на инвестиционните приоритети и съответстващите им специфични цели (по смисъла на чл. 87 от проекта на регламент) от съответната приоритетна ос/приоритетни оси, които ще бъдат изпълнени чрез финансовите инструменти</w:t>
      </w:r>
      <w:bookmarkEnd w:id="193"/>
    </w:p>
    <w:p w:rsidR="00B511DD" w:rsidRDefault="00B511DD" w:rsidP="00B511DD">
      <w:pPr>
        <w:jc w:val="both"/>
      </w:pPr>
    </w:p>
    <w:p w:rsidR="00B511DD" w:rsidRDefault="00B511DD" w:rsidP="00B511DD">
      <w:pPr>
        <w:jc w:val="both"/>
      </w:pPr>
      <w:r>
        <w:t>Очаква се ФИ да са част от дефинираната стратегия на ОПОС 2014-2020 и в този смисъл, да бъдат ясно описани в логиката на интервенция на програмата.  Програмата ясно трябва да опише как приложението на ФИ ще допринесе за постигането на стратегическата и специфичните цели, там където те са предвидени да бъдат използвани. В описанието на стратегията на ОПОС е предвидено да бъдат използвани ФИ като един от инструментите за подкрепа, като е детайлизирано за кои приоритети, специфични цели и инвестиционни приоритети е приложимо.</w:t>
      </w:r>
    </w:p>
    <w:p w:rsidR="00B511DD" w:rsidRDefault="00B511DD" w:rsidP="00B511DD">
      <w:pPr>
        <w:jc w:val="both"/>
      </w:pPr>
      <w:r>
        <w:t>Логика на интервенция:</w:t>
      </w:r>
    </w:p>
    <w:tbl>
      <w:tblPr>
        <w:tblStyle w:val="LightShading-Accent14"/>
        <w:tblW w:w="9378" w:type="dxa"/>
        <w:tblLook w:val="04A0" w:firstRow="1" w:lastRow="0" w:firstColumn="1" w:lastColumn="0" w:noHBand="0" w:noVBand="1"/>
      </w:tblPr>
      <w:tblGrid>
        <w:gridCol w:w="2322"/>
        <w:gridCol w:w="3546"/>
        <w:gridCol w:w="3510"/>
      </w:tblGrid>
      <w:tr w:rsidR="00B511DD" w:rsidRPr="008B1BBF" w:rsidTr="00165E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2" w:type="dxa"/>
          </w:tcPr>
          <w:p w:rsidR="00B511DD" w:rsidRPr="008B1BBF" w:rsidRDefault="00B511DD" w:rsidP="00B511DD"/>
        </w:tc>
        <w:tc>
          <w:tcPr>
            <w:tcW w:w="3546" w:type="dxa"/>
          </w:tcPr>
          <w:p w:rsidR="00B511DD" w:rsidRPr="008B1BBF" w:rsidRDefault="00B511DD" w:rsidP="00B511DD">
            <w:pPr>
              <w:cnfStyle w:val="100000000000" w:firstRow="1" w:lastRow="0" w:firstColumn="0" w:lastColumn="0" w:oddVBand="0" w:evenVBand="0" w:oddHBand="0" w:evenHBand="0" w:firstRowFirstColumn="0" w:firstRowLastColumn="0" w:lastRowFirstColumn="0" w:lastRowLastColumn="0"/>
            </w:pPr>
            <w:r w:rsidRPr="008B1BBF">
              <w:t>Приоритетна ос 1. Води</w:t>
            </w:r>
          </w:p>
        </w:tc>
        <w:tc>
          <w:tcPr>
            <w:tcW w:w="3510" w:type="dxa"/>
          </w:tcPr>
          <w:p w:rsidR="00B511DD" w:rsidRPr="008B1BBF" w:rsidRDefault="00B511DD" w:rsidP="00B511DD">
            <w:pPr>
              <w:cnfStyle w:val="100000000000" w:firstRow="1" w:lastRow="0" w:firstColumn="0" w:lastColumn="0" w:oddVBand="0" w:evenVBand="0" w:oddHBand="0" w:evenHBand="0" w:firstRowFirstColumn="0" w:firstRowLastColumn="0" w:lastRowFirstColumn="0" w:lastRowLastColumn="0"/>
            </w:pPr>
            <w:r w:rsidRPr="008B1BBF">
              <w:t>Приоритетна ос 2. Отпадъци</w:t>
            </w:r>
          </w:p>
        </w:tc>
      </w:tr>
      <w:tr w:rsidR="00B511DD" w:rsidRPr="008B1BBF" w:rsidTr="00165E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2" w:type="dxa"/>
          </w:tcPr>
          <w:p w:rsidR="00B511DD" w:rsidRPr="008B1BBF" w:rsidRDefault="00B511DD" w:rsidP="00B511DD">
            <w:r w:rsidRPr="008B1BBF">
              <w:t>Инвестиционен приоритет</w:t>
            </w:r>
          </w:p>
        </w:tc>
        <w:tc>
          <w:tcPr>
            <w:tcW w:w="3546" w:type="dxa"/>
          </w:tcPr>
          <w:p w:rsidR="00B511DD" w:rsidRPr="00165E0B" w:rsidRDefault="00B511DD" w:rsidP="00165E0B">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szCs w:val="18"/>
                <w:lang w:eastAsia="en-GB"/>
              </w:rPr>
            </w:pPr>
            <w:r w:rsidRPr="008B1BBF">
              <w:rPr>
                <w:rFonts w:eastAsia="Calibri"/>
                <w:szCs w:val="18"/>
                <w:lang w:eastAsia="en-GB"/>
              </w:rPr>
              <w:t>Инвестиране в сектора на водите за съобразяване с изискванията на достиженията на правото на Съюза в областта на околната среда и адресиране на нуждите,  идентифицирани от държавите-членки за инвестиции отвъд тези изисквания.</w:t>
            </w:r>
          </w:p>
        </w:tc>
        <w:tc>
          <w:tcPr>
            <w:tcW w:w="3510" w:type="dxa"/>
          </w:tcPr>
          <w:p w:rsidR="00B511DD" w:rsidRPr="008B1BBF" w:rsidRDefault="00B511DD" w:rsidP="00B511DD">
            <w:pPr>
              <w:spacing w:before="120" w:after="120"/>
              <w:jc w:val="both"/>
              <w:cnfStyle w:val="000000100000" w:firstRow="0" w:lastRow="0" w:firstColumn="0" w:lastColumn="0" w:oddVBand="0" w:evenVBand="0" w:oddHBand="1" w:evenHBand="0" w:firstRowFirstColumn="0" w:firstRowLastColumn="0" w:lastRowFirstColumn="0" w:lastRowLastColumn="0"/>
              <w:rPr>
                <w:rFonts w:eastAsia="Calibri"/>
                <w:szCs w:val="18"/>
                <w:lang w:eastAsia="en-GB"/>
              </w:rPr>
            </w:pPr>
            <w:r w:rsidRPr="008B1BBF">
              <w:rPr>
                <w:rFonts w:eastAsia="Calibri"/>
                <w:szCs w:val="18"/>
                <w:lang w:eastAsia="en-GB"/>
              </w:rPr>
              <w:t xml:space="preserve"> Инвестиране в сектора на отпадъците за съобразяване с изискванията на достиженията на правото на Съюза в областта на околната среда и адресиране на нуждите,  идентифицирани от държавите-членки за инвестиции отвъд тези изисквания. </w:t>
            </w:r>
          </w:p>
        </w:tc>
      </w:tr>
      <w:tr w:rsidR="00B511DD" w:rsidRPr="008B1BBF" w:rsidTr="00165E0B">
        <w:tc>
          <w:tcPr>
            <w:cnfStyle w:val="001000000000" w:firstRow="0" w:lastRow="0" w:firstColumn="1" w:lastColumn="0" w:oddVBand="0" w:evenVBand="0" w:oddHBand="0" w:evenHBand="0" w:firstRowFirstColumn="0" w:firstRowLastColumn="0" w:lastRowFirstColumn="0" w:lastRowLastColumn="0"/>
            <w:tcW w:w="2322" w:type="dxa"/>
          </w:tcPr>
          <w:p w:rsidR="00B511DD" w:rsidRPr="008B1BBF" w:rsidRDefault="00B511DD" w:rsidP="00B511DD">
            <w:r w:rsidRPr="008B1BBF">
              <w:t>Тематична цел</w:t>
            </w:r>
          </w:p>
        </w:tc>
        <w:tc>
          <w:tcPr>
            <w:tcW w:w="3546" w:type="dxa"/>
          </w:tcPr>
          <w:p w:rsidR="00B511DD" w:rsidRPr="008B1BBF" w:rsidRDefault="00B511DD" w:rsidP="00B511DD">
            <w:pPr>
              <w:cnfStyle w:val="000000000000" w:firstRow="0" w:lastRow="0" w:firstColumn="0" w:lastColumn="0" w:oddVBand="0" w:evenVBand="0" w:oddHBand="0" w:evenHBand="0" w:firstRowFirstColumn="0" w:firstRowLastColumn="0" w:lastRowFirstColumn="0" w:lastRowLastColumn="0"/>
              <w:rPr>
                <w:lang w:val="en-US"/>
              </w:rPr>
            </w:pPr>
            <w:r w:rsidRPr="008B1BBF">
              <w:rPr>
                <w:rFonts w:eastAsia="Calibri"/>
                <w:szCs w:val="18"/>
                <w:lang w:eastAsia="en-GB"/>
              </w:rPr>
              <w:t>Тематична цел № 6 „Опазване на околната среда и насърчаване на ресурсната ефективност“</w:t>
            </w:r>
          </w:p>
        </w:tc>
        <w:tc>
          <w:tcPr>
            <w:tcW w:w="3510" w:type="dxa"/>
          </w:tcPr>
          <w:p w:rsidR="00B511DD" w:rsidRPr="008B1BBF" w:rsidRDefault="00B511DD" w:rsidP="00B511DD">
            <w:pPr>
              <w:cnfStyle w:val="000000000000" w:firstRow="0" w:lastRow="0" w:firstColumn="0" w:lastColumn="0" w:oddVBand="0" w:evenVBand="0" w:oddHBand="0" w:evenHBand="0" w:firstRowFirstColumn="0" w:firstRowLastColumn="0" w:lastRowFirstColumn="0" w:lastRowLastColumn="0"/>
              <w:rPr>
                <w:lang w:val="en-US"/>
              </w:rPr>
            </w:pPr>
            <w:r w:rsidRPr="008B1BBF">
              <w:rPr>
                <w:rFonts w:eastAsia="Calibri"/>
                <w:szCs w:val="18"/>
                <w:lang w:eastAsia="en-GB"/>
              </w:rPr>
              <w:t>Тематична цел № 6 „Опазване на околната среда и насърчаване на ресурсната ефективност“</w:t>
            </w:r>
          </w:p>
        </w:tc>
      </w:tr>
      <w:tr w:rsidR="00B511DD" w:rsidRPr="008B1BBF" w:rsidTr="00165E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2" w:type="dxa"/>
          </w:tcPr>
          <w:p w:rsidR="00B511DD" w:rsidRPr="008B1BBF" w:rsidRDefault="00B511DD" w:rsidP="00B511DD">
            <w:r w:rsidRPr="008B1BBF">
              <w:t xml:space="preserve">Бюджет </w:t>
            </w:r>
            <w:r w:rsidR="00165E0B">
              <w:t xml:space="preserve">от </w:t>
            </w:r>
            <w:r w:rsidRPr="008B1BBF">
              <w:t>ЕС</w:t>
            </w:r>
          </w:p>
        </w:tc>
        <w:tc>
          <w:tcPr>
            <w:tcW w:w="3546" w:type="dxa"/>
          </w:tcPr>
          <w:p w:rsidR="00B511DD" w:rsidRPr="008B1BBF" w:rsidRDefault="00B511DD" w:rsidP="00B511DD">
            <w:pPr>
              <w:cnfStyle w:val="000000100000" w:firstRow="0" w:lastRow="0" w:firstColumn="0" w:lastColumn="0" w:oddVBand="0" w:evenVBand="0" w:oddHBand="1" w:evenHBand="0" w:firstRowFirstColumn="0" w:firstRowLastColumn="0" w:lastRowFirstColumn="0" w:lastRowLastColumn="0"/>
              <w:rPr>
                <w:lang w:val="en-US"/>
              </w:rPr>
            </w:pPr>
            <w:r w:rsidRPr="008B1BBF">
              <w:rPr>
                <w:rFonts w:eastAsia="Calibri"/>
                <w:szCs w:val="18"/>
                <w:lang w:eastAsia="en-GB"/>
              </w:rPr>
              <w:t>1 033 619</w:t>
            </w:r>
            <w:r w:rsidR="00165E0B">
              <w:rPr>
                <w:rFonts w:eastAsia="Calibri"/>
                <w:szCs w:val="18"/>
                <w:lang w:eastAsia="en-GB"/>
              </w:rPr>
              <w:t> </w:t>
            </w:r>
            <w:r w:rsidRPr="008B1BBF">
              <w:rPr>
                <w:rFonts w:eastAsia="Calibri"/>
                <w:szCs w:val="18"/>
                <w:lang w:eastAsia="en-GB"/>
              </w:rPr>
              <w:t>883</w:t>
            </w:r>
            <w:r w:rsidR="00165E0B">
              <w:rPr>
                <w:rFonts w:eastAsia="Calibri"/>
                <w:szCs w:val="18"/>
                <w:lang w:eastAsia="en-GB"/>
              </w:rPr>
              <w:t xml:space="preserve"> евро</w:t>
            </w:r>
          </w:p>
        </w:tc>
        <w:tc>
          <w:tcPr>
            <w:tcW w:w="3510" w:type="dxa"/>
          </w:tcPr>
          <w:p w:rsidR="00B511DD" w:rsidRPr="008B1BBF" w:rsidRDefault="00B511DD" w:rsidP="00B511DD">
            <w:pPr>
              <w:cnfStyle w:val="000000100000" w:firstRow="0" w:lastRow="0" w:firstColumn="0" w:lastColumn="0" w:oddVBand="0" w:evenVBand="0" w:oddHBand="1" w:evenHBand="0" w:firstRowFirstColumn="0" w:firstRowLastColumn="0" w:lastRowFirstColumn="0" w:lastRowLastColumn="0"/>
              <w:rPr>
                <w:lang w:val="en-US"/>
              </w:rPr>
            </w:pPr>
            <w:r w:rsidRPr="008B1BBF">
              <w:rPr>
                <w:rFonts w:eastAsia="Calibri"/>
                <w:szCs w:val="18"/>
                <w:lang w:eastAsia="en-GB"/>
              </w:rPr>
              <w:t>219 005</w:t>
            </w:r>
            <w:r w:rsidR="00165E0B">
              <w:rPr>
                <w:rFonts w:eastAsia="Calibri"/>
                <w:szCs w:val="18"/>
                <w:lang w:eastAsia="en-GB"/>
              </w:rPr>
              <w:t> </w:t>
            </w:r>
            <w:r w:rsidRPr="008B1BBF">
              <w:rPr>
                <w:rFonts w:eastAsia="Calibri"/>
                <w:szCs w:val="18"/>
                <w:lang w:eastAsia="en-GB"/>
              </w:rPr>
              <w:t>009</w:t>
            </w:r>
            <w:r w:rsidR="00165E0B">
              <w:rPr>
                <w:rFonts w:eastAsia="Calibri"/>
                <w:szCs w:val="18"/>
                <w:lang w:eastAsia="en-GB"/>
              </w:rPr>
              <w:t xml:space="preserve"> евро</w:t>
            </w:r>
          </w:p>
        </w:tc>
      </w:tr>
      <w:tr w:rsidR="00B511DD" w:rsidRPr="008B1BBF" w:rsidTr="00165E0B">
        <w:tc>
          <w:tcPr>
            <w:cnfStyle w:val="001000000000" w:firstRow="0" w:lastRow="0" w:firstColumn="1" w:lastColumn="0" w:oddVBand="0" w:evenVBand="0" w:oddHBand="0" w:evenHBand="0" w:firstRowFirstColumn="0" w:firstRowLastColumn="0" w:lastRowFirstColumn="0" w:lastRowLastColumn="0"/>
            <w:tcW w:w="2322" w:type="dxa"/>
          </w:tcPr>
          <w:p w:rsidR="00B511DD" w:rsidRPr="008B1BBF" w:rsidRDefault="00B511DD" w:rsidP="00B511DD">
            <w:r w:rsidRPr="008B1BBF">
              <w:t>Специфична цел</w:t>
            </w:r>
          </w:p>
        </w:tc>
        <w:tc>
          <w:tcPr>
            <w:tcW w:w="3546" w:type="dxa"/>
          </w:tcPr>
          <w:p w:rsidR="00B511DD" w:rsidRDefault="00B511DD" w:rsidP="00165E0B">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szCs w:val="18"/>
                <w:lang w:eastAsia="en-GB"/>
              </w:rPr>
            </w:pPr>
            <w:r w:rsidRPr="008B1BBF">
              <w:rPr>
                <w:rFonts w:eastAsia="Calibri"/>
                <w:szCs w:val="18"/>
                <w:lang w:eastAsia="en-GB"/>
              </w:rPr>
              <w:t>Специфична цел 1</w:t>
            </w:r>
            <w:r w:rsidR="00165E0B">
              <w:rPr>
                <w:rFonts w:eastAsia="Calibri"/>
                <w:szCs w:val="18"/>
                <w:lang w:eastAsia="en-GB"/>
              </w:rPr>
              <w:t>.</w:t>
            </w:r>
            <w:r w:rsidRPr="008B1BBF">
              <w:rPr>
                <w:rFonts w:eastAsia="Calibri"/>
                <w:szCs w:val="18"/>
                <w:lang w:eastAsia="en-GB"/>
              </w:rPr>
              <w:t xml:space="preserve"> Опазване и подобряване състоянието на водните ресурси</w:t>
            </w:r>
          </w:p>
          <w:p w:rsidR="00165E0B" w:rsidRPr="008B1BBF" w:rsidRDefault="00165E0B" w:rsidP="00165E0B">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szCs w:val="18"/>
                <w:lang w:eastAsia="en-GB"/>
              </w:rPr>
            </w:pPr>
            <w:r w:rsidRPr="00B511DD">
              <w:rPr>
                <w:rFonts w:eastAsia="Calibri"/>
                <w:lang w:eastAsia="en-GB"/>
              </w:rPr>
              <w:t xml:space="preserve">Специфична цел 2. </w:t>
            </w:r>
            <w:r w:rsidRPr="00F76517">
              <w:rPr>
                <w:rFonts w:eastAsia="Calibri"/>
                <w:lang w:eastAsia="en-GB"/>
              </w:rPr>
              <w:t>Подобряване оценката на състоянието на водите</w:t>
            </w:r>
          </w:p>
          <w:p w:rsidR="00B511DD" w:rsidRPr="008B1BBF" w:rsidRDefault="00B511DD" w:rsidP="00165E0B">
            <w:pPr>
              <w:jc w:val="both"/>
              <w:cnfStyle w:val="000000000000" w:firstRow="0" w:lastRow="0" w:firstColumn="0" w:lastColumn="0" w:oddVBand="0" w:evenVBand="0" w:oddHBand="0" w:evenHBand="0" w:firstRowFirstColumn="0" w:firstRowLastColumn="0" w:lastRowFirstColumn="0" w:lastRowLastColumn="0"/>
              <w:rPr>
                <w:rFonts w:eastAsia="Calibri"/>
                <w:szCs w:val="18"/>
                <w:lang w:eastAsia="en-GB"/>
              </w:rPr>
            </w:pPr>
          </w:p>
        </w:tc>
        <w:tc>
          <w:tcPr>
            <w:tcW w:w="3510" w:type="dxa"/>
          </w:tcPr>
          <w:p w:rsidR="00B511DD" w:rsidRPr="008B1BBF" w:rsidRDefault="00B511DD" w:rsidP="00165E0B">
            <w:pPr>
              <w:spacing w:before="120" w:after="120"/>
              <w:jc w:val="both"/>
              <w:cnfStyle w:val="000000000000" w:firstRow="0" w:lastRow="0" w:firstColumn="0" w:lastColumn="0" w:oddVBand="0" w:evenVBand="0" w:oddHBand="0" w:evenHBand="0" w:firstRowFirstColumn="0" w:firstRowLastColumn="0" w:lastRowFirstColumn="0" w:lastRowLastColumn="0"/>
              <w:rPr>
                <w:rFonts w:eastAsia="Calibri"/>
                <w:szCs w:val="18"/>
                <w:lang w:eastAsia="en-GB"/>
              </w:rPr>
            </w:pPr>
            <w:r w:rsidRPr="008B1BBF">
              <w:rPr>
                <w:rFonts w:eastAsia="Calibri"/>
                <w:szCs w:val="18"/>
                <w:lang w:eastAsia="en-GB"/>
              </w:rPr>
              <w:t>Специфична цел 1</w:t>
            </w:r>
            <w:r w:rsidR="00165E0B">
              <w:rPr>
                <w:rFonts w:eastAsia="Calibri"/>
                <w:szCs w:val="18"/>
                <w:lang w:eastAsia="en-GB"/>
              </w:rPr>
              <w:t>.</w:t>
            </w:r>
            <w:r w:rsidRPr="008B1BBF">
              <w:rPr>
                <w:rFonts w:eastAsia="Calibri"/>
                <w:szCs w:val="18"/>
                <w:lang w:eastAsia="en-GB"/>
              </w:rPr>
              <w:t xml:space="preserve"> Намаляване на количеството депонирани отпадъци</w:t>
            </w:r>
          </w:p>
        </w:tc>
      </w:tr>
      <w:tr w:rsidR="00B511DD" w:rsidRPr="008B1BBF" w:rsidTr="00165E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2" w:type="dxa"/>
          </w:tcPr>
          <w:p w:rsidR="00B511DD" w:rsidRPr="008B1BBF" w:rsidRDefault="00B511DD" w:rsidP="00B511DD">
            <w:r w:rsidRPr="008B1BBF">
              <w:t>Планиран бюджет за финансови инструменти</w:t>
            </w:r>
          </w:p>
        </w:tc>
        <w:tc>
          <w:tcPr>
            <w:tcW w:w="3546" w:type="dxa"/>
          </w:tcPr>
          <w:p w:rsidR="00B511DD" w:rsidRPr="00C078AB" w:rsidRDefault="00B511DD" w:rsidP="00B511DD">
            <w:pPr>
              <w:cnfStyle w:val="000000100000" w:firstRow="0" w:lastRow="0" w:firstColumn="0" w:lastColumn="0" w:oddVBand="0" w:evenVBand="0" w:oddHBand="1" w:evenHBand="0" w:firstRowFirstColumn="0" w:firstRowLastColumn="0" w:lastRowFirstColumn="0" w:lastRowLastColumn="0"/>
            </w:pPr>
            <w:r>
              <w:t>103 361 989 (10%)</w:t>
            </w:r>
            <w:r w:rsidR="00165E0B">
              <w:t xml:space="preserve"> евро</w:t>
            </w:r>
          </w:p>
        </w:tc>
        <w:tc>
          <w:tcPr>
            <w:tcW w:w="3510" w:type="dxa"/>
          </w:tcPr>
          <w:p w:rsidR="00B511DD" w:rsidRPr="00C078AB" w:rsidRDefault="00B511DD" w:rsidP="00B511DD">
            <w:pPr>
              <w:cnfStyle w:val="000000100000" w:firstRow="0" w:lastRow="0" w:firstColumn="0" w:lastColumn="0" w:oddVBand="0" w:evenVBand="0" w:oddHBand="1" w:evenHBand="0" w:firstRowFirstColumn="0" w:firstRowLastColumn="0" w:lastRowFirstColumn="0" w:lastRowLastColumn="0"/>
            </w:pPr>
            <w:r>
              <w:t>21</w:t>
            </w:r>
            <w:r w:rsidR="00165E0B">
              <w:t xml:space="preserve"> </w:t>
            </w:r>
            <w:r>
              <w:t>900</w:t>
            </w:r>
            <w:r w:rsidR="00165E0B">
              <w:t xml:space="preserve"> </w:t>
            </w:r>
            <w:r>
              <w:t>501 (10%)</w:t>
            </w:r>
            <w:r w:rsidR="00165E0B">
              <w:t xml:space="preserve"> евро</w:t>
            </w:r>
          </w:p>
        </w:tc>
      </w:tr>
      <w:tr w:rsidR="00B511DD" w:rsidRPr="008B1BBF" w:rsidTr="00165E0B">
        <w:tc>
          <w:tcPr>
            <w:cnfStyle w:val="001000000000" w:firstRow="0" w:lastRow="0" w:firstColumn="1" w:lastColumn="0" w:oddVBand="0" w:evenVBand="0" w:oddHBand="0" w:evenHBand="0" w:firstRowFirstColumn="0" w:firstRowLastColumn="0" w:lastRowFirstColumn="0" w:lastRowLastColumn="0"/>
            <w:tcW w:w="2322" w:type="dxa"/>
          </w:tcPr>
          <w:p w:rsidR="00B511DD" w:rsidRPr="00306026" w:rsidRDefault="00B511DD" w:rsidP="00B511DD">
            <w:pPr>
              <w:rPr>
                <w:b w:val="0"/>
              </w:rPr>
            </w:pPr>
            <w:r>
              <w:rPr>
                <w:b w:val="0"/>
              </w:rPr>
              <w:t>Предложени ф</w:t>
            </w:r>
            <w:r w:rsidRPr="00306026">
              <w:rPr>
                <w:b w:val="0"/>
              </w:rPr>
              <w:t>инансови инструменти</w:t>
            </w:r>
            <w:r>
              <w:rPr>
                <w:b w:val="0"/>
              </w:rPr>
              <w:t xml:space="preserve"> от предварителната оценка</w:t>
            </w:r>
          </w:p>
        </w:tc>
        <w:tc>
          <w:tcPr>
            <w:tcW w:w="3546" w:type="dxa"/>
          </w:tcPr>
          <w:p w:rsidR="00B511DD" w:rsidRDefault="00B511DD" w:rsidP="00B511DD">
            <w:pPr>
              <w:cnfStyle w:val="000000000000" w:firstRow="0" w:lastRow="0" w:firstColumn="0" w:lastColumn="0" w:oddVBand="0" w:evenVBand="0" w:oddHBand="0" w:evenHBand="0" w:firstRowFirstColumn="0" w:firstRowLastColumn="0" w:lastRowFirstColumn="0" w:lastRowLastColumn="0"/>
            </w:pPr>
            <w:r w:rsidRPr="008B1BBF">
              <w:t>Фонд за устойчиви инвестиции във ВиК сектора</w:t>
            </w:r>
            <w:r>
              <w:t>:</w:t>
            </w:r>
          </w:p>
          <w:p w:rsidR="00B511DD" w:rsidRDefault="00B511DD" w:rsidP="001A036E">
            <w:pPr>
              <w:pStyle w:val="ListParagraph"/>
              <w:numPr>
                <w:ilvl w:val="0"/>
                <w:numId w:val="135"/>
              </w:numPr>
              <w:cnfStyle w:val="000000000000" w:firstRow="0" w:lastRow="0" w:firstColumn="0" w:lastColumn="0" w:oddVBand="0" w:evenVBand="0" w:oddHBand="0" w:evenHBand="0" w:firstRowFirstColumn="0" w:firstRowLastColumn="0" w:lastRowFirstColumn="0" w:lastRowLastColumn="0"/>
            </w:pPr>
            <w:r w:rsidRPr="008B1BBF">
              <w:t>Гаранции за поемане на част от кредитния риск</w:t>
            </w:r>
          </w:p>
          <w:p w:rsidR="00B511DD" w:rsidRPr="008B1BBF" w:rsidRDefault="00B511DD" w:rsidP="001A036E">
            <w:pPr>
              <w:pStyle w:val="ListParagraph"/>
              <w:numPr>
                <w:ilvl w:val="0"/>
                <w:numId w:val="135"/>
              </w:numPr>
              <w:cnfStyle w:val="000000000000" w:firstRow="0" w:lastRow="0" w:firstColumn="0" w:lastColumn="0" w:oddVBand="0" w:evenVBand="0" w:oddHBand="0" w:evenHBand="0" w:firstRowFirstColumn="0" w:firstRowLastColumn="0" w:lastRowFirstColumn="0" w:lastRowLastColumn="0"/>
            </w:pPr>
            <w:r w:rsidRPr="008B1BBF">
              <w:t>Директни кредити</w:t>
            </w:r>
          </w:p>
        </w:tc>
        <w:tc>
          <w:tcPr>
            <w:tcW w:w="3510" w:type="dxa"/>
          </w:tcPr>
          <w:p w:rsidR="00B511DD" w:rsidRDefault="00B511DD" w:rsidP="00B511DD">
            <w:pPr>
              <w:cnfStyle w:val="000000000000" w:firstRow="0" w:lastRow="0" w:firstColumn="0" w:lastColumn="0" w:oddVBand="0" w:evenVBand="0" w:oddHBand="0" w:evenHBand="0" w:firstRowFirstColumn="0" w:firstRowLastColumn="0" w:lastRowFirstColumn="0" w:lastRowLastColumn="0"/>
            </w:pPr>
            <w:r w:rsidRPr="008B1BBF">
              <w:t>Гаранционен фонд</w:t>
            </w:r>
          </w:p>
          <w:p w:rsidR="00B511DD" w:rsidRDefault="00B511DD" w:rsidP="00B511DD">
            <w:pPr>
              <w:cnfStyle w:val="000000000000" w:firstRow="0" w:lastRow="0" w:firstColumn="0" w:lastColumn="0" w:oddVBand="0" w:evenVBand="0" w:oddHBand="0" w:evenHBand="0" w:firstRowFirstColumn="0" w:firstRowLastColumn="0" w:lastRowFirstColumn="0" w:lastRowLastColumn="0"/>
            </w:pPr>
          </w:p>
          <w:p w:rsidR="00B511DD" w:rsidRPr="008B1BBF" w:rsidRDefault="00B511DD" w:rsidP="00B511DD">
            <w:pPr>
              <w:cnfStyle w:val="000000000000" w:firstRow="0" w:lastRow="0" w:firstColumn="0" w:lastColumn="0" w:oddVBand="0" w:evenVBand="0" w:oddHBand="0" w:evenHBand="0" w:firstRowFirstColumn="0" w:firstRowLastColumn="0" w:lastRowFirstColumn="0" w:lastRowLastColumn="0"/>
            </w:pPr>
            <w:r w:rsidRPr="008B1BBF">
              <w:t>Гаранционен фонд за поемане на 80% от кредитния риск</w:t>
            </w:r>
          </w:p>
        </w:tc>
      </w:tr>
    </w:tbl>
    <w:p w:rsidR="00B511DD" w:rsidRPr="008B1BBF" w:rsidRDefault="00B511DD" w:rsidP="00B511DD">
      <w:pPr>
        <w:rPr>
          <w:lang w:val="en-US"/>
        </w:rPr>
      </w:pPr>
    </w:p>
    <w:p w:rsidR="00B511DD" w:rsidRDefault="00B511DD" w:rsidP="00B511DD">
      <w:pPr>
        <w:jc w:val="both"/>
      </w:pPr>
      <w:r>
        <w:t xml:space="preserve">Предлаганите финансови инструменти имат пряк принос за постигане на целите на Оперативната програма по съответните приоритетни оси и инвестиционни приоритети. Все пак </w:t>
      </w:r>
      <w:r>
        <w:lastRenderedPageBreak/>
        <w:t>окончателното решение за това какъв тип инструменти, към кои бенефициенти и с какъв финансов ресурс трябва да бъде взето от УО като се има предвид следното:</w:t>
      </w:r>
    </w:p>
    <w:p w:rsidR="00B511DD" w:rsidRPr="00E04618" w:rsidRDefault="00B511DD" w:rsidP="001A036E">
      <w:pPr>
        <w:pStyle w:val="ListParagraph"/>
        <w:numPr>
          <w:ilvl w:val="0"/>
          <w:numId w:val="145"/>
        </w:numPr>
        <w:spacing w:after="200" w:line="276" w:lineRule="auto"/>
        <w:jc w:val="both"/>
      </w:pPr>
      <w:r>
        <w:t>За приоритетна ос 1 се предлага използването на ФИ, като е направено уточнение, че о</w:t>
      </w:r>
      <w:r w:rsidRPr="00E04618">
        <w:t>кончателното решение за финансиране на ВиК оператори чрез финансови инструменти и размерът на тяхното използване следва да се вземе на база конкретен проект след изготвяне на отделен анализ „разходи – ползи”/финансов анализ с анализ на чувствителността и риска, вкл. оценка на социалната поносимост на тарифите за ВиК услуги за отделните схеми на финансиране чрез комбинация от БФП и заемен и/или собствен ресурс.</w:t>
      </w:r>
    </w:p>
    <w:p w:rsidR="00B511DD" w:rsidRPr="00E04618" w:rsidRDefault="00B511DD" w:rsidP="001A036E">
      <w:pPr>
        <w:pStyle w:val="ListParagraph"/>
        <w:numPr>
          <w:ilvl w:val="0"/>
          <w:numId w:val="145"/>
        </w:numPr>
        <w:spacing w:after="200" w:line="276" w:lineRule="auto"/>
        <w:jc w:val="both"/>
      </w:pPr>
      <w:r>
        <w:t>За приоритетна ос 2 се предлага използването на ФИ, като е направено уточнение, че о</w:t>
      </w:r>
      <w:r w:rsidRPr="00E04618">
        <w:t>кончателното решение за финансиране на бенефициентите чрез финансови инструменти в сектор Отпадъци следва да се вземе на база конкретен проект след изготвяне на отделен анализ „разходи – ползи”/финансов анализ с анализ на чувствителността и риска, вкл. оценка на отделните схеми на финансиране чрез комбинация от БФП и заемен и/или собствен ресурс както и в зависимост от финансовото състояние на съответния бенефициент към момента на кандидатстване.</w:t>
      </w:r>
    </w:p>
    <w:p w:rsidR="00B511DD" w:rsidRDefault="00B511DD" w:rsidP="001A036E">
      <w:pPr>
        <w:pStyle w:val="ListParagraph"/>
        <w:numPr>
          <w:ilvl w:val="0"/>
          <w:numId w:val="145"/>
        </w:numPr>
        <w:jc w:val="both"/>
      </w:pPr>
      <w:r>
        <w:t>За приоритетна ос 5 е нап</w:t>
      </w:r>
      <w:r w:rsidR="00165E0B">
        <w:t xml:space="preserve">равен извод, че сектор „Въздух“, предвид мерките които предвижда за изпълнение, </w:t>
      </w:r>
      <w:r>
        <w:t xml:space="preserve">е незрял по отношение на използване на </w:t>
      </w:r>
      <w:r w:rsidR="00165E0B">
        <w:t>финансови инструменти</w:t>
      </w:r>
      <w:r>
        <w:t xml:space="preserve">  и не се препоръчва използване на </w:t>
      </w:r>
      <w:r w:rsidR="00165E0B">
        <w:t>такива</w:t>
      </w:r>
      <w:r>
        <w:t xml:space="preserve"> на този етап, но е направена препоръка за актуализиране на предварителната оценка при промяна на мерките.</w:t>
      </w:r>
    </w:p>
    <w:p w:rsidR="00B511DD" w:rsidRDefault="00B511DD" w:rsidP="00B511DD">
      <w:pPr>
        <w:jc w:val="both"/>
      </w:pPr>
      <w:r>
        <w:t>Сравнение между предлаганата стратегия на програмата, заключенията на предварителната оценка на програмата и предварителната оценка за изпол</w:t>
      </w:r>
      <w:r w:rsidR="00165E0B">
        <w:t>зване на финансови инструменти:</w:t>
      </w:r>
    </w:p>
    <w:tbl>
      <w:tblPr>
        <w:tblStyle w:val="MediumList2-Accent11"/>
        <w:tblW w:w="9322" w:type="dxa"/>
        <w:tblLayout w:type="fixed"/>
        <w:tblLook w:val="04A0" w:firstRow="1" w:lastRow="0" w:firstColumn="1" w:lastColumn="0" w:noHBand="0" w:noVBand="1"/>
      </w:tblPr>
      <w:tblGrid>
        <w:gridCol w:w="1242"/>
        <w:gridCol w:w="1365"/>
        <w:gridCol w:w="3171"/>
        <w:gridCol w:w="3544"/>
      </w:tblGrid>
      <w:tr w:rsidR="00B511DD" w:rsidRPr="00165E0B" w:rsidTr="00165E0B">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42" w:type="dxa"/>
          </w:tcPr>
          <w:p w:rsidR="00B511DD" w:rsidRPr="00165E0B" w:rsidRDefault="00165E0B" w:rsidP="00165E0B">
            <w:pPr>
              <w:jc w:val="center"/>
              <w:rPr>
                <w:rFonts w:asciiTheme="minorHAnsi" w:hAnsiTheme="minorHAnsi" w:cstheme="minorHAnsi"/>
                <w:b/>
                <w:sz w:val="22"/>
                <w:szCs w:val="22"/>
              </w:rPr>
            </w:pPr>
            <w:r>
              <w:rPr>
                <w:rFonts w:asciiTheme="minorHAnsi" w:hAnsiTheme="minorHAnsi" w:cstheme="minorHAnsi"/>
                <w:b/>
                <w:sz w:val="22"/>
                <w:szCs w:val="22"/>
              </w:rPr>
              <w:t>ПО</w:t>
            </w:r>
          </w:p>
        </w:tc>
        <w:tc>
          <w:tcPr>
            <w:tcW w:w="1365" w:type="dxa"/>
          </w:tcPr>
          <w:p w:rsidR="00B511DD" w:rsidRPr="00165E0B" w:rsidRDefault="00B511DD" w:rsidP="00165E0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165E0B">
              <w:rPr>
                <w:rFonts w:asciiTheme="minorHAnsi" w:hAnsiTheme="minorHAnsi" w:cstheme="minorHAnsi"/>
                <w:b/>
                <w:sz w:val="22"/>
                <w:szCs w:val="22"/>
              </w:rPr>
              <w:t>Предлагани от програмата</w:t>
            </w:r>
          </w:p>
        </w:tc>
        <w:tc>
          <w:tcPr>
            <w:tcW w:w="3171" w:type="dxa"/>
          </w:tcPr>
          <w:p w:rsidR="00B511DD" w:rsidRPr="00165E0B" w:rsidRDefault="00B511DD" w:rsidP="00165E0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165E0B">
              <w:rPr>
                <w:rFonts w:asciiTheme="minorHAnsi" w:hAnsiTheme="minorHAnsi" w:cstheme="minorHAnsi"/>
                <w:b/>
                <w:sz w:val="22"/>
                <w:szCs w:val="22"/>
              </w:rPr>
              <w:t>Предварителна оценка на програмата относно логика на интервенция</w:t>
            </w:r>
          </w:p>
        </w:tc>
        <w:tc>
          <w:tcPr>
            <w:tcW w:w="3544" w:type="dxa"/>
          </w:tcPr>
          <w:p w:rsidR="00B511DD" w:rsidRPr="00165E0B" w:rsidRDefault="00B511DD" w:rsidP="00165E0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165E0B">
              <w:rPr>
                <w:rFonts w:asciiTheme="minorHAnsi" w:hAnsiTheme="minorHAnsi" w:cstheme="minorHAnsi"/>
                <w:b/>
                <w:sz w:val="22"/>
                <w:szCs w:val="22"/>
              </w:rPr>
              <w:t>Предварителна оценка за изпо</w:t>
            </w:r>
            <w:r w:rsidR="00165E0B">
              <w:rPr>
                <w:rFonts w:asciiTheme="minorHAnsi" w:hAnsiTheme="minorHAnsi" w:cstheme="minorHAnsi"/>
                <w:b/>
                <w:sz w:val="22"/>
                <w:szCs w:val="22"/>
              </w:rPr>
              <w:t>лзване на финансови инструменти</w:t>
            </w:r>
          </w:p>
        </w:tc>
      </w:tr>
      <w:tr w:rsidR="00B511DD" w:rsidRPr="00165E0B" w:rsidTr="00165E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B511DD" w:rsidRPr="00165E0B" w:rsidRDefault="00B511DD" w:rsidP="00B511DD">
            <w:pPr>
              <w:jc w:val="both"/>
              <w:rPr>
                <w:rFonts w:asciiTheme="minorHAnsi" w:hAnsiTheme="minorHAnsi" w:cstheme="minorHAnsi"/>
              </w:rPr>
            </w:pPr>
            <w:r w:rsidRPr="00165E0B">
              <w:rPr>
                <w:rFonts w:asciiTheme="minorHAnsi" w:hAnsiTheme="minorHAnsi" w:cstheme="minorHAnsi"/>
              </w:rPr>
              <w:t>ПО 1. Води</w:t>
            </w:r>
          </w:p>
        </w:tc>
        <w:tc>
          <w:tcPr>
            <w:tcW w:w="1365" w:type="dxa"/>
          </w:tcPr>
          <w:p w:rsidR="00B511DD" w:rsidRPr="00165E0B" w:rsidRDefault="00B511DD" w:rsidP="00B511D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Да (10% от бюджета на ПО)</w:t>
            </w:r>
          </w:p>
        </w:tc>
        <w:tc>
          <w:tcPr>
            <w:tcW w:w="3171" w:type="dxa"/>
          </w:tcPr>
          <w:p w:rsidR="00B511DD" w:rsidRPr="00165E0B" w:rsidRDefault="00B511DD" w:rsidP="00B511D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 xml:space="preserve">Така планираните мерки водят до опазване и подобряване на управлението и състоянието на водните ресурси и в най-голяма степен допринасят за постигане на очакваните резултати от програмата и рамката за изпълнение. </w:t>
            </w:r>
          </w:p>
          <w:p w:rsidR="00B511DD" w:rsidRPr="00165E0B" w:rsidRDefault="00B511DD" w:rsidP="00B511D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p w:rsidR="00B511DD" w:rsidRPr="00165E0B" w:rsidRDefault="00B511DD" w:rsidP="00B511D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Логиката на интервенция е ясна</w:t>
            </w:r>
          </w:p>
        </w:tc>
        <w:tc>
          <w:tcPr>
            <w:tcW w:w="3544" w:type="dxa"/>
          </w:tcPr>
          <w:p w:rsidR="00B511DD" w:rsidRPr="00165E0B" w:rsidRDefault="00B511DD" w:rsidP="00E13414">
            <w:pPr>
              <w:spacing w:after="200" w:line="276" w:lineRule="auto"/>
              <w:ind w:left="14"/>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 xml:space="preserve">Предлага се използването на ФИ, като е направено уточнение, че окончателното решение за финансиране на ВиК оператори чрез финансови инструменти и размерът на тяхното използване следва да се вземе на база конкретен проект след изготвяне на отделен анализ „разходи – ползи”/финансов анализ с анализ на чувствителността и риска, вкл. оценка на социалната поносимост на тарифите за ВиК услуги за отделните схеми на финансиране </w:t>
            </w:r>
            <w:r w:rsidRPr="00165E0B">
              <w:rPr>
                <w:rFonts w:asciiTheme="minorHAnsi" w:hAnsiTheme="minorHAnsi" w:cstheme="minorHAnsi"/>
              </w:rPr>
              <w:lastRenderedPageBreak/>
              <w:t xml:space="preserve">чрез комбинация от БФП </w:t>
            </w:r>
            <w:r w:rsidR="00E13414" w:rsidRPr="00165E0B">
              <w:rPr>
                <w:rFonts w:asciiTheme="minorHAnsi" w:hAnsiTheme="minorHAnsi" w:cstheme="minorHAnsi"/>
              </w:rPr>
              <w:t>и заемен и/или собствен ресурс.</w:t>
            </w:r>
          </w:p>
        </w:tc>
      </w:tr>
      <w:tr w:rsidR="00B511DD" w:rsidRPr="00165E0B" w:rsidTr="00165E0B">
        <w:trPr>
          <w:trHeight w:val="5746"/>
        </w:trPr>
        <w:tc>
          <w:tcPr>
            <w:cnfStyle w:val="001000000000" w:firstRow="0" w:lastRow="0" w:firstColumn="1" w:lastColumn="0" w:oddVBand="0" w:evenVBand="0" w:oddHBand="0" w:evenHBand="0" w:firstRowFirstColumn="0" w:firstRowLastColumn="0" w:lastRowFirstColumn="0" w:lastRowLastColumn="0"/>
            <w:tcW w:w="1242" w:type="dxa"/>
          </w:tcPr>
          <w:p w:rsidR="00B511DD" w:rsidRPr="00165E0B" w:rsidRDefault="00B511DD" w:rsidP="00B511DD">
            <w:pPr>
              <w:jc w:val="both"/>
              <w:rPr>
                <w:rFonts w:asciiTheme="minorHAnsi" w:hAnsiTheme="minorHAnsi" w:cstheme="minorHAnsi"/>
              </w:rPr>
            </w:pPr>
            <w:r w:rsidRPr="00165E0B">
              <w:rPr>
                <w:rFonts w:asciiTheme="minorHAnsi" w:hAnsiTheme="minorHAnsi" w:cstheme="minorHAnsi"/>
              </w:rPr>
              <w:lastRenderedPageBreak/>
              <w:t>ПО 2. Отпадъци</w:t>
            </w:r>
          </w:p>
        </w:tc>
        <w:tc>
          <w:tcPr>
            <w:tcW w:w="1365" w:type="dxa"/>
          </w:tcPr>
          <w:p w:rsidR="00B511DD" w:rsidRPr="00165E0B" w:rsidRDefault="00B511DD" w:rsidP="00E13414">
            <w:pPr>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Д</w:t>
            </w:r>
            <w:r w:rsidR="00E13414" w:rsidRPr="00165E0B">
              <w:rPr>
                <w:rFonts w:asciiTheme="minorHAnsi" w:hAnsiTheme="minorHAnsi" w:cstheme="minorHAnsi"/>
                <w:lang w:val="en-US"/>
              </w:rPr>
              <w:t>o</w:t>
            </w:r>
            <w:r w:rsidRPr="00165E0B">
              <w:rPr>
                <w:rFonts w:asciiTheme="minorHAnsi" w:hAnsiTheme="minorHAnsi" w:cstheme="minorHAnsi"/>
              </w:rPr>
              <w:t xml:space="preserve"> (10% от бюджета на ПО)</w:t>
            </w:r>
          </w:p>
        </w:tc>
        <w:tc>
          <w:tcPr>
            <w:tcW w:w="3171" w:type="dxa"/>
          </w:tcPr>
          <w:p w:rsidR="00B511DD" w:rsidRPr="00165E0B" w:rsidRDefault="00B511DD" w:rsidP="00165E0B">
            <w:pPr>
              <w:autoSpaceDE w:val="0"/>
              <w:autoSpaceDN w:val="0"/>
              <w:adjustRightInd w:val="0"/>
              <w:spacing w:after="24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Планираните мерки допринасят за постигане на очакваните резултати от програмата и водят до постигане на съответствие с йерархията при управлението на отпадъците, съгласно целите, залегнали в националното и европейското законодателство. Във връзка със заложените интервенции по ПО 2 (код 017), липсва подходящо формулирана мярка за превенция и минимизиране на количеството на битовите отпадъци – такъв принос биха могли да имат пилотните/демонстрационните проекти на</w:t>
            </w:r>
            <w:r w:rsidR="00E13414" w:rsidRPr="00165E0B">
              <w:rPr>
                <w:rFonts w:asciiTheme="minorHAnsi" w:hAnsiTheme="minorHAnsi" w:cstheme="minorHAnsi"/>
              </w:rPr>
              <w:t xml:space="preserve"> етап изпълнение на програмата.</w:t>
            </w:r>
          </w:p>
        </w:tc>
        <w:tc>
          <w:tcPr>
            <w:tcW w:w="3544" w:type="dxa"/>
          </w:tcPr>
          <w:p w:rsidR="00B511DD" w:rsidRPr="00165E0B" w:rsidRDefault="00B511DD" w:rsidP="00165E0B">
            <w:pPr>
              <w:spacing w:after="200" w:line="276" w:lineRule="auto"/>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Предлага се използването на ФИ, като е направено уточнение, че окончателното решение за финансиране на бенефициентите чрез финансови инструменти в сектор Отпадъци следва да се вземе на база конкретен проект след изготвяне на отделен анализ „разходи – ползи”/финансов анализ с анализ на чувствителността и риска, вкл. оценка на отделните схеми на финансиране чрез комбинация от БФП и заемен и/или собствен ресурс както и в зависимост от финансовото състояние на съответния бенефициент към момента на кандидатстване</w:t>
            </w:r>
            <w:r w:rsidR="00165E0B">
              <w:rPr>
                <w:rFonts w:asciiTheme="minorHAnsi" w:hAnsiTheme="minorHAnsi" w:cstheme="minorHAnsi"/>
              </w:rPr>
              <w:t>.</w:t>
            </w:r>
          </w:p>
        </w:tc>
      </w:tr>
      <w:tr w:rsidR="00B511DD" w:rsidRPr="00165E0B" w:rsidTr="00165E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Pr>
          <w:p w:rsidR="00B511DD" w:rsidRPr="00165E0B" w:rsidRDefault="00B511DD" w:rsidP="00B511DD">
            <w:pPr>
              <w:jc w:val="both"/>
              <w:rPr>
                <w:rFonts w:asciiTheme="minorHAnsi" w:hAnsiTheme="minorHAnsi" w:cstheme="minorHAnsi"/>
              </w:rPr>
            </w:pPr>
            <w:r w:rsidRPr="00165E0B">
              <w:rPr>
                <w:rFonts w:asciiTheme="minorHAnsi" w:hAnsiTheme="minorHAnsi" w:cstheme="minorHAnsi"/>
              </w:rPr>
              <w:t>ПО 5. КАВ</w:t>
            </w:r>
          </w:p>
        </w:tc>
        <w:tc>
          <w:tcPr>
            <w:tcW w:w="1365" w:type="dxa"/>
          </w:tcPr>
          <w:p w:rsidR="00B511DD" w:rsidRPr="00165E0B" w:rsidRDefault="00B511DD" w:rsidP="00E13414">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Д</w:t>
            </w:r>
            <w:r w:rsidR="00E13414" w:rsidRPr="00165E0B">
              <w:rPr>
                <w:rFonts w:asciiTheme="minorHAnsi" w:hAnsiTheme="minorHAnsi" w:cstheme="minorHAnsi"/>
                <w:lang w:val="en-US"/>
              </w:rPr>
              <w:t>0</w:t>
            </w:r>
            <w:r w:rsidRPr="00165E0B">
              <w:rPr>
                <w:rFonts w:asciiTheme="minorHAnsi" w:hAnsiTheme="minorHAnsi" w:cstheme="minorHAnsi"/>
              </w:rPr>
              <w:t xml:space="preserve"> (10% от бюджета на ПО)</w:t>
            </w:r>
          </w:p>
        </w:tc>
        <w:tc>
          <w:tcPr>
            <w:tcW w:w="3171" w:type="dxa"/>
          </w:tcPr>
          <w:p w:rsidR="00B511DD" w:rsidRPr="00165E0B" w:rsidRDefault="00B511DD" w:rsidP="00B511D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 xml:space="preserve">Видно е, че така изброените мерки не допринасят значително за постигането на изброените по-горе очаквани резултати, с изключение на мярката за закупуване на многофункционална почистваща техника. </w:t>
            </w:r>
          </w:p>
          <w:p w:rsidR="00B511DD" w:rsidRPr="00165E0B" w:rsidRDefault="00B511DD" w:rsidP="00B511D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65E0B">
              <w:rPr>
                <w:rFonts w:asciiTheme="minorHAnsi" w:hAnsiTheme="minorHAnsi" w:cstheme="minorHAnsi"/>
              </w:rPr>
              <w:t xml:space="preserve">В тази връзка, препоръчваме да се изберат нови мерки за адресиране на специфичната цел, в това число да се включат мерки, идентифицирани в общинските програми по КАВ. Показателят за изпълнение „Прегледани/ анализирани </w:t>
            </w:r>
            <w:r w:rsidRPr="00165E0B">
              <w:rPr>
                <w:rFonts w:asciiTheme="minorHAnsi" w:hAnsiTheme="minorHAnsi" w:cstheme="minorHAnsi"/>
              </w:rPr>
              <w:lastRenderedPageBreak/>
              <w:t xml:space="preserve">общински програми“ следва да бъде заменен с подходящ или заличен. </w:t>
            </w:r>
          </w:p>
          <w:p w:rsidR="00B511DD" w:rsidRPr="00165E0B" w:rsidRDefault="00B511DD" w:rsidP="00B511DD">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p>
        </w:tc>
        <w:tc>
          <w:tcPr>
            <w:tcW w:w="3544" w:type="dxa"/>
          </w:tcPr>
          <w:p w:rsidR="00B511DD" w:rsidRPr="00165E0B" w:rsidRDefault="00B511DD" w:rsidP="00B511DD">
            <w:pPr>
              <w:spacing w:after="200" w:line="276" w:lineRule="auto"/>
              <w:jc w:val="both"/>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rPr>
            </w:pPr>
            <w:r w:rsidRPr="00165E0B">
              <w:rPr>
                <w:rFonts w:asciiTheme="minorHAnsi" w:eastAsia="Calibri" w:hAnsiTheme="minorHAnsi" w:cstheme="minorHAnsi"/>
              </w:rPr>
              <w:lastRenderedPageBreak/>
              <w:t xml:space="preserve">На база на направените изводи, се счита, че </w:t>
            </w:r>
            <w:r w:rsidR="00165E0B">
              <w:rPr>
                <w:rFonts w:asciiTheme="minorHAnsi" w:eastAsia="Calibri" w:hAnsiTheme="minorHAnsi" w:cstheme="minorHAnsi"/>
              </w:rPr>
              <w:t xml:space="preserve">предвид предлаганите за финансиране мерки, </w:t>
            </w:r>
            <w:r w:rsidRPr="00165E0B">
              <w:rPr>
                <w:rFonts w:asciiTheme="minorHAnsi" w:eastAsia="Calibri" w:hAnsiTheme="minorHAnsi" w:cstheme="minorHAnsi"/>
              </w:rPr>
              <w:t>сектор Въздух е все още „незрял” и има нужда от най-вече безвъзмездно финансиране</w:t>
            </w:r>
            <w:r w:rsidRPr="00165E0B">
              <w:rPr>
                <w:rStyle w:val="FootnoteReference"/>
                <w:rFonts w:asciiTheme="minorHAnsi" w:eastAsia="Calibri" w:hAnsiTheme="minorHAnsi" w:cstheme="minorHAnsi"/>
              </w:rPr>
              <w:footnoteReference w:id="133"/>
            </w:r>
            <w:r w:rsidRPr="00165E0B">
              <w:rPr>
                <w:rFonts w:asciiTheme="minorHAnsi" w:eastAsia="Calibri" w:hAnsiTheme="minorHAnsi" w:cstheme="minorHAnsi"/>
              </w:rPr>
              <w:t>.</w:t>
            </w:r>
          </w:p>
          <w:p w:rsidR="00B511DD" w:rsidRPr="00165E0B" w:rsidRDefault="00B511DD" w:rsidP="00E13414">
            <w:pPr>
              <w:spacing w:after="200" w:line="276" w:lineRule="auto"/>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165E0B">
              <w:rPr>
                <w:rFonts w:asciiTheme="minorHAnsi" w:eastAsia="Calibri" w:hAnsiTheme="minorHAnsi" w:cstheme="minorHAnsi"/>
              </w:rPr>
              <w:t>Въпреки това заключение, при бъдещо изменение на предвидените за финансиране дейности по програмата</w:t>
            </w:r>
            <w:r w:rsidRPr="00165E0B">
              <w:rPr>
                <w:rStyle w:val="FootnoteReference"/>
                <w:rFonts w:asciiTheme="minorHAnsi" w:eastAsia="Calibri" w:hAnsiTheme="minorHAnsi" w:cstheme="minorHAnsi"/>
              </w:rPr>
              <w:footnoteReference w:id="134"/>
            </w:r>
            <w:r w:rsidRPr="00165E0B">
              <w:rPr>
                <w:rFonts w:asciiTheme="minorHAnsi" w:eastAsia="Calibri" w:hAnsiTheme="minorHAnsi" w:cstheme="minorHAnsi"/>
              </w:rPr>
              <w:t xml:space="preserve">, е необходимо преразглеждане на оценката за приложимостта на </w:t>
            </w:r>
            <w:r w:rsidRPr="00165E0B">
              <w:rPr>
                <w:rFonts w:asciiTheme="minorHAnsi" w:eastAsia="Calibri" w:hAnsiTheme="minorHAnsi" w:cstheme="minorHAnsi"/>
              </w:rPr>
              <w:lastRenderedPageBreak/>
              <w:t>финансови инструменти в този сектор.</w:t>
            </w:r>
          </w:p>
        </w:tc>
      </w:tr>
    </w:tbl>
    <w:p w:rsidR="00165E0B" w:rsidRDefault="00165E0B" w:rsidP="00181C9C">
      <w:pPr>
        <w:pStyle w:val="Heading2"/>
        <w:rPr>
          <w:rFonts w:asciiTheme="minorHAnsi" w:hAnsiTheme="minorHAnsi" w:cs="Times New Roman"/>
        </w:rPr>
      </w:pPr>
    </w:p>
    <w:p w:rsidR="00BC4527" w:rsidRDefault="00C22C35" w:rsidP="00181C9C">
      <w:pPr>
        <w:pStyle w:val="Heading2"/>
        <w:rPr>
          <w:rFonts w:asciiTheme="minorHAnsi" w:hAnsiTheme="minorHAnsi" w:cs="Times New Roman"/>
        </w:rPr>
      </w:pPr>
      <w:bookmarkStart w:id="194" w:name="_Toc399494581"/>
      <w:r w:rsidRPr="00C370EC">
        <w:rPr>
          <w:rFonts w:asciiTheme="minorHAnsi" w:hAnsiTheme="minorHAnsi" w:cs="Times New Roman"/>
        </w:rPr>
        <w:t>6.3. Определяне на индикатори за измерване на постигнатите цели и резултати</w:t>
      </w:r>
      <w:bookmarkEnd w:id="194"/>
    </w:p>
    <w:p w:rsidR="00907AE2" w:rsidRPr="00B511DD" w:rsidRDefault="00907AE2" w:rsidP="00907AE2">
      <w:pPr>
        <w:spacing w:before="240"/>
        <w:jc w:val="both"/>
      </w:pPr>
      <w:r w:rsidRPr="00B511DD">
        <w:t>Предлаганите индикатори, част от системата за мониторинг към момента на изготвяне на предварителната оценка</w:t>
      </w:r>
      <w:r>
        <w:t>,</w:t>
      </w:r>
      <w:r w:rsidRPr="00B511DD">
        <w:t xml:space="preserve"> са част от предлаганата инвестиционна страте</w:t>
      </w:r>
      <w:r>
        <w:t>гия.</w:t>
      </w:r>
    </w:p>
    <w:p w:rsidR="00907AE2" w:rsidRPr="00B511DD" w:rsidRDefault="00907AE2" w:rsidP="00907AE2">
      <w:r w:rsidRPr="00B511DD">
        <w:t>Предлагат се следните индикатори по приоритетни оси:</w:t>
      </w:r>
    </w:p>
    <w:p w:rsidR="00907AE2" w:rsidRPr="00092963" w:rsidRDefault="00907AE2" w:rsidP="00907AE2">
      <w:pPr>
        <w:rPr>
          <w:b/>
          <w:i/>
          <w:color w:val="2E74B5" w:themeColor="accent1" w:themeShade="BF"/>
        </w:rPr>
      </w:pPr>
      <w:r w:rsidRPr="00092963">
        <w:rPr>
          <w:b/>
          <w:i/>
          <w:color w:val="2E74B5" w:themeColor="accent1" w:themeShade="BF"/>
        </w:rPr>
        <w:t>Приоритетна ос 1. Води</w:t>
      </w:r>
    </w:p>
    <w:tbl>
      <w:tblPr>
        <w:tblStyle w:val="MediumGrid3-Accent5"/>
        <w:tblW w:w="9606" w:type="dxa"/>
        <w:tblLook w:val="04A0" w:firstRow="1" w:lastRow="0" w:firstColumn="1" w:lastColumn="0" w:noHBand="0" w:noVBand="1"/>
      </w:tblPr>
      <w:tblGrid>
        <w:gridCol w:w="2943"/>
        <w:gridCol w:w="6663"/>
      </w:tblGrid>
      <w:tr w:rsidR="00907AE2" w:rsidRPr="00B511DD" w:rsidTr="005C0D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3" w:type="dxa"/>
          </w:tcPr>
          <w:p w:rsidR="00907AE2" w:rsidRPr="00B511DD" w:rsidRDefault="00907AE2" w:rsidP="005C0D18">
            <w:r w:rsidRPr="00B511DD">
              <w:t>Тип финансов инструмент</w:t>
            </w:r>
          </w:p>
        </w:tc>
        <w:tc>
          <w:tcPr>
            <w:tcW w:w="6663" w:type="dxa"/>
          </w:tcPr>
          <w:p w:rsidR="00907AE2" w:rsidRPr="00A8521E" w:rsidRDefault="00907AE2" w:rsidP="005C0D18">
            <w:pPr>
              <w:cnfStyle w:val="100000000000" w:firstRow="1" w:lastRow="0" w:firstColumn="0" w:lastColumn="0" w:oddVBand="0" w:evenVBand="0" w:oddHBand="0" w:evenHBand="0" w:firstRowFirstColumn="0" w:firstRowLastColumn="0" w:lastRowFirstColumn="0" w:lastRowLastColumn="0"/>
            </w:pPr>
            <w:r w:rsidRPr="00A8521E">
              <w:t>Фонд за устойчиви инвестиции във ВиК сектора</w:t>
            </w:r>
          </w:p>
        </w:tc>
      </w:tr>
      <w:tr w:rsidR="00907AE2" w:rsidRPr="00B511DD" w:rsidTr="005C0D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3" w:type="dxa"/>
          </w:tcPr>
          <w:p w:rsidR="00907AE2" w:rsidRPr="00B511DD" w:rsidRDefault="00907AE2" w:rsidP="005C0D18">
            <w:r>
              <w:t>Източник на финансиране</w:t>
            </w:r>
          </w:p>
        </w:tc>
        <w:tc>
          <w:tcPr>
            <w:tcW w:w="6663" w:type="dxa"/>
          </w:tcPr>
          <w:p w:rsidR="00907AE2" w:rsidRPr="00A8521E" w:rsidRDefault="00907AE2" w:rsidP="005C0D18">
            <w:pPr>
              <w:cnfStyle w:val="000000100000" w:firstRow="0" w:lastRow="0" w:firstColumn="0" w:lastColumn="0" w:oddVBand="0" w:evenVBand="0" w:oddHBand="1" w:evenHBand="0" w:firstRowFirstColumn="0" w:firstRowLastColumn="0" w:lastRowFirstColumn="0" w:lastRowLastColumn="0"/>
            </w:pPr>
            <w:r w:rsidRPr="00A8521E">
              <w:t>Кохезионен фонд</w:t>
            </w:r>
          </w:p>
        </w:tc>
      </w:tr>
      <w:tr w:rsidR="00907AE2" w:rsidRPr="00B511DD" w:rsidTr="005C0D18">
        <w:tc>
          <w:tcPr>
            <w:cnfStyle w:val="001000000000" w:firstRow="0" w:lastRow="0" w:firstColumn="1" w:lastColumn="0" w:oddVBand="0" w:evenVBand="0" w:oddHBand="0" w:evenHBand="0" w:firstRowFirstColumn="0" w:firstRowLastColumn="0" w:lastRowFirstColumn="0" w:lastRowLastColumn="0"/>
            <w:tcW w:w="2943" w:type="dxa"/>
          </w:tcPr>
          <w:p w:rsidR="00907AE2" w:rsidRPr="00B511DD" w:rsidRDefault="00907AE2" w:rsidP="005C0D18">
            <w:r w:rsidRPr="00B511DD">
              <w:t>Бюджет</w:t>
            </w:r>
            <w:r>
              <w:t xml:space="preserve"> за фонда от ОПОС (25% от ресурса по приоритетна ос)</w:t>
            </w:r>
          </w:p>
        </w:tc>
        <w:tc>
          <w:tcPr>
            <w:tcW w:w="6663" w:type="dxa"/>
          </w:tcPr>
          <w:p w:rsidR="00907AE2" w:rsidRPr="00B511DD" w:rsidRDefault="00907AE2" w:rsidP="005C0D18">
            <w:pPr>
              <w:cnfStyle w:val="000000000000" w:firstRow="0" w:lastRow="0" w:firstColumn="0" w:lastColumn="0" w:oddVBand="0" w:evenVBand="0" w:oddHBand="0" w:evenHBand="0" w:firstRowFirstColumn="0" w:firstRowLastColumn="0" w:lastRowFirstColumn="0" w:lastRowLastColumn="0"/>
            </w:pPr>
            <w:r>
              <w:rPr>
                <w:rFonts w:ascii="Calibri" w:hAnsi="Calibri" w:cs="Calibri"/>
                <w:color w:val="000000"/>
              </w:rPr>
              <w:t xml:space="preserve">304 005 848 </w:t>
            </w:r>
            <w:r w:rsidRPr="00B511DD">
              <w:t>евро</w:t>
            </w:r>
          </w:p>
        </w:tc>
      </w:tr>
      <w:tr w:rsidR="00907AE2" w:rsidRPr="00B511DD" w:rsidTr="005C0D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3" w:type="dxa"/>
          </w:tcPr>
          <w:p w:rsidR="00907AE2" w:rsidRPr="00B511DD" w:rsidRDefault="00907AE2" w:rsidP="005C0D18">
            <w:r w:rsidRPr="00B511DD">
              <w:t>Специфичн</w:t>
            </w:r>
            <w:r>
              <w:t>и</w:t>
            </w:r>
            <w:r w:rsidRPr="00B511DD">
              <w:t xml:space="preserve"> цел</w:t>
            </w:r>
            <w:r>
              <w:t>и на инвестицион</w:t>
            </w:r>
            <w:r w:rsidRPr="00B511DD">
              <w:t>н</w:t>
            </w:r>
            <w:r>
              <w:t>ия</w:t>
            </w:r>
            <w:r w:rsidRPr="00B511DD">
              <w:t xml:space="preserve"> приоритет </w:t>
            </w:r>
          </w:p>
        </w:tc>
        <w:tc>
          <w:tcPr>
            <w:tcW w:w="6663" w:type="dxa"/>
          </w:tcPr>
          <w:p w:rsidR="00907AE2" w:rsidRPr="00A8521E" w:rsidRDefault="00907AE2" w:rsidP="005C0D18">
            <w:pPr>
              <w:pStyle w:val="Text1"/>
              <w:ind w:left="0"/>
              <w:cnfStyle w:val="000000100000" w:firstRow="0" w:lastRow="0" w:firstColumn="0" w:lastColumn="0" w:oddVBand="0" w:evenVBand="0" w:oddHBand="1" w:evenHBand="0" w:firstRowFirstColumn="0" w:firstRowLastColumn="0" w:lastRowFirstColumn="0" w:lastRowLastColumn="0"/>
              <w:rPr>
                <w:rFonts w:asciiTheme="minorHAnsi" w:hAnsiTheme="minorHAnsi"/>
                <w:sz w:val="22"/>
                <w:lang w:eastAsia="en-US"/>
              </w:rPr>
            </w:pPr>
            <w:r w:rsidRPr="00A8521E">
              <w:rPr>
                <w:rFonts w:asciiTheme="minorHAnsi" w:hAnsiTheme="minorHAnsi"/>
                <w:sz w:val="22"/>
                <w:lang w:eastAsia="en-US"/>
              </w:rPr>
              <w:t>Специфична цел 1</w:t>
            </w:r>
            <w:r>
              <w:rPr>
                <w:rFonts w:asciiTheme="minorHAnsi" w:hAnsiTheme="minorHAnsi"/>
                <w:sz w:val="22"/>
                <w:lang w:eastAsia="en-US"/>
              </w:rPr>
              <w:t>.</w:t>
            </w:r>
            <w:r w:rsidRPr="00A8521E">
              <w:rPr>
                <w:rFonts w:asciiTheme="minorHAnsi" w:hAnsiTheme="minorHAnsi"/>
                <w:sz w:val="22"/>
                <w:lang w:eastAsia="en-US"/>
              </w:rPr>
              <w:t xml:space="preserve"> Опазване и подобряване състоянието на водните ресурси</w:t>
            </w:r>
          </w:p>
          <w:p w:rsidR="00907AE2" w:rsidRPr="00B511DD" w:rsidRDefault="00907AE2" w:rsidP="005C0D18">
            <w:pPr>
              <w:jc w:val="both"/>
              <w:cnfStyle w:val="000000100000" w:firstRow="0" w:lastRow="0" w:firstColumn="0" w:lastColumn="0" w:oddVBand="0" w:evenVBand="0" w:oddHBand="1" w:evenHBand="0" w:firstRowFirstColumn="0" w:firstRowLastColumn="0" w:lastRowFirstColumn="0" w:lastRowLastColumn="0"/>
            </w:pPr>
            <w:r w:rsidRPr="00A8521E">
              <w:t>Специфична цел 2</w:t>
            </w:r>
            <w:r>
              <w:t>.</w:t>
            </w:r>
            <w:r w:rsidRPr="00A8521E">
              <w:t xml:space="preserve"> Подобряване оценката на състоянието на водите</w:t>
            </w:r>
          </w:p>
        </w:tc>
      </w:tr>
      <w:tr w:rsidR="00907AE2" w:rsidRPr="00B511DD" w:rsidTr="005C0D18">
        <w:tc>
          <w:tcPr>
            <w:cnfStyle w:val="001000000000" w:firstRow="0" w:lastRow="0" w:firstColumn="1" w:lastColumn="0" w:oddVBand="0" w:evenVBand="0" w:oddHBand="0" w:evenHBand="0" w:firstRowFirstColumn="0" w:firstRowLastColumn="0" w:lastRowFirstColumn="0" w:lastRowLastColumn="0"/>
            <w:tcW w:w="2943" w:type="dxa"/>
          </w:tcPr>
          <w:p w:rsidR="00907AE2" w:rsidRPr="00B511DD" w:rsidRDefault="00907AE2" w:rsidP="005C0D18">
            <w:r w:rsidRPr="00B511DD">
              <w:t xml:space="preserve">Индикатор за резултат </w:t>
            </w:r>
          </w:p>
        </w:tc>
        <w:tc>
          <w:tcPr>
            <w:tcW w:w="6663" w:type="dxa"/>
          </w:tcPr>
          <w:tbl>
            <w:tblPr>
              <w:tblStyle w:val="TableGrid5"/>
              <w:tblW w:w="0" w:type="auto"/>
              <w:tblBorders>
                <w:top w:val="single" w:sz="6" w:space="0" w:color="4472C4" w:themeColor="accent5"/>
                <w:left w:val="single" w:sz="6" w:space="0" w:color="4472C4" w:themeColor="accent5"/>
                <w:bottom w:val="single" w:sz="6" w:space="0" w:color="4472C4" w:themeColor="accent5"/>
                <w:right w:val="single" w:sz="6" w:space="0" w:color="4472C4" w:themeColor="accent5"/>
                <w:insideH w:val="single" w:sz="6" w:space="0" w:color="4472C4" w:themeColor="accent5"/>
                <w:insideV w:val="single" w:sz="6" w:space="0" w:color="4472C4" w:themeColor="accent5"/>
              </w:tblBorders>
              <w:tblLook w:val="04A0" w:firstRow="1" w:lastRow="0" w:firstColumn="1" w:lastColumn="0" w:noHBand="0" w:noVBand="1"/>
            </w:tblPr>
            <w:tblGrid>
              <w:gridCol w:w="1493"/>
              <w:gridCol w:w="1213"/>
              <w:gridCol w:w="899"/>
              <w:gridCol w:w="1578"/>
              <w:gridCol w:w="1248"/>
            </w:tblGrid>
            <w:tr w:rsidR="00907AE2" w:rsidRPr="00A8521E" w:rsidTr="005C0D18">
              <w:tc>
                <w:tcPr>
                  <w:tcW w:w="1493" w:type="dxa"/>
                </w:tcPr>
                <w:p w:rsidR="00907AE2" w:rsidRPr="00A8521E" w:rsidRDefault="00907AE2" w:rsidP="005C0D18">
                  <w:pPr>
                    <w:rPr>
                      <w:b/>
                      <w:sz w:val="18"/>
                      <w:szCs w:val="18"/>
                    </w:rPr>
                  </w:pPr>
                  <w:r w:rsidRPr="00A8521E">
                    <w:rPr>
                      <w:b/>
                      <w:sz w:val="18"/>
                      <w:szCs w:val="18"/>
                    </w:rPr>
                    <w:t>Индикатор</w:t>
                  </w:r>
                </w:p>
              </w:tc>
              <w:tc>
                <w:tcPr>
                  <w:tcW w:w="1229" w:type="dxa"/>
                </w:tcPr>
                <w:p w:rsidR="00907AE2" w:rsidRPr="00A8521E" w:rsidRDefault="00907AE2" w:rsidP="005C0D18">
                  <w:pPr>
                    <w:rPr>
                      <w:b/>
                      <w:sz w:val="18"/>
                      <w:szCs w:val="18"/>
                    </w:rPr>
                  </w:pPr>
                  <w:r w:rsidRPr="00A8521E">
                    <w:rPr>
                      <w:b/>
                      <w:sz w:val="18"/>
                      <w:szCs w:val="18"/>
                    </w:rPr>
                    <w:t>Мерна единица</w:t>
                  </w:r>
                </w:p>
              </w:tc>
              <w:tc>
                <w:tcPr>
                  <w:tcW w:w="848" w:type="dxa"/>
                </w:tcPr>
                <w:p w:rsidR="00907AE2" w:rsidRPr="00A8521E" w:rsidRDefault="00907AE2" w:rsidP="005C0D18">
                  <w:pPr>
                    <w:rPr>
                      <w:b/>
                      <w:sz w:val="18"/>
                      <w:szCs w:val="18"/>
                    </w:rPr>
                  </w:pPr>
                  <w:r w:rsidRPr="00A8521E">
                    <w:rPr>
                      <w:b/>
                      <w:sz w:val="18"/>
                      <w:szCs w:val="18"/>
                    </w:rPr>
                    <w:t>Базова стойност</w:t>
                  </w:r>
                </w:p>
              </w:tc>
              <w:tc>
                <w:tcPr>
                  <w:tcW w:w="1612" w:type="dxa"/>
                </w:tcPr>
                <w:p w:rsidR="00907AE2" w:rsidRPr="00A8521E" w:rsidRDefault="00907AE2" w:rsidP="005C0D18">
                  <w:pPr>
                    <w:rPr>
                      <w:b/>
                      <w:sz w:val="18"/>
                      <w:szCs w:val="18"/>
                    </w:rPr>
                  </w:pPr>
                  <w:r w:rsidRPr="00A8521E">
                    <w:rPr>
                      <w:b/>
                      <w:sz w:val="18"/>
                      <w:szCs w:val="18"/>
                    </w:rPr>
                    <w:t>Целева стойност</w:t>
                  </w:r>
                </w:p>
              </w:tc>
              <w:tc>
                <w:tcPr>
                  <w:tcW w:w="1249" w:type="dxa"/>
                </w:tcPr>
                <w:p w:rsidR="00907AE2" w:rsidRPr="00A8521E" w:rsidRDefault="00907AE2" w:rsidP="005C0D18">
                  <w:pPr>
                    <w:rPr>
                      <w:b/>
                      <w:sz w:val="18"/>
                      <w:szCs w:val="18"/>
                    </w:rPr>
                  </w:pPr>
                  <w:r w:rsidRPr="00A8521E">
                    <w:rPr>
                      <w:b/>
                      <w:sz w:val="18"/>
                      <w:szCs w:val="18"/>
                    </w:rPr>
                    <w:t>Източник на информация</w:t>
                  </w:r>
                </w:p>
              </w:tc>
            </w:tr>
            <w:tr w:rsidR="00907AE2" w:rsidRPr="00A8521E" w:rsidTr="005C0D18">
              <w:tc>
                <w:tcPr>
                  <w:tcW w:w="1493" w:type="dxa"/>
                </w:tcPr>
                <w:p w:rsidR="00907AE2" w:rsidRPr="00A8521E" w:rsidRDefault="00907AE2" w:rsidP="005C0D18">
                  <w:pPr>
                    <w:rPr>
                      <w:sz w:val="18"/>
                      <w:szCs w:val="18"/>
                    </w:rPr>
                  </w:pPr>
                  <w:r w:rsidRPr="00A8521E">
                    <w:rPr>
                      <w:sz w:val="18"/>
                      <w:szCs w:val="18"/>
                    </w:rPr>
                    <w:t>Допълнителен брой жители, с достъп до подобрено пречистване на отпадъчни води</w:t>
                  </w:r>
                </w:p>
              </w:tc>
              <w:tc>
                <w:tcPr>
                  <w:tcW w:w="1229" w:type="dxa"/>
                </w:tcPr>
                <w:p w:rsidR="00907AE2" w:rsidRPr="00A8521E" w:rsidRDefault="00907AE2" w:rsidP="005C0D18">
                  <w:pPr>
                    <w:rPr>
                      <w:sz w:val="18"/>
                      <w:szCs w:val="18"/>
                    </w:rPr>
                  </w:pPr>
                  <w:r w:rsidRPr="00A8521E">
                    <w:rPr>
                      <w:sz w:val="18"/>
                      <w:szCs w:val="18"/>
                    </w:rPr>
                    <w:t xml:space="preserve">Брой е.ж. </w:t>
                  </w:r>
                </w:p>
              </w:tc>
              <w:tc>
                <w:tcPr>
                  <w:tcW w:w="848" w:type="dxa"/>
                </w:tcPr>
                <w:p w:rsidR="00907AE2" w:rsidRPr="00A8521E" w:rsidRDefault="00907AE2" w:rsidP="005C0D18">
                  <w:pPr>
                    <w:rPr>
                      <w:sz w:val="18"/>
                      <w:szCs w:val="18"/>
                    </w:rPr>
                  </w:pPr>
                  <w:r w:rsidRPr="00A8521E">
                    <w:rPr>
                      <w:sz w:val="18"/>
                      <w:szCs w:val="18"/>
                    </w:rPr>
                    <w:t>0</w:t>
                  </w:r>
                </w:p>
              </w:tc>
              <w:tc>
                <w:tcPr>
                  <w:tcW w:w="1612" w:type="dxa"/>
                </w:tcPr>
                <w:p w:rsidR="00907AE2" w:rsidRDefault="00907AE2" w:rsidP="005C0D18">
                  <w:pPr>
                    <w:rPr>
                      <w:sz w:val="18"/>
                      <w:szCs w:val="18"/>
                    </w:rPr>
                  </w:pPr>
                  <w:r w:rsidRPr="002E76A0">
                    <w:rPr>
                      <w:sz w:val="18"/>
                      <w:szCs w:val="18"/>
                    </w:rPr>
                    <w:t>230 000 през 2018 г.</w:t>
                  </w:r>
                </w:p>
                <w:p w:rsidR="00907AE2" w:rsidRPr="00A8521E" w:rsidRDefault="00907AE2" w:rsidP="005C0D18">
                  <w:pPr>
                    <w:rPr>
                      <w:sz w:val="18"/>
                      <w:szCs w:val="18"/>
                    </w:rPr>
                  </w:pPr>
                  <w:r w:rsidRPr="00131B27">
                    <w:rPr>
                      <w:sz w:val="18"/>
                      <w:szCs w:val="18"/>
                    </w:rPr>
                    <w:t>1 130</w:t>
                  </w:r>
                  <w:r>
                    <w:rPr>
                      <w:sz w:val="18"/>
                      <w:szCs w:val="18"/>
                    </w:rPr>
                    <w:t> </w:t>
                  </w:r>
                  <w:r w:rsidRPr="00131B27">
                    <w:rPr>
                      <w:sz w:val="18"/>
                      <w:szCs w:val="18"/>
                    </w:rPr>
                    <w:t>000</w:t>
                  </w:r>
                  <w:r>
                    <w:rPr>
                      <w:sz w:val="18"/>
                      <w:szCs w:val="18"/>
                    </w:rPr>
                    <w:t xml:space="preserve"> през 2023 г.</w:t>
                  </w:r>
                </w:p>
              </w:tc>
              <w:tc>
                <w:tcPr>
                  <w:tcW w:w="1249" w:type="dxa"/>
                </w:tcPr>
                <w:p w:rsidR="00907AE2" w:rsidRPr="00A8521E" w:rsidRDefault="00907AE2" w:rsidP="005C0D18">
                  <w:pPr>
                    <w:rPr>
                      <w:sz w:val="18"/>
                      <w:szCs w:val="18"/>
                    </w:rPr>
                  </w:pPr>
                  <w:r w:rsidRPr="00A8521E">
                    <w:rPr>
                      <w:sz w:val="18"/>
                      <w:szCs w:val="18"/>
                    </w:rPr>
                    <w:t>Доклади за изпълнение на проекти, годишни доклади на МОСВ</w:t>
                  </w:r>
                  <w:r>
                    <w:rPr>
                      <w:sz w:val="18"/>
                      <w:szCs w:val="18"/>
                    </w:rPr>
                    <w:t>, Междинна и последваща оценка на ОПОС</w:t>
                  </w:r>
                </w:p>
              </w:tc>
            </w:tr>
            <w:tr w:rsidR="00907AE2" w:rsidRPr="00A8521E" w:rsidTr="005C0D18">
              <w:tc>
                <w:tcPr>
                  <w:tcW w:w="1493" w:type="dxa"/>
                </w:tcPr>
                <w:p w:rsidR="00907AE2" w:rsidRPr="00A8521E" w:rsidRDefault="00907AE2" w:rsidP="005C0D18">
                  <w:pPr>
                    <w:rPr>
                      <w:sz w:val="18"/>
                      <w:szCs w:val="18"/>
                    </w:rPr>
                  </w:pPr>
                  <w:r w:rsidRPr="00A8521E">
                    <w:rPr>
                      <w:sz w:val="18"/>
                      <w:szCs w:val="18"/>
                    </w:rPr>
                    <w:t>Допълнителен брой жители, с достъп до подобрено водоснабдяване</w:t>
                  </w:r>
                </w:p>
              </w:tc>
              <w:tc>
                <w:tcPr>
                  <w:tcW w:w="1229" w:type="dxa"/>
                </w:tcPr>
                <w:p w:rsidR="00907AE2" w:rsidRPr="00A8521E" w:rsidRDefault="00907AE2" w:rsidP="005C0D18">
                  <w:pPr>
                    <w:rPr>
                      <w:sz w:val="18"/>
                      <w:szCs w:val="18"/>
                    </w:rPr>
                  </w:pPr>
                  <w:r>
                    <w:rPr>
                      <w:sz w:val="18"/>
                      <w:szCs w:val="18"/>
                    </w:rPr>
                    <w:t xml:space="preserve">Брой </w:t>
                  </w:r>
                  <w:r w:rsidRPr="00A8521E">
                    <w:rPr>
                      <w:sz w:val="18"/>
                      <w:szCs w:val="18"/>
                    </w:rPr>
                    <w:t>ж</w:t>
                  </w:r>
                  <w:r>
                    <w:rPr>
                      <w:sz w:val="18"/>
                      <w:szCs w:val="18"/>
                    </w:rPr>
                    <w:t>ители</w:t>
                  </w:r>
                </w:p>
              </w:tc>
              <w:tc>
                <w:tcPr>
                  <w:tcW w:w="848" w:type="dxa"/>
                </w:tcPr>
                <w:p w:rsidR="00907AE2" w:rsidRPr="00A8521E" w:rsidRDefault="00907AE2" w:rsidP="005C0D18">
                  <w:pPr>
                    <w:rPr>
                      <w:sz w:val="18"/>
                      <w:szCs w:val="18"/>
                    </w:rPr>
                  </w:pPr>
                  <w:r w:rsidRPr="00A8521E">
                    <w:rPr>
                      <w:sz w:val="18"/>
                      <w:szCs w:val="18"/>
                    </w:rPr>
                    <w:t>0</w:t>
                  </w:r>
                </w:p>
              </w:tc>
              <w:tc>
                <w:tcPr>
                  <w:tcW w:w="1612" w:type="dxa"/>
                </w:tcPr>
                <w:p w:rsidR="00907AE2" w:rsidRPr="002E76A0" w:rsidRDefault="00907AE2" w:rsidP="005C0D18">
                  <w:pPr>
                    <w:rPr>
                      <w:sz w:val="18"/>
                      <w:szCs w:val="18"/>
                    </w:rPr>
                  </w:pPr>
                  <w:r w:rsidRPr="002E76A0">
                    <w:rPr>
                      <w:sz w:val="18"/>
                      <w:szCs w:val="18"/>
                    </w:rPr>
                    <w:t>89 000 през 2018 г.</w:t>
                  </w:r>
                </w:p>
                <w:p w:rsidR="00907AE2" w:rsidRPr="00A8521E" w:rsidRDefault="00907AE2" w:rsidP="005C0D18">
                  <w:pPr>
                    <w:rPr>
                      <w:sz w:val="18"/>
                      <w:szCs w:val="18"/>
                    </w:rPr>
                  </w:pPr>
                  <w:r w:rsidRPr="00131B27">
                    <w:rPr>
                      <w:sz w:val="18"/>
                      <w:szCs w:val="18"/>
                    </w:rPr>
                    <w:t>220</w:t>
                  </w:r>
                  <w:r>
                    <w:rPr>
                      <w:sz w:val="18"/>
                      <w:szCs w:val="18"/>
                    </w:rPr>
                    <w:t> </w:t>
                  </w:r>
                  <w:r w:rsidRPr="00131B27">
                    <w:rPr>
                      <w:sz w:val="18"/>
                      <w:szCs w:val="18"/>
                    </w:rPr>
                    <w:t>000</w:t>
                  </w:r>
                  <w:r>
                    <w:rPr>
                      <w:sz w:val="18"/>
                      <w:szCs w:val="18"/>
                    </w:rPr>
                    <w:t xml:space="preserve"> през 2023 г.</w:t>
                  </w:r>
                </w:p>
              </w:tc>
              <w:tc>
                <w:tcPr>
                  <w:tcW w:w="1249" w:type="dxa"/>
                </w:tcPr>
                <w:p w:rsidR="00907AE2" w:rsidRPr="00A8521E" w:rsidRDefault="00907AE2" w:rsidP="005C0D18">
                  <w:pPr>
                    <w:rPr>
                      <w:sz w:val="18"/>
                      <w:szCs w:val="18"/>
                    </w:rPr>
                  </w:pPr>
                  <w:r w:rsidRPr="00A8521E">
                    <w:rPr>
                      <w:sz w:val="18"/>
                      <w:szCs w:val="18"/>
                    </w:rPr>
                    <w:t>Доклади за изпълнение на проекти, годишни доклади на МОСВ</w:t>
                  </w:r>
                  <w:r>
                    <w:rPr>
                      <w:sz w:val="18"/>
                      <w:szCs w:val="18"/>
                    </w:rPr>
                    <w:t>, Междинна и последваща оценка на ОПОС</w:t>
                  </w:r>
                </w:p>
              </w:tc>
            </w:tr>
          </w:tbl>
          <w:p w:rsidR="00907AE2" w:rsidRPr="00B511DD" w:rsidRDefault="00907AE2" w:rsidP="005C0D18">
            <w:pPr>
              <w:cnfStyle w:val="000000000000" w:firstRow="0" w:lastRow="0" w:firstColumn="0" w:lastColumn="0" w:oddVBand="0" w:evenVBand="0" w:oddHBand="0" w:evenHBand="0" w:firstRowFirstColumn="0" w:firstRowLastColumn="0" w:lastRowFirstColumn="0" w:lastRowLastColumn="0"/>
            </w:pPr>
          </w:p>
        </w:tc>
      </w:tr>
      <w:tr w:rsidR="00907AE2" w:rsidRPr="00B511DD" w:rsidTr="005C0D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3" w:type="dxa"/>
          </w:tcPr>
          <w:p w:rsidR="00907AE2" w:rsidRPr="00B511DD" w:rsidRDefault="00907AE2" w:rsidP="005C0D18">
            <w:pPr>
              <w:rPr>
                <w:lang w:val="en-US"/>
              </w:rPr>
            </w:pPr>
            <w:r w:rsidRPr="00B511DD">
              <w:t>Индикатор за продукт (</w:t>
            </w:r>
            <w:r w:rsidRPr="00B511DD">
              <w:rPr>
                <w:lang w:val="en-US"/>
              </w:rPr>
              <w:t>output)</w:t>
            </w:r>
          </w:p>
        </w:tc>
        <w:tc>
          <w:tcPr>
            <w:tcW w:w="6663" w:type="dxa"/>
          </w:tcPr>
          <w:tbl>
            <w:tblPr>
              <w:tblStyle w:val="TableGrid5"/>
              <w:tblW w:w="0" w:type="auto"/>
              <w:tblBorders>
                <w:top w:val="single" w:sz="6" w:space="0" w:color="4472C4" w:themeColor="accent5"/>
                <w:left w:val="single" w:sz="6" w:space="0" w:color="4472C4" w:themeColor="accent5"/>
                <w:bottom w:val="single" w:sz="6" w:space="0" w:color="4472C4" w:themeColor="accent5"/>
                <w:right w:val="single" w:sz="6" w:space="0" w:color="4472C4" w:themeColor="accent5"/>
                <w:insideH w:val="single" w:sz="6" w:space="0" w:color="4472C4" w:themeColor="accent5"/>
                <w:insideV w:val="single" w:sz="6" w:space="0" w:color="4472C4" w:themeColor="accent5"/>
              </w:tblBorders>
              <w:tblLook w:val="04A0" w:firstRow="1" w:lastRow="0" w:firstColumn="1" w:lastColumn="0" w:noHBand="0" w:noVBand="1"/>
            </w:tblPr>
            <w:tblGrid>
              <w:gridCol w:w="1435"/>
              <w:gridCol w:w="1080"/>
              <w:gridCol w:w="1271"/>
              <w:gridCol w:w="1337"/>
              <w:gridCol w:w="1308"/>
            </w:tblGrid>
            <w:tr w:rsidR="00907AE2" w:rsidRPr="00A8521E" w:rsidTr="005C0D18">
              <w:tc>
                <w:tcPr>
                  <w:tcW w:w="1436" w:type="dxa"/>
                </w:tcPr>
                <w:p w:rsidR="00907AE2" w:rsidRPr="00A8521E" w:rsidRDefault="00907AE2" w:rsidP="005C0D18">
                  <w:pPr>
                    <w:rPr>
                      <w:b/>
                      <w:sz w:val="18"/>
                      <w:szCs w:val="18"/>
                    </w:rPr>
                  </w:pPr>
                  <w:r w:rsidRPr="00A8521E">
                    <w:rPr>
                      <w:b/>
                      <w:sz w:val="18"/>
                      <w:szCs w:val="18"/>
                    </w:rPr>
                    <w:t>Индикатор</w:t>
                  </w:r>
                </w:p>
              </w:tc>
              <w:tc>
                <w:tcPr>
                  <w:tcW w:w="1425" w:type="dxa"/>
                </w:tcPr>
                <w:p w:rsidR="00907AE2" w:rsidRPr="00A8521E" w:rsidRDefault="00907AE2" w:rsidP="005C0D18">
                  <w:pPr>
                    <w:rPr>
                      <w:b/>
                      <w:sz w:val="18"/>
                      <w:szCs w:val="18"/>
                    </w:rPr>
                  </w:pPr>
                  <w:r w:rsidRPr="00A8521E">
                    <w:rPr>
                      <w:b/>
                      <w:sz w:val="18"/>
                      <w:szCs w:val="18"/>
                    </w:rPr>
                    <w:t>Мерна единица</w:t>
                  </w:r>
                </w:p>
              </w:tc>
              <w:tc>
                <w:tcPr>
                  <w:tcW w:w="795" w:type="dxa"/>
                </w:tcPr>
                <w:p w:rsidR="00907AE2" w:rsidRPr="00A8521E" w:rsidRDefault="00907AE2" w:rsidP="005C0D18">
                  <w:pPr>
                    <w:rPr>
                      <w:b/>
                      <w:sz w:val="18"/>
                      <w:szCs w:val="18"/>
                    </w:rPr>
                  </w:pPr>
                  <w:r w:rsidRPr="00A8521E">
                    <w:rPr>
                      <w:b/>
                      <w:sz w:val="18"/>
                      <w:szCs w:val="18"/>
                    </w:rPr>
                    <w:t>Базова стойност</w:t>
                  </w:r>
                </w:p>
              </w:tc>
              <w:tc>
                <w:tcPr>
                  <w:tcW w:w="1462" w:type="dxa"/>
                </w:tcPr>
                <w:p w:rsidR="00907AE2" w:rsidRPr="00A8521E" w:rsidRDefault="00907AE2" w:rsidP="005C0D18">
                  <w:pPr>
                    <w:rPr>
                      <w:b/>
                      <w:sz w:val="18"/>
                      <w:szCs w:val="18"/>
                    </w:rPr>
                  </w:pPr>
                  <w:r w:rsidRPr="00A8521E">
                    <w:rPr>
                      <w:b/>
                      <w:sz w:val="18"/>
                      <w:szCs w:val="18"/>
                    </w:rPr>
                    <w:t>Целева стойност</w:t>
                  </w:r>
                </w:p>
              </w:tc>
              <w:tc>
                <w:tcPr>
                  <w:tcW w:w="1313" w:type="dxa"/>
                </w:tcPr>
                <w:p w:rsidR="00907AE2" w:rsidRPr="00A8521E" w:rsidRDefault="00907AE2" w:rsidP="005C0D18">
                  <w:pPr>
                    <w:rPr>
                      <w:b/>
                      <w:sz w:val="18"/>
                      <w:szCs w:val="18"/>
                    </w:rPr>
                  </w:pPr>
                  <w:r w:rsidRPr="00A8521E">
                    <w:rPr>
                      <w:b/>
                      <w:sz w:val="18"/>
                      <w:szCs w:val="18"/>
                    </w:rPr>
                    <w:t>Източник на информация</w:t>
                  </w:r>
                </w:p>
              </w:tc>
            </w:tr>
            <w:tr w:rsidR="00907AE2" w:rsidRPr="00A8521E" w:rsidTr="005C0D18">
              <w:tc>
                <w:tcPr>
                  <w:tcW w:w="1436" w:type="dxa"/>
                </w:tcPr>
                <w:p w:rsidR="00907AE2" w:rsidRPr="00A8521E" w:rsidRDefault="00907AE2" w:rsidP="005C0D18">
                  <w:pPr>
                    <w:rPr>
                      <w:sz w:val="18"/>
                      <w:szCs w:val="18"/>
                    </w:rPr>
                  </w:pPr>
                  <w:r w:rsidRPr="00FC32FA">
                    <w:rPr>
                      <w:sz w:val="18"/>
                      <w:szCs w:val="18"/>
                    </w:rPr>
                    <w:t xml:space="preserve">Водни тела с подобрено </w:t>
                  </w:r>
                  <w:r w:rsidRPr="00FC32FA">
                    <w:rPr>
                      <w:sz w:val="18"/>
                      <w:szCs w:val="18"/>
                    </w:rPr>
                    <w:lastRenderedPageBreak/>
                    <w:t>екологично състояние по физико-химични и/или биологични елементи за качество</w:t>
                  </w:r>
                </w:p>
              </w:tc>
              <w:tc>
                <w:tcPr>
                  <w:tcW w:w="1425" w:type="dxa"/>
                </w:tcPr>
                <w:p w:rsidR="00907AE2" w:rsidRPr="00A8521E" w:rsidRDefault="00907AE2" w:rsidP="005C0D18">
                  <w:pPr>
                    <w:rPr>
                      <w:sz w:val="18"/>
                      <w:szCs w:val="18"/>
                    </w:rPr>
                  </w:pPr>
                  <w:r w:rsidRPr="00A8521E">
                    <w:rPr>
                      <w:sz w:val="18"/>
                      <w:szCs w:val="18"/>
                    </w:rPr>
                    <w:lastRenderedPageBreak/>
                    <w:t>брой</w:t>
                  </w:r>
                </w:p>
              </w:tc>
              <w:tc>
                <w:tcPr>
                  <w:tcW w:w="795" w:type="dxa"/>
                </w:tcPr>
                <w:p w:rsidR="00907AE2" w:rsidRPr="00A8521E" w:rsidRDefault="00907AE2" w:rsidP="005C0D18">
                  <w:pPr>
                    <w:rPr>
                      <w:sz w:val="18"/>
                      <w:szCs w:val="18"/>
                    </w:rPr>
                  </w:pPr>
                  <w:r w:rsidRPr="00FC32FA">
                    <w:rPr>
                      <w:sz w:val="18"/>
                      <w:szCs w:val="18"/>
                    </w:rPr>
                    <w:t>3</w:t>
                  </w:r>
                </w:p>
              </w:tc>
              <w:tc>
                <w:tcPr>
                  <w:tcW w:w="1462" w:type="dxa"/>
                </w:tcPr>
                <w:p w:rsidR="00907AE2" w:rsidRPr="00A8521E" w:rsidRDefault="00907AE2" w:rsidP="005C0D18">
                  <w:pPr>
                    <w:rPr>
                      <w:sz w:val="18"/>
                      <w:szCs w:val="18"/>
                    </w:rPr>
                  </w:pPr>
                  <w:r w:rsidRPr="00FC32FA">
                    <w:rPr>
                      <w:sz w:val="18"/>
                      <w:szCs w:val="18"/>
                    </w:rPr>
                    <w:t>35</w:t>
                  </w:r>
                </w:p>
              </w:tc>
              <w:tc>
                <w:tcPr>
                  <w:tcW w:w="1313" w:type="dxa"/>
                </w:tcPr>
                <w:p w:rsidR="00907AE2" w:rsidRPr="00A8521E" w:rsidRDefault="00907AE2" w:rsidP="005C0D18">
                  <w:pPr>
                    <w:rPr>
                      <w:sz w:val="18"/>
                      <w:szCs w:val="18"/>
                    </w:rPr>
                  </w:pPr>
                  <w:r>
                    <w:rPr>
                      <w:sz w:val="18"/>
                      <w:szCs w:val="18"/>
                    </w:rPr>
                    <w:t xml:space="preserve">Последваща оценка на </w:t>
                  </w:r>
                  <w:r>
                    <w:rPr>
                      <w:sz w:val="18"/>
                      <w:szCs w:val="18"/>
                    </w:rPr>
                    <w:lastRenderedPageBreak/>
                    <w:t>изпълнението на ОПОС</w:t>
                  </w:r>
                </w:p>
              </w:tc>
            </w:tr>
            <w:tr w:rsidR="00907AE2" w:rsidRPr="00A8521E" w:rsidTr="005C0D18">
              <w:tc>
                <w:tcPr>
                  <w:tcW w:w="1436" w:type="dxa"/>
                </w:tcPr>
                <w:p w:rsidR="00907AE2" w:rsidRPr="00A8521E" w:rsidRDefault="00907AE2" w:rsidP="005C0D18">
                  <w:pPr>
                    <w:rPr>
                      <w:sz w:val="18"/>
                      <w:szCs w:val="18"/>
                    </w:rPr>
                  </w:pPr>
                  <w:r w:rsidRPr="00FC32FA">
                    <w:rPr>
                      <w:sz w:val="18"/>
                      <w:szCs w:val="18"/>
                    </w:rPr>
                    <w:lastRenderedPageBreak/>
                    <w:t>Водни тела с подобрен мониторинг на количественото и химичното състояние</w:t>
                  </w:r>
                </w:p>
              </w:tc>
              <w:tc>
                <w:tcPr>
                  <w:tcW w:w="1425" w:type="dxa"/>
                </w:tcPr>
                <w:p w:rsidR="00907AE2" w:rsidRPr="00A8521E" w:rsidRDefault="00907AE2" w:rsidP="005C0D18">
                  <w:pPr>
                    <w:rPr>
                      <w:sz w:val="18"/>
                      <w:szCs w:val="18"/>
                    </w:rPr>
                  </w:pPr>
                  <w:r w:rsidRPr="00A8521E">
                    <w:rPr>
                      <w:sz w:val="18"/>
                      <w:szCs w:val="18"/>
                    </w:rPr>
                    <w:t>брой</w:t>
                  </w:r>
                </w:p>
              </w:tc>
              <w:tc>
                <w:tcPr>
                  <w:tcW w:w="795" w:type="dxa"/>
                </w:tcPr>
                <w:p w:rsidR="00907AE2" w:rsidRPr="002E76A0" w:rsidRDefault="00907AE2" w:rsidP="005C0D18">
                  <w:pPr>
                    <w:pStyle w:val="Text1"/>
                    <w:ind w:left="0"/>
                    <w:jc w:val="left"/>
                    <w:rPr>
                      <w:rFonts w:asciiTheme="minorHAnsi" w:hAnsiTheme="minorHAnsi"/>
                      <w:sz w:val="18"/>
                      <w:szCs w:val="18"/>
                      <w:lang w:eastAsia="en-US"/>
                    </w:rPr>
                  </w:pPr>
                  <w:r w:rsidRPr="002E76A0">
                    <w:rPr>
                      <w:rFonts w:asciiTheme="minorHAnsi" w:hAnsiTheme="minorHAnsi"/>
                      <w:sz w:val="18"/>
                      <w:szCs w:val="18"/>
                      <w:lang w:eastAsia="en-US"/>
                    </w:rPr>
                    <w:t>90 (по количествено състояние)</w:t>
                  </w:r>
                </w:p>
                <w:p w:rsidR="00907AE2" w:rsidRPr="002E76A0" w:rsidRDefault="00907AE2" w:rsidP="005C0D18">
                  <w:pPr>
                    <w:pStyle w:val="Text1"/>
                    <w:ind w:left="0"/>
                    <w:jc w:val="left"/>
                    <w:rPr>
                      <w:rFonts w:asciiTheme="minorHAnsi" w:hAnsiTheme="minorHAnsi"/>
                      <w:sz w:val="18"/>
                      <w:szCs w:val="18"/>
                      <w:lang w:eastAsia="en-US"/>
                    </w:rPr>
                  </w:pPr>
                  <w:r w:rsidRPr="002E76A0">
                    <w:rPr>
                      <w:rFonts w:asciiTheme="minorHAnsi" w:hAnsiTheme="minorHAnsi"/>
                      <w:sz w:val="18"/>
                      <w:szCs w:val="18"/>
                      <w:lang w:eastAsia="en-US"/>
                    </w:rPr>
                    <w:t>153 (по химично състояние)</w:t>
                  </w:r>
                </w:p>
              </w:tc>
              <w:tc>
                <w:tcPr>
                  <w:tcW w:w="1462" w:type="dxa"/>
                </w:tcPr>
                <w:p w:rsidR="00907AE2" w:rsidRPr="002E76A0" w:rsidRDefault="00907AE2" w:rsidP="005C0D18">
                  <w:pPr>
                    <w:pStyle w:val="Text1"/>
                    <w:ind w:left="0"/>
                    <w:jc w:val="left"/>
                    <w:rPr>
                      <w:rFonts w:asciiTheme="minorHAnsi" w:hAnsiTheme="minorHAnsi"/>
                      <w:sz w:val="18"/>
                      <w:szCs w:val="18"/>
                      <w:lang w:eastAsia="en-US"/>
                    </w:rPr>
                  </w:pPr>
                  <w:r w:rsidRPr="002E76A0">
                    <w:rPr>
                      <w:rFonts w:asciiTheme="minorHAnsi" w:hAnsiTheme="minorHAnsi"/>
                      <w:sz w:val="18"/>
                      <w:szCs w:val="18"/>
                      <w:lang w:eastAsia="en-US"/>
                    </w:rPr>
                    <w:t>140 (по количествено състояние)</w:t>
                  </w:r>
                </w:p>
                <w:p w:rsidR="00907AE2" w:rsidRPr="00A8521E" w:rsidRDefault="00907AE2" w:rsidP="005C0D18">
                  <w:pPr>
                    <w:rPr>
                      <w:sz w:val="18"/>
                      <w:szCs w:val="18"/>
                    </w:rPr>
                  </w:pPr>
                  <w:r w:rsidRPr="00FC32FA">
                    <w:rPr>
                      <w:sz w:val="18"/>
                      <w:szCs w:val="18"/>
                    </w:rPr>
                    <w:t>173 (по химично състояние)</w:t>
                  </w:r>
                </w:p>
              </w:tc>
              <w:tc>
                <w:tcPr>
                  <w:tcW w:w="1313" w:type="dxa"/>
                </w:tcPr>
                <w:p w:rsidR="00907AE2" w:rsidRPr="00A8521E" w:rsidRDefault="00907AE2" w:rsidP="005C0D18">
                  <w:pPr>
                    <w:rPr>
                      <w:sz w:val="18"/>
                      <w:szCs w:val="18"/>
                    </w:rPr>
                  </w:pPr>
                  <w:r>
                    <w:rPr>
                      <w:sz w:val="18"/>
                      <w:szCs w:val="18"/>
                    </w:rPr>
                    <w:t>Последваща оценка на изпълнението на ОПОС</w:t>
                  </w:r>
                </w:p>
              </w:tc>
            </w:tr>
          </w:tbl>
          <w:p w:rsidR="00907AE2" w:rsidRPr="00B511DD" w:rsidRDefault="00907AE2" w:rsidP="005C0D18">
            <w:pPr>
              <w:cnfStyle w:val="000000100000" w:firstRow="0" w:lastRow="0" w:firstColumn="0" w:lastColumn="0" w:oddVBand="0" w:evenVBand="0" w:oddHBand="1" w:evenHBand="0" w:firstRowFirstColumn="0" w:firstRowLastColumn="0" w:lastRowFirstColumn="0" w:lastRowLastColumn="0"/>
            </w:pPr>
          </w:p>
        </w:tc>
      </w:tr>
      <w:tr w:rsidR="00907AE2" w:rsidRPr="00B511DD" w:rsidTr="005C0D18">
        <w:tc>
          <w:tcPr>
            <w:cnfStyle w:val="001000000000" w:firstRow="0" w:lastRow="0" w:firstColumn="1" w:lastColumn="0" w:oddVBand="0" w:evenVBand="0" w:oddHBand="0" w:evenHBand="0" w:firstRowFirstColumn="0" w:firstRowLastColumn="0" w:lastRowFirstColumn="0" w:lastRowLastColumn="0"/>
            <w:tcW w:w="2943" w:type="dxa"/>
          </w:tcPr>
          <w:p w:rsidR="00907AE2" w:rsidRPr="00B511DD" w:rsidRDefault="00907AE2" w:rsidP="005C0D18">
            <w:r w:rsidRPr="00B511DD">
              <w:lastRenderedPageBreak/>
              <w:t>Индикатор</w:t>
            </w:r>
            <w:r>
              <w:t>и з</w:t>
            </w:r>
            <w:r w:rsidRPr="00B511DD">
              <w:t xml:space="preserve">а изпълнение </w:t>
            </w:r>
          </w:p>
        </w:tc>
        <w:tc>
          <w:tcPr>
            <w:tcW w:w="6663" w:type="dxa"/>
          </w:tcPr>
          <w:tbl>
            <w:tblPr>
              <w:tblStyle w:val="TableGrid5"/>
              <w:tblW w:w="0" w:type="auto"/>
              <w:tblBorders>
                <w:top w:val="single" w:sz="6" w:space="0" w:color="4472C4" w:themeColor="accent5"/>
                <w:left w:val="single" w:sz="6" w:space="0" w:color="4472C4" w:themeColor="accent5"/>
                <w:bottom w:val="single" w:sz="6" w:space="0" w:color="4472C4" w:themeColor="accent5"/>
                <w:right w:val="single" w:sz="6" w:space="0" w:color="4472C4" w:themeColor="accent5"/>
                <w:insideH w:val="single" w:sz="6" w:space="0" w:color="4472C4" w:themeColor="accent5"/>
                <w:insideV w:val="single" w:sz="6" w:space="0" w:color="4472C4" w:themeColor="accent5"/>
              </w:tblBorders>
              <w:tblLook w:val="04A0" w:firstRow="1" w:lastRow="0" w:firstColumn="1" w:lastColumn="0" w:noHBand="0" w:noVBand="1"/>
            </w:tblPr>
            <w:tblGrid>
              <w:gridCol w:w="1266"/>
              <w:gridCol w:w="1824"/>
              <w:gridCol w:w="981"/>
              <w:gridCol w:w="908"/>
              <w:gridCol w:w="1452"/>
            </w:tblGrid>
            <w:tr w:rsidR="00907AE2" w:rsidRPr="00A8521E" w:rsidTr="005C0D18">
              <w:tc>
                <w:tcPr>
                  <w:tcW w:w="1269" w:type="dxa"/>
                </w:tcPr>
                <w:p w:rsidR="00907AE2" w:rsidRPr="00A8521E" w:rsidRDefault="00907AE2" w:rsidP="005C0D18">
                  <w:pPr>
                    <w:rPr>
                      <w:b/>
                      <w:sz w:val="18"/>
                      <w:szCs w:val="18"/>
                    </w:rPr>
                  </w:pPr>
                  <w:r w:rsidRPr="00A8521E">
                    <w:rPr>
                      <w:b/>
                      <w:sz w:val="18"/>
                      <w:szCs w:val="18"/>
                    </w:rPr>
                    <w:t>Индикатор</w:t>
                  </w:r>
                </w:p>
              </w:tc>
              <w:tc>
                <w:tcPr>
                  <w:tcW w:w="1309" w:type="dxa"/>
                </w:tcPr>
                <w:p w:rsidR="00907AE2" w:rsidRPr="00A8521E" w:rsidRDefault="00907AE2" w:rsidP="005C0D18">
                  <w:pPr>
                    <w:rPr>
                      <w:b/>
                      <w:sz w:val="18"/>
                      <w:szCs w:val="18"/>
                    </w:rPr>
                  </w:pPr>
                  <w:r w:rsidRPr="00A8521E">
                    <w:rPr>
                      <w:b/>
                      <w:sz w:val="18"/>
                      <w:szCs w:val="18"/>
                    </w:rPr>
                    <w:t>Мерна единица</w:t>
                  </w:r>
                </w:p>
              </w:tc>
              <w:tc>
                <w:tcPr>
                  <w:tcW w:w="1445" w:type="dxa"/>
                </w:tcPr>
                <w:p w:rsidR="00907AE2" w:rsidRPr="00A8521E" w:rsidRDefault="00907AE2" w:rsidP="005C0D18">
                  <w:pPr>
                    <w:rPr>
                      <w:b/>
                      <w:sz w:val="18"/>
                      <w:szCs w:val="18"/>
                    </w:rPr>
                  </w:pPr>
                  <w:r w:rsidRPr="00A8521E">
                    <w:rPr>
                      <w:b/>
                      <w:sz w:val="18"/>
                      <w:szCs w:val="18"/>
                    </w:rPr>
                    <w:t>Базова стойност</w:t>
                  </w:r>
                </w:p>
              </w:tc>
              <w:tc>
                <w:tcPr>
                  <w:tcW w:w="956" w:type="dxa"/>
                </w:tcPr>
                <w:p w:rsidR="00907AE2" w:rsidRPr="00A8521E" w:rsidRDefault="00907AE2" w:rsidP="005C0D18">
                  <w:pPr>
                    <w:rPr>
                      <w:b/>
                      <w:sz w:val="18"/>
                      <w:szCs w:val="18"/>
                    </w:rPr>
                  </w:pPr>
                  <w:r w:rsidRPr="00A8521E">
                    <w:rPr>
                      <w:b/>
                      <w:sz w:val="18"/>
                      <w:szCs w:val="18"/>
                    </w:rPr>
                    <w:t>Целева стойност</w:t>
                  </w:r>
                </w:p>
              </w:tc>
              <w:tc>
                <w:tcPr>
                  <w:tcW w:w="1452" w:type="dxa"/>
                </w:tcPr>
                <w:p w:rsidR="00907AE2" w:rsidRPr="00A8521E" w:rsidRDefault="00907AE2" w:rsidP="005C0D18">
                  <w:pPr>
                    <w:rPr>
                      <w:b/>
                      <w:sz w:val="18"/>
                      <w:szCs w:val="18"/>
                    </w:rPr>
                  </w:pPr>
                  <w:r w:rsidRPr="00A8521E">
                    <w:rPr>
                      <w:b/>
                      <w:sz w:val="18"/>
                      <w:szCs w:val="18"/>
                    </w:rPr>
                    <w:t>Източник на информация</w:t>
                  </w:r>
                </w:p>
              </w:tc>
            </w:tr>
            <w:tr w:rsidR="00907AE2" w:rsidRPr="00A8521E" w:rsidTr="005C0D18">
              <w:tc>
                <w:tcPr>
                  <w:tcW w:w="1269" w:type="dxa"/>
                </w:tcPr>
                <w:p w:rsidR="00907AE2" w:rsidRPr="00A8521E" w:rsidRDefault="00907AE2" w:rsidP="005C0D18">
                  <w:pPr>
                    <w:rPr>
                      <w:sz w:val="18"/>
                      <w:szCs w:val="18"/>
                    </w:rPr>
                  </w:pPr>
                  <w:r>
                    <w:rPr>
                      <w:sz w:val="18"/>
                      <w:szCs w:val="18"/>
                    </w:rPr>
                    <w:t>Финансирани проекти чрез ФИ</w:t>
                  </w:r>
                  <w:r w:rsidRPr="00A8521E">
                    <w:rPr>
                      <w:sz w:val="18"/>
                      <w:szCs w:val="18"/>
                    </w:rPr>
                    <w:t xml:space="preserve"> </w:t>
                  </w:r>
                </w:p>
              </w:tc>
              <w:tc>
                <w:tcPr>
                  <w:tcW w:w="1309" w:type="dxa"/>
                </w:tcPr>
                <w:p w:rsidR="00907AE2" w:rsidRPr="00A8521E" w:rsidRDefault="00907AE2" w:rsidP="005C0D18">
                  <w:pPr>
                    <w:rPr>
                      <w:sz w:val="18"/>
                      <w:szCs w:val="18"/>
                    </w:rPr>
                  </w:pPr>
                  <w:r>
                    <w:rPr>
                      <w:sz w:val="18"/>
                      <w:szCs w:val="18"/>
                    </w:rPr>
                    <w:t>Брой</w:t>
                  </w:r>
                </w:p>
              </w:tc>
              <w:tc>
                <w:tcPr>
                  <w:tcW w:w="1445" w:type="dxa"/>
                </w:tcPr>
                <w:p w:rsidR="00907AE2" w:rsidRPr="00A8521E" w:rsidRDefault="00907AE2" w:rsidP="005C0D18">
                  <w:pPr>
                    <w:rPr>
                      <w:sz w:val="18"/>
                      <w:szCs w:val="18"/>
                    </w:rPr>
                  </w:pPr>
                  <w:r>
                    <w:rPr>
                      <w:sz w:val="18"/>
                      <w:szCs w:val="18"/>
                    </w:rPr>
                    <w:t>0</w:t>
                  </w:r>
                </w:p>
              </w:tc>
              <w:tc>
                <w:tcPr>
                  <w:tcW w:w="956" w:type="dxa"/>
                </w:tcPr>
                <w:p w:rsidR="00907AE2" w:rsidRPr="00A8521E" w:rsidRDefault="00907AE2" w:rsidP="005C0D18">
                  <w:pPr>
                    <w:rPr>
                      <w:sz w:val="18"/>
                      <w:szCs w:val="18"/>
                    </w:rPr>
                  </w:pPr>
                  <w:r>
                    <w:rPr>
                      <w:sz w:val="18"/>
                      <w:szCs w:val="18"/>
                    </w:rPr>
                    <w:t>20</w:t>
                  </w:r>
                </w:p>
              </w:tc>
              <w:tc>
                <w:tcPr>
                  <w:tcW w:w="1452" w:type="dxa"/>
                </w:tcPr>
                <w:p w:rsidR="00907AE2" w:rsidRPr="00A8521E" w:rsidRDefault="00907AE2" w:rsidP="005C0D18">
                  <w:pPr>
                    <w:rPr>
                      <w:sz w:val="18"/>
                      <w:szCs w:val="18"/>
                    </w:rPr>
                  </w:pPr>
                  <w:r>
                    <w:rPr>
                      <w:sz w:val="18"/>
                      <w:szCs w:val="18"/>
                    </w:rPr>
                    <w:t>Мониторингови доклади за ФИ</w:t>
                  </w:r>
                </w:p>
              </w:tc>
            </w:tr>
            <w:tr w:rsidR="00907AE2" w:rsidRPr="00A8521E" w:rsidTr="005C0D18">
              <w:tc>
                <w:tcPr>
                  <w:tcW w:w="1269" w:type="dxa"/>
                </w:tcPr>
                <w:p w:rsidR="00907AE2" w:rsidRDefault="00907AE2" w:rsidP="005C0D18">
                  <w:pPr>
                    <w:rPr>
                      <w:sz w:val="18"/>
                      <w:szCs w:val="18"/>
                    </w:rPr>
                  </w:pPr>
                  <w:r>
                    <w:rPr>
                      <w:sz w:val="18"/>
                      <w:szCs w:val="18"/>
                    </w:rPr>
                    <w:t>Ефект на лоста</w:t>
                  </w:r>
                </w:p>
              </w:tc>
              <w:tc>
                <w:tcPr>
                  <w:tcW w:w="1309" w:type="dxa"/>
                </w:tcPr>
                <w:p w:rsidR="00907AE2" w:rsidRDefault="00907AE2" w:rsidP="005C0D18">
                  <w:pPr>
                    <w:rPr>
                      <w:sz w:val="18"/>
                      <w:szCs w:val="18"/>
                    </w:rPr>
                  </w:pPr>
                  <w:r>
                    <w:rPr>
                      <w:sz w:val="18"/>
                      <w:szCs w:val="18"/>
                    </w:rPr>
                    <w:t>Привлечено финансиране от други източници/публична подкрепа за ВиК проекти</w:t>
                  </w:r>
                </w:p>
              </w:tc>
              <w:tc>
                <w:tcPr>
                  <w:tcW w:w="1445" w:type="dxa"/>
                </w:tcPr>
                <w:p w:rsidR="00907AE2" w:rsidRDefault="00907AE2" w:rsidP="005C0D18">
                  <w:pPr>
                    <w:rPr>
                      <w:sz w:val="18"/>
                      <w:szCs w:val="18"/>
                    </w:rPr>
                  </w:pPr>
                  <w:r>
                    <w:rPr>
                      <w:sz w:val="18"/>
                      <w:szCs w:val="18"/>
                    </w:rPr>
                    <w:t>0</w:t>
                  </w:r>
                </w:p>
              </w:tc>
              <w:tc>
                <w:tcPr>
                  <w:tcW w:w="956" w:type="dxa"/>
                </w:tcPr>
                <w:p w:rsidR="00907AE2" w:rsidRDefault="00907AE2" w:rsidP="005C0D18">
                  <w:pPr>
                    <w:rPr>
                      <w:sz w:val="18"/>
                      <w:szCs w:val="18"/>
                    </w:rPr>
                  </w:pPr>
                  <w:r>
                    <w:rPr>
                      <w:sz w:val="18"/>
                      <w:szCs w:val="18"/>
                    </w:rPr>
                    <w:t>3</w:t>
                  </w:r>
                </w:p>
              </w:tc>
              <w:tc>
                <w:tcPr>
                  <w:tcW w:w="1452" w:type="dxa"/>
                </w:tcPr>
                <w:p w:rsidR="00907AE2" w:rsidRPr="00A8521E" w:rsidRDefault="00907AE2" w:rsidP="005C0D18">
                  <w:pPr>
                    <w:rPr>
                      <w:sz w:val="18"/>
                      <w:szCs w:val="18"/>
                    </w:rPr>
                  </w:pPr>
                  <w:r>
                    <w:rPr>
                      <w:sz w:val="18"/>
                      <w:szCs w:val="18"/>
                    </w:rPr>
                    <w:t>Мониторингови доклади за ФИ</w:t>
                  </w:r>
                </w:p>
              </w:tc>
            </w:tr>
            <w:tr w:rsidR="00907AE2" w:rsidRPr="00A8521E" w:rsidTr="005C0D18">
              <w:tc>
                <w:tcPr>
                  <w:tcW w:w="1269" w:type="dxa"/>
                </w:tcPr>
                <w:p w:rsidR="00907AE2" w:rsidRDefault="00907AE2" w:rsidP="005C0D18">
                  <w:pPr>
                    <w:rPr>
                      <w:sz w:val="18"/>
                      <w:szCs w:val="18"/>
                    </w:rPr>
                  </w:pPr>
                  <w:r>
                    <w:rPr>
                      <w:sz w:val="18"/>
                      <w:szCs w:val="18"/>
                    </w:rPr>
                    <w:t>Разходи за управление</w:t>
                  </w:r>
                </w:p>
              </w:tc>
              <w:tc>
                <w:tcPr>
                  <w:tcW w:w="1309" w:type="dxa"/>
                </w:tcPr>
                <w:p w:rsidR="00907AE2" w:rsidRDefault="00907AE2" w:rsidP="005C0D18">
                  <w:pPr>
                    <w:rPr>
                      <w:sz w:val="18"/>
                      <w:szCs w:val="18"/>
                    </w:rPr>
                  </w:pPr>
                  <w:r>
                    <w:rPr>
                      <w:sz w:val="18"/>
                      <w:szCs w:val="18"/>
                    </w:rPr>
                    <w:t xml:space="preserve">% от общия размер на кредитите </w:t>
                  </w:r>
                </w:p>
              </w:tc>
              <w:tc>
                <w:tcPr>
                  <w:tcW w:w="1445" w:type="dxa"/>
                </w:tcPr>
                <w:p w:rsidR="00907AE2" w:rsidRDefault="00907AE2" w:rsidP="005C0D18">
                  <w:pPr>
                    <w:rPr>
                      <w:sz w:val="18"/>
                      <w:szCs w:val="18"/>
                    </w:rPr>
                  </w:pPr>
                  <w:r>
                    <w:rPr>
                      <w:sz w:val="18"/>
                      <w:szCs w:val="18"/>
                    </w:rPr>
                    <w:t>0</w:t>
                  </w:r>
                </w:p>
              </w:tc>
              <w:tc>
                <w:tcPr>
                  <w:tcW w:w="956" w:type="dxa"/>
                </w:tcPr>
                <w:p w:rsidR="00907AE2" w:rsidRDefault="00907AE2" w:rsidP="005C0D18">
                  <w:pPr>
                    <w:rPr>
                      <w:sz w:val="18"/>
                      <w:szCs w:val="18"/>
                    </w:rPr>
                  </w:pPr>
                  <w:r>
                    <w:rPr>
                      <w:sz w:val="18"/>
                      <w:szCs w:val="18"/>
                    </w:rPr>
                    <w:t>4%</w:t>
                  </w:r>
                </w:p>
              </w:tc>
              <w:tc>
                <w:tcPr>
                  <w:tcW w:w="1452" w:type="dxa"/>
                </w:tcPr>
                <w:p w:rsidR="00907AE2" w:rsidRDefault="00907AE2" w:rsidP="005C0D18">
                  <w:pPr>
                    <w:rPr>
                      <w:sz w:val="18"/>
                      <w:szCs w:val="18"/>
                    </w:rPr>
                  </w:pPr>
                  <w:r>
                    <w:rPr>
                      <w:sz w:val="18"/>
                      <w:szCs w:val="18"/>
                    </w:rPr>
                    <w:t>Мониторингови доклади за ФИ</w:t>
                  </w:r>
                </w:p>
              </w:tc>
            </w:tr>
          </w:tbl>
          <w:p w:rsidR="00907AE2" w:rsidRPr="00B511DD" w:rsidRDefault="00907AE2" w:rsidP="005C0D18">
            <w:pPr>
              <w:cnfStyle w:val="000000000000" w:firstRow="0" w:lastRow="0" w:firstColumn="0" w:lastColumn="0" w:oddVBand="0" w:evenVBand="0" w:oddHBand="0" w:evenHBand="0" w:firstRowFirstColumn="0" w:firstRowLastColumn="0" w:lastRowFirstColumn="0" w:lastRowLastColumn="0"/>
            </w:pPr>
          </w:p>
        </w:tc>
      </w:tr>
    </w:tbl>
    <w:p w:rsidR="00907AE2" w:rsidRDefault="00907AE2" w:rsidP="00907AE2"/>
    <w:p w:rsidR="00907AE2" w:rsidRPr="00092963" w:rsidRDefault="00907AE2" w:rsidP="00907AE2">
      <w:pPr>
        <w:keepNext/>
        <w:spacing w:after="0"/>
        <w:rPr>
          <w:b/>
          <w:i/>
          <w:color w:val="2E74B5" w:themeColor="accent1" w:themeShade="BF"/>
          <w:szCs w:val="18"/>
        </w:rPr>
      </w:pPr>
      <w:r w:rsidRPr="00092963">
        <w:rPr>
          <w:b/>
          <w:i/>
          <w:color w:val="2E74B5" w:themeColor="accent1" w:themeShade="BF"/>
          <w:szCs w:val="18"/>
        </w:rPr>
        <w:t>Приоритетна ос 2. Отпадъци</w:t>
      </w:r>
    </w:p>
    <w:p w:rsidR="00907AE2" w:rsidRPr="00B511DD" w:rsidRDefault="00907AE2" w:rsidP="00907AE2">
      <w:pPr>
        <w:keepNext/>
        <w:spacing w:after="0"/>
        <w:rPr>
          <w:i/>
          <w:szCs w:val="18"/>
        </w:rPr>
      </w:pPr>
    </w:p>
    <w:tbl>
      <w:tblPr>
        <w:tblStyle w:val="GridTable5Dark-Accent62"/>
        <w:tblW w:w="0" w:type="auto"/>
        <w:tblLook w:val="04A0" w:firstRow="1" w:lastRow="0" w:firstColumn="1" w:lastColumn="0" w:noHBand="0" w:noVBand="1"/>
      </w:tblPr>
      <w:tblGrid>
        <w:gridCol w:w="2491"/>
        <w:gridCol w:w="6572"/>
      </w:tblGrid>
      <w:tr w:rsidR="00907AE2" w:rsidRPr="00B511DD" w:rsidTr="005C0D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907AE2" w:rsidRPr="00B511DD" w:rsidRDefault="00907AE2" w:rsidP="005C0D18">
            <w:r w:rsidRPr="00B511DD">
              <w:t>Тип финансов инструмент</w:t>
            </w:r>
          </w:p>
        </w:tc>
        <w:tc>
          <w:tcPr>
            <w:tcW w:w="6481" w:type="dxa"/>
          </w:tcPr>
          <w:p w:rsidR="00907AE2" w:rsidRPr="00B511DD" w:rsidRDefault="00907AE2" w:rsidP="005C0D18">
            <w:pPr>
              <w:cnfStyle w:val="100000000000" w:firstRow="1" w:lastRow="0" w:firstColumn="0" w:lastColumn="0" w:oddVBand="0" w:evenVBand="0" w:oddHBand="0" w:evenHBand="0" w:firstRowFirstColumn="0" w:firstRowLastColumn="0" w:lastRowFirstColumn="0" w:lastRowLastColumn="0"/>
            </w:pPr>
            <w:r w:rsidRPr="00B511DD">
              <w:t xml:space="preserve">Гаранционен фонд за поемане на 80% от кредитния риск </w:t>
            </w:r>
          </w:p>
          <w:p w:rsidR="00907AE2" w:rsidRPr="00B511DD" w:rsidRDefault="00907AE2" w:rsidP="005C0D18">
            <w:pPr>
              <w:cnfStyle w:val="100000000000" w:firstRow="1" w:lastRow="0" w:firstColumn="0" w:lastColumn="0" w:oddVBand="0" w:evenVBand="0" w:oddHBand="0" w:evenHBand="0" w:firstRowFirstColumn="0" w:firstRowLastColumn="0" w:lastRowFirstColumn="0" w:lastRowLastColumn="0"/>
            </w:pPr>
          </w:p>
        </w:tc>
      </w:tr>
      <w:tr w:rsidR="00907AE2" w:rsidRPr="00B511DD" w:rsidTr="005C0D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907AE2" w:rsidRPr="00B511DD" w:rsidRDefault="00907AE2" w:rsidP="005C0D18">
            <w:r>
              <w:t>Източник на финансиране</w:t>
            </w:r>
          </w:p>
        </w:tc>
        <w:tc>
          <w:tcPr>
            <w:tcW w:w="6481" w:type="dxa"/>
          </w:tcPr>
          <w:p w:rsidR="00907AE2" w:rsidRPr="00B511DD" w:rsidRDefault="00907AE2" w:rsidP="005C0D18">
            <w:pPr>
              <w:cnfStyle w:val="000000100000" w:firstRow="0" w:lastRow="0" w:firstColumn="0" w:lastColumn="0" w:oddVBand="0" w:evenVBand="0" w:oddHBand="1" w:evenHBand="0" w:firstRowFirstColumn="0" w:firstRowLastColumn="0" w:lastRowFirstColumn="0" w:lastRowLastColumn="0"/>
            </w:pPr>
            <w:r>
              <w:t>Европейски фонд за регионално развитие</w:t>
            </w:r>
          </w:p>
        </w:tc>
      </w:tr>
      <w:tr w:rsidR="00907AE2" w:rsidRPr="00B511DD" w:rsidTr="005C0D18">
        <w:tc>
          <w:tcPr>
            <w:cnfStyle w:val="001000000000" w:firstRow="0" w:lastRow="0" w:firstColumn="1" w:lastColumn="0" w:oddVBand="0" w:evenVBand="0" w:oddHBand="0" w:evenHBand="0" w:firstRowFirstColumn="0" w:firstRowLastColumn="0" w:lastRowFirstColumn="0" w:lastRowLastColumn="0"/>
            <w:tcW w:w="2808" w:type="dxa"/>
          </w:tcPr>
          <w:p w:rsidR="00907AE2" w:rsidRPr="00B511DD" w:rsidRDefault="00907AE2" w:rsidP="005C0D18">
            <w:r w:rsidRPr="00B511DD">
              <w:t>Бюджет</w:t>
            </w:r>
            <w:r>
              <w:t xml:space="preserve"> за фонда от ОПОС (10% от ресурса по приоритетна ос)</w:t>
            </w:r>
          </w:p>
        </w:tc>
        <w:tc>
          <w:tcPr>
            <w:tcW w:w="6481" w:type="dxa"/>
          </w:tcPr>
          <w:p w:rsidR="00907AE2" w:rsidRPr="00B511DD" w:rsidRDefault="00907AE2" w:rsidP="005C0D18">
            <w:pPr>
              <w:cnfStyle w:val="000000000000" w:firstRow="0" w:lastRow="0" w:firstColumn="0" w:lastColumn="0" w:oddVBand="0" w:evenVBand="0" w:oddHBand="0" w:evenHBand="0" w:firstRowFirstColumn="0" w:firstRowLastColumn="0" w:lastRowFirstColumn="0" w:lastRowLastColumn="0"/>
            </w:pPr>
            <w:r>
              <w:rPr>
                <w:rFonts w:ascii="Calibri" w:hAnsi="Calibri" w:cs="Calibri"/>
                <w:color w:val="000000"/>
              </w:rPr>
              <w:t xml:space="preserve">25 765 295 </w:t>
            </w:r>
            <w:r w:rsidRPr="00B511DD">
              <w:t>евро</w:t>
            </w:r>
          </w:p>
        </w:tc>
      </w:tr>
      <w:tr w:rsidR="00907AE2" w:rsidRPr="00B511DD" w:rsidTr="005C0D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907AE2" w:rsidRPr="00B511DD" w:rsidRDefault="00907AE2" w:rsidP="005C0D18">
            <w:r w:rsidRPr="00B511DD">
              <w:t xml:space="preserve">Специфична цел на съответния инвестиционен приоритет </w:t>
            </w:r>
          </w:p>
        </w:tc>
        <w:tc>
          <w:tcPr>
            <w:tcW w:w="6481" w:type="dxa"/>
          </w:tcPr>
          <w:p w:rsidR="00907AE2" w:rsidRPr="00B511DD" w:rsidRDefault="00907AE2" w:rsidP="005C0D18">
            <w:pPr>
              <w:cnfStyle w:val="000000100000" w:firstRow="0" w:lastRow="0" w:firstColumn="0" w:lastColumn="0" w:oddVBand="0" w:evenVBand="0" w:oddHBand="1" w:evenHBand="0" w:firstRowFirstColumn="0" w:firstRowLastColumn="0" w:lastRowFirstColumn="0" w:lastRowLastColumn="0"/>
            </w:pPr>
            <w:r w:rsidRPr="00B511DD">
              <w:rPr>
                <w:rFonts w:eastAsia="Calibri"/>
                <w:szCs w:val="18"/>
                <w:lang w:eastAsia="en-GB"/>
              </w:rPr>
              <w:t>Намаляване на количеството депонирани отпадъци</w:t>
            </w:r>
          </w:p>
        </w:tc>
      </w:tr>
      <w:tr w:rsidR="00907AE2" w:rsidRPr="00B511DD" w:rsidTr="005C0D18">
        <w:tc>
          <w:tcPr>
            <w:cnfStyle w:val="001000000000" w:firstRow="0" w:lastRow="0" w:firstColumn="1" w:lastColumn="0" w:oddVBand="0" w:evenVBand="0" w:oddHBand="0" w:evenHBand="0" w:firstRowFirstColumn="0" w:firstRowLastColumn="0" w:lastRowFirstColumn="0" w:lastRowLastColumn="0"/>
            <w:tcW w:w="2808" w:type="dxa"/>
          </w:tcPr>
          <w:p w:rsidR="00907AE2" w:rsidRPr="00B511DD" w:rsidRDefault="00907AE2" w:rsidP="005C0D18">
            <w:r w:rsidRPr="00B511DD">
              <w:t xml:space="preserve">Индикатор за </w:t>
            </w:r>
            <w:r w:rsidRPr="00B511DD">
              <w:rPr>
                <w:b w:val="0"/>
              </w:rPr>
              <w:t>резултат</w:t>
            </w:r>
            <w:r w:rsidRPr="00B511DD">
              <w:t xml:space="preserve"> за съответния инвестиционен приоритет</w:t>
            </w:r>
          </w:p>
        </w:tc>
        <w:tc>
          <w:tcPr>
            <w:tcW w:w="6481" w:type="dxa"/>
          </w:tcPr>
          <w:tbl>
            <w:tblPr>
              <w:tblStyle w:val="TableGrid5"/>
              <w:tblW w:w="0" w:type="auto"/>
              <w:tblBorders>
                <w:top w:val="single" w:sz="6" w:space="0" w:color="4472C4" w:themeColor="accent5"/>
                <w:left w:val="single" w:sz="6" w:space="0" w:color="4472C4" w:themeColor="accent5"/>
                <w:bottom w:val="single" w:sz="6" w:space="0" w:color="4472C4" w:themeColor="accent5"/>
                <w:right w:val="single" w:sz="6" w:space="0" w:color="4472C4" w:themeColor="accent5"/>
                <w:insideH w:val="single" w:sz="6" w:space="0" w:color="4472C4" w:themeColor="accent5"/>
                <w:insideV w:val="single" w:sz="6" w:space="0" w:color="4472C4" w:themeColor="accent5"/>
              </w:tblBorders>
              <w:tblLook w:val="04A0" w:firstRow="1" w:lastRow="0" w:firstColumn="1" w:lastColumn="0" w:noHBand="0" w:noVBand="1"/>
            </w:tblPr>
            <w:tblGrid>
              <w:gridCol w:w="1437"/>
              <w:gridCol w:w="1097"/>
              <w:gridCol w:w="1158"/>
              <w:gridCol w:w="1158"/>
              <w:gridCol w:w="1399"/>
            </w:tblGrid>
            <w:tr w:rsidR="00907AE2" w:rsidRPr="00B511DD" w:rsidTr="005C0D18">
              <w:tc>
                <w:tcPr>
                  <w:tcW w:w="1437" w:type="dxa"/>
                </w:tcPr>
                <w:p w:rsidR="00907AE2" w:rsidRPr="00A8521E" w:rsidRDefault="00907AE2" w:rsidP="005C0D18">
                  <w:pPr>
                    <w:rPr>
                      <w:b/>
                      <w:sz w:val="18"/>
                      <w:szCs w:val="18"/>
                    </w:rPr>
                  </w:pPr>
                  <w:r w:rsidRPr="00A8521E">
                    <w:rPr>
                      <w:b/>
                      <w:sz w:val="18"/>
                      <w:szCs w:val="18"/>
                    </w:rPr>
                    <w:t>Индикатор</w:t>
                  </w:r>
                </w:p>
              </w:tc>
              <w:tc>
                <w:tcPr>
                  <w:tcW w:w="1097" w:type="dxa"/>
                </w:tcPr>
                <w:p w:rsidR="00907AE2" w:rsidRPr="00A8521E" w:rsidRDefault="00907AE2" w:rsidP="005C0D18">
                  <w:pPr>
                    <w:rPr>
                      <w:b/>
                      <w:sz w:val="18"/>
                      <w:szCs w:val="18"/>
                    </w:rPr>
                  </w:pPr>
                  <w:r w:rsidRPr="00A8521E">
                    <w:rPr>
                      <w:b/>
                      <w:sz w:val="18"/>
                      <w:szCs w:val="18"/>
                    </w:rPr>
                    <w:t>Мерна единица</w:t>
                  </w:r>
                </w:p>
              </w:tc>
              <w:tc>
                <w:tcPr>
                  <w:tcW w:w="1158" w:type="dxa"/>
                </w:tcPr>
                <w:p w:rsidR="00907AE2" w:rsidRPr="00A8521E" w:rsidRDefault="00907AE2" w:rsidP="005C0D18">
                  <w:pPr>
                    <w:rPr>
                      <w:b/>
                      <w:sz w:val="18"/>
                      <w:szCs w:val="18"/>
                    </w:rPr>
                  </w:pPr>
                  <w:r w:rsidRPr="00A8521E">
                    <w:rPr>
                      <w:b/>
                      <w:sz w:val="18"/>
                      <w:szCs w:val="18"/>
                    </w:rPr>
                    <w:t>Базова стойност</w:t>
                  </w:r>
                </w:p>
              </w:tc>
              <w:tc>
                <w:tcPr>
                  <w:tcW w:w="1158" w:type="dxa"/>
                </w:tcPr>
                <w:p w:rsidR="00907AE2" w:rsidRPr="00A8521E" w:rsidRDefault="00907AE2" w:rsidP="005C0D18">
                  <w:pPr>
                    <w:rPr>
                      <w:b/>
                      <w:sz w:val="18"/>
                      <w:szCs w:val="18"/>
                    </w:rPr>
                  </w:pPr>
                  <w:r w:rsidRPr="00A8521E">
                    <w:rPr>
                      <w:b/>
                      <w:sz w:val="18"/>
                      <w:szCs w:val="18"/>
                    </w:rPr>
                    <w:t>Целева стойност</w:t>
                  </w:r>
                </w:p>
              </w:tc>
              <w:tc>
                <w:tcPr>
                  <w:tcW w:w="1399" w:type="dxa"/>
                </w:tcPr>
                <w:p w:rsidR="00907AE2" w:rsidRPr="00A8521E" w:rsidRDefault="00907AE2" w:rsidP="005C0D18">
                  <w:pPr>
                    <w:rPr>
                      <w:b/>
                      <w:sz w:val="18"/>
                      <w:szCs w:val="18"/>
                    </w:rPr>
                  </w:pPr>
                  <w:r w:rsidRPr="00A8521E">
                    <w:rPr>
                      <w:b/>
                      <w:sz w:val="18"/>
                      <w:szCs w:val="18"/>
                    </w:rPr>
                    <w:t>Източник на информация</w:t>
                  </w:r>
                </w:p>
              </w:tc>
            </w:tr>
            <w:tr w:rsidR="00907AE2" w:rsidRPr="00B511DD" w:rsidTr="005C0D18">
              <w:tc>
                <w:tcPr>
                  <w:tcW w:w="1437" w:type="dxa"/>
                </w:tcPr>
                <w:p w:rsidR="00907AE2" w:rsidRPr="00AB5FCA" w:rsidRDefault="00907AE2" w:rsidP="005C0D18">
                  <w:pPr>
                    <w:rPr>
                      <w:sz w:val="18"/>
                      <w:szCs w:val="18"/>
                    </w:rPr>
                  </w:pPr>
                  <w:r w:rsidRPr="00AB5FCA">
                    <w:rPr>
                      <w:sz w:val="18"/>
                      <w:szCs w:val="18"/>
                    </w:rPr>
                    <w:t>Допълнителен капацитет за рециклиране на отпадъци</w:t>
                  </w:r>
                </w:p>
              </w:tc>
              <w:tc>
                <w:tcPr>
                  <w:tcW w:w="1097" w:type="dxa"/>
                </w:tcPr>
                <w:p w:rsidR="00907AE2" w:rsidRPr="00AB5FCA" w:rsidRDefault="00907AE2" w:rsidP="005C0D18">
                  <w:pPr>
                    <w:rPr>
                      <w:sz w:val="18"/>
                      <w:szCs w:val="18"/>
                    </w:rPr>
                  </w:pPr>
                  <w:r w:rsidRPr="00AB5FCA">
                    <w:rPr>
                      <w:sz w:val="18"/>
                      <w:szCs w:val="18"/>
                    </w:rPr>
                    <w:t>т/годишно</w:t>
                  </w:r>
                </w:p>
              </w:tc>
              <w:tc>
                <w:tcPr>
                  <w:tcW w:w="1158" w:type="dxa"/>
                </w:tcPr>
                <w:p w:rsidR="00907AE2" w:rsidRPr="00AB5FCA" w:rsidRDefault="00907AE2" w:rsidP="005C0D18">
                  <w:pPr>
                    <w:rPr>
                      <w:sz w:val="18"/>
                      <w:szCs w:val="18"/>
                    </w:rPr>
                  </w:pPr>
                  <w:r w:rsidRPr="00AB5FCA">
                    <w:rPr>
                      <w:sz w:val="18"/>
                      <w:szCs w:val="18"/>
                    </w:rPr>
                    <w:t>0</w:t>
                  </w:r>
                </w:p>
              </w:tc>
              <w:tc>
                <w:tcPr>
                  <w:tcW w:w="1158" w:type="dxa"/>
                </w:tcPr>
                <w:p w:rsidR="00907AE2" w:rsidRPr="00AB5FCA" w:rsidRDefault="00907AE2" w:rsidP="005C0D18">
                  <w:pPr>
                    <w:rPr>
                      <w:sz w:val="18"/>
                      <w:szCs w:val="18"/>
                    </w:rPr>
                  </w:pPr>
                  <w:r w:rsidRPr="00AB5FCA">
                    <w:rPr>
                      <w:sz w:val="18"/>
                      <w:szCs w:val="18"/>
                    </w:rPr>
                    <w:t>1000 т/2018 и 10 000 т/2023</w:t>
                  </w:r>
                </w:p>
              </w:tc>
              <w:tc>
                <w:tcPr>
                  <w:tcW w:w="1399" w:type="dxa"/>
                </w:tcPr>
                <w:p w:rsidR="00907AE2" w:rsidRPr="00AB5FCA" w:rsidRDefault="00907AE2" w:rsidP="005C0D18">
                  <w:pPr>
                    <w:rPr>
                      <w:sz w:val="18"/>
                      <w:szCs w:val="18"/>
                    </w:rPr>
                  </w:pPr>
                  <w:r w:rsidRPr="00AB5FCA">
                    <w:rPr>
                      <w:sz w:val="18"/>
                      <w:szCs w:val="18"/>
                    </w:rPr>
                    <w:t>Доклади за изпълнение на проекти, годишни доклади на МОСВ</w:t>
                  </w:r>
                </w:p>
              </w:tc>
            </w:tr>
          </w:tbl>
          <w:p w:rsidR="00907AE2" w:rsidRPr="00B511DD" w:rsidRDefault="00907AE2" w:rsidP="005C0D18">
            <w:pPr>
              <w:cnfStyle w:val="000000000000" w:firstRow="0" w:lastRow="0" w:firstColumn="0" w:lastColumn="0" w:oddVBand="0" w:evenVBand="0" w:oddHBand="0" w:evenHBand="0" w:firstRowFirstColumn="0" w:firstRowLastColumn="0" w:lastRowFirstColumn="0" w:lastRowLastColumn="0"/>
            </w:pPr>
          </w:p>
        </w:tc>
      </w:tr>
      <w:tr w:rsidR="00907AE2" w:rsidRPr="00B511DD" w:rsidTr="005C0D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8" w:type="dxa"/>
          </w:tcPr>
          <w:p w:rsidR="00907AE2" w:rsidRPr="00B511DD" w:rsidRDefault="00907AE2" w:rsidP="005C0D18">
            <w:r w:rsidRPr="00B511DD">
              <w:t>Индикатор за продукт</w:t>
            </w:r>
          </w:p>
        </w:tc>
        <w:tc>
          <w:tcPr>
            <w:tcW w:w="6481" w:type="dxa"/>
          </w:tcPr>
          <w:tbl>
            <w:tblPr>
              <w:tblStyle w:val="TableGrid5"/>
              <w:tblW w:w="0" w:type="auto"/>
              <w:tblBorders>
                <w:top w:val="single" w:sz="6" w:space="0" w:color="4472C4" w:themeColor="accent5"/>
                <w:left w:val="single" w:sz="6" w:space="0" w:color="4472C4" w:themeColor="accent5"/>
                <w:bottom w:val="single" w:sz="6" w:space="0" w:color="4472C4" w:themeColor="accent5"/>
                <w:right w:val="single" w:sz="6" w:space="0" w:color="4472C4" w:themeColor="accent5"/>
                <w:insideH w:val="single" w:sz="6" w:space="0" w:color="4472C4" w:themeColor="accent5"/>
                <w:insideV w:val="single" w:sz="6" w:space="0" w:color="4472C4" w:themeColor="accent5"/>
              </w:tblBorders>
              <w:tblLook w:val="04A0" w:firstRow="1" w:lastRow="0" w:firstColumn="1" w:lastColumn="0" w:noHBand="0" w:noVBand="1"/>
            </w:tblPr>
            <w:tblGrid>
              <w:gridCol w:w="1473"/>
              <w:gridCol w:w="1098"/>
              <w:gridCol w:w="1138"/>
              <w:gridCol w:w="1122"/>
              <w:gridCol w:w="1418"/>
            </w:tblGrid>
            <w:tr w:rsidR="00907AE2" w:rsidRPr="00B511DD" w:rsidTr="005C0D18">
              <w:tc>
                <w:tcPr>
                  <w:tcW w:w="1473" w:type="dxa"/>
                </w:tcPr>
                <w:p w:rsidR="00907AE2" w:rsidRPr="00A8521E" w:rsidRDefault="00907AE2" w:rsidP="005C0D18">
                  <w:pPr>
                    <w:rPr>
                      <w:b/>
                      <w:sz w:val="18"/>
                      <w:szCs w:val="18"/>
                    </w:rPr>
                  </w:pPr>
                  <w:r w:rsidRPr="00A8521E">
                    <w:rPr>
                      <w:b/>
                      <w:sz w:val="18"/>
                      <w:szCs w:val="18"/>
                    </w:rPr>
                    <w:t>Индикатор</w:t>
                  </w:r>
                </w:p>
              </w:tc>
              <w:tc>
                <w:tcPr>
                  <w:tcW w:w="1098" w:type="dxa"/>
                </w:tcPr>
                <w:p w:rsidR="00907AE2" w:rsidRPr="00A8521E" w:rsidRDefault="00907AE2" w:rsidP="005C0D18">
                  <w:pPr>
                    <w:rPr>
                      <w:b/>
                      <w:sz w:val="18"/>
                      <w:szCs w:val="18"/>
                    </w:rPr>
                  </w:pPr>
                  <w:r w:rsidRPr="00A8521E">
                    <w:rPr>
                      <w:b/>
                      <w:sz w:val="18"/>
                      <w:szCs w:val="18"/>
                    </w:rPr>
                    <w:t>Мерна единица</w:t>
                  </w:r>
                </w:p>
              </w:tc>
              <w:tc>
                <w:tcPr>
                  <w:tcW w:w="1138" w:type="dxa"/>
                </w:tcPr>
                <w:p w:rsidR="00907AE2" w:rsidRPr="00A8521E" w:rsidRDefault="00907AE2" w:rsidP="005C0D18">
                  <w:pPr>
                    <w:rPr>
                      <w:b/>
                      <w:sz w:val="18"/>
                      <w:szCs w:val="18"/>
                    </w:rPr>
                  </w:pPr>
                  <w:r w:rsidRPr="00A8521E">
                    <w:rPr>
                      <w:b/>
                      <w:sz w:val="18"/>
                      <w:szCs w:val="18"/>
                    </w:rPr>
                    <w:t>Базова стойност</w:t>
                  </w:r>
                </w:p>
              </w:tc>
              <w:tc>
                <w:tcPr>
                  <w:tcW w:w="1122" w:type="dxa"/>
                </w:tcPr>
                <w:p w:rsidR="00907AE2" w:rsidRPr="00A8521E" w:rsidRDefault="00907AE2" w:rsidP="005C0D18">
                  <w:pPr>
                    <w:rPr>
                      <w:b/>
                      <w:sz w:val="18"/>
                      <w:szCs w:val="18"/>
                    </w:rPr>
                  </w:pPr>
                  <w:r w:rsidRPr="00A8521E">
                    <w:rPr>
                      <w:b/>
                      <w:sz w:val="18"/>
                      <w:szCs w:val="18"/>
                    </w:rPr>
                    <w:t>Целева стойност</w:t>
                  </w:r>
                </w:p>
              </w:tc>
              <w:tc>
                <w:tcPr>
                  <w:tcW w:w="1418" w:type="dxa"/>
                </w:tcPr>
                <w:p w:rsidR="00907AE2" w:rsidRPr="00A8521E" w:rsidRDefault="00907AE2" w:rsidP="005C0D18">
                  <w:pPr>
                    <w:rPr>
                      <w:b/>
                      <w:sz w:val="18"/>
                      <w:szCs w:val="18"/>
                    </w:rPr>
                  </w:pPr>
                  <w:r w:rsidRPr="00A8521E">
                    <w:rPr>
                      <w:b/>
                      <w:sz w:val="18"/>
                      <w:szCs w:val="18"/>
                    </w:rPr>
                    <w:t>Източник на информация</w:t>
                  </w:r>
                </w:p>
              </w:tc>
            </w:tr>
            <w:tr w:rsidR="00907AE2" w:rsidRPr="00B511DD" w:rsidTr="005C0D18">
              <w:tc>
                <w:tcPr>
                  <w:tcW w:w="1473" w:type="dxa"/>
                </w:tcPr>
                <w:p w:rsidR="00907AE2" w:rsidRPr="00AB5FCA" w:rsidRDefault="00907AE2" w:rsidP="005C0D18">
                  <w:pPr>
                    <w:rPr>
                      <w:sz w:val="18"/>
                      <w:szCs w:val="18"/>
                    </w:rPr>
                  </w:pPr>
                  <w:r>
                    <w:rPr>
                      <w:sz w:val="18"/>
                    </w:rPr>
                    <w:lastRenderedPageBreak/>
                    <w:t>К</w:t>
                  </w:r>
                  <w:r w:rsidRPr="00FC32FA">
                    <w:rPr>
                      <w:sz w:val="18"/>
                    </w:rPr>
                    <w:t>оличество на депонираните отпадъци</w:t>
                  </w:r>
                </w:p>
              </w:tc>
              <w:tc>
                <w:tcPr>
                  <w:tcW w:w="1098" w:type="dxa"/>
                </w:tcPr>
                <w:p w:rsidR="00907AE2" w:rsidRPr="00AB5FCA" w:rsidRDefault="00907AE2" w:rsidP="005C0D18">
                  <w:pPr>
                    <w:rPr>
                      <w:sz w:val="18"/>
                      <w:szCs w:val="18"/>
                    </w:rPr>
                  </w:pPr>
                  <w:r>
                    <w:rPr>
                      <w:sz w:val="18"/>
                      <w:szCs w:val="18"/>
                    </w:rPr>
                    <w:t>тон</w:t>
                  </w:r>
                </w:p>
              </w:tc>
              <w:tc>
                <w:tcPr>
                  <w:tcW w:w="1138" w:type="dxa"/>
                </w:tcPr>
                <w:p w:rsidR="00907AE2" w:rsidRPr="00AB5FCA" w:rsidRDefault="00907AE2" w:rsidP="005C0D18">
                  <w:pPr>
                    <w:rPr>
                      <w:sz w:val="18"/>
                      <w:szCs w:val="18"/>
                    </w:rPr>
                  </w:pPr>
                  <w:r w:rsidRPr="00984E5D">
                    <w:rPr>
                      <w:sz w:val="18"/>
                      <w:szCs w:val="18"/>
                    </w:rPr>
                    <w:t>1 123 750</w:t>
                  </w:r>
                  <w:r w:rsidRPr="00FC32FA">
                    <w:rPr>
                      <w:rStyle w:val="FootnoteReference"/>
                      <w:sz w:val="18"/>
                    </w:rPr>
                    <w:footnoteReference w:id="135"/>
                  </w:r>
                </w:p>
              </w:tc>
              <w:tc>
                <w:tcPr>
                  <w:tcW w:w="1122" w:type="dxa"/>
                </w:tcPr>
                <w:p w:rsidR="00907AE2" w:rsidRPr="00AB5FCA" w:rsidRDefault="00907AE2" w:rsidP="005C0D18">
                  <w:pPr>
                    <w:rPr>
                      <w:sz w:val="18"/>
                      <w:szCs w:val="18"/>
                    </w:rPr>
                  </w:pPr>
                  <w:r w:rsidRPr="00984E5D">
                    <w:rPr>
                      <w:sz w:val="18"/>
                      <w:szCs w:val="18"/>
                    </w:rPr>
                    <w:t>786 625</w:t>
                  </w:r>
                  <w:r>
                    <w:rPr>
                      <w:rStyle w:val="FootnoteReference"/>
                      <w:sz w:val="18"/>
                      <w:szCs w:val="18"/>
                    </w:rPr>
                    <w:footnoteReference w:id="136"/>
                  </w:r>
                </w:p>
              </w:tc>
              <w:tc>
                <w:tcPr>
                  <w:tcW w:w="1418" w:type="dxa"/>
                </w:tcPr>
                <w:p w:rsidR="00907AE2" w:rsidRPr="00AB5FCA" w:rsidRDefault="00907AE2" w:rsidP="005C0D18">
                  <w:pPr>
                    <w:rPr>
                      <w:sz w:val="18"/>
                      <w:szCs w:val="18"/>
                    </w:rPr>
                  </w:pPr>
                </w:p>
              </w:tc>
            </w:tr>
          </w:tbl>
          <w:p w:rsidR="00907AE2" w:rsidRPr="00B511DD" w:rsidRDefault="00907AE2" w:rsidP="005C0D18">
            <w:pPr>
              <w:cnfStyle w:val="000000100000" w:firstRow="0" w:lastRow="0" w:firstColumn="0" w:lastColumn="0" w:oddVBand="0" w:evenVBand="0" w:oddHBand="1" w:evenHBand="0" w:firstRowFirstColumn="0" w:firstRowLastColumn="0" w:lastRowFirstColumn="0" w:lastRowLastColumn="0"/>
            </w:pPr>
          </w:p>
        </w:tc>
      </w:tr>
      <w:tr w:rsidR="00907AE2" w:rsidRPr="00B511DD" w:rsidTr="005C0D18">
        <w:trPr>
          <w:trHeight w:val="1949"/>
        </w:trPr>
        <w:tc>
          <w:tcPr>
            <w:cnfStyle w:val="001000000000" w:firstRow="0" w:lastRow="0" w:firstColumn="1" w:lastColumn="0" w:oddVBand="0" w:evenVBand="0" w:oddHBand="0" w:evenHBand="0" w:firstRowFirstColumn="0" w:firstRowLastColumn="0" w:lastRowFirstColumn="0" w:lastRowLastColumn="0"/>
            <w:tcW w:w="2808" w:type="dxa"/>
          </w:tcPr>
          <w:p w:rsidR="00907AE2" w:rsidRPr="00B511DD" w:rsidRDefault="00907AE2" w:rsidP="005C0D18">
            <w:r w:rsidRPr="00B511DD">
              <w:lastRenderedPageBreak/>
              <w:t>Индикатор, включен в рамката за изпълнение</w:t>
            </w:r>
          </w:p>
        </w:tc>
        <w:tc>
          <w:tcPr>
            <w:tcW w:w="6481" w:type="dxa"/>
          </w:tcPr>
          <w:tbl>
            <w:tblPr>
              <w:tblStyle w:val="TableGrid5"/>
              <w:tblW w:w="0" w:type="auto"/>
              <w:tblBorders>
                <w:top w:val="single" w:sz="6" w:space="0" w:color="4472C4" w:themeColor="accent5"/>
                <w:left w:val="single" w:sz="6" w:space="0" w:color="4472C4" w:themeColor="accent5"/>
                <w:bottom w:val="single" w:sz="6" w:space="0" w:color="4472C4" w:themeColor="accent5"/>
                <w:right w:val="single" w:sz="6" w:space="0" w:color="4472C4" w:themeColor="accent5"/>
                <w:insideH w:val="single" w:sz="6" w:space="0" w:color="4472C4" w:themeColor="accent5"/>
                <w:insideV w:val="single" w:sz="6" w:space="0" w:color="4472C4" w:themeColor="accent5"/>
              </w:tblBorders>
              <w:tblLook w:val="04A0" w:firstRow="1" w:lastRow="0" w:firstColumn="1" w:lastColumn="0" w:noHBand="0" w:noVBand="1"/>
            </w:tblPr>
            <w:tblGrid>
              <w:gridCol w:w="1266"/>
              <w:gridCol w:w="1824"/>
              <w:gridCol w:w="899"/>
              <w:gridCol w:w="899"/>
              <w:gridCol w:w="1452"/>
            </w:tblGrid>
            <w:tr w:rsidR="00907AE2" w:rsidRPr="00B511DD" w:rsidTr="005C0D18">
              <w:tc>
                <w:tcPr>
                  <w:tcW w:w="1423" w:type="dxa"/>
                </w:tcPr>
                <w:p w:rsidR="00907AE2" w:rsidRPr="00A8521E" w:rsidRDefault="00907AE2" w:rsidP="005C0D18">
                  <w:pPr>
                    <w:rPr>
                      <w:b/>
                      <w:sz w:val="18"/>
                      <w:szCs w:val="18"/>
                    </w:rPr>
                  </w:pPr>
                  <w:r w:rsidRPr="00A8521E">
                    <w:rPr>
                      <w:b/>
                      <w:sz w:val="18"/>
                      <w:szCs w:val="18"/>
                    </w:rPr>
                    <w:t>Индикатор</w:t>
                  </w:r>
                </w:p>
              </w:tc>
              <w:tc>
                <w:tcPr>
                  <w:tcW w:w="1132" w:type="dxa"/>
                </w:tcPr>
                <w:p w:rsidR="00907AE2" w:rsidRPr="00A8521E" w:rsidRDefault="00907AE2" w:rsidP="005C0D18">
                  <w:pPr>
                    <w:rPr>
                      <w:b/>
                      <w:sz w:val="18"/>
                      <w:szCs w:val="18"/>
                    </w:rPr>
                  </w:pPr>
                  <w:r w:rsidRPr="00A8521E">
                    <w:rPr>
                      <w:b/>
                      <w:sz w:val="18"/>
                      <w:szCs w:val="18"/>
                    </w:rPr>
                    <w:t>Мерна единица</w:t>
                  </w:r>
                </w:p>
              </w:tc>
              <w:tc>
                <w:tcPr>
                  <w:tcW w:w="1138" w:type="dxa"/>
                </w:tcPr>
                <w:p w:rsidR="00907AE2" w:rsidRPr="00A8521E" w:rsidRDefault="00907AE2" w:rsidP="005C0D18">
                  <w:pPr>
                    <w:rPr>
                      <w:b/>
                      <w:sz w:val="18"/>
                      <w:szCs w:val="18"/>
                    </w:rPr>
                  </w:pPr>
                  <w:r w:rsidRPr="00A8521E">
                    <w:rPr>
                      <w:b/>
                      <w:sz w:val="18"/>
                      <w:szCs w:val="18"/>
                    </w:rPr>
                    <w:t>Базова стойност</w:t>
                  </w:r>
                </w:p>
              </w:tc>
              <w:tc>
                <w:tcPr>
                  <w:tcW w:w="1138" w:type="dxa"/>
                </w:tcPr>
                <w:p w:rsidR="00907AE2" w:rsidRPr="00A8521E" w:rsidRDefault="00907AE2" w:rsidP="005C0D18">
                  <w:pPr>
                    <w:rPr>
                      <w:b/>
                      <w:sz w:val="18"/>
                      <w:szCs w:val="18"/>
                    </w:rPr>
                  </w:pPr>
                  <w:r w:rsidRPr="00A8521E">
                    <w:rPr>
                      <w:b/>
                      <w:sz w:val="18"/>
                      <w:szCs w:val="18"/>
                    </w:rPr>
                    <w:t>Целева стойност</w:t>
                  </w:r>
                </w:p>
              </w:tc>
              <w:tc>
                <w:tcPr>
                  <w:tcW w:w="1418" w:type="dxa"/>
                </w:tcPr>
                <w:p w:rsidR="00907AE2" w:rsidRPr="00A8521E" w:rsidRDefault="00907AE2" w:rsidP="005C0D18">
                  <w:pPr>
                    <w:rPr>
                      <w:b/>
                      <w:sz w:val="18"/>
                      <w:szCs w:val="18"/>
                    </w:rPr>
                  </w:pPr>
                  <w:r w:rsidRPr="00A8521E">
                    <w:rPr>
                      <w:b/>
                      <w:sz w:val="18"/>
                      <w:szCs w:val="18"/>
                    </w:rPr>
                    <w:t>Източник на информация</w:t>
                  </w:r>
                </w:p>
              </w:tc>
            </w:tr>
            <w:tr w:rsidR="00907AE2" w:rsidRPr="00B511DD" w:rsidTr="005C0D18">
              <w:tc>
                <w:tcPr>
                  <w:tcW w:w="1423" w:type="dxa"/>
                </w:tcPr>
                <w:p w:rsidR="00907AE2" w:rsidRPr="00A8521E" w:rsidRDefault="00907AE2" w:rsidP="005C0D18">
                  <w:pPr>
                    <w:rPr>
                      <w:sz w:val="18"/>
                      <w:szCs w:val="18"/>
                    </w:rPr>
                  </w:pPr>
                  <w:r>
                    <w:rPr>
                      <w:sz w:val="18"/>
                      <w:szCs w:val="18"/>
                    </w:rPr>
                    <w:t>Финансирани проекти чрез ФИ</w:t>
                  </w:r>
                  <w:r w:rsidRPr="00A8521E">
                    <w:rPr>
                      <w:sz w:val="18"/>
                      <w:szCs w:val="18"/>
                    </w:rPr>
                    <w:t xml:space="preserve"> </w:t>
                  </w:r>
                </w:p>
              </w:tc>
              <w:tc>
                <w:tcPr>
                  <w:tcW w:w="1132" w:type="dxa"/>
                </w:tcPr>
                <w:p w:rsidR="00907AE2" w:rsidRPr="00A8521E" w:rsidRDefault="00907AE2" w:rsidP="005C0D18">
                  <w:pPr>
                    <w:rPr>
                      <w:sz w:val="18"/>
                      <w:szCs w:val="18"/>
                    </w:rPr>
                  </w:pPr>
                  <w:r>
                    <w:rPr>
                      <w:sz w:val="18"/>
                      <w:szCs w:val="18"/>
                    </w:rPr>
                    <w:t>Брой</w:t>
                  </w:r>
                </w:p>
              </w:tc>
              <w:tc>
                <w:tcPr>
                  <w:tcW w:w="1138" w:type="dxa"/>
                </w:tcPr>
                <w:p w:rsidR="00907AE2" w:rsidRPr="00A8521E" w:rsidRDefault="00907AE2" w:rsidP="005C0D18">
                  <w:pPr>
                    <w:rPr>
                      <w:sz w:val="18"/>
                      <w:szCs w:val="18"/>
                    </w:rPr>
                  </w:pPr>
                  <w:r>
                    <w:rPr>
                      <w:sz w:val="18"/>
                      <w:szCs w:val="18"/>
                    </w:rPr>
                    <w:t>0</w:t>
                  </w:r>
                </w:p>
              </w:tc>
              <w:tc>
                <w:tcPr>
                  <w:tcW w:w="1138" w:type="dxa"/>
                </w:tcPr>
                <w:p w:rsidR="00907AE2" w:rsidRPr="00A8521E" w:rsidRDefault="00907AE2" w:rsidP="005C0D18">
                  <w:pPr>
                    <w:rPr>
                      <w:sz w:val="18"/>
                      <w:szCs w:val="18"/>
                    </w:rPr>
                  </w:pPr>
                  <w:r>
                    <w:rPr>
                      <w:sz w:val="18"/>
                      <w:szCs w:val="18"/>
                    </w:rPr>
                    <w:t>100</w:t>
                  </w:r>
                </w:p>
              </w:tc>
              <w:tc>
                <w:tcPr>
                  <w:tcW w:w="1418" w:type="dxa"/>
                </w:tcPr>
                <w:p w:rsidR="00907AE2" w:rsidRPr="00A8521E" w:rsidRDefault="00907AE2" w:rsidP="005C0D18">
                  <w:pPr>
                    <w:rPr>
                      <w:sz w:val="18"/>
                      <w:szCs w:val="18"/>
                    </w:rPr>
                  </w:pPr>
                  <w:r>
                    <w:rPr>
                      <w:sz w:val="18"/>
                      <w:szCs w:val="18"/>
                    </w:rPr>
                    <w:t>Мониторингови доклади за ФИ</w:t>
                  </w:r>
                </w:p>
              </w:tc>
            </w:tr>
            <w:tr w:rsidR="00907AE2" w:rsidRPr="00B511DD" w:rsidTr="005C0D18">
              <w:tc>
                <w:tcPr>
                  <w:tcW w:w="1423" w:type="dxa"/>
                </w:tcPr>
                <w:p w:rsidR="00907AE2" w:rsidRDefault="00907AE2" w:rsidP="005C0D18">
                  <w:pPr>
                    <w:rPr>
                      <w:sz w:val="18"/>
                      <w:szCs w:val="18"/>
                    </w:rPr>
                  </w:pPr>
                  <w:r>
                    <w:rPr>
                      <w:sz w:val="18"/>
                      <w:szCs w:val="18"/>
                    </w:rPr>
                    <w:t>Ефект на лоста</w:t>
                  </w:r>
                </w:p>
              </w:tc>
              <w:tc>
                <w:tcPr>
                  <w:tcW w:w="1132" w:type="dxa"/>
                </w:tcPr>
                <w:p w:rsidR="00907AE2" w:rsidRDefault="00907AE2" w:rsidP="005C0D18">
                  <w:pPr>
                    <w:rPr>
                      <w:sz w:val="18"/>
                      <w:szCs w:val="18"/>
                    </w:rPr>
                  </w:pPr>
                  <w:r>
                    <w:rPr>
                      <w:sz w:val="18"/>
                      <w:szCs w:val="18"/>
                    </w:rPr>
                    <w:t>Привлечено финансиране от други източници/публична подкрепа за ВиК проекти</w:t>
                  </w:r>
                </w:p>
              </w:tc>
              <w:tc>
                <w:tcPr>
                  <w:tcW w:w="1138" w:type="dxa"/>
                </w:tcPr>
                <w:p w:rsidR="00907AE2" w:rsidRDefault="00907AE2" w:rsidP="005C0D18">
                  <w:pPr>
                    <w:rPr>
                      <w:sz w:val="18"/>
                      <w:szCs w:val="18"/>
                    </w:rPr>
                  </w:pPr>
                  <w:r>
                    <w:rPr>
                      <w:sz w:val="18"/>
                      <w:szCs w:val="18"/>
                    </w:rPr>
                    <w:t>0</w:t>
                  </w:r>
                </w:p>
              </w:tc>
              <w:tc>
                <w:tcPr>
                  <w:tcW w:w="1138" w:type="dxa"/>
                </w:tcPr>
                <w:p w:rsidR="00907AE2" w:rsidRDefault="00907AE2" w:rsidP="005C0D18">
                  <w:pPr>
                    <w:rPr>
                      <w:sz w:val="18"/>
                      <w:szCs w:val="18"/>
                    </w:rPr>
                  </w:pPr>
                  <w:r>
                    <w:rPr>
                      <w:sz w:val="18"/>
                      <w:szCs w:val="18"/>
                    </w:rPr>
                    <w:t>4</w:t>
                  </w:r>
                </w:p>
              </w:tc>
              <w:tc>
                <w:tcPr>
                  <w:tcW w:w="1418" w:type="dxa"/>
                </w:tcPr>
                <w:p w:rsidR="00907AE2" w:rsidRPr="00A8521E" w:rsidRDefault="00907AE2" w:rsidP="005C0D18">
                  <w:pPr>
                    <w:rPr>
                      <w:sz w:val="18"/>
                      <w:szCs w:val="18"/>
                    </w:rPr>
                  </w:pPr>
                  <w:r>
                    <w:rPr>
                      <w:sz w:val="18"/>
                      <w:szCs w:val="18"/>
                    </w:rPr>
                    <w:t>Мониторингови доклади за ФИ</w:t>
                  </w:r>
                </w:p>
              </w:tc>
            </w:tr>
            <w:tr w:rsidR="00907AE2" w:rsidRPr="00B511DD" w:rsidTr="005C0D18">
              <w:tc>
                <w:tcPr>
                  <w:tcW w:w="1423" w:type="dxa"/>
                </w:tcPr>
                <w:p w:rsidR="00907AE2" w:rsidRDefault="00907AE2" w:rsidP="005C0D18">
                  <w:pPr>
                    <w:rPr>
                      <w:sz w:val="18"/>
                      <w:szCs w:val="18"/>
                    </w:rPr>
                  </w:pPr>
                  <w:r>
                    <w:rPr>
                      <w:sz w:val="18"/>
                      <w:szCs w:val="18"/>
                    </w:rPr>
                    <w:t>Разходи за управление</w:t>
                  </w:r>
                </w:p>
              </w:tc>
              <w:tc>
                <w:tcPr>
                  <w:tcW w:w="1132" w:type="dxa"/>
                </w:tcPr>
                <w:p w:rsidR="00907AE2" w:rsidRDefault="00907AE2" w:rsidP="005C0D18">
                  <w:pPr>
                    <w:rPr>
                      <w:sz w:val="18"/>
                      <w:szCs w:val="18"/>
                    </w:rPr>
                  </w:pPr>
                  <w:r>
                    <w:rPr>
                      <w:sz w:val="18"/>
                      <w:szCs w:val="18"/>
                    </w:rPr>
                    <w:t xml:space="preserve">% от общия размер на кредитите </w:t>
                  </w:r>
                </w:p>
              </w:tc>
              <w:tc>
                <w:tcPr>
                  <w:tcW w:w="1138" w:type="dxa"/>
                </w:tcPr>
                <w:p w:rsidR="00907AE2" w:rsidRDefault="00907AE2" w:rsidP="005C0D18">
                  <w:pPr>
                    <w:rPr>
                      <w:sz w:val="18"/>
                      <w:szCs w:val="18"/>
                    </w:rPr>
                  </w:pPr>
                  <w:r>
                    <w:rPr>
                      <w:sz w:val="18"/>
                      <w:szCs w:val="18"/>
                    </w:rPr>
                    <w:t>0</w:t>
                  </w:r>
                </w:p>
              </w:tc>
              <w:tc>
                <w:tcPr>
                  <w:tcW w:w="1138" w:type="dxa"/>
                </w:tcPr>
                <w:p w:rsidR="00907AE2" w:rsidRDefault="00907AE2" w:rsidP="005C0D18">
                  <w:pPr>
                    <w:rPr>
                      <w:sz w:val="18"/>
                      <w:szCs w:val="18"/>
                    </w:rPr>
                  </w:pPr>
                  <w:r>
                    <w:rPr>
                      <w:sz w:val="18"/>
                      <w:szCs w:val="18"/>
                    </w:rPr>
                    <w:t>4%</w:t>
                  </w:r>
                </w:p>
              </w:tc>
              <w:tc>
                <w:tcPr>
                  <w:tcW w:w="1418" w:type="dxa"/>
                </w:tcPr>
                <w:p w:rsidR="00907AE2" w:rsidRDefault="00907AE2" w:rsidP="005C0D18">
                  <w:pPr>
                    <w:rPr>
                      <w:sz w:val="18"/>
                      <w:szCs w:val="18"/>
                    </w:rPr>
                  </w:pPr>
                  <w:r>
                    <w:rPr>
                      <w:sz w:val="18"/>
                      <w:szCs w:val="18"/>
                    </w:rPr>
                    <w:t>Мониторингови доклади за ФИ</w:t>
                  </w:r>
                </w:p>
              </w:tc>
            </w:tr>
          </w:tbl>
          <w:p w:rsidR="00907AE2" w:rsidRPr="00B511DD" w:rsidRDefault="00907AE2" w:rsidP="005C0D18">
            <w:pPr>
              <w:cnfStyle w:val="000000000000" w:firstRow="0" w:lastRow="0" w:firstColumn="0" w:lastColumn="0" w:oddVBand="0" w:evenVBand="0" w:oddHBand="0" w:evenHBand="0" w:firstRowFirstColumn="0" w:firstRowLastColumn="0" w:lastRowFirstColumn="0" w:lastRowLastColumn="0"/>
            </w:pPr>
          </w:p>
        </w:tc>
      </w:tr>
    </w:tbl>
    <w:p w:rsidR="00907AE2" w:rsidRPr="00B511DD" w:rsidRDefault="00907AE2" w:rsidP="00907AE2"/>
    <w:p w:rsidR="00B511DD" w:rsidRPr="00B511DD" w:rsidRDefault="00B511DD" w:rsidP="00B511DD">
      <w:pPr>
        <w:sectPr w:rsidR="00B511DD" w:rsidRPr="00B511DD" w:rsidSect="006E39EC">
          <w:pgSz w:w="11906" w:h="16838"/>
          <w:pgMar w:top="1417" w:right="1416" w:bottom="1417" w:left="1417" w:header="708" w:footer="105" w:gutter="0"/>
          <w:cols w:space="708"/>
          <w:titlePg/>
          <w:docGrid w:linePitch="360"/>
        </w:sectPr>
      </w:pPr>
    </w:p>
    <w:p w:rsidR="002F0529" w:rsidRDefault="00181C9C" w:rsidP="00BC4527">
      <w:pPr>
        <w:pStyle w:val="Heading1"/>
        <w:jc w:val="both"/>
        <w:rPr>
          <w:rFonts w:asciiTheme="minorHAnsi" w:hAnsiTheme="minorHAnsi" w:cs="Times New Roman"/>
        </w:rPr>
      </w:pPr>
      <w:bookmarkStart w:id="195" w:name="_Toc399494582"/>
      <w:r w:rsidRPr="00C370EC">
        <w:rPr>
          <w:rFonts w:asciiTheme="minorHAnsi" w:hAnsiTheme="minorHAnsi" w:cs="Times New Roman"/>
        </w:rPr>
        <w:lastRenderedPageBreak/>
        <w:t xml:space="preserve">7. </w:t>
      </w:r>
      <w:r w:rsidR="002F0529" w:rsidRPr="00C370EC">
        <w:rPr>
          <w:rFonts w:asciiTheme="minorHAnsi" w:hAnsiTheme="minorHAnsi" w:cs="Times New Roman"/>
        </w:rPr>
        <w:t xml:space="preserve">Допускания, </w:t>
      </w:r>
      <w:r w:rsidR="007B40C0" w:rsidRPr="00C370EC">
        <w:rPr>
          <w:rFonts w:asciiTheme="minorHAnsi" w:hAnsiTheme="minorHAnsi" w:cs="Times New Roman"/>
        </w:rPr>
        <w:t>позволяващи преразглеждане</w:t>
      </w:r>
      <w:r w:rsidR="002F0529" w:rsidRPr="00C370EC">
        <w:rPr>
          <w:rFonts w:asciiTheme="minorHAnsi" w:hAnsiTheme="minorHAnsi" w:cs="Times New Roman"/>
        </w:rPr>
        <w:t xml:space="preserve"> на предварителната оценка</w:t>
      </w:r>
      <w:r w:rsidR="00A17CF0">
        <w:rPr>
          <w:rFonts w:asciiTheme="minorHAnsi" w:hAnsiTheme="minorHAnsi" w:cs="Times New Roman"/>
        </w:rPr>
        <w:t>.</w:t>
      </w:r>
      <w:bookmarkEnd w:id="195"/>
    </w:p>
    <w:p w:rsidR="00BC4527" w:rsidRDefault="00BC4527" w:rsidP="00BC4527">
      <w:pPr>
        <w:spacing w:before="240"/>
      </w:pPr>
      <w:r>
        <w:t>Този компонент от оценката преминава през:</w:t>
      </w:r>
    </w:p>
    <w:p w:rsidR="00BC4527" w:rsidRPr="00BC4527" w:rsidRDefault="00BC4527" w:rsidP="00BC4527">
      <w:pPr>
        <w:spacing w:before="240"/>
      </w:pPr>
      <w:r>
        <w:rPr>
          <w:noProof/>
          <w:lang w:eastAsia="bg-BG"/>
        </w:rPr>
        <w:drawing>
          <wp:inline distT="0" distB="0" distL="0" distR="0">
            <wp:extent cx="5486400" cy="3200400"/>
            <wp:effectExtent l="0" t="0" r="0" b="0"/>
            <wp:docPr id="40" name="Diagram 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3" r:lo="rId204" r:qs="rId205" r:cs="rId206"/>
              </a:graphicData>
            </a:graphic>
          </wp:inline>
        </w:drawing>
      </w:r>
    </w:p>
    <w:p w:rsidR="008255A3" w:rsidRDefault="008255A3" w:rsidP="008255A3">
      <w:pPr>
        <w:pStyle w:val="Heading2"/>
        <w:jc w:val="both"/>
        <w:rPr>
          <w:rFonts w:asciiTheme="minorHAnsi" w:hAnsiTheme="minorHAnsi" w:cs="Times New Roman"/>
        </w:rPr>
      </w:pPr>
      <w:bookmarkStart w:id="196" w:name="_Toc399494583"/>
      <w:r w:rsidRPr="00A17CF0">
        <w:rPr>
          <w:rFonts w:asciiTheme="minorHAnsi" w:hAnsiTheme="minorHAnsi" w:cs="Times New Roman"/>
        </w:rPr>
        <w:t>7.1. Оценка на риска</w:t>
      </w:r>
      <w:bookmarkEnd w:id="196"/>
    </w:p>
    <w:p w:rsidR="008255A3" w:rsidRDefault="008255A3" w:rsidP="008255A3"/>
    <w:p w:rsidR="008255A3" w:rsidRDefault="008255A3" w:rsidP="008255A3">
      <w:r>
        <w:t>Един от инструментите, чрез който може да се подобри управлението на ФИ от страна на УО е оценката на риска.</w:t>
      </w:r>
    </w:p>
    <w:p w:rsidR="008255A3" w:rsidRDefault="008255A3" w:rsidP="008255A3">
      <w:pPr>
        <w:jc w:val="both"/>
      </w:pPr>
      <w:r>
        <w:t xml:space="preserve">УО може да анализира и оцени риска, съответно и да вземе мерки за предотвратяването на рисковете, на базата на научените уроци и практики. Съответно трябва да се предложат средства и мерки за преодоляване на риска. </w:t>
      </w:r>
    </w:p>
    <w:p w:rsidR="008255A3" w:rsidRPr="00EF021D" w:rsidRDefault="008255A3" w:rsidP="008255A3">
      <w:pPr>
        <w:spacing w:before="120" w:after="120"/>
        <w:jc w:val="both"/>
      </w:pPr>
      <w:r>
        <w:t xml:space="preserve">Стратегията за управление на риска представлява </w:t>
      </w:r>
      <w:r w:rsidRPr="00EF021D">
        <w:t>интегриран подход, включващ:</w:t>
      </w:r>
    </w:p>
    <w:p w:rsidR="008255A3" w:rsidRPr="00EF021D" w:rsidRDefault="008255A3" w:rsidP="008255A3">
      <w:pPr>
        <w:numPr>
          <w:ilvl w:val="0"/>
          <w:numId w:val="150"/>
        </w:numPr>
        <w:tabs>
          <w:tab w:val="left" w:pos="567"/>
          <w:tab w:val="left" w:pos="709"/>
        </w:tabs>
        <w:spacing w:before="120" w:after="120" w:line="240" w:lineRule="auto"/>
        <w:ind w:left="709" w:hanging="425"/>
        <w:jc w:val="both"/>
      </w:pPr>
      <w:r w:rsidRPr="00EF021D">
        <w:t>Определение на рисковете и категоризацията им;</w:t>
      </w:r>
    </w:p>
    <w:p w:rsidR="008255A3" w:rsidRPr="00EF021D" w:rsidRDefault="008255A3" w:rsidP="008255A3">
      <w:pPr>
        <w:numPr>
          <w:ilvl w:val="0"/>
          <w:numId w:val="150"/>
        </w:numPr>
        <w:spacing w:before="120" w:after="120" w:line="240" w:lineRule="auto"/>
        <w:jc w:val="both"/>
      </w:pPr>
      <w:r w:rsidRPr="00EF021D">
        <w:t>Оценка на влиянието на риска;</w:t>
      </w:r>
    </w:p>
    <w:p w:rsidR="008255A3" w:rsidRPr="00EF021D" w:rsidRDefault="008255A3" w:rsidP="008255A3">
      <w:pPr>
        <w:numPr>
          <w:ilvl w:val="0"/>
          <w:numId w:val="150"/>
        </w:numPr>
        <w:spacing w:before="120" w:after="120" w:line="240" w:lineRule="auto"/>
        <w:jc w:val="both"/>
      </w:pPr>
      <w:r w:rsidRPr="00EF021D">
        <w:t>Оценка на вероятността от настъпване на риска;</w:t>
      </w:r>
    </w:p>
    <w:p w:rsidR="008255A3" w:rsidRPr="00EF021D" w:rsidRDefault="008255A3" w:rsidP="008255A3">
      <w:pPr>
        <w:numPr>
          <w:ilvl w:val="0"/>
          <w:numId w:val="150"/>
        </w:numPr>
        <w:spacing w:before="120" w:after="120" w:line="240" w:lineRule="auto"/>
        <w:jc w:val="both"/>
      </w:pPr>
      <w:r w:rsidRPr="00EF021D">
        <w:t>Съставяне на матрица на рисковете с оглед на тяхното разпределение;</w:t>
      </w:r>
    </w:p>
    <w:p w:rsidR="008255A3" w:rsidRPr="00EF021D" w:rsidRDefault="008255A3" w:rsidP="008255A3">
      <w:pPr>
        <w:numPr>
          <w:ilvl w:val="0"/>
          <w:numId w:val="150"/>
        </w:numPr>
        <w:spacing w:before="120" w:after="120" w:line="240" w:lineRule="auto"/>
        <w:jc w:val="both"/>
      </w:pPr>
      <w:r w:rsidRPr="00EF021D">
        <w:t>Прилагане на мерки за адресиране на приоритизираните рискове.</w:t>
      </w:r>
    </w:p>
    <w:p w:rsidR="008255A3" w:rsidRPr="00EF021D" w:rsidRDefault="008255A3" w:rsidP="008255A3">
      <w:pPr>
        <w:keepNext/>
        <w:jc w:val="center"/>
      </w:pPr>
      <w:r w:rsidRPr="00EF021D">
        <w:object w:dxaOrig="10750" w:dyaOrig="10846" w14:anchorId="01C77CB5">
          <v:shape id="_x0000_i1025" type="#_x0000_t75" style="width:254.75pt;height:226.7pt" o:ole="">
            <v:imagedata r:id="rId208" o:title="" croptop="8565f" cropbottom="6852f" cropleft="3456f" cropright="6913f"/>
          </v:shape>
          <o:OLEObject Type="Embed" ProgID="SmartDraw.2" ShapeID="_x0000_i1025" DrawAspect="Content" ObjectID="_1473243801" r:id="rId209"/>
        </w:object>
      </w:r>
    </w:p>
    <w:p w:rsidR="008255A3" w:rsidRDefault="008255A3" w:rsidP="008255A3">
      <w:pPr>
        <w:jc w:val="both"/>
        <w:rPr>
          <w:u w:val="single"/>
        </w:rPr>
      </w:pPr>
    </w:p>
    <w:p w:rsidR="008255A3" w:rsidRDefault="008255A3" w:rsidP="008255A3">
      <w:pPr>
        <w:spacing w:before="120" w:after="120"/>
        <w:jc w:val="both"/>
        <w:rPr>
          <w:b/>
          <w:bCs/>
          <w:i/>
        </w:rPr>
      </w:pPr>
      <w:r w:rsidRPr="00550B81">
        <w:rPr>
          <w:b/>
          <w:bCs/>
          <w:i/>
        </w:rPr>
        <w:t>Идентификация на рисковете (дефиниране на рисковите фактори) и определяне на носителя на риска</w:t>
      </w:r>
    </w:p>
    <w:p w:rsidR="008255A3" w:rsidRPr="00EF021D" w:rsidRDefault="008255A3" w:rsidP="008255A3">
      <w:pPr>
        <w:spacing w:before="120" w:after="120"/>
        <w:jc w:val="both"/>
      </w:pPr>
      <w:r w:rsidRPr="00EF021D">
        <w:t xml:space="preserve">Първата стъпка </w:t>
      </w:r>
      <w:r>
        <w:t>при</w:t>
      </w:r>
      <w:r w:rsidRPr="00EF021D">
        <w:t xml:space="preserve"> анализ</w:t>
      </w:r>
      <w:r>
        <w:t>а</w:t>
      </w:r>
      <w:r w:rsidRPr="00EF021D">
        <w:t xml:space="preserve"> на риска е да се идентифицират всички свързани с </w:t>
      </w:r>
      <w:r>
        <w:t>финансовия инструмент</w:t>
      </w:r>
      <w:r w:rsidRPr="00EF021D">
        <w:t xml:space="preserve"> рискове (количествено измерими и качествени), за да се състави списък (регистър на рисковете). Регистърът </w:t>
      </w:r>
      <w:r>
        <w:t>следва да е</w:t>
      </w:r>
      <w:r w:rsidRPr="00EF021D">
        <w:t xml:space="preserve"> основа за оценяването на рисковете. Същевременно е </w:t>
      </w:r>
      <w:r>
        <w:t xml:space="preserve">необходимо да </w:t>
      </w:r>
      <w:r w:rsidRPr="00EF021D">
        <w:t>се определи носителя на риска, за да се планират насочени и адекватни корективни действия, в зависимост от спецификите на носителя.</w:t>
      </w:r>
    </w:p>
    <w:p w:rsidR="008255A3" w:rsidRPr="00EF021D" w:rsidRDefault="008255A3" w:rsidP="008255A3">
      <w:pPr>
        <w:spacing w:before="120" w:after="120"/>
        <w:jc w:val="both"/>
      </w:pPr>
    </w:p>
    <w:p w:rsidR="008255A3" w:rsidRPr="00550B81" w:rsidRDefault="008255A3" w:rsidP="008255A3">
      <w:pPr>
        <w:spacing w:before="120" w:after="120"/>
        <w:jc w:val="both"/>
        <w:rPr>
          <w:b/>
          <w:bCs/>
          <w:i/>
        </w:rPr>
      </w:pPr>
      <w:r w:rsidRPr="00550B81">
        <w:rPr>
          <w:b/>
          <w:bCs/>
          <w:i/>
        </w:rPr>
        <w:t>Оценка на влиянието на рисковете</w:t>
      </w:r>
    </w:p>
    <w:p w:rsidR="008255A3" w:rsidRPr="00EF021D" w:rsidRDefault="008255A3" w:rsidP="008255A3">
      <w:pPr>
        <w:spacing w:before="120" w:after="120"/>
        <w:jc w:val="both"/>
      </w:pPr>
      <w:r w:rsidRPr="00EF021D">
        <w:t>При оценка на влиянието на рисковете, т.е. на потенциалните загуби, е важно да се определят количествено последиците от конкретния риск само веднъж и да е сигурно, че същият риск вече не е отчетен при формирането на основните разходи.</w:t>
      </w:r>
    </w:p>
    <w:p w:rsidR="008255A3" w:rsidRPr="00EF021D" w:rsidRDefault="008255A3" w:rsidP="008255A3">
      <w:pPr>
        <w:spacing w:before="120" w:after="120"/>
        <w:jc w:val="both"/>
      </w:pPr>
      <w:r w:rsidRPr="00EF021D">
        <w:t xml:space="preserve">За да протече тази оценка по-ефективно следва да се категоризират рисковете в съответствие с важността им (като </w:t>
      </w:r>
      <w:r w:rsidRPr="00550B81">
        <w:rPr>
          <w:i/>
        </w:rPr>
        <w:t>критични (K)</w:t>
      </w:r>
      <w:r w:rsidRPr="00550B81">
        <w:t xml:space="preserve">, </w:t>
      </w:r>
      <w:r w:rsidRPr="00550B81">
        <w:rPr>
          <w:i/>
        </w:rPr>
        <w:t>сериозни (С), умерени (У), пренебрежими (П)</w:t>
      </w:r>
      <w:r w:rsidRPr="00EF021D">
        <w:t>) и да се започне от концентрирането първо върху на</w:t>
      </w:r>
      <w:r>
        <w:t>й-значимите.</w:t>
      </w:r>
    </w:p>
    <w:p w:rsidR="008255A3" w:rsidRPr="00EF021D" w:rsidRDefault="008255A3" w:rsidP="008255A3">
      <w:pPr>
        <w:spacing w:before="120" w:after="120"/>
        <w:jc w:val="both"/>
      </w:pPr>
      <w:r w:rsidRPr="00EF021D">
        <w:t>При оценка на влиянието на рисковете е важно те да бъдат очаквани разходи (а не само планирани разходи), методологически може да се процедира на базата на практически доказателства дали това е възможно, или поне да се използват общоприети приблизителни данни.</w:t>
      </w:r>
    </w:p>
    <w:p w:rsidR="008255A3" w:rsidRPr="00EF021D" w:rsidRDefault="008255A3" w:rsidP="008255A3">
      <w:pPr>
        <w:spacing w:before="120" w:after="120"/>
        <w:jc w:val="both"/>
      </w:pPr>
      <w:r w:rsidRPr="00EF021D">
        <w:t xml:space="preserve">Оценката на риска не означава концентриране само върху преките ефекти от малко или повече определени рискове, но също и откриване на общия ефект от рисковете и преценяване на възможните им взаимодействия. </w:t>
      </w:r>
    </w:p>
    <w:p w:rsidR="008255A3" w:rsidRDefault="008255A3" w:rsidP="008255A3">
      <w:pPr>
        <w:spacing w:before="120" w:after="120"/>
        <w:jc w:val="both"/>
      </w:pPr>
      <w:r w:rsidRPr="00EF021D">
        <w:lastRenderedPageBreak/>
        <w:t xml:space="preserve">Освен оценката на влиянието от даден риск трябва да се проследи и времето на възможните последици от този риск. Това оказва влияние върху нетната настояща стойност (ННС) на това влияние. При дисконтирането на общото влияние на риска, то трябва да бъде разпределено през целия период </w:t>
      </w:r>
      <w:r>
        <w:t>на действие на финансовия инструмент</w:t>
      </w:r>
      <w:r w:rsidRPr="00EF021D">
        <w:t xml:space="preserve">. </w:t>
      </w:r>
    </w:p>
    <w:p w:rsidR="008255A3" w:rsidRPr="00550B81" w:rsidRDefault="008255A3" w:rsidP="008255A3">
      <w:pPr>
        <w:spacing w:before="120" w:after="120"/>
        <w:jc w:val="both"/>
        <w:rPr>
          <w:b/>
          <w:bCs/>
          <w:i/>
        </w:rPr>
      </w:pPr>
      <w:r w:rsidRPr="00550B81">
        <w:rPr>
          <w:b/>
          <w:bCs/>
          <w:i/>
        </w:rPr>
        <w:t>Оценка на вероятността от настъпване на риска</w:t>
      </w:r>
    </w:p>
    <w:p w:rsidR="008255A3" w:rsidRPr="00EF021D" w:rsidRDefault="008255A3" w:rsidP="008255A3">
      <w:pPr>
        <w:spacing w:before="120" w:after="120"/>
        <w:jc w:val="both"/>
      </w:pPr>
      <w:r w:rsidRPr="00EF021D">
        <w:t xml:space="preserve">Възможният ефект от даден риск трябва да бъде свързан с вероятността от възникването му. Затова допусканите параметри и процедурите, които </w:t>
      </w:r>
      <w:r>
        <w:t xml:space="preserve">е необходимо да </w:t>
      </w:r>
      <w:r w:rsidRPr="00EF021D">
        <w:t>се следват при оценяване на възможностите, трябва да бъдат логични и добре документирани.</w:t>
      </w:r>
    </w:p>
    <w:p w:rsidR="008255A3" w:rsidRDefault="008255A3" w:rsidP="008255A3">
      <w:pPr>
        <w:spacing w:before="120" w:after="120"/>
        <w:jc w:val="both"/>
      </w:pPr>
      <w:r w:rsidRPr="00EF021D">
        <w:t xml:space="preserve">Както оценката на влиянието на рисковете, така и категоризация на вероятността от настъпването им е полезен метод за залагане на приоритети в този процес (напр. </w:t>
      </w:r>
      <w:r w:rsidRPr="00550B81">
        <w:rPr>
          <w:i/>
        </w:rPr>
        <w:t>често срещан, възможен, вероятен, отдалечен, невъзможен</w:t>
      </w:r>
      <w:r w:rsidRPr="00EF021D">
        <w:t>).</w:t>
      </w:r>
    </w:p>
    <w:p w:rsidR="008255A3" w:rsidRPr="00EF021D" w:rsidRDefault="008255A3" w:rsidP="008255A3">
      <w:pPr>
        <w:spacing w:before="120" w:after="120"/>
        <w:jc w:val="both"/>
      </w:pPr>
    </w:p>
    <w:p w:rsidR="008255A3" w:rsidRPr="00550B81" w:rsidRDefault="008255A3" w:rsidP="008255A3">
      <w:pPr>
        <w:spacing w:before="120" w:after="120"/>
        <w:jc w:val="both"/>
        <w:rPr>
          <w:b/>
          <w:bCs/>
          <w:i/>
        </w:rPr>
      </w:pPr>
      <w:r w:rsidRPr="00550B81">
        <w:rPr>
          <w:b/>
          <w:bCs/>
          <w:i/>
        </w:rPr>
        <w:t xml:space="preserve">Матрица на рисковете </w:t>
      </w:r>
    </w:p>
    <w:p w:rsidR="008255A3" w:rsidRPr="00EF021D" w:rsidRDefault="008255A3" w:rsidP="008255A3">
      <w:pPr>
        <w:spacing w:before="120" w:after="120"/>
        <w:jc w:val="both"/>
      </w:pPr>
      <w:r w:rsidRPr="00EF021D">
        <w:t xml:space="preserve">Логически, след оценката на идентифицираните рискове, се изготвя </w:t>
      </w:r>
      <w:r w:rsidRPr="00EF021D">
        <w:rPr>
          <w:i/>
        </w:rPr>
        <w:t>матрица на рисковете съгласно тяхното разпределение</w:t>
      </w:r>
      <w:r w:rsidRPr="00EF021D">
        <w:t xml:space="preserve"> според важността им и вероятността от настъпване.</w:t>
      </w:r>
    </w:p>
    <w:tbl>
      <w:tblPr>
        <w:tblW w:w="0" w:type="auto"/>
        <w:jc w:val="cente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1861"/>
        <w:gridCol w:w="1852"/>
        <w:gridCol w:w="1757"/>
        <w:gridCol w:w="1783"/>
        <w:gridCol w:w="1804"/>
      </w:tblGrid>
      <w:tr w:rsidR="008255A3" w:rsidRPr="00EF021D" w:rsidTr="00187165">
        <w:trPr>
          <w:tblCellSpacing w:w="20" w:type="dxa"/>
          <w:jc w:val="center"/>
        </w:trPr>
        <w:tc>
          <w:tcPr>
            <w:tcW w:w="1836" w:type="dxa"/>
            <w:vMerge w:val="restart"/>
            <w:shd w:val="clear" w:color="auto" w:fill="DAEEF3"/>
            <w:vAlign w:val="center"/>
          </w:tcPr>
          <w:p w:rsidR="008255A3" w:rsidRPr="00EF021D" w:rsidRDefault="008255A3" w:rsidP="00187165">
            <w:pPr>
              <w:spacing w:before="60" w:after="60"/>
              <w:rPr>
                <w:b/>
                <w:lang w:eastAsia="bg-BG"/>
              </w:rPr>
            </w:pPr>
            <w:r w:rsidRPr="00EF021D">
              <w:rPr>
                <w:b/>
                <w:lang w:eastAsia="bg-BG"/>
              </w:rPr>
              <w:t>Вероятност от възникване</w:t>
            </w:r>
          </w:p>
        </w:tc>
        <w:tc>
          <w:tcPr>
            <w:tcW w:w="7442" w:type="dxa"/>
            <w:gridSpan w:val="4"/>
            <w:shd w:val="clear" w:color="auto" w:fill="DAEEF3"/>
            <w:vAlign w:val="center"/>
          </w:tcPr>
          <w:p w:rsidR="008255A3" w:rsidRPr="00EF021D" w:rsidRDefault="008255A3" w:rsidP="00187165">
            <w:pPr>
              <w:spacing w:before="60" w:after="60"/>
              <w:jc w:val="center"/>
              <w:rPr>
                <w:b/>
                <w:lang w:eastAsia="bg-BG"/>
              </w:rPr>
            </w:pPr>
            <w:r w:rsidRPr="00EF021D">
              <w:rPr>
                <w:b/>
                <w:lang w:eastAsia="bg-BG"/>
              </w:rPr>
              <w:t>Важност на риска/влияние</w:t>
            </w:r>
          </w:p>
        </w:tc>
      </w:tr>
      <w:tr w:rsidR="008255A3" w:rsidRPr="00EF021D" w:rsidTr="00187165">
        <w:trPr>
          <w:tblCellSpacing w:w="20" w:type="dxa"/>
          <w:jc w:val="center"/>
        </w:trPr>
        <w:tc>
          <w:tcPr>
            <w:tcW w:w="1836" w:type="dxa"/>
            <w:vMerge/>
            <w:shd w:val="clear" w:color="auto" w:fill="DAEEF3"/>
          </w:tcPr>
          <w:p w:rsidR="008255A3" w:rsidRPr="00EF021D" w:rsidRDefault="008255A3" w:rsidP="00187165">
            <w:pPr>
              <w:spacing w:before="60" w:after="60"/>
              <w:jc w:val="both"/>
              <w:rPr>
                <w:lang w:eastAsia="bg-BG"/>
              </w:rPr>
            </w:pPr>
          </w:p>
        </w:tc>
        <w:tc>
          <w:tcPr>
            <w:tcW w:w="1838" w:type="dxa"/>
            <w:shd w:val="clear" w:color="auto" w:fill="DAEEF3"/>
            <w:vAlign w:val="center"/>
          </w:tcPr>
          <w:p w:rsidR="008255A3" w:rsidRPr="00EF021D" w:rsidRDefault="008255A3" w:rsidP="00187165">
            <w:pPr>
              <w:spacing w:before="60" w:after="60"/>
              <w:jc w:val="center"/>
              <w:rPr>
                <w:lang w:eastAsia="bg-BG"/>
              </w:rPr>
            </w:pPr>
            <w:r w:rsidRPr="00EF021D">
              <w:rPr>
                <w:b/>
                <w:lang w:eastAsia="bg-BG"/>
              </w:rPr>
              <w:t>Пренебрежим</w:t>
            </w:r>
          </w:p>
        </w:tc>
        <w:tc>
          <w:tcPr>
            <w:tcW w:w="1825" w:type="dxa"/>
            <w:shd w:val="clear" w:color="auto" w:fill="DAEEF3"/>
            <w:vAlign w:val="center"/>
          </w:tcPr>
          <w:p w:rsidR="008255A3" w:rsidRPr="00EF021D" w:rsidRDefault="008255A3" w:rsidP="00187165">
            <w:pPr>
              <w:spacing w:before="60" w:after="60"/>
              <w:jc w:val="center"/>
              <w:rPr>
                <w:lang w:eastAsia="bg-BG"/>
              </w:rPr>
            </w:pPr>
            <w:r w:rsidRPr="00EF021D">
              <w:rPr>
                <w:b/>
                <w:lang w:eastAsia="bg-BG"/>
              </w:rPr>
              <w:t>Умерен</w:t>
            </w:r>
          </w:p>
        </w:tc>
        <w:tc>
          <w:tcPr>
            <w:tcW w:w="1829" w:type="dxa"/>
            <w:shd w:val="clear" w:color="auto" w:fill="DAEEF3"/>
            <w:vAlign w:val="center"/>
          </w:tcPr>
          <w:p w:rsidR="008255A3" w:rsidRPr="00EF021D" w:rsidRDefault="008255A3" w:rsidP="00187165">
            <w:pPr>
              <w:spacing w:before="60" w:after="60"/>
              <w:jc w:val="center"/>
              <w:rPr>
                <w:lang w:eastAsia="bg-BG"/>
              </w:rPr>
            </w:pPr>
            <w:r w:rsidRPr="00EF021D">
              <w:rPr>
                <w:b/>
                <w:lang w:eastAsia="bg-BG"/>
              </w:rPr>
              <w:t>Сериозен</w:t>
            </w:r>
          </w:p>
        </w:tc>
        <w:tc>
          <w:tcPr>
            <w:tcW w:w="1830" w:type="dxa"/>
            <w:shd w:val="clear" w:color="auto" w:fill="DAEEF3"/>
            <w:vAlign w:val="center"/>
          </w:tcPr>
          <w:p w:rsidR="008255A3" w:rsidRPr="00EF021D" w:rsidRDefault="008255A3" w:rsidP="00187165">
            <w:pPr>
              <w:spacing w:before="60" w:after="60"/>
              <w:jc w:val="center"/>
              <w:rPr>
                <w:lang w:eastAsia="bg-BG"/>
              </w:rPr>
            </w:pPr>
            <w:r w:rsidRPr="00EF021D">
              <w:rPr>
                <w:b/>
                <w:lang w:eastAsia="bg-BG"/>
              </w:rPr>
              <w:t>Критичен</w:t>
            </w:r>
          </w:p>
        </w:tc>
      </w:tr>
      <w:tr w:rsidR="008255A3" w:rsidRPr="00EF021D" w:rsidTr="00187165">
        <w:trPr>
          <w:tblCellSpacing w:w="20" w:type="dxa"/>
          <w:jc w:val="center"/>
        </w:trPr>
        <w:tc>
          <w:tcPr>
            <w:tcW w:w="1836" w:type="dxa"/>
            <w:vAlign w:val="center"/>
          </w:tcPr>
          <w:p w:rsidR="008255A3" w:rsidRPr="00EF021D" w:rsidRDefault="008255A3" w:rsidP="00187165">
            <w:pPr>
              <w:spacing w:before="60" w:after="60"/>
              <w:rPr>
                <w:lang w:eastAsia="bg-BG"/>
              </w:rPr>
            </w:pPr>
            <w:r w:rsidRPr="00EF021D">
              <w:rPr>
                <w:lang w:eastAsia="bg-BG"/>
              </w:rPr>
              <w:t>A (</w:t>
            </w:r>
            <w:r w:rsidRPr="00EF021D">
              <w:rPr>
                <w:i/>
                <w:lang w:eastAsia="bg-BG"/>
              </w:rPr>
              <w:t>често срещан)</w:t>
            </w:r>
          </w:p>
        </w:tc>
        <w:tc>
          <w:tcPr>
            <w:tcW w:w="1838" w:type="dxa"/>
            <w:shd w:val="clear" w:color="auto" w:fill="A6A6A6"/>
            <w:vAlign w:val="center"/>
          </w:tcPr>
          <w:p w:rsidR="008255A3" w:rsidRPr="00EF021D" w:rsidRDefault="008255A3" w:rsidP="00187165">
            <w:pPr>
              <w:spacing w:before="60" w:after="60"/>
              <w:jc w:val="center"/>
              <w:rPr>
                <w:b/>
                <w:lang w:eastAsia="bg-BG"/>
              </w:rPr>
            </w:pPr>
            <w:r w:rsidRPr="00EF021D">
              <w:rPr>
                <w:b/>
                <w:lang w:eastAsia="bg-BG"/>
              </w:rPr>
              <w:t>С</w:t>
            </w:r>
          </w:p>
        </w:tc>
        <w:tc>
          <w:tcPr>
            <w:tcW w:w="1825" w:type="dxa"/>
            <w:shd w:val="clear" w:color="auto" w:fill="A6A6A6"/>
            <w:vAlign w:val="center"/>
          </w:tcPr>
          <w:p w:rsidR="008255A3" w:rsidRPr="00EF021D" w:rsidRDefault="008255A3" w:rsidP="00187165">
            <w:pPr>
              <w:spacing w:before="60" w:after="60"/>
              <w:jc w:val="center"/>
              <w:rPr>
                <w:b/>
                <w:lang w:eastAsia="bg-BG"/>
              </w:rPr>
            </w:pPr>
            <w:r w:rsidRPr="00EF021D">
              <w:rPr>
                <w:b/>
                <w:lang w:eastAsia="bg-BG"/>
              </w:rPr>
              <w:t>С</w:t>
            </w:r>
          </w:p>
        </w:tc>
        <w:tc>
          <w:tcPr>
            <w:tcW w:w="1829" w:type="dxa"/>
            <w:shd w:val="clear" w:color="auto" w:fill="808080"/>
            <w:vAlign w:val="center"/>
          </w:tcPr>
          <w:p w:rsidR="008255A3" w:rsidRPr="00EF021D" w:rsidRDefault="008255A3" w:rsidP="00187165">
            <w:pPr>
              <w:spacing w:before="60" w:after="60"/>
              <w:jc w:val="center"/>
              <w:rPr>
                <w:b/>
                <w:lang w:eastAsia="bg-BG"/>
              </w:rPr>
            </w:pPr>
            <w:r w:rsidRPr="00EF021D">
              <w:rPr>
                <w:b/>
                <w:lang w:eastAsia="bg-BG"/>
              </w:rPr>
              <w:t>К</w:t>
            </w:r>
          </w:p>
        </w:tc>
        <w:tc>
          <w:tcPr>
            <w:tcW w:w="1830" w:type="dxa"/>
            <w:shd w:val="clear" w:color="auto" w:fill="808080"/>
            <w:vAlign w:val="center"/>
          </w:tcPr>
          <w:p w:rsidR="008255A3" w:rsidRPr="00EF021D" w:rsidRDefault="008255A3" w:rsidP="00187165">
            <w:pPr>
              <w:spacing w:before="60" w:after="60"/>
              <w:jc w:val="center"/>
              <w:rPr>
                <w:b/>
                <w:lang w:eastAsia="bg-BG"/>
              </w:rPr>
            </w:pPr>
            <w:r w:rsidRPr="00EF021D">
              <w:rPr>
                <w:b/>
                <w:lang w:eastAsia="bg-BG"/>
              </w:rPr>
              <w:t>К</w:t>
            </w:r>
          </w:p>
        </w:tc>
      </w:tr>
      <w:tr w:rsidR="008255A3" w:rsidRPr="00EF021D" w:rsidTr="00187165">
        <w:trPr>
          <w:tblCellSpacing w:w="20" w:type="dxa"/>
          <w:jc w:val="center"/>
        </w:trPr>
        <w:tc>
          <w:tcPr>
            <w:tcW w:w="1836" w:type="dxa"/>
            <w:vAlign w:val="center"/>
          </w:tcPr>
          <w:p w:rsidR="008255A3" w:rsidRPr="00EF021D" w:rsidRDefault="008255A3" w:rsidP="00187165">
            <w:pPr>
              <w:spacing w:before="60" w:after="60"/>
              <w:rPr>
                <w:lang w:eastAsia="bg-BG"/>
              </w:rPr>
            </w:pPr>
            <w:r w:rsidRPr="00EF021D">
              <w:rPr>
                <w:lang w:eastAsia="bg-BG"/>
              </w:rPr>
              <w:t>B (</w:t>
            </w:r>
            <w:r w:rsidRPr="00EF021D">
              <w:rPr>
                <w:i/>
                <w:lang w:eastAsia="bg-BG"/>
              </w:rPr>
              <w:t>възможен)</w:t>
            </w:r>
          </w:p>
        </w:tc>
        <w:tc>
          <w:tcPr>
            <w:tcW w:w="1838" w:type="dxa"/>
            <w:shd w:val="clear" w:color="auto" w:fill="D9D9D9"/>
            <w:vAlign w:val="center"/>
          </w:tcPr>
          <w:p w:rsidR="008255A3" w:rsidRPr="00EF021D" w:rsidRDefault="008255A3" w:rsidP="00187165">
            <w:pPr>
              <w:spacing w:before="60" w:after="60"/>
              <w:jc w:val="center"/>
              <w:rPr>
                <w:b/>
                <w:lang w:eastAsia="bg-BG"/>
              </w:rPr>
            </w:pPr>
            <w:r w:rsidRPr="00EF021D">
              <w:rPr>
                <w:b/>
                <w:lang w:eastAsia="bg-BG"/>
              </w:rPr>
              <w:t>У</w:t>
            </w:r>
          </w:p>
        </w:tc>
        <w:tc>
          <w:tcPr>
            <w:tcW w:w="1825" w:type="dxa"/>
            <w:shd w:val="clear" w:color="auto" w:fill="A6A6A6"/>
            <w:vAlign w:val="center"/>
          </w:tcPr>
          <w:p w:rsidR="008255A3" w:rsidRPr="00EF021D" w:rsidRDefault="008255A3" w:rsidP="00187165">
            <w:pPr>
              <w:spacing w:before="60" w:after="60"/>
              <w:jc w:val="center"/>
              <w:rPr>
                <w:b/>
                <w:lang w:eastAsia="bg-BG"/>
              </w:rPr>
            </w:pPr>
            <w:r w:rsidRPr="00EF021D">
              <w:rPr>
                <w:b/>
                <w:lang w:eastAsia="bg-BG"/>
              </w:rPr>
              <w:t>С</w:t>
            </w:r>
          </w:p>
        </w:tc>
        <w:tc>
          <w:tcPr>
            <w:tcW w:w="1829" w:type="dxa"/>
            <w:shd w:val="clear" w:color="auto" w:fill="A6A6A6"/>
            <w:vAlign w:val="center"/>
          </w:tcPr>
          <w:p w:rsidR="008255A3" w:rsidRPr="00EF021D" w:rsidRDefault="008255A3" w:rsidP="00187165">
            <w:pPr>
              <w:spacing w:before="60" w:after="60"/>
              <w:jc w:val="center"/>
              <w:rPr>
                <w:b/>
                <w:lang w:eastAsia="bg-BG"/>
              </w:rPr>
            </w:pPr>
            <w:r w:rsidRPr="00EF021D">
              <w:rPr>
                <w:b/>
                <w:lang w:eastAsia="bg-BG"/>
              </w:rPr>
              <w:t>С</w:t>
            </w:r>
          </w:p>
        </w:tc>
        <w:tc>
          <w:tcPr>
            <w:tcW w:w="1830" w:type="dxa"/>
            <w:shd w:val="clear" w:color="auto" w:fill="808080"/>
            <w:vAlign w:val="center"/>
          </w:tcPr>
          <w:p w:rsidR="008255A3" w:rsidRPr="00EF021D" w:rsidRDefault="008255A3" w:rsidP="00187165">
            <w:pPr>
              <w:spacing w:before="60" w:after="60"/>
              <w:jc w:val="center"/>
              <w:rPr>
                <w:b/>
                <w:lang w:eastAsia="bg-BG"/>
              </w:rPr>
            </w:pPr>
            <w:r w:rsidRPr="00EF021D">
              <w:rPr>
                <w:b/>
                <w:lang w:eastAsia="bg-BG"/>
              </w:rPr>
              <w:t>К</w:t>
            </w:r>
          </w:p>
        </w:tc>
      </w:tr>
      <w:tr w:rsidR="008255A3" w:rsidRPr="00EF021D" w:rsidTr="00187165">
        <w:trPr>
          <w:tblCellSpacing w:w="20" w:type="dxa"/>
          <w:jc w:val="center"/>
        </w:trPr>
        <w:tc>
          <w:tcPr>
            <w:tcW w:w="1836" w:type="dxa"/>
            <w:vAlign w:val="center"/>
          </w:tcPr>
          <w:p w:rsidR="008255A3" w:rsidRPr="00EF021D" w:rsidRDefault="008255A3" w:rsidP="00187165">
            <w:pPr>
              <w:spacing w:before="60" w:after="60"/>
              <w:rPr>
                <w:lang w:eastAsia="bg-BG"/>
              </w:rPr>
            </w:pPr>
            <w:r w:rsidRPr="00EF021D">
              <w:rPr>
                <w:lang w:eastAsia="bg-BG"/>
              </w:rPr>
              <w:t>C (</w:t>
            </w:r>
            <w:r w:rsidRPr="00EF021D">
              <w:rPr>
                <w:i/>
                <w:lang w:eastAsia="bg-BG"/>
              </w:rPr>
              <w:t>вероятен)</w:t>
            </w:r>
          </w:p>
        </w:tc>
        <w:tc>
          <w:tcPr>
            <w:tcW w:w="1838" w:type="dxa"/>
            <w:vAlign w:val="center"/>
          </w:tcPr>
          <w:p w:rsidR="008255A3" w:rsidRPr="00EF021D" w:rsidRDefault="008255A3" w:rsidP="00187165">
            <w:pPr>
              <w:spacing w:before="60" w:after="60"/>
              <w:jc w:val="center"/>
              <w:rPr>
                <w:b/>
                <w:lang w:eastAsia="bg-BG"/>
              </w:rPr>
            </w:pPr>
            <w:r w:rsidRPr="00EF021D">
              <w:rPr>
                <w:b/>
                <w:lang w:eastAsia="bg-BG"/>
              </w:rPr>
              <w:t>П</w:t>
            </w:r>
          </w:p>
        </w:tc>
        <w:tc>
          <w:tcPr>
            <w:tcW w:w="1825" w:type="dxa"/>
            <w:shd w:val="clear" w:color="auto" w:fill="D9D9D9"/>
            <w:vAlign w:val="center"/>
          </w:tcPr>
          <w:p w:rsidR="008255A3" w:rsidRPr="00EF021D" w:rsidRDefault="008255A3" w:rsidP="00187165">
            <w:pPr>
              <w:spacing w:before="60" w:after="60"/>
              <w:jc w:val="center"/>
              <w:rPr>
                <w:b/>
                <w:lang w:eastAsia="bg-BG"/>
              </w:rPr>
            </w:pPr>
            <w:r w:rsidRPr="00EF021D">
              <w:rPr>
                <w:b/>
                <w:lang w:eastAsia="bg-BG"/>
              </w:rPr>
              <w:t>У</w:t>
            </w:r>
          </w:p>
        </w:tc>
        <w:tc>
          <w:tcPr>
            <w:tcW w:w="1829" w:type="dxa"/>
            <w:shd w:val="clear" w:color="auto" w:fill="A6A6A6"/>
            <w:vAlign w:val="center"/>
          </w:tcPr>
          <w:p w:rsidR="008255A3" w:rsidRPr="00EF021D" w:rsidRDefault="008255A3" w:rsidP="00187165">
            <w:pPr>
              <w:spacing w:before="60" w:after="60"/>
              <w:jc w:val="center"/>
              <w:rPr>
                <w:b/>
                <w:lang w:eastAsia="bg-BG"/>
              </w:rPr>
            </w:pPr>
            <w:r w:rsidRPr="00EF021D">
              <w:rPr>
                <w:b/>
                <w:lang w:eastAsia="bg-BG"/>
              </w:rPr>
              <w:t>С</w:t>
            </w:r>
          </w:p>
        </w:tc>
        <w:tc>
          <w:tcPr>
            <w:tcW w:w="1830" w:type="dxa"/>
            <w:shd w:val="clear" w:color="auto" w:fill="A6A6A6"/>
            <w:vAlign w:val="center"/>
          </w:tcPr>
          <w:p w:rsidR="008255A3" w:rsidRPr="00EF021D" w:rsidRDefault="008255A3" w:rsidP="00187165">
            <w:pPr>
              <w:spacing w:before="60" w:after="60"/>
              <w:jc w:val="center"/>
              <w:rPr>
                <w:b/>
                <w:lang w:eastAsia="bg-BG"/>
              </w:rPr>
            </w:pPr>
            <w:r w:rsidRPr="00EF021D">
              <w:rPr>
                <w:b/>
                <w:lang w:eastAsia="bg-BG"/>
              </w:rPr>
              <w:t>С</w:t>
            </w:r>
          </w:p>
        </w:tc>
      </w:tr>
      <w:tr w:rsidR="008255A3" w:rsidRPr="00EF021D" w:rsidTr="00187165">
        <w:trPr>
          <w:tblCellSpacing w:w="20" w:type="dxa"/>
          <w:jc w:val="center"/>
        </w:trPr>
        <w:tc>
          <w:tcPr>
            <w:tcW w:w="1836" w:type="dxa"/>
            <w:vAlign w:val="center"/>
          </w:tcPr>
          <w:p w:rsidR="008255A3" w:rsidRPr="00EF021D" w:rsidRDefault="008255A3" w:rsidP="00187165">
            <w:pPr>
              <w:spacing w:before="60" w:after="60"/>
              <w:rPr>
                <w:lang w:eastAsia="bg-BG"/>
              </w:rPr>
            </w:pPr>
            <w:r w:rsidRPr="00EF021D">
              <w:rPr>
                <w:lang w:eastAsia="bg-BG"/>
              </w:rPr>
              <w:t>D (</w:t>
            </w:r>
            <w:r w:rsidRPr="00EF021D">
              <w:rPr>
                <w:i/>
                <w:lang w:eastAsia="bg-BG"/>
              </w:rPr>
              <w:t>отдалечен)</w:t>
            </w:r>
          </w:p>
        </w:tc>
        <w:tc>
          <w:tcPr>
            <w:tcW w:w="1838" w:type="dxa"/>
            <w:vAlign w:val="center"/>
          </w:tcPr>
          <w:p w:rsidR="008255A3" w:rsidRPr="00EF021D" w:rsidRDefault="008255A3" w:rsidP="00187165">
            <w:pPr>
              <w:spacing w:before="60" w:after="60"/>
              <w:jc w:val="center"/>
              <w:rPr>
                <w:b/>
                <w:lang w:eastAsia="bg-BG"/>
              </w:rPr>
            </w:pPr>
            <w:r w:rsidRPr="00EF021D">
              <w:rPr>
                <w:b/>
                <w:lang w:eastAsia="bg-BG"/>
              </w:rPr>
              <w:t>П</w:t>
            </w:r>
          </w:p>
        </w:tc>
        <w:tc>
          <w:tcPr>
            <w:tcW w:w="1825" w:type="dxa"/>
            <w:vAlign w:val="center"/>
          </w:tcPr>
          <w:p w:rsidR="008255A3" w:rsidRPr="00EF021D" w:rsidRDefault="008255A3" w:rsidP="00187165">
            <w:pPr>
              <w:spacing w:before="60" w:after="60"/>
              <w:jc w:val="center"/>
              <w:rPr>
                <w:b/>
                <w:lang w:eastAsia="bg-BG"/>
              </w:rPr>
            </w:pPr>
            <w:r w:rsidRPr="00EF021D">
              <w:rPr>
                <w:b/>
                <w:lang w:eastAsia="bg-BG"/>
              </w:rPr>
              <w:t>П</w:t>
            </w:r>
          </w:p>
        </w:tc>
        <w:tc>
          <w:tcPr>
            <w:tcW w:w="1829" w:type="dxa"/>
            <w:shd w:val="clear" w:color="auto" w:fill="D9D9D9"/>
            <w:vAlign w:val="center"/>
          </w:tcPr>
          <w:p w:rsidR="008255A3" w:rsidRPr="00EF021D" w:rsidRDefault="008255A3" w:rsidP="00187165">
            <w:pPr>
              <w:spacing w:before="60" w:after="60"/>
              <w:jc w:val="center"/>
              <w:rPr>
                <w:b/>
                <w:lang w:eastAsia="bg-BG"/>
              </w:rPr>
            </w:pPr>
            <w:r w:rsidRPr="00EF021D">
              <w:rPr>
                <w:b/>
                <w:lang w:eastAsia="bg-BG"/>
              </w:rPr>
              <w:t>У</w:t>
            </w:r>
          </w:p>
        </w:tc>
        <w:tc>
          <w:tcPr>
            <w:tcW w:w="1830" w:type="dxa"/>
            <w:shd w:val="clear" w:color="auto" w:fill="A6A6A6"/>
            <w:vAlign w:val="center"/>
          </w:tcPr>
          <w:p w:rsidR="008255A3" w:rsidRPr="00EF021D" w:rsidRDefault="008255A3" w:rsidP="00187165">
            <w:pPr>
              <w:spacing w:before="60" w:after="60"/>
              <w:jc w:val="center"/>
              <w:rPr>
                <w:b/>
                <w:lang w:eastAsia="bg-BG"/>
              </w:rPr>
            </w:pPr>
            <w:r w:rsidRPr="00EF021D">
              <w:rPr>
                <w:b/>
                <w:lang w:eastAsia="bg-BG"/>
              </w:rPr>
              <w:t>С</w:t>
            </w:r>
          </w:p>
        </w:tc>
      </w:tr>
      <w:tr w:rsidR="008255A3" w:rsidRPr="00EF021D" w:rsidTr="00187165">
        <w:trPr>
          <w:tblCellSpacing w:w="20" w:type="dxa"/>
          <w:jc w:val="center"/>
        </w:trPr>
        <w:tc>
          <w:tcPr>
            <w:tcW w:w="1836" w:type="dxa"/>
            <w:vAlign w:val="center"/>
          </w:tcPr>
          <w:p w:rsidR="008255A3" w:rsidRPr="00EF021D" w:rsidRDefault="008255A3" w:rsidP="00187165">
            <w:pPr>
              <w:spacing w:before="60" w:after="60"/>
              <w:rPr>
                <w:lang w:eastAsia="bg-BG"/>
              </w:rPr>
            </w:pPr>
            <w:r w:rsidRPr="00EF021D">
              <w:rPr>
                <w:lang w:eastAsia="bg-BG"/>
              </w:rPr>
              <w:t>E (</w:t>
            </w:r>
            <w:r w:rsidRPr="00EF021D">
              <w:rPr>
                <w:i/>
                <w:lang w:eastAsia="bg-BG"/>
              </w:rPr>
              <w:t>невъзможен)</w:t>
            </w:r>
          </w:p>
        </w:tc>
        <w:tc>
          <w:tcPr>
            <w:tcW w:w="1838" w:type="dxa"/>
            <w:vAlign w:val="center"/>
          </w:tcPr>
          <w:p w:rsidR="008255A3" w:rsidRPr="00EF021D" w:rsidRDefault="008255A3" w:rsidP="00187165">
            <w:pPr>
              <w:spacing w:before="60" w:after="60"/>
              <w:jc w:val="center"/>
              <w:rPr>
                <w:b/>
                <w:lang w:eastAsia="bg-BG"/>
              </w:rPr>
            </w:pPr>
            <w:r w:rsidRPr="00EF021D">
              <w:rPr>
                <w:b/>
                <w:lang w:eastAsia="bg-BG"/>
              </w:rPr>
              <w:t>П</w:t>
            </w:r>
          </w:p>
        </w:tc>
        <w:tc>
          <w:tcPr>
            <w:tcW w:w="1825" w:type="dxa"/>
            <w:vAlign w:val="center"/>
          </w:tcPr>
          <w:p w:rsidR="008255A3" w:rsidRPr="00EF021D" w:rsidRDefault="008255A3" w:rsidP="00187165">
            <w:pPr>
              <w:spacing w:before="60" w:after="60"/>
              <w:jc w:val="center"/>
              <w:rPr>
                <w:b/>
                <w:lang w:eastAsia="bg-BG"/>
              </w:rPr>
            </w:pPr>
            <w:r w:rsidRPr="00EF021D">
              <w:rPr>
                <w:b/>
                <w:lang w:eastAsia="bg-BG"/>
              </w:rPr>
              <w:t>П</w:t>
            </w:r>
          </w:p>
        </w:tc>
        <w:tc>
          <w:tcPr>
            <w:tcW w:w="1829" w:type="dxa"/>
            <w:vAlign w:val="center"/>
          </w:tcPr>
          <w:p w:rsidR="008255A3" w:rsidRPr="00EF021D" w:rsidRDefault="008255A3" w:rsidP="00187165">
            <w:pPr>
              <w:spacing w:before="60" w:after="60"/>
              <w:jc w:val="center"/>
              <w:rPr>
                <w:b/>
                <w:lang w:eastAsia="bg-BG"/>
              </w:rPr>
            </w:pPr>
            <w:r w:rsidRPr="00EF021D">
              <w:rPr>
                <w:b/>
                <w:lang w:eastAsia="bg-BG"/>
              </w:rPr>
              <w:t>П</w:t>
            </w:r>
          </w:p>
        </w:tc>
        <w:tc>
          <w:tcPr>
            <w:tcW w:w="1830" w:type="dxa"/>
            <w:shd w:val="clear" w:color="auto" w:fill="D9D9D9"/>
            <w:vAlign w:val="center"/>
          </w:tcPr>
          <w:p w:rsidR="008255A3" w:rsidRPr="00EF021D" w:rsidRDefault="008255A3" w:rsidP="00187165">
            <w:pPr>
              <w:keepNext/>
              <w:spacing w:before="60" w:after="60"/>
              <w:jc w:val="center"/>
              <w:rPr>
                <w:b/>
                <w:lang w:eastAsia="bg-BG"/>
              </w:rPr>
            </w:pPr>
            <w:r w:rsidRPr="00EF021D">
              <w:rPr>
                <w:b/>
                <w:lang w:eastAsia="bg-BG"/>
              </w:rPr>
              <w:t>У</w:t>
            </w:r>
          </w:p>
        </w:tc>
      </w:tr>
    </w:tbl>
    <w:p w:rsidR="008255A3" w:rsidRPr="00EF021D" w:rsidRDefault="008255A3" w:rsidP="008255A3">
      <w:pPr>
        <w:spacing w:line="360" w:lineRule="auto"/>
        <w:ind w:left="784"/>
        <w:jc w:val="both"/>
        <w:rPr>
          <w:b/>
          <w:lang w:eastAsia="bg-BG"/>
        </w:rPr>
      </w:pPr>
    </w:p>
    <w:p w:rsidR="008255A3" w:rsidRPr="00655982" w:rsidRDefault="008255A3" w:rsidP="008255A3">
      <w:pPr>
        <w:spacing w:before="120" w:after="120"/>
        <w:jc w:val="both"/>
        <w:rPr>
          <w:b/>
          <w:bCs/>
          <w:i/>
        </w:rPr>
      </w:pPr>
      <w:r w:rsidRPr="00655982">
        <w:rPr>
          <w:b/>
          <w:bCs/>
          <w:i/>
        </w:rPr>
        <w:t>План за управление на риска</w:t>
      </w:r>
    </w:p>
    <w:p w:rsidR="008255A3" w:rsidRPr="00655982" w:rsidRDefault="008255A3" w:rsidP="008255A3">
      <w:pPr>
        <w:spacing w:after="120"/>
        <w:jc w:val="both"/>
        <w:rPr>
          <w:rFonts w:ascii="Calibri" w:eastAsia="Calibri" w:hAnsi="Calibri" w:cs="Times New Roman"/>
        </w:rPr>
      </w:pPr>
      <w:r>
        <w:t>Основните методи за управление на риска са</w:t>
      </w:r>
      <w:r w:rsidRPr="00655982">
        <w:rPr>
          <w:rFonts w:ascii="Calibri" w:eastAsia="Calibri" w:hAnsi="Calibri" w:cs="Times New Roman"/>
        </w:rPr>
        <w:t>:</w:t>
      </w:r>
    </w:p>
    <w:p w:rsidR="008255A3" w:rsidRDefault="008255A3" w:rsidP="008255A3">
      <w:pPr>
        <w:numPr>
          <w:ilvl w:val="0"/>
          <w:numId w:val="151"/>
        </w:numPr>
        <w:shd w:val="clear" w:color="auto" w:fill="FFFFFF"/>
        <w:spacing w:after="0" w:line="240" w:lineRule="auto"/>
        <w:jc w:val="both"/>
      </w:pPr>
      <w:r w:rsidRPr="00655982">
        <w:rPr>
          <w:i/>
        </w:rPr>
        <w:t>Избягване на риска</w:t>
      </w:r>
      <w:r>
        <w:t xml:space="preserve"> - р</w:t>
      </w:r>
      <w:r w:rsidRPr="00655982">
        <w:t xml:space="preserve">еинженеринг </w:t>
      </w:r>
      <w:r>
        <w:t xml:space="preserve">на </w:t>
      </w:r>
      <w:r w:rsidRPr="00655982">
        <w:t>процес или дейност, така че да се избегне появата на риска</w:t>
      </w:r>
    </w:p>
    <w:p w:rsidR="008255A3" w:rsidRDefault="008255A3" w:rsidP="008255A3">
      <w:pPr>
        <w:numPr>
          <w:ilvl w:val="0"/>
          <w:numId w:val="151"/>
        </w:numPr>
        <w:shd w:val="clear" w:color="auto" w:fill="FFFFFF"/>
        <w:spacing w:after="0" w:line="240" w:lineRule="auto"/>
        <w:jc w:val="both"/>
      </w:pPr>
      <w:r w:rsidRPr="00655982">
        <w:rPr>
          <w:i/>
        </w:rPr>
        <w:t>Диверсификация на риска</w:t>
      </w:r>
      <w:r>
        <w:t xml:space="preserve"> - </w:t>
      </w:r>
      <w:r w:rsidRPr="00655982">
        <w:t xml:space="preserve"> </w:t>
      </w:r>
      <w:r>
        <w:t>прехвърляне и разпределяне на риска на различни нива, за да се избегне първоначалния висок риск на едно ниво</w:t>
      </w:r>
    </w:p>
    <w:p w:rsidR="008255A3" w:rsidRDefault="008255A3" w:rsidP="008255A3">
      <w:pPr>
        <w:numPr>
          <w:ilvl w:val="0"/>
          <w:numId w:val="151"/>
        </w:numPr>
        <w:shd w:val="clear" w:color="auto" w:fill="FFFFFF"/>
        <w:spacing w:after="0" w:line="240" w:lineRule="auto"/>
        <w:jc w:val="both"/>
      </w:pPr>
      <w:r>
        <w:rPr>
          <w:i/>
        </w:rPr>
        <w:t xml:space="preserve">Контролиране на риска </w:t>
      </w:r>
      <w:r>
        <w:t xml:space="preserve">– разработване и изпълнение на мерки за контрол за предотвратяване, идентифициране и коригиране на риска и последствията от него </w:t>
      </w:r>
    </w:p>
    <w:p w:rsidR="008255A3" w:rsidRDefault="008255A3" w:rsidP="008255A3">
      <w:pPr>
        <w:numPr>
          <w:ilvl w:val="0"/>
          <w:numId w:val="151"/>
        </w:numPr>
        <w:shd w:val="clear" w:color="auto" w:fill="FFFFFF"/>
        <w:spacing w:after="0" w:line="240" w:lineRule="auto"/>
        <w:jc w:val="both"/>
      </w:pPr>
      <w:r>
        <w:rPr>
          <w:i/>
        </w:rPr>
        <w:t xml:space="preserve">Споделяне на риска </w:t>
      </w:r>
      <w:r>
        <w:t>– с други бизнес партньори и договорни страни</w:t>
      </w:r>
    </w:p>
    <w:p w:rsidR="008255A3" w:rsidRDefault="008255A3" w:rsidP="008255A3">
      <w:pPr>
        <w:numPr>
          <w:ilvl w:val="0"/>
          <w:numId w:val="151"/>
        </w:numPr>
        <w:shd w:val="clear" w:color="auto" w:fill="FFFFFF"/>
        <w:spacing w:after="0" w:line="240" w:lineRule="auto"/>
        <w:jc w:val="both"/>
      </w:pPr>
      <w:r>
        <w:rPr>
          <w:i/>
        </w:rPr>
        <w:t xml:space="preserve">Прехвърляне на риска </w:t>
      </w:r>
      <w:r>
        <w:t>– към трета страна, чрез делегиране на функции</w:t>
      </w:r>
    </w:p>
    <w:p w:rsidR="008255A3" w:rsidRPr="00655982" w:rsidRDefault="008255A3" w:rsidP="008255A3">
      <w:pPr>
        <w:numPr>
          <w:ilvl w:val="0"/>
          <w:numId w:val="151"/>
        </w:numPr>
        <w:shd w:val="clear" w:color="auto" w:fill="FFFFFF"/>
        <w:spacing w:after="0" w:line="240" w:lineRule="auto"/>
        <w:jc w:val="both"/>
      </w:pPr>
      <w:r>
        <w:rPr>
          <w:i/>
        </w:rPr>
        <w:t xml:space="preserve">Приемане на риска </w:t>
      </w:r>
      <w:r>
        <w:t>– когато прилагането на други методи за управление са необсновано скъпи</w:t>
      </w:r>
    </w:p>
    <w:p w:rsidR="008255A3" w:rsidRDefault="008255A3" w:rsidP="008255A3">
      <w:pPr>
        <w:spacing w:after="120"/>
        <w:jc w:val="both"/>
      </w:pPr>
    </w:p>
    <w:p w:rsidR="008255A3" w:rsidRPr="00655982" w:rsidRDefault="008255A3" w:rsidP="008255A3">
      <w:pPr>
        <w:spacing w:after="120"/>
        <w:jc w:val="both"/>
        <w:rPr>
          <w:rFonts w:ascii="Calibri" w:eastAsia="Calibri" w:hAnsi="Calibri" w:cs="Times New Roman"/>
        </w:rPr>
      </w:pPr>
      <w:r>
        <w:t>Изборът на най-подходящ метод включва балансиране между разходите за изпълнение на всяка една опция и потенциалните ползи</w:t>
      </w:r>
      <w:r w:rsidRPr="00655982">
        <w:rPr>
          <w:rFonts w:ascii="Calibri" w:eastAsia="Calibri" w:hAnsi="Calibri" w:cs="Times New Roman"/>
        </w:rPr>
        <w:t xml:space="preserve">. </w:t>
      </w:r>
      <w:r>
        <w:t>Като цяло, цената за управление на риска трябва да бъде пропорционална на получените ползи</w:t>
      </w:r>
      <w:r w:rsidRPr="00655982">
        <w:rPr>
          <w:rFonts w:ascii="Calibri" w:eastAsia="Calibri" w:hAnsi="Calibri" w:cs="Times New Roman"/>
        </w:rPr>
        <w:t xml:space="preserve">. </w:t>
      </w:r>
      <w:r>
        <w:t>Предпочитаните методи са тези, при които се постига значително намаление на риска на сравнително ниска цена.</w:t>
      </w:r>
    </w:p>
    <w:p w:rsidR="008255A3" w:rsidRPr="00655982" w:rsidRDefault="008255A3" w:rsidP="008255A3">
      <w:pPr>
        <w:spacing w:after="120"/>
        <w:jc w:val="both"/>
        <w:rPr>
          <w:rFonts w:ascii="Calibri" w:eastAsia="Calibri" w:hAnsi="Calibri" w:cs="Times New Roman"/>
        </w:rPr>
      </w:pPr>
      <w:r>
        <w:t>В повечето случаи е малко вероятно един единствен метод да е цялостното решение за управление на даден риск. Честно е необходимо да се използва комбинация от методи, напр. намаляване, прехвърляне  и мониторинг на риска.</w:t>
      </w:r>
    </w:p>
    <w:p w:rsidR="008255A3" w:rsidRDefault="008255A3" w:rsidP="008255A3">
      <w:pPr>
        <w:spacing w:after="120"/>
        <w:jc w:val="both"/>
      </w:pPr>
      <w:r>
        <w:t xml:space="preserve">Избраните методи следва да бъдат приложени в съответствие с плана за управление на риска. </w:t>
      </w:r>
    </w:p>
    <w:p w:rsidR="008255A3" w:rsidRPr="0065561E" w:rsidRDefault="008255A3" w:rsidP="008255A3">
      <w:pPr>
        <w:spacing w:after="120"/>
        <w:jc w:val="both"/>
        <w:rPr>
          <w:rFonts w:ascii="Calibri" w:eastAsia="Calibri" w:hAnsi="Calibri" w:cs="Times New Roman"/>
        </w:rPr>
      </w:pPr>
      <w:r>
        <w:t>Управлението на риска е продължителен процес. С цел гарантиране наблюдение на процеса по управление на риска, проследяване на мерките за преодоляване на рисковете и съответно ефективен контрол на риска, е необходимо да бъдат предприети следните действия:</w:t>
      </w:r>
    </w:p>
    <w:p w:rsidR="008255A3" w:rsidRDefault="008255A3" w:rsidP="008255A3">
      <w:pPr>
        <w:numPr>
          <w:ilvl w:val="0"/>
          <w:numId w:val="152"/>
        </w:numPr>
        <w:tabs>
          <w:tab w:val="clear" w:pos="2880"/>
          <w:tab w:val="num" w:pos="1980"/>
        </w:tabs>
        <w:spacing w:after="0" w:line="240" w:lineRule="auto"/>
        <w:ind w:left="851"/>
        <w:jc w:val="both"/>
      </w:pPr>
      <w:r>
        <w:t xml:space="preserve">Поддържане на база данни с рискове </w:t>
      </w:r>
    </w:p>
    <w:p w:rsidR="008255A3" w:rsidRDefault="008255A3" w:rsidP="008255A3">
      <w:pPr>
        <w:numPr>
          <w:ilvl w:val="0"/>
          <w:numId w:val="152"/>
        </w:numPr>
        <w:tabs>
          <w:tab w:val="clear" w:pos="2880"/>
          <w:tab w:val="num" w:pos="1980"/>
        </w:tabs>
        <w:spacing w:after="0" w:line="240" w:lineRule="auto"/>
        <w:ind w:left="851"/>
        <w:jc w:val="both"/>
      </w:pPr>
      <w:r>
        <w:t xml:space="preserve">Организиране на периодичен преглед на мерките на контролиране и проеодоляване на риска </w:t>
      </w:r>
    </w:p>
    <w:p w:rsidR="008255A3" w:rsidRDefault="008255A3" w:rsidP="008255A3">
      <w:pPr>
        <w:spacing w:after="0" w:line="240" w:lineRule="auto"/>
        <w:jc w:val="both"/>
      </w:pPr>
    </w:p>
    <w:p w:rsidR="008255A3" w:rsidRDefault="008255A3" w:rsidP="008255A3">
      <w:pPr>
        <w:spacing w:after="0" w:line="240" w:lineRule="auto"/>
        <w:jc w:val="both"/>
      </w:pPr>
      <w:r>
        <w:t>Управляващият орган може да си разработи процедура за оценка и проследяване на риска, която да стане част от цялостната процедура за оценка на риска и съответно от наръчник за изпълнение на ОП.</w:t>
      </w:r>
    </w:p>
    <w:p w:rsidR="008255A3" w:rsidRDefault="008255A3" w:rsidP="008255A3">
      <w:pPr>
        <w:spacing w:after="0" w:line="240" w:lineRule="auto"/>
        <w:jc w:val="both"/>
      </w:pPr>
    </w:p>
    <w:tbl>
      <w:tblPr>
        <w:tblStyle w:val="TableGrid"/>
        <w:tblW w:w="9209"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ook w:val="04A0" w:firstRow="1" w:lastRow="0" w:firstColumn="1" w:lastColumn="0" w:noHBand="0" w:noVBand="1"/>
      </w:tblPr>
      <w:tblGrid>
        <w:gridCol w:w="3539"/>
        <w:gridCol w:w="5670"/>
      </w:tblGrid>
      <w:tr w:rsidR="008255A3" w:rsidRPr="009A3939" w:rsidTr="00187165">
        <w:tc>
          <w:tcPr>
            <w:tcW w:w="3539" w:type="dxa"/>
            <w:shd w:val="clear" w:color="auto" w:fill="9CC2E5" w:themeFill="accent1" w:themeFillTint="99"/>
          </w:tcPr>
          <w:p w:rsidR="008255A3" w:rsidRPr="00B23F4D" w:rsidRDefault="008255A3" w:rsidP="00187165">
            <w:pPr>
              <w:jc w:val="center"/>
              <w:rPr>
                <w:b/>
                <w:color w:val="2E74B5" w:themeColor="accent1" w:themeShade="BF"/>
              </w:rPr>
            </w:pPr>
            <w:r w:rsidRPr="00B23F4D">
              <w:rPr>
                <w:b/>
                <w:color w:val="2E74B5" w:themeColor="accent1" w:themeShade="BF"/>
              </w:rPr>
              <w:t>Категории риск</w:t>
            </w:r>
          </w:p>
        </w:tc>
        <w:tc>
          <w:tcPr>
            <w:tcW w:w="5670" w:type="dxa"/>
            <w:shd w:val="clear" w:color="auto" w:fill="9CC2E5" w:themeFill="accent1" w:themeFillTint="99"/>
          </w:tcPr>
          <w:p w:rsidR="008255A3" w:rsidRPr="00B23F4D" w:rsidRDefault="008255A3" w:rsidP="00187165">
            <w:pPr>
              <w:jc w:val="center"/>
              <w:rPr>
                <w:b/>
                <w:color w:val="2E74B5" w:themeColor="accent1" w:themeShade="BF"/>
              </w:rPr>
            </w:pPr>
            <w:r w:rsidRPr="00B23F4D">
              <w:rPr>
                <w:b/>
                <w:color w:val="2E74B5" w:themeColor="accent1" w:themeShade="BF"/>
              </w:rPr>
              <w:t>Видове рискове, които попадат в категорията</w:t>
            </w:r>
          </w:p>
        </w:tc>
      </w:tr>
      <w:tr w:rsidR="008255A3" w:rsidTr="00187165">
        <w:tc>
          <w:tcPr>
            <w:tcW w:w="3539" w:type="dxa"/>
          </w:tcPr>
          <w:p w:rsidR="008255A3" w:rsidRPr="00DE710C" w:rsidRDefault="008255A3" w:rsidP="00187165">
            <w:r>
              <w:t>Административни рискове</w:t>
            </w:r>
          </w:p>
        </w:tc>
        <w:tc>
          <w:tcPr>
            <w:tcW w:w="5670" w:type="dxa"/>
          </w:tcPr>
          <w:p w:rsidR="008255A3" w:rsidRDefault="008255A3" w:rsidP="00187165">
            <w:pPr>
              <w:jc w:val="both"/>
            </w:pPr>
            <w:r>
              <w:t>Липса на ангажираност от страна на управляващите, липса на подкрепа от финансиращите институции, недобра координация с други подобни инициативи или инструменти</w:t>
            </w:r>
          </w:p>
        </w:tc>
      </w:tr>
      <w:tr w:rsidR="008255A3" w:rsidTr="00187165">
        <w:tc>
          <w:tcPr>
            <w:tcW w:w="3539" w:type="dxa"/>
          </w:tcPr>
          <w:p w:rsidR="008255A3" w:rsidRDefault="008255A3" w:rsidP="00187165">
            <w:r>
              <w:t>Управленски рискове</w:t>
            </w:r>
          </w:p>
        </w:tc>
        <w:tc>
          <w:tcPr>
            <w:tcW w:w="5670" w:type="dxa"/>
          </w:tcPr>
          <w:p w:rsidR="008255A3" w:rsidRDefault="008255A3" w:rsidP="00187165">
            <w:pPr>
              <w:jc w:val="both"/>
            </w:pPr>
            <w:r>
              <w:t>Недобро управление на проектите/програмите; недобро планиране, мониторинг и контрол; недобър обхват, липса на капацитет за управление на проектите от страна на УО и бенефициентите; липса на гъвкавост спрямо променящите се нужди на бенефициентите, избор на мениджър на фонда, яснота и опростени правила за прилагане, облекчени процедури за докладване и мониторинг</w:t>
            </w:r>
          </w:p>
        </w:tc>
      </w:tr>
      <w:tr w:rsidR="008255A3" w:rsidTr="00187165">
        <w:tc>
          <w:tcPr>
            <w:tcW w:w="3539" w:type="dxa"/>
          </w:tcPr>
          <w:p w:rsidR="008255A3" w:rsidRDefault="008255A3" w:rsidP="00187165">
            <w:r>
              <w:t>Финансови рискове</w:t>
            </w:r>
          </w:p>
        </w:tc>
        <w:tc>
          <w:tcPr>
            <w:tcW w:w="5670" w:type="dxa"/>
          </w:tcPr>
          <w:p w:rsidR="008255A3" w:rsidRDefault="008255A3" w:rsidP="00187165">
            <w:pPr>
              <w:jc w:val="both"/>
            </w:pPr>
            <w:r>
              <w:t>Рискове при осигуряване на средства, рискове от страна на партньорите, рискове при съфинансиране, прекалено ограничителна инвестиционна стратегия, рискове, свързани с избора на фонд мениджъра, липса на интерес от страна на финансиращите институции, степен (%) съфинансиране – добре балансиран инструмент между публично и частно финансиране – привличане на частни инвеститори във фонда</w:t>
            </w:r>
          </w:p>
        </w:tc>
      </w:tr>
      <w:tr w:rsidR="008255A3" w:rsidTr="00187165">
        <w:tc>
          <w:tcPr>
            <w:tcW w:w="3539" w:type="dxa"/>
          </w:tcPr>
          <w:p w:rsidR="008255A3" w:rsidRDefault="008255A3" w:rsidP="00187165">
            <w:r>
              <w:t>Организационни рискове</w:t>
            </w:r>
          </w:p>
        </w:tc>
        <w:tc>
          <w:tcPr>
            <w:tcW w:w="5670" w:type="dxa"/>
          </w:tcPr>
          <w:p w:rsidR="008255A3" w:rsidRDefault="008255A3" w:rsidP="00187165">
            <w:pPr>
              <w:jc w:val="both"/>
            </w:pPr>
            <w:r>
              <w:t>Недобра организация за управление, недобро управление на промяната,  липса на интерес от страна на бенефициентите, необходимост от нормативни промени</w:t>
            </w:r>
          </w:p>
        </w:tc>
      </w:tr>
    </w:tbl>
    <w:p w:rsidR="008255A3" w:rsidRDefault="008255A3" w:rsidP="008255A3">
      <w:pPr>
        <w:pStyle w:val="Heading2"/>
        <w:jc w:val="both"/>
        <w:rPr>
          <w:rFonts w:asciiTheme="minorHAnsi" w:hAnsiTheme="minorHAnsi" w:cs="Times New Roman"/>
        </w:rPr>
      </w:pPr>
    </w:p>
    <w:p w:rsidR="008255A3" w:rsidRDefault="008255A3" w:rsidP="008255A3">
      <w:pPr>
        <w:jc w:val="both"/>
      </w:pPr>
      <w:r>
        <w:t>Оценката може да покаже, че рисковете са надценени. В този случай може да се предвиди допълнителен обем със същия финансов принос (по-висок“ ливъридж“).</w:t>
      </w:r>
    </w:p>
    <w:p w:rsidR="008255A3" w:rsidRDefault="008255A3" w:rsidP="008255A3">
      <w:pPr>
        <w:jc w:val="both"/>
      </w:pPr>
      <w:r>
        <w:t>Необходимо е системата за мониторинг да проследява рисковете и докладването редовно:</w:t>
      </w:r>
    </w:p>
    <w:p w:rsidR="008255A3" w:rsidRDefault="008255A3" w:rsidP="008255A3">
      <w:pPr>
        <w:pStyle w:val="ListParagraph"/>
        <w:numPr>
          <w:ilvl w:val="1"/>
          <w:numId w:val="147"/>
        </w:numPr>
        <w:jc w:val="both"/>
      </w:pPr>
      <w:r>
        <w:t>Годишно наблюдение и докладване за приложение и изпълнение на ФИ; Информацията, събирана на годишна база от системата за мониторинг може да покаже много бързо необходимостта от актуализация.</w:t>
      </w:r>
    </w:p>
    <w:p w:rsidR="008255A3" w:rsidRDefault="008255A3" w:rsidP="008255A3">
      <w:pPr>
        <w:pStyle w:val="ListParagraph"/>
        <w:numPr>
          <w:ilvl w:val="1"/>
          <w:numId w:val="147"/>
        </w:numPr>
        <w:jc w:val="both"/>
      </w:pPr>
      <w:r>
        <w:t>Предефинирани условия и междинни целеви стойности на индикаторите, които да бъдат сравнявани с данните от системата за мониторинг;</w:t>
      </w:r>
    </w:p>
    <w:p w:rsidR="008255A3" w:rsidRDefault="008255A3" w:rsidP="008255A3">
      <w:pPr>
        <w:pStyle w:val="ListParagraph"/>
        <w:numPr>
          <w:ilvl w:val="1"/>
          <w:numId w:val="147"/>
        </w:numPr>
        <w:jc w:val="both"/>
      </w:pPr>
      <w:r>
        <w:t>Специализирани или текущи оценки</w:t>
      </w:r>
    </w:p>
    <w:p w:rsidR="00A17CF0" w:rsidRPr="00A17CF0" w:rsidRDefault="00A17CF0" w:rsidP="00A17CF0">
      <w:pPr>
        <w:pStyle w:val="Heading2"/>
        <w:jc w:val="both"/>
        <w:rPr>
          <w:rFonts w:asciiTheme="minorHAnsi" w:hAnsiTheme="minorHAnsi" w:cs="Times New Roman"/>
        </w:rPr>
      </w:pPr>
      <w:bookmarkStart w:id="197" w:name="_Toc399494584"/>
      <w:r w:rsidRPr="00A17CF0">
        <w:rPr>
          <w:rFonts w:asciiTheme="minorHAnsi" w:hAnsiTheme="minorHAnsi" w:cs="Times New Roman"/>
        </w:rPr>
        <w:t xml:space="preserve">7.2. </w:t>
      </w:r>
      <w:r>
        <w:rPr>
          <w:rFonts w:asciiTheme="minorHAnsi" w:hAnsiTheme="minorHAnsi" w:cs="Times New Roman"/>
        </w:rPr>
        <w:t>Г</w:t>
      </w:r>
      <w:r w:rsidRPr="00A17CF0">
        <w:rPr>
          <w:rFonts w:asciiTheme="minorHAnsi" w:hAnsiTheme="minorHAnsi" w:cs="Times New Roman"/>
        </w:rPr>
        <w:t>рафик (времеви период), на който ще се актуализира оценката относно постигане на специфичните цели и резултати за съответната приоритетна ос или за конкретната мярка.</w:t>
      </w:r>
      <w:bookmarkEnd w:id="197"/>
    </w:p>
    <w:p w:rsidR="00A17CF0" w:rsidRDefault="00A17CF0" w:rsidP="009E65C1">
      <w:pPr>
        <w:spacing w:before="240"/>
        <w:jc w:val="both"/>
      </w:pPr>
      <w:r>
        <w:t xml:space="preserve">Планът за оценка на изпълнението на ФИ следва да бъде съобразен с плана и съответно графика за оценка на ОПОС 2014-2020. </w:t>
      </w:r>
    </w:p>
    <w:p w:rsidR="00A17CF0" w:rsidRPr="00C677DE" w:rsidRDefault="00A17CF0" w:rsidP="00A17CF0">
      <w:pPr>
        <w:jc w:val="both"/>
        <w:rPr>
          <w:b/>
          <w:i/>
          <w:color w:val="2E74B5" w:themeColor="accent1" w:themeShade="BF"/>
        </w:rPr>
      </w:pPr>
      <w:r w:rsidRPr="00C677DE">
        <w:rPr>
          <w:b/>
          <w:i/>
          <w:color w:val="2E74B5" w:themeColor="accent1" w:themeShade="BF"/>
        </w:rPr>
        <w:t xml:space="preserve">Преглед и актуализиране на предварителната оценка за използване на </w:t>
      </w:r>
      <w:r w:rsidR="00C677DE" w:rsidRPr="00C677DE">
        <w:rPr>
          <w:b/>
          <w:i/>
          <w:color w:val="2E74B5" w:themeColor="accent1" w:themeShade="BF"/>
        </w:rPr>
        <w:t>финансовите инструменти по ОПОС</w:t>
      </w:r>
    </w:p>
    <w:p w:rsidR="00A17CF0" w:rsidRDefault="00A17CF0" w:rsidP="00A17CF0">
      <w:pPr>
        <w:jc w:val="both"/>
      </w:pPr>
      <w:r>
        <w:t>Пазарните условия и инвестиционни тенденции могат да търпят промени преди и по време на приложение на финансовите инструменти.  В този смисъл (чл. 37 (2) от общия регламент) се предвижда, че УО може да изиска преразглеждане на предварителната оценка, в случай, че настъпят промени в средата.</w:t>
      </w:r>
    </w:p>
    <w:p w:rsidR="00A17CF0" w:rsidRDefault="00A17CF0" w:rsidP="00A17CF0">
      <w:pPr>
        <w:jc w:val="both"/>
      </w:pPr>
      <w:r>
        <w:t>Ако очакваните резултати от приложение на ФИ не бъдат постигнати към средата на периода (в края на 2017 г.), инвестиционната стратегия може да бъде актуализирана. Необходимо е да са налице следните условия:</w:t>
      </w:r>
    </w:p>
    <w:p w:rsidR="00A17CF0" w:rsidRDefault="00A17CF0" w:rsidP="00C677DE">
      <w:pPr>
        <w:jc w:val="both"/>
      </w:pPr>
      <w:r w:rsidRPr="00914E31">
        <w:rPr>
          <w:b/>
        </w:rPr>
        <w:t>Слабо съответствие между предложените цели и постигнати резултати</w:t>
      </w:r>
      <w:r>
        <w:t>. (измерени чрез проследяване на индикаторите). Ако е налице голямо разминаване между двете, това може да застраши постигането на целевите резултати и тогава е необходима актуализация на целевите резултати.  Трябва да се актуализира инвестиционната стратегия и добавената стойност;</w:t>
      </w:r>
    </w:p>
    <w:p w:rsidR="00A17CF0" w:rsidRDefault="00A17CF0" w:rsidP="00C677DE">
      <w:pPr>
        <w:jc w:val="both"/>
      </w:pPr>
      <w:r w:rsidRPr="00CD3FFA">
        <w:rPr>
          <w:b/>
        </w:rPr>
        <w:t>Недостатъчен ресурс в предложените схеми</w:t>
      </w:r>
      <w:r>
        <w:t xml:space="preserve"> за подкрепа, за да се отговори на търсенето: ако обемът е прекалено малък, а нуждата – голяма, то тогава ФИ не могат да постигнат поставените цели. Ако процесът на плащане е прекалено бърз или прекалено забавен, това може да подложи на риск приложението на ФИ. Тогава трябва да се направи оценка и актуализация на инвестиционната стратегия.</w:t>
      </w:r>
    </w:p>
    <w:p w:rsidR="00A17CF0" w:rsidRDefault="00A17CF0" w:rsidP="001A036E">
      <w:pPr>
        <w:pStyle w:val="ListParagraph"/>
        <w:numPr>
          <w:ilvl w:val="0"/>
          <w:numId w:val="146"/>
        </w:numPr>
        <w:jc w:val="both"/>
      </w:pPr>
      <w:r>
        <w:t>Ако оценката покаже, че пазарната ситуация не е променена, но степента на усвояване е подценена или надценена;</w:t>
      </w:r>
    </w:p>
    <w:p w:rsidR="00A17CF0" w:rsidRDefault="00A17CF0" w:rsidP="001A036E">
      <w:pPr>
        <w:pStyle w:val="ListParagraph"/>
        <w:numPr>
          <w:ilvl w:val="0"/>
          <w:numId w:val="146"/>
        </w:numPr>
        <w:jc w:val="both"/>
      </w:pPr>
      <w:r>
        <w:t>Изпълнението е в съответствие с поставените цели, но има промяна в пазарната ситуация, като промяната води до значително по-високо или по-ниско</w:t>
      </w:r>
      <w:r w:rsidR="00C677DE">
        <w:t xml:space="preserve"> търсене за схемите на подкрепа.</w:t>
      </w:r>
    </w:p>
    <w:p w:rsidR="00A17CF0" w:rsidRDefault="00A17CF0" w:rsidP="00C677DE">
      <w:pPr>
        <w:jc w:val="both"/>
      </w:pPr>
      <w:r w:rsidRPr="00606AF3">
        <w:rPr>
          <w:b/>
        </w:rPr>
        <w:lastRenderedPageBreak/>
        <w:t>Обемите могат да бъдат увеличени или намалени</w:t>
      </w:r>
      <w:r>
        <w:t>, но може да бъде добавена и техническа помощ</w:t>
      </w:r>
      <w:r w:rsidR="00DD30D6">
        <w:t xml:space="preserve"> или да се предприемат други</w:t>
      </w:r>
      <w:r w:rsidR="005D0AA6">
        <w:t xml:space="preserve"> мерки</w:t>
      </w:r>
      <w:r w:rsidR="00DD30D6">
        <w:t>,</w:t>
      </w:r>
      <w:r>
        <w:t xml:space="preserve"> за да се увеличи степента на усвояване</w:t>
      </w:r>
      <w:r w:rsidR="005D0AA6">
        <w:t>, при условие, че</w:t>
      </w:r>
      <w:r>
        <w:t xml:space="preserve"> резултатите от оценката покажат следното:</w:t>
      </w:r>
    </w:p>
    <w:p w:rsidR="00A17CF0" w:rsidRDefault="00A17CF0" w:rsidP="00C677DE">
      <w:pPr>
        <w:jc w:val="both"/>
      </w:pPr>
      <w:r>
        <w:t>(1). Предварителната оценка не е коректна по отношение на очакваните резултати, нуждите от публични инвестиции за подценени или надценени;</w:t>
      </w:r>
    </w:p>
    <w:p w:rsidR="00A17CF0" w:rsidRDefault="00A17CF0" w:rsidP="00C677DE">
      <w:pPr>
        <w:jc w:val="both"/>
      </w:pPr>
      <w:r>
        <w:t>(2). Предварителната оценка е коректна, но средата се е променила и нивото на пазарни неуспехи може да бъде по-високо или по-ниско.</w:t>
      </w:r>
    </w:p>
    <w:p w:rsidR="00A17CF0" w:rsidRDefault="00A17CF0" w:rsidP="00C677DE">
      <w:pPr>
        <w:jc w:val="both"/>
      </w:pPr>
      <w:r w:rsidRPr="00606AF3">
        <w:rPr>
          <w:b/>
        </w:rPr>
        <w:t>Непреценяване на риска при приложение на ФИ</w:t>
      </w:r>
      <w:r>
        <w:t>. Ако възникне ситуация, когато рисковете от приложение на ФИ са по-високи от очакваните, което води до загуби при приложение на ФИ и нарушаване на револвиращия характер на ФИ. Прегледът може да преразгледа и актуализира рисковете, за да се гарантира подходящото ниво на револвиращи средства и от там – „ливъридж“ ефекта.</w:t>
      </w:r>
    </w:p>
    <w:p w:rsidR="00A17CF0" w:rsidRDefault="00A17CF0" w:rsidP="00C677DE">
      <w:pPr>
        <w:jc w:val="both"/>
      </w:pPr>
      <w:r>
        <w:t>Оценката може да покаже, че рисковете са надценени. В този случай може да се предвиди допълнителен обем със същия финансов принос (по-висок“ ливъридж“).</w:t>
      </w:r>
    </w:p>
    <w:p w:rsidR="00A17CF0" w:rsidRDefault="00A17CF0" w:rsidP="00C677DE">
      <w:pPr>
        <w:jc w:val="both"/>
      </w:pPr>
      <w:r>
        <w:t>Необходимо е системата за мониторинг да проследява рисковете и докладването редовно:</w:t>
      </w:r>
    </w:p>
    <w:p w:rsidR="00A17CF0" w:rsidRDefault="00A17CF0" w:rsidP="001A036E">
      <w:pPr>
        <w:pStyle w:val="ListParagraph"/>
        <w:numPr>
          <w:ilvl w:val="1"/>
          <w:numId w:val="147"/>
        </w:numPr>
        <w:jc w:val="both"/>
      </w:pPr>
      <w:r>
        <w:t>Годишно наблюдение и докладване за приложение и изпълнение на ФИ; Информацията, събирана на годишна база от системата за мониторинг може да покаже много бързо необходимостта от актуализация.</w:t>
      </w:r>
    </w:p>
    <w:p w:rsidR="00A17CF0" w:rsidRDefault="00A17CF0" w:rsidP="001A036E">
      <w:pPr>
        <w:pStyle w:val="ListParagraph"/>
        <w:numPr>
          <w:ilvl w:val="1"/>
          <w:numId w:val="147"/>
        </w:numPr>
        <w:jc w:val="both"/>
      </w:pPr>
      <w:r>
        <w:t>Предефинирани условия и междинни целеви стойности на индикаторите, които да бъдат сравнявани с данните от системата за мониторинг;</w:t>
      </w:r>
    </w:p>
    <w:p w:rsidR="00A17CF0" w:rsidRDefault="00A17CF0" w:rsidP="001A036E">
      <w:pPr>
        <w:pStyle w:val="ListParagraph"/>
        <w:numPr>
          <w:ilvl w:val="1"/>
          <w:numId w:val="147"/>
        </w:numPr>
        <w:jc w:val="both"/>
      </w:pPr>
      <w:r>
        <w:t>Специализирани или текущи оценки</w:t>
      </w:r>
      <w:r w:rsidR="007E21AE">
        <w:tab/>
      </w:r>
      <w:r w:rsidR="007E21AE">
        <w:tab/>
      </w:r>
      <w:r w:rsidR="007E21AE">
        <w:tab/>
      </w:r>
      <w:r w:rsidR="007E21AE">
        <w:tab/>
      </w:r>
      <w:r w:rsidR="007E21AE">
        <w:tab/>
      </w:r>
      <w:r w:rsidR="007E21AE">
        <w:tab/>
      </w:r>
      <w:r w:rsidR="007E21AE">
        <w:tab/>
      </w:r>
      <w:r w:rsidR="007E21AE">
        <w:tab/>
      </w:r>
    </w:p>
    <w:p w:rsidR="007E21AE" w:rsidRDefault="007E21AE" w:rsidP="00F947C2">
      <w:pPr>
        <w:shd w:val="clear" w:color="auto" w:fill="D9D9D9" w:themeFill="background1" w:themeFillShade="D9"/>
        <w:jc w:val="both"/>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7E21AE" w:rsidRPr="007E21AE" w:rsidRDefault="007E21AE" w:rsidP="007E21AE">
      <w:pPr>
        <w:rPr>
          <w:rFonts w:cs="Times New Roman"/>
        </w:rPr>
      </w:pPr>
    </w:p>
    <w:p w:rsidR="00A17CF0" w:rsidRDefault="007E21AE" w:rsidP="007E21AE">
      <w:pPr>
        <w:pStyle w:val="Heading1"/>
      </w:pPr>
      <w:bookmarkStart w:id="198" w:name="_Toc399494585"/>
      <w:r>
        <w:lastRenderedPageBreak/>
        <w:t>Списък на приложенията</w:t>
      </w:r>
      <w:bookmarkEnd w:id="198"/>
    </w:p>
    <w:p w:rsidR="00C75A5A" w:rsidRDefault="00C75A5A" w:rsidP="00C75A5A">
      <w:pPr>
        <w:spacing w:after="0" w:line="240" w:lineRule="auto"/>
        <w:ind w:right="301"/>
        <w:jc w:val="both"/>
        <w:rPr>
          <w:rFonts w:ascii="Calibri" w:eastAsia="Calibri" w:hAnsi="Calibri" w:cs="Times New Roman"/>
        </w:rPr>
      </w:pPr>
    </w:p>
    <w:p w:rsidR="008004BE" w:rsidRDefault="008004BE" w:rsidP="008004BE">
      <w:pPr>
        <w:spacing w:after="0" w:line="240" w:lineRule="auto"/>
        <w:ind w:right="301"/>
        <w:jc w:val="both"/>
        <w:rPr>
          <w:rFonts w:ascii="Calibri" w:eastAsia="Calibri" w:hAnsi="Calibri" w:cs="Times New Roman"/>
        </w:rPr>
      </w:pPr>
      <w:r>
        <w:rPr>
          <w:rFonts w:ascii="Calibri" w:eastAsia="Calibri" w:hAnsi="Calibri" w:cs="Times New Roman"/>
        </w:rPr>
        <w:t>Приложение №</w:t>
      </w:r>
      <w:r>
        <w:rPr>
          <w:rFonts w:ascii="Calibri" w:eastAsia="Calibri" w:hAnsi="Calibri" w:cs="Times New Roman"/>
          <w:lang w:val="en-US"/>
        </w:rPr>
        <w:t>00</w:t>
      </w:r>
      <w:r>
        <w:rPr>
          <w:rFonts w:ascii="Calibri" w:eastAsia="Calibri" w:hAnsi="Calibri" w:cs="Times New Roman"/>
        </w:rPr>
        <w:t>1. Списък на проведените интервюта и резюме от протоколите</w:t>
      </w:r>
      <w:r w:rsidR="00391132">
        <w:rPr>
          <w:rFonts w:ascii="Calibri" w:eastAsia="Calibri" w:hAnsi="Calibri" w:cs="Times New Roman"/>
        </w:rPr>
        <w:t>.</w:t>
      </w:r>
    </w:p>
    <w:p w:rsidR="008004BE" w:rsidRDefault="008004BE" w:rsidP="008004BE">
      <w:pPr>
        <w:spacing w:after="0" w:line="240" w:lineRule="auto"/>
        <w:ind w:right="301"/>
        <w:jc w:val="both"/>
        <w:rPr>
          <w:rFonts w:ascii="Calibri" w:eastAsia="Calibri" w:hAnsi="Calibri" w:cs="Times New Roman"/>
        </w:rPr>
      </w:pPr>
    </w:p>
    <w:p w:rsidR="008004BE" w:rsidRDefault="008004BE" w:rsidP="008004BE">
      <w:pPr>
        <w:spacing w:after="0" w:line="240" w:lineRule="auto"/>
        <w:ind w:right="301"/>
        <w:jc w:val="both"/>
        <w:rPr>
          <w:rFonts w:ascii="Calibri" w:eastAsia="Calibri" w:hAnsi="Calibri" w:cs="Times New Roman"/>
        </w:rPr>
      </w:pPr>
      <w:r>
        <w:rPr>
          <w:rFonts w:ascii="Calibri" w:eastAsia="Calibri" w:hAnsi="Calibri" w:cs="Times New Roman"/>
        </w:rPr>
        <w:t>Приложение №</w:t>
      </w:r>
      <w:r>
        <w:rPr>
          <w:rFonts w:ascii="Calibri" w:eastAsia="Calibri" w:hAnsi="Calibri" w:cs="Times New Roman"/>
          <w:lang w:val="en-US"/>
        </w:rPr>
        <w:t>00</w:t>
      </w:r>
      <w:r>
        <w:rPr>
          <w:rFonts w:ascii="Calibri" w:eastAsia="Calibri" w:hAnsi="Calibri" w:cs="Times New Roman"/>
        </w:rPr>
        <w:t>2. Доклад от проведената фокус група</w:t>
      </w:r>
      <w:r w:rsidR="00391132">
        <w:rPr>
          <w:rFonts w:ascii="Calibri" w:eastAsia="Calibri" w:hAnsi="Calibri" w:cs="Times New Roman"/>
        </w:rPr>
        <w:t>.</w:t>
      </w:r>
    </w:p>
    <w:p w:rsidR="008004BE" w:rsidRDefault="008004BE" w:rsidP="008004BE">
      <w:pPr>
        <w:spacing w:after="0" w:line="240" w:lineRule="auto"/>
        <w:ind w:right="301"/>
        <w:jc w:val="both"/>
        <w:rPr>
          <w:rFonts w:ascii="Calibri" w:eastAsia="Calibri" w:hAnsi="Calibri" w:cs="Times New Roman"/>
        </w:rPr>
      </w:pPr>
    </w:p>
    <w:p w:rsidR="008004BE" w:rsidRPr="00C634A7" w:rsidRDefault="008004BE" w:rsidP="008004BE">
      <w:pPr>
        <w:spacing w:before="120" w:after="120"/>
        <w:jc w:val="both"/>
        <w:rPr>
          <w:rFonts w:ascii="Calibri" w:hAnsi="Calibri" w:cs="Calibri"/>
          <w:lang w:eastAsia="ro-RO"/>
        </w:rPr>
      </w:pPr>
      <w:r w:rsidRPr="00C634A7">
        <w:rPr>
          <w:rFonts w:ascii="Calibri" w:eastAsia="Calibri" w:hAnsi="Calibri" w:cs="Times New Roman"/>
        </w:rPr>
        <w:t>Приложение №</w:t>
      </w:r>
      <w:r>
        <w:rPr>
          <w:rFonts w:ascii="Calibri" w:eastAsia="Calibri" w:hAnsi="Calibri" w:cs="Times New Roman"/>
          <w:lang w:val="en-US"/>
        </w:rPr>
        <w:t>00</w:t>
      </w:r>
      <w:r w:rsidRPr="00C634A7">
        <w:rPr>
          <w:rFonts w:ascii="Calibri" w:eastAsia="Calibri" w:hAnsi="Calibri" w:cs="Times New Roman"/>
        </w:rPr>
        <w:t xml:space="preserve">3. </w:t>
      </w:r>
      <w:r w:rsidRPr="00C634A7">
        <w:rPr>
          <w:rFonts w:ascii="Calibri" w:hAnsi="Calibri" w:cs="Calibri"/>
          <w:lang w:eastAsia="ro-RO"/>
        </w:rPr>
        <w:t>Анкетно проучване с респонденти потенциални бенефициенти по ОПОС 2014 – 2020</w:t>
      </w:r>
      <w:r w:rsidR="00391132">
        <w:rPr>
          <w:rFonts w:ascii="Calibri" w:hAnsi="Calibri" w:cs="Calibri"/>
          <w:lang w:eastAsia="ro-RO"/>
        </w:rPr>
        <w:t>.</w:t>
      </w:r>
    </w:p>
    <w:p w:rsidR="008004BE" w:rsidRDefault="008004BE" w:rsidP="008004BE">
      <w:pPr>
        <w:spacing w:after="0" w:line="240" w:lineRule="auto"/>
        <w:ind w:right="301"/>
        <w:jc w:val="both"/>
        <w:rPr>
          <w:rFonts w:ascii="Calibri" w:eastAsia="Calibri" w:hAnsi="Calibri" w:cs="Times New Roman"/>
        </w:rPr>
      </w:pPr>
      <w:r>
        <w:rPr>
          <w:rFonts w:ascii="Calibri" w:eastAsia="Calibri" w:hAnsi="Calibri" w:cs="Times New Roman"/>
        </w:rPr>
        <w:t>Приложение №</w:t>
      </w:r>
      <w:r>
        <w:rPr>
          <w:rFonts w:ascii="Calibri" w:eastAsia="Calibri" w:hAnsi="Calibri" w:cs="Times New Roman"/>
          <w:lang w:val="en-US"/>
        </w:rPr>
        <w:t>00</w:t>
      </w:r>
      <w:r>
        <w:rPr>
          <w:rFonts w:ascii="Calibri" w:eastAsia="Calibri" w:hAnsi="Calibri" w:cs="Times New Roman"/>
        </w:rPr>
        <w:t>4. Анкетно проучване с респонденти общини, потенциални бенефициенти на ОПОС 2014 – 2020</w:t>
      </w:r>
      <w:r w:rsidR="00391132">
        <w:rPr>
          <w:rFonts w:ascii="Calibri" w:eastAsia="Calibri" w:hAnsi="Calibri" w:cs="Times New Roman"/>
        </w:rPr>
        <w:t>.</w:t>
      </w:r>
    </w:p>
    <w:p w:rsidR="008004BE" w:rsidRDefault="008004BE" w:rsidP="008004BE">
      <w:pPr>
        <w:spacing w:after="0" w:line="240" w:lineRule="auto"/>
        <w:ind w:right="301"/>
        <w:jc w:val="both"/>
        <w:rPr>
          <w:rFonts w:ascii="Calibri" w:eastAsia="Calibri" w:hAnsi="Calibri" w:cs="Times New Roman"/>
        </w:rPr>
      </w:pPr>
    </w:p>
    <w:p w:rsidR="008004BE" w:rsidRDefault="008004BE" w:rsidP="008004BE">
      <w:pPr>
        <w:spacing w:after="0" w:line="240" w:lineRule="auto"/>
        <w:ind w:right="301"/>
        <w:jc w:val="both"/>
        <w:rPr>
          <w:rFonts w:ascii="Calibri" w:eastAsia="Calibri" w:hAnsi="Calibri" w:cs="Times New Roman"/>
        </w:rPr>
      </w:pPr>
      <w:r>
        <w:rPr>
          <w:rFonts w:ascii="Calibri" w:eastAsia="Calibri" w:hAnsi="Calibri" w:cs="Times New Roman"/>
        </w:rPr>
        <w:t>Приложение №</w:t>
      </w:r>
      <w:r>
        <w:rPr>
          <w:rFonts w:ascii="Calibri" w:eastAsia="Calibri" w:hAnsi="Calibri" w:cs="Times New Roman"/>
          <w:lang w:val="en-US"/>
        </w:rPr>
        <w:t>00</w:t>
      </w:r>
      <w:r>
        <w:rPr>
          <w:rFonts w:ascii="Calibri" w:eastAsia="Calibri" w:hAnsi="Calibri" w:cs="Times New Roman"/>
        </w:rPr>
        <w:t>5. Въпросници за анкети с потенциални бенефициенти</w:t>
      </w:r>
      <w:r w:rsidR="00391132">
        <w:rPr>
          <w:rFonts w:ascii="Calibri" w:eastAsia="Calibri" w:hAnsi="Calibri" w:cs="Times New Roman"/>
        </w:rPr>
        <w:t>.</w:t>
      </w:r>
    </w:p>
    <w:p w:rsidR="008004BE" w:rsidRDefault="008004BE" w:rsidP="008004BE">
      <w:pPr>
        <w:spacing w:after="0" w:line="240" w:lineRule="auto"/>
        <w:ind w:right="301"/>
        <w:jc w:val="both"/>
        <w:rPr>
          <w:rFonts w:ascii="Calibri" w:eastAsia="Calibri" w:hAnsi="Calibri" w:cs="Times New Roman"/>
        </w:rPr>
      </w:pPr>
    </w:p>
    <w:p w:rsidR="008004BE" w:rsidRDefault="008004BE" w:rsidP="008004BE">
      <w:pPr>
        <w:spacing w:after="0" w:line="240" w:lineRule="auto"/>
        <w:ind w:right="301"/>
        <w:jc w:val="both"/>
        <w:rPr>
          <w:rFonts w:ascii="Calibri" w:eastAsia="Calibri" w:hAnsi="Calibri" w:cs="Times New Roman"/>
        </w:rPr>
      </w:pPr>
      <w:r>
        <w:rPr>
          <w:rFonts w:ascii="Calibri" w:eastAsia="Calibri" w:hAnsi="Calibri" w:cs="Times New Roman"/>
        </w:rPr>
        <w:t>Приложение №</w:t>
      </w:r>
      <w:r>
        <w:rPr>
          <w:rFonts w:ascii="Calibri" w:eastAsia="Calibri" w:hAnsi="Calibri" w:cs="Times New Roman"/>
          <w:lang w:val="en-US"/>
        </w:rPr>
        <w:t>00</w:t>
      </w:r>
      <w:r>
        <w:rPr>
          <w:rFonts w:ascii="Calibri" w:eastAsia="Calibri" w:hAnsi="Calibri" w:cs="Times New Roman"/>
        </w:rPr>
        <w:t>6. Контролен лист за пълнота на предварителната оценка</w:t>
      </w:r>
      <w:r w:rsidR="00391132">
        <w:rPr>
          <w:rFonts w:ascii="Calibri" w:eastAsia="Calibri" w:hAnsi="Calibri" w:cs="Times New Roman"/>
        </w:rPr>
        <w:t>.</w:t>
      </w:r>
    </w:p>
    <w:p w:rsidR="008004BE" w:rsidRDefault="008004BE" w:rsidP="008004BE">
      <w:pPr>
        <w:spacing w:after="0" w:line="240" w:lineRule="auto"/>
        <w:ind w:right="301"/>
        <w:jc w:val="both"/>
        <w:rPr>
          <w:rFonts w:ascii="Calibri" w:eastAsia="Calibri" w:hAnsi="Calibri" w:cs="Times New Roman"/>
        </w:rPr>
      </w:pPr>
    </w:p>
    <w:p w:rsidR="008004BE" w:rsidRPr="008004BE" w:rsidRDefault="008004BE" w:rsidP="008004BE">
      <w:pPr>
        <w:spacing w:after="0" w:line="240" w:lineRule="auto"/>
        <w:ind w:right="301"/>
        <w:jc w:val="both"/>
        <w:rPr>
          <w:rFonts w:ascii="Calibri" w:eastAsia="Calibri" w:hAnsi="Calibri" w:cs="Times New Roman"/>
        </w:rPr>
      </w:pPr>
      <w:r>
        <w:rPr>
          <w:rFonts w:ascii="Calibri" w:eastAsia="Calibri" w:hAnsi="Calibri" w:cs="Times New Roman"/>
        </w:rPr>
        <w:t>Приложение №</w:t>
      </w:r>
      <w:r>
        <w:rPr>
          <w:rFonts w:ascii="Calibri" w:eastAsia="Calibri" w:hAnsi="Calibri" w:cs="Times New Roman"/>
          <w:lang w:val="en-US"/>
        </w:rPr>
        <w:t>00</w:t>
      </w:r>
      <w:r>
        <w:rPr>
          <w:rFonts w:ascii="Calibri" w:eastAsia="Calibri" w:hAnsi="Calibri" w:cs="Times New Roman"/>
        </w:rPr>
        <w:t>7. Препоръчителен размер на средствата от ос 1 на ОПОС.</w:t>
      </w:r>
    </w:p>
    <w:p w:rsidR="008004BE" w:rsidRDefault="008004BE" w:rsidP="008004BE">
      <w:pPr>
        <w:spacing w:after="0" w:line="240" w:lineRule="auto"/>
        <w:ind w:right="301"/>
        <w:jc w:val="both"/>
        <w:rPr>
          <w:rFonts w:ascii="Calibri" w:eastAsia="Calibri" w:hAnsi="Calibri" w:cs="Times New Roman"/>
        </w:rPr>
      </w:pPr>
    </w:p>
    <w:p w:rsidR="008004BE" w:rsidRDefault="008004BE" w:rsidP="008004BE">
      <w:pPr>
        <w:spacing w:after="0" w:line="240" w:lineRule="auto"/>
        <w:ind w:right="301"/>
        <w:jc w:val="both"/>
        <w:rPr>
          <w:rFonts w:ascii="Calibri" w:eastAsia="Calibri" w:hAnsi="Calibri" w:cs="Times New Roman"/>
        </w:rPr>
      </w:pPr>
    </w:p>
    <w:p w:rsidR="007E21AE" w:rsidRPr="007E21AE" w:rsidRDefault="007E21AE" w:rsidP="007E21AE"/>
    <w:sectPr w:rsidR="007E21AE" w:rsidRPr="007E21AE" w:rsidSect="006E39EC">
      <w:pgSz w:w="11906" w:h="16838"/>
      <w:pgMar w:top="1417" w:right="1416" w:bottom="1417" w:left="1417" w:header="708" w:footer="10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14DF" w:rsidRDefault="00CD14DF" w:rsidP="00FC58CF">
      <w:pPr>
        <w:spacing w:after="0" w:line="240" w:lineRule="auto"/>
      </w:pPr>
      <w:r>
        <w:separator/>
      </w:r>
    </w:p>
  </w:endnote>
  <w:endnote w:type="continuationSeparator" w:id="0">
    <w:p w:rsidR="00CD14DF" w:rsidRDefault="00CD14DF" w:rsidP="00FC58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0000012" w:usb3="00000000" w:csb0="0002009F" w:csb1="00000000"/>
  </w:font>
  <w:font w:name="Constantia">
    <w:panose1 w:val="02030602050306030303"/>
    <w:charset w:val="CC"/>
    <w:family w:val="roman"/>
    <w:pitch w:val="variable"/>
    <w:sig w:usb0="A00002EF" w:usb1="4000204B" w:usb2="00000000" w:usb3="00000000" w:csb0="0000019F" w:csb1="00000000"/>
  </w:font>
  <w:font w:name="Garamond">
    <w:panose1 w:val="02020404030301010803"/>
    <w:charset w:val="CC"/>
    <w:family w:val="roman"/>
    <w:pitch w:val="variable"/>
    <w:sig w:usb0="00000287" w:usb1="00000000" w:usb2="00000000" w:usb3="00000000" w:csb0="0000009F" w:csb1="00000000"/>
  </w:font>
  <w:font w:name="Times">
    <w:panose1 w:val="02020603050405020304"/>
    <w:charset w:val="CC"/>
    <w:family w:val="roman"/>
    <w:pitch w:val="variable"/>
    <w:sig w:usb0="E0002AFF" w:usb1="C0007841" w:usb2="00000009" w:usb3="00000000" w:csb0="000001FF" w:csb1="00000000"/>
  </w:font>
  <w:font w:name="Verdana">
    <w:panose1 w:val="020B0604030504040204"/>
    <w:charset w:val="CC"/>
    <w:family w:val="swiss"/>
    <w:pitch w:val="variable"/>
    <w:sig w:usb0="A10006FF" w:usb1="4000205B" w:usb2="00000010" w:usb3="00000000" w:csb0="0000019F" w:csb1="00000000"/>
  </w:font>
  <w:font w:name="Helvetica">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Verdana-Bold">
    <w:altName w:val="Arial Unicode MS"/>
    <w:panose1 w:val="00000000000000000000"/>
    <w:charset w:val="86"/>
    <w:family w:val="auto"/>
    <w:notTrueType/>
    <w:pitch w:val="default"/>
    <w:sig w:usb0="00000001" w:usb1="080E0000" w:usb2="00000010" w:usb3="00000000" w:csb0="0004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176" w:rsidRDefault="008E6461" w:rsidP="00896933">
    <w:pPr>
      <w:pStyle w:val="Footer"/>
      <w:framePr w:wrap="around" w:vAnchor="text" w:hAnchor="margin" w:xAlign="right" w:y="1"/>
      <w:rPr>
        <w:rStyle w:val="PageNumber"/>
        <w:rFonts w:eastAsiaTheme="majorEastAsia"/>
      </w:rPr>
    </w:pPr>
    <w:r>
      <w:rPr>
        <w:rStyle w:val="PageNumber"/>
        <w:rFonts w:eastAsiaTheme="majorEastAsia"/>
      </w:rPr>
      <w:fldChar w:fldCharType="begin"/>
    </w:r>
    <w:r w:rsidR="00EA2176">
      <w:rPr>
        <w:rStyle w:val="PageNumber"/>
        <w:rFonts w:eastAsiaTheme="majorEastAsia"/>
      </w:rPr>
      <w:instrText xml:space="preserve">PAGE  </w:instrText>
    </w:r>
    <w:r>
      <w:rPr>
        <w:rStyle w:val="PageNumber"/>
        <w:rFonts w:eastAsiaTheme="majorEastAsia"/>
      </w:rPr>
      <w:fldChar w:fldCharType="end"/>
    </w:r>
  </w:p>
  <w:p w:rsidR="00EA2176" w:rsidRDefault="00EA2176" w:rsidP="0089693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676607"/>
      <w:docPartObj>
        <w:docPartGallery w:val="Page Numbers (Bottom of Page)"/>
        <w:docPartUnique/>
      </w:docPartObj>
    </w:sdtPr>
    <w:sdtEndPr>
      <w:rPr>
        <w:sz w:val="16"/>
        <w:szCs w:val="16"/>
      </w:rPr>
    </w:sdtEndPr>
    <w:sdtContent>
      <w:p w:rsidR="00EA2176" w:rsidRPr="00DE5CA6" w:rsidRDefault="008E6461">
        <w:pPr>
          <w:pStyle w:val="Footer"/>
          <w:jc w:val="right"/>
          <w:rPr>
            <w:sz w:val="16"/>
            <w:szCs w:val="16"/>
          </w:rPr>
        </w:pPr>
        <w:r w:rsidRPr="00DE5CA6">
          <w:rPr>
            <w:sz w:val="16"/>
            <w:szCs w:val="16"/>
          </w:rPr>
          <w:fldChar w:fldCharType="begin"/>
        </w:r>
        <w:r w:rsidR="00EA2176" w:rsidRPr="00DE5CA6">
          <w:rPr>
            <w:sz w:val="16"/>
            <w:szCs w:val="16"/>
          </w:rPr>
          <w:instrText xml:space="preserve"> PAGE   \* MERGEFORMAT </w:instrText>
        </w:r>
        <w:r w:rsidRPr="00DE5CA6">
          <w:rPr>
            <w:sz w:val="16"/>
            <w:szCs w:val="16"/>
          </w:rPr>
          <w:fldChar w:fldCharType="separate"/>
        </w:r>
        <w:r w:rsidR="0041519B">
          <w:rPr>
            <w:noProof/>
            <w:sz w:val="16"/>
            <w:szCs w:val="16"/>
          </w:rPr>
          <w:t>282</w:t>
        </w:r>
        <w:r w:rsidRPr="00DE5CA6">
          <w:rPr>
            <w:sz w:val="16"/>
            <w:szCs w:val="16"/>
          </w:rPr>
          <w:fldChar w:fldCharType="end"/>
        </w:r>
      </w:p>
    </w:sdtContent>
  </w:sdt>
  <w:p w:rsidR="00EA2176" w:rsidRDefault="00EA2176" w:rsidP="0041655E">
    <w:pPr>
      <w:pStyle w:val="Header"/>
      <w:rPr>
        <w:rFonts w:ascii="Constantia" w:hAnsi="Constantia" w:cs="Tahoma"/>
        <w:sz w:val="24"/>
        <w:szCs w:val="24"/>
      </w:rPr>
    </w:pPr>
    <w:r w:rsidRPr="0035040E">
      <w:rPr>
        <w:rFonts w:ascii="Constantia" w:hAnsi="Constantia" w:cs="Tahoma"/>
        <w:sz w:val="24"/>
        <w:szCs w:val="24"/>
      </w:rPr>
      <w:t>БИМ КОНСУЛТИНГ ООД</w:t>
    </w:r>
    <w:r>
      <w:rPr>
        <w:rFonts w:ascii="Constantia" w:hAnsi="Constantia" w:cs="Tahoma"/>
        <w:sz w:val="24"/>
        <w:szCs w:val="24"/>
      </w:rPr>
      <w:t xml:space="preserve"> </w:t>
    </w:r>
  </w:p>
  <w:p w:rsidR="00EA2176" w:rsidRPr="00800358" w:rsidRDefault="00EA2176" w:rsidP="0037472C">
    <w:pPr>
      <w:pStyle w:val="Header"/>
      <w:rPr>
        <w:rFonts w:ascii="Garamond" w:hAnsi="Garamond" w:cs="Tahoma"/>
        <w:sz w:val="20"/>
        <w:szCs w:val="20"/>
        <w:lang w:val="ru-RU"/>
      </w:rPr>
    </w:pPr>
    <w:r w:rsidRPr="00800358">
      <w:rPr>
        <w:rFonts w:ascii="Garamond" w:hAnsi="Garamond" w:cs="Tahoma"/>
        <w:sz w:val="20"/>
        <w:szCs w:val="20"/>
        <w:lang w:val="ru-RU"/>
      </w:rPr>
      <w:t>Адрес: 1000 София, ул. „Уилям Гладстон” 23, ет.1, ап.3</w:t>
    </w:r>
    <w:r w:rsidRPr="00800358">
      <w:rPr>
        <w:rFonts w:ascii="Garamond" w:hAnsi="Garamond" w:cs="Tahoma"/>
        <w:sz w:val="20"/>
        <w:szCs w:val="20"/>
        <w:lang w:val="ru-RU"/>
      </w:rPr>
      <w:tab/>
    </w:r>
    <w:r>
      <w:rPr>
        <w:noProof/>
        <w:lang w:eastAsia="bg-BG"/>
      </w:rPr>
      <w:drawing>
        <wp:inline distT="0" distB="0" distL="0" distR="0">
          <wp:extent cx="590550" cy="400050"/>
          <wp:effectExtent l="19050" t="0" r="0" b="0"/>
          <wp:docPr id="256" name="Picture 1" descr="bim-log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m-logo.bmp"/>
                  <pic:cNvPicPr>
                    <a:picLocks noChangeAspect="1" noChangeArrowheads="1"/>
                  </pic:cNvPicPr>
                </pic:nvPicPr>
                <pic:blipFill>
                  <a:blip r:embed="rId1"/>
                  <a:srcRect/>
                  <a:stretch>
                    <a:fillRect/>
                  </a:stretch>
                </pic:blipFill>
                <pic:spPr bwMode="auto">
                  <a:xfrm>
                    <a:off x="0" y="0"/>
                    <a:ext cx="590550" cy="400050"/>
                  </a:xfrm>
                  <a:prstGeom prst="rect">
                    <a:avLst/>
                  </a:prstGeom>
                  <a:noFill/>
                  <a:ln w="9525">
                    <a:noFill/>
                    <a:miter lim="800000"/>
                    <a:headEnd/>
                    <a:tailEnd/>
                  </a:ln>
                </pic:spPr>
              </pic:pic>
            </a:graphicData>
          </a:graphic>
        </wp:inline>
      </w:drawing>
    </w:r>
  </w:p>
  <w:p w:rsidR="00EA2176" w:rsidRPr="00E805E6" w:rsidRDefault="00EA2176" w:rsidP="0037472C">
    <w:pPr>
      <w:pStyle w:val="Header"/>
      <w:rPr>
        <w:rFonts w:ascii="Garamond" w:hAnsi="Garamond" w:cs="Tahoma"/>
        <w:sz w:val="20"/>
        <w:szCs w:val="20"/>
        <w:lang w:val="en-US"/>
      </w:rPr>
    </w:pPr>
    <w:r>
      <w:rPr>
        <w:rFonts w:ascii="Garamond" w:hAnsi="Garamond" w:cs="Tahoma"/>
        <w:sz w:val="20"/>
        <w:szCs w:val="20"/>
      </w:rPr>
      <w:t xml:space="preserve">Тел./Факс: 02/987 24 82; </w:t>
    </w:r>
    <w:r>
      <w:rPr>
        <w:rFonts w:ascii="Garamond" w:hAnsi="Garamond" w:cs="Tahoma"/>
        <w:sz w:val="20"/>
        <w:szCs w:val="20"/>
        <w:lang w:val="en-US"/>
      </w:rPr>
      <w:t>E-mail: office@bim-bg.com</w:t>
    </w:r>
  </w:p>
  <w:p w:rsidR="00EA2176" w:rsidRPr="00DE5CA6" w:rsidRDefault="00EA2176" w:rsidP="00896933">
    <w:pPr>
      <w:pStyle w:val="Footer"/>
      <w:ind w:right="360"/>
      <w:rPr>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74435867"/>
      <w:docPartObj>
        <w:docPartGallery w:val="Page Numbers (Bottom of Page)"/>
        <w:docPartUnique/>
      </w:docPartObj>
    </w:sdtPr>
    <w:sdtEndPr/>
    <w:sdtContent>
      <w:p w:rsidR="00EA2176" w:rsidRDefault="008E6461">
        <w:pPr>
          <w:pStyle w:val="Footer"/>
          <w:jc w:val="right"/>
        </w:pPr>
        <w:r w:rsidRPr="006237F3">
          <w:rPr>
            <w:sz w:val="16"/>
            <w:szCs w:val="16"/>
          </w:rPr>
          <w:fldChar w:fldCharType="begin"/>
        </w:r>
        <w:r w:rsidR="00EA2176" w:rsidRPr="006237F3">
          <w:rPr>
            <w:sz w:val="16"/>
            <w:szCs w:val="16"/>
          </w:rPr>
          <w:instrText xml:space="preserve"> PAGE   \* MERGEFORMAT </w:instrText>
        </w:r>
        <w:r w:rsidRPr="006237F3">
          <w:rPr>
            <w:sz w:val="16"/>
            <w:szCs w:val="16"/>
          </w:rPr>
          <w:fldChar w:fldCharType="separate"/>
        </w:r>
        <w:r w:rsidR="0041519B">
          <w:rPr>
            <w:noProof/>
            <w:sz w:val="16"/>
            <w:szCs w:val="16"/>
          </w:rPr>
          <w:t>8</w:t>
        </w:r>
        <w:r w:rsidRPr="006237F3">
          <w:rPr>
            <w:sz w:val="16"/>
            <w:szCs w:val="16"/>
          </w:rPr>
          <w:fldChar w:fldCharType="end"/>
        </w:r>
      </w:p>
    </w:sdtContent>
  </w:sdt>
  <w:p w:rsidR="00EA2176" w:rsidRDefault="00EA2176" w:rsidP="002C7A63">
    <w:pPr>
      <w:pStyle w:val="Head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176" w:rsidRDefault="008E6461" w:rsidP="00A43F16">
    <w:pPr>
      <w:pStyle w:val="Footer"/>
      <w:framePr w:wrap="around" w:vAnchor="text" w:hAnchor="margin" w:xAlign="right" w:y="1"/>
      <w:rPr>
        <w:rStyle w:val="PageNumber"/>
      </w:rPr>
    </w:pPr>
    <w:r>
      <w:rPr>
        <w:rStyle w:val="PageNumber"/>
      </w:rPr>
      <w:fldChar w:fldCharType="begin"/>
    </w:r>
    <w:r w:rsidR="00EA2176">
      <w:rPr>
        <w:rStyle w:val="PageNumber"/>
      </w:rPr>
      <w:instrText xml:space="preserve">PAGE  </w:instrText>
    </w:r>
    <w:r>
      <w:rPr>
        <w:rStyle w:val="PageNumber"/>
      </w:rPr>
      <w:fldChar w:fldCharType="end"/>
    </w:r>
  </w:p>
  <w:p w:rsidR="00EA2176" w:rsidRDefault="00EA2176" w:rsidP="00A43F16">
    <w:pPr>
      <w:pStyle w:val="Foote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2601977"/>
      <w:docPartObj>
        <w:docPartGallery w:val="Page Numbers (Bottom of Page)"/>
        <w:docPartUnique/>
      </w:docPartObj>
    </w:sdtPr>
    <w:sdtEndPr/>
    <w:sdtContent>
      <w:p w:rsidR="00EA2176" w:rsidRDefault="008E6461" w:rsidP="007D6052">
        <w:pPr>
          <w:pStyle w:val="Header"/>
          <w:jc w:val="right"/>
          <w:rPr>
            <w:rFonts w:ascii="Constantia" w:hAnsi="Constantia" w:cs="Tahoma"/>
            <w:sz w:val="24"/>
            <w:szCs w:val="24"/>
          </w:rPr>
        </w:pPr>
        <w:r w:rsidRPr="006237F3">
          <w:rPr>
            <w:sz w:val="16"/>
            <w:szCs w:val="16"/>
          </w:rPr>
          <w:fldChar w:fldCharType="begin"/>
        </w:r>
        <w:r w:rsidR="00EA2176" w:rsidRPr="006237F3">
          <w:rPr>
            <w:sz w:val="16"/>
            <w:szCs w:val="16"/>
          </w:rPr>
          <w:instrText xml:space="preserve"> PAGE   \* MERGEFORMAT </w:instrText>
        </w:r>
        <w:r w:rsidRPr="006237F3">
          <w:rPr>
            <w:sz w:val="16"/>
            <w:szCs w:val="16"/>
          </w:rPr>
          <w:fldChar w:fldCharType="separate"/>
        </w:r>
        <w:r w:rsidR="0041519B">
          <w:rPr>
            <w:noProof/>
            <w:sz w:val="16"/>
            <w:szCs w:val="16"/>
          </w:rPr>
          <w:t>283</w:t>
        </w:r>
        <w:r w:rsidRPr="006237F3">
          <w:rPr>
            <w:sz w:val="16"/>
            <w:szCs w:val="16"/>
          </w:rPr>
          <w:fldChar w:fldCharType="end"/>
        </w:r>
        <w:r w:rsidR="00EA2176" w:rsidRPr="007D6052">
          <w:rPr>
            <w:rFonts w:ascii="Constantia" w:hAnsi="Constantia" w:cs="Tahoma"/>
            <w:sz w:val="24"/>
            <w:szCs w:val="24"/>
          </w:rPr>
          <w:t xml:space="preserve"> </w:t>
        </w:r>
      </w:p>
      <w:p w:rsidR="00EA2176" w:rsidRDefault="00EA2176" w:rsidP="007D6052">
        <w:pPr>
          <w:pStyle w:val="Header"/>
          <w:rPr>
            <w:rFonts w:ascii="Constantia" w:hAnsi="Constantia" w:cs="Tahoma"/>
            <w:sz w:val="24"/>
            <w:szCs w:val="24"/>
          </w:rPr>
        </w:pPr>
        <w:r w:rsidRPr="0035040E">
          <w:rPr>
            <w:rFonts w:ascii="Constantia" w:hAnsi="Constantia" w:cs="Tahoma"/>
            <w:sz w:val="24"/>
            <w:szCs w:val="24"/>
          </w:rPr>
          <w:t>БИМ КОНСУЛТИНГ ООД</w:t>
        </w:r>
        <w:r>
          <w:rPr>
            <w:rFonts w:ascii="Constantia" w:hAnsi="Constantia" w:cs="Tahoma"/>
            <w:sz w:val="24"/>
            <w:szCs w:val="24"/>
          </w:rPr>
          <w:t xml:space="preserve"> </w:t>
        </w:r>
      </w:p>
      <w:p w:rsidR="00EA2176" w:rsidRPr="00800358" w:rsidRDefault="00EA2176" w:rsidP="007D6052">
        <w:pPr>
          <w:pStyle w:val="Header"/>
          <w:rPr>
            <w:rFonts w:ascii="Garamond" w:hAnsi="Garamond" w:cs="Tahoma"/>
            <w:sz w:val="20"/>
            <w:szCs w:val="20"/>
            <w:lang w:val="ru-RU"/>
          </w:rPr>
        </w:pPr>
        <w:r w:rsidRPr="00800358">
          <w:rPr>
            <w:rFonts w:ascii="Garamond" w:hAnsi="Garamond" w:cs="Tahoma"/>
            <w:sz w:val="20"/>
            <w:szCs w:val="20"/>
            <w:lang w:val="ru-RU"/>
          </w:rPr>
          <w:t>Адрес: 1000 София, ул. „Уилям Гладстон” 23, ет.1, ап.3</w:t>
        </w:r>
        <w:r w:rsidRPr="00800358">
          <w:rPr>
            <w:rFonts w:ascii="Garamond" w:hAnsi="Garamond" w:cs="Tahoma"/>
            <w:sz w:val="20"/>
            <w:szCs w:val="20"/>
            <w:lang w:val="ru-RU"/>
          </w:rPr>
          <w:tab/>
        </w:r>
        <w:r>
          <w:rPr>
            <w:noProof/>
            <w:lang w:eastAsia="bg-BG"/>
          </w:rPr>
          <w:drawing>
            <wp:inline distT="0" distB="0" distL="0" distR="0">
              <wp:extent cx="590550" cy="400050"/>
              <wp:effectExtent l="19050" t="0" r="0" b="0"/>
              <wp:docPr id="27" name="Picture 1" descr="bim-log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m-logo.bmp"/>
                      <pic:cNvPicPr>
                        <a:picLocks noChangeAspect="1" noChangeArrowheads="1"/>
                      </pic:cNvPicPr>
                    </pic:nvPicPr>
                    <pic:blipFill>
                      <a:blip r:embed="rId1"/>
                      <a:srcRect/>
                      <a:stretch>
                        <a:fillRect/>
                      </a:stretch>
                    </pic:blipFill>
                    <pic:spPr bwMode="auto">
                      <a:xfrm>
                        <a:off x="0" y="0"/>
                        <a:ext cx="590550" cy="400050"/>
                      </a:xfrm>
                      <a:prstGeom prst="rect">
                        <a:avLst/>
                      </a:prstGeom>
                      <a:noFill/>
                      <a:ln w="9525">
                        <a:noFill/>
                        <a:miter lim="800000"/>
                        <a:headEnd/>
                        <a:tailEnd/>
                      </a:ln>
                    </pic:spPr>
                  </pic:pic>
                </a:graphicData>
              </a:graphic>
            </wp:inline>
          </w:drawing>
        </w:r>
      </w:p>
      <w:p w:rsidR="00EA2176" w:rsidRPr="007D6052" w:rsidRDefault="00EA2176" w:rsidP="007D6052">
        <w:pPr>
          <w:pStyle w:val="Header"/>
          <w:rPr>
            <w:rFonts w:ascii="Garamond" w:hAnsi="Garamond" w:cs="Tahoma"/>
            <w:sz w:val="20"/>
            <w:szCs w:val="20"/>
            <w:lang w:val="en-US"/>
          </w:rPr>
        </w:pPr>
        <w:r>
          <w:rPr>
            <w:rFonts w:ascii="Garamond" w:hAnsi="Garamond" w:cs="Tahoma"/>
            <w:sz w:val="20"/>
            <w:szCs w:val="20"/>
          </w:rPr>
          <w:t xml:space="preserve">Тел./Факс: 02/987 24 82; </w:t>
        </w:r>
        <w:r>
          <w:rPr>
            <w:rFonts w:ascii="Garamond" w:hAnsi="Garamond" w:cs="Tahoma"/>
            <w:sz w:val="20"/>
            <w:szCs w:val="20"/>
            <w:lang w:val="en-US"/>
          </w:rPr>
          <w:t>E-mail: office@bim-bg.com</w:t>
        </w:r>
      </w:p>
    </w:sdtContent>
  </w:sdt>
  <w:p w:rsidR="00EA2176" w:rsidRDefault="00EA2176" w:rsidP="002C7A63">
    <w:pPr>
      <w:pStyle w:val="Head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14DF" w:rsidRDefault="00CD14DF" w:rsidP="00FC58CF">
      <w:pPr>
        <w:spacing w:after="0" w:line="240" w:lineRule="auto"/>
      </w:pPr>
      <w:r>
        <w:separator/>
      </w:r>
    </w:p>
  </w:footnote>
  <w:footnote w:type="continuationSeparator" w:id="0">
    <w:p w:rsidR="00CD14DF" w:rsidRDefault="00CD14DF" w:rsidP="00FC58CF">
      <w:pPr>
        <w:spacing w:after="0" w:line="240" w:lineRule="auto"/>
      </w:pPr>
      <w:r>
        <w:continuationSeparator/>
      </w:r>
    </w:p>
  </w:footnote>
  <w:footnote w:id="1">
    <w:p w:rsidR="00EA2176" w:rsidRPr="00530F68" w:rsidRDefault="00EA2176" w:rsidP="009C1252">
      <w:pPr>
        <w:pStyle w:val="FootnoteText"/>
        <w:rPr>
          <w:rFonts w:ascii="Constantia" w:hAnsi="Constantia"/>
          <w:sz w:val="18"/>
          <w:szCs w:val="18"/>
          <w:lang w:val="en-US"/>
        </w:rPr>
      </w:pPr>
      <w:r>
        <w:rPr>
          <w:rStyle w:val="FootnoteReference"/>
        </w:rPr>
        <w:footnoteRef/>
      </w:r>
      <w:r>
        <w:t xml:space="preserve"> </w:t>
      </w:r>
      <w:r w:rsidRPr="00530F68">
        <w:rPr>
          <w:rFonts w:ascii="Constantia" w:hAnsi="Constantia"/>
          <w:sz w:val="18"/>
          <w:szCs w:val="18"/>
          <w:lang w:val="en-US"/>
        </w:rPr>
        <w:t>EC, EIB, Ex-ante assessment methodology for financial instruments in the 2014-2020 programming period, General methodology covering all thematic objectives, Volume I, Version 1.0 - March 2014</w:t>
      </w:r>
    </w:p>
  </w:footnote>
  <w:footnote w:id="2">
    <w:p w:rsidR="00EA2176" w:rsidRPr="00530F68" w:rsidRDefault="00EA2176" w:rsidP="009C1252">
      <w:pPr>
        <w:pStyle w:val="FootnoteText"/>
        <w:rPr>
          <w:rFonts w:ascii="Constantia" w:hAnsi="Constantia"/>
          <w:sz w:val="18"/>
          <w:szCs w:val="18"/>
          <w:lang w:val="en-US"/>
        </w:rPr>
      </w:pPr>
      <w:r>
        <w:rPr>
          <w:rStyle w:val="FootnoteReference"/>
        </w:rPr>
        <w:footnoteRef/>
      </w:r>
      <w:r>
        <w:t xml:space="preserve"> </w:t>
      </w:r>
      <w:r w:rsidRPr="00530F68">
        <w:rPr>
          <w:rFonts w:ascii="Constantia" w:hAnsi="Constantia"/>
          <w:sz w:val="18"/>
          <w:szCs w:val="18"/>
          <w:lang w:val="en-US"/>
        </w:rPr>
        <w:t>EC, EIB, Ex-ante assessment methodology for financial instruments in the 2014-2020 programming period, General methodology covering all thematic objectives, Volume I, Version 1.0 - March 2014</w:t>
      </w:r>
    </w:p>
  </w:footnote>
  <w:footnote w:id="3">
    <w:p w:rsidR="00EA2176" w:rsidRPr="007A1BFE" w:rsidRDefault="00EA2176" w:rsidP="00CB7DDC">
      <w:pPr>
        <w:pStyle w:val="FootnoteText"/>
        <w:rPr>
          <w:sz w:val="18"/>
          <w:szCs w:val="18"/>
        </w:rPr>
      </w:pPr>
      <w:r w:rsidRPr="007A1BFE">
        <w:rPr>
          <w:rStyle w:val="FootnoteReference"/>
          <w:sz w:val="18"/>
          <w:szCs w:val="18"/>
        </w:rPr>
        <w:footnoteRef/>
      </w:r>
      <w:r w:rsidRPr="007A1BFE">
        <w:rPr>
          <w:sz w:val="18"/>
          <w:szCs w:val="18"/>
        </w:rPr>
        <w:t xml:space="preserve"> </w:t>
      </w:r>
      <w:r w:rsidRPr="00026428">
        <w:rPr>
          <w:rFonts w:cstheme="minorHAnsi"/>
          <w:sz w:val="16"/>
          <w:szCs w:val="16"/>
        </w:rPr>
        <w:t>Одобр</w:t>
      </w:r>
      <w:r w:rsidRPr="00026428">
        <w:rPr>
          <w:rFonts w:cstheme="minorHAnsi"/>
          <w:spacing w:val="-1"/>
          <w:sz w:val="16"/>
          <w:szCs w:val="16"/>
        </w:rPr>
        <w:t>е</w:t>
      </w:r>
      <w:r w:rsidRPr="00026428">
        <w:rPr>
          <w:rFonts w:cstheme="minorHAnsi"/>
          <w:spacing w:val="1"/>
          <w:sz w:val="16"/>
          <w:szCs w:val="16"/>
        </w:rPr>
        <w:t>н</w:t>
      </w:r>
      <w:r w:rsidRPr="00026428">
        <w:rPr>
          <w:rFonts w:cstheme="minorHAnsi"/>
          <w:sz w:val="16"/>
          <w:szCs w:val="16"/>
        </w:rPr>
        <w:t>а</w:t>
      </w:r>
      <w:r w:rsidRPr="00026428">
        <w:rPr>
          <w:rFonts w:cstheme="minorHAnsi"/>
          <w:spacing w:val="-1"/>
          <w:sz w:val="16"/>
          <w:szCs w:val="16"/>
        </w:rPr>
        <w:t xml:space="preserve"> </w:t>
      </w:r>
      <w:r w:rsidRPr="00026428">
        <w:rPr>
          <w:rFonts w:cstheme="minorHAnsi"/>
          <w:sz w:val="16"/>
          <w:szCs w:val="16"/>
        </w:rPr>
        <w:t>с</w:t>
      </w:r>
      <w:r w:rsidRPr="00026428">
        <w:rPr>
          <w:rFonts w:cstheme="minorHAnsi"/>
          <w:spacing w:val="-1"/>
          <w:sz w:val="16"/>
          <w:szCs w:val="16"/>
        </w:rPr>
        <w:t xml:space="preserve"> </w:t>
      </w:r>
      <w:r w:rsidRPr="00026428">
        <w:rPr>
          <w:rFonts w:cstheme="minorHAnsi"/>
          <w:spacing w:val="1"/>
          <w:sz w:val="16"/>
          <w:szCs w:val="16"/>
        </w:rPr>
        <w:t>Р</w:t>
      </w:r>
      <w:r w:rsidRPr="00026428">
        <w:rPr>
          <w:rFonts w:cstheme="minorHAnsi"/>
          <w:spacing w:val="-1"/>
          <w:sz w:val="16"/>
          <w:szCs w:val="16"/>
        </w:rPr>
        <w:t>е</w:t>
      </w:r>
      <w:r w:rsidRPr="00026428">
        <w:rPr>
          <w:rFonts w:cstheme="minorHAnsi"/>
          <w:sz w:val="16"/>
          <w:szCs w:val="16"/>
        </w:rPr>
        <w:t>ш</w:t>
      </w:r>
      <w:r w:rsidRPr="00026428">
        <w:rPr>
          <w:rFonts w:cstheme="minorHAnsi"/>
          <w:spacing w:val="-1"/>
          <w:sz w:val="16"/>
          <w:szCs w:val="16"/>
        </w:rPr>
        <w:t>е</w:t>
      </w:r>
      <w:r w:rsidRPr="00026428">
        <w:rPr>
          <w:rFonts w:cstheme="minorHAnsi"/>
          <w:spacing w:val="1"/>
          <w:sz w:val="16"/>
          <w:szCs w:val="16"/>
        </w:rPr>
        <w:t>ни</w:t>
      </w:r>
      <w:r w:rsidRPr="00026428">
        <w:rPr>
          <w:rFonts w:cstheme="minorHAnsi"/>
          <w:sz w:val="16"/>
          <w:szCs w:val="16"/>
        </w:rPr>
        <w:t>е</w:t>
      </w:r>
      <w:r w:rsidRPr="00026428">
        <w:rPr>
          <w:rFonts w:cstheme="minorHAnsi"/>
          <w:spacing w:val="-1"/>
          <w:sz w:val="16"/>
          <w:szCs w:val="16"/>
        </w:rPr>
        <w:t xml:space="preserve"> </w:t>
      </w:r>
      <w:r w:rsidRPr="00026428">
        <w:rPr>
          <w:rFonts w:cstheme="minorHAnsi"/>
          <w:spacing w:val="1"/>
          <w:sz w:val="16"/>
          <w:szCs w:val="16"/>
        </w:rPr>
        <w:t>н</w:t>
      </w:r>
      <w:r w:rsidRPr="00026428">
        <w:rPr>
          <w:rFonts w:cstheme="minorHAnsi"/>
          <w:sz w:val="16"/>
          <w:szCs w:val="16"/>
        </w:rPr>
        <w:t>а</w:t>
      </w:r>
      <w:r w:rsidRPr="00026428">
        <w:rPr>
          <w:rFonts w:cstheme="minorHAnsi"/>
          <w:spacing w:val="1"/>
          <w:sz w:val="16"/>
          <w:szCs w:val="16"/>
        </w:rPr>
        <w:t xml:space="preserve"> </w:t>
      </w:r>
      <w:r w:rsidRPr="00026428">
        <w:rPr>
          <w:rFonts w:cstheme="minorHAnsi"/>
          <w:sz w:val="16"/>
          <w:szCs w:val="16"/>
        </w:rPr>
        <w:t>М</w:t>
      </w:r>
      <w:r w:rsidRPr="00026428">
        <w:rPr>
          <w:rFonts w:cstheme="minorHAnsi"/>
          <w:spacing w:val="1"/>
          <w:sz w:val="16"/>
          <w:szCs w:val="16"/>
        </w:rPr>
        <w:t>и</w:t>
      </w:r>
      <w:r w:rsidRPr="00026428">
        <w:rPr>
          <w:rFonts w:cstheme="minorHAnsi"/>
          <w:spacing w:val="-1"/>
          <w:sz w:val="16"/>
          <w:szCs w:val="16"/>
        </w:rPr>
        <w:t>н</w:t>
      </w:r>
      <w:r w:rsidRPr="00026428">
        <w:rPr>
          <w:rFonts w:cstheme="minorHAnsi"/>
          <w:spacing w:val="1"/>
          <w:sz w:val="16"/>
          <w:szCs w:val="16"/>
        </w:rPr>
        <w:t>и</w:t>
      </w:r>
      <w:r w:rsidRPr="00026428">
        <w:rPr>
          <w:rFonts w:cstheme="minorHAnsi"/>
          <w:spacing w:val="-1"/>
          <w:sz w:val="16"/>
          <w:szCs w:val="16"/>
        </w:rPr>
        <w:t>с</w:t>
      </w:r>
      <w:r w:rsidRPr="00026428">
        <w:rPr>
          <w:rFonts w:cstheme="minorHAnsi"/>
          <w:sz w:val="16"/>
          <w:szCs w:val="16"/>
        </w:rPr>
        <w:t>т</w:t>
      </w:r>
      <w:r w:rsidRPr="00026428">
        <w:rPr>
          <w:rFonts w:cstheme="minorHAnsi"/>
          <w:spacing w:val="-1"/>
          <w:sz w:val="16"/>
          <w:szCs w:val="16"/>
        </w:rPr>
        <w:t>е</w:t>
      </w:r>
      <w:r w:rsidRPr="00026428">
        <w:rPr>
          <w:rFonts w:cstheme="minorHAnsi"/>
          <w:sz w:val="16"/>
          <w:szCs w:val="16"/>
        </w:rPr>
        <w:t>р</w:t>
      </w:r>
      <w:r w:rsidRPr="00026428">
        <w:rPr>
          <w:rFonts w:cstheme="minorHAnsi"/>
          <w:spacing w:val="-1"/>
          <w:sz w:val="16"/>
          <w:szCs w:val="16"/>
        </w:rPr>
        <w:t>с</w:t>
      </w:r>
      <w:r w:rsidRPr="00026428">
        <w:rPr>
          <w:rFonts w:cstheme="minorHAnsi"/>
          <w:spacing w:val="1"/>
          <w:sz w:val="16"/>
          <w:szCs w:val="16"/>
        </w:rPr>
        <w:t>ки</w:t>
      </w:r>
      <w:r w:rsidRPr="00026428">
        <w:rPr>
          <w:rFonts w:cstheme="minorHAnsi"/>
          <w:sz w:val="16"/>
          <w:szCs w:val="16"/>
        </w:rPr>
        <w:t xml:space="preserve">я </w:t>
      </w:r>
      <w:r w:rsidRPr="00026428">
        <w:rPr>
          <w:rFonts w:cstheme="minorHAnsi"/>
          <w:spacing w:val="-1"/>
          <w:sz w:val="16"/>
          <w:szCs w:val="16"/>
        </w:rPr>
        <w:t>с</w:t>
      </w:r>
      <w:r w:rsidRPr="00026428">
        <w:rPr>
          <w:rFonts w:cstheme="minorHAnsi"/>
          <w:sz w:val="16"/>
          <w:szCs w:val="16"/>
        </w:rPr>
        <w:t>ъв</w:t>
      </w:r>
      <w:r w:rsidRPr="00026428">
        <w:rPr>
          <w:rFonts w:cstheme="minorHAnsi"/>
          <w:spacing w:val="-1"/>
          <w:sz w:val="16"/>
          <w:szCs w:val="16"/>
        </w:rPr>
        <w:t>е</w:t>
      </w:r>
      <w:r w:rsidRPr="00026428">
        <w:rPr>
          <w:rFonts w:cstheme="minorHAnsi"/>
          <w:sz w:val="16"/>
          <w:szCs w:val="16"/>
        </w:rPr>
        <w:t>т №</w:t>
      </w:r>
      <w:r w:rsidRPr="00026428">
        <w:rPr>
          <w:rFonts w:cstheme="minorHAnsi"/>
          <w:spacing w:val="-1"/>
          <w:sz w:val="16"/>
          <w:szCs w:val="16"/>
        </w:rPr>
        <w:t xml:space="preserve"> </w:t>
      </w:r>
      <w:r w:rsidRPr="00026428">
        <w:rPr>
          <w:rFonts w:cstheme="minorHAnsi"/>
          <w:sz w:val="16"/>
          <w:szCs w:val="16"/>
        </w:rPr>
        <w:t>269 от 07.05.2014 г.</w:t>
      </w:r>
    </w:p>
  </w:footnote>
  <w:footnote w:id="4">
    <w:p w:rsidR="00EA2176" w:rsidRPr="00F35CD3" w:rsidRDefault="00EA2176" w:rsidP="00F35CD3">
      <w:pPr>
        <w:pStyle w:val="FootnoteText"/>
        <w:ind w:left="142" w:hanging="142"/>
        <w:jc w:val="both"/>
        <w:rPr>
          <w:rFonts w:asciiTheme="minorHAnsi" w:hAnsiTheme="minorHAnsi" w:cstheme="minorHAnsi"/>
          <w:sz w:val="18"/>
          <w:szCs w:val="18"/>
        </w:rPr>
      </w:pPr>
      <w:r>
        <w:rPr>
          <w:rStyle w:val="FootnoteReference"/>
        </w:rPr>
        <w:footnoteRef/>
      </w:r>
      <w:r>
        <w:t xml:space="preserve"> </w:t>
      </w:r>
      <w:r w:rsidRPr="00F35CD3">
        <w:rPr>
          <w:rFonts w:asciiTheme="minorHAnsi" w:hAnsiTheme="minorHAnsi" w:cstheme="minorHAnsi"/>
          <w:sz w:val="18"/>
          <w:szCs w:val="18"/>
        </w:rPr>
        <w:t>Това поражда задължение в тримесечен срок от влизането в сила на това</w:t>
      </w:r>
      <w:r>
        <w:rPr>
          <w:rFonts w:asciiTheme="minorHAnsi" w:hAnsiTheme="minorHAnsi" w:cstheme="minorHAnsi"/>
          <w:sz w:val="18"/>
          <w:szCs w:val="18"/>
        </w:rPr>
        <w:t xml:space="preserve"> </w:t>
      </w:r>
      <w:r w:rsidRPr="00F35CD3">
        <w:rPr>
          <w:rFonts w:asciiTheme="minorHAnsi" w:hAnsiTheme="minorHAnsi" w:cstheme="minorHAnsi"/>
          <w:sz w:val="18"/>
          <w:szCs w:val="18"/>
        </w:rPr>
        <w:t>изменение</w:t>
      </w:r>
      <w:r>
        <w:rPr>
          <w:rFonts w:asciiTheme="minorHAnsi" w:hAnsiTheme="minorHAnsi" w:cstheme="minorHAnsi"/>
          <w:sz w:val="18"/>
          <w:szCs w:val="18"/>
        </w:rPr>
        <w:t>,</w:t>
      </w:r>
      <w:r w:rsidRPr="00F35CD3">
        <w:rPr>
          <w:rFonts w:asciiTheme="minorHAnsi" w:hAnsiTheme="minorHAnsi" w:cstheme="minorHAnsi"/>
          <w:sz w:val="18"/>
          <w:szCs w:val="18"/>
        </w:rPr>
        <w:t xml:space="preserve"> т.е. до 03.03.2014 г. </w:t>
      </w:r>
      <w:r>
        <w:rPr>
          <w:rFonts w:asciiTheme="minorHAnsi" w:hAnsiTheme="minorHAnsi" w:cstheme="minorHAnsi"/>
          <w:sz w:val="18"/>
          <w:szCs w:val="18"/>
        </w:rPr>
        <w:t xml:space="preserve">за </w:t>
      </w:r>
      <w:r w:rsidRPr="00F35CD3">
        <w:rPr>
          <w:rFonts w:asciiTheme="minorHAnsi" w:hAnsiTheme="minorHAnsi" w:cstheme="minorHAnsi"/>
          <w:sz w:val="18"/>
          <w:szCs w:val="18"/>
        </w:rPr>
        <w:t>ВиК операторите да допълнят текущите си бизнес планове</w:t>
      </w:r>
      <w:r>
        <w:rPr>
          <w:rFonts w:asciiTheme="minorHAnsi" w:hAnsiTheme="minorHAnsi" w:cstheme="minorHAnsi"/>
          <w:sz w:val="18"/>
          <w:szCs w:val="18"/>
        </w:rPr>
        <w:t xml:space="preserve"> </w:t>
      </w:r>
      <w:r w:rsidRPr="00F35CD3">
        <w:rPr>
          <w:rFonts w:asciiTheme="minorHAnsi" w:hAnsiTheme="minorHAnsi" w:cstheme="minorHAnsi"/>
          <w:sz w:val="18"/>
          <w:szCs w:val="18"/>
        </w:rPr>
        <w:t>в съответствие с удължения срок на настоящия регулаторен период и да представят в ДКЕВР</w:t>
      </w:r>
      <w:r>
        <w:rPr>
          <w:rFonts w:asciiTheme="minorHAnsi" w:hAnsiTheme="minorHAnsi" w:cstheme="minorHAnsi"/>
          <w:sz w:val="18"/>
          <w:szCs w:val="18"/>
        </w:rPr>
        <w:t xml:space="preserve"> </w:t>
      </w:r>
      <w:r w:rsidRPr="00F35CD3">
        <w:rPr>
          <w:rFonts w:asciiTheme="minorHAnsi" w:hAnsiTheme="minorHAnsi" w:cstheme="minorHAnsi"/>
          <w:sz w:val="18"/>
          <w:szCs w:val="18"/>
        </w:rPr>
        <w:t>допълнените бизнес планове за одобрение по реда на чл. 11 от ЗРВКУ</w:t>
      </w:r>
    </w:p>
  </w:footnote>
  <w:footnote w:id="5">
    <w:p w:rsidR="00EA2176" w:rsidRPr="009C60B0" w:rsidRDefault="00EA2176" w:rsidP="009D2DBF">
      <w:pPr>
        <w:pStyle w:val="FootnoteText"/>
        <w:ind w:left="142" w:hanging="142"/>
        <w:jc w:val="both"/>
        <w:rPr>
          <w:rFonts w:asciiTheme="minorHAnsi" w:hAnsiTheme="minorHAnsi" w:cstheme="minorHAnsi"/>
          <w:sz w:val="18"/>
          <w:szCs w:val="18"/>
        </w:rPr>
      </w:pPr>
      <w:r w:rsidRPr="009C60B0">
        <w:rPr>
          <w:rFonts w:asciiTheme="minorHAnsi" w:hAnsiTheme="minorHAnsi" w:cstheme="minorHAnsi"/>
          <w:sz w:val="18"/>
          <w:szCs w:val="18"/>
          <w:vertAlign w:val="superscript"/>
        </w:rPr>
        <w:footnoteRef/>
      </w:r>
      <w:r w:rsidRPr="009C60B0">
        <w:rPr>
          <w:rFonts w:asciiTheme="minorHAnsi" w:hAnsiTheme="minorHAnsi" w:cstheme="minorHAnsi"/>
          <w:sz w:val="18"/>
          <w:szCs w:val="18"/>
        </w:rPr>
        <w:t xml:space="preserve"> Еластичността на търсенето е зависимостта на количеството търсена продукция от факторите доходи и цени. Търсенето се нарича еластично, когато малки промени в цената на дадена стока или в доходите на потребителите се изразяват в големи промени на търсенето на тази стока.</w:t>
      </w:r>
    </w:p>
  </w:footnote>
  <w:footnote w:id="6">
    <w:p w:rsidR="00EA2176" w:rsidRPr="009C60B0" w:rsidRDefault="00EA2176" w:rsidP="00026428">
      <w:pPr>
        <w:pStyle w:val="FootnoteText"/>
        <w:ind w:left="142" w:hanging="142"/>
        <w:jc w:val="both"/>
        <w:rPr>
          <w:rFonts w:asciiTheme="minorHAnsi" w:eastAsia="Calibri" w:hAnsiTheme="minorHAnsi" w:cstheme="minorHAnsi"/>
          <w:spacing w:val="-1"/>
          <w:sz w:val="18"/>
          <w:szCs w:val="18"/>
          <w:lang w:eastAsia="en-US"/>
        </w:rPr>
      </w:pPr>
      <w:r w:rsidRPr="009C60B0">
        <w:rPr>
          <w:rStyle w:val="FootnoteReference"/>
          <w:rFonts w:asciiTheme="minorHAnsi" w:hAnsiTheme="minorHAnsi" w:cstheme="minorHAnsi"/>
          <w:sz w:val="18"/>
          <w:szCs w:val="18"/>
        </w:rPr>
        <w:footnoteRef/>
      </w:r>
      <w:r w:rsidRPr="009C60B0">
        <w:rPr>
          <w:rFonts w:asciiTheme="minorHAnsi" w:hAnsiTheme="minorHAnsi" w:cstheme="minorHAnsi"/>
          <w:sz w:val="18"/>
          <w:szCs w:val="18"/>
        </w:rPr>
        <w:t xml:space="preserve"> </w:t>
      </w:r>
      <w:r w:rsidRPr="009C60B0">
        <w:rPr>
          <w:rFonts w:asciiTheme="minorHAnsi" w:eastAsia="Calibri" w:hAnsiTheme="minorHAnsi" w:cstheme="minorHAnsi"/>
          <w:spacing w:val="-1"/>
          <w:sz w:val="18"/>
          <w:szCs w:val="18"/>
          <w:lang w:eastAsia="en-US"/>
        </w:rPr>
        <w:t>Стратегията за развитие и управление на водоснабдяването и канализацията в Република България 2014-2023 г.</w:t>
      </w:r>
    </w:p>
  </w:footnote>
  <w:footnote w:id="7">
    <w:p w:rsidR="00EA2176" w:rsidRPr="00026428" w:rsidRDefault="00EA2176" w:rsidP="009D2DBF">
      <w:pPr>
        <w:pStyle w:val="FootnoteText"/>
        <w:ind w:left="142" w:hanging="142"/>
        <w:jc w:val="both"/>
        <w:rPr>
          <w:sz w:val="16"/>
          <w:szCs w:val="16"/>
        </w:rPr>
      </w:pPr>
      <w:r w:rsidRPr="009C60B0">
        <w:rPr>
          <w:rStyle w:val="FootnoteReference"/>
          <w:rFonts w:asciiTheme="minorHAnsi" w:hAnsiTheme="minorHAnsi" w:cstheme="minorHAnsi"/>
          <w:sz w:val="18"/>
          <w:szCs w:val="18"/>
        </w:rPr>
        <w:footnoteRef/>
      </w:r>
      <w:r w:rsidRPr="009C60B0">
        <w:rPr>
          <w:rStyle w:val="FootnoteReference"/>
          <w:rFonts w:asciiTheme="minorHAnsi" w:hAnsiTheme="minorHAnsi" w:cstheme="minorHAnsi"/>
          <w:sz w:val="18"/>
          <w:szCs w:val="18"/>
        </w:rPr>
        <w:t xml:space="preserve"> </w:t>
      </w:r>
      <w:r w:rsidRPr="009C60B0">
        <w:rPr>
          <w:rFonts w:asciiTheme="minorHAnsi" w:eastAsia="Calibri" w:hAnsiTheme="minorHAnsi" w:cstheme="minorHAnsi"/>
          <w:spacing w:val="-1"/>
          <w:sz w:val="18"/>
          <w:szCs w:val="18"/>
          <w:lang w:eastAsia="en-US"/>
        </w:rPr>
        <w:t>Изкуственият (институционален) монопол е налице, когато съществуват регулаторни ограничения за навлизането на множество фирми в даден отрасъл (дейност). Законовата защита на патенти, авторски права, издаването на </w:t>
      </w:r>
      <w:hyperlink r:id="rId1" w:tooltip="Лиценз" w:history="1">
        <w:r w:rsidRPr="009C60B0">
          <w:rPr>
            <w:rFonts w:asciiTheme="minorHAnsi" w:eastAsia="Calibri" w:hAnsiTheme="minorHAnsi" w:cstheme="minorHAnsi"/>
            <w:spacing w:val="-1"/>
            <w:sz w:val="18"/>
            <w:szCs w:val="18"/>
            <w:lang w:eastAsia="en-US"/>
          </w:rPr>
          <w:t>лицензи</w:t>
        </w:r>
      </w:hyperlink>
      <w:r w:rsidRPr="009C60B0">
        <w:rPr>
          <w:rFonts w:asciiTheme="minorHAnsi" w:eastAsia="Calibri" w:hAnsiTheme="minorHAnsi" w:cstheme="minorHAnsi"/>
          <w:spacing w:val="-1"/>
          <w:sz w:val="18"/>
          <w:szCs w:val="18"/>
          <w:lang w:eastAsia="en-US"/>
        </w:rPr>
        <w:t>, отдаването на </w:t>
      </w:r>
      <w:hyperlink r:id="rId2" w:tooltip="Концесия" w:history="1">
        <w:r w:rsidRPr="009C60B0">
          <w:rPr>
            <w:rFonts w:asciiTheme="minorHAnsi" w:eastAsia="Calibri" w:hAnsiTheme="minorHAnsi" w:cstheme="minorHAnsi"/>
            <w:spacing w:val="-1"/>
            <w:sz w:val="18"/>
            <w:szCs w:val="18"/>
            <w:lang w:eastAsia="en-US"/>
          </w:rPr>
          <w:t>концесия</w:t>
        </w:r>
      </w:hyperlink>
      <w:r w:rsidRPr="009C60B0">
        <w:rPr>
          <w:rFonts w:asciiTheme="minorHAnsi" w:eastAsia="Calibri" w:hAnsiTheme="minorHAnsi" w:cstheme="minorHAnsi"/>
          <w:spacing w:val="-1"/>
          <w:sz w:val="18"/>
          <w:szCs w:val="18"/>
          <w:lang w:eastAsia="en-US"/>
        </w:rPr>
        <w:t> за ползване на природни ресурси поставят фирмите в привилегировано спрямо пазара положение.</w:t>
      </w:r>
    </w:p>
  </w:footnote>
  <w:footnote w:id="8">
    <w:p w:rsidR="00EA2176" w:rsidRPr="00026428" w:rsidRDefault="00EA2176" w:rsidP="00CB7DDC">
      <w:pPr>
        <w:pStyle w:val="Default"/>
        <w:ind w:left="142" w:hanging="142"/>
        <w:jc w:val="both"/>
        <w:rPr>
          <w:rFonts w:ascii="Arial" w:hAnsi="Arial" w:cs="Arial"/>
          <w:sz w:val="16"/>
          <w:szCs w:val="16"/>
        </w:rPr>
      </w:pPr>
      <w:r w:rsidRPr="00026428">
        <w:rPr>
          <w:rStyle w:val="FootnoteReference"/>
          <w:rFonts w:ascii="Arial" w:hAnsi="Arial" w:cs="Arial"/>
          <w:color w:val="auto"/>
          <w:sz w:val="16"/>
          <w:szCs w:val="16"/>
        </w:rPr>
        <w:footnoteRef/>
      </w:r>
      <w:r w:rsidRPr="00026428">
        <w:rPr>
          <w:rStyle w:val="FootnoteReference"/>
          <w:rFonts w:ascii="Arial" w:hAnsi="Arial" w:cs="Arial"/>
          <w:color w:val="auto"/>
          <w:sz w:val="16"/>
          <w:szCs w:val="16"/>
        </w:rPr>
        <w:t xml:space="preserve"> </w:t>
      </w:r>
      <w:r w:rsidRPr="00026428">
        <w:rPr>
          <w:rFonts w:ascii="Arial" w:hAnsi="Arial" w:cs="Arial"/>
          <w:color w:val="auto"/>
          <w:spacing w:val="-1"/>
          <w:sz w:val="16"/>
          <w:szCs w:val="16"/>
        </w:rPr>
        <w:t>Презентация „Въведение в икономиката на ВиК отрасъла” по проект №DIR-5111328-1-170 “Подкрепа на реформата в отрасъл ВиК“</w:t>
      </w:r>
    </w:p>
  </w:footnote>
  <w:footnote w:id="9">
    <w:p w:rsidR="00EA2176" w:rsidRPr="00026428" w:rsidRDefault="00EA2176" w:rsidP="00CB7DDC">
      <w:pPr>
        <w:pStyle w:val="FootnoteText"/>
        <w:ind w:left="142" w:hanging="142"/>
        <w:rPr>
          <w:sz w:val="16"/>
          <w:szCs w:val="16"/>
        </w:rPr>
      </w:pPr>
      <w:r>
        <w:rPr>
          <w:rStyle w:val="FootnoteReference"/>
        </w:rPr>
        <w:footnoteRef/>
      </w:r>
      <w:r>
        <w:t xml:space="preserve"> </w:t>
      </w:r>
      <w:r w:rsidRPr="00026428">
        <w:rPr>
          <w:rFonts w:cstheme="minorHAnsi"/>
          <w:spacing w:val="-1"/>
          <w:sz w:val="16"/>
          <w:szCs w:val="16"/>
        </w:rPr>
        <w:t>Източник: Стратегията за развитие и управление на водоснабдяването и канализацията в Република България 2014-2023 г.</w:t>
      </w:r>
    </w:p>
    <w:p w:rsidR="00EA2176" w:rsidRPr="00026428" w:rsidRDefault="00EA2176" w:rsidP="00CB7DDC">
      <w:pPr>
        <w:pStyle w:val="FootnoteText"/>
        <w:rPr>
          <w:sz w:val="16"/>
          <w:szCs w:val="16"/>
        </w:rPr>
      </w:pPr>
    </w:p>
  </w:footnote>
  <w:footnote w:id="10">
    <w:p w:rsidR="00EA2176" w:rsidRPr="00722616" w:rsidRDefault="00EA2176" w:rsidP="009E6215">
      <w:pPr>
        <w:pStyle w:val="FootnoteText"/>
        <w:ind w:left="284" w:hanging="284"/>
        <w:jc w:val="both"/>
        <w:rPr>
          <w:rFonts w:asciiTheme="minorHAnsi" w:hAnsiTheme="minorHAnsi" w:cstheme="minorHAnsi"/>
          <w:sz w:val="18"/>
          <w:szCs w:val="18"/>
        </w:rPr>
      </w:pPr>
      <w:r w:rsidRPr="00722616">
        <w:rPr>
          <w:rStyle w:val="FootnoteReference"/>
          <w:rFonts w:asciiTheme="minorHAnsi" w:hAnsiTheme="minorHAnsi" w:cstheme="minorHAnsi"/>
          <w:sz w:val="18"/>
          <w:szCs w:val="18"/>
        </w:rPr>
        <w:footnoteRef/>
      </w:r>
      <w:r w:rsidRPr="00722616">
        <w:rPr>
          <w:rFonts w:asciiTheme="minorHAnsi" w:hAnsiTheme="minorHAnsi" w:cstheme="minorHAnsi"/>
          <w:sz w:val="18"/>
          <w:szCs w:val="18"/>
        </w:rPr>
        <w:t xml:space="preserve"> Източник: </w:t>
      </w:r>
      <w:r w:rsidRPr="00722616">
        <w:rPr>
          <w:rFonts w:asciiTheme="minorHAnsi" w:eastAsia="Calibri" w:hAnsiTheme="minorHAnsi" w:cstheme="minorHAnsi"/>
          <w:bCs/>
          <w:sz w:val="18"/>
          <w:szCs w:val="18"/>
        </w:rPr>
        <w:t xml:space="preserve">Анализ на дейността на дружествата, предоставящи услуги във водния сектор - </w:t>
      </w:r>
      <w:hyperlink r:id="rId3" w:history="1">
        <w:r w:rsidRPr="00722616">
          <w:rPr>
            <w:rStyle w:val="Hyperlink"/>
            <w:rFonts w:asciiTheme="minorHAnsi" w:eastAsia="Calibri" w:hAnsiTheme="minorHAnsi" w:cstheme="minorHAnsi"/>
            <w:bCs/>
            <w:sz w:val="18"/>
            <w:szCs w:val="18"/>
          </w:rPr>
          <w:t>http://www.moew.government.bg/?show=top&amp;cid=569</w:t>
        </w:r>
      </w:hyperlink>
    </w:p>
  </w:footnote>
  <w:footnote w:id="11">
    <w:p w:rsidR="00EA2176" w:rsidRPr="000D6B79" w:rsidRDefault="00EA2176" w:rsidP="000D6B79">
      <w:pPr>
        <w:ind w:left="284" w:hanging="284"/>
        <w:jc w:val="both"/>
        <w:rPr>
          <w:rFonts w:ascii="Calibri" w:eastAsia="Calibri" w:hAnsi="Calibri" w:cs="Calibri"/>
          <w:bCs/>
          <w:sz w:val="20"/>
          <w:szCs w:val="20"/>
          <w:lang w:eastAsia="bg-BG"/>
        </w:rPr>
      </w:pPr>
      <w:r w:rsidRPr="000D6B79">
        <w:rPr>
          <w:rStyle w:val="FootnoteReference"/>
          <w:sz w:val="20"/>
          <w:szCs w:val="20"/>
        </w:rPr>
        <w:footnoteRef/>
      </w:r>
      <w:r w:rsidRPr="000D6B79">
        <w:rPr>
          <w:sz w:val="20"/>
          <w:szCs w:val="20"/>
        </w:rPr>
        <w:t xml:space="preserve"> </w:t>
      </w:r>
      <w:r w:rsidRPr="000D6B79">
        <w:rPr>
          <w:rFonts w:ascii="Calibri" w:eastAsia="Calibri" w:hAnsi="Calibri" w:cs="Calibri"/>
          <w:bCs/>
          <w:sz w:val="20"/>
          <w:szCs w:val="20"/>
          <w:lang w:eastAsia="bg-BG"/>
        </w:rPr>
        <w:t>EC, EIB, Ex-ante assessment methodology for financial instruments in the 2014-2020 programming period, General methodology covering all thematic objectives, Volume I-5</w:t>
      </w:r>
    </w:p>
  </w:footnote>
  <w:footnote w:id="12">
    <w:p w:rsidR="00EA2176" w:rsidRPr="000D6B79" w:rsidRDefault="00EA2176" w:rsidP="000D6B79">
      <w:pPr>
        <w:pStyle w:val="FootnoteText"/>
        <w:ind w:left="284" w:hanging="284"/>
        <w:rPr>
          <w:rFonts w:asciiTheme="minorHAnsi" w:hAnsiTheme="minorHAnsi" w:cstheme="minorHAnsi"/>
          <w:lang w:val="en-US"/>
        </w:rPr>
      </w:pPr>
      <w:r w:rsidRPr="000D6B79">
        <w:rPr>
          <w:rStyle w:val="FootnoteReference"/>
          <w:rFonts w:asciiTheme="minorHAnsi" w:hAnsiTheme="minorHAnsi" w:cstheme="minorHAnsi"/>
        </w:rPr>
        <w:footnoteRef/>
      </w:r>
      <w:r w:rsidRPr="000D6B79">
        <w:rPr>
          <w:rFonts w:asciiTheme="minorHAnsi" w:hAnsiTheme="minorHAnsi" w:cstheme="minorHAnsi"/>
        </w:rPr>
        <w:t xml:space="preserve"> </w:t>
      </w:r>
      <w:r w:rsidRPr="000D6B79">
        <w:rPr>
          <w:rFonts w:asciiTheme="minorHAnsi" w:hAnsiTheme="minorHAnsi" w:cstheme="minorHAnsi"/>
          <w:bCs/>
        </w:rPr>
        <w:t xml:space="preserve">Анализ на дейността на дружествата, предоставящи услуги във водния сектор - </w:t>
      </w:r>
      <w:hyperlink r:id="rId4" w:history="1">
        <w:r w:rsidRPr="000D6B79">
          <w:rPr>
            <w:rStyle w:val="Hyperlink"/>
            <w:rFonts w:asciiTheme="minorHAnsi" w:hAnsiTheme="minorHAnsi" w:cstheme="minorHAnsi"/>
            <w:bCs/>
          </w:rPr>
          <w:t>http://www.moew.government.bg/?show=top&amp;cid=569</w:t>
        </w:r>
      </w:hyperlink>
    </w:p>
  </w:footnote>
  <w:footnote w:id="13">
    <w:p w:rsidR="00EA2176" w:rsidRPr="009C60B0" w:rsidRDefault="00EA2176" w:rsidP="0083165D">
      <w:pPr>
        <w:pStyle w:val="FootnoteText"/>
        <w:ind w:left="142" w:hanging="142"/>
        <w:rPr>
          <w:rFonts w:asciiTheme="minorHAnsi" w:hAnsiTheme="minorHAnsi" w:cstheme="minorHAnsi"/>
        </w:rPr>
      </w:pPr>
      <w:r w:rsidRPr="009C60B0">
        <w:rPr>
          <w:rStyle w:val="FootnoteReference"/>
          <w:rFonts w:asciiTheme="minorHAnsi" w:hAnsiTheme="minorHAnsi" w:cstheme="minorHAnsi"/>
        </w:rPr>
        <w:footnoteRef/>
      </w:r>
      <w:r w:rsidRPr="009C60B0">
        <w:rPr>
          <w:rFonts w:asciiTheme="minorHAnsi" w:hAnsiTheme="minorHAnsi" w:cstheme="minorHAnsi"/>
        </w:rPr>
        <w:t xml:space="preserve"> </w:t>
      </w:r>
      <w:r w:rsidRPr="009C60B0">
        <w:rPr>
          <w:rFonts w:asciiTheme="minorHAnsi" w:hAnsiTheme="minorHAnsi" w:cstheme="minorHAnsi"/>
          <w:spacing w:val="-1"/>
          <w:sz w:val="18"/>
          <w:szCs w:val="18"/>
        </w:rPr>
        <w:t>Източник: Стратегията за развитие и управление на водоснабдяването и канализацията в Република България 2014-2023 г.</w:t>
      </w:r>
    </w:p>
  </w:footnote>
  <w:footnote w:id="14">
    <w:p w:rsidR="00EA2176" w:rsidRPr="009811D3" w:rsidRDefault="00EA2176" w:rsidP="009811D3">
      <w:pPr>
        <w:pStyle w:val="FootnoteText"/>
        <w:rPr>
          <w:sz w:val="16"/>
          <w:szCs w:val="16"/>
        </w:rPr>
      </w:pPr>
      <w:r>
        <w:rPr>
          <w:rStyle w:val="FootnoteReference"/>
        </w:rPr>
        <w:footnoteRef/>
      </w:r>
      <w:r>
        <w:t xml:space="preserve"> </w:t>
      </w:r>
      <w:r w:rsidRPr="009811D3">
        <w:rPr>
          <w:sz w:val="16"/>
          <w:szCs w:val="16"/>
        </w:rPr>
        <w:t>Съгласно информация, предоставена от МОСВ и МРР</w:t>
      </w:r>
    </w:p>
  </w:footnote>
  <w:footnote w:id="15">
    <w:p w:rsidR="00EA2176" w:rsidRPr="009811D3" w:rsidRDefault="00EA2176" w:rsidP="009811D3">
      <w:pPr>
        <w:pStyle w:val="FootnoteText"/>
        <w:ind w:left="142" w:hanging="142"/>
        <w:jc w:val="both"/>
        <w:rPr>
          <w:sz w:val="16"/>
          <w:szCs w:val="16"/>
        </w:rPr>
      </w:pPr>
      <w:r w:rsidRPr="009811D3">
        <w:rPr>
          <w:rStyle w:val="FootnoteReference"/>
          <w:sz w:val="16"/>
          <w:szCs w:val="16"/>
        </w:rPr>
        <w:footnoteRef/>
      </w:r>
      <w:r w:rsidRPr="009811D3">
        <w:rPr>
          <w:sz w:val="16"/>
          <w:szCs w:val="16"/>
        </w:rPr>
        <w:t xml:space="preserve"> Това в частност се отнася за ВиК дружествата в Бургас и Русе, тъй като те са директните получатели на заемните средства от ЕБВР. За останалите ВиК оператори не може еднозначно да се твърди същото, тъй като директните получатели на заемите са общините чрез държавата.</w:t>
      </w:r>
    </w:p>
  </w:footnote>
  <w:footnote w:id="16">
    <w:p w:rsidR="00EA2176" w:rsidRPr="000D4B2E" w:rsidRDefault="00EA2176">
      <w:pPr>
        <w:pStyle w:val="FootnoteText"/>
        <w:rPr>
          <w:rFonts w:asciiTheme="minorHAnsi" w:hAnsiTheme="minorHAnsi" w:cstheme="minorHAnsi"/>
          <w:sz w:val="18"/>
          <w:szCs w:val="18"/>
        </w:rPr>
      </w:pPr>
      <w:r w:rsidRPr="000D4B2E">
        <w:rPr>
          <w:rStyle w:val="FootnoteReference"/>
          <w:rFonts w:asciiTheme="minorHAnsi" w:hAnsiTheme="minorHAnsi" w:cstheme="minorHAnsi"/>
          <w:sz w:val="18"/>
          <w:szCs w:val="18"/>
        </w:rPr>
        <w:footnoteRef/>
      </w:r>
      <w:r w:rsidRPr="000D4B2E">
        <w:rPr>
          <w:rFonts w:asciiTheme="minorHAnsi" w:hAnsiTheme="minorHAnsi" w:cstheme="minorHAnsi"/>
          <w:sz w:val="18"/>
          <w:szCs w:val="18"/>
        </w:rPr>
        <w:t xml:space="preserve"> Отговорили 16 ВиК оператори</w:t>
      </w:r>
    </w:p>
  </w:footnote>
  <w:footnote w:id="17">
    <w:p w:rsidR="00EA2176" w:rsidRPr="001E30F0" w:rsidRDefault="00EA2176" w:rsidP="00517F74">
      <w:pPr>
        <w:pStyle w:val="FootnoteText"/>
        <w:ind w:left="142" w:hanging="142"/>
        <w:jc w:val="both"/>
        <w:rPr>
          <w:sz w:val="16"/>
          <w:szCs w:val="16"/>
        </w:rPr>
      </w:pPr>
      <w:r w:rsidRPr="001E30F0">
        <w:rPr>
          <w:rStyle w:val="FootnoteReference"/>
          <w:sz w:val="16"/>
          <w:szCs w:val="16"/>
        </w:rPr>
        <w:footnoteRef/>
      </w:r>
      <w:r w:rsidRPr="001E30F0">
        <w:rPr>
          <w:sz w:val="16"/>
          <w:szCs w:val="16"/>
        </w:rPr>
        <w:t xml:space="preserve"> Източник: Национален план за управление на отпадъците за периода 2014-2020 г. (доклад за 1 етап) - </w:t>
      </w:r>
      <w:hyperlink r:id="rId5" w:history="1">
        <w:r w:rsidRPr="001E30F0">
          <w:rPr>
            <w:rStyle w:val="Hyperlink"/>
            <w:sz w:val="16"/>
            <w:szCs w:val="16"/>
          </w:rPr>
          <w:t>http://www.moew.government.bg/?show=html&amp;hid=173</w:t>
        </w:r>
      </w:hyperlink>
      <w:r w:rsidRPr="001E30F0">
        <w:rPr>
          <w:sz w:val="16"/>
          <w:szCs w:val="16"/>
        </w:rPr>
        <w:t xml:space="preserve"> </w:t>
      </w:r>
    </w:p>
  </w:footnote>
  <w:footnote w:id="18">
    <w:p w:rsidR="00EA2176" w:rsidRPr="002620C2" w:rsidRDefault="00EA2176" w:rsidP="00F2533C">
      <w:pPr>
        <w:pStyle w:val="FootnoteText"/>
        <w:rPr>
          <w:lang w:val="en-US"/>
        </w:rPr>
      </w:pPr>
      <w:r>
        <w:rPr>
          <w:rStyle w:val="FootnoteReference"/>
        </w:rPr>
        <w:footnoteRef/>
      </w:r>
      <w:r>
        <w:t xml:space="preserve"> </w:t>
      </w:r>
      <w:r w:rsidRPr="00487B66">
        <w:rPr>
          <w:rFonts w:asciiTheme="minorHAnsi" w:hAnsiTheme="minorHAnsi" w:cstheme="minorHAnsi"/>
          <w:sz w:val="18"/>
          <w:szCs w:val="18"/>
          <w:lang w:val="en-US"/>
        </w:rPr>
        <w:t>Idem</w:t>
      </w:r>
    </w:p>
  </w:footnote>
  <w:footnote w:id="19">
    <w:p w:rsidR="00EA2176" w:rsidRPr="00487B66" w:rsidRDefault="00EA2176" w:rsidP="00487B66">
      <w:pPr>
        <w:pStyle w:val="FootnoteText"/>
        <w:rPr>
          <w:rFonts w:asciiTheme="minorHAnsi" w:hAnsiTheme="minorHAnsi" w:cstheme="minorHAnsi"/>
          <w:sz w:val="18"/>
          <w:szCs w:val="18"/>
          <w:lang w:val="en-US"/>
        </w:rPr>
      </w:pPr>
      <w:r w:rsidRPr="00487B66">
        <w:rPr>
          <w:rStyle w:val="FootnoteReference"/>
          <w:rFonts w:asciiTheme="minorHAnsi" w:hAnsiTheme="minorHAnsi" w:cstheme="minorHAnsi"/>
          <w:sz w:val="18"/>
          <w:szCs w:val="18"/>
        </w:rPr>
        <w:footnoteRef/>
      </w:r>
      <w:r w:rsidRPr="00487B66">
        <w:rPr>
          <w:rFonts w:asciiTheme="minorHAnsi" w:hAnsiTheme="minorHAnsi" w:cstheme="minorHAnsi"/>
          <w:sz w:val="18"/>
          <w:szCs w:val="18"/>
        </w:rPr>
        <w:t xml:space="preserve"> </w:t>
      </w:r>
      <w:r w:rsidRPr="00487B66">
        <w:rPr>
          <w:rFonts w:asciiTheme="minorHAnsi" w:hAnsiTheme="minorHAnsi" w:cstheme="minorHAnsi"/>
          <w:sz w:val="18"/>
          <w:szCs w:val="18"/>
          <w:lang w:val="en-US"/>
        </w:rPr>
        <w:t>Idem</w:t>
      </w:r>
    </w:p>
  </w:footnote>
  <w:footnote w:id="20">
    <w:p w:rsidR="00EA2176" w:rsidRPr="001E30F0" w:rsidRDefault="00EA2176" w:rsidP="00F2533C">
      <w:pPr>
        <w:pStyle w:val="FootnoteText"/>
        <w:rPr>
          <w:sz w:val="16"/>
          <w:szCs w:val="16"/>
          <w:lang w:val="en-US"/>
        </w:rPr>
      </w:pPr>
      <w:r w:rsidRPr="001E30F0">
        <w:rPr>
          <w:rStyle w:val="FootnoteReference"/>
          <w:sz w:val="16"/>
          <w:szCs w:val="16"/>
        </w:rPr>
        <w:footnoteRef/>
      </w:r>
      <w:r w:rsidRPr="001E30F0">
        <w:rPr>
          <w:sz w:val="16"/>
          <w:szCs w:val="16"/>
        </w:rPr>
        <w:t xml:space="preserve"> </w:t>
      </w:r>
      <w:r w:rsidRPr="001E30F0">
        <w:rPr>
          <w:sz w:val="16"/>
          <w:szCs w:val="16"/>
          <w:lang w:val="en-US"/>
        </w:rPr>
        <w:t>Idem</w:t>
      </w:r>
    </w:p>
  </w:footnote>
  <w:footnote w:id="21">
    <w:p w:rsidR="00EA2176" w:rsidRPr="001E30F0" w:rsidRDefault="00EA2176" w:rsidP="00F2533C">
      <w:pPr>
        <w:pStyle w:val="FootnoteText"/>
        <w:spacing w:after="120"/>
        <w:ind w:left="142" w:hanging="142"/>
        <w:jc w:val="both"/>
        <w:rPr>
          <w:sz w:val="16"/>
          <w:szCs w:val="16"/>
        </w:rPr>
      </w:pPr>
      <w:r w:rsidRPr="001E30F0">
        <w:rPr>
          <w:rStyle w:val="FootnoteReference"/>
          <w:sz w:val="16"/>
          <w:szCs w:val="16"/>
        </w:rPr>
        <w:footnoteRef/>
      </w:r>
      <w:r w:rsidRPr="001E30F0">
        <w:rPr>
          <w:sz w:val="16"/>
          <w:szCs w:val="16"/>
        </w:rPr>
        <w:t xml:space="preserve"> Съгласно ЗУО „Масово разпространени отпадъци" са отпадъци, които се образуват след употреба на продукти от многобройни източници на територията на цялата страна и поради своите характеристики изискват специално управление.</w:t>
      </w:r>
    </w:p>
  </w:footnote>
  <w:footnote w:id="22">
    <w:p w:rsidR="00EA2176" w:rsidRPr="001833D6" w:rsidRDefault="00EA2176">
      <w:pPr>
        <w:pStyle w:val="FootnoteText"/>
        <w:rPr>
          <w:rFonts w:asciiTheme="minorHAnsi" w:hAnsiTheme="minorHAnsi" w:cstheme="minorHAnsi"/>
          <w:sz w:val="18"/>
          <w:szCs w:val="18"/>
        </w:rPr>
      </w:pPr>
      <w:r w:rsidRPr="001833D6">
        <w:rPr>
          <w:rStyle w:val="FootnoteReference"/>
          <w:rFonts w:asciiTheme="minorHAnsi" w:hAnsiTheme="minorHAnsi" w:cstheme="minorHAnsi"/>
          <w:sz w:val="18"/>
          <w:szCs w:val="18"/>
        </w:rPr>
        <w:footnoteRef/>
      </w:r>
      <w:r w:rsidRPr="001833D6">
        <w:rPr>
          <w:rFonts w:asciiTheme="minorHAnsi" w:hAnsiTheme="minorHAnsi" w:cstheme="minorHAnsi"/>
          <w:sz w:val="18"/>
          <w:szCs w:val="18"/>
        </w:rPr>
        <w:t xml:space="preserve"> В рамките на анкетното проучване за целите на настоящия анализ броят на отговорилите общини е 109</w:t>
      </w:r>
    </w:p>
  </w:footnote>
  <w:footnote w:id="23">
    <w:p w:rsidR="00EA2176" w:rsidRPr="001E30F0" w:rsidRDefault="00EA2176" w:rsidP="001F1A5A">
      <w:pPr>
        <w:pStyle w:val="FootnoteText"/>
        <w:rPr>
          <w:sz w:val="16"/>
          <w:szCs w:val="16"/>
        </w:rPr>
      </w:pPr>
      <w:r w:rsidRPr="001E30F0">
        <w:rPr>
          <w:rStyle w:val="FootnoteReference"/>
          <w:sz w:val="16"/>
          <w:szCs w:val="16"/>
        </w:rPr>
        <w:footnoteRef/>
      </w:r>
      <w:r w:rsidRPr="001E30F0">
        <w:rPr>
          <w:sz w:val="16"/>
          <w:szCs w:val="16"/>
        </w:rPr>
        <w:t xml:space="preserve"> </w:t>
      </w:r>
      <w:hyperlink r:id="rId6" w:history="1">
        <w:r w:rsidRPr="001E30F0">
          <w:rPr>
            <w:sz w:val="16"/>
            <w:szCs w:val="16"/>
          </w:rPr>
          <w:t>Последна редакция - ПМС № 81 от 23.04.2012 г.</w:t>
        </w:r>
      </w:hyperlink>
    </w:p>
  </w:footnote>
  <w:footnote w:id="24">
    <w:p w:rsidR="00EA2176" w:rsidRPr="001E30F0" w:rsidRDefault="00EA2176" w:rsidP="00346C03">
      <w:pPr>
        <w:pStyle w:val="FootnoteText"/>
        <w:ind w:left="142" w:hanging="142"/>
        <w:jc w:val="both"/>
        <w:rPr>
          <w:sz w:val="16"/>
          <w:szCs w:val="16"/>
        </w:rPr>
      </w:pPr>
      <w:r w:rsidRPr="001E30F0">
        <w:rPr>
          <w:rStyle w:val="FootnoteReference"/>
          <w:sz w:val="16"/>
          <w:szCs w:val="16"/>
        </w:rPr>
        <w:footnoteRef/>
      </w:r>
      <w:r w:rsidRPr="001E30F0">
        <w:rPr>
          <w:sz w:val="16"/>
          <w:szCs w:val="16"/>
        </w:rPr>
        <w:t xml:space="preserve"> Инсталацията за Механично и биологично третиране (МБT), обслужваща РСУО Варна, е изградена въз основа на договор за публично-частно партньорство и е в експлоатация от 2012 г. В РСУО Ботевград предстои изграждане на сортираща инсталация за сепариране на смесените отпадъци от региона под формата на публично-частно партньорство.</w:t>
      </w:r>
    </w:p>
  </w:footnote>
  <w:footnote w:id="25">
    <w:p w:rsidR="00EA2176" w:rsidRPr="00CB2543" w:rsidRDefault="00EA2176">
      <w:pPr>
        <w:pStyle w:val="FootnoteText"/>
        <w:rPr>
          <w:rFonts w:asciiTheme="minorHAnsi" w:hAnsiTheme="minorHAnsi" w:cstheme="minorHAnsi"/>
          <w:sz w:val="18"/>
          <w:szCs w:val="18"/>
        </w:rPr>
      </w:pPr>
      <w:r w:rsidRPr="00CB2543">
        <w:rPr>
          <w:rStyle w:val="FootnoteReference"/>
          <w:rFonts w:asciiTheme="minorHAnsi" w:hAnsiTheme="minorHAnsi" w:cstheme="minorHAnsi"/>
          <w:sz w:val="18"/>
          <w:szCs w:val="18"/>
        </w:rPr>
        <w:footnoteRef/>
      </w:r>
      <w:r w:rsidRPr="00CB2543">
        <w:rPr>
          <w:rFonts w:asciiTheme="minorHAnsi" w:hAnsiTheme="minorHAnsi" w:cstheme="minorHAnsi"/>
          <w:sz w:val="18"/>
          <w:szCs w:val="18"/>
        </w:rPr>
        <w:t xml:space="preserve"> Отговорили 116 респонденти за сектор Отпадъци</w:t>
      </w:r>
    </w:p>
  </w:footnote>
  <w:footnote w:id="26">
    <w:p w:rsidR="00EA2176" w:rsidRPr="001E30F0" w:rsidRDefault="00EA2176" w:rsidP="00A17302">
      <w:pPr>
        <w:pStyle w:val="NoSpacing"/>
        <w:jc w:val="both"/>
        <w:rPr>
          <w:rFonts w:ascii="Arial" w:hAnsi="Arial" w:cs="Arial"/>
          <w:sz w:val="16"/>
          <w:szCs w:val="16"/>
        </w:rPr>
      </w:pPr>
      <w:r w:rsidRPr="001E30F0">
        <w:rPr>
          <w:rStyle w:val="FootnoteReference"/>
          <w:rFonts w:ascii="Arial" w:hAnsi="Arial" w:cs="Arial"/>
          <w:sz w:val="16"/>
          <w:szCs w:val="16"/>
        </w:rPr>
        <w:footnoteRef/>
      </w:r>
      <w:r w:rsidRPr="001E30F0">
        <w:rPr>
          <w:rFonts w:ascii="Arial" w:hAnsi="Arial" w:cs="Arial"/>
          <w:sz w:val="16"/>
          <w:szCs w:val="16"/>
        </w:rPr>
        <w:t xml:space="preserve"> Източник: </w:t>
      </w:r>
      <w:r w:rsidRPr="001E30F0">
        <w:rPr>
          <w:rFonts w:ascii="Arial" w:eastAsia="Calibri" w:hAnsi="Arial" w:cs="Arial"/>
          <w:bCs/>
          <w:sz w:val="16"/>
          <w:szCs w:val="16"/>
          <w:lang w:val="bg-BG" w:eastAsia="bg-BG"/>
        </w:rPr>
        <w:t>Н</w:t>
      </w:r>
      <w:r w:rsidRPr="001E30F0">
        <w:rPr>
          <w:rFonts w:ascii="Arial" w:eastAsiaTheme="minorHAnsi" w:hAnsi="Arial" w:cs="Arial"/>
          <w:bCs/>
          <w:sz w:val="16"/>
          <w:szCs w:val="16"/>
          <w:lang w:val="bg-BG" w:eastAsia="bg-BG"/>
        </w:rPr>
        <w:t xml:space="preserve">ационална програма за действие по околна среда и здраве </w:t>
      </w:r>
      <w:r w:rsidRPr="001E30F0">
        <w:rPr>
          <w:rFonts w:ascii="Arial" w:hAnsi="Arial" w:cs="Arial"/>
          <w:bCs/>
          <w:sz w:val="16"/>
          <w:szCs w:val="16"/>
          <w:lang w:val="bg-BG" w:eastAsia="bg-BG"/>
        </w:rPr>
        <w:t>2008 - 2013 г.</w:t>
      </w:r>
    </w:p>
  </w:footnote>
  <w:footnote w:id="27">
    <w:p w:rsidR="00EA2176" w:rsidRPr="00BA6C4D" w:rsidRDefault="00EA2176" w:rsidP="00691CF9">
      <w:pPr>
        <w:pStyle w:val="FootnoteText"/>
        <w:rPr>
          <w:rFonts w:asciiTheme="minorHAnsi" w:hAnsiTheme="minorHAnsi" w:cstheme="minorHAnsi"/>
          <w:sz w:val="18"/>
          <w:szCs w:val="18"/>
        </w:rPr>
      </w:pPr>
      <w:r w:rsidRPr="00BA6C4D">
        <w:rPr>
          <w:rStyle w:val="FootnoteReference"/>
          <w:rFonts w:asciiTheme="minorHAnsi" w:hAnsiTheme="minorHAnsi" w:cstheme="minorHAnsi"/>
          <w:sz w:val="18"/>
          <w:szCs w:val="18"/>
        </w:rPr>
        <w:footnoteRef/>
      </w:r>
      <w:r w:rsidRPr="00BA6C4D">
        <w:rPr>
          <w:rFonts w:asciiTheme="minorHAnsi" w:hAnsiTheme="minorHAnsi" w:cstheme="minorHAnsi"/>
          <w:sz w:val="18"/>
          <w:szCs w:val="18"/>
        </w:rPr>
        <w:t xml:space="preserve"> </w:t>
      </w:r>
      <w:r>
        <w:rPr>
          <w:rFonts w:asciiTheme="minorHAnsi" w:hAnsiTheme="minorHAnsi" w:cstheme="minorHAnsi"/>
          <w:sz w:val="18"/>
          <w:szCs w:val="18"/>
        </w:rPr>
        <w:t>Поради демаркацията с Оперативна програма „Региони в растеж 2014-2020”</w:t>
      </w:r>
    </w:p>
  </w:footnote>
  <w:footnote w:id="28">
    <w:p w:rsidR="00EA2176" w:rsidRPr="0074378F" w:rsidRDefault="00EA2176">
      <w:pPr>
        <w:pStyle w:val="FootnoteText"/>
        <w:rPr>
          <w:rFonts w:asciiTheme="minorHAnsi" w:hAnsiTheme="minorHAnsi" w:cstheme="minorHAnsi"/>
          <w:sz w:val="18"/>
          <w:szCs w:val="18"/>
        </w:rPr>
      </w:pPr>
      <w:r w:rsidRPr="0074378F">
        <w:rPr>
          <w:rStyle w:val="FootnoteReference"/>
          <w:rFonts w:asciiTheme="minorHAnsi" w:hAnsiTheme="minorHAnsi" w:cstheme="minorHAnsi"/>
          <w:sz w:val="18"/>
          <w:szCs w:val="18"/>
        </w:rPr>
        <w:footnoteRef/>
      </w:r>
      <w:r w:rsidRPr="0074378F">
        <w:rPr>
          <w:rFonts w:asciiTheme="minorHAnsi" w:hAnsiTheme="minorHAnsi" w:cstheme="minorHAnsi"/>
          <w:sz w:val="18"/>
          <w:szCs w:val="18"/>
        </w:rPr>
        <w:t xml:space="preserve"> Доколкото </w:t>
      </w:r>
      <w:r>
        <w:rPr>
          <w:rFonts w:asciiTheme="minorHAnsi" w:hAnsiTheme="minorHAnsi" w:cstheme="minorHAnsi"/>
          <w:sz w:val="18"/>
          <w:szCs w:val="18"/>
        </w:rPr>
        <w:t>последните</w:t>
      </w:r>
      <w:r w:rsidRPr="0074378F">
        <w:rPr>
          <w:rFonts w:asciiTheme="minorHAnsi" w:hAnsiTheme="minorHAnsi" w:cstheme="minorHAnsi"/>
          <w:sz w:val="18"/>
          <w:szCs w:val="18"/>
        </w:rPr>
        <w:t xml:space="preserve"> участват в проекти за подобряване качеството на атмосферния въздух.</w:t>
      </w:r>
    </w:p>
  </w:footnote>
  <w:footnote w:id="29">
    <w:p w:rsidR="00EA2176" w:rsidRPr="00435416" w:rsidRDefault="00EA2176">
      <w:pPr>
        <w:pStyle w:val="FootnoteText"/>
        <w:rPr>
          <w:rFonts w:asciiTheme="minorHAnsi" w:hAnsiTheme="minorHAnsi" w:cstheme="minorHAnsi"/>
          <w:sz w:val="18"/>
          <w:szCs w:val="18"/>
        </w:rPr>
      </w:pPr>
      <w:r w:rsidRPr="00435416">
        <w:rPr>
          <w:rStyle w:val="FootnoteReference"/>
          <w:rFonts w:asciiTheme="minorHAnsi" w:hAnsiTheme="minorHAnsi" w:cstheme="minorHAnsi"/>
          <w:sz w:val="18"/>
          <w:szCs w:val="18"/>
        </w:rPr>
        <w:footnoteRef/>
      </w:r>
      <w:r w:rsidRPr="00435416">
        <w:rPr>
          <w:rFonts w:asciiTheme="minorHAnsi" w:hAnsiTheme="minorHAnsi" w:cstheme="minorHAnsi"/>
          <w:sz w:val="18"/>
          <w:szCs w:val="18"/>
        </w:rPr>
        <w:t xml:space="preserve"> Последните са предвидени в рамките на ОПОС 2014-2020 г.</w:t>
      </w:r>
    </w:p>
  </w:footnote>
  <w:footnote w:id="30">
    <w:p w:rsidR="00EA2176" w:rsidRPr="00B47554" w:rsidRDefault="00EA2176" w:rsidP="00B47554">
      <w:pPr>
        <w:pStyle w:val="FootnoteText"/>
        <w:ind w:left="142" w:hanging="142"/>
        <w:jc w:val="both"/>
        <w:rPr>
          <w:rFonts w:asciiTheme="minorHAnsi" w:eastAsia="Calibri" w:hAnsiTheme="minorHAnsi" w:cstheme="minorHAnsi"/>
          <w:sz w:val="18"/>
          <w:szCs w:val="18"/>
        </w:rPr>
      </w:pPr>
      <w:r w:rsidRPr="00B47554">
        <w:rPr>
          <w:rFonts w:asciiTheme="minorHAnsi" w:hAnsiTheme="minorHAnsi" w:cstheme="minorHAnsi"/>
          <w:sz w:val="18"/>
          <w:szCs w:val="18"/>
          <w:vertAlign w:val="superscript"/>
          <w:lang w:eastAsia="fr-FR"/>
        </w:rPr>
        <w:footnoteRef/>
      </w:r>
      <w:r w:rsidRPr="00B47554">
        <w:rPr>
          <w:rFonts w:asciiTheme="minorHAnsi" w:hAnsiTheme="minorHAnsi" w:cstheme="minorHAnsi"/>
          <w:sz w:val="18"/>
          <w:szCs w:val="18"/>
          <w:vertAlign w:val="superscript"/>
          <w:lang w:eastAsia="fr-FR"/>
        </w:rPr>
        <w:t xml:space="preserve"> </w:t>
      </w:r>
      <w:r w:rsidRPr="00B47554">
        <w:rPr>
          <w:rFonts w:asciiTheme="minorHAnsi" w:eastAsia="Calibri" w:hAnsiTheme="minorHAnsi" w:cstheme="minorHAnsi"/>
          <w:sz w:val="18"/>
          <w:szCs w:val="18"/>
        </w:rPr>
        <w:t>Подобряване КАВ разбираемо не е на челно място сред приоритетите за опазване на околната среда поради</w:t>
      </w:r>
      <w:r>
        <w:rPr>
          <w:rFonts w:asciiTheme="minorHAnsi" w:eastAsia="Calibri" w:hAnsiTheme="minorHAnsi" w:cstheme="minorHAnsi"/>
          <w:sz w:val="18"/>
          <w:szCs w:val="18"/>
        </w:rPr>
        <w:t xml:space="preserve"> липсата на пряка видимост на въздействието от замърсяване върху околната среда</w:t>
      </w:r>
    </w:p>
  </w:footnote>
  <w:footnote w:id="31">
    <w:p w:rsidR="00EA2176" w:rsidRPr="00B47554" w:rsidRDefault="00EA2176" w:rsidP="00A17302">
      <w:pPr>
        <w:pStyle w:val="FootnoteText"/>
        <w:rPr>
          <w:rFonts w:asciiTheme="minorHAnsi" w:eastAsia="Calibri" w:hAnsiTheme="minorHAnsi" w:cstheme="minorHAnsi"/>
          <w:sz w:val="18"/>
          <w:szCs w:val="18"/>
        </w:rPr>
      </w:pPr>
      <w:r w:rsidRPr="00B47554">
        <w:rPr>
          <w:rFonts w:eastAsia="Calibri"/>
          <w:vertAlign w:val="superscript"/>
        </w:rPr>
        <w:footnoteRef/>
      </w:r>
      <w:r w:rsidRPr="00B47554">
        <w:rPr>
          <w:rFonts w:asciiTheme="minorHAnsi" w:eastAsia="Calibri" w:hAnsiTheme="minorHAnsi" w:cstheme="minorHAnsi"/>
          <w:sz w:val="18"/>
          <w:szCs w:val="18"/>
          <w:vertAlign w:val="superscript"/>
        </w:rPr>
        <w:t xml:space="preserve"> </w:t>
      </w:r>
      <w:r w:rsidRPr="00B47554">
        <w:rPr>
          <w:rFonts w:asciiTheme="minorHAnsi" w:eastAsia="Calibri" w:hAnsiTheme="minorHAnsi" w:cstheme="minorHAnsi"/>
          <w:sz w:val="18"/>
          <w:szCs w:val="18"/>
        </w:rPr>
        <w:t>Национална стратегия за околна среда  2009 – 2018 г.</w:t>
      </w:r>
    </w:p>
  </w:footnote>
  <w:footnote w:id="32">
    <w:p w:rsidR="00EA2176" w:rsidRPr="00B47554" w:rsidRDefault="00EA2176" w:rsidP="00A17302">
      <w:pPr>
        <w:pStyle w:val="FootnoteText"/>
        <w:rPr>
          <w:rFonts w:asciiTheme="minorHAnsi" w:eastAsia="Calibri" w:hAnsiTheme="minorHAnsi" w:cstheme="minorHAnsi"/>
          <w:sz w:val="18"/>
          <w:szCs w:val="18"/>
        </w:rPr>
      </w:pPr>
      <w:r w:rsidRPr="00B47554">
        <w:rPr>
          <w:rStyle w:val="FootnoteReference"/>
          <w:rFonts w:asciiTheme="minorHAnsi" w:eastAsia="Calibri" w:hAnsiTheme="minorHAnsi" w:cstheme="minorHAnsi"/>
          <w:sz w:val="18"/>
          <w:szCs w:val="18"/>
        </w:rPr>
        <w:footnoteRef/>
      </w:r>
      <w:r w:rsidRPr="00B47554">
        <w:rPr>
          <w:rFonts w:asciiTheme="minorHAnsi" w:eastAsia="Calibri" w:hAnsiTheme="minorHAnsi" w:cstheme="minorHAnsi"/>
          <w:sz w:val="18"/>
          <w:szCs w:val="18"/>
        </w:rPr>
        <w:t xml:space="preserve"> Национална програма за действие по околна среда 2008 – 2013г., стр. 29-30</w:t>
      </w:r>
    </w:p>
  </w:footnote>
  <w:footnote w:id="33">
    <w:p w:rsidR="00EA2176" w:rsidRPr="00B47554" w:rsidRDefault="00EA2176" w:rsidP="00A17302">
      <w:pPr>
        <w:pStyle w:val="FootnoteText"/>
        <w:rPr>
          <w:rFonts w:asciiTheme="minorHAnsi" w:eastAsia="Calibri" w:hAnsiTheme="minorHAnsi" w:cstheme="minorHAnsi"/>
          <w:sz w:val="18"/>
          <w:szCs w:val="18"/>
        </w:rPr>
      </w:pPr>
      <w:r w:rsidRPr="00B47554">
        <w:rPr>
          <w:rStyle w:val="FootnoteReference"/>
          <w:rFonts w:asciiTheme="minorHAnsi" w:eastAsia="Calibri" w:hAnsiTheme="minorHAnsi" w:cstheme="minorHAnsi"/>
          <w:sz w:val="18"/>
          <w:szCs w:val="18"/>
        </w:rPr>
        <w:footnoteRef/>
      </w:r>
      <w:r w:rsidRPr="00B47554">
        <w:rPr>
          <w:rFonts w:asciiTheme="minorHAnsi" w:eastAsia="Calibri" w:hAnsiTheme="minorHAnsi" w:cstheme="minorHAnsi"/>
          <w:sz w:val="18"/>
          <w:szCs w:val="18"/>
        </w:rPr>
        <w:t xml:space="preserve"> </w:t>
      </w:r>
      <w:r w:rsidRPr="00B47554">
        <w:rPr>
          <w:rFonts w:asciiTheme="minorHAnsi" w:eastAsia="Calibri" w:hAnsiTheme="minorHAnsi" w:cstheme="minorHAnsi"/>
          <w:sz w:val="18"/>
          <w:szCs w:val="18"/>
          <w:lang w:val="en-US"/>
        </w:rPr>
        <w:t>Idem</w:t>
      </w:r>
      <w:r w:rsidRPr="00B47554">
        <w:rPr>
          <w:rFonts w:asciiTheme="minorHAnsi" w:eastAsia="Calibri" w:hAnsiTheme="minorHAnsi" w:cstheme="minorHAnsi"/>
          <w:sz w:val="18"/>
          <w:szCs w:val="18"/>
        </w:rPr>
        <w:t>,</w:t>
      </w:r>
      <w:r w:rsidRPr="00B47554">
        <w:rPr>
          <w:rFonts w:asciiTheme="minorHAnsi" w:eastAsia="Calibri" w:hAnsiTheme="minorHAnsi" w:cstheme="minorHAnsi"/>
          <w:sz w:val="18"/>
          <w:szCs w:val="18"/>
          <w:lang w:val="en-US"/>
        </w:rPr>
        <w:t xml:space="preserve"> </w:t>
      </w:r>
      <w:r w:rsidRPr="00B47554">
        <w:rPr>
          <w:rFonts w:asciiTheme="minorHAnsi" w:eastAsia="Calibri" w:hAnsiTheme="minorHAnsi" w:cstheme="minorHAnsi"/>
          <w:sz w:val="18"/>
          <w:szCs w:val="18"/>
        </w:rPr>
        <w:t>стр. 29</w:t>
      </w:r>
    </w:p>
  </w:footnote>
  <w:footnote w:id="34">
    <w:p w:rsidR="00EA2176" w:rsidRPr="00786CB9" w:rsidRDefault="00EA2176" w:rsidP="0009491A">
      <w:pPr>
        <w:pStyle w:val="FootnoteText"/>
        <w:ind w:left="142" w:hanging="142"/>
        <w:rPr>
          <w:sz w:val="16"/>
          <w:szCs w:val="16"/>
        </w:rPr>
      </w:pPr>
      <w:r w:rsidRPr="00786CB9">
        <w:rPr>
          <w:rStyle w:val="FootnoteReference"/>
          <w:sz w:val="16"/>
          <w:szCs w:val="16"/>
        </w:rPr>
        <w:footnoteRef/>
      </w:r>
      <w:r w:rsidRPr="00786CB9">
        <w:rPr>
          <w:sz w:val="16"/>
          <w:szCs w:val="16"/>
        </w:rPr>
        <w:t xml:space="preserve"> </w:t>
      </w:r>
      <w:hyperlink r:id="rId7" w:history="1">
        <w:r w:rsidRPr="00786CB9">
          <w:rPr>
            <w:rStyle w:val="Hyperlink"/>
            <w:sz w:val="16"/>
            <w:szCs w:val="16"/>
          </w:rPr>
          <w:t>http://www.rbb.bg/bg/corporate-clients/loans-and-funding-programs/financing-with-grant-element/municipality-funding/</w:t>
        </w:r>
      </w:hyperlink>
      <w:r w:rsidRPr="00786CB9">
        <w:rPr>
          <w:sz w:val="16"/>
          <w:szCs w:val="16"/>
        </w:rPr>
        <w:t xml:space="preserve"> </w:t>
      </w:r>
    </w:p>
  </w:footnote>
  <w:footnote w:id="35">
    <w:p w:rsidR="00EA2176" w:rsidRPr="00690F18" w:rsidRDefault="00EA2176" w:rsidP="00690F18">
      <w:pPr>
        <w:pStyle w:val="FootnoteText"/>
        <w:ind w:left="142" w:hanging="142"/>
        <w:jc w:val="both"/>
        <w:rPr>
          <w:rFonts w:asciiTheme="minorHAnsi" w:hAnsiTheme="minorHAnsi" w:cstheme="minorHAnsi"/>
          <w:sz w:val="18"/>
          <w:szCs w:val="18"/>
        </w:rPr>
      </w:pPr>
      <w:r w:rsidRPr="00690F18">
        <w:rPr>
          <w:rStyle w:val="FootnoteReference"/>
          <w:rFonts w:asciiTheme="minorHAnsi" w:hAnsiTheme="minorHAnsi" w:cstheme="minorHAnsi"/>
          <w:sz w:val="18"/>
          <w:szCs w:val="18"/>
        </w:rPr>
        <w:footnoteRef/>
      </w:r>
      <w:r w:rsidRPr="00690F18">
        <w:rPr>
          <w:rFonts w:asciiTheme="minorHAnsi" w:hAnsiTheme="minorHAnsi" w:cstheme="minorHAnsi"/>
          <w:sz w:val="18"/>
          <w:szCs w:val="18"/>
        </w:rPr>
        <w:t xml:space="preserve"> Поради факта, че ТБО би могла да се използва частично за финансиране на дейности по измиване на улични платна и тротоари в рамките на сключени концесионни договори или вменени задължения на общински предприятия по чистота</w:t>
      </w:r>
    </w:p>
  </w:footnote>
  <w:footnote w:id="36">
    <w:p w:rsidR="00EA2176" w:rsidRDefault="00EA2176" w:rsidP="003C49C2">
      <w:pPr>
        <w:pStyle w:val="FootnoteText"/>
        <w:ind w:left="142" w:hanging="142"/>
      </w:pPr>
      <w:r>
        <w:rPr>
          <w:rStyle w:val="FootnoteReference"/>
        </w:rPr>
        <w:footnoteRef/>
      </w:r>
      <w:r>
        <w:t xml:space="preserve"> </w:t>
      </w:r>
      <w:r>
        <w:rPr>
          <w:rFonts w:asciiTheme="minorHAnsi" w:hAnsiTheme="minorHAnsi" w:cstheme="minorHAnsi"/>
          <w:sz w:val="18"/>
          <w:szCs w:val="18"/>
        </w:rPr>
        <w:t>Какъвто пример е даден</w:t>
      </w:r>
      <w:r w:rsidRPr="003627F7">
        <w:rPr>
          <w:rFonts w:asciiTheme="minorHAnsi" w:hAnsiTheme="minorHAnsi" w:cstheme="minorHAnsi"/>
          <w:sz w:val="18"/>
          <w:szCs w:val="18"/>
        </w:rPr>
        <w:t xml:space="preserve"> и в т. 3.1.4 от том 4 на Методологията за предварителна оценка на финансовите инструменти</w:t>
      </w:r>
      <w:r>
        <w:t xml:space="preserve"> - </w:t>
      </w:r>
      <w:hyperlink r:id="rId8" w:history="1">
        <w:r w:rsidRPr="003627F7">
          <w:rPr>
            <w:rStyle w:val="Hyperlink"/>
            <w:rFonts w:asciiTheme="minorHAnsi" w:hAnsiTheme="minorHAnsi" w:cstheme="minorHAnsi"/>
            <w:sz w:val="18"/>
            <w:szCs w:val="18"/>
          </w:rPr>
          <w:t>http://ec.europa.eu/regional_policy/thefunds/fin_inst/pdf/ex_ante_vol4.pdf</w:t>
        </w:r>
      </w:hyperlink>
      <w:r>
        <w:t xml:space="preserve"> </w:t>
      </w:r>
    </w:p>
  </w:footnote>
  <w:footnote w:id="37">
    <w:p w:rsidR="00EA2176" w:rsidRPr="009B73A8" w:rsidRDefault="00EA2176" w:rsidP="009B73A8">
      <w:pPr>
        <w:pStyle w:val="FootnoteText"/>
        <w:jc w:val="both"/>
        <w:rPr>
          <w:rFonts w:asciiTheme="minorHAnsi" w:hAnsiTheme="minorHAnsi" w:cstheme="minorHAnsi"/>
        </w:rPr>
      </w:pPr>
      <w:r w:rsidRPr="009B73A8">
        <w:rPr>
          <w:rStyle w:val="FootnoteReference"/>
          <w:rFonts w:asciiTheme="minorHAnsi" w:hAnsiTheme="minorHAnsi" w:cstheme="minorHAnsi"/>
        </w:rPr>
        <w:footnoteRef/>
      </w:r>
      <w:r w:rsidRPr="009B73A8">
        <w:rPr>
          <w:rFonts w:asciiTheme="minorHAnsi" w:hAnsiTheme="minorHAnsi" w:cstheme="minorHAnsi"/>
        </w:rPr>
        <w:t xml:space="preserve"> Напр. предвиждане на мерки за закупуване на нов подвижен състав</w:t>
      </w:r>
      <w:r>
        <w:rPr>
          <w:rFonts w:asciiTheme="minorHAnsi" w:hAnsiTheme="minorHAnsi" w:cstheme="minorHAnsi"/>
        </w:rPr>
        <w:t>, за които евентуално би било подходящо прилагането на инструменти за финансов инженеринг.</w:t>
      </w:r>
    </w:p>
  </w:footnote>
  <w:footnote w:id="38">
    <w:p w:rsidR="00EA2176" w:rsidRPr="00F56ADF" w:rsidRDefault="00EA2176" w:rsidP="00F56ADF">
      <w:pPr>
        <w:pStyle w:val="FootnoteText"/>
        <w:ind w:left="142" w:hanging="142"/>
        <w:jc w:val="both"/>
        <w:rPr>
          <w:rFonts w:asciiTheme="minorHAnsi" w:hAnsiTheme="minorHAnsi" w:cstheme="minorHAnsi"/>
          <w:sz w:val="18"/>
          <w:szCs w:val="18"/>
        </w:rPr>
      </w:pPr>
      <w:r w:rsidRPr="00F56ADF">
        <w:rPr>
          <w:rStyle w:val="FootnoteReference"/>
          <w:rFonts w:asciiTheme="minorHAnsi" w:hAnsiTheme="minorHAnsi" w:cstheme="minorHAnsi"/>
          <w:sz w:val="18"/>
          <w:szCs w:val="18"/>
        </w:rPr>
        <w:footnoteRef/>
      </w:r>
      <w:r w:rsidRPr="00F56ADF">
        <w:rPr>
          <w:rFonts w:asciiTheme="minorHAnsi" w:hAnsiTheme="minorHAnsi" w:cstheme="minorHAnsi"/>
          <w:sz w:val="18"/>
          <w:szCs w:val="18"/>
        </w:rPr>
        <w:t xml:space="preserve"> За разлика от предходния програмен период, където мерките за рехабилитация и доизграждане на водоснабдителната мрежа бяха съпътстващи</w:t>
      </w:r>
    </w:p>
  </w:footnote>
  <w:footnote w:id="39">
    <w:p w:rsidR="00EA2176" w:rsidRDefault="00EA2176" w:rsidP="00BC7AE2">
      <w:pPr>
        <w:pStyle w:val="FootnoteText"/>
        <w:ind w:left="142" w:hanging="142"/>
      </w:pPr>
      <w:r>
        <w:rPr>
          <w:rStyle w:val="FootnoteReference"/>
        </w:rPr>
        <w:footnoteRef/>
      </w:r>
      <w:r>
        <w:t xml:space="preserve">  </w:t>
      </w:r>
      <w:hyperlink r:id="rId9" w:history="1">
        <w:r w:rsidRPr="00DF338C">
          <w:rPr>
            <w:rStyle w:val="Hyperlink"/>
            <w:sz w:val="18"/>
            <w:szCs w:val="18"/>
          </w:rPr>
          <w:t>http://pudoos.bg/2013/01/%D1%80%D0%B5%D1%88%D0%B5%D0%BD%D0%B8%D1%8F-%D0%BF%D1%80%D0%BE%D1%82%D0%BE%D0%BA%D0%BE%D0%BB-%E2%84%96-3-%D0%BE%D1%82-27-08-2013-%D0%B3/</w:t>
        </w:r>
      </w:hyperlink>
      <w:r>
        <w:t xml:space="preserve"> </w:t>
      </w:r>
    </w:p>
  </w:footnote>
  <w:footnote w:id="40">
    <w:p w:rsidR="00EA2176" w:rsidRPr="002E205E" w:rsidRDefault="00EA2176" w:rsidP="002E205E">
      <w:pPr>
        <w:pStyle w:val="FootnoteText"/>
        <w:rPr>
          <w:rFonts w:asciiTheme="minorHAnsi" w:hAnsiTheme="minorHAnsi" w:cstheme="minorHAnsi"/>
          <w:sz w:val="18"/>
          <w:szCs w:val="18"/>
        </w:rPr>
      </w:pPr>
      <w:r w:rsidRPr="002E205E">
        <w:rPr>
          <w:rStyle w:val="FootnoteReference"/>
          <w:rFonts w:asciiTheme="minorHAnsi" w:hAnsiTheme="minorHAnsi" w:cstheme="minorHAnsi"/>
          <w:sz w:val="18"/>
          <w:szCs w:val="18"/>
        </w:rPr>
        <w:footnoteRef/>
      </w:r>
      <w:r w:rsidRPr="002E205E">
        <w:rPr>
          <w:rFonts w:asciiTheme="minorHAnsi" w:hAnsiTheme="minorHAnsi" w:cstheme="minorHAnsi"/>
          <w:sz w:val="18"/>
          <w:szCs w:val="18"/>
        </w:rPr>
        <w:t xml:space="preserve">  </w:t>
      </w:r>
      <w:hyperlink r:id="rId10" w:history="1">
        <w:r w:rsidRPr="002E205E">
          <w:rPr>
            <w:rStyle w:val="Hyperlink"/>
            <w:rFonts w:asciiTheme="minorHAnsi" w:hAnsiTheme="minorHAnsi" w:cstheme="minorHAnsi"/>
            <w:sz w:val="18"/>
            <w:szCs w:val="18"/>
          </w:rPr>
          <w:t>http://pudoos.bg/2013/01/%D1%80%D0%B5%D1%88%D0%B5%D0%BD%D0%B8%D1%8F-%D0%BF%D1%80%D0%BE%D1%82%D0%BE%D0%BA%D0%BE%D0%BB-%E2%84%96-3-%D0%BE%D1%82-27-08-2013-%D0%B3-2/</w:t>
        </w:r>
      </w:hyperlink>
      <w:r w:rsidRPr="002E205E">
        <w:rPr>
          <w:rFonts w:asciiTheme="minorHAnsi" w:hAnsiTheme="minorHAnsi" w:cstheme="minorHAnsi"/>
          <w:sz w:val="18"/>
          <w:szCs w:val="18"/>
        </w:rPr>
        <w:t xml:space="preserve"> </w:t>
      </w:r>
    </w:p>
  </w:footnote>
  <w:footnote w:id="41">
    <w:p w:rsidR="00EA2176" w:rsidRPr="000F7888" w:rsidRDefault="00EA2176">
      <w:pPr>
        <w:pStyle w:val="FootnoteText"/>
        <w:rPr>
          <w:rFonts w:asciiTheme="minorHAnsi" w:hAnsiTheme="minorHAnsi" w:cstheme="minorHAnsi"/>
        </w:rPr>
      </w:pPr>
      <w:r w:rsidRPr="000F7888">
        <w:rPr>
          <w:rStyle w:val="FootnoteReference"/>
          <w:rFonts w:asciiTheme="minorHAnsi" w:hAnsiTheme="minorHAnsi" w:cstheme="minorHAnsi"/>
        </w:rPr>
        <w:footnoteRef/>
      </w:r>
      <w:r w:rsidRPr="000F7888">
        <w:rPr>
          <w:rFonts w:asciiTheme="minorHAnsi" w:hAnsiTheme="minorHAnsi" w:cstheme="minorHAnsi"/>
        </w:rPr>
        <w:t xml:space="preserve"> </w:t>
      </w:r>
      <w:hyperlink r:id="rId11" w:history="1">
        <w:r w:rsidRPr="0079004C">
          <w:rPr>
            <w:rStyle w:val="Hyperlink"/>
            <w:rFonts w:asciiTheme="minorHAnsi" w:eastAsia="Calibri" w:hAnsiTheme="minorHAnsi" w:cstheme="minorHAnsi"/>
          </w:rPr>
          <w:t>http://www.eib.org/projects/priorities/index.htm</w:t>
        </w:r>
      </w:hyperlink>
      <w:r>
        <w:rPr>
          <w:rFonts w:asciiTheme="minorHAnsi" w:eastAsia="Calibri" w:hAnsiTheme="minorHAnsi" w:cstheme="minorHAnsi"/>
        </w:rPr>
        <w:t xml:space="preserve"> </w:t>
      </w:r>
    </w:p>
  </w:footnote>
  <w:footnote w:id="42">
    <w:p w:rsidR="00EA2176" w:rsidRDefault="00EA2176">
      <w:pPr>
        <w:pStyle w:val="FootnoteText"/>
      </w:pPr>
      <w:r>
        <w:rPr>
          <w:rStyle w:val="FootnoteReference"/>
        </w:rPr>
        <w:footnoteRef/>
      </w:r>
      <w:r>
        <w:t xml:space="preserve"> </w:t>
      </w:r>
      <w:hyperlink r:id="rId12" w:history="1">
        <w:r w:rsidRPr="0079004C">
          <w:rPr>
            <w:rStyle w:val="Hyperlink"/>
          </w:rPr>
          <w:t>http://www.ebrd.com/pages/country/bulgaria.shtml</w:t>
        </w:r>
      </w:hyperlink>
      <w:r>
        <w:t xml:space="preserve"> </w:t>
      </w:r>
    </w:p>
  </w:footnote>
  <w:footnote w:id="43">
    <w:p w:rsidR="00EA2176" w:rsidRDefault="00EA2176">
      <w:pPr>
        <w:pStyle w:val="FootnoteText"/>
      </w:pPr>
      <w:r>
        <w:rPr>
          <w:rStyle w:val="FootnoteReference"/>
        </w:rPr>
        <w:footnoteRef/>
      </w:r>
      <w:r>
        <w:t xml:space="preserve"> </w:t>
      </w:r>
      <w:hyperlink r:id="rId13" w:history="1">
        <w:r w:rsidRPr="0079004C">
          <w:rPr>
            <w:rStyle w:val="Hyperlink"/>
          </w:rPr>
          <w:t>http://www.worldbank.org/en/country/bulgaria</w:t>
        </w:r>
      </w:hyperlink>
      <w:r>
        <w:t xml:space="preserve"> </w:t>
      </w:r>
    </w:p>
  </w:footnote>
  <w:footnote w:id="44">
    <w:p w:rsidR="00EA2176" w:rsidRDefault="00EA2176">
      <w:pPr>
        <w:pStyle w:val="FootnoteText"/>
      </w:pPr>
      <w:r>
        <w:rPr>
          <w:rStyle w:val="FootnoteReference"/>
        </w:rPr>
        <w:footnoteRef/>
      </w:r>
      <w:r>
        <w:t xml:space="preserve"> </w:t>
      </w:r>
      <w:hyperlink r:id="rId14" w:history="1">
        <w:r w:rsidRPr="00A43A22">
          <w:rPr>
            <w:rStyle w:val="Hyperlink"/>
            <w:rFonts w:asciiTheme="minorHAnsi" w:hAnsiTheme="minorHAnsi" w:cstheme="minorHAnsi"/>
            <w:sz w:val="18"/>
            <w:szCs w:val="18"/>
          </w:rPr>
          <w:t>http://www.coebank.org</w:t>
        </w:r>
      </w:hyperlink>
      <w:r>
        <w:rPr>
          <w:b/>
        </w:rPr>
        <w:t xml:space="preserve"> </w:t>
      </w:r>
    </w:p>
  </w:footnote>
  <w:footnote w:id="45">
    <w:p w:rsidR="00EA2176" w:rsidRPr="00A43A22" w:rsidRDefault="00EA2176">
      <w:pPr>
        <w:pStyle w:val="FootnoteText"/>
        <w:rPr>
          <w:rFonts w:asciiTheme="minorHAnsi" w:hAnsiTheme="minorHAnsi" w:cstheme="minorHAnsi"/>
          <w:sz w:val="18"/>
          <w:szCs w:val="18"/>
        </w:rPr>
      </w:pPr>
      <w:r w:rsidRPr="00A43A22">
        <w:rPr>
          <w:rStyle w:val="FootnoteReference"/>
          <w:rFonts w:asciiTheme="minorHAnsi" w:hAnsiTheme="minorHAnsi" w:cstheme="minorHAnsi"/>
          <w:sz w:val="18"/>
          <w:szCs w:val="18"/>
        </w:rPr>
        <w:footnoteRef/>
      </w:r>
      <w:r w:rsidRPr="00A43A22">
        <w:rPr>
          <w:rFonts w:asciiTheme="minorHAnsi" w:hAnsiTheme="minorHAnsi" w:cstheme="minorHAnsi"/>
          <w:sz w:val="18"/>
          <w:szCs w:val="18"/>
        </w:rPr>
        <w:t xml:space="preserve"> </w:t>
      </w:r>
      <w:hyperlink r:id="rId15" w:history="1">
        <w:r w:rsidRPr="00A43A22">
          <w:rPr>
            <w:rStyle w:val="Hyperlink"/>
            <w:rFonts w:asciiTheme="minorHAnsi" w:hAnsiTheme="minorHAnsi" w:cstheme="minorHAnsi"/>
            <w:sz w:val="18"/>
            <w:szCs w:val="18"/>
          </w:rPr>
          <w:t>https://www.kfw-entwicklungsbank.de/International-financing/KfW-Entwicklungsbank</w:t>
        </w:r>
      </w:hyperlink>
    </w:p>
  </w:footnote>
  <w:footnote w:id="46">
    <w:p w:rsidR="00EA2176" w:rsidRPr="00AF004C" w:rsidRDefault="00EA2176" w:rsidP="00AF004C">
      <w:pPr>
        <w:pStyle w:val="CM1"/>
        <w:spacing w:before="200" w:after="200"/>
        <w:ind w:left="142" w:hanging="142"/>
        <w:jc w:val="both"/>
        <w:rPr>
          <w:rFonts w:asciiTheme="minorHAnsi" w:hAnsiTheme="minorHAnsi" w:cstheme="minorHAnsi"/>
          <w:sz w:val="18"/>
          <w:szCs w:val="18"/>
        </w:rPr>
      </w:pPr>
      <w:r w:rsidRPr="00AF004C">
        <w:rPr>
          <w:rStyle w:val="FootnoteReference"/>
          <w:rFonts w:asciiTheme="minorHAnsi" w:hAnsiTheme="minorHAnsi" w:cstheme="minorHAnsi"/>
          <w:sz w:val="18"/>
          <w:szCs w:val="18"/>
        </w:rPr>
        <w:footnoteRef/>
      </w:r>
      <w:r w:rsidRPr="00AF004C">
        <w:rPr>
          <w:rFonts w:asciiTheme="minorHAnsi" w:hAnsiTheme="minorHAnsi" w:cstheme="minorHAnsi"/>
          <w:sz w:val="18"/>
          <w:szCs w:val="18"/>
        </w:rPr>
        <w:t xml:space="preserve"> Член 37, параграф 9 гласи, че </w:t>
      </w:r>
      <w:r w:rsidRPr="00AF004C">
        <w:rPr>
          <w:rFonts w:asciiTheme="minorHAnsi" w:eastAsiaTheme="minorHAnsi" w:hAnsiTheme="minorHAnsi" w:cstheme="minorHAnsi"/>
          <w:sz w:val="18"/>
          <w:szCs w:val="18"/>
        </w:rPr>
        <w:t>Финансовите инструменти не могат да се използват за предварително финан</w:t>
      </w:r>
      <w:r>
        <w:rPr>
          <w:rFonts w:asciiTheme="minorHAnsi" w:eastAsiaTheme="minorHAnsi" w:hAnsiTheme="minorHAnsi" w:cstheme="minorHAnsi"/>
          <w:sz w:val="18"/>
          <w:szCs w:val="18"/>
        </w:rPr>
        <w:t>сиране на безвъзмездни средства, каквото финансиране осигурява Фонд ФЛАГ към момента например.</w:t>
      </w:r>
    </w:p>
  </w:footnote>
  <w:footnote w:id="47">
    <w:p w:rsidR="00EA2176" w:rsidRPr="000964B6" w:rsidRDefault="00EA2176">
      <w:pPr>
        <w:pStyle w:val="FootnoteText"/>
        <w:rPr>
          <w:rFonts w:asciiTheme="minorHAnsi" w:hAnsiTheme="minorHAnsi" w:cstheme="minorHAnsi"/>
          <w:sz w:val="18"/>
          <w:szCs w:val="18"/>
        </w:rPr>
      </w:pPr>
      <w:r w:rsidRPr="000964B6">
        <w:rPr>
          <w:rStyle w:val="FootnoteReference"/>
          <w:rFonts w:asciiTheme="minorHAnsi" w:hAnsiTheme="minorHAnsi" w:cstheme="minorHAnsi"/>
          <w:sz w:val="18"/>
          <w:szCs w:val="18"/>
        </w:rPr>
        <w:footnoteRef/>
      </w:r>
      <w:r w:rsidRPr="000964B6">
        <w:rPr>
          <w:rFonts w:asciiTheme="minorHAnsi" w:hAnsiTheme="minorHAnsi" w:cstheme="minorHAnsi"/>
          <w:sz w:val="18"/>
          <w:szCs w:val="18"/>
        </w:rPr>
        <w:t xml:space="preserve"> Това съждение е направено на база проведени интервюта с международни и национални банкови институции</w:t>
      </w:r>
    </w:p>
  </w:footnote>
  <w:footnote w:id="48">
    <w:p w:rsidR="00EA2176" w:rsidRDefault="00EA2176">
      <w:pPr>
        <w:pStyle w:val="FootnoteText"/>
      </w:pPr>
      <w:r>
        <w:rPr>
          <w:rStyle w:val="FootnoteReference"/>
        </w:rPr>
        <w:footnoteRef/>
      </w:r>
      <w:r>
        <w:t xml:space="preserve"> </w:t>
      </w:r>
      <w:r w:rsidRPr="0012234C">
        <w:rPr>
          <w:rFonts w:asciiTheme="minorHAnsi" w:hAnsiTheme="minorHAnsi" w:cs="Georgia"/>
          <w:sz w:val="18"/>
          <w:szCs w:val="18"/>
        </w:rPr>
        <w:t>РЕГЛАМЕНТ (ЕС, ЕВРАТОМ) № 966/2012 НА ЕВРОПЕЙСКИЯ ПАРЛАМЕНТ И НА СЪВЕТА от 25 октомври 2012</w:t>
      </w:r>
    </w:p>
  </w:footnote>
  <w:footnote w:id="49">
    <w:p w:rsidR="00EA2176" w:rsidRDefault="00EA2176" w:rsidP="00FE59D3">
      <w:pPr>
        <w:pStyle w:val="CM1"/>
        <w:ind w:left="284" w:hanging="284"/>
        <w:jc w:val="both"/>
        <w:rPr>
          <w:rFonts w:ascii="Calibri" w:eastAsia="Times New Roman" w:hAnsi="Calibri" w:cs="Arial"/>
          <w:sz w:val="18"/>
          <w:szCs w:val="18"/>
          <w:lang w:eastAsia="bg-BG"/>
        </w:rPr>
      </w:pPr>
      <w:r w:rsidRPr="00367041">
        <w:rPr>
          <w:rStyle w:val="FootnoteReference"/>
          <w:sz w:val="18"/>
          <w:szCs w:val="18"/>
        </w:rPr>
        <w:footnoteRef/>
      </w:r>
      <w:r w:rsidRPr="00367041">
        <w:rPr>
          <w:sz w:val="18"/>
          <w:szCs w:val="18"/>
        </w:rPr>
        <w:t xml:space="preserve"> </w:t>
      </w:r>
      <w:r>
        <w:rPr>
          <w:sz w:val="18"/>
          <w:szCs w:val="18"/>
        </w:rPr>
        <w:tab/>
      </w:r>
      <w:r>
        <w:rPr>
          <w:rFonts w:ascii="Calibri" w:eastAsia="Times New Roman" w:hAnsi="Calibri" w:cs="Arial"/>
          <w:sz w:val="18"/>
          <w:szCs w:val="18"/>
          <w:lang w:eastAsia="bg-BG"/>
        </w:rPr>
        <w:t>Регламен 1303/2013 дава възможност за п</w:t>
      </w:r>
      <w:r w:rsidRPr="00FE59D3">
        <w:rPr>
          <w:rFonts w:ascii="Calibri" w:eastAsia="Times New Roman" w:hAnsi="Calibri" w:cs="Arial"/>
          <w:sz w:val="18"/>
          <w:szCs w:val="18"/>
          <w:lang w:eastAsia="bg-BG"/>
        </w:rPr>
        <w:t>рилагането на единна ставка в размер до 25 % от допустимите преки разходи, при условие че ставката се изчислява въз основа на коректен, справедлив и проверим метод на изчисление или метод, прилаган в рамките на схеми за предоставяне на безвъзмездни средства, финансирани изцяло от държавата- членка, за подобен тип операция</w:t>
      </w:r>
      <w:r>
        <w:rPr>
          <w:rFonts w:ascii="Calibri" w:eastAsia="Times New Roman" w:hAnsi="Calibri" w:cs="Arial"/>
          <w:sz w:val="18"/>
          <w:szCs w:val="18"/>
          <w:lang w:eastAsia="bg-BG"/>
        </w:rPr>
        <w:t>. Освен това изискване на Регламента е е</w:t>
      </w:r>
      <w:r w:rsidRPr="00FE59D3">
        <w:rPr>
          <w:rFonts w:ascii="Calibri" w:eastAsia="Times New Roman" w:hAnsi="Calibri" w:cs="Arial"/>
          <w:sz w:val="18"/>
          <w:szCs w:val="18"/>
          <w:lang w:eastAsia="bg-BG"/>
        </w:rPr>
        <w:t>динните ставки да се базират на ретроспективните данни, на потенциала за възстановяване на разходите и на принципа „замърсителят плаща“, където е приложимо</w:t>
      </w:r>
      <w:r>
        <w:rPr>
          <w:rFonts w:ascii="Calibri" w:eastAsia="Times New Roman" w:hAnsi="Calibri" w:cs="Arial"/>
          <w:sz w:val="18"/>
          <w:szCs w:val="18"/>
          <w:lang w:eastAsia="bg-BG"/>
        </w:rPr>
        <w:t>.</w:t>
      </w:r>
    </w:p>
    <w:p w:rsidR="00EA2176" w:rsidRPr="00367041" w:rsidRDefault="00EA2176" w:rsidP="00FE59D3">
      <w:pPr>
        <w:spacing w:after="0"/>
        <w:ind w:left="284"/>
        <w:jc w:val="both"/>
        <w:rPr>
          <w:rFonts w:ascii="Calibri" w:eastAsia="Times New Roman" w:hAnsi="Calibri" w:cs="Arial"/>
          <w:color w:val="000000"/>
          <w:sz w:val="18"/>
          <w:szCs w:val="18"/>
          <w:lang w:eastAsia="bg-BG"/>
        </w:rPr>
      </w:pPr>
      <w:r>
        <w:rPr>
          <w:rFonts w:ascii="Calibri" w:eastAsia="Times New Roman" w:hAnsi="Calibri" w:cs="Arial"/>
          <w:color w:val="000000"/>
          <w:sz w:val="18"/>
          <w:szCs w:val="18"/>
          <w:lang w:eastAsia="bg-BG"/>
        </w:rPr>
        <w:t xml:space="preserve">В случая, прилагането на единни ставки за съ-финансиране на проектите е </w:t>
      </w:r>
      <w:r w:rsidRPr="00367041">
        <w:rPr>
          <w:rFonts w:ascii="Calibri" w:eastAsia="Times New Roman" w:hAnsi="Calibri" w:cs="Arial"/>
          <w:color w:val="000000"/>
          <w:sz w:val="18"/>
          <w:szCs w:val="18"/>
          <w:lang w:eastAsia="bg-BG"/>
        </w:rPr>
        <w:t xml:space="preserve">неприложимо, тъй като финансовото състояние на </w:t>
      </w:r>
      <w:r>
        <w:rPr>
          <w:rFonts w:ascii="Calibri" w:eastAsia="Times New Roman" w:hAnsi="Calibri" w:cs="Arial"/>
          <w:color w:val="000000"/>
          <w:sz w:val="18"/>
          <w:szCs w:val="18"/>
          <w:lang w:eastAsia="bg-BG"/>
        </w:rPr>
        <w:t>отделните</w:t>
      </w:r>
      <w:r w:rsidRPr="00367041">
        <w:rPr>
          <w:rFonts w:ascii="Calibri" w:eastAsia="Times New Roman" w:hAnsi="Calibri" w:cs="Arial"/>
          <w:color w:val="000000"/>
          <w:sz w:val="18"/>
          <w:szCs w:val="18"/>
          <w:lang w:eastAsia="bg-BG"/>
        </w:rPr>
        <w:t xml:space="preserve"> бенефициенти е различно и при прилагането на този</w:t>
      </w:r>
      <w:r>
        <w:rPr>
          <w:rFonts w:ascii="Calibri" w:eastAsia="Times New Roman" w:hAnsi="Calibri" w:cs="Arial"/>
          <w:color w:val="000000"/>
          <w:sz w:val="18"/>
          <w:szCs w:val="18"/>
          <w:lang w:eastAsia="bg-BG"/>
        </w:rPr>
        <w:t xml:space="preserve"> подход съ-финансирането чрез финансови инструменти </w:t>
      </w:r>
      <w:r w:rsidRPr="00367041">
        <w:rPr>
          <w:rFonts w:ascii="Calibri" w:eastAsia="Times New Roman" w:hAnsi="Calibri" w:cs="Arial"/>
          <w:color w:val="000000"/>
          <w:sz w:val="18"/>
          <w:szCs w:val="18"/>
          <w:lang w:eastAsia="bg-BG"/>
        </w:rPr>
        <w:t>ще бъде ограничено само до бенефициенти, които могат да си позволят да осигурят такова, респективно не би могъл да се постигне очакваният ефект от реализирането на програмата.</w:t>
      </w:r>
    </w:p>
    <w:p w:rsidR="00EA2176" w:rsidRDefault="00EA2176" w:rsidP="00367041">
      <w:pPr>
        <w:pStyle w:val="FootnoteText"/>
        <w:ind w:left="284"/>
        <w:jc w:val="both"/>
        <w:rPr>
          <w:rFonts w:ascii="Calibri" w:hAnsi="Calibri"/>
          <w:color w:val="000000"/>
          <w:sz w:val="18"/>
          <w:szCs w:val="18"/>
        </w:rPr>
      </w:pPr>
      <w:r w:rsidRPr="00367041">
        <w:rPr>
          <w:rFonts w:ascii="Calibri" w:hAnsi="Calibri"/>
          <w:color w:val="000000"/>
          <w:sz w:val="18"/>
          <w:szCs w:val="18"/>
        </w:rPr>
        <w:t>По-приложим е подходът за изготвяне на отделен анализ разходи-ползи за всеки проект, но при липса на готови проекти към настоящия момент не е възможно да се прогнозира каква ще е средната стойност очакваното съ-финансиране от страна на бенефициентите. Освен това, опитът показва, че предварителното определяне на минимален размер на съ-финансиране води до изкривяване на резултатите от финансовите анализи, тъй като при такава ситуация бенефициентите не са склонни да осигурят по-голям размер на собствения принос.</w:t>
      </w:r>
      <w:r>
        <w:rPr>
          <w:rFonts w:ascii="Calibri" w:hAnsi="Calibri"/>
          <w:color w:val="000000"/>
          <w:sz w:val="18"/>
          <w:szCs w:val="18"/>
        </w:rPr>
        <w:t xml:space="preserve"> </w:t>
      </w:r>
    </w:p>
    <w:p w:rsidR="00EA2176" w:rsidRDefault="00EA2176" w:rsidP="00367041">
      <w:pPr>
        <w:pStyle w:val="FootnoteText"/>
        <w:ind w:left="284"/>
        <w:jc w:val="both"/>
      </w:pPr>
      <w:r>
        <w:rPr>
          <w:rFonts w:ascii="Calibri" w:hAnsi="Calibri"/>
          <w:color w:val="000000"/>
          <w:sz w:val="18"/>
          <w:szCs w:val="18"/>
        </w:rPr>
        <w:t>Поради тези причини са разгледани 3 варианта на съ-финансиране от страна на бенефициентите, които при реалистично направени прогнози в анализите разходи-ползи биха били вероятни.</w:t>
      </w:r>
    </w:p>
  </w:footnote>
  <w:footnote w:id="50">
    <w:p w:rsidR="00EA2176" w:rsidRPr="00DF0550" w:rsidRDefault="00EA2176" w:rsidP="00FE59D3">
      <w:pPr>
        <w:pStyle w:val="FootnoteText"/>
        <w:ind w:left="284" w:hanging="284"/>
        <w:jc w:val="both"/>
        <w:rPr>
          <w:rFonts w:asciiTheme="minorHAnsi" w:hAnsiTheme="minorHAnsi" w:cstheme="minorHAnsi"/>
        </w:rPr>
      </w:pPr>
      <w:r w:rsidRPr="00DF0550">
        <w:rPr>
          <w:rStyle w:val="FootnoteReference"/>
          <w:rFonts w:asciiTheme="minorHAnsi" w:hAnsiTheme="minorHAnsi" w:cstheme="minorHAnsi"/>
        </w:rPr>
        <w:footnoteRef/>
      </w:r>
      <w:r w:rsidRPr="00DF0550">
        <w:rPr>
          <w:rFonts w:asciiTheme="minorHAnsi" w:hAnsiTheme="minorHAnsi" w:cstheme="minorHAnsi"/>
        </w:rPr>
        <w:t xml:space="preserve"> Финансирането от други източници може да бъде заем, собствени средства или комбинация от двете</w:t>
      </w:r>
    </w:p>
  </w:footnote>
  <w:footnote w:id="51">
    <w:p w:rsidR="00EA2176" w:rsidRDefault="00EA2176" w:rsidP="00FE59D3">
      <w:pPr>
        <w:pStyle w:val="FootnoteText"/>
        <w:ind w:left="284" w:hanging="284"/>
        <w:jc w:val="both"/>
      </w:pPr>
      <w:r w:rsidRPr="00FE59D3">
        <w:rPr>
          <w:rFonts w:ascii="Calibri" w:hAnsi="Calibri"/>
          <w:color w:val="000000"/>
          <w:sz w:val="22"/>
          <w:szCs w:val="22"/>
          <w:vertAlign w:val="superscript"/>
        </w:rPr>
        <w:footnoteRef/>
      </w:r>
      <w:r w:rsidRPr="00FE59D3">
        <w:rPr>
          <w:rFonts w:ascii="Calibri" w:hAnsi="Calibri"/>
          <w:color w:val="000000"/>
          <w:sz w:val="22"/>
          <w:szCs w:val="22"/>
          <w:vertAlign w:val="superscript"/>
        </w:rPr>
        <w:t xml:space="preserve"> </w:t>
      </w:r>
      <w:r w:rsidRPr="00FE59D3">
        <w:rPr>
          <w:rFonts w:ascii="Calibri" w:hAnsi="Calibri"/>
          <w:color w:val="000000"/>
          <w:sz w:val="18"/>
          <w:szCs w:val="18"/>
        </w:rPr>
        <w:t>По преценка на консултанта, на база необходимите инвестиции според краткосрочните програми към Регионалните генерални планове е определен среден размер на проектите от 50 млн. евро</w:t>
      </w:r>
      <w:r>
        <w:rPr>
          <w:rFonts w:ascii="Calibri" w:hAnsi="Calibri"/>
          <w:color w:val="000000"/>
          <w:sz w:val="18"/>
          <w:szCs w:val="18"/>
        </w:rPr>
        <w:t>.</w:t>
      </w:r>
    </w:p>
  </w:footnote>
  <w:footnote w:id="52">
    <w:p w:rsidR="00EA2176" w:rsidRPr="00F65A64" w:rsidRDefault="00EA2176" w:rsidP="00FE59D3">
      <w:pPr>
        <w:pStyle w:val="FootnoteText"/>
        <w:ind w:left="284" w:hanging="284"/>
        <w:jc w:val="both"/>
        <w:rPr>
          <w:rFonts w:asciiTheme="minorHAnsi" w:hAnsiTheme="minorHAnsi" w:cstheme="minorHAnsi"/>
        </w:rPr>
      </w:pPr>
      <w:r w:rsidRPr="00F65A64">
        <w:rPr>
          <w:rStyle w:val="FootnoteReference"/>
          <w:rFonts w:asciiTheme="minorHAnsi" w:hAnsiTheme="minorHAnsi" w:cstheme="minorHAnsi"/>
        </w:rPr>
        <w:footnoteRef/>
      </w:r>
      <w:r w:rsidRPr="00F65A64">
        <w:rPr>
          <w:rFonts w:asciiTheme="minorHAnsi" w:hAnsiTheme="minorHAnsi" w:cstheme="minorHAnsi"/>
        </w:rPr>
        <w:t xml:space="preserve"> БФП включва както финансирането от ЕФРР, така и финансирането от държавния бюджет</w:t>
      </w:r>
    </w:p>
  </w:footnote>
  <w:footnote w:id="53">
    <w:p w:rsidR="00EA2176" w:rsidRPr="00604D15" w:rsidRDefault="00EA2176">
      <w:pPr>
        <w:pStyle w:val="FootnoteText"/>
        <w:rPr>
          <w:rFonts w:asciiTheme="minorHAnsi" w:hAnsiTheme="minorHAnsi" w:cstheme="minorHAnsi"/>
        </w:rPr>
      </w:pPr>
      <w:r w:rsidRPr="00604D15">
        <w:rPr>
          <w:rStyle w:val="FootnoteReference"/>
          <w:rFonts w:asciiTheme="minorHAnsi" w:hAnsiTheme="minorHAnsi" w:cstheme="minorHAnsi"/>
        </w:rPr>
        <w:footnoteRef/>
      </w:r>
      <w:r w:rsidRPr="00604D15">
        <w:rPr>
          <w:rFonts w:asciiTheme="minorHAnsi" w:hAnsiTheme="minorHAnsi" w:cstheme="minorHAnsi"/>
        </w:rPr>
        <w:t xml:space="preserve"> </w:t>
      </w:r>
      <w:r w:rsidRPr="00604D15">
        <w:rPr>
          <w:rFonts w:asciiTheme="minorHAnsi" w:hAnsiTheme="minorHAnsi" w:cstheme="minorHAnsi"/>
          <w:color w:val="000000"/>
        </w:rPr>
        <w:t xml:space="preserve">Финансов инструмент, съответстващ на стандартните условия, определени от Комисията </w:t>
      </w:r>
      <w:r w:rsidRPr="00604D15">
        <w:rPr>
          <w:rFonts w:asciiTheme="minorHAnsi" w:hAnsiTheme="minorHAnsi" w:cstheme="minorHAnsi"/>
          <w:color w:val="000000"/>
          <w:lang w:val="en-US"/>
        </w:rPr>
        <w:t xml:space="preserve"> (off-the-shelf)</w:t>
      </w:r>
    </w:p>
  </w:footnote>
  <w:footnote w:id="54">
    <w:p w:rsidR="00EA2176" w:rsidRPr="00695315" w:rsidRDefault="00EA2176">
      <w:pPr>
        <w:pStyle w:val="FootnoteText"/>
        <w:rPr>
          <w:rFonts w:asciiTheme="minorHAnsi" w:hAnsiTheme="minorHAnsi" w:cstheme="minorHAnsi"/>
          <w:sz w:val="18"/>
          <w:szCs w:val="18"/>
        </w:rPr>
      </w:pPr>
      <w:r w:rsidRPr="00695315">
        <w:rPr>
          <w:rStyle w:val="FootnoteReference"/>
          <w:rFonts w:asciiTheme="minorHAnsi" w:hAnsiTheme="minorHAnsi" w:cstheme="minorHAnsi"/>
          <w:sz w:val="18"/>
          <w:szCs w:val="18"/>
        </w:rPr>
        <w:footnoteRef/>
      </w:r>
      <w:r w:rsidRPr="00695315">
        <w:rPr>
          <w:rFonts w:asciiTheme="minorHAnsi" w:hAnsiTheme="minorHAnsi" w:cstheme="minorHAnsi"/>
          <w:sz w:val="18"/>
          <w:szCs w:val="18"/>
        </w:rPr>
        <w:t xml:space="preserve"> Тъй като общинските предприятия не попадат в обхвата на МСП в смисъла на инструмента за ограничени гаранции</w:t>
      </w:r>
    </w:p>
  </w:footnote>
  <w:footnote w:id="55">
    <w:p w:rsidR="00EA2176" w:rsidRPr="00411C22" w:rsidRDefault="00EA2176">
      <w:pPr>
        <w:pStyle w:val="FootnoteText"/>
        <w:rPr>
          <w:rFonts w:asciiTheme="minorHAnsi" w:hAnsiTheme="minorHAnsi" w:cstheme="minorHAnsi"/>
          <w:sz w:val="18"/>
          <w:szCs w:val="18"/>
        </w:rPr>
      </w:pPr>
      <w:r w:rsidRPr="00411C22">
        <w:rPr>
          <w:rStyle w:val="FootnoteReference"/>
          <w:rFonts w:asciiTheme="minorHAnsi" w:hAnsiTheme="minorHAnsi" w:cstheme="minorHAnsi"/>
          <w:sz w:val="18"/>
          <w:szCs w:val="18"/>
        </w:rPr>
        <w:footnoteRef/>
      </w:r>
      <w:r w:rsidRPr="00411C22">
        <w:rPr>
          <w:rFonts w:asciiTheme="minorHAnsi" w:hAnsiTheme="minorHAnsi" w:cstheme="minorHAnsi"/>
          <w:sz w:val="18"/>
          <w:szCs w:val="18"/>
        </w:rPr>
        <w:t xml:space="preserve"> Тук са посочени само категориите за качествено измерение на добавената стойност, които са приложими за сектора</w:t>
      </w:r>
    </w:p>
  </w:footnote>
  <w:footnote w:id="56">
    <w:p w:rsidR="00EA2176" w:rsidRPr="00C370EC" w:rsidRDefault="00EA2176" w:rsidP="00FC58CF">
      <w:pPr>
        <w:pStyle w:val="FootnoteText"/>
        <w:rPr>
          <w:sz w:val="16"/>
          <w:szCs w:val="16"/>
        </w:rPr>
      </w:pPr>
      <w:r w:rsidRPr="00C370EC">
        <w:rPr>
          <w:rStyle w:val="FootnoteReference"/>
          <w:rFonts w:eastAsiaTheme="majorEastAsia"/>
          <w:sz w:val="16"/>
          <w:szCs w:val="16"/>
        </w:rPr>
        <w:footnoteRef/>
      </w:r>
      <w:r w:rsidRPr="00C370EC">
        <w:rPr>
          <w:sz w:val="16"/>
          <w:szCs w:val="16"/>
        </w:rPr>
        <w:t xml:space="preserve"> Чл.2 т.13 на Регламент 1303/2013 г. изрично препраща  към правилата за държавните помощи като определя  държавната помощ бланкетно – помощ, която попада в чл.107 </w:t>
      </w:r>
      <w:r w:rsidRPr="00C370EC">
        <w:rPr>
          <w:sz w:val="16"/>
          <w:szCs w:val="16"/>
          <w:lang w:val="ru-RU"/>
        </w:rPr>
        <w:t xml:space="preserve">(1) </w:t>
      </w:r>
      <w:r w:rsidRPr="00C370EC">
        <w:rPr>
          <w:sz w:val="16"/>
          <w:szCs w:val="16"/>
        </w:rPr>
        <w:t xml:space="preserve">на ДФЕС, като за целите на настоящия регламент помощта включва и правилото </w:t>
      </w:r>
      <w:r w:rsidRPr="00C370EC">
        <w:rPr>
          <w:sz w:val="16"/>
          <w:szCs w:val="16"/>
          <w:lang w:val="ru-RU"/>
        </w:rPr>
        <w:t xml:space="preserve"> </w:t>
      </w:r>
      <w:r w:rsidRPr="00C370EC">
        <w:rPr>
          <w:sz w:val="16"/>
          <w:szCs w:val="16"/>
          <w:lang w:val="en-US"/>
        </w:rPr>
        <w:t>de</w:t>
      </w:r>
      <w:r w:rsidRPr="00C370EC">
        <w:rPr>
          <w:sz w:val="16"/>
          <w:szCs w:val="16"/>
          <w:lang w:val="ru-RU"/>
        </w:rPr>
        <w:t xml:space="preserve"> </w:t>
      </w:r>
      <w:r w:rsidRPr="00C370EC">
        <w:rPr>
          <w:sz w:val="16"/>
          <w:szCs w:val="16"/>
          <w:lang w:val="en-US"/>
        </w:rPr>
        <w:t>minimis</w:t>
      </w:r>
      <w:r w:rsidRPr="00C370EC">
        <w:rPr>
          <w:sz w:val="16"/>
          <w:szCs w:val="16"/>
        </w:rPr>
        <w:t>,</w:t>
      </w:r>
      <w:r w:rsidRPr="00C370EC">
        <w:rPr>
          <w:sz w:val="16"/>
          <w:szCs w:val="16"/>
          <w:lang w:val="ru-RU"/>
        </w:rPr>
        <w:t xml:space="preserve"> </w:t>
      </w:r>
      <w:r w:rsidRPr="00C370EC">
        <w:rPr>
          <w:sz w:val="16"/>
          <w:szCs w:val="16"/>
        </w:rPr>
        <w:t xml:space="preserve">по смисъла на: Регламент </w:t>
      </w:r>
      <w:r w:rsidRPr="00C370EC">
        <w:rPr>
          <w:sz w:val="16"/>
          <w:szCs w:val="16"/>
          <w:lang w:val="ru-RU"/>
        </w:rPr>
        <w:t>(</w:t>
      </w:r>
      <w:r w:rsidRPr="00C370EC">
        <w:rPr>
          <w:sz w:val="16"/>
          <w:szCs w:val="16"/>
          <w:lang w:val="en-US"/>
        </w:rPr>
        <w:t>EO</w:t>
      </w:r>
      <w:r w:rsidRPr="00C370EC">
        <w:rPr>
          <w:sz w:val="16"/>
          <w:szCs w:val="16"/>
          <w:lang w:val="ru-RU"/>
        </w:rPr>
        <w:t>) )</w:t>
      </w:r>
      <w:r w:rsidRPr="00C370EC">
        <w:rPr>
          <w:sz w:val="16"/>
          <w:szCs w:val="16"/>
        </w:rPr>
        <w:t xml:space="preserve">№1998/2006  на Комисията, Регламент </w:t>
      </w:r>
      <w:r w:rsidRPr="00C370EC">
        <w:rPr>
          <w:sz w:val="16"/>
          <w:szCs w:val="16"/>
          <w:lang w:val="ru-RU"/>
        </w:rPr>
        <w:t>(</w:t>
      </w:r>
      <w:r w:rsidRPr="00C370EC">
        <w:rPr>
          <w:sz w:val="16"/>
          <w:szCs w:val="16"/>
          <w:lang w:val="en-US"/>
        </w:rPr>
        <w:t>EO</w:t>
      </w:r>
      <w:r w:rsidRPr="00C370EC">
        <w:rPr>
          <w:sz w:val="16"/>
          <w:szCs w:val="16"/>
          <w:lang w:val="ru-RU"/>
        </w:rPr>
        <w:t>) )</w:t>
      </w:r>
      <w:r w:rsidRPr="00C370EC">
        <w:rPr>
          <w:sz w:val="16"/>
          <w:szCs w:val="16"/>
        </w:rPr>
        <w:t xml:space="preserve">№1535 /2007  на Комисията и Регламент </w:t>
      </w:r>
      <w:r w:rsidRPr="00C370EC">
        <w:rPr>
          <w:sz w:val="16"/>
          <w:szCs w:val="16"/>
          <w:lang w:val="ru-RU"/>
        </w:rPr>
        <w:t>(</w:t>
      </w:r>
      <w:r w:rsidRPr="00C370EC">
        <w:rPr>
          <w:sz w:val="16"/>
          <w:szCs w:val="16"/>
          <w:lang w:val="en-US"/>
        </w:rPr>
        <w:t>EO</w:t>
      </w:r>
      <w:r w:rsidRPr="00C370EC">
        <w:rPr>
          <w:sz w:val="16"/>
          <w:szCs w:val="16"/>
          <w:lang w:val="ru-RU"/>
        </w:rPr>
        <w:t>) )</w:t>
      </w:r>
      <w:r w:rsidRPr="00C370EC">
        <w:rPr>
          <w:sz w:val="16"/>
          <w:szCs w:val="16"/>
        </w:rPr>
        <w:t>№875 /2007  на Комисията</w:t>
      </w:r>
    </w:p>
  </w:footnote>
  <w:footnote w:id="57">
    <w:p w:rsidR="00EA2176" w:rsidRPr="00254269" w:rsidRDefault="00EA2176" w:rsidP="00FC58CF">
      <w:pPr>
        <w:pStyle w:val="FootnoteText"/>
        <w:rPr>
          <w:lang w:val="en-US"/>
        </w:rPr>
      </w:pPr>
      <w:r w:rsidRPr="00C370EC">
        <w:rPr>
          <w:rStyle w:val="FootnoteReference"/>
          <w:rFonts w:eastAsiaTheme="majorEastAsia"/>
          <w:sz w:val="16"/>
          <w:szCs w:val="16"/>
        </w:rPr>
        <w:footnoteRef/>
      </w:r>
      <w:r w:rsidRPr="00C370EC">
        <w:rPr>
          <w:sz w:val="16"/>
          <w:szCs w:val="16"/>
        </w:rPr>
        <w:t xml:space="preserve"> </w:t>
      </w:r>
      <w:r w:rsidRPr="00C370EC">
        <w:rPr>
          <w:sz w:val="16"/>
          <w:szCs w:val="16"/>
          <w:lang w:val="en-US"/>
        </w:rPr>
        <w:t>Case 30/59, Steenkolenmijnen v High Authority 1961 ECR 1, at p.19</w:t>
      </w:r>
    </w:p>
  </w:footnote>
  <w:footnote w:id="58">
    <w:p w:rsidR="00EA2176" w:rsidRPr="00ED4C54" w:rsidRDefault="00EA2176" w:rsidP="00FC58CF">
      <w:pPr>
        <w:pStyle w:val="FootnoteText"/>
        <w:rPr>
          <w:sz w:val="16"/>
          <w:szCs w:val="16"/>
        </w:rPr>
      </w:pPr>
      <w:r w:rsidRPr="00ED4C54">
        <w:rPr>
          <w:rStyle w:val="FootnoteReference"/>
          <w:rFonts w:eastAsiaTheme="majorEastAsia"/>
          <w:sz w:val="16"/>
          <w:szCs w:val="16"/>
        </w:rPr>
        <w:footnoteRef/>
      </w:r>
      <w:r w:rsidRPr="00ED4C54">
        <w:rPr>
          <w:sz w:val="16"/>
          <w:szCs w:val="16"/>
        </w:rPr>
        <w:t xml:space="preserve"> Съгласно §1 т.7 на </w:t>
      </w:r>
      <w:smartTag w:uri="schemas-fourth-com/fourthcoffee2" w:element="flavor2">
        <w:smartTagPr>
          <w:attr w:name="ProductID" w:val="ЗАКОН ЗА ЗАЩИТА НА КОНКУРЕНЦИЯТА "/>
        </w:smartTagPr>
        <w:r w:rsidRPr="00ED4C54">
          <w:rPr>
            <w:sz w:val="16"/>
            <w:szCs w:val="16"/>
          </w:rPr>
          <w:t>Закона за защита на конкуренцията</w:t>
        </w:r>
      </w:smartTag>
      <w:r w:rsidRPr="00ED4C54">
        <w:rPr>
          <w:sz w:val="16"/>
          <w:szCs w:val="16"/>
        </w:rPr>
        <w:t xml:space="preserve"> „ предприятие е всяко физическо, юридическо лице и неперсонифицирано образование, което извършва стопанска дейност, независимо от правната и организационната си форма.</w:t>
      </w:r>
    </w:p>
  </w:footnote>
  <w:footnote w:id="59">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Съгласно §1 т.15 на ДР на </w:t>
      </w:r>
      <w:smartTag w:uri="schemas-fourth-com/fourthcoffee2" w:element="flavor2">
        <w:smartTagPr>
          <w:attr w:name="ProductID" w:val="ЗАКОН ЗА ЗАЩИТА НА КОНКУРЕНЦИЯТА "/>
        </w:smartTagPr>
        <w:r w:rsidRPr="00F66BD6">
          <w:rPr>
            <w:rFonts w:asciiTheme="minorHAnsi" w:hAnsiTheme="minorHAnsi" w:cstheme="minorHAnsi"/>
            <w:sz w:val="18"/>
            <w:szCs w:val="18"/>
          </w:rPr>
          <w:t>ЗЗК</w:t>
        </w:r>
      </w:smartTag>
      <w:r w:rsidRPr="00F66BD6">
        <w:rPr>
          <w:rFonts w:asciiTheme="minorHAnsi" w:hAnsiTheme="minorHAnsi" w:cstheme="minorHAnsi"/>
          <w:sz w:val="18"/>
          <w:szCs w:val="18"/>
        </w:rPr>
        <w:t xml:space="preserve"> съответния пазар се състои от:</w:t>
      </w:r>
    </w:p>
    <w:p w:rsidR="00EA2176" w:rsidRPr="00F66BD6" w:rsidRDefault="00EA2176" w:rsidP="00F66BD6">
      <w:pPr>
        <w:pStyle w:val="FootnoteText"/>
        <w:jc w:val="both"/>
        <w:rPr>
          <w:rFonts w:asciiTheme="minorHAnsi" w:hAnsiTheme="minorHAnsi" w:cstheme="minorHAnsi"/>
          <w:sz w:val="18"/>
          <w:szCs w:val="18"/>
        </w:rPr>
      </w:pPr>
      <w:r w:rsidRPr="00F66BD6">
        <w:rPr>
          <w:rFonts w:asciiTheme="minorHAnsi" w:hAnsiTheme="minorHAnsi" w:cstheme="minorHAnsi"/>
          <w:sz w:val="18"/>
          <w:szCs w:val="18"/>
        </w:rPr>
        <w:t>а/ продуктов пазар- който включва всички стоки и услуги, които могат да се приемат за взаимнозаменяеми по отношение на техните характеристики, предназначение и цени и</w:t>
      </w:r>
    </w:p>
    <w:p w:rsidR="00EA2176" w:rsidRPr="00F66BD6" w:rsidRDefault="00EA2176" w:rsidP="00F66BD6">
      <w:pPr>
        <w:pStyle w:val="FootnoteText"/>
        <w:jc w:val="both"/>
        <w:rPr>
          <w:rFonts w:asciiTheme="minorHAnsi" w:hAnsiTheme="minorHAnsi" w:cstheme="minorHAnsi"/>
          <w:sz w:val="18"/>
          <w:szCs w:val="18"/>
        </w:rPr>
      </w:pPr>
      <w:r w:rsidRPr="00F66BD6">
        <w:rPr>
          <w:rFonts w:asciiTheme="minorHAnsi" w:hAnsiTheme="minorHAnsi" w:cstheme="minorHAnsi"/>
          <w:sz w:val="18"/>
          <w:szCs w:val="18"/>
        </w:rPr>
        <w:t>б/ географски пазар- включващ определена територия, в която се предлагат съответните взаимнозаменяеми стоки и услуги и в която конкурентните условия са еднакви и се различават от тези в съседни райони.</w:t>
      </w:r>
    </w:p>
  </w:footnote>
  <w:footnote w:id="60">
    <w:p w:rsidR="00EA2176" w:rsidRPr="00ED4C54" w:rsidRDefault="00EA2176" w:rsidP="00F66BD6">
      <w:pPr>
        <w:pStyle w:val="FootnoteText"/>
        <w:jc w:val="both"/>
        <w:rPr>
          <w:sz w:val="16"/>
          <w:szCs w:val="16"/>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т.н. „ съвместими с общия пазар държавни помощи”</w:t>
      </w:r>
    </w:p>
  </w:footnote>
  <w:footnote w:id="61">
    <w:p w:rsidR="00EA2176" w:rsidRPr="00F66BD6" w:rsidRDefault="00EA2176" w:rsidP="00FC58CF">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Виж </w:t>
      </w:r>
      <w:r w:rsidRPr="00F66BD6">
        <w:rPr>
          <w:rFonts w:asciiTheme="minorHAnsi" w:hAnsiTheme="minorHAnsi" w:cstheme="minorHAnsi"/>
          <w:sz w:val="18"/>
          <w:szCs w:val="18"/>
          <w:lang w:val="en-US"/>
        </w:rPr>
        <w:t>Guidelines on State Aid to promote risk finance investments – 2014/C19/04</w:t>
      </w:r>
      <w:r w:rsidRPr="00F66BD6">
        <w:rPr>
          <w:rFonts w:asciiTheme="minorHAnsi" w:hAnsiTheme="minorHAnsi" w:cstheme="minorHAnsi"/>
          <w:sz w:val="18"/>
          <w:szCs w:val="18"/>
        </w:rPr>
        <w:t>,</w:t>
      </w:r>
      <w:r w:rsidRPr="00F66BD6">
        <w:rPr>
          <w:rFonts w:asciiTheme="minorHAnsi" w:hAnsiTheme="minorHAnsi" w:cstheme="minorHAnsi"/>
          <w:sz w:val="18"/>
          <w:szCs w:val="18"/>
          <w:lang w:val="en-US"/>
        </w:rPr>
        <w:t xml:space="preserve"> </w:t>
      </w:r>
      <w:r w:rsidRPr="00F66BD6">
        <w:rPr>
          <w:rFonts w:asciiTheme="minorHAnsi" w:hAnsiTheme="minorHAnsi" w:cstheme="minorHAnsi"/>
          <w:sz w:val="18"/>
          <w:szCs w:val="18"/>
        </w:rPr>
        <w:t>приети на 15.01.2014 г.</w:t>
      </w:r>
    </w:p>
  </w:footnote>
  <w:footnote w:id="62">
    <w:p w:rsidR="00EA2176" w:rsidRPr="00F66BD6" w:rsidRDefault="00EA2176" w:rsidP="00644D36">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Com (2010) 2020</w:t>
      </w:r>
      <w:r w:rsidRPr="00F66BD6">
        <w:rPr>
          <w:rFonts w:asciiTheme="minorHAnsi" w:hAnsiTheme="minorHAnsi" w:cstheme="minorHAnsi"/>
          <w:sz w:val="18"/>
          <w:szCs w:val="18"/>
        </w:rPr>
        <w:t xml:space="preserve">,окончателен, 3.3.2010 г. </w:t>
      </w:r>
    </w:p>
  </w:footnote>
  <w:footnote w:id="63">
    <w:p w:rsidR="00EA2176" w:rsidRDefault="00EA2176" w:rsidP="00644D36">
      <w:pPr>
        <w:pStyle w:val="FootnoteText"/>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2014/C 200/01</w:t>
      </w:r>
    </w:p>
  </w:footnote>
  <w:footnote w:id="64">
    <w:p w:rsidR="00EA2176" w:rsidRPr="00F66BD6" w:rsidRDefault="00EA2176" w:rsidP="00644D36">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bCs/>
          <w:sz w:val="18"/>
          <w:szCs w:val="18"/>
        </w:rPr>
        <w:t xml:space="preserve">Насоки относно държавната помощ за опазване на околната среда и за енергетика за периода 2014 — </w:t>
      </w:r>
      <w:smartTag w:uri="urn:schemas-microsoft-com:office:smarttags" w:element="metricconverter">
        <w:smartTagPr>
          <w:attr w:name="ProductID" w:val="2020 г"/>
        </w:smartTagPr>
        <w:r w:rsidRPr="00F66BD6">
          <w:rPr>
            <w:rFonts w:asciiTheme="minorHAnsi" w:hAnsiTheme="minorHAnsi" w:cstheme="minorHAnsi"/>
            <w:bCs/>
            <w:sz w:val="18"/>
            <w:szCs w:val="18"/>
          </w:rPr>
          <w:t>2020 г</w:t>
        </w:r>
      </w:smartTag>
      <w:r w:rsidRPr="00F66BD6">
        <w:rPr>
          <w:rFonts w:asciiTheme="minorHAnsi" w:hAnsiTheme="minorHAnsi" w:cstheme="minorHAnsi"/>
          <w:bCs/>
          <w:sz w:val="18"/>
          <w:szCs w:val="18"/>
        </w:rPr>
        <w:t>.</w:t>
      </w:r>
      <w:r w:rsidRPr="00F66BD6">
        <w:rPr>
          <w:rStyle w:val="FootnoteReference"/>
          <w:rFonts w:asciiTheme="minorHAnsi" w:eastAsiaTheme="majorEastAsia" w:hAnsiTheme="minorHAnsi" w:cstheme="minorHAnsi"/>
          <w:bCs/>
          <w:sz w:val="18"/>
          <w:szCs w:val="18"/>
        </w:rPr>
        <w:footnoteRef/>
      </w:r>
      <w:r w:rsidRPr="00F66BD6">
        <w:rPr>
          <w:rFonts w:asciiTheme="minorHAnsi" w:hAnsiTheme="minorHAnsi" w:cstheme="minorHAnsi"/>
          <w:bCs/>
          <w:sz w:val="18"/>
          <w:szCs w:val="18"/>
        </w:rPr>
        <w:t>, параграф 7</w:t>
      </w:r>
    </w:p>
  </w:footnote>
  <w:footnote w:id="65">
    <w:p w:rsidR="00EA2176" w:rsidRPr="00F66BD6" w:rsidRDefault="00EA2176" w:rsidP="00644D36">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Регламент </w:t>
      </w:r>
      <w:r w:rsidRPr="00F66BD6">
        <w:rPr>
          <w:rFonts w:asciiTheme="minorHAnsi" w:hAnsiTheme="minorHAnsi" w:cstheme="minorHAnsi"/>
          <w:sz w:val="18"/>
          <w:szCs w:val="18"/>
          <w:lang w:val="ru-RU"/>
        </w:rPr>
        <w:t>(</w:t>
      </w:r>
      <w:r w:rsidRPr="00F66BD6">
        <w:rPr>
          <w:rFonts w:asciiTheme="minorHAnsi" w:hAnsiTheme="minorHAnsi" w:cstheme="minorHAnsi"/>
          <w:sz w:val="18"/>
          <w:szCs w:val="18"/>
          <w:lang w:val="en-US"/>
        </w:rPr>
        <w:t>EC</w:t>
      </w:r>
      <w:r w:rsidRPr="00F66BD6">
        <w:rPr>
          <w:rFonts w:asciiTheme="minorHAnsi" w:hAnsiTheme="minorHAnsi" w:cstheme="minorHAnsi"/>
          <w:sz w:val="18"/>
          <w:szCs w:val="18"/>
          <w:lang w:val="ru-RU"/>
        </w:rPr>
        <w:t xml:space="preserve">) </w:t>
      </w:r>
      <w:r w:rsidRPr="00F66BD6">
        <w:rPr>
          <w:rFonts w:asciiTheme="minorHAnsi" w:hAnsiTheme="minorHAnsi" w:cstheme="minorHAnsi"/>
          <w:sz w:val="18"/>
          <w:szCs w:val="18"/>
        </w:rPr>
        <w:t xml:space="preserve">№ 651/2014  на Комисията от 17.06.2014 г. за обявяване на някои категории помощи за съвместими с вътрешния пазар и приложение на чл. 107 и 108 от Договора </w:t>
      </w:r>
    </w:p>
  </w:footnote>
  <w:footnote w:id="66">
    <w:p w:rsidR="00EA2176" w:rsidRPr="00F66BD6" w:rsidRDefault="00EA2176" w:rsidP="00644D36">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Чл.4 б „ж” на </w:t>
      </w:r>
      <w:r w:rsidRPr="00F66BD6">
        <w:rPr>
          <w:rFonts w:asciiTheme="minorHAnsi" w:hAnsiTheme="minorHAnsi" w:cstheme="minorHAnsi"/>
          <w:sz w:val="18"/>
          <w:szCs w:val="18"/>
          <w:lang w:val="en-US"/>
        </w:rPr>
        <w:t>GBER</w:t>
      </w:r>
    </w:p>
  </w:footnote>
  <w:footnote w:id="67">
    <w:p w:rsidR="00EA2176" w:rsidRPr="00F66BD6" w:rsidRDefault="00EA2176" w:rsidP="00644D36">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Помощи за достъпа на МСП до финансиране – чл.21 и чл.22</w:t>
      </w:r>
    </w:p>
  </w:footnote>
  <w:footnote w:id="68">
    <w:p w:rsidR="00EA2176" w:rsidRDefault="00EA2176" w:rsidP="00644D36">
      <w:pPr>
        <w:pStyle w:val="FootnoteText"/>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Помощи за опазване на околната среда- чл.36, 37, 38, 39,40, 41,42,43,44,45,46,47,48,49</w:t>
      </w:r>
    </w:p>
  </w:footnote>
  <w:footnote w:id="69">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Определено като такова в чл.2 на Приложение №1 на </w:t>
      </w:r>
      <w:r w:rsidRPr="00F66BD6">
        <w:rPr>
          <w:rFonts w:asciiTheme="minorHAnsi" w:hAnsiTheme="minorHAnsi" w:cstheme="minorHAnsi"/>
          <w:sz w:val="18"/>
          <w:szCs w:val="18"/>
          <w:lang w:val="en-US"/>
        </w:rPr>
        <w:t>GBER</w:t>
      </w:r>
      <w:r w:rsidRPr="00F66BD6">
        <w:rPr>
          <w:rFonts w:asciiTheme="minorHAnsi" w:hAnsiTheme="minorHAnsi" w:cstheme="minorHAnsi"/>
          <w:sz w:val="18"/>
          <w:szCs w:val="18"/>
        </w:rPr>
        <w:t xml:space="preserve"> както следва: в категорията микро, малки и средни предприятия МСП се включват предприятия, в които работят по- малко от 250 души и чиито годишен оборот не надхвърля 50 млн евро и/или чийто годишен баланс не надвишава 43 млн. евро.</w:t>
      </w:r>
    </w:p>
  </w:footnote>
  <w:footnote w:id="70">
    <w:p w:rsidR="00EA2176" w:rsidRPr="00F66BD6" w:rsidRDefault="00EA2176" w:rsidP="00F66BD6">
      <w:pPr>
        <w:pStyle w:val="FootnoteText"/>
        <w:jc w:val="both"/>
        <w:rPr>
          <w:rFonts w:asciiTheme="minorHAnsi" w:hAnsiTheme="minorHAnsi" w:cstheme="minorHAnsi"/>
          <w:sz w:val="18"/>
          <w:szCs w:val="18"/>
          <w:lang w:val="nb-NO"/>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Чл.2 , т.14 б”</w:t>
      </w:r>
      <w:r w:rsidRPr="00F66BD6">
        <w:rPr>
          <w:rFonts w:asciiTheme="minorHAnsi" w:hAnsiTheme="minorHAnsi" w:cstheme="minorHAnsi"/>
          <w:sz w:val="18"/>
          <w:szCs w:val="18"/>
          <w:lang w:val="nb-NO"/>
        </w:rPr>
        <w:t>I</w:t>
      </w:r>
      <w:r w:rsidRPr="00F66BD6">
        <w:rPr>
          <w:rFonts w:asciiTheme="minorHAnsi" w:hAnsiTheme="minorHAnsi" w:cstheme="minorHAnsi"/>
          <w:sz w:val="18"/>
          <w:szCs w:val="18"/>
        </w:rPr>
        <w:t>”</w:t>
      </w:r>
      <w:r w:rsidRPr="00F66BD6">
        <w:rPr>
          <w:rFonts w:asciiTheme="minorHAnsi" w:hAnsiTheme="minorHAnsi" w:cstheme="minorHAnsi"/>
          <w:sz w:val="18"/>
          <w:szCs w:val="18"/>
          <w:lang w:val="nb-NO"/>
        </w:rPr>
        <w:t xml:space="preserve"> </w:t>
      </w:r>
      <w:r w:rsidRPr="00F66BD6">
        <w:rPr>
          <w:rFonts w:asciiTheme="minorHAnsi" w:hAnsiTheme="minorHAnsi" w:cstheme="minorHAnsi"/>
          <w:sz w:val="18"/>
          <w:szCs w:val="18"/>
        </w:rPr>
        <w:t xml:space="preserve">на </w:t>
      </w:r>
      <w:r w:rsidRPr="00F66BD6">
        <w:rPr>
          <w:rFonts w:asciiTheme="minorHAnsi" w:hAnsiTheme="minorHAnsi" w:cstheme="minorHAnsi"/>
          <w:sz w:val="18"/>
          <w:szCs w:val="18"/>
          <w:lang w:val="nb-NO"/>
        </w:rPr>
        <w:t>GBER</w:t>
      </w:r>
    </w:p>
  </w:footnote>
  <w:footnote w:id="71">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Чл.37 т.1 от Регламент 1303/2013 г. </w:t>
      </w:r>
    </w:p>
  </w:footnote>
  <w:footnote w:id="72">
    <w:p w:rsidR="00EA2176" w:rsidRPr="00F66BD6" w:rsidRDefault="00EA2176" w:rsidP="00F66BD6">
      <w:pPr>
        <w:pStyle w:val="FootnoteText"/>
        <w:jc w:val="both"/>
        <w:rPr>
          <w:rFonts w:asciiTheme="minorHAnsi" w:hAnsiTheme="minorHAnsi" w:cstheme="minorHAnsi"/>
          <w:sz w:val="18"/>
          <w:szCs w:val="18"/>
          <w:lang w:val="en-US"/>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Case C-290/83, Commission v France, 1985, ECR 439</w:t>
      </w:r>
    </w:p>
  </w:footnote>
  <w:footnote w:id="73">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В този смисъл са „Актуализирани методически указания по прилагане на режима на държавните помощи във връзка с финансиране по Оперативните програми, съфинансирани от Структурните и Кохезионния фонд на ЕС” т.1.</w:t>
      </w:r>
    </w:p>
  </w:footnote>
  <w:footnote w:id="74">
    <w:p w:rsidR="00EA2176" w:rsidRPr="00ED4C54" w:rsidRDefault="00EA2176" w:rsidP="00F66BD6">
      <w:pPr>
        <w:pStyle w:val="FootnoteText"/>
        <w:jc w:val="both"/>
        <w:rPr>
          <w:sz w:val="16"/>
          <w:szCs w:val="16"/>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Правилото на чл. 37.1. б”б” на Регламент 1303/2013 г.</w:t>
      </w:r>
    </w:p>
  </w:footnote>
  <w:footnote w:id="75">
    <w:p w:rsidR="00EA2176" w:rsidRPr="00F66BD6" w:rsidRDefault="00EA2176" w:rsidP="00FC58CF">
      <w:pPr>
        <w:pStyle w:val="FootnoteText"/>
        <w:rPr>
          <w:rFonts w:asciiTheme="minorHAnsi" w:hAnsiTheme="minorHAnsi" w:cstheme="minorHAnsi"/>
          <w:sz w:val="18"/>
          <w:szCs w:val="18"/>
          <w:lang w:val="en-US"/>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Case C-475/99 Ambulanz Glockner [2001] ECR I 09089</w:t>
      </w:r>
    </w:p>
  </w:footnote>
  <w:footnote w:id="76">
    <w:p w:rsidR="00EA2176" w:rsidRPr="00ED4C54" w:rsidRDefault="00EA2176" w:rsidP="00FC58CF">
      <w:pPr>
        <w:pStyle w:val="FootnoteText"/>
        <w:rPr>
          <w:sz w:val="16"/>
          <w:szCs w:val="16"/>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Виж Общи принципи за икономическата оценка на съвместимостта на държавните помощи съгласно чл.87 §3 от ДЕО</w:t>
      </w:r>
    </w:p>
  </w:footnote>
  <w:footnote w:id="77">
    <w:p w:rsidR="00EA2176" w:rsidRPr="00F66BD6" w:rsidRDefault="00EA2176" w:rsidP="00FC58CF">
      <w:pPr>
        <w:pStyle w:val="FootnoteText"/>
        <w:rPr>
          <w:rFonts w:asciiTheme="minorHAnsi" w:hAnsiTheme="minorHAnsi" w:cstheme="minorHAnsi"/>
          <w:sz w:val="18"/>
          <w:szCs w:val="18"/>
          <w:lang w:val="en-US"/>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 xml:space="preserve">Case C-482/99 France v Commission (Stardust Marine), </w:t>
      </w:r>
    </w:p>
  </w:footnote>
  <w:footnote w:id="78">
    <w:p w:rsidR="00EA2176" w:rsidRPr="00F66BD6" w:rsidRDefault="00EA2176" w:rsidP="00FC58CF">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в този смисъл Насоки на ЕК за икономически оценка на съвместимостта на държавната помощ съгласно чл.87 </w:t>
      </w:r>
      <w:r w:rsidRPr="00F66BD6">
        <w:rPr>
          <w:rFonts w:asciiTheme="minorHAnsi" w:hAnsiTheme="minorHAnsi" w:cstheme="minorHAnsi"/>
          <w:sz w:val="18"/>
          <w:szCs w:val="18"/>
          <w:lang w:val="ru-RU"/>
        </w:rPr>
        <w:t xml:space="preserve">(3) </w:t>
      </w:r>
      <w:r w:rsidRPr="00F66BD6">
        <w:rPr>
          <w:rFonts w:asciiTheme="minorHAnsi" w:hAnsiTheme="minorHAnsi" w:cstheme="minorHAnsi"/>
          <w:sz w:val="18"/>
          <w:szCs w:val="18"/>
        </w:rPr>
        <w:t xml:space="preserve">от ДЕО </w:t>
      </w:r>
    </w:p>
  </w:footnote>
  <w:footnote w:id="79">
    <w:p w:rsidR="00EA2176" w:rsidRPr="00F66BD6" w:rsidRDefault="00EA2176" w:rsidP="00FC58CF">
      <w:pPr>
        <w:pStyle w:val="FootnoteText"/>
        <w:rPr>
          <w:rFonts w:asciiTheme="minorHAnsi" w:hAnsiTheme="minorHAnsi" w:cstheme="minorHAnsi"/>
          <w:sz w:val="18"/>
          <w:szCs w:val="18"/>
          <w:lang w:val="en-US"/>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Case C-280/00, Altmark Trans, 2003, ECR-I 7747</w:t>
      </w:r>
    </w:p>
  </w:footnote>
  <w:footnote w:id="80">
    <w:p w:rsidR="00EA2176" w:rsidRPr="00F66BD6" w:rsidRDefault="00EA2176" w:rsidP="00FC58CF">
      <w:pPr>
        <w:pStyle w:val="FootnoteText"/>
        <w:jc w:val="both"/>
        <w:rPr>
          <w:rFonts w:asciiTheme="minorHAnsi" w:hAnsiTheme="minorHAnsi" w:cstheme="minorHAnsi"/>
          <w:sz w:val="18"/>
          <w:szCs w:val="18"/>
          <w:lang w:val="en-US"/>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Case 730/79 Philip Morris v Commission 1980, ECR 2671, at para 11</w:t>
      </w:r>
    </w:p>
  </w:footnote>
  <w:footnote w:id="81">
    <w:p w:rsidR="00EA2176" w:rsidRPr="00F66BD6" w:rsidRDefault="00EA2176" w:rsidP="00FC58CF">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Чл.108 (1) на ДФЕС Комисията в сътрудничество с държавите членки държи под наблюдение всички системи за предоставяне на помощ, съществуващи в тези държави.</w:t>
      </w:r>
    </w:p>
  </w:footnote>
  <w:footnote w:id="82">
    <w:p w:rsidR="00EA2176" w:rsidRPr="00F66BD6" w:rsidRDefault="00EA2176" w:rsidP="00FC58CF">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Регламент № 659/1999 на Съвета относно определяне на подробни правила за член 93 от ДЕО (процедурен регламент) и Регламент № 794/2004  на комисията  от 21.04.2004  г.за прилагане на Регламент № 659/1999 на Съвета ( имплементиращ регламент)</w:t>
      </w:r>
    </w:p>
  </w:footnote>
  <w:footnote w:id="83">
    <w:p w:rsidR="00EA2176" w:rsidRPr="00F66BD6" w:rsidRDefault="00EA2176" w:rsidP="00F66BD6">
      <w:pPr>
        <w:pStyle w:val="FootnoteText"/>
        <w:jc w:val="both"/>
        <w:rPr>
          <w:rFonts w:asciiTheme="minorHAnsi" w:hAnsiTheme="minorHAnsi" w:cstheme="minorHAnsi"/>
          <w:sz w:val="18"/>
          <w:szCs w:val="18"/>
          <w:lang w:val="en-US"/>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В тази посока</w:t>
      </w:r>
      <w:r w:rsidRPr="00F66BD6">
        <w:rPr>
          <w:rFonts w:asciiTheme="minorHAnsi" w:hAnsiTheme="minorHAnsi" w:cstheme="minorHAnsi"/>
          <w:sz w:val="18"/>
          <w:szCs w:val="18"/>
          <w:lang w:val="en-US"/>
        </w:rPr>
        <w:t>-</w:t>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State Aid SA. 35040(2012/N) –Bulgaria</w:t>
      </w:r>
      <w:r w:rsidRPr="00F66BD6">
        <w:rPr>
          <w:rFonts w:asciiTheme="minorHAnsi" w:hAnsiTheme="minorHAnsi" w:cstheme="minorHAnsi"/>
          <w:sz w:val="18"/>
          <w:szCs w:val="18"/>
        </w:rPr>
        <w:t>,</w:t>
      </w:r>
      <w:r w:rsidRPr="00F66BD6">
        <w:rPr>
          <w:rFonts w:asciiTheme="minorHAnsi" w:hAnsiTheme="minorHAnsi" w:cstheme="minorHAnsi"/>
          <w:sz w:val="18"/>
          <w:szCs w:val="18"/>
          <w:lang w:val="en-US"/>
        </w:rPr>
        <w:t xml:space="preserve"> JESSICA Holding Fund Bulgaria</w:t>
      </w:r>
    </w:p>
  </w:footnote>
  <w:footnote w:id="84">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Т.187-199 на решението на ЕК по нотификация на Република България </w:t>
      </w:r>
      <w:r w:rsidRPr="00F66BD6">
        <w:rPr>
          <w:rFonts w:asciiTheme="minorHAnsi" w:hAnsiTheme="minorHAnsi" w:cstheme="minorHAnsi"/>
          <w:sz w:val="18"/>
          <w:szCs w:val="18"/>
          <w:lang w:val="en-US"/>
        </w:rPr>
        <w:t>State Aid SA. 35040(2012/N) –Bulgaria, JESSICA Holding Fund Bulgaria</w:t>
      </w:r>
    </w:p>
  </w:footnote>
  <w:footnote w:id="85">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В този случай се анализират сключените договори за управление с управляващите фонда и дали те отговарят на пазарните нива.</w:t>
      </w:r>
    </w:p>
  </w:footnote>
  <w:footnote w:id="86">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В случай се изследва подробно наличието на принципа на “</w:t>
      </w:r>
      <w:r w:rsidRPr="00F66BD6">
        <w:rPr>
          <w:rFonts w:asciiTheme="minorHAnsi" w:hAnsiTheme="minorHAnsi" w:cstheme="minorHAnsi"/>
          <w:sz w:val="18"/>
          <w:szCs w:val="18"/>
          <w:lang w:val="en-US"/>
        </w:rPr>
        <w:t>pari</w:t>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passu</w:t>
      </w:r>
      <w:r w:rsidRPr="00F66BD6">
        <w:rPr>
          <w:rFonts w:asciiTheme="minorHAnsi" w:hAnsiTheme="minorHAnsi" w:cstheme="minorHAnsi"/>
          <w:sz w:val="18"/>
          <w:szCs w:val="18"/>
        </w:rPr>
        <w:t>”’ –който изисква еднаквост на извършения принос (трансакция) от публичния и от частния инвеститор във фонда, включително и относно сроковете и условията за осъществяване на инвестицията.</w:t>
      </w:r>
    </w:p>
  </w:footnote>
  <w:footnote w:id="87">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Изменен с Регламент № 734/2013  от 22 .07.2013 г. за изменение на Регламент № 659/1999 на Съвета </w:t>
      </w:r>
    </w:p>
  </w:footnote>
  <w:footnote w:id="88">
    <w:p w:rsidR="00EA2176" w:rsidRPr="00F66BD6" w:rsidRDefault="00EA2176" w:rsidP="00FC58CF">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State</w:t>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Aid</w:t>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Notification</w:t>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Interactive</w:t>
      </w:r>
    </w:p>
  </w:footnote>
  <w:footnote w:id="89">
    <w:p w:rsidR="00EA2176" w:rsidRPr="00F66BD6" w:rsidRDefault="00EA2176" w:rsidP="00FC58CF">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Подробна информация за работата  на системата </w:t>
      </w:r>
      <w:r w:rsidRPr="00F66BD6">
        <w:rPr>
          <w:rFonts w:asciiTheme="minorHAnsi" w:hAnsiTheme="minorHAnsi" w:cstheme="minorHAnsi"/>
          <w:sz w:val="18"/>
          <w:szCs w:val="18"/>
          <w:lang w:val="en-US"/>
        </w:rPr>
        <w:t>SANI</w:t>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e</w:t>
      </w:r>
      <w:r w:rsidRPr="00F66BD6">
        <w:rPr>
          <w:rFonts w:asciiTheme="minorHAnsi" w:hAnsiTheme="minorHAnsi" w:cstheme="minorHAnsi"/>
          <w:sz w:val="18"/>
          <w:szCs w:val="18"/>
        </w:rPr>
        <w:t xml:space="preserve"> посочена на Интернет страницата на отдел „Държавни помощи „ на МФ – </w:t>
      </w:r>
      <w:r w:rsidRPr="00F66BD6">
        <w:rPr>
          <w:rFonts w:asciiTheme="minorHAnsi" w:hAnsiTheme="minorHAnsi" w:cstheme="minorHAnsi"/>
          <w:sz w:val="18"/>
          <w:szCs w:val="18"/>
          <w:lang w:val="en-US"/>
        </w:rPr>
        <w:t>www</w:t>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stateaid</w:t>
      </w:r>
      <w:r w:rsidRPr="00F66BD6">
        <w:rPr>
          <w:rFonts w:asciiTheme="minorHAnsi" w:hAnsiTheme="minorHAnsi" w:cstheme="minorHAnsi"/>
          <w:sz w:val="18"/>
          <w:szCs w:val="18"/>
        </w:rPr>
        <w:t>-</w:t>
      </w:r>
      <w:r w:rsidRPr="00F66BD6">
        <w:rPr>
          <w:rFonts w:asciiTheme="minorHAnsi" w:hAnsiTheme="minorHAnsi" w:cstheme="minorHAnsi"/>
          <w:sz w:val="18"/>
          <w:szCs w:val="18"/>
          <w:lang w:val="en-US"/>
        </w:rPr>
        <w:t>bg</w:t>
      </w:r>
      <w:r w:rsidRPr="00F66BD6">
        <w:rPr>
          <w:rFonts w:asciiTheme="minorHAnsi" w:hAnsiTheme="minorHAnsi" w:cstheme="minorHAnsi"/>
          <w:sz w:val="18"/>
          <w:szCs w:val="18"/>
        </w:rPr>
        <w:t>.</w:t>
      </w:r>
      <w:r w:rsidRPr="00F66BD6">
        <w:rPr>
          <w:rFonts w:asciiTheme="minorHAnsi" w:hAnsiTheme="minorHAnsi" w:cstheme="minorHAnsi"/>
          <w:sz w:val="18"/>
          <w:szCs w:val="18"/>
          <w:lang w:val="en-US"/>
        </w:rPr>
        <w:t>com</w:t>
      </w:r>
    </w:p>
  </w:footnote>
  <w:footnote w:id="90">
    <w:p w:rsidR="00EA2176" w:rsidRPr="00F66BD6" w:rsidRDefault="00EA2176" w:rsidP="00FC58CF">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До 30.06.2014 г. действа Регламент №800/2008 г. на комисията  относно деклариране на някои категории помощи за съвместими с общия пазар в приложението на чл. 87 и 88 от договора ( общ регламент за групово освобождаване). От 01. 07.2014 г. ще действа новоприет регламент, които </w:t>
      </w:r>
      <w:r w:rsidRPr="00F66BD6">
        <w:rPr>
          <w:rFonts w:asciiTheme="minorHAnsi" w:hAnsiTheme="minorHAnsi" w:cstheme="minorHAnsi"/>
          <w:sz w:val="18"/>
          <w:szCs w:val="18"/>
          <w:lang w:val="en-US"/>
        </w:rPr>
        <w:t>l</w:t>
      </w:r>
      <w:r w:rsidRPr="00F66BD6">
        <w:rPr>
          <w:rFonts w:asciiTheme="minorHAnsi" w:hAnsiTheme="minorHAnsi" w:cstheme="minorHAnsi"/>
          <w:sz w:val="18"/>
          <w:szCs w:val="18"/>
        </w:rPr>
        <w:t xml:space="preserve">все още,  не е официално публикуван в </w:t>
      </w:r>
      <w:r w:rsidRPr="00F66BD6">
        <w:rPr>
          <w:rFonts w:asciiTheme="minorHAnsi" w:hAnsiTheme="minorHAnsi" w:cstheme="minorHAnsi"/>
          <w:sz w:val="18"/>
          <w:szCs w:val="18"/>
          <w:lang w:val="en-US"/>
        </w:rPr>
        <w:t>OJ</w:t>
      </w:r>
      <w:r w:rsidRPr="00F66BD6">
        <w:rPr>
          <w:rFonts w:asciiTheme="minorHAnsi" w:hAnsiTheme="minorHAnsi" w:cstheme="minorHAnsi"/>
          <w:sz w:val="18"/>
          <w:szCs w:val="18"/>
        </w:rPr>
        <w:t xml:space="preserve"> </w:t>
      </w:r>
    </w:p>
  </w:footnote>
  <w:footnote w:id="91">
    <w:p w:rsidR="00EA2176" w:rsidRDefault="00EA2176" w:rsidP="00E31AAC">
      <w:pPr>
        <w:pStyle w:val="FootnoteText"/>
        <w:rPr>
          <w:rFonts w:cs="Times New Roman"/>
        </w:rPr>
      </w:pPr>
      <w:r>
        <w:rPr>
          <w:rStyle w:val="FootnoteReference"/>
          <w:rFonts w:cs="Times New Roman"/>
        </w:rPr>
        <w:footnoteRef/>
      </w:r>
      <w:r>
        <w:t xml:space="preserve"> Приет с ПМС № 61/ 2007 г., последно изменение  ДВ, бр.3 /2010 г.</w:t>
      </w:r>
    </w:p>
  </w:footnote>
  <w:footnote w:id="92">
    <w:p w:rsidR="00EA2176" w:rsidRDefault="00EA2176" w:rsidP="00E31AAC">
      <w:pPr>
        <w:pStyle w:val="FootnoteText"/>
      </w:pPr>
      <w:r>
        <w:rPr>
          <w:rStyle w:val="FootnoteReference"/>
        </w:rPr>
        <w:footnoteRef/>
      </w:r>
      <w:r>
        <w:t xml:space="preserve"> обнародвана в ДВ бр.77/2002 г.</w:t>
      </w:r>
    </w:p>
  </w:footnote>
  <w:footnote w:id="93">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Съгласно чл. 5 ал.3 на ЗДП наблюдаващ орган на Р.България за помощи  в областта на земеделието и рибарството е министъра на земеделието и храните. </w:t>
      </w:r>
    </w:p>
  </w:footnote>
  <w:footnote w:id="94">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Съгласно чл.17 т ЗДП администратор на държавна помощ, които не изпълни задължението си по чл. 8 ал.6 от ЗДП се наказва с глоба или имуществена санкция от 4000 до 10000 лева.</w:t>
      </w:r>
    </w:p>
  </w:footnote>
  <w:footnote w:id="95">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Съгласно §1 т.7 на ЗДП  схема за държавна помощ е всеки акт, въз основа на който, без да се изискват допълнителни мерки за изпълнение, могат да се предоставят индивидуални държавни помощи на предприятия, определени по общ или абстрактен начин, във всеки акт, въз основа на който помощ, която не е свързана с определен проект, може да се предостави едно или няколко предприятия за неопределен период от време и/или в неопределен размер. </w:t>
      </w:r>
    </w:p>
  </w:footnote>
  <w:footnote w:id="96">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Съгласно чл.2.3 Определения, т.”х” на съобщение на Комисията -Насоки относно държавните помощи за насърчаване на инвестиции в рисковото финансиране </w:t>
      </w:r>
      <w:r w:rsidRPr="00F66BD6">
        <w:rPr>
          <w:rFonts w:asciiTheme="minorHAnsi" w:hAnsiTheme="minorHAnsi" w:cstheme="minorHAnsi"/>
          <w:sz w:val="18"/>
          <w:szCs w:val="18"/>
          <w:lang w:val="ru-RU"/>
        </w:rPr>
        <w:t>(2014/</w:t>
      </w:r>
      <w:r w:rsidRPr="00F66BD6">
        <w:rPr>
          <w:rFonts w:asciiTheme="minorHAnsi" w:hAnsiTheme="minorHAnsi" w:cstheme="minorHAnsi"/>
          <w:sz w:val="18"/>
          <w:szCs w:val="18"/>
          <w:lang w:val="en-US"/>
        </w:rPr>
        <w:t>C</w:t>
      </w:r>
      <w:r w:rsidRPr="00F66BD6">
        <w:rPr>
          <w:rFonts w:asciiTheme="minorHAnsi" w:hAnsiTheme="minorHAnsi" w:cstheme="minorHAnsi"/>
          <w:sz w:val="18"/>
          <w:szCs w:val="18"/>
          <w:lang w:val="ru-RU"/>
        </w:rPr>
        <w:t xml:space="preserve"> 19/04) </w:t>
      </w:r>
      <w:r w:rsidRPr="00F66BD6">
        <w:rPr>
          <w:rFonts w:asciiTheme="minorHAnsi" w:hAnsiTheme="minorHAnsi" w:cstheme="minorHAnsi"/>
          <w:sz w:val="18"/>
          <w:szCs w:val="18"/>
        </w:rPr>
        <w:t>финансов посредник означава всяка финансова институция, независимо от нейната от нейната форма и собственост, включително и фондовете, инвестиращи в други фондове, частните инвестиционни фондове, публичните инвестиционни фондове, банките институциите за микрофинансиране и гаранционните дружества</w:t>
      </w:r>
    </w:p>
  </w:footnote>
  <w:footnote w:id="97">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Чл.2 т.19 и т.20 на Насоки относно държавните помощи за насърчаване на инвестиции в рисковото финансиране</w:t>
      </w:r>
    </w:p>
  </w:footnote>
  <w:footnote w:id="98">
    <w:p w:rsidR="00EA2176" w:rsidRPr="00F66BD6" w:rsidRDefault="00EA2176" w:rsidP="00F66BD6">
      <w:pPr>
        <w:pStyle w:val="FootnoteText"/>
        <w:keepNext/>
        <w:keepLines/>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Чл.2, т.22 на Насоки относно държавните помощи за насърчаване на инвестиции в рисковото финансиране</w:t>
      </w:r>
    </w:p>
  </w:footnote>
  <w:footnote w:id="99">
    <w:p w:rsidR="00EA2176" w:rsidRPr="00F66BD6" w:rsidRDefault="00EA2176" w:rsidP="00F66BD6">
      <w:pPr>
        <w:pStyle w:val="FootnoteText"/>
        <w:keepNext/>
        <w:keepLines/>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Частните инвеститори обикновено включват и ЕИФ и ЕЦБ инвестиращи на собствен риск и със собствени средства, банките, които инвестират на собствен риск и със собствени средства, частните дарения и фондации, дружества за управление на имущества на заможни семейства, корпоративни инвеститори, застрахователни компании, пенсионни фондове, частни лица и академични институции.</w:t>
      </w:r>
    </w:p>
  </w:footnote>
  <w:footnote w:id="100">
    <w:p w:rsidR="00EA2176" w:rsidRPr="00F66BD6" w:rsidRDefault="00EA2176" w:rsidP="000D2B95">
      <w:pPr>
        <w:pStyle w:val="FootnoteText"/>
        <w:keepNext/>
        <w:keepLines/>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Чл.2.1.1 т.32 на Насоки относно държавните помощи за насърчаване на инвестиции в рисковото финансиране</w:t>
      </w:r>
    </w:p>
    <w:p w:rsidR="00EA2176" w:rsidRPr="00F66BD6" w:rsidRDefault="00EA2176" w:rsidP="000D2B95">
      <w:pPr>
        <w:pStyle w:val="FootnoteText"/>
        <w:keepNext/>
        <w:keepLines/>
        <w:jc w:val="both"/>
        <w:rPr>
          <w:rFonts w:asciiTheme="minorHAnsi" w:hAnsiTheme="minorHAnsi" w:cstheme="minorHAnsi"/>
          <w:sz w:val="18"/>
          <w:szCs w:val="18"/>
        </w:rPr>
      </w:pPr>
    </w:p>
  </w:footnote>
  <w:footnote w:id="101">
    <w:p w:rsidR="00EA2176" w:rsidRPr="00F66BD6" w:rsidRDefault="00EA2176" w:rsidP="000D2B95">
      <w:pPr>
        <w:pStyle w:val="FootnoteText"/>
        <w:keepNext/>
        <w:keepLines/>
        <w:jc w:val="both"/>
        <w:rPr>
          <w:rFonts w:asciiTheme="minorHAnsi" w:hAnsiTheme="minorHAnsi" w:cstheme="minorHAnsi"/>
          <w:sz w:val="16"/>
          <w:szCs w:val="16"/>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Съгласно чл.2 т.71 на </w:t>
      </w:r>
      <w:r w:rsidRPr="00F66BD6">
        <w:rPr>
          <w:rFonts w:asciiTheme="minorHAnsi" w:hAnsiTheme="minorHAnsi" w:cstheme="minorHAnsi"/>
          <w:sz w:val="18"/>
          <w:szCs w:val="18"/>
          <w:lang w:val="en-US"/>
        </w:rPr>
        <w:t>GBER</w:t>
      </w:r>
      <w:r w:rsidRPr="00F66BD6">
        <w:rPr>
          <w:rFonts w:asciiTheme="minorHAnsi" w:hAnsiTheme="minorHAnsi" w:cstheme="minorHAnsi"/>
          <w:sz w:val="18"/>
          <w:szCs w:val="18"/>
        </w:rPr>
        <w:t xml:space="preserve"> „инвестиция за рисково финансиране означава капиталова или квазикапиталова инвестиция, заеми, включващи лизинг, гаранции и комбинации от гаранции или комбинации от тези инструменти в полза на допустими предприятия с цел извършване на нова инвестиция”</w:t>
      </w:r>
    </w:p>
  </w:footnote>
  <w:footnote w:id="102">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Публикувани в ОВ  на 20.06.2008 г. </w:t>
      </w:r>
    </w:p>
  </w:footnote>
  <w:footnote w:id="103">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Чл.2.3. т.</w:t>
      </w:r>
      <w:r w:rsidRPr="00F66BD6">
        <w:rPr>
          <w:rFonts w:asciiTheme="minorHAnsi" w:hAnsiTheme="minorHAnsi" w:cstheme="minorHAnsi"/>
          <w:sz w:val="18"/>
          <w:szCs w:val="18"/>
          <w:lang w:val="en-US"/>
        </w:rPr>
        <w:t>xiv</w:t>
      </w:r>
      <w:r w:rsidRPr="00F66BD6">
        <w:rPr>
          <w:rFonts w:asciiTheme="minorHAnsi" w:hAnsiTheme="minorHAnsi" w:cstheme="minorHAnsi"/>
          <w:sz w:val="18"/>
          <w:szCs w:val="18"/>
          <w:lang w:val="ru-RU"/>
        </w:rPr>
        <w:t xml:space="preserve"> </w:t>
      </w:r>
      <w:r w:rsidRPr="00F66BD6">
        <w:rPr>
          <w:rFonts w:asciiTheme="minorHAnsi" w:hAnsiTheme="minorHAnsi" w:cstheme="minorHAnsi"/>
          <w:sz w:val="18"/>
          <w:szCs w:val="18"/>
        </w:rPr>
        <w:t>на Насоки относно държавните помощи за насърчаване на инвестиции в рисковото финансиране</w:t>
      </w:r>
    </w:p>
  </w:footnote>
  <w:footnote w:id="104">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Чл.1.3.,б „а” на Известие на Комисията относно прилагане на членове 87 и 88 от Договора за ЕО по отношение на държавните помощи под формата на гаранции определя гаранционна схема като инструмент, въз основа на който, без да се изискват допълнителни мерки за прилагане, могат да се предоставят гаранции на предприятия, като се спазят някои условия за продължителност, размер, основна трансакция, вид и размер на предприятието като МСП.</w:t>
      </w:r>
    </w:p>
  </w:footnote>
  <w:footnote w:id="105">
    <w:p w:rsidR="00EA2176" w:rsidRPr="00F66BD6" w:rsidRDefault="00EA2176" w:rsidP="004966E2">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Определена в правната литература като </w:t>
      </w:r>
      <w:r w:rsidRPr="00F66BD6">
        <w:rPr>
          <w:rFonts w:asciiTheme="minorHAnsi" w:hAnsiTheme="minorHAnsi" w:cstheme="minorHAnsi"/>
          <w:sz w:val="18"/>
          <w:szCs w:val="18"/>
          <w:lang w:val="ru-RU"/>
        </w:rPr>
        <w:t>“</w:t>
      </w:r>
      <w:r w:rsidRPr="00F66BD6">
        <w:rPr>
          <w:rFonts w:asciiTheme="minorHAnsi" w:hAnsiTheme="minorHAnsi" w:cstheme="minorHAnsi"/>
          <w:sz w:val="18"/>
          <w:szCs w:val="18"/>
          <w:lang w:val="en-US"/>
        </w:rPr>
        <w:t>state</w:t>
      </w:r>
      <w:r w:rsidRPr="00F66BD6">
        <w:rPr>
          <w:rFonts w:asciiTheme="minorHAnsi" w:hAnsiTheme="minorHAnsi" w:cstheme="minorHAnsi"/>
          <w:sz w:val="18"/>
          <w:szCs w:val="18"/>
          <w:lang w:val="ru-RU"/>
        </w:rPr>
        <w:t xml:space="preserve"> </w:t>
      </w:r>
      <w:r w:rsidRPr="00F66BD6">
        <w:rPr>
          <w:rFonts w:asciiTheme="minorHAnsi" w:hAnsiTheme="minorHAnsi" w:cstheme="minorHAnsi"/>
          <w:sz w:val="18"/>
          <w:szCs w:val="18"/>
          <w:lang w:val="en-US"/>
        </w:rPr>
        <w:t>aid</w:t>
      </w:r>
      <w:r w:rsidRPr="00F66BD6">
        <w:rPr>
          <w:rFonts w:asciiTheme="minorHAnsi" w:hAnsiTheme="minorHAnsi" w:cstheme="minorHAnsi"/>
          <w:sz w:val="18"/>
          <w:szCs w:val="18"/>
          <w:lang w:val="ru-RU"/>
        </w:rPr>
        <w:t xml:space="preserve"> </w:t>
      </w:r>
      <w:r w:rsidRPr="00F66BD6">
        <w:rPr>
          <w:rFonts w:asciiTheme="minorHAnsi" w:hAnsiTheme="minorHAnsi" w:cstheme="minorHAnsi"/>
          <w:sz w:val="18"/>
          <w:szCs w:val="18"/>
          <w:lang w:val="en-US"/>
        </w:rPr>
        <w:t>for</w:t>
      </w:r>
      <w:r w:rsidRPr="00F66BD6">
        <w:rPr>
          <w:rFonts w:asciiTheme="minorHAnsi" w:hAnsiTheme="minorHAnsi" w:cstheme="minorHAnsi"/>
          <w:sz w:val="18"/>
          <w:szCs w:val="18"/>
          <w:lang w:val="ru-RU"/>
        </w:rPr>
        <w:t xml:space="preserve"> </w:t>
      </w:r>
      <w:r w:rsidRPr="00F66BD6">
        <w:rPr>
          <w:rFonts w:asciiTheme="minorHAnsi" w:hAnsiTheme="minorHAnsi" w:cstheme="minorHAnsi"/>
          <w:sz w:val="18"/>
          <w:szCs w:val="18"/>
          <w:lang w:val="en-US"/>
        </w:rPr>
        <w:t>end</w:t>
      </w:r>
      <w:r w:rsidRPr="00F66BD6">
        <w:rPr>
          <w:rFonts w:asciiTheme="minorHAnsi" w:hAnsiTheme="minorHAnsi" w:cstheme="minorHAnsi"/>
          <w:sz w:val="18"/>
          <w:szCs w:val="18"/>
          <w:lang w:val="ru-RU"/>
        </w:rPr>
        <w:t>-</w:t>
      </w:r>
      <w:r w:rsidRPr="00F66BD6">
        <w:rPr>
          <w:rFonts w:asciiTheme="minorHAnsi" w:hAnsiTheme="minorHAnsi" w:cstheme="minorHAnsi"/>
          <w:sz w:val="18"/>
          <w:szCs w:val="18"/>
          <w:lang w:val="en-US"/>
        </w:rPr>
        <w:t>users</w:t>
      </w:r>
      <w:r w:rsidRPr="00F66BD6">
        <w:rPr>
          <w:rFonts w:asciiTheme="minorHAnsi" w:hAnsiTheme="minorHAnsi" w:cstheme="minorHAnsi"/>
          <w:sz w:val="18"/>
          <w:szCs w:val="18"/>
          <w:lang w:val="ru-RU"/>
        </w:rPr>
        <w:t>”</w:t>
      </w:r>
      <w:r w:rsidRPr="00F66BD6">
        <w:rPr>
          <w:rFonts w:asciiTheme="minorHAnsi" w:hAnsiTheme="minorHAnsi" w:cstheme="minorHAnsi"/>
          <w:sz w:val="18"/>
          <w:szCs w:val="18"/>
        </w:rPr>
        <w:t>.</w:t>
      </w:r>
    </w:p>
  </w:footnote>
  <w:footnote w:id="106">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Стартиращо предприятие е малко предприятие, което е създадено до пет години от получаване на помощта,не е регистрирано на фондовата борса и все още не е разпределяло печалба и не е било създадено чрез сливане- чл.22 т.2 на </w:t>
      </w:r>
      <w:r w:rsidRPr="00F66BD6">
        <w:rPr>
          <w:rFonts w:asciiTheme="minorHAnsi" w:hAnsiTheme="minorHAnsi" w:cstheme="minorHAnsi"/>
          <w:sz w:val="18"/>
          <w:szCs w:val="18"/>
          <w:lang w:val="en-US"/>
        </w:rPr>
        <w:t>GBER</w:t>
      </w:r>
      <w:r w:rsidRPr="00F66BD6">
        <w:rPr>
          <w:rFonts w:asciiTheme="minorHAnsi" w:hAnsiTheme="minorHAnsi" w:cstheme="minorHAnsi"/>
          <w:sz w:val="18"/>
          <w:szCs w:val="18"/>
        </w:rPr>
        <w:t>/ и чл.2.3 б „хх” на Насоки относно държавните помощи за насърчаване на инвестиции в рисковото финансиране</w:t>
      </w:r>
    </w:p>
  </w:footnote>
  <w:footnote w:id="107">
    <w:p w:rsidR="00EA2176" w:rsidRPr="00F66BD6" w:rsidRDefault="00EA2176" w:rsidP="00F66BD6">
      <w:pPr>
        <w:spacing w:after="0" w:line="240" w:lineRule="auto"/>
        <w:jc w:val="both"/>
        <w:rPr>
          <w:rFonts w:cstheme="minorHAnsi"/>
          <w:sz w:val="20"/>
          <w:szCs w:val="20"/>
        </w:rPr>
      </w:pPr>
      <w:r w:rsidRPr="00F66BD6">
        <w:rPr>
          <w:rFonts w:eastAsia="Times New Roman" w:cstheme="minorHAnsi"/>
          <w:sz w:val="18"/>
          <w:szCs w:val="18"/>
          <w:lang w:eastAsia="bg-BG"/>
        </w:rPr>
        <w:footnoteRef/>
      </w:r>
      <w:r w:rsidRPr="00F66BD6">
        <w:rPr>
          <w:rFonts w:eastAsia="Times New Roman" w:cstheme="minorHAnsi"/>
          <w:sz w:val="18"/>
          <w:szCs w:val="18"/>
          <w:lang w:eastAsia="bg-BG"/>
        </w:rPr>
        <w:t xml:space="preserve"> Под заем следва да се разбира споразумение, което задължава заемодателя да предостави на заемополучателя договорена сума пари за договорен срок, според което заемополучателя е длъжен да изплати обратно тази сума  в договорения срок.То може да бъде под формата на заем или на друг инструмент на финансиране, включително лизинг, и</w:t>
      </w:r>
      <w:r w:rsidRPr="00F66BD6">
        <w:rPr>
          <w:rFonts w:cstheme="minorHAnsi"/>
          <w:sz w:val="20"/>
          <w:szCs w:val="20"/>
        </w:rPr>
        <w:t xml:space="preserve"> </w:t>
      </w:r>
      <w:r w:rsidRPr="00F66BD6">
        <w:rPr>
          <w:rFonts w:eastAsia="Times New Roman" w:cstheme="minorHAnsi"/>
          <w:sz w:val="18"/>
          <w:szCs w:val="18"/>
          <w:lang w:eastAsia="bg-BG"/>
        </w:rPr>
        <w:t>се характеризира с това, че осигурява на заемодателя минимална доходност. Рефинансирането на съществуващи заеми не представлява допустим заем. – чл.2 т.82 на GBER</w:t>
      </w:r>
    </w:p>
    <w:p w:rsidR="00EA2176" w:rsidRDefault="00EA2176" w:rsidP="004966E2">
      <w:pPr>
        <w:pStyle w:val="FootnoteText"/>
      </w:pPr>
    </w:p>
  </w:footnote>
  <w:footnote w:id="108">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Чл.2 т.74 от </w:t>
      </w:r>
      <w:r w:rsidRPr="00F66BD6">
        <w:rPr>
          <w:rFonts w:asciiTheme="minorHAnsi" w:hAnsiTheme="minorHAnsi" w:cstheme="minorHAnsi"/>
          <w:sz w:val="18"/>
          <w:szCs w:val="18"/>
          <w:lang w:val="en-US"/>
        </w:rPr>
        <w:t>GBER</w:t>
      </w:r>
      <w:r w:rsidRPr="00F66BD6">
        <w:rPr>
          <w:rFonts w:asciiTheme="minorHAnsi" w:hAnsiTheme="minorHAnsi" w:cstheme="minorHAnsi"/>
          <w:sz w:val="18"/>
          <w:szCs w:val="18"/>
        </w:rPr>
        <w:t xml:space="preserve"> означава предоставяне на капитал в полза на предприятие, които капитал се инвестира пряко или непряко в замяна на собственост върху съответен дял в капитала на това предприятие</w:t>
      </w:r>
    </w:p>
  </w:footnote>
  <w:footnote w:id="109">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Квазикапиталова инвестиция означава</w:t>
      </w:r>
      <w:r w:rsidRPr="00F66BD6">
        <w:rPr>
          <w:rFonts w:asciiTheme="minorHAnsi" w:hAnsiTheme="minorHAnsi" w:cstheme="minorHAnsi"/>
          <w:sz w:val="18"/>
          <w:szCs w:val="18"/>
          <w:lang w:val="ru-RU"/>
        </w:rPr>
        <w:t xml:space="preserve">  </w:t>
      </w:r>
      <w:r w:rsidRPr="00F66BD6">
        <w:rPr>
          <w:rFonts w:asciiTheme="minorHAnsi" w:hAnsiTheme="minorHAnsi" w:cstheme="minorHAnsi"/>
          <w:sz w:val="18"/>
          <w:szCs w:val="18"/>
        </w:rPr>
        <w:t xml:space="preserve"> вид финансиране, нареждащо се между собствения капитал и дълга, който носи по- висок риск от първостепенния дълг и по-нисък риск  от базовия собствен капитал. Тяхната възвращаемост за притежателя зависи главно от печалбите и загубите на съответното целено предприятие и те не са обезпечени в случай на неизпълнение на задължения.  Квазикапиталова инвестиция могат да бъдат структуриране като дълг, необезпечен и подчинен, включително дълг „мецанин”, а в някои случаи и конвертируем в собствен капитал, или в</w:t>
      </w:r>
      <w:r w:rsidRPr="00F66BD6">
        <w:rPr>
          <w:rFonts w:asciiTheme="minorHAnsi" w:hAnsiTheme="minorHAnsi" w:cstheme="minorHAnsi"/>
        </w:rPr>
        <w:t xml:space="preserve"> </w:t>
      </w:r>
      <w:r w:rsidRPr="00F66BD6">
        <w:rPr>
          <w:rFonts w:asciiTheme="minorHAnsi" w:hAnsiTheme="minorHAnsi" w:cstheme="minorHAnsi"/>
          <w:sz w:val="18"/>
          <w:szCs w:val="18"/>
        </w:rPr>
        <w:t>привилегирован собствен капитал чл.2.3 б „хх</w:t>
      </w:r>
      <w:r w:rsidRPr="00F66BD6">
        <w:rPr>
          <w:rFonts w:asciiTheme="minorHAnsi" w:hAnsiTheme="minorHAnsi" w:cstheme="minorHAnsi"/>
          <w:sz w:val="18"/>
          <w:szCs w:val="18"/>
          <w:lang w:val="en-US"/>
        </w:rPr>
        <w:t>V</w:t>
      </w:r>
      <w:r w:rsidRPr="00F66BD6">
        <w:rPr>
          <w:rFonts w:asciiTheme="minorHAnsi" w:hAnsiTheme="minorHAnsi" w:cstheme="minorHAnsi"/>
          <w:sz w:val="18"/>
          <w:szCs w:val="18"/>
        </w:rPr>
        <w:t>” на Насоки относно държавните помощи за насърчаване на инвестиции в рисковото финансиране</w:t>
      </w:r>
    </w:p>
  </w:footnote>
  <w:footnote w:id="110">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OJ, (2014/C 200/1)</w:t>
      </w:r>
    </w:p>
  </w:footnote>
  <w:footnote w:id="111">
    <w:p w:rsidR="00EA2176" w:rsidRPr="00F66BD6" w:rsidRDefault="00EA2176" w:rsidP="00F66BD6">
      <w:pPr>
        <w:pStyle w:val="FootnoteText"/>
        <w:jc w:val="both"/>
        <w:rPr>
          <w:rFonts w:asciiTheme="minorHAnsi" w:hAnsiTheme="minorHAnsi" w:cstheme="minorHAnsi"/>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Съгласно т.1.3 Определения, (3) на Насоките стандарт на Съюза означава: а/ задължителен стандарт на Съюза, определящ нивата, които трябва да постигнат отделните предприятия по отношение на околната среда</w:t>
      </w:r>
    </w:p>
  </w:footnote>
  <w:footnote w:id="112">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w:t>
      </w:r>
      <w:r w:rsidRPr="00F66BD6">
        <w:rPr>
          <w:rFonts w:asciiTheme="minorHAnsi" w:hAnsiTheme="minorHAnsi" w:cstheme="minorHAnsi"/>
          <w:sz w:val="18"/>
          <w:szCs w:val="18"/>
          <w:lang w:val="en-US"/>
        </w:rPr>
        <w:t>GBER</w:t>
      </w:r>
      <w:r w:rsidRPr="00F66BD6">
        <w:rPr>
          <w:rFonts w:asciiTheme="minorHAnsi" w:hAnsiTheme="minorHAnsi" w:cstheme="minorHAnsi"/>
          <w:sz w:val="18"/>
          <w:szCs w:val="18"/>
        </w:rPr>
        <w:t xml:space="preserve"> освобождава от задължението за уведомяване на ЕК  за следните видове помощи за опазване на околната среда:</w:t>
      </w:r>
    </w:p>
    <w:p w:rsidR="00EA2176" w:rsidRPr="00F66BD6" w:rsidRDefault="00EA2176" w:rsidP="00F66BD6">
      <w:pPr>
        <w:pStyle w:val="FootnoteText"/>
        <w:jc w:val="both"/>
        <w:rPr>
          <w:rFonts w:asciiTheme="minorHAnsi" w:hAnsiTheme="minorHAnsi" w:cstheme="minorHAnsi"/>
          <w:sz w:val="18"/>
          <w:szCs w:val="18"/>
        </w:rPr>
      </w:pPr>
      <w:r w:rsidRPr="00F66BD6">
        <w:rPr>
          <w:rFonts w:asciiTheme="minorHAnsi" w:hAnsiTheme="minorHAnsi" w:cstheme="minorHAnsi"/>
          <w:sz w:val="18"/>
          <w:szCs w:val="18"/>
        </w:rPr>
        <w:t xml:space="preserve">- инвестиционни помощи, които дават възможност на предприятията да надвишат стандартите на Съюза за опазване на околната среда или да повишат равнището на съюза за опазване на околната среда при липса на стандарт на Съюза- чл.36 на </w:t>
      </w:r>
      <w:r w:rsidRPr="00F66BD6">
        <w:rPr>
          <w:rFonts w:asciiTheme="minorHAnsi" w:hAnsiTheme="minorHAnsi" w:cstheme="minorHAnsi"/>
          <w:sz w:val="18"/>
          <w:szCs w:val="18"/>
          <w:lang w:val="en-US"/>
        </w:rPr>
        <w:t>GBER</w:t>
      </w:r>
    </w:p>
    <w:p w:rsidR="00EA2176" w:rsidRPr="00F66BD6" w:rsidRDefault="00EA2176" w:rsidP="00F66BD6">
      <w:pPr>
        <w:pStyle w:val="FootnoteText"/>
        <w:jc w:val="both"/>
        <w:rPr>
          <w:rFonts w:asciiTheme="minorHAnsi" w:hAnsiTheme="minorHAnsi" w:cstheme="minorHAnsi"/>
          <w:sz w:val="18"/>
          <w:szCs w:val="18"/>
        </w:rPr>
      </w:pPr>
      <w:r w:rsidRPr="00F66BD6">
        <w:rPr>
          <w:rFonts w:asciiTheme="minorHAnsi" w:hAnsiTheme="minorHAnsi" w:cstheme="minorHAnsi"/>
          <w:sz w:val="18"/>
          <w:szCs w:val="18"/>
        </w:rPr>
        <w:t>-инвестиционни помощи за адаптиране към бъдещи стандарти на Съюза- чл.37</w:t>
      </w:r>
    </w:p>
    <w:p w:rsidR="00EA2176" w:rsidRPr="00EF223F" w:rsidRDefault="00EA2176" w:rsidP="004966E2">
      <w:pPr>
        <w:pStyle w:val="FootnoteText"/>
        <w:rPr>
          <w:sz w:val="18"/>
          <w:szCs w:val="18"/>
        </w:rPr>
      </w:pPr>
    </w:p>
  </w:footnote>
  <w:footnote w:id="113">
    <w:p w:rsidR="00EA2176" w:rsidRPr="00F66BD6" w:rsidRDefault="00EA2176" w:rsidP="004966E2">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Чл.3.1. на Насоките</w:t>
      </w:r>
    </w:p>
  </w:footnote>
  <w:footnote w:id="114">
    <w:p w:rsidR="00EA2176" w:rsidRPr="00F66BD6" w:rsidRDefault="00EA2176" w:rsidP="004966E2">
      <w:pPr>
        <w:pStyle w:val="FootnoteText"/>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Директива 2008/98/ЕО, чл. 28.</w:t>
      </w:r>
    </w:p>
  </w:footnote>
  <w:footnote w:id="115">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Интензитет на помощта означава брутният размер на безвъзмездната помощ, изразен като процент от допустимите разходи, преди приспадане на данъци и други такси- чл.2, т.26 на </w:t>
      </w:r>
      <w:r w:rsidRPr="00F66BD6">
        <w:rPr>
          <w:rFonts w:asciiTheme="minorHAnsi" w:hAnsiTheme="minorHAnsi" w:cstheme="minorHAnsi"/>
          <w:sz w:val="18"/>
          <w:szCs w:val="18"/>
          <w:lang w:val="en-US"/>
        </w:rPr>
        <w:t>GBER</w:t>
      </w:r>
    </w:p>
  </w:footnote>
  <w:footnote w:id="116">
    <w:p w:rsidR="00EA2176" w:rsidRPr="00F66BD6" w:rsidRDefault="00EA2176" w:rsidP="00F66BD6">
      <w:pPr>
        <w:pStyle w:val="FootnoteText"/>
        <w:jc w:val="both"/>
        <w:rPr>
          <w:rFonts w:asciiTheme="minorHAnsi" w:hAnsiTheme="minorHAnsi" w:cstheme="minorHAnsi"/>
          <w:sz w:val="18"/>
          <w:szCs w:val="18"/>
        </w:rPr>
      </w:pPr>
      <w:r w:rsidRPr="00F66BD6">
        <w:rPr>
          <w:rStyle w:val="FootnoteReference"/>
          <w:rFonts w:asciiTheme="minorHAnsi" w:eastAsiaTheme="majorEastAsia" w:hAnsiTheme="minorHAnsi" w:cstheme="minorHAnsi"/>
          <w:sz w:val="18"/>
          <w:szCs w:val="18"/>
        </w:rPr>
        <w:footnoteRef/>
      </w:r>
      <w:r w:rsidRPr="00F66BD6">
        <w:rPr>
          <w:rFonts w:asciiTheme="minorHAnsi" w:hAnsiTheme="minorHAnsi" w:cstheme="minorHAnsi"/>
          <w:sz w:val="18"/>
          <w:szCs w:val="18"/>
        </w:rPr>
        <w:t xml:space="preserve"> Чл.37 от </w:t>
      </w:r>
      <w:r w:rsidRPr="00F66BD6">
        <w:rPr>
          <w:rFonts w:asciiTheme="minorHAnsi" w:hAnsiTheme="minorHAnsi" w:cstheme="minorHAnsi"/>
          <w:sz w:val="18"/>
          <w:szCs w:val="18"/>
          <w:lang w:val="en-US"/>
        </w:rPr>
        <w:t>GBER</w:t>
      </w:r>
    </w:p>
  </w:footnote>
  <w:footnote w:id="117">
    <w:p w:rsidR="00EA2176" w:rsidRPr="00A53472" w:rsidRDefault="00EA2176" w:rsidP="00A53472">
      <w:pPr>
        <w:pStyle w:val="FootnoteText"/>
        <w:jc w:val="both"/>
        <w:rPr>
          <w:rFonts w:asciiTheme="minorHAnsi" w:hAnsiTheme="minorHAnsi" w:cstheme="minorHAnsi"/>
          <w:sz w:val="18"/>
          <w:szCs w:val="18"/>
        </w:rPr>
      </w:pPr>
      <w:r w:rsidRPr="00A53472">
        <w:rPr>
          <w:rStyle w:val="FootnoteReference"/>
          <w:rFonts w:asciiTheme="minorHAnsi" w:hAnsiTheme="minorHAnsi" w:cstheme="minorHAnsi"/>
          <w:sz w:val="18"/>
          <w:szCs w:val="18"/>
        </w:rPr>
        <w:footnoteRef/>
      </w:r>
      <w:r w:rsidRPr="00A53472">
        <w:rPr>
          <w:rFonts w:asciiTheme="minorHAnsi" w:hAnsiTheme="minorHAnsi" w:cstheme="minorHAnsi"/>
          <w:sz w:val="18"/>
          <w:szCs w:val="18"/>
        </w:rPr>
        <w:t xml:space="preserve"> Съгласно чл. 37 (10) от Общия Регламент, приносът в натура под формата на земя и недвижима собственост е възможен само за проекти за развитие на селските райони и проекти за  градско възстановяване и развитие, когато земята или недвижимия имот е част от инвестицията </w:t>
      </w:r>
    </w:p>
  </w:footnote>
  <w:footnote w:id="118">
    <w:p w:rsidR="00EA2176" w:rsidRPr="00E2154B" w:rsidRDefault="00EA2176">
      <w:pPr>
        <w:pStyle w:val="FootnoteText"/>
        <w:rPr>
          <w:rFonts w:asciiTheme="minorHAnsi" w:hAnsiTheme="minorHAnsi" w:cstheme="minorHAnsi"/>
          <w:sz w:val="18"/>
          <w:szCs w:val="18"/>
        </w:rPr>
      </w:pPr>
      <w:r w:rsidRPr="00E2154B">
        <w:rPr>
          <w:rStyle w:val="FootnoteReference"/>
          <w:rFonts w:asciiTheme="minorHAnsi" w:hAnsiTheme="minorHAnsi" w:cstheme="minorHAnsi"/>
          <w:sz w:val="18"/>
          <w:szCs w:val="18"/>
        </w:rPr>
        <w:footnoteRef/>
      </w:r>
      <w:r w:rsidRPr="00E2154B">
        <w:rPr>
          <w:rFonts w:asciiTheme="minorHAnsi" w:hAnsiTheme="minorHAnsi" w:cstheme="minorHAnsi"/>
          <w:sz w:val="18"/>
          <w:szCs w:val="18"/>
        </w:rPr>
        <w:t xml:space="preserve"> </w:t>
      </w:r>
      <w:hyperlink r:id="rId16" w:history="1">
        <w:r w:rsidRPr="004F7A2C">
          <w:rPr>
            <w:rStyle w:val="Hyperlink"/>
            <w:rFonts w:asciiTheme="minorHAnsi" w:hAnsiTheme="minorHAnsi" w:cstheme="minorHAnsi"/>
            <w:sz w:val="18"/>
            <w:szCs w:val="18"/>
          </w:rPr>
          <w:t>http://pudoos.bg/%D0%BF%D0%BB%D0%B0%D0%BD-%D1%81%D0%BC%D0%B5%D1%82%D0%BA%D0%B8/</w:t>
        </w:r>
      </w:hyperlink>
      <w:r>
        <w:rPr>
          <w:rFonts w:asciiTheme="minorHAnsi" w:hAnsiTheme="minorHAnsi" w:cstheme="minorHAnsi"/>
          <w:sz w:val="18"/>
          <w:szCs w:val="18"/>
        </w:rPr>
        <w:t xml:space="preserve"> </w:t>
      </w:r>
    </w:p>
  </w:footnote>
  <w:footnote w:id="119">
    <w:p w:rsidR="00EA2176" w:rsidRPr="00784C26" w:rsidRDefault="00EA2176">
      <w:pPr>
        <w:pStyle w:val="FootnoteText"/>
        <w:rPr>
          <w:rFonts w:asciiTheme="minorHAnsi" w:hAnsiTheme="minorHAnsi" w:cstheme="minorHAnsi"/>
          <w:sz w:val="18"/>
          <w:szCs w:val="18"/>
        </w:rPr>
      </w:pPr>
      <w:r w:rsidRPr="00784C26">
        <w:rPr>
          <w:rStyle w:val="FootnoteReference"/>
          <w:rFonts w:asciiTheme="minorHAnsi" w:hAnsiTheme="minorHAnsi" w:cstheme="minorHAnsi"/>
          <w:sz w:val="18"/>
          <w:szCs w:val="18"/>
        </w:rPr>
        <w:footnoteRef/>
      </w:r>
      <w:r w:rsidRPr="00784C26">
        <w:rPr>
          <w:rFonts w:asciiTheme="minorHAnsi" w:hAnsiTheme="minorHAnsi" w:cstheme="minorHAnsi"/>
          <w:sz w:val="18"/>
          <w:szCs w:val="18"/>
        </w:rPr>
        <w:t xml:space="preserve"> Стратегия за развитие и управление на ВиК сектора в България</w:t>
      </w:r>
    </w:p>
  </w:footnote>
  <w:footnote w:id="120">
    <w:p w:rsidR="00EA2176" w:rsidRPr="00E2154B" w:rsidRDefault="00EA2176" w:rsidP="001E7114">
      <w:pPr>
        <w:pStyle w:val="FootnoteText"/>
        <w:rPr>
          <w:rFonts w:asciiTheme="minorHAnsi" w:hAnsiTheme="minorHAnsi" w:cstheme="minorHAnsi"/>
          <w:sz w:val="18"/>
          <w:szCs w:val="18"/>
        </w:rPr>
      </w:pPr>
      <w:r w:rsidRPr="00E2154B">
        <w:rPr>
          <w:rStyle w:val="FootnoteReference"/>
          <w:rFonts w:asciiTheme="minorHAnsi" w:hAnsiTheme="minorHAnsi" w:cstheme="minorHAnsi"/>
          <w:sz w:val="18"/>
          <w:szCs w:val="18"/>
        </w:rPr>
        <w:footnoteRef/>
      </w:r>
      <w:r w:rsidRPr="00E2154B">
        <w:rPr>
          <w:rFonts w:asciiTheme="minorHAnsi" w:hAnsiTheme="minorHAnsi" w:cstheme="minorHAnsi"/>
          <w:sz w:val="18"/>
          <w:szCs w:val="18"/>
        </w:rPr>
        <w:t xml:space="preserve"> </w:t>
      </w:r>
      <w:hyperlink r:id="rId17" w:history="1">
        <w:r w:rsidRPr="004F7A2C">
          <w:rPr>
            <w:rStyle w:val="Hyperlink"/>
            <w:rFonts w:asciiTheme="minorHAnsi" w:hAnsiTheme="minorHAnsi" w:cstheme="minorHAnsi"/>
            <w:sz w:val="18"/>
            <w:szCs w:val="18"/>
          </w:rPr>
          <w:t>http://pudoos.bg/%D0%BF%D0%BB%D0%B0%D0%BD-%D1%81%D0%BC%D0%B5%D1%82%D0%BA%D0%B8/</w:t>
        </w:r>
      </w:hyperlink>
      <w:r>
        <w:rPr>
          <w:rFonts w:asciiTheme="minorHAnsi" w:hAnsiTheme="minorHAnsi" w:cstheme="minorHAnsi"/>
          <w:sz w:val="18"/>
          <w:szCs w:val="18"/>
        </w:rPr>
        <w:t xml:space="preserve"> </w:t>
      </w:r>
    </w:p>
  </w:footnote>
  <w:footnote w:id="121">
    <w:p w:rsidR="00EA2176" w:rsidRPr="00C338C8" w:rsidRDefault="00EA2176">
      <w:pPr>
        <w:pStyle w:val="FootnoteText"/>
        <w:rPr>
          <w:rFonts w:asciiTheme="minorHAnsi" w:hAnsiTheme="minorHAnsi" w:cstheme="minorHAnsi"/>
          <w:sz w:val="18"/>
          <w:szCs w:val="18"/>
        </w:rPr>
      </w:pPr>
      <w:r w:rsidRPr="00C338C8">
        <w:rPr>
          <w:rStyle w:val="FootnoteReference"/>
          <w:rFonts w:asciiTheme="minorHAnsi" w:hAnsiTheme="minorHAnsi" w:cstheme="minorHAnsi"/>
          <w:sz w:val="18"/>
          <w:szCs w:val="18"/>
        </w:rPr>
        <w:footnoteRef/>
      </w:r>
      <w:r w:rsidRPr="00C338C8">
        <w:rPr>
          <w:rFonts w:asciiTheme="minorHAnsi" w:hAnsiTheme="minorHAnsi" w:cstheme="minorHAnsi"/>
          <w:sz w:val="18"/>
          <w:szCs w:val="18"/>
        </w:rPr>
        <w:t xml:space="preserve"> </w:t>
      </w:r>
      <w:hyperlink r:id="rId18" w:history="1">
        <w:r w:rsidRPr="00C338C8">
          <w:rPr>
            <w:rStyle w:val="Hyperlink"/>
            <w:rFonts w:asciiTheme="minorHAnsi" w:hAnsiTheme="minorHAnsi" w:cstheme="minorHAnsi"/>
            <w:sz w:val="18"/>
            <w:szCs w:val="18"/>
          </w:rPr>
          <w:t>http://www.sme.government.bg/uploads/2013/06/SMEs_2013-bg.pdf</w:t>
        </w:r>
      </w:hyperlink>
      <w:r w:rsidRPr="00C338C8">
        <w:rPr>
          <w:rFonts w:asciiTheme="minorHAnsi" w:hAnsiTheme="minorHAnsi" w:cstheme="minorHAnsi"/>
          <w:sz w:val="18"/>
          <w:szCs w:val="18"/>
        </w:rPr>
        <w:t xml:space="preserve"> </w:t>
      </w:r>
    </w:p>
  </w:footnote>
  <w:footnote w:id="122">
    <w:p w:rsidR="00E3343E" w:rsidRDefault="00E3343E">
      <w:pPr>
        <w:pStyle w:val="FootnoteText"/>
      </w:pPr>
      <w:r>
        <w:rPr>
          <w:rStyle w:val="FootnoteReference"/>
        </w:rPr>
        <w:footnoteRef/>
      </w:r>
      <w:r>
        <w:t xml:space="preserve"> </w:t>
      </w:r>
      <w:r w:rsidRPr="00E3343E">
        <w:rPr>
          <w:rFonts w:asciiTheme="minorHAnsi" w:hAnsiTheme="minorHAnsi" w:cstheme="minorHAnsi"/>
          <w:sz w:val="18"/>
          <w:szCs w:val="18"/>
        </w:rPr>
        <w:t>Сумата е равна на 20% от общото финансиране по ОПОС (КФ+ ДБ)</w:t>
      </w:r>
      <w:r w:rsidR="00B94CAA">
        <w:rPr>
          <w:rFonts w:asciiTheme="minorHAnsi" w:hAnsiTheme="minorHAnsi" w:cstheme="minorHAnsi"/>
          <w:sz w:val="18"/>
          <w:szCs w:val="18"/>
        </w:rPr>
        <w:t xml:space="preserve"> при очакван ефект на лоста 1:4</w:t>
      </w:r>
    </w:p>
  </w:footnote>
  <w:footnote w:id="123">
    <w:p w:rsidR="00E3343E" w:rsidRDefault="00E3343E">
      <w:pPr>
        <w:pStyle w:val="FootnoteText"/>
      </w:pPr>
      <w:r>
        <w:rPr>
          <w:rStyle w:val="FootnoteReference"/>
        </w:rPr>
        <w:footnoteRef/>
      </w:r>
      <w:r>
        <w:t xml:space="preserve"> </w:t>
      </w:r>
      <w:r w:rsidRPr="00E3343E">
        <w:rPr>
          <w:rFonts w:asciiTheme="minorHAnsi" w:hAnsiTheme="minorHAnsi" w:cstheme="minorHAnsi"/>
          <w:sz w:val="18"/>
          <w:szCs w:val="18"/>
        </w:rPr>
        <w:t>Сумата е равна на 20% от финансирането от МФИ и търговските банки</w:t>
      </w:r>
      <w:r w:rsidR="00B94CAA">
        <w:rPr>
          <w:rFonts w:asciiTheme="minorHAnsi" w:hAnsiTheme="minorHAnsi" w:cstheme="minorHAnsi"/>
          <w:sz w:val="18"/>
          <w:szCs w:val="18"/>
        </w:rPr>
        <w:t xml:space="preserve"> при очакван ефект на лоста 1:5</w:t>
      </w:r>
    </w:p>
  </w:footnote>
  <w:footnote w:id="124">
    <w:p w:rsidR="00E3343E" w:rsidRDefault="00E3343E">
      <w:pPr>
        <w:pStyle w:val="FootnoteText"/>
      </w:pPr>
      <w:r>
        <w:rPr>
          <w:rStyle w:val="FootnoteReference"/>
        </w:rPr>
        <w:footnoteRef/>
      </w:r>
      <w:r>
        <w:t xml:space="preserve"> </w:t>
      </w:r>
      <w:r w:rsidRPr="00E3343E">
        <w:rPr>
          <w:rFonts w:asciiTheme="minorHAnsi" w:hAnsiTheme="minorHAnsi" w:cstheme="minorHAnsi"/>
          <w:sz w:val="18"/>
          <w:szCs w:val="18"/>
        </w:rPr>
        <w:t>Финансирането от останалите посочени източници е прогнозно на база преценка на консултанта</w:t>
      </w:r>
    </w:p>
  </w:footnote>
  <w:footnote w:id="125">
    <w:p w:rsidR="00B94CAA" w:rsidRDefault="00B94CAA">
      <w:pPr>
        <w:pStyle w:val="FootnoteText"/>
      </w:pPr>
      <w:r>
        <w:rPr>
          <w:rStyle w:val="FootnoteReference"/>
        </w:rPr>
        <w:footnoteRef/>
      </w:r>
      <w:r>
        <w:t xml:space="preserve"> </w:t>
      </w:r>
      <w:r w:rsidRPr="00B94CAA">
        <w:rPr>
          <w:rFonts w:asciiTheme="minorHAnsi" w:hAnsiTheme="minorHAnsi" w:cstheme="minorHAnsi"/>
          <w:sz w:val="18"/>
          <w:szCs w:val="18"/>
        </w:rPr>
        <w:t xml:space="preserve">Вж. забележките </w:t>
      </w:r>
      <w:r>
        <w:rPr>
          <w:rFonts w:asciiTheme="minorHAnsi" w:hAnsiTheme="minorHAnsi" w:cstheme="minorHAnsi"/>
          <w:sz w:val="18"/>
          <w:szCs w:val="18"/>
        </w:rPr>
        <w:t>за</w:t>
      </w:r>
      <w:r w:rsidRPr="00B94CAA">
        <w:rPr>
          <w:rFonts w:asciiTheme="minorHAnsi" w:hAnsiTheme="minorHAnsi" w:cstheme="minorHAnsi"/>
          <w:sz w:val="18"/>
          <w:szCs w:val="18"/>
        </w:rPr>
        <w:t xml:space="preserve"> горната таблица</w:t>
      </w:r>
    </w:p>
  </w:footnote>
  <w:footnote w:id="126">
    <w:p w:rsidR="00B94CAA" w:rsidRDefault="00B94CAA">
      <w:pPr>
        <w:pStyle w:val="FootnoteText"/>
      </w:pPr>
      <w:r>
        <w:rPr>
          <w:rStyle w:val="FootnoteReference"/>
        </w:rPr>
        <w:footnoteRef/>
      </w:r>
      <w:r>
        <w:t xml:space="preserve"> </w:t>
      </w:r>
      <w:r w:rsidRPr="00E3343E">
        <w:rPr>
          <w:rFonts w:asciiTheme="minorHAnsi" w:hAnsiTheme="minorHAnsi" w:cstheme="minorHAnsi"/>
          <w:sz w:val="18"/>
          <w:szCs w:val="18"/>
        </w:rPr>
        <w:t>Сумата е равна на 20% от общото финансиране по ОПОС (</w:t>
      </w:r>
      <w:r>
        <w:rPr>
          <w:rFonts w:asciiTheme="minorHAnsi" w:hAnsiTheme="minorHAnsi" w:cstheme="minorHAnsi"/>
          <w:sz w:val="18"/>
          <w:szCs w:val="18"/>
        </w:rPr>
        <w:t>ЕФРР</w:t>
      </w:r>
      <w:r w:rsidRPr="00E3343E">
        <w:rPr>
          <w:rFonts w:asciiTheme="minorHAnsi" w:hAnsiTheme="minorHAnsi" w:cstheme="minorHAnsi"/>
          <w:sz w:val="18"/>
          <w:szCs w:val="18"/>
        </w:rPr>
        <w:t>+ ДБ)</w:t>
      </w:r>
      <w:r>
        <w:rPr>
          <w:rFonts w:asciiTheme="minorHAnsi" w:hAnsiTheme="minorHAnsi" w:cstheme="minorHAnsi"/>
          <w:sz w:val="18"/>
          <w:szCs w:val="18"/>
        </w:rPr>
        <w:t xml:space="preserve"> при очакван ефект на лоста 1:5</w:t>
      </w:r>
    </w:p>
  </w:footnote>
  <w:footnote w:id="127">
    <w:p w:rsidR="00B94CAA" w:rsidRDefault="00B94CAA">
      <w:pPr>
        <w:pStyle w:val="FootnoteText"/>
      </w:pPr>
      <w:r>
        <w:rPr>
          <w:rStyle w:val="FootnoteReference"/>
        </w:rPr>
        <w:footnoteRef/>
      </w:r>
      <w:r>
        <w:t xml:space="preserve"> </w:t>
      </w:r>
      <w:r w:rsidRPr="00E3343E">
        <w:rPr>
          <w:rFonts w:asciiTheme="minorHAnsi" w:hAnsiTheme="minorHAnsi" w:cstheme="minorHAnsi"/>
          <w:sz w:val="18"/>
          <w:szCs w:val="18"/>
        </w:rPr>
        <w:t>Финансирането от останалите посочени източници е прогнозно на база преценка на консултанта</w:t>
      </w:r>
    </w:p>
  </w:footnote>
  <w:footnote w:id="128">
    <w:p w:rsidR="00EA2176" w:rsidRPr="007728FB" w:rsidRDefault="00EA2176" w:rsidP="003827AE">
      <w:pPr>
        <w:pStyle w:val="FootnoteText"/>
        <w:rPr>
          <w:rFonts w:asciiTheme="minorHAnsi" w:hAnsiTheme="minorHAnsi" w:cstheme="minorHAnsi"/>
        </w:rPr>
      </w:pPr>
      <w:r w:rsidRPr="007728FB">
        <w:rPr>
          <w:rStyle w:val="FootnoteReference"/>
          <w:rFonts w:asciiTheme="minorHAnsi" w:hAnsiTheme="minorHAnsi" w:cstheme="minorHAnsi"/>
        </w:rPr>
        <w:footnoteRef/>
      </w:r>
      <w:r w:rsidRPr="007728FB">
        <w:rPr>
          <w:rFonts w:asciiTheme="minorHAnsi" w:hAnsiTheme="minorHAnsi" w:cstheme="minorHAnsi"/>
        </w:rPr>
        <w:t xml:space="preserve"> Освен в случаите, когато изборът не се извършва чрез обществена поръчка в позволените случаи</w:t>
      </w:r>
    </w:p>
  </w:footnote>
  <w:footnote w:id="129">
    <w:p w:rsidR="00EA2176" w:rsidRPr="00911FF9" w:rsidRDefault="00EA2176">
      <w:pPr>
        <w:pStyle w:val="FootnoteText"/>
        <w:rPr>
          <w:rFonts w:asciiTheme="minorHAnsi" w:hAnsiTheme="minorHAnsi" w:cstheme="minorHAnsi"/>
        </w:rPr>
      </w:pPr>
      <w:r w:rsidRPr="00911FF9">
        <w:rPr>
          <w:rStyle w:val="FootnoteReference"/>
          <w:rFonts w:asciiTheme="minorHAnsi" w:hAnsiTheme="minorHAnsi" w:cstheme="minorHAnsi"/>
        </w:rPr>
        <w:footnoteRef/>
      </w:r>
      <w:r w:rsidRPr="00911FF9">
        <w:rPr>
          <w:rFonts w:asciiTheme="minorHAnsi" w:hAnsiTheme="minorHAnsi" w:cstheme="minorHAnsi"/>
        </w:rPr>
        <w:t xml:space="preserve"> http://www.nfosigw.gov.pl/en/</w:t>
      </w:r>
    </w:p>
  </w:footnote>
  <w:footnote w:id="130">
    <w:p w:rsidR="00EA2176" w:rsidRDefault="00EA2176" w:rsidP="0050230D">
      <w:pPr>
        <w:pStyle w:val="FootnoteText"/>
      </w:pPr>
      <w:r>
        <w:rPr>
          <w:rStyle w:val="FootnoteReference"/>
        </w:rPr>
        <w:footnoteRef/>
      </w:r>
      <w:r>
        <w:t xml:space="preserve"> </w:t>
      </w:r>
      <w:hyperlink r:id="rId19" w:history="1">
        <w:r w:rsidRPr="00164B62">
          <w:rPr>
            <w:rStyle w:val="Hyperlink"/>
          </w:rPr>
          <w:t>http://www3.moew.government.bg/?show=top&amp;cid=569</w:t>
        </w:r>
      </w:hyperlink>
      <w:r>
        <w:t xml:space="preserve"> </w:t>
      </w:r>
    </w:p>
  </w:footnote>
  <w:footnote w:id="131">
    <w:p w:rsidR="00EA2176" w:rsidRDefault="00EA2176" w:rsidP="0050230D">
      <w:pPr>
        <w:pStyle w:val="FootnoteText"/>
      </w:pPr>
      <w:r>
        <w:rPr>
          <w:rStyle w:val="FootnoteReference"/>
        </w:rPr>
        <w:footnoteRef/>
      </w:r>
      <w:r>
        <w:t xml:space="preserve"> Източник: Министерство на финансите - </w:t>
      </w:r>
      <w:hyperlink r:id="rId20" w:history="1">
        <w:r w:rsidRPr="00164B62">
          <w:rPr>
            <w:rStyle w:val="Hyperlink"/>
          </w:rPr>
          <w:t>http://www.minfin.bg/bg/page/810</w:t>
        </w:r>
      </w:hyperlink>
      <w:r>
        <w:t xml:space="preserve"> </w:t>
      </w:r>
    </w:p>
  </w:footnote>
  <w:footnote w:id="132">
    <w:p w:rsidR="00EA2176" w:rsidRPr="007205C4" w:rsidRDefault="00EA2176" w:rsidP="007205C4">
      <w:pPr>
        <w:pStyle w:val="FootnoteText"/>
        <w:ind w:left="284" w:hanging="284"/>
        <w:jc w:val="both"/>
        <w:rPr>
          <w:rFonts w:asciiTheme="minorHAnsi" w:hAnsiTheme="minorHAnsi" w:cstheme="minorHAnsi"/>
          <w:lang w:val="en-US"/>
        </w:rPr>
      </w:pPr>
      <w:r w:rsidRPr="007205C4">
        <w:rPr>
          <w:rStyle w:val="FootnoteReference"/>
          <w:rFonts w:asciiTheme="minorHAnsi" w:hAnsiTheme="minorHAnsi" w:cstheme="minorHAnsi"/>
        </w:rPr>
        <w:footnoteRef/>
      </w:r>
      <w:r w:rsidRPr="007205C4">
        <w:rPr>
          <w:rFonts w:asciiTheme="minorHAnsi" w:hAnsiTheme="minorHAnsi" w:cstheme="minorHAnsi"/>
        </w:rPr>
        <w:t xml:space="preserve"> Единствено за частни фирми, които са МСП може да се приложат съществуващите гаранционни механизми в рамките на инициативата </w:t>
      </w:r>
      <w:r w:rsidRPr="007205C4">
        <w:rPr>
          <w:rFonts w:asciiTheme="minorHAnsi" w:hAnsiTheme="minorHAnsi" w:cstheme="minorHAnsi"/>
          <w:lang w:val="en-US"/>
        </w:rPr>
        <w:t>Jeremie</w:t>
      </w:r>
    </w:p>
  </w:footnote>
  <w:footnote w:id="133">
    <w:p w:rsidR="00EA2176" w:rsidRPr="00165E0B" w:rsidRDefault="00EA2176" w:rsidP="00165E0B">
      <w:pPr>
        <w:pStyle w:val="FootnoteText"/>
        <w:ind w:left="284" w:hanging="284"/>
        <w:jc w:val="both"/>
        <w:rPr>
          <w:rFonts w:asciiTheme="minorHAnsi" w:hAnsiTheme="minorHAnsi" w:cstheme="minorHAnsi"/>
          <w:sz w:val="18"/>
          <w:szCs w:val="18"/>
        </w:rPr>
      </w:pPr>
      <w:r w:rsidRPr="00165E0B">
        <w:rPr>
          <w:rStyle w:val="FootnoteReference"/>
          <w:rFonts w:asciiTheme="minorHAnsi" w:hAnsiTheme="minorHAnsi" w:cstheme="minorHAnsi"/>
          <w:sz w:val="18"/>
          <w:szCs w:val="18"/>
        </w:rPr>
        <w:footnoteRef/>
      </w:r>
      <w:r w:rsidRPr="00165E0B">
        <w:rPr>
          <w:rFonts w:asciiTheme="minorHAnsi" w:hAnsiTheme="minorHAnsi" w:cstheme="minorHAnsi"/>
          <w:sz w:val="18"/>
          <w:szCs w:val="18"/>
        </w:rPr>
        <w:t xml:space="preserve"> Какъвто пример е даден и в т. 3.1.4 от том 4 на Методологията за предварителна оценка на финансовите инструменти - </w:t>
      </w:r>
      <w:hyperlink r:id="rId21" w:history="1">
        <w:r w:rsidRPr="00165E0B">
          <w:rPr>
            <w:rStyle w:val="Hyperlink"/>
            <w:rFonts w:asciiTheme="minorHAnsi" w:hAnsiTheme="minorHAnsi" w:cstheme="minorHAnsi"/>
            <w:sz w:val="18"/>
            <w:szCs w:val="18"/>
          </w:rPr>
          <w:t>http://ec.europa.eu/regional_policy/thefunds/fin_inst/pdf/ex_ante_vol4.pdf</w:t>
        </w:r>
      </w:hyperlink>
      <w:r w:rsidRPr="00165E0B">
        <w:rPr>
          <w:rFonts w:asciiTheme="minorHAnsi" w:hAnsiTheme="minorHAnsi" w:cstheme="minorHAnsi"/>
          <w:sz w:val="18"/>
          <w:szCs w:val="18"/>
        </w:rPr>
        <w:t xml:space="preserve"> </w:t>
      </w:r>
    </w:p>
  </w:footnote>
  <w:footnote w:id="134">
    <w:p w:rsidR="00EA2176" w:rsidRPr="009B73A8" w:rsidRDefault="00EA2176" w:rsidP="00165E0B">
      <w:pPr>
        <w:pStyle w:val="FootnoteText"/>
        <w:ind w:left="284" w:hanging="284"/>
        <w:jc w:val="both"/>
        <w:rPr>
          <w:rFonts w:asciiTheme="minorHAnsi" w:hAnsiTheme="minorHAnsi" w:cstheme="minorHAnsi"/>
        </w:rPr>
      </w:pPr>
      <w:r w:rsidRPr="00165E0B">
        <w:rPr>
          <w:rStyle w:val="FootnoteReference"/>
          <w:rFonts w:asciiTheme="minorHAnsi" w:hAnsiTheme="minorHAnsi" w:cstheme="minorHAnsi"/>
          <w:sz w:val="18"/>
          <w:szCs w:val="18"/>
        </w:rPr>
        <w:footnoteRef/>
      </w:r>
      <w:r w:rsidRPr="00165E0B">
        <w:rPr>
          <w:rFonts w:asciiTheme="minorHAnsi" w:hAnsiTheme="minorHAnsi" w:cstheme="minorHAnsi"/>
          <w:sz w:val="18"/>
          <w:szCs w:val="18"/>
        </w:rPr>
        <w:t xml:space="preserve"> Напр. предвиждане на мерки за закупуване на нов подвижен състав, за които евентуално би било подходящо прилагането на инструменти за финансов инженеринг.</w:t>
      </w:r>
    </w:p>
  </w:footnote>
  <w:footnote w:id="135">
    <w:p w:rsidR="00EA2176" w:rsidRPr="00984E5D" w:rsidRDefault="00EA2176" w:rsidP="00907AE2">
      <w:pPr>
        <w:pStyle w:val="FootnoteText"/>
        <w:ind w:left="142" w:hanging="142"/>
        <w:rPr>
          <w:rFonts w:asciiTheme="minorHAnsi" w:hAnsiTheme="minorHAnsi" w:cstheme="minorHAnsi"/>
        </w:rPr>
      </w:pPr>
      <w:r w:rsidRPr="00984E5D">
        <w:rPr>
          <w:rStyle w:val="FootnoteReference"/>
          <w:rFonts w:asciiTheme="minorHAnsi" w:hAnsiTheme="minorHAnsi" w:cstheme="minorHAnsi"/>
        </w:rPr>
        <w:footnoteRef/>
      </w:r>
      <w:r w:rsidRPr="00984E5D">
        <w:rPr>
          <w:rFonts w:asciiTheme="minorHAnsi" w:hAnsiTheme="minorHAnsi" w:cstheme="minorHAnsi"/>
        </w:rPr>
        <w:t xml:space="preserve"> </w:t>
      </w:r>
      <w:r w:rsidRPr="00984E5D">
        <w:rPr>
          <w:rFonts w:asciiTheme="minorHAnsi" w:hAnsiTheme="minorHAnsi" w:cstheme="minorHAnsi"/>
        </w:rPr>
        <w:tab/>
      </w:r>
      <w:r w:rsidRPr="00984E5D">
        <w:rPr>
          <w:rFonts w:asciiTheme="minorHAnsi" w:hAnsiTheme="minorHAnsi" w:cstheme="minorHAnsi"/>
          <w:sz w:val="18"/>
          <w:szCs w:val="18"/>
        </w:rPr>
        <w:t>Съгласно Националния план за управление на отпадъците 2014-2020</w:t>
      </w:r>
      <w:r>
        <w:rPr>
          <w:rFonts w:asciiTheme="minorHAnsi" w:hAnsiTheme="minorHAnsi" w:cstheme="minorHAnsi"/>
          <w:sz w:val="18"/>
          <w:szCs w:val="18"/>
        </w:rPr>
        <w:t>,</w:t>
      </w:r>
      <w:r w:rsidRPr="00984E5D">
        <w:rPr>
          <w:rFonts w:asciiTheme="minorHAnsi" w:hAnsiTheme="minorHAnsi" w:cstheme="minorHAnsi"/>
          <w:sz w:val="18"/>
          <w:szCs w:val="18"/>
        </w:rPr>
        <w:t xml:space="preserve"> допустимо количество към 2013 г.</w:t>
      </w:r>
    </w:p>
  </w:footnote>
  <w:footnote w:id="136">
    <w:p w:rsidR="00EA2176" w:rsidRDefault="00EA2176" w:rsidP="00907AE2">
      <w:pPr>
        <w:pStyle w:val="FootnoteText"/>
      </w:pPr>
      <w:r>
        <w:rPr>
          <w:rStyle w:val="FootnoteReference"/>
        </w:rPr>
        <w:footnoteRef/>
      </w:r>
      <w:r>
        <w:t xml:space="preserve"> </w:t>
      </w:r>
      <w:r w:rsidRPr="00984E5D">
        <w:rPr>
          <w:rFonts w:asciiTheme="minorHAnsi" w:hAnsiTheme="minorHAnsi" w:cstheme="minorHAnsi"/>
          <w:sz w:val="18"/>
          <w:szCs w:val="18"/>
        </w:rPr>
        <w:t>Към 2020 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176" w:rsidRDefault="00EA2176">
    <w:pPr>
      <w:pStyle w:val="Header"/>
    </w:pPr>
    <w:r w:rsidRPr="001E6990">
      <w:rPr>
        <w:noProof/>
        <w:lang w:eastAsia="bg-BG"/>
      </w:rPr>
      <w:drawing>
        <wp:inline distT="0" distB="0" distL="0" distR="0">
          <wp:extent cx="1685925" cy="676275"/>
          <wp:effectExtent l="19050" t="0" r="9525" b="0"/>
          <wp:docPr id="254" name="Picture 1" descr="E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1"/>
                  <pic:cNvPicPr>
                    <a:picLocks noChangeAspect="1" noChangeArrowheads="1"/>
                  </pic:cNvPicPr>
                </pic:nvPicPr>
                <pic:blipFill>
                  <a:blip r:embed="rId1"/>
                  <a:srcRect/>
                  <a:stretch>
                    <a:fillRect/>
                  </a:stretch>
                </pic:blipFill>
                <pic:spPr bwMode="auto">
                  <a:xfrm>
                    <a:off x="0" y="0"/>
                    <a:ext cx="1685925" cy="676275"/>
                  </a:xfrm>
                  <a:prstGeom prst="rect">
                    <a:avLst/>
                  </a:prstGeom>
                  <a:noFill/>
                  <a:ln w="9525">
                    <a:noFill/>
                    <a:miter lim="800000"/>
                    <a:headEnd/>
                    <a:tailEnd/>
                  </a:ln>
                </pic:spPr>
              </pic:pic>
            </a:graphicData>
          </a:graphic>
        </wp:inline>
      </w:drawing>
    </w:r>
    <w:r>
      <w:rPr>
        <w:noProof/>
        <w:lang w:eastAsia="bg-BG"/>
      </w:rPr>
      <w:drawing>
        <wp:inline distT="0" distB="0" distL="0" distR="0">
          <wp:extent cx="3499485" cy="792480"/>
          <wp:effectExtent l="0" t="0" r="5715" b="762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9485" cy="792480"/>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176" w:rsidRPr="00301497" w:rsidRDefault="00EA2176" w:rsidP="00301497">
    <w:pPr>
      <w:pStyle w:val="Header"/>
      <w:ind w:left="-709"/>
    </w:pPr>
    <w:r>
      <w:rPr>
        <w:noProof/>
        <w:lang w:eastAsia="bg-BG"/>
      </w:rPr>
      <w:drawing>
        <wp:inline distT="0" distB="0" distL="0" distR="0">
          <wp:extent cx="1685925" cy="676275"/>
          <wp:effectExtent l="19050" t="0" r="9525" b="0"/>
          <wp:docPr id="257" name="Picture 1" descr="E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1"/>
                  <pic:cNvPicPr>
                    <a:picLocks noChangeAspect="1" noChangeArrowheads="1"/>
                  </pic:cNvPicPr>
                </pic:nvPicPr>
                <pic:blipFill>
                  <a:blip r:embed="rId1"/>
                  <a:srcRect/>
                  <a:stretch>
                    <a:fillRect/>
                  </a:stretch>
                </pic:blipFill>
                <pic:spPr bwMode="auto">
                  <a:xfrm>
                    <a:off x="0" y="0"/>
                    <a:ext cx="1685925" cy="676275"/>
                  </a:xfrm>
                  <a:prstGeom prst="rect">
                    <a:avLst/>
                  </a:prstGeom>
                  <a:noFill/>
                  <a:ln w="9525">
                    <a:noFill/>
                    <a:miter lim="800000"/>
                    <a:headEnd/>
                    <a:tailEnd/>
                  </a:ln>
                </pic:spPr>
              </pic:pic>
            </a:graphicData>
          </a:graphic>
        </wp:inline>
      </w:drawing>
    </w:r>
    <w:r>
      <w:rPr>
        <w:noProof/>
        <w:lang w:eastAsia="bg-BG"/>
      </w:rPr>
      <w:drawing>
        <wp:inline distT="0" distB="0" distL="0" distR="0">
          <wp:extent cx="3932555" cy="646430"/>
          <wp:effectExtent l="0" t="0" r="0" b="127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932555" cy="646430"/>
                  </a:xfrm>
                  <a:prstGeom prst="rect">
                    <a:avLst/>
                  </a:prstGeom>
                  <a:noFill/>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176" w:rsidRDefault="00EA2176">
    <w:pPr>
      <w:widowControl w:val="0"/>
      <w:autoSpaceDE w:val="0"/>
      <w:autoSpaceDN w:val="0"/>
      <w:adjustRightInd w:val="0"/>
      <w:spacing w:after="0" w:line="200" w:lineRule="exact"/>
      <w:rPr>
        <w:rFonts w:ascii="Times New Roman" w:hAnsi="Times New Roman" w:cs="Times New Roman"/>
        <w:sz w:val="20"/>
        <w:szCs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176" w:rsidRPr="00D25C86" w:rsidRDefault="00EA2176" w:rsidP="005D1F5C">
    <w:pPr>
      <w:tabs>
        <w:tab w:val="left" w:pos="1935"/>
      </w:tabs>
      <w:jc w:val="center"/>
      <w:rPr>
        <w:b/>
      </w:rPr>
    </w:pPr>
    <w:r>
      <w:rPr>
        <w:noProof/>
        <w:lang w:eastAsia="bg-BG"/>
      </w:rPr>
      <w:drawing>
        <wp:inline distT="0" distB="0" distL="0" distR="0">
          <wp:extent cx="1647825" cy="638175"/>
          <wp:effectExtent l="0" t="0" r="9525" b="9525"/>
          <wp:docPr id="41" name="Picture 2" descr="E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U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7825" cy="638175"/>
                  </a:xfrm>
                  <a:prstGeom prst="rect">
                    <a:avLst/>
                  </a:prstGeom>
                  <a:noFill/>
                  <a:ln>
                    <a:noFill/>
                  </a:ln>
                </pic:spPr>
              </pic:pic>
            </a:graphicData>
          </a:graphic>
        </wp:inline>
      </w:drawing>
    </w:r>
    <w:r>
      <w:rPr>
        <w:b/>
        <w:noProof/>
        <w:lang w:eastAsia="bg-BG"/>
      </w:rPr>
      <w:drawing>
        <wp:inline distT="0" distB="0" distL="0" distR="0">
          <wp:extent cx="3712845" cy="579120"/>
          <wp:effectExtent l="0" t="0" r="1905"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712845" cy="579120"/>
                  </a:xfrm>
                  <a:prstGeom prst="rect">
                    <a:avLst/>
                  </a:prstGeom>
                  <a:noFill/>
                </pic:spPr>
              </pic:pic>
            </a:graphicData>
          </a:graphic>
        </wp:inline>
      </w:drawing>
    </w:r>
  </w:p>
  <w:p w:rsidR="00EA2176" w:rsidRPr="00A82A6E" w:rsidRDefault="00EA2176" w:rsidP="00A43F16">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176" w:rsidRPr="00D25C86" w:rsidRDefault="00EA2176" w:rsidP="005D1F5C">
    <w:pPr>
      <w:tabs>
        <w:tab w:val="left" w:pos="1935"/>
      </w:tabs>
      <w:jc w:val="center"/>
      <w:rPr>
        <w:b/>
      </w:rPr>
    </w:pPr>
    <w:r>
      <w:rPr>
        <w:noProof/>
        <w:lang w:eastAsia="bg-BG"/>
      </w:rPr>
      <w:drawing>
        <wp:inline distT="0" distB="0" distL="0" distR="0">
          <wp:extent cx="1647825" cy="638175"/>
          <wp:effectExtent l="0" t="0" r="9525" b="9525"/>
          <wp:docPr id="32" name="Picture 3" descr="E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7825" cy="638175"/>
                  </a:xfrm>
                  <a:prstGeom prst="rect">
                    <a:avLst/>
                  </a:prstGeom>
                  <a:noFill/>
                  <a:ln>
                    <a:noFill/>
                  </a:ln>
                </pic:spPr>
              </pic:pic>
            </a:graphicData>
          </a:graphic>
        </wp:inline>
      </w:drawing>
    </w:r>
    <w:r>
      <w:rPr>
        <w:b/>
        <w:noProof/>
        <w:lang w:eastAsia="bg-BG"/>
      </w:rPr>
      <w:drawing>
        <wp:inline distT="0" distB="0" distL="0" distR="0">
          <wp:extent cx="3764280" cy="575122"/>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767208" cy="575569"/>
                  </a:xfrm>
                  <a:prstGeom prst="rect">
                    <a:avLst/>
                  </a:prstGeom>
                  <a:noFill/>
                </pic:spPr>
              </pic:pic>
            </a:graphicData>
          </a:graphic>
        </wp:inline>
      </w:drawing>
    </w:r>
  </w:p>
  <w:p w:rsidR="00EA2176" w:rsidRDefault="00EA217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w14:anchorId="30B14CD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88.55pt;height:84pt" o:bullet="t">
        <v:imagedata r:id="rId1" o:title="art28CD"/>
      </v:shape>
    </w:pict>
  </w:numPicBullet>
  <w:abstractNum w:abstractNumId="0">
    <w:nsid w:val="00000008"/>
    <w:multiLevelType w:val="multilevel"/>
    <w:tmpl w:val="00000008"/>
    <w:name w:val="WWNum44"/>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nsid w:val="000314C2"/>
    <w:multiLevelType w:val="multilevel"/>
    <w:tmpl w:val="02D8667A"/>
    <w:lvl w:ilvl="0">
      <w:start w:val="1"/>
      <w:numFmt w:val="bullet"/>
      <w:lvlText w:val=""/>
      <w:lvlJc w:val="left"/>
      <w:pPr>
        <w:tabs>
          <w:tab w:val="num" w:pos="720"/>
        </w:tabs>
        <w:ind w:left="720" w:hanging="360"/>
      </w:pPr>
      <w:rPr>
        <w:rFonts w:ascii="Wingdings" w:hAnsi="Wingdings" w:hint="default"/>
        <w:sz w:val="20"/>
      </w:rPr>
    </w:lvl>
    <w:lvl w:ilvl="1">
      <w:start w:val="4"/>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EC4488"/>
    <w:multiLevelType w:val="hybridMultilevel"/>
    <w:tmpl w:val="BC2E9F6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nsid w:val="0362643C"/>
    <w:multiLevelType w:val="hybridMultilevel"/>
    <w:tmpl w:val="3414320C"/>
    <w:lvl w:ilvl="0" w:tplc="0402000D">
      <w:start w:val="1"/>
      <w:numFmt w:val="bullet"/>
      <w:lvlText w:val=""/>
      <w:lvlJc w:val="left"/>
      <w:pPr>
        <w:ind w:left="1429" w:hanging="360"/>
      </w:pPr>
      <w:rPr>
        <w:rFonts w:ascii="Wingdings" w:hAnsi="Wingdings"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4">
    <w:nsid w:val="0407427D"/>
    <w:multiLevelType w:val="hybridMultilevel"/>
    <w:tmpl w:val="031A491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57D34B3"/>
    <w:multiLevelType w:val="hybridMultilevel"/>
    <w:tmpl w:val="C6B6BBB6"/>
    <w:lvl w:ilvl="0" w:tplc="04090019">
      <w:start w:val="1"/>
      <w:numFmt w:val="lowerLetter"/>
      <w:lvlText w:val="%1."/>
      <w:lvlJc w:val="left"/>
      <w:pPr>
        <w:ind w:left="1426" w:hanging="360"/>
      </w:pPr>
    </w:lvl>
    <w:lvl w:ilvl="1" w:tplc="04090019" w:tentative="1">
      <w:start w:val="1"/>
      <w:numFmt w:val="lowerLetter"/>
      <w:lvlText w:val="%2."/>
      <w:lvlJc w:val="left"/>
      <w:pPr>
        <w:ind w:left="2146" w:hanging="360"/>
      </w:pPr>
    </w:lvl>
    <w:lvl w:ilvl="2" w:tplc="0409001B" w:tentative="1">
      <w:start w:val="1"/>
      <w:numFmt w:val="lowerRoman"/>
      <w:lvlText w:val="%3."/>
      <w:lvlJc w:val="right"/>
      <w:pPr>
        <w:ind w:left="2866" w:hanging="180"/>
      </w:pPr>
    </w:lvl>
    <w:lvl w:ilvl="3" w:tplc="0409000F" w:tentative="1">
      <w:start w:val="1"/>
      <w:numFmt w:val="decimal"/>
      <w:lvlText w:val="%4."/>
      <w:lvlJc w:val="left"/>
      <w:pPr>
        <w:ind w:left="3586" w:hanging="360"/>
      </w:pPr>
    </w:lvl>
    <w:lvl w:ilvl="4" w:tplc="04090019" w:tentative="1">
      <w:start w:val="1"/>
      <w:numFmt w:val="lowerLetter"/>
      <w:lvlText w:val="%5."/>
      <w:lvlJc w:val="left"/>
      <w:pPr>
        <w:ind w:left="4306" w:hanging="360"/>
      </w:pPr>
    </w:lvl>
    <w:lvl w:ilvl="5" w:tplc="0409001B" w:tentative="1">
      <w:start w:val="1"/>
      <w:numFmt w:val="lowerRoman"/>
      <w:lvlText w:val="%6."/>
      <w:lvlJc w:val="right"/>
      <w:pPr>
        <w:ind w:left="5026" w:hanging="180"/>
      </w:pPr>
    </w:lvl>
    <w:lvl w:ilvl="6" w:tplc="0409000F" w:tentative="1">
      <w:start w:val="1"/>
      <w:numFmt w:val="decimal"/>
      <w:lvlText w:val="%7."/>
      <w:lvlJc w:val="left"/>
      <w:pPr>
        <w:ind w:left="5746" w:hanging="360"/>
      </w:pPr>
    </w:lvl>
    <w:lvl w:ilvl="7" w:tplc="04090019" w:tentative="1">
      <w:start w:val="1"/>
      <w:numFmt w:val="lowerLetter"/>
      <w:lvlText w:val="%8."/>
      <w:lvlJc w:val="left"/>
      <w:pPr>
        <w:ind w:left="6466" w:hanging="360"/>
      </w:pPr>
    </w:lvl>
    <w:lvl w:ilvl="8" w:tplc="0409001B" w:tentative="1">
      <w:start w:val="1"/>
      <w:numFmt w:val="lowerRoman"/>
      <w:lvlText w:val="%9."/>
      <w:lvlJc w:val="right"/>
      <w:pPr>
        <w:ind w:left="7186" w:hanging="180"/>
      </w:pPr>
    </w:lvl>
  </w:abstractNum>
  <w:abstractNum w:abstractNumId="6">
    <w:nsid w:val="05E2572B"/>
    <w:multiLevelType w:val="hybridMultilevel"/>
    <w:tmpl w:val="9A3C889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nsid w:val="06116388"/>
    <w:multiLevelType w:val="hybridMultilevel"/>
    <w:tmpl w:val="4A5AD0B6"/>
    <w:lvl w:ilvl="0" w:tplc="04020011">
      <w:start w:val="1"/>
      <w:numFmt w:val="decimal"/>
      <w:lvlText w:val="%1)"/>
      <w:lvlJc w:val="left"/>
      <w:pPr>
        <w:tabs>
          <w:tab w:val="num" w:pos="735"/>
        </w:tabs>
        <w:ind w:left="735" w:hanging="375"/>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nsid w:val="063C6AB3"/>
    <w:multiLevelType w:val="hybridMultilevel"/>
    <w:tmpl w:val="65909C2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nsid w:val="068E12D9"/>
    <w:multiLevelType w:val="hybridMultilevel"/>
    <w:tmpl w:val="840AE262"/>
    <w:lvl w:ilvl="0" w:tplc="04020017">
      <w:start w:val="1"/>
      <w:numFmt w:val="lowerLetter"/>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06B74026"/>
    <w:multiLevelType w:val="hybridMultilevel"/>
    <w:tmpl w:val="49F6E6E0"/>
    <w:lvl w:ilvl="0" w:tplc="0409000D">
      <w:start w:val="1"/>
      <w:numFmt w:val="bullet"/>
      <w:lvlText w:val=""/>
      <w:lvlJc w:val="left"/>
      <w:pPr>
        <w:tabs>
          <w:tab w:val="num" w:pos="2880"/>
        </w:tabs>
        <w:ind w:left="2880" w:hanging="360"/>
      </w:pPr>
      <w:rPr>
        <w:rFonts w:ascii="Wingdings" w:hAnsi="Wingdings" w:hint="default"/>
      </w:rPr>
    </w:lvl>
    <w:lvl w:ilvl="1" w:tplc="0409000F">
      <w:start w:val="1"/>
      <w:numFmt w:val="decimal"/>
      <w:lvlText w:val="%2."/>
      <w:lvlJc w:val="left"/>
      <w:pPr>
        <w:tabs>
          <w:tab w:val="num" w:pos="2340"/>
        </w:tabs>
        <w:ind w:left="2340" w:hanging="360"/>
      </w:pPr>
      <w:rPr>
        <w:rFonts w:hint="default"/>
      </w:rPr>
    </w:lvl>
    <w:lvl w:ilvl="2" w:tplc="04090005">
      <w:start w:val="1"/>
      <w:numFmt w:val="bullet"/>
      <w:lvlText w:val=""/>
      <w:lvlJc w:val="left"/>
      <w:pPr>
        <w:tabs>
          <w:tab w:val="num" w:pos="3060"/>
        </w:tabs>
        <w:ind w:left="3060" w:hanging="360"/>
      </w:pPr>
      <w:rPr>
        <w:rFonts w:ascii="Wingdings" w:hAnsi="Wingdings" w:hint="default"/>
      </w:rPr>
    </w:lvl>
    <w:lvl w:ilvl="3" w:tplc="1E9CB9B2">
      <w:start w:val="1"/>
      <w:numFmt w:val="lowerRoman"/>
      <w:lvlText w:val="%4."/>
      <w:lvlJc w:val="left"/>
      <w:pPr>
        <w:tabs>
          <w:tab w:val="num" w:pos="4140"/>
        </w:tabs>
        <w:ind w:left="4140" w:hanging="720"/>
      </w:pPr>
      <w:rPr>
        <w:rFonts w:hint="default"/>
      </w:rPr>
    </w:lvl>
    <w:lvl w:ilvl="4" w:tplc="04090003" w:tentative="1">
      <w:start w:val="1"/>
      <w:numFmt w:val="bullet"/>
      <w:lvlText w:val="o"/>
      <w:lvlJc w:val="left"/>
      <w:pPr>
        <w:tabs>
          <w:tab w:val="num" w:pos="4500"/>
        </w:tabs>
        <w:ind w:left="4500" w:hanging="360"/>
      </w:pPr>
      <w:rPr>
        <w:rFonts w:ascii="Courier New" w:hAnsi="Courier New" w:cs="Courier New" w:hint="default"/>
      </w:rPr>
    </w:lvl>
    <w:lvl w:ilvl="5" w:tplc="04090005" w:tentative="1">
      <w:start w:val="1"/>
      <w:numFmt w:val="bullet"/>
      <w:lvlText w:val=""/>
      <w:lvlJc w:val="left"/>
      <w:pPr>
        <w:tabs>
          <w:tab w:val="num" w:pos="5220"/>
        </w:tabs>
        <w:ind w:left="5220" w:hanging="360"/>
      </w:pPr>
      <w:rPr>
        <w:rFonts w:ascii="Wingdings" w:hAnsi="Wingdings" w:hint="default"/>
      </w:rPr>
    </w:lvl>
    <w:lvl w:ilvl="6" w:tplc="04090001" w:tentative="1">
      <w:start w:val="1"/>
      <w:numFmt w:val="bullet"/>
      <w:lvlText w:val=""/>
      <w:lvlJc w:val="left"/>
      <w:pPr>
        <w:tabs>
          <w:tab w:val="num" w:pos="5940"/>
        </w:tabs>
        <w:ind w:left="5940" w:hanging="360"/>
      </w:pPr>
      <w:rPr>
        <w:rFonts w:ascii="Symbol" w:hAnsi="Symbol" w:hint="default"/>
      </w:rPr>
    </w:lvl>
    <w:lvl w:ilvl="7" w:tplc="04090003" w:tentative="1">
      <w:start w:val="1"/>
      <w:numFmt w:val="bullet"/>
      <w:lvlText w:val="o"/>
      <w:lvlJc w:val="left"/>
      <w:pPr>
        <w:tabs>
          <w:tab w:val="num" w:pos="6660"/>
        </w:tabs>
        <w:ind w:left="6660" w:hanging="360"/>
      </w:pPr>
      <w:rPr>
        <w:rFonts w:ascii="Courier New" w:hAnsi="Courier New" w:cs="Courier New" w:hint="default"/>
      </w:rPr>
    </w:lvl>
    <w:lvl w:ilvl="8" w:tplc="04090005" w:tentative="1">
      <w:start w:val="1"/>
      <w:numFmt w:val="bullet"/>
      <w:lvlText w:val=""/>
      <w:lvlJc w:val="left"/>
      <w:pPr>
        <w:tabs>
          <w:tab w:val="num" w:pos="7380"/>
        </w:tabs>
        <w:ind w:left="7380" w:hanging="360"/>
      </w:pPr>
      <w:rPr>
        <w:rFonts w:ascii="Wingdings" w:hAnsi="Wingdings" w:hint="default"/>
      </w:rPr>
    </w:lvl>
  </w:abstractNum>
  <w:abstractNum w:abstractNumId="11">
    <w:nsid w:val="09C57491"/>
    <w:multiLevelType w:val="hybridMultilevel"/>
    <w:tmpl w:val="5A865F5E"/>
    <w:lvl w:ilvl="0" w:tplc="04020017">
      <w:start w:val="1"/>
      <w:numFmt w:val="lowerLetter"/>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nsid w:val="09E95DE0"/>
    <w:multiLevelType w:val="hybridMultilevel"/>
    <w:tmpl w:val="5FD861E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0E602885"/>
    <w:multiLevelType w:val="hybridMultilevel"/>
    <w:tmpl w:val="710C67F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0EC6662B"/>
    <w:multiLevelType w:val="hybridMultilevel"/>
    <w:tmpl w:val="A54CF534"/>
    <w:lvl w:ilvl="0" w:tplc="8EF605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0AF38A5"/>
    <w:multiLevelType w:val="hybridMultilevel"/>
    <w:tmpl w:val="92F8BEF4"/>
    <w:lvl w:ilvl="0" w:tplc="04020011">
      <w:start w:val="1"/>
      <w:numFmt w:val="decimal"/>
      <w:lvlText w:val="%1)"/>
      <w:lvlJc w:val="left"/>
      <w:pPr>
        <w:ind w:left="2160" w:hanging="360"/>
      </w:pPr>
    </w:lvl>
    <w:lvl w:ilvl="1" w:tplc="04020019" w:tentative="1">
      <w:start w:val="1"/>
      <w:numFmt w:val="lowerLetter"/>
      <w:lvlText w:val="%2."/>
      <w:lvlJc w:val="left"/>
      <w:pPr>
        <w:ind w:left="2880" w:hanging="360"/>
      </w:pPr>
    </w:lvl>
    <w:lvl w:ilvl="2" w:tplc="0402001B" w:tentative="1">
      <w:start w:val="1"/>
      <w:numFmt w:val="lowerRoman"/>
      <w:lvlText w:val="%3."/>
      <w:lvlJc w:val="right"/>
      <w:pPr>
        <w:ind w:left="3600" w:hanging="180"/>
      </w:pPr>
    </w:lvl>
    <w:lvl w:ilvl="3" w:tplc="0402000F" w:tentative="1">
      <w:start w:val="1"/>
      <w:numFmt w:val="decimal"/>
      <w:lvlText w:val="%4."/>
      <w:lvlJc w:val="left"/>
      <w:pPr>
        <w:ind w:left="4320" w:hanging="360"/>
      </w:pPr>
    </w:lvl>
    <w:lvl w:ilvl="4" w:tplc="04020019" w:tentative="1">
      <w:start w:val="1"/>
      <w:numFmt w:val="lowerLetter"/>
      <w:lvlText w:val="%5."/>
      <w:lvlJc w:val="left"/>
      <w:pPr>
        <w:ind w:left="5040" w:hanging="360"/>
      </w:pPr>
    </w:lvl>
    <w:lvl w:ilvl="5" w:tplc="0402001B" w:tentative="1">
      <w:start w:val="1"/>
      <w:numFmt w:val="lowerRoman"/>
      <w:lvlText w:val="%6."/>
      <w:lvlJc w:val="right"/>
      <w:pPr>
        <w:ind w:left="5760" w:hanging="180"/>
      </w:pPr>
    </w:lvl>
    <w:lvl w:ilvl="6" w:tplc="0402000F" w:tentative="1">
      <w:start w:val="1"/>
      <w:numFmt w:val="decimal"/>
      <w:lvlText w:val="%7."/>
      <w:lvlJc w:val="left"/>
      <w:pPr>
        <w:ind w:left="6480" w:hanging="360"/>
      </w:pPr>
    </w:lvl>
    <w:lvl w:ilvl="7" w:tplc="04020019" w:tentative="1">
      <w:start w:val="1"/>
      <w:numFmt w:val="lowerLetter"/>
      <w:lvlText w:val="%8."/>
      <w:lvlJc w:val="left"/>
      <w:pPr>
        <w:ind w:left="7200" w:hanging="360"/>
      </w:pPr>
    </w:lvl>
    <w:lvl w:ilvl="8" w:tplc="0402001B" w:tentative="1">
      <w:start w:val="1"/>
      <w:numFmt w:val="lowerRoman"/>
      <w:lvlText w:val="%9."/>
      <w:lvlJc w:val="right"/>
      <w:pPr>
        <w:ind w:left="7920" w:hanging="180"/>
      </w:pPr>
    </w:lvl>
  </w:abstractNum>
  <w:abstractNum w:abstractNumId="16">
    <w:nsid w:val="10E966B4"/>
    <w:multiLevelType w:val="hybridMultilevel"/>
    <w:tmpl w:val="864A2D74"/>
    <w:lvl w:ilvl="0" w:tplc="0402000D">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11D4234E"/>
    <w:multiLevelType w:val="hybridMultilevel"/>
    <w:tmpl w:val="57E0BADA"/>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8">
    <w:nsid w:val="12A27EFC"/>
    <w:multiLevelType w:val="hybridMultilevel"/>
    <w:tmpl w:val="9BCEBB92"/>
    <w:lvl w:ilvl="0" w:tplc="014ADBF2">
      <w:start w:val="1"/>
      <w:numFmt w:val="decimal"/>
      <w:lvlText w:val="%1."/>
      <w:lvlJc w:val="right"/>
      <w:pPr>
        <w:ind w:left="720" w:hanging="360"/>
      </w:pPr>
      <w:rPr>
        <w:rFonts w:hint="default"/>
      </w:rPr>
    </w:lvl>
    <w:lvl w:ilvl="1" w:tplc="04020011">
      <w:start w:val="1"/>
      <w:numFmt w:val="decimal"/>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nsid w:val="12D70605"/>
    <w:multiLevelType w:val="hybridMultilevel"/>
    <w:tmpl w:val="426CB610"/>
    <w:lvl w:ilvl="0" w:tplc="04020011">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0">
    <w:nsid w:val="133A4D0A"/>
    <w:multiLevelType w:val="hybridMultilevel"/>
    <w:tmpl w:val="8036F4D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13A83DD6"/>
    <w:multiLevelType w:val="hybridMultilevel"/>
    <w:tmpl w:val="F90E306A"/>
    <w:lvl w:ilvl="0" w:tplc="2E9A178C">
      <w:start w:val="1"/>
      <w:numFmt w:val="lowerRoman"/>
      <w:lvlText w:val="(%1)"/>
      <w:lvlJc w:val="left"/>
      <w:pPr>
        <w:ind w:left="720" w:hanging="360"/>
      </w:pPr>
      <w:rPr>
        <w:rFonts w:hint="default"/>
      </w:rPr>
    </w:lvl>
    <w:lvl w:ilvl="1" w:tplc="0402001B">
      <w:start w:val="1"/>
      <w:numFmt w:val="lowerRoman"/>
      <w:lvlText w:val="%2."/>
      <w:lvlJc w:val="righ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nsid w:val="13DE5C88"/>
    <w:multiLevelType w:val="hybridMultilevel"/>
    <w:tmpl w:val="2F926ED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14070B9B"/>
    <w:multiLevelType w:val="hybridMultilevel"/>
    <w:tmpl w:val="C0B69F4A"/>
    <w:lvl w:ilvl="0" w:tplc="04020017">
      <w:start w:val="1"/>
      <w:numFmt w:val="lowerLetter"/>
      <w:lvlText w:val="%1)"/>
      <w:lvlJc w:val="left"/>
      <w:pPr>
        <w:ind w:left="1211" w:hanging="360"/>
      </w:p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24">
    <w:nsid w:val="14C32CC6"/>
    <w:multiLevelType w:val="hybridMultilevel"/>
    <w:tmpl w:val="DBAA916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14ED0A8F"/>
    <w:multiLevelType w:val="hybridMultilevel"/>
    <w:tmpl w:val="90324FFA"/>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nsid w:val="16086D30"/>
    <w:multiLevelType w:val="hybridMultilevel"/>
    <w:tmpl w:val="2CC290FC"/>
    <w:lvl w:ilvl="0" w:tplc="04020011">
      <w:start w:val="1"/>
      <w:numFmt w:val="decimal"/>
      <w:lvlText w:val="%1)"/>
      <w:lvlJc w:val="left"/>
      <w:pPr>
        <w:ind w:left="2160" w:hanging="360"/>
      </w:pPr>
    </w:lvl>
    <w:lvl w:ilvl="1" w:tplc="04020019" w:tentative="1">
      <w:start w:val="1"/>
      <w:numFmt w:val="lowerLetter"/>
      <w:lvlText w:val="%2."/>
      <w:lvlJc w:val="left"/>
      <w:pPr>
        <w:ind w:left="2880" w:hanging="360"/>
      </w:pPr>
    </w:lvl>
    <w:lvl w:ilvl="2" w:tplc="0402001B" w:tentative="1">
      <w:start w:val="1"/>
      <w:numFmt w:val="lowerRoman"/>
      <w:lvlText w:val="%3."/>
      <w:lvlJc w:val="right"/>
      <w:pPr>
        <w:ind w:left="3600" w:hanging="180"/>
      </w:pPr>
    </w:lvl>
    <w:lvl w:ilvl="3" w:tplc="0402000F">
      <w:start w:val="1"/>
      <w:numFmt w:val="decimal"/>
      <w:lvlText w:val="%4."/>
      <w:lvlJc w:val="left"/>
      <w:pPr>
        <w:ind w:left="4320" w:hanging="360"/>
      </w:pPr>
    </w:lvl>
    <w:lvl w:ilvl="4" w:tplc="04020019" w:tentative="1">
      <w:start w:val="1"/>
      <w:numFmt w:val="lowerLetter"/>
      <w:lvlText w:val="%5."/>
      <w:lvlJc w:val="left"/>
      <w:pPr>
        <w:ind w:left="5040" w:hanging="360"/>
      </w:pPr>
    </w:lvl>
    <w:lvl w:ilvl="5" w:tplc="0402001B" w:tentative="1">
      <w:start w:val="1"/>
      <w:numFmt w:val="lowerRoman"/>
      <w:lvlText w:val="%6."/>
      <w:lvlJc w:val="right"/>
      <w:pPr>
        <w:ind w:left="5760" w:hanging="180"/>
      </w:pPr>
    </w:lvl>
    <w:lvl w:ilvl="6" w:tplc="0402000F" w:tentative="1">
      <w:start w:val="1"/>
      <w:numFmt w:val="decimal"/>
      <w:lvlText w:val="%7."/>
      <w:lvlJc w:val="left"/>
      <w:pPr>
        <w:ind w:left="6480" w:hanging="360"/>
      </w:pPr>
    </w:lvl>
    <w:lvl w:ilvl="7" w:tplc="04020019" w:tentative="1">
      <w:start w:val="1"/>
      <w:numFmt w:val="lowerLetter"/>
      <w:lvlText w:val="%8."/>
      <w:lvlJc w:val="left"/>
      <w:pPr>
        <w:ind w:left="7200" w:hanging="360"/>
      </w:pPr>
    </w:lvl>
    <w:lvl w:ilvl="8" w:tplc="0402001B" w:tentative="1">
      <w:start w:val="1"/>
      <w:numFmt w:val="lowerRoman"/>
      <w:lvlText w:val="%9."/>
      <w:lvlJc w:val="right"/>
      <w:pPr>
        <w:ind w:left="7920" w:hanging="180"/>
      </w:pPr>
    </w:lvl>
  </w:abstractNum>
  <w:abstractNum w:abstractNumId="27">
    <w:nsid w:val="162241ED"/>
    <w:multiLevelType w:val="hybridMultilevel"/>
    <w:tmpl w:val="0222332E"/>
    <w:lvl w:ilvl="0" w:tplc="43E03EB8">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1852381F"/>
    <w:multiLevelType w:val="hybridMultilevel"/>
    <w:tmpl w:val="67D48930"/>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nsid w:val="18F525AB"/>
    <w:multiLevelType w:val="hybridMultilevel"/>
    <w:tmpl w:val="94D42418"/>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B42711B"/>
    <w:multiLevelType w:val="hybridMultilevel"/>
    <w:tmpl w:val="BA1E992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1B596352"/>
    <w:multiLevelType w:val="hybridMultilevel"/>
    <w:tmpl w:val="3F7A883A"/>
    <w:lvl w:ilvl="0" w:tplc="04020005">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nsid w:val="1BB17901"/>
    <w:multiLevelType w:val="hybridMultilevel"/>
    <w:tmpl w:val="EFB461CA"/>
    <w:lvl w:ilvl="0" w:tplc="0402000D">
      <w:start w:val="1"/>
      <w:numFmt w:val="bullet"/>
      <w:lvlText w:val=""/>
      <w:lvlJc w:val="left"/>
      <w:pPr>
        <w:ind w:left="2220" w:hanging="360"/>
      </w:pPr>
      <w:rPr>
        <w:rFonts w:ascii="Wingdings" w:hAnsi="Wingdings" w:hint="default"/>
      </w:rPr>
    </w:lvl>
    <w:lvl w:ilvl="1" w:tplc="04090003" w:tentative="1">
      <w:start w:val="1"/>
      <w:numFmt w:val="bullet"/>
      <w:lvlText w:val="o"/>
      <w:lvlJc w:val="left"/>
      <w:pPr>
        <w:ind w:left="2940" w:hanging="360"/>
      </w:pPr>
      <w:rPr>
        <w:rFonts w:ascii="Courier New" w:hAnsi="Courier New" w:cs="Courier New" w:hint="default"/>
      </w:rPr>
    </w:lvl>
    <w:lvl w:ilvl="2" w:tplc="04090005" w:tentative="1">
      <w:start w:val="1"/>
      <w:numFmt w:val="bullet"/>
      <w:lvlText w:val=""/>
      <w:lvlJc w:val="left"/>
      <w:pPr>
        <w:ind w:left="3660" w:hanging="360"/>
      </w:pPr>
      <w:rPr>
        <w:rFonts w:ascii="Wingdings" w:hAnsi="Wingdings" w:hint="default"/>
      </w:rPr>
    </w:lvl>
    <w:lvl w:ilvl="3" w:tplc="04090001" w:tentative="1">
      <w:start w:val="1"/>
      <w:numFmt w:val="bullet"/>
      <w:lvlText w:val=""/>
      <w:lvlJc w:val="left"/>
      <w:pPr>
        <w:ind w:left="4380" w:hanging="360"/>
      </w:pPr>
      <w:rPr>
        <w:rFonts w:ascii="Symbol" w:hAnsi="Symbol" w:hint="default"/>
      </w:rPr>
    </w:lvl>
    <w:lvl w:ilvl="4" w:tplc="04090003" w:tentative="1">
      <w:start w:val="1"/>
      <w:numFmt w:val="bullet"/>
      <w:lvlText w:val="o"/>
      <w:lvlJc w:val="left"/>
      <w:pPr>
        <w:ind w:left="5100" w:hanging="360"/>
      </w:pPr>
      <w:rPr>
        <w:rFonts w:ascii="Courier New" w:hAnsi="Courier New" w:cs="Courier New" w:hint="default"/>
      </w:rPr>
    </w:lvl>
    <w:lvl w:ilvl="5" w:tplc="04090005" w:tentative="1">
      <w:start w:val="1"/>
      <w:numFmt w:val="bullet"/>
      <w:lvlText w:val=""/>
      <w:lvlJc w:val="left"/>
      <w:pPr>
        <w:ind w:left="5820" w:hanging="360"/>
      </w:pPr>
      <w:rPr>
        <w:rFonts w:ascii="Wingdings" w:hAnsi="Wingdings" w:hint="default"/>
      </w:rPr>
    </w:lvl>
    <w:lvl w:ilvl="6" w:tplc="04090001" w:tentative="1">
      <w:start w:val="1"/>
      <w:numFmt w:val="bullet"/>
      <w:lvlText w:val=""/>
      <w:lvlJc w:val="left"/>
      <w:pPr>
        <w:ind w:left="6540" w:hanging="360"/>
      </w:pPr>
      <w:rPr>
        <w:rFonts w:ascii="Symbol" w:hAnsi="Symbol" w:hint="default"/>
      </w:rPr>
    </w:lvl>
    <w:lvl w:ilvl="7" w:tplc="04090003" w:tentative="1">
      <w:start w:val="1"/>
      <w:numFmt w:val="bullet"/>
      <w:lvlText w:val="o"/>
      <w:lvlJc w:val="left"/>
      <w:pPr>
        <w:ind w:left="7260" w:hanging="360"/>
      </w:pPr>
      <w:rPr>
        <w:rFonts w:ascii="Courier New" w:hAnsi="Courier New" w:cs="Courier New" w:hint="default"/>
      </w:rPr>
    </w:lvl>
    <w:lvl w:ilvl="8" w:tplc="04090005" w:tentative="1">
      <w:start w:val="1"/>
      <w:numFmt w:val="bullet"/>
      <w:lvlText w:val=""/>
      <w:lvlJc w:val="left"/>
      <w:pPr>
        <w:ind w:left="7980" w:hanging="360"/>
      </w:pPr>
      <w:rPr>
        <w:rFonts w:ascii="Wingdings" w:hAnsi="Wingdings" w:hint="default"/>
      </w:rPr>
    </w:lvl>
  </w:abstractNum>
  <w:abstractNum w:abstractNumId="33">
    <w:nsid w:val="1BF9667F"/>
    <w:multiLevelType w:val="hybridMultilevel"/>
    <w:tmpl w:val="2C04DE76"/>
    <w:lvl w:ilvl="0" w:tplc="8EF6057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1C5059F1"/>
    <w:multiLevelType w:val="hybridMultilevel"/>
    <w:tmpl w:val="51BE611A"/>
    <w:lvl w:ilvl="0" w:tplc="04090019">
      <w:start w:val="1"/>
      <w:numFmt w:val="lowerLetter"/>
      <w:lvlText w:val="%1."/>
      <w:lvlJc w:val="left"/>
      <w:pPr>
        <w:ind w:left="1426" w:hanging="360"/>
      </w:pPr>
    </w:lvl>
    <w:lvl w:ilvl="1" w:tplc="04090019" w:tentative="1">
      <w:start w:val="1"/>
      <w:numFmt w:val="lowerLetter"/>
      <w:lvlText w:val="%2."/>
      <w:lvlJc w:val="left"/>
      <w:pPr>
        <w:ind w:left="2146" w:hanging="360"/>
      </w:pPr>
    </w:lvl>
    <w:lvl w:ilvl="2" w:tplc="0409001B" w:tentative="1">
      <w:start w:val="1"/>
      <w:numFmt w:val="lowerRoman"/>
      <w:lvlText w:val="%3."/>
      <w:lvlJc w:val="right"/>
      <w:pPr>
        <w:ind w:left="2866" w:hanging="180"/>
      </w:pPr>
    </w:lvl>
    <w:lvl w:ilvl="3" w:tplc="0409000F" w:tentative="1">
      <w:start w:val="1"/>
      <w:numFmt w:val="decimal"/>
      <w:lvlText w:val="%4."/>
      <w:lvlJc w:val="left"/>
      <w:pPr>
        <w:ind w:left="3586" w:hanging="360"/>
      </w:pPr>
    </w:lvl>
    <w:lvl w:ilvl="4" w:tplc="04090019" w:tentative="1">
      <w:start w:val="1"/>
      <w:numFmt w:val="lowerLetter"/>
      <w:lvlText w:val="%5."/>
      <w:lvlJc w:val="left"/>
      <w:pPr>
        <w:ind w:left="4306" w:hanging="360"/>
      </w:pPr>
    </w:lvl>
    <w:lvl w:ilvl="5" w:tplc="0409001B" w:tentative="1">
      <w:start w:val="1"/>
      <w:numFmt w:val="lowerRoman"/>
      <w:lvlText w:val="%6."/>
      <w:lvlJc w:val="right"/>
      <w:pPr>
        <w:ind w:left="5026" w:hanging="180"/>
      </w:pPr>
    </w:lvl>
    <w:lvl w:ilvl="6" w:tplc="0409000F" w:tentative="1">
      <w:start w:val="1"/>
      <w:numFmt w:val="decimal"/>
      <w:lvlText w:val="%7."/>
      <w:lvlJc w:val="left"/>
      <w:pPr>
        <w:ind w:left="5746" w:hanging="360"/>
      </w:pPr>
    </w:lvl>
    <w:lvl w:ilvl="7" w:tplc="04090019" w:tentative="1">
      <w:start w:val="1"/>
      <w:numFmt w:val="lowerLetter"/>
      <w:lvlText w:val="%8."/>
      <w:lvlJc w:val="left"/>
      <w:pPr>
        <w:ind w:left="6466" w:hanging="360"/>
      </w:pPr>
    </w:lvl>
    <w:lvl w:ilvl="8" w:tplc="0409001B" w:tentative="1">
      <w:start w:val="1"/>
      <w:numFmt w:val="lowerRoman"/>
      <w:lvlText w:val="%9."/>
      <w:lvlJc w:val="right"/>
      <w:pPr>
        <w:ind w:left="7186" w:hanging="180"/>
      </w:pPr>
    </w:lvl>
  </w:abstractNum>
  <w:abstractNum w:abstractNumId="35">
    <w:nsid w:val="1E915D71"/>
    <w:multiLevelType w:val="hybridMultilevel"/>
    <w:tmpl w:val="7F5EAA0C"/>
    <w:lvl w:ilvl="0" w:tplc="43E03EB8">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nsid w:val="1F320B9C"/>
    <w:multiLevelType w:val="hybridMultilevel"/>
    <w:tmpl w:val="A802CE7E"/>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22456CA9"/>
    <w:multiLevelType w:val="hybridMultilevel"/>
    <w:tmpl w:val="B5A65776"/>
    <w:lvl w:ilvl="0" w:tplc="0402000F">
      <w:start w:val="1"/>
      <w:numFmt w:val="decimal"/>
      <w:lvlText w:val="%1."/>
      <w:lvlJc w:val="left"/>
      <w:pPr>
        <w:ind w:left="720" w:hanging="360"/>
      </w:pPr>
      <w:rPr>
        <w:rFonts w:hint="default"/>
      </w:rPr>
    </w:lvl>
    <w:lvl w:ilvl="1" w:tplc="0402000D">
      <w:start w:val="1"/>
      <w:numFmt w:val="bullet"/>
      <w:lvlText w:val=""/>
      <w:lvlJc w:val="left"/>
      <w:pPr>
        <w:ind w:left="1440" w:hanging="360"/>
      </w:pPr>
      <w:rPr>
        <w:rFonts w:ascii="Wingdings" w:hAnsi="Wingdings" w:hint="default"/>
      </w:rPr>
    </w:lvl>
    <w:lvl w:ilvl="2" w:tplc="43E03EB8">
      <w:start w:val="1"/>
      <w:numFmt w:val="bullet"/>
      <w:lvlText w:val=""/>
      <w:lvlJc w:val="left"/>
      <w:pPr>
        <w:ind w:left="2160" w:hanging="180"/>
      </w:pPr>
      <w:rPr>
        <w:rFonts w:ascii="Wingdings" w:hAnsi="Wingdings" w:hint="default"/>
        <w:color w:val="5B9BD5" w:themeColor="accent1"/>
        <w:sz w:val="28"/>
        <w:szCs w:val="28"/>
      </w:rPr>
    </w:lvl>
    <w:lvl w:ilvl="3" w:tplc="2E9A178C">
      <w:start w:val="1"/>
      <w:numFmt w:val="lowerRoman"/>
      <w:lvlText w:val="(%4)"/>
      <w:lvlJc w:val="left"/>
      <w:pPr>
        <w:ind w:left="3240" w:hanging="720"/>
      </w:pPr>
      <w:rPr>
        <w:rFonts w:hint="default"/>
      </w:r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nsid w:val="24AB5AB9"/>
    <w:multiLevelType w:val="hybridMultilevel"/>
    <w:tmpl w:val="8098EF1E"/>
    <w:lvl w:ilvl="0" w:tplc="0402000D">
      <w:start w:val="1"/>
      <w:numFmt w:val="bullet"/>
      <w:lvlText w:val=""/>
      <w:lvlJc w:val="left"/>
      <w:pPr>
        <w:ind w:left="1021" w:hanging="360"/>
      </w:pPr>
      <w:rPr>
        <w:rFonts w:ascii="Wingdings" w:hAnsi="Wingdings" w:hint="default"/>
      </w:rPr>
    </w:lvl>
    <w:lvl w:ilvl="1" w:tplc="04020003" w:tentative="1">
      <w:start w:val="1"/>
      <w:numFmt w:val="bullet"/>
      <w:lvlText w:val="o"/>
      <w:lvlJc w:val="left"/>
      <w:pPr>
        <w:ind w:left="1741" w:hanging="360"/>
      </w:pPr>
      <w:rPr>
        <w:rFonts w:ascii="Courier New" w:hAnsi="Courier New" w:cs="Courier New" w:hint="default"/>
      </w:rPr>
    </w:lvl>
    <w:lvl w:ilvl="2" w:tplc="04020005" w:tentative="1">
      <w:start w:val="1"/>
      <w:numFmt w:val="bullet"/>
      <w:lvlText w:val=""/>
      <w:lvlJc w:val="left"/>
      <w:pPr>
        <w:ind w:left="2461" w:hanging="360"/>
      </w:pPr>
      <w:rPr>
        <w:rFonts w:ascii="Wingdings" w:hAnsi="Wingdings" w:hint="default"/>
      </w:rPr>
    </w:lvl>
    <w:lvl w:ilvl="3" w:tplc="04020001" w:tentative="1">
      <w:start w:val="1"/>
      <w:numFmt w:val="bullet"/>
      <w:lvlText w:val=""/>
      <w:lvlJc w:val="left"/>
      <w:pPr>
        <w:ind w:left="3181" w:hanging="360"/>
      </w:pPr>
      <w:rPr>
        <w:rFonts w:ascii="Symbol" w:hAnsi="Symbol" w:hint="default"/>
      </w:rPr>
    </w:lvl>
    <w:lvl w:ilvl="4" w:tplc="04020003" w:tentative="1">
      <w:start w:val="1"/>
      <w:numFmt w:val="bullet"/>
      <w:lvlText w:val="o"/>
      <w:lvlJc w:val="left"/>
      <w:pPr>
        <w:ind w:left="3901" w:hanging="360"/>
      </w:pPr>
      <w:rPr>
        <w:rFonts w:ascii="Courier New" w:hAnsi="Courier New" w:cs="Courier New" w:hint="default"/>
      </w:rPr>
    </w:lvl>
    <w:lvl w:ilvl="5" w:tplc="04020005" w:tentative="1">
      <w:start w:val="1"/>
      <w:numFmt w:val="bullet"/>
      <w:lvlText w:val=""/>
      <w:lvlJc w:val="left"/>
      <w:pPr>
        <w:ind w:left="4621" w:hanging="360"/>
      </w:pPr>
      <w:rPr>
        <w:rFonts w:ascii="Wingdings" w:hAnsi="Wingdings" w:hint="default"/>
      </w:rPr>
    </w:lvl>
    <w:lvl w:ilvl="6" w:tplc="04020001" w:tentative="1">
      <w:start w:val="1"/>
      <w:numFmt w:val="bullet"/>
      <w:lvlText w:val=""/>
      <w:lvlJc w:val="left"/>
      <w:pPr>
        <w:ind w:left="5341" w:hanging="360"/>
      </w:pPr>
      <w:rPr>
        <w:rFonts w:ascii="Symbol" w:hAnsi="Symbol" w:hint="default"/>
      </w:rPr>
    </w:lvl>
    <w:lvl w:ilvl="7" w:tplc="04020003" w:tentative="1">
      <w:start w:val="1"/>
      <w:numFmt w:val="bullet"/>
      <w:lvlText w:val="o"/>
      <w:lvlJc w:val="left"/>
      <w:pPr>
        <w:ind w:left="6061" w:hanging="360"/>
      </w:pPr>
      <w:rPr>
        <w:rFonts w:ascii="Courier New" w:hAnsi="Courier New" w:cs="Courier New" w:hint="default"/>
      </w:rPr>
    </w:lvl>
    <w:lvl w:ilvl="8" w:tplc="04020005" w:tentative="1">
      <w:start w:val="1"/>
      <w:numFmt w:val="bullet"/>
      <w:lvlText w:val=""/>
      <w:lvlJc w:val="left"/>
      <w:pPr>
        <w:ind w:left="6781" w:hanging="360"/>
      </w:pPr>
      <w:rPr>
        <w:rFonts w:ascii="Wingdings" w:hAnsi="Wingdings" w:hint="default"/>
      </w:rPr>
    </w:lvl>
  </w:abstractNum>
  <w:abstractNum w:abstractNumId="39">
    <w:nsid w:val="25741548"/>
    <w:multiLevelType w:val="hybridMultilevel"/>
    <w:tmpl w:val="3CCE0676"/>
    <w:lvl w:ilvl="0" w:tplc="04020005">
      <w:start w:val="1"/>
      <w:numFmt w:val="bullet"/>
      <w:lvlText w:val=""/>
      <w:lvlJc w:val="left"/>
      <w:pPr>
        <w:ind w:left="1425" w:hanging="360"/>
      </w:pPr>
      <w:rPr>
        <w:rFonts w:ascii="Wingdings" w:hAnsi="Wingdings" w:hint="default"/>
      </w:rPr>
    </w:lvl>
    <w:lvl w:ilvl="1" w:tplc="04020003" w:tentative="1">
      <w:start w:val="1"/>
      <w:numFmt w:val="bullet"/>
      <w:lvlText w:val="o"/>
      <w:lvlJc w:val="left"/>
      <w:pPr>
        <w:ind w:left="2145" w:hanging="360"/>
      </w:pPr>
      <w:rPr>
        <w:rFonts w:ascii="Courier New" w:hAnsi="Courier New" w:cs="Courier New" w:hint="default"/>
      </w:rPr>
    </w:lvl>
    <w:lvl w:ilvl="2" w:tplc="04020005" w:tentative="1">
      <w:start w:val="1"/>
      <w:numFmt w:val="bullet"/>
      <w:lvlText w:val=""/>
      <w:lvlJc w:val="left"/>
      <w:pPr>
        <w:ind w:left="2865" w:hanging="360"/>
      </w:pPr>
      <w:rPr>
        <w:rFonts w:ascii="Wingdings" w:hAnsi="Wingdings" w:hint="default"/>
      </w:rPr>
    </w:lvl>
    <w:lvl w:ilvl="3" w:tplc="04020001" w:tentative="1">
      <w:start w:val="1"/>
      <w:numFmt w:val="bullet"/>
      <w:lvlText w:val=""/>
      <w:lvlJc w:val="left"/>
      <w:pPr>
        <w:ind w:left="3585" w:hanging="360"/>
      </w:pPr>
      <w:rPr>
        <w:rFonts w:ascii="Symbol" w:hAnsi="Symbol" w:hint="default"/>
      </w:rPr>
    </w:lvl>
    <w:lvl w:ilvl="4" w:tplc="04020003" w:tentative="1">
      <w:start w:val="1"/>
      <w:numFmt w:val="bullet"/>
      <w:lvlText w:val="o"/>
      <w:lvlJc w:val="left"/>
      <w:pPr>
        <w:ind w:left="4305" w:hanging="360"/>
      </w:pPr>
      <w:rPr>
        <w:rFonts w:ascii="Courier New" w:hAnsi="Courier New" w:cs="Courier New" w:hint="default"/>
      </w:rPr>
    </w:lvl>
    <w:lvl w:ilvl="5" w:tplc="04020005" w:tentative="1">
      <w:start w:val="1"/>
      <w:numFmt w:val="bullet"/>
      <w:lvlText w:val=""/>
      <w:lvlJc w:val="left"/>
      <w:pPr>
        <w:ind w:left="5025" w:hanging="360"/>
      </w:pPr>
      <w:rPr>
        <w:rFonts w:ascii="Wingdings" w:hAnsi="Wingdings" w:hint="default"/>
      </w:rPr>
    </w:lvl>
    <w:lvl w:ilvl="6" w:tplc="04020001" w:tentative="1">
      <w:start w:val="1"/>
      <w:numFmt w:val="bullet"/>
      <w:lvlText w:val=""/>
      <w:lvlJc w:val="left"/>
      <w:pPr>
        <w:ind w:left="5745" w:hanging="360"/>
      </w:pPr>
      <w:rPr>
        <w:rFonts w:ascii="Symbol" w:hAnsi="Symbol" w:hint="default"/>
      </w:rPr>
    </w:lvl>
    <w:lvl w:ilvl="7" w:tplc="04020003" w:tentative="1">
      <w:start w:val="1"/>
      <w:numFmt w:val="bullet"/>
      <w:lvlText w:val="o"/>
      <w:lvlJc w:val="left"/>
      <w:pPr>
        <w:ind w:left="6465" w:hanging="360"/>
      </w:pPr>
      <w:rPr>
        <w:rFonts w:ascii="Courier New" w:hAnsi="Courier New" w:cs="Courier New" w:hint="default"/>
      </w:rPr>
    </w:lvl>
    <w:lvl w:ilvl="8" w:tplc="04020005" w:tentative="1">
      <w:start w:val="1"/>
      <w:numFmt w:val="bullet"/>
      <w:lvlText w:val=""/>
      <w:lvlJc w:val="left"/>
      <w:pPr>
        <w:ind w:left="7185" w:hanging="360"/>
      </w:pPr>
      <w:rPr>
        <w:rFonts w:ascii="Wingdings" w:hAnsi="Wingdings" w:hint="default"/>
      </w:rPr>
    </w:lvl>
  </w:abstractNum>
  <w:abstractNum w:abstractNumId="40">
    <w:nsid w:val="25F61634"/>
    <w:multiLevelType w:val="hybridMultilevel"/>
    <w:tmpl w:val="0346D36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275C201F"/>
    <w:multiLevelType w:val="hybridMultilevel"/>
    <w:tmpl w:val="FB220BB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nsid w:val="27CB581E"/>
    <w:multiLevelType w:val="hybridMultilevel"/>
    <w:tmpl w:val="0FE8B474"/>
    <w:lvl w:ilvl="0" w:tplc="0402000F">
      <w:start w:val="1"/>
      <w:numFmt w:val="decimal"/>
      <w:lvlText w:val="%1."/>
      <w:lvlJc w:val="left"/>
      <w:pPr>
        <w:ind w:left="720" w:hanging="360"/>
      </w:pPr>
      <w:rPr>
        <w:rFonts w:hint="default"/>
      </w:rPr>
    </w:lvl>
    <w:lvl w:ilvl="1" w:tplc="B8E0E80A">
      <w:start w:val="1"/>
      <w:numFmt w:val="decimal"/>
      <w:lvlText w:val="1.%2."/>
      <w:lvlJc w:val="left"/>
      <w:pPr>
        <w:ind w:left="1440" w:hanging="360"/>
      </w:pPr>
      <w:rPr>
        <w:rFonts w:hint="default"/>
      </w:rPr>
    </w:lvl>
    <w:lvl w:ilvl="2" w:tplc="04020017">
      <w:start w:val="1"/>
      <w:numFmt w:val="lowerLetter"/>
      <w:lvlText w:val="%3)"/>
      <w:lvlJc w:val="left"/>
      <w:pPr>
        <w:ind w:left="1031" w:hanging="180"/>
      </w:pPr>
      <w:rPr>
        <w:rFonts w:hint="default"/>
        <w:color w:val="5B9BD5" w:themeColor="accent1"/>
        <w:sz w:val="28"/>
        <w:szCs w:val="28"/>
      </w:rPr>
    </w:lvl>
    <w:lvl w:ilvl="3" w:tplc="2E9A178C">
      <w:start w:val="1"/>
      <w:numFmt w:val="lowerRoman"/>
      <w:lvlText w:val="(%4)"/>
      <w:lvlJc w:val="left"/>
      <w:pPr>
        <w:ind w:left="3240" w:hanging="720"/>
      </w:pPr>
      <w:rPr>
        <w:rFonts w:hint="default"/>
      </w:r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3">
    <w:nsid w:val="292C2F22"/>
    <w:multiLevelType w:val="hybridMultilevel"/>
    <w:tmpl w:val="C8A4BB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2A0C3C6A"/>
    <w:multiLevelType w:val="hybridMultilevel"/>
    <w:tmpl w:val="016CE2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B3A0A74"/>
    <w:multiLevelType w:val="hybridMultilevel"/>
    <w:tmpl w:val="6C8EF282"/>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nsid w:val="2CE62ECD"/>
    <w:multiLevelType w:val="hybridMultilevel"/>
    <w:tmpl w:val="4E7A042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2D084B30"/>
    <w:multiLevelType w:val="hybridMultilevel"/>
    <w:tmpl w:val="7F6244BE"/>
    <w:lvl w:ilvl="0" w:tplc="78246C92">
      <w:start w:val="1"/>
      <w:numFmt w:val="bullet"/>
      <w:lvlText w:val=""/>
      <w:lvlPicBulletId w:val="0"/>
      <w:lvlJc w:val="left"/>
      <w:pPr>
        <w:tabs>
          <w:tab w:val="num" w:pos="720"/>
        </w:tabs>
        <w:ind w:left="720" w:hanging="360"/>
      </w:pPr>
      <w:rPr>
        <w:rFonts w:ascii="Symbol" w:hAnsi="Symbol" w:hint="default"/>
      </w:rPr>
    </w:lvl>
    <w:lvl w:ilvl="1" w:tplc="0402000D">
      <w:start w:val="1"/>
      <w:numFmt w:val="bullet"/>
      <w:lvlText w:val=""/>
      <w:lvlJc w:val="left"/>
      <w:pPr>
        <w:tabs>
          <w:tab w:val="num" w:pos="1440"/>
        </w:tabs>
        <w:ind w:left="1440" w:hanging="360"/>
      </w:pPr>
      <w:rPr>
        <w:rFonts w:ascii="Wingdings" w:hAnsi="Wingdings" w:hint="default"/>
      </w:rPr>
    </w:lvl>
    <w:lvl w:ilvl="2" w:tplc="FFDC5910" w:tentative="1">
      <w:start w:val="1"/>
      <w:numFmt w:val="bullet"/>
      <w:lvlText w:val=""/>
      <w:lvlPicBulletId w:val="0"/>
      <w:lvlJc w:val="left"/>
      <w:pPr>
        <w:tabs>
          <w:tab w:val="num" w:pos="2160"/>
        </w:tabs>
        <w:ind w:left="2160" w:hanging="360"/>
      </w:pPr>
      <w:rPr>
        <w:rFonts w:ascii="Symbol" w:hAnsi="Symbol" w:hint="default"/>
      </w:rPr>
    </w:lvl>
    <w:lvl w:ilvl="3" w:tplc="2DB2747C" w:tentative="1">
      <w:start w:val="1"/>
      <w:numFmt w:val="bullet"/>
      <w:lvlText w:val=""/>
      <w:lvlPicBulletId w:val="0"/>
      <w:lvlJc w:val="left"/>
      <w:pPr>
        <w:tabs>
          <w:tab w:val="num" w:pos="2880"/>
        </w:tabs>
        <w:ind w:left="2880" w:hanging="360"/>
      </w:pPr>
      <w:rPr>
        <w:rFonts w:ascii="Symbol" w:hAnsi="Symbol" w:hint="default"/>
      </w:rPr>
    </w:lvl>
    <w:lvl w:ilvl="4" w:tplc="2FD8E56E" w:tentative="1">
      <w:start w:val="1"/>
      <w:numFmt w:val="bullet"/>
      <w:lvlText w:val=""/>
      <w:lvlPicBulletId w:val="0"/>
      <w:lvlJc w:val="left"/>
      <w:pPr>
        <w:tabs>
          <w:tab w:val="num" w:pos="3600"/>
        </w:tabs>
        <w:ind w:left="3600" w:hanging="360"/>
      </w:pPr>
      <w:rPr>
        <w:rFonts w:ascii="Symbol" w:hAnsi="Symbol" w:hint="default"/>
      </w:rPr>
    </w:lvl>
    <w:lvl w:ilvl="5" w:tplc="699E6AB2" w:tentative="1">
      <w:start w:val="1"/>
      <w:numFmt w:val="bullet"/>
      <w:lvlText w:val=""/>
      <w:lvlPicBulletId w:val="0"/>
      <w:lvlJc w:val="left"/>
      <w:pPr>
        <w:tabs>
          <w:tab w:val="num" w:pos="4320"/>
        </w:tabs>
        <w:ind w:left="4320" w:hanging="360"/>
      </w:pPr>
      <w:rPr>
        <w:rFonts w:ascii="Symbol" w:hAnsi="Symbol" w:hint="default"/>
      </w:rPr>
    </w:lvl>
    <w:lvl w:ilvl="6" w:tplc="A4F6EB40" w:tentative="1">
      <w:start w:val="1"/>
      <w:numFmt w:val="bullet"/>
      <w:lvlText w:val=""/>
      <w:lvlPicBulletId w:val="0"/>
      <w:lvlJc w:val="left"/>
      <w:pPr>
        <w:tabs>
          <w:tab w:val="num" w:pos="5040"/>
        </w:tabs>
        <w:ind w:left="5040" w:hanging="360"/>
      </w:pPr>
      <w:rPr>
        <w:rFonts w:ascii="Symbol" w:hAnsi="Symbol" w:hint="default"/>
      </w:rPr>
    </w:lvl>
    <w:lvl w:ilvl="7" w:tplc="75F6CBD2" w:tentative="1">
      <w:start w:val="1"/>
      <w:numFmt w:val="bullet"/>
      <w:lvlText w:val=""/>
      <w:lvlPicBulletId w:val="0"/>
      <w:lvlJc w:val="left"/>
      <w:pPr>
        <w:tabs>
          <w:tab w:val="num" w:pos="5760"/>
        </w:tabs>
        <w:ind w:left="5760" w:hanging="360"/>
      </w:pPr>
      <w:rPr>
        <w:rFonts w:ascii="Symbol" w:hAnsi="Symbol" w:hint="default"/>
      </w:rPr>
    </w:lvl>
    <w:lvl w:ilvl="8" w:tplc="C6CAB070" w:tentative="1">
      <w:start w:val="1"/>
      <w:numFmt w:val="bullet"/>
      <w:lvlText w:val=""/>
      <w:lvlPicBulletId w:val="0"/>
      <w:lvlJc w:val="left"/>
      <w:pPr>
        <w:tabs>
          <w:tab w:val="num" w:pos="6480"/>
        </w:tabs>
        <w:ind w:left="6480" w:hanging="360"/>
      </w:pPr>
      <w:rPr>
        <w:rFonts w:ascii="Symbol" w:hAnsi="Symbol" w:hint="default"/>
      </w:rPr>
    </w:lvl>
  </w:abstractNum>
  <w:abstractNum w:abstractNumId="48">
    <w:nsid w:val="2D8E59D6"/>
    <w:multiLevelType w:val="hybridMultilevel"/>
    <w:tmpl w:val="6F50D46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2E6D4CAE"/>
    <w:multiLevelType w:val="hybridMultilevel"/>
    <w:tmpl w:val="C0B69F4A"/>
    <w:lvl w:ilvl="0" w:tplc="04020017">
      <w:start w:val="1"/>
      <w:numFmt w:val="lowerLetter"/>
      <w:lvlText w:val="%1)"/>
      <w:lvlJc w:val="left"/>
      <w:pPr>
        <w:ind w:left="1211" w:hanging="360"/>
      </w:p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50">
    <w:nsid w:val="2F1E612E"/>
    <w:multiLevelType w:val="hybridMultilevel"/>
    <w:tmpl w:val="BB02D04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nsid w:val="2F661BD5"/>
    <w:multiLevelType w:val="hybridMultilevel"/>
    <w:tmpl w:val="D13C72B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nsid w:val="2FBF77F7"/>
    <w:multiLevelType w:val="hybridMultilevel"/>
    <w:tmpl w:val="64EE86F8"/>
    <w:lvl w:ilvl="0" w:tplc="0402000D">
      <w:start w:val="1"/>
      <w:numFmt w:val="bullet"/>
      <w:lvlText w:val=""/>
      <w:lvlJc w:val="left"/>
      <w:pPr>
        <w:ind w:left="720" w:hanging="360"/>
      </w:pPr>
      <w:rPr>
        <w:rFonts w:ascii="Wingdings" w:hAnsi="Wingdings" w:hint="default"/>
      </w:rPr>
    </w:lvl>
    <w:lvl w:ilvl="1" w:tplc="69649B88">
      <w:start w:val="1"/>
      <w:numFmt w:val="bullet"/>
      <w:lvlText w:val="·"/>
      <w:lvlJc w:val="left"/>
      <w:pPr>
        <w:ind w:left="1440" w:hanging="360"/>
      </w:pPr>
      <w:rPr>
        <w:rFonts w:ascii="Calibri" w:eastAsiaTheme="minorHAnsi" w:hAnsi="Calibri" w:cs="Calibri"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nsid w:val="30821B98"/>
    <w:multiLevelType w:val="hybridMultilevel"/>
    <w:tmpl w:val="8E0ABF04"/>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nsid w:val="308B78D6"/>
    <w:multiLevelType w:val="hybridMultilevel"/>
    <w:tmpl w:val="EB388962"/>
    <w:lvl w:ilvl="0" w:tplc="0402000D">
      <w:start w:val="1"/>
      <w:numFmt w:val="bullet"/>
      <w:lvlText w:val=""/>
      <w:lvlJc w:val="left"/>
      <w:pPr>
        <w:ind w:left="1426" w:hanging="360"/>
      </w:pPr>
      <w:rPr>
        <w:rFonts w:ascii="Wingdings" w:hAnsi="Wingdings"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55">
    <w:nsid w:val="31653576"/>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nsid w:val="3240103D"/>
    <w:multiLevelType w:val="hybridMultilevel"/>
    <w:tmpl w:val="1410088A"/>
    <w:lvl w:ilvl="0" w:tplc="162274B6">
      <w:start w:val="1"/>
      <w:numFmt w:val="decimal"/>
      <w:lvlText w:val="%1)"/>
      <w:lvlJc w:val="left"/>
      <w:pPr>
        <w:ind w:left="720" w:hanging="360"/>
      </w:pPr>
      <w:rPr>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7">
    <w:nsid w:val="324D61AB"/>
    <w:multiLevelType w:val="hybridMultilevel"/>
    <w:tmpl w:val="73948004"/>
    <w:lvl w:ilvl="0" w:tplc="04020005">
      <w:start w:val="1"/>
      <w:numFmt w:val="bullet"/>
      <w:lvlText w:val=""/>
      <w:lvlJc w:val="left"/>
      <w:pPr>
        <w:ind w:left="720" w:hanging="360"/>
      </w:pPr>
      <w:rPr>
        <w:rFonts w:ascii="Wingdings" w:hAnsi="Wingdings" w:hint="default"/>
      </w:rPr>
    </w:lvl>
    <w:lvl w:ilvl="1" w:tplc="04020005">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nsid w:val="32D008CA"/>
    <w:multiLevelType w:val="hybridMultilevel"/>
    <w:tmpl w:val="C3F4D97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33C84552"/>
    <w:multiLevelType w:val="hybridMultilevel"/>
    <w:tmpl w:val="D6865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3E510BB"/>
    <w:multiLevelType w:val="hybridMultilevel"/>
    <w:tmpl w:val="F12CE98C"/>
    <w:lvl w:ilvl="0" w:tplc="61BA8920">
      <w:numFmt w:val="bullet"/>
      <w:lvlText w:val="-"/>
      <w:lvlJc w:val="left"/>
      <w:pPr>
        <w:ind w:left="360" w:hanging="360"/>
      </w:pPr>
      <w:rPr>
        <w:rFonts w:ascii="Calibri" w:eastAsiaTheme="minorHAnsi" w:hAnsi="Calibri" w:cs="Calibri" w:hint="default"/>
      </w:rPr>
    </w:lvl>
    <w:lvl w:ilvl="1" w:tplc="04020005">
      <w:start w:val="1"/>
      <w:numFmt w:val="bullet"/>
      <w:lvlText w:val=""/>
      <w:lvlJc w:val="left"/>
      <w:pPr>
        <w:ind w:left="1080" w:hanging="360"/>
      </w:pPr>
      <w:rPr>
        <w:rFonts w:ascii="Wingdings" w:hAnsi="Wingdings"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nsid w:val="34137F40"/>
    <w:multiLevelType w:val="hybridMultilevel"/>
    <w:tmpl w:val="3C4CC192"/>
    <w:lvl w:ilvl="0" w:tplc="0402000D">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355B24E3"/>
    <w:multiLevelType w:val="hybridMultilevel"/>
    <w:tmpl w:val="C6AEA94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374C2C8C"/>
    <w:multiLevelType w:val="hybridMultilevel"/>
    <w:tmpl w:val="4072CD34"/>
    <w:lvl w:ilvl="0" w:tplc="B18A96A2">
      <w:start w:val="1"/>
      <w:numFmt w:val="decimal"/>
      <w:lvlText w:val="%1."/>
      <w:lvlJc w:val="left"/>
      <w:pPr>
        <w:tabs>
          <w:tab w:val="num" w:pos="750"/>
        </w:tabs>
        <w:ind w:left="750" w:hanging="39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64">
    <w:nsid w:val="382344A9"/>
    <w:multiLevelType w:val="hybridMultilevel"/>
    <w:tmpl w:val="9F16A0B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38A5553F"/>
    <w:multiLevelType w:val="multilevel"/>
    <w:tmpl w:val="3F028F58"/>
    <w:lvl w:ilvl="0">
      <w:start w:val="1"/>
      <w:numFmt w:val="bullet"/>
      <w:lvlText w:val=""/>
      <w:lvlJc w:val="left"/>
      <w:pPr>
        <w:tabs>
          <w:tab w:val="num" w:pos="720"/>
        </w:tabs>
        <w:ind w:left="720" w:hanging="360"/>
      </w:pPr>
      <w:rPr>
        <w:rFonts w:ascii="Symbol" w:hAnsi="Symbol" w:hint="default"/>
        <w:sz w:val="20"/>
      </w:rPr>
    </w:lvl>
    <w:lvl w:ilvl="1">
      <w:start w:val="4"/>
      <w:numFmt w:val="bullet"/>
      <w:lvlText w:val="-"/>
      <w:lvlJc w:val="left"/>
      <w:pPr>
        <w:ind w:left="1440" w:hanging="360"/>
      </w:pPr>
      <w:rPr>
        <w:rFonts w:ascii="Times New Roman" w:eastAsia="Times New Roman" w:hAnsi="Times New Roman" w:cs="Times New Roman" w:hint="default"/>
      </w:rPr>
    </w:lvl>
    <w:lvl w:ilvl="2">
      <w:start w:val="1"/>
      <w:numFmt w:val="bullet"/>
      <w:lvlText w:val=""/>
      <w:lvlJc w:val="left"/>
      <w:pPr>
        <w:tabs>
          <w:tab w:val="num" w:pos="502"/>
        </w:tabs>
        <w:ind w:left="502"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3AA50A79"/>
    <w:multiLevelType w:val="hybridMultilevel"/>
    <w:tmpl w:val="013EFB28"/>
    <w:lvl w:ilvl="0" w:tplc="04090019">
      <w:start w:val="1"/>
      <w:numFmt w:val="lowerLetter"/>
      <w:lvlText w:val="%1."/>
      <w:lvlJc w:val="left"/>
      <w:pPr>
        <w:ind w:left="1426" w:hanging="360"/>
      </w:pPr>
    </w:lvl>
    <w:lvl w:ilvl="1" w:tplc="04090019" w:tentative="1">
      <w:start w:val="1"/>
      <w:numFmt w:val="lowerLetter"/>
      <w:lvlText w:val="%2."/>
      <w:lvlJc w:val="left"/>
      <w:pPr>
        <w:ind w:left="2146" w:hanging="360"/>
      </w:pPr>
    </w:lvl>
    <w:lvl w:ilvl="2" w:tplc="0409001B" w:tentative="1">
      <w:start w:val="1"/>
      <w:numFmt w:val="lowerRoman"/>
      <w:lvlText w:val="%3."/>
      <w:lvlJc w:val="right"/>
      <w:pPr>
        <w:ind w:left="2866" w:hanging="180"/>
      </w:pPr>
    </w:lvl>
    <w:lvl w:ilvl="3" w:tplc="0409000F" w:tentative="1">
      <w:start w:val="1"/>
      <w:numFmt w:val="decimal"/>
      <w:lvlText w:val="%4."/>
      <w:lvlJc w:val="left"/>
      <w:pPr>
        <w:ind w:left="3586" w:hanging="360"/>
      </w:pPr>
    </w:lvl>
    <w:lvl w:ilvl="4" w:tplc="04090019" w:tentative="1">
      <w:start w:val="1"/>
      <w:numFmt w:val="lowerLetter"/>
      <w:lvlText w:val="%5."/>
      <w:lvlJc w:val="left"/>
      <w:pPr>
        <w:ind w:left="4306" w:hanging="360"/>
      </w:pPr>
    </w:lvl>
    <w:lvl w:ilvl="5" w:tplc="0409001B" w:tentative="1">
      <w:start w:val="1"/>
      <w:numFmt w:val="lowerRoman"/>
      <w:lvlText w:val="%6."/>
      <w:lvlJc w:val="right"/>
      <w:pPr>
        <w:ind w:left="5026" w:hanging="180"/>
      </w:pPr>
    </w:lvl>
    <w:lvl w:ilvl="6" w:tplc="0409000F" w:tentative="1">
      <w:start w:val="1"/>
      <w:numFmt w:val="decimal"/>
      <w:lvlText w:val="%7."/>
      <w:lvlJc w:val="left"/>
      <w:pPr>
        <w:ind w:left="5746" w:hanging="360"/>
      </w:pPr>
    </w:lvl>
    <w:lvl w:ilvl="7" w:tplc="04090019" w:tentative="1">
      <w:start w:val="1"/>
      <w:numFmt w:val="lowerLetter"/>
      <w:lvlText w:val="%8."/>
      <w:lvlJc w:val="left"/>
      <w:pPr>
        <w:ind w:left="6466" w:hanging="360"/>
      </w:pPr>
    </w:lvl>
    <w:lvl w:ilvl="8" w:tplc="0409001B" w:tentative="1">
      <w:start w:val="1"/>
      <w:numFmt w:val="lowerRoman"/>
      <w:lvlText w:val="%9."/>
      <w:lvlJc w:val="right"/>
      <w:pPr>
        <w:ind w:left="7186" w:hanging="180"/>
      </w:pPr>
    </w:lvl>
  </w:abstractNum>
  <w:abstractNum w:abstractNumId="67">
    <w:nsid w:val="3B9A40C8"/>
    <w:multiLevelType w:val="hybridMultilevel"/>
    <w:tmpl w:val="E85CC72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3BE90D21"/>
    <w:multiLevelType w:val="multilevel"/>
    <w:tmpl w:val="D054A78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3C6F2B3B"/>
    <w:multiLevelType w:val="hybridMultilevel"/>
    <w:tmpl w:val="8408A554"/>
    <w:lvl w:ilvl="0" w:tplc="0402000D">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0">
    <w:nsid w:val="3CA82D8C"/>
    <w:multiLevelType w:val="hybridMultilevel"/>
    <w:tmpl w:val="2FF669B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nsid w:val="3DDD18E8"/>
    <w:multiLevelType w:val="hybridMultilevel"/>
    <w:tmpl w:val="6750DC36"/>
    <w:lvl w:ilvl="0" w:tplc="0402000D">
      <w:start w:val="1"/>
      <w:numFmt w:val="bullet"/>
      <w:lvlText w:val=""/>
      <w:lvlJc w:val="left"/>
      <w:pPr>
        <w:ind w:left="720" w:hanging="360"/>
      </w:pPr>
      <w:rPr>
        <w:rFonts w:ascii="Wingdings" w:hAnsi="Wingdings" w:hint="default"/>
      </w:rPr>
    </w:lvl>
    <w:lvl w:ilvl="1" w:tplc="04020005">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2">
    <w:nsid w:val="3EB14121"/>
    <w:multiLevelType w:val="hybridMultilevel"/>
    <w:tmpl w:val="C41AD5C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3">
    <w:nsid w:val="3EBF776D"/>
    <w:multiLevelType w:val="hybridMultilevel"/>
    <w:tmpl w:val="7D384230"/>
    <w:lvl w:ilvl="0" w:tplc="43E03EB8">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4">
    <w:nsid w:val="3F3F0E52"/>
    <w:multiLevelType w:val="hybridMultilevel"/>
    <w:tmpl w:val="1CEAC640"/>
    <w:lvl w:ilvl="0" w:tplc="0402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3FD043DC"/>
    <w:multiLevelType w:val="hybridMultilevel"/>
    <w:tmpl w:val="24B8F682"/>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41D66F8F"/>
    <w:multiLevelType w:val="hybridMultilevel"/>
    <w:tmpl w:val="12D27D34"/>
    <w:lvl w:ilvl="0" w:tplc="0402000D">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7">
    <w:nsid w:val="42847B17"/>
    <w:multiLevelType w:val="hybridMultilevel"/>
    <w:tmpl w:val="CE2E4CF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8">
    <w:nsid w:val="42B30CDD"/>
    <w:multiLevelType w:val="hybridMultilevel"/>
    <w:tmpl w:val="3046629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9">
    <w:nsid w:val="42F1528C"/>
    <w:multiLevelType w:val="hybridMultilevel"/>
    <w:tmpl w:val="F606CD0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0">
    <w:nsid w:val="441927E8"/>
    <w:multiLevelType w:val="hybridMultilevel"/>
    <w:tmpl w:val="3B744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449303E6"/>
    <w:multiLevelType w:val="hybridMultilevel"/>
    <w:tmpl w:val="9F52B38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2">
    <w:nsid w:val="449B3991"/>
    <w:multiLevelType w:val="hybridMultilevel"/>
    <w:tmpl w:val="7B14498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3">
    <w:nsid w:val="44BE622B"/>
    <w:multiLevelType w:val="multilevel"/>
    <w:tmpl w:val="0B6A2824"/>
    <w:lvl w:ilvl="0">
      <w:start w:val="1"/>
      <w:numFmt w:val="decimal"/>
      <w:lvlText w:val="%1."/>
      <w:lvlJc w:val="left"/>
      <w:pPr>
        <w:tabs>
          <w:tab w:val="num" w:pos="720"/>
        </w:tabs>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4">
    <w:nsid w:val="485B072F"/>
    <w:multiLevelType w:val="hybridMultilevel"/>
    <w:tmpl w:val="A52C30A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5">
    <w:nsid w:val="48827977"/>
    <w:multiLevelType w:val="hybridMultilevel"/>
    <w:tmpl w:val="1D9C435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6">
    <w:nsid w:val="49766C1D"/>
    <w:multiLevelType w:val="hybridMultilevel"/>
    <w:tmpl w:val="AA864C5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7">
    <w:nsid w:val="49B02C2E"/>
    <w:multiLevelType w:val="hybridMultilevel"/>
    <w:tmpl w:val="21CE3682"/>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88">
    <w:nsid w:val="4A032983"/>
    <w:multiLevelType w:val="hybridMultilevel"/>
    <w:tmpl w:val="6310B5C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9">
    <w:nsid w:val="4A560998"/>
    <w:multiLevelType w:val="hybridMultilevel"/>
    <w:tmpl w:val="697C37BC"/>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0">
    <w:nsid w:val="4C4D6CB0"/>
    <w:multiLevelType w:val="hybridMultilevel"/>
    <w:tmpl w:val="CFFECE50"/>
    <w:lvl w:ilvl="0" w:tplc="0402000D">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nsid w:val="4F92660A"/>
    <w:multiLevelType w:val="hybridMultilevel"/>
    <w:tmpl w:val="942E414A"/>
    <w:lvl w:ilvl="0" w:tplc="04020011">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92">
    <w:nsid w:val="4FFD524D"/>
    <w:multiLevelType w:val="hybridMultilevel"/>
    <w:tmpl w:val="56B034E4"/>
    <w:lvl w:ilvl="0" w:tplc="014ADBF2">
      <w:start w:val="1"/>
      <w:numFmt w:val="decimal"/>
      <w:lvlText w:val="%1."/>
      <w:lvlJc w:val="right"/>
      <w:pPr>
        <w:ind w:left="1440" w:hanging="360"/>
      </w:pPr>
      <w:rPr>
        <w:rFonts w:hint="default"/>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93">
    <w:nsid w:val="50BB560B"/>
    <w:multiLevelType w:val="hybridMultilevel"/>
    <w:tmpl w:val="47D29AE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4">
    <w:nsid w:val="50EE01B8"/>
    <w:multiLevelType w:val="hybridMultilevel"/>
    <w:tmpl w:val="E2BCD7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51AF6C80"/>
    <w:multiLevelType w:val="hybridMultilevel"/>
    <w:tmpl w:val="5AC8010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6">
    <w:nsid w:val="51B30D0A"/>
    <w:multiLevelType w:val="hybridMultilevel"/>
    <w:tmpl w:val="EBE0AA2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7">
    <w:nsid w:val="51E21EEF"/>
    <w:multiLevelType w:val="hybridMultilevel"/>
    <w:tmpl w:val="9B0699D6"/>
    <w:lvl w:ilvl="0" w:tplc="0402000D">
      <w:start w:val="1"/>
      <w:numFmt w:val="bullet"/>
      <w:lvlText w:val=""/>
      <w:lvlJc w:val="left"/>
      <w:pPr>
        <w:ind w:left="764" w:hanging="360"/>
      </w:pPr>
      <w:rPr>
        <w:rFonts w:ascii="Wingdings" w:hAnsi="Wingdings" w:hint="default"/>
      </w:rPr>
    </w:lvl>
    <w:lvl w:ilvl="1" w:tplc="04020003">
      <w:start w:val="1"/>
      <w:numFmt w:val="bullet"/>
      <w:lvlText w:val="o"/>
      <w:lvlJc w:val="left"/>
      <w:pPr>
        <w:ind w:left="1484" w:hanging="360"/>
      </w:pPr>
      <w:rPr>
        <w:rFonts w:ascii="Courier New" w:hAnsi="Courier New" w:cs="Courier New" w:hint="default"/>
      </w:rPr>
    </w:lvl>
    <w:lvl w:ilvl="2" w:tplc="04020005">
      <w:start w:val="1"/>
      <w:numFmt w:val="bullet"/>
      <w:lvlText w:val=""/>
      <w:lvlJc w:val="left"/>
      <w:pPr>
        <w:ind w:left="2204" w:hanging="360"/>
      </w:pPr>
      <w:rPr>
        <w:rFonts w:ascii="Wingdings" w:hAnsi="Wingdings" w:hint="default"/>
      </w:rPr>
    </w:lvl>
    <w:lvl w:ilvl="3" w:tplc="2E0CEE8A">
      <w:start w:val="1"/>
      <w:numFmt w:val="bullet"/>
      <w:lvlText w:val=""/>
      <w:lvlJc w:val="left"/>
      <w:pPr>
        <w:ind w:left="2924" w:hanging="360"/>
      </w:pPr>
      <w:rPr>
        <w:rFonts w:ascii="Wingdings" w:hAnsi="Wingdings" w:hint="default"/>
        <w:color w:val="auto"/>
        <w:sz w:val="28"/>
        <w:szCs w:val="28"/>
      </w:rPr>
    </w:lvl>
    <w:lvl w:ilvl="4" w:tplc="04020003" w:tentative="1">
      <w:start w:val="1"/>
      <w:numFmt w:val="bullet"/>
      <w:lvlText w:val="o"/>
      <w:lvlJc w:val="left"/>
      <w:pPr>
        <w:ind w:left="3644" w:hanging="360"/>
      </w:pPr>
      <w:rPr>
        <w:rFonts w:ascii="Courier New" w:hAnsi="Courier New" w:cs="Courier New" w:hint="default"/>
      </w:rPr>
    </w:lvl>
    <w:lvl w:ilvl="5" w:tplc="04020005" w:tentative="1">
      <w:start w:val="1"/>
      <w:numFmt w:val="bullet"/>
      <w:lvlText w:val=""/>
      <w:lvlJc w:val="left"/>
      <w:pPr>
        <w:ind w:left="4364" w:hanging="360"/>
      </w:pPr>
      <w:rPr>
        <w:rFonts w:ascii="Wingdings" w:hAnsi="Wingdings" w:hint="default"/>
      </w:rPr>
    </w:lvl>
    <w:lvl w:ilvl="6" w:tplc="04020001" w:tentative="1">
      <w:start w:val="1"/>
      <w:numFmt w:val="bullet"/>
      <w:lvlText w:val=""/>
      <w:lvlJc w:val="left"/>
      <w:pPr>
        <w:ind w:left="5084" w:hanging="360"/>
      </w:pPr>
      <w:rPr>
        <w:rFonts w:ascii="Symbol" w:hAnsi="Symbol" w:hint="default"/>
      </w:rPr>
    </w:lvl>
    <w:lvl w:ilvl="7" w:tplc="04020003" w:tentative="1">
      <w:start w:val="1"/>
      <w:numFmt w:val="bullet"/>
      <w:lvlText w:val="o"/>
      <w:lvlJc w:val="left"/>
      <w:pPr>
        <w:ind w:left="5804" w:hanging="360"/>
      </w:pPr>
      <w:rPr>
        <w:rFonts w:ascii="Courier New" w:hAnsi="Courier New" w:cs="Courier New" w:hint="default"/>
      </w:rPr>
    </w:lvl>
    <w:lvl w:ilvl="8" w:tplc="04020005" w:tentative="1">
      <w:start w:val="1"/>
      <w:numFmt w:val="bullet"/>
      <w:lvlText w:val=""/>
      <w:lvlJc w:val="left"/>
      <w:pPr>
        <w:ind w:left="6524" w:hanging="360"/>
      </w:pPr>
      <w:rPr>
        <w:rFonts w:ascii="Wingdings" w:hAnsi="Wingdings" w:hint="default"/>
      </w:rPr>
    </w:lvl>
  </w:abstractNum>
  <w:abstractNum w:abstractNumId="98">
    <w:nsid w:val="52083AA2"/>
    <w:multiLevelType w:val="hybridMultilevel"/>
    <w:tmpl w:val="155A7E3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9">
    <w:nsid w:val="52304D70"/>
    <w:multiLevelType w:val="hybridMultilevel"/>
    <w:tmpl w:val="2B0233B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0">
    <w:nsid w:val="54520939"/>
    <w:multiLevelType w:val="hybridMultilevel"/>
    <w:tmpl w:val="0060D43C"/>
    <w:lvl w:ilvl="0" w:tplc="04020017">
      <w:start w:val="1"/>
      <w:numFmt w:val="lowerLetter"/>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1">
    <w:nsid w:val="552705A0"/>
    <w:multiLevelType w:val="hybridMultilevel"/>
    <w:tmpl w:val="E06E6A14"/>
    <w:lvl w:ilvl="0" w:tplc="0402000D">
      <w:start w:val="1"/>
      <w:numFmt w:val="bullet"/>
      <w:lvlText w:val=""/>
      <w:lvlJc w:val="left"/>
      <w:pPr>
        <w:ind w:left="884" w:hanging="360"/>
      </w:pPr>
      <w:rPr>
        <w:rFonts w:ascii="Wingdings" w:hAnsi="Wingdings" w:hint="default"/>
      </w:rPr>
    </w:lvl>
    <w:lvl w:ilvl="1" w:tplc="04020003" w:tentative="1">
      <w:start w:val="1"/>
      <w:numFmt w:val="bullet"/>
      <w:lvlText w:val="o"/>
      <w:lvlJc w:val="left"/>
      <w:pPr>
        <w:ind w:left="1604" w:hanging="360"/>
      </w:pPr>
      <w:rPr>
        <w:rFonts w:ascii="Courier New" w:hAnsi="Courier New" w:cs="Courier New" w:hint="default"/>
      </w:rPr>
    </w:lvl>
    <w:lvl w:ilvl="2" w:tplc="04020005" w:tentative="1">
      <w:start w:val="1"/>
      <w:numFmt w:val="bullet"/>
      <w:lvlText w:val=""/>
      <w:lvlJc w:val="left"/>
      <w:pPr>
        <w:ind w:left="2324" w:hanging="360"/>
      </w:pPr>
      <w:rPr>
        <w:rFonts w:ascii="Wingdings" w:hAnsi="Wingdings" w:hint="default"/>
      </w:rPr>
    </w:lvl>
    <w:lvl w:ilvl="3" w:tplc="04020001" w:tentative="1">
      <w:start w:val="1"/>
      <w:numFmt w:val="bullet"/>
      <w:lvlText w:val=""/>
      <w:lvlJc w:val="left"/>
      <w:pPr>
        <w:ind w:left="3044" w:hanging="360"/>
      </w:pPr>
      <w:rPr>
        <w:rFonts w:ascii="Symbol" w:hAnsi="Symbol" w:hint="default"/>
      </w:rPr>
    </w:lvl>
    <w:lvl w:ilvl="4" w:tplc="04020003" w:tentative="1">
      <w:start w:val="1"/>
      <w:numFmt w:val="bullet"/>
      <w:lvlText w:val="o"/>
      <w:lvlJc w:val="left"/>
      <w:pPr>
        <w:ind w:left="3764" w:hanging="360"/>
      </w:pPr>
      <w:rPr>
        <w:rFonts w:ascii="Courier New" w:hAnsi="Courier New" w:cs="Courier New" w:hint="default"/>
      </w:rPr>
    </w:lvl>
    <w:lvl w:ilvl="5" w:tplc="04020005" w:tentative="1">
      <w:start w:val="1"/>
      <w:numFmt w:val="bullet"/>
      <w:lvlText w:val=""/>
      <w:lvlJc w:val="left"/>
      <w:pPr>
        <w:ind w:left="4484" w:hanging="360"/>
      </w:pPr>
      <w:rPr>
        <w:rFonts w:ascii="Wingdings" w:hAnsi="Wingdings" w:hint="default"/>
      </w:rPr>
    </w:lvl>
    <w:lvl w:ilvl="6" w:tplc="04020001" w:tentative="1">
      <w:start w:val="1"/>
      <w:numFmt w:val="bullet"/>
      <w:lvlText w:val=""/>
      <w:lvlJc w:val="left"/>
      <w:pPr>
        <w:ind w:left="5204" w:hanging="360"/>
      </w:pPr>
      <w:rPr>
        <w:rFonts w:ascii="Symbol" w:hAnsi="Symbol" w:hint="default"/>
      </w:rPr>
    </w:lvl>
    <w:lvl w:ilvl="7" w:tplc="04020003" w:tentative="1">
      <w:start w:val="1"/>
      <w:numFmt w:val="bullet"/>
      <w:lvlText w:val="o"/>
      <w:lvlJc w:val="left"/>
      <w:pPr>
        <w:ind w:left="5924" w:hanging="360"/>
      </w:pPr>
      <w:rPr>
        <w:rFonts w:ascii="Courier New" w:hAnsi="Courier New" w:cs="Courier New" w:hint="default"/>
      </w:rPr>
    </w:lvl>
    <w:lvl w:ilvl="8" w:tplc="04020005" w:tentative="1">
      <w:start w:val="1"/>
      <w:numFmt w:val="bullet"/>
      <w:lvlText w:val=""/>
      <w:lvlJc w:val="left"/>
      <w:pPr>
        <w:ind w:left="6644" w:hanging="360"/>
      </w:pPr>
      <w:rPr>
        <w:rFonts w:ascii="Wingdings" w:hAnsi="Wingdings" w:hint="default"/>
      </w:rPr>
    </w:lvl>
  </w:abstractNum>
  <w:abstractNum w:abstractNumId="102">
    <w:nsid w:val="5655479A"/>
    <w:multiLevelType w:val="hybridMultilevel"/>
    <w:tmpl w:val="60DAEA26"/>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3">
    <w:nsid w:val="569567DF"/>
    <w:multiLevelType w:val="hybridMultilevel"/>
    <w:tmpl w:val="B100F810"/>
    <w:lvl w:ilvl="0" w:tplc="04020011">
      <w:start w:val="1"/>
      <w:numFmt w:val="decimal"/>
      <w:lvlText w:val="%1)"/>
      <w:lvlJc w:val="left"/>
      <w:pPr>
        <w:ind w:left="1425" w:hanging="360"/>
      </w:pPr>
    </w:lvl>
    <w:lvl w:ilvl="1" w:tplc="04020011">
      <w:start w:val="1"/>
      <w:numFmt w:val="decimal"/>
      <w:lvlText w:val="%2)"/>
      <w:lvlJc w:val="left"/>
      <w:pPr>
        <w:ind w:left="2145" w:hanging="360"/>
      </w:pPr>
    </w:lvl>
    <w:lvl w:ilvl="2" w:tplc="0402001B" w:tentative="1">
      <w:start w:val="1"/>
      <w:numFmt w:val="lowerRoman"/>
      <w:lvlText w:val="%3."/>
      <w:lvlJc w:val="right"/>
      <w:pPr>
        <w:ind w:left="2865" w:hanging="180"/>
      </w:pPr>
    </w:lvl>
    <w:lvl w:ilvl="3" w:tplc="0402000F" w:tentative="1">
      <w:start w:val="1"/>
      <w:numFmt w:val="decimal"/>
      <w:lvlText w:val="%4."/>
      <w:lvlJc w:val="left"/>
      <w:pPr>
        <w:ind w:left="3585" w:hanging="360"/>
      </w:pPr>
    </w:lvl>
    <w:lvl w:ilvl="4" w:tplc="04020019" w:tentative="1">
      <w:start w:val="1"/>
      <w:numFmt w:val="lowerLetter"/>
      <w:lvlText w:val="%5."/>
      <w:lvlJc w:val="left"/>
      <w:pPr>
        <w:ind w:left="4305" w:hanging="360"/>
      </w:pPr>
    </w:lvl>
    <w:lvl w:ilvl="5" w:tplc="0402001B" w:tentative="1">
      <w:start w:val="1"/>
      <w:numFmt w:val="lowerRoman"/>
      <w:lvlText w:val="%6."/>
      <w:lvlJc w:val="right"/>
      <w:pPr>
        <w:ind w:left="5025" w:hanging="180"/>
      </w:pPr>
    </w:lvl>
    <w:lvl w:ilvl="6" w:tplc="0402000F" w:tentative="1">
      <w:start w:val="1"/>
      <w:numFmt w:val="decimal"/>
      <w:lvlText w:val="%7."/>
      <w:lvlJc w:val="left"/>
      <w:pPr>
        <w:ind w:left="5745" w:hanging="360"/>
      </w:pPr>
    </w:lvl>
    <w:lvl w:ilvl="7" w:tplc="04020019" w:tentative="1">
      <w:start w:val="1"/>
      <w:numFmt w:val="lowerLetter"/>
      <w:lvlText w:val="%8."/>
      <w:lvlJc w:val="left"/>
      <w:pPr>
        <w:ind w:left="6465" w:hanging="360"/>
      </w:pPr>
    </w:lvl>
    <w:lvl w:ilvl="8" w:tplc="0402001B" w:tentative="1">
      <w:start w:val="1"/>
      <w:numFmt w:val="lowerRoman"/>
      <w:lvlText w:val="%9."/>
      <w:lvlJc w:val="right"/>
      <w:pPr>
        <w:ind w:left="7185" w:hanging="180"/>
      </w:pPr>
    </w:lvl>
  </w:abstractNum>
  <w:abstractNum w:abstractNumId="104">
    <w:nsid w:val="590842CD"/>
    <w:multiLevelType w:val="hybridMultilevel"/>
    <w:tmpl w:val="128CF43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5">
    <w:nsid w:val="59AB39FC"/>
    <w:multiLevelType w:val="hybridMultilevel"/>
    <w:tmpl w:val="4D74E056"/>
    <w:lvl w:ilvl="0" w:tplc="0402000D">
      <w:start w:val="1"/>
      <w:numFmt w:val="bullet"/>
      <w:lvlText w:val=""/>
      <w:lvlJc w:val="left"/>
      <w:pPr>
        <w:ind w:left="720" w:hanging="360"/>
      </w:pPr>
      <w:rPr>
        <w:rFonts w:ascii="Wingdings" w:hAnsi="Wingdings" w:hint="default"/>
      </w:rPr>
    </w:lvl>
    <w:lvl w:ilvl="1" w:tplc="04020005">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6">
    <w:nsid w:val="5C1C580A"/>
    <w:multiLevelType w:val="hybridMultilevel"/>
    <w:tmpl w:val="A32C70EC"/>
    <w:lvl w:ilvl="0" w:tplc="0402000D">
      <w:start w:val="1"/>
      <w:numFmt w:val="bullet"/>
      <w:lvlText w:val=""/>
      <w:lvlJc w:val="left"/>
      <w:pPr>
        <w:ind w:left="720" w:hanging="360"/>
      </w:pPr>
      <w:rPr>
        <w:rFonts w:ascii="Wingdings" w:hAnsi="Wingdings" w:hint="default"/>
        <w:color w:val="1E507D"/>
      </w:rPr>
    </w:lvl>
    <w:lvl w:ilvl="1" w:tplc="4C2A77E6">
      <w:start w:val="2"/>
      <w:numFmt w:val="bullet"/>
      <w:lvlText w:val="-"/>
      <w:lvlJc w:val="left"/>
      <w:pPr>
        <w:ind w:left="1440" w:hanging="360"/>
      </w:pPr>
      <w:rPr>
        <w:rFonts w:ascii="Calibri" w:eastAsia="Calibri" w:hAnsi="Calibri" w:cs="Times New Roman"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7">
    <w:nsid w:val="5D833B12"/>
    <w:multiLevelType w:val="hybridMultilevel"/>
    <w:tmpl w:val="CDD61A90"/>
    <w:lvl w:ilvl="0" w:tplc="0402000D">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8">
    <w:nsid w:val="5DE02F93"/>
    <w:multiLevelType w:val="hybridMultilevel"/>
    <w:tmpl w:val="B2D4DB1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9">
    <w:nsid w:val="5EEE197C"/>
    <w:multiLevelType w:val="hybridMultilevel"/>
    <w:tmpl w:val="B49C67B0"/>
    <w:lvl w:ilvl="0" w:tplc="04020017">
      <w:start w:val="1"/>
      <w:numFmt w:val="lowerLetter"/>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0">
    <w:nsid w:val="5EF059FC"/>
    <w:multiLevelType w:val="hybridMultilevel"/>
    <w:tmpl w:val="47ECBAEC"/>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1">
    <w:nsid w:val="5FE34AF4"/>
    <w:multiLevelType w:val="hybridMultilevel"/>
    <w:tmpl w:val="F7BC691C"/>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2">
    <w:nsid w:val="614C6D1A"/>
    <w:multiLevelType w:val="hybridMultilevel"/>
    <w:tmpl w:val="9D1255A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3">
    <w:nsid w:val="62507061"/>
    <w:multiLevelType w:val="hybridMultilevel"/>
    <w:tmpl w:val="2AAC5736"/>
    <w:lvl w:ilvl="0" w:tplc="0402000D">
      <w:start w:val="1"/>
      <w:numFmt w:val="bullet"/>
      <w:lvlText w:val=""/>
      <w:lvlJc w:val="left"/>
      <w:pPr>
        <w:ind w:left="720" w:hanging="360"/>
      </w:pPr>
      <w:rPr>
        <w:rFonts w:ascii="Wingdings" w:hAnsi="Wingdings" w:hint="default"/>
      </w:rPr>
    </w:lvl>
    <w:lvl w:ilvl="1" w:tplc="0402000D">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4">
    <w:nsid w:val="627329E0"/>
    <w:multiLevelType w:val="hybridMultilevel"/>
    <w:tmpl w:val="EF7AAF3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5">
    <w:nsid w:val="62843BEA"/>
    <w:multiLevelType w:val="hybridMultilevel"/>
    <w:tmpl w:val="9AAC4A5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6">
    <w:nsid w:val="62ED7B86"/>
    <w:multiLevelType w:val="hybridMultilevel"/>
    <w:tmpl w:val="404C16C8"/>
    <w:lvl w:ilvl="0" w:tplc="43E03EB8">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7">
    <w:nsid w:val="63574305"/>
    <w:multiLevelType w:val="hybridMultilevel"/>
    <w:tmpl w:val="A9E2B6F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8">
    <w:nsid w:val="640133B2"/>
    <w:multiLevelType w:val="hybridMultilevel"/>
    <w:tmpl w:val="38B02B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9">
    <w:nsid w:val="64026242"/>
    <w:multiLevelType w:val="hybridMultilevel"/>
    <w:tmpl w:val="569405AE"/>
    <w:lvl w:ilvl="0" w:tplc="0402000D">
      <w:start w:val="1"/>
      <w:numFmt w:val="bullet"/>
      <w:lvlText w:val=""/>
      <w:lvlJc w:val="left"/>
      <w:pPr>
        <w:ind w:left="1426" w:hanging="360"/>
      </w:pPr>
      <w:rPr>
        <w:rFonts w:ascii="Wingdings" w:hAnsi="Wingdings"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120">
    <w:nsid w:val="64DD327E"/>
    <w:multiLevelType w:val="hybridMultilevel"/>
    <w:tmpl w:val="81865052"/>
    <w:lvl w:ilvl="0" w:tplc="0402000F">
      <w:start w:val="1"/>
      <w:numFmt w:val="decimal"/>
      <w:lvlText w:val="%1."/>
      <w:lvlJc w:val="left"/>
      <w:pPr>
        <w:ind w:left="720" w:hanging="360"/>
      </w:pPr>
      <w:rPr>
        <w:rFonts w:hint="default"/>
      </w:rPr>
    </w:lvl>
    <w:lvl w:ilvl="1" w:tplc="04020005">
      <w:start w:val="1"/>
      <w:numFmt w:val="bullet"/>
      <w:lvlText w:val=""/>
      <w:lvlJc w:val="left"/>
      <w:pPr>
        <w:ind w:left="1440" w:hanging="360"/>
      </w:pPr>
      <w:rPr>
        <w:rFonts w:ascii="Wingdings" w:hAnsi="Wingdings" w:hint="default"/>
      </w:rPr>
    </w:lvl>
    <w:lvl w:ilvl="2" w:tplc="43E03EB8">
      <w:start w:val="1"/>
      <w:numFmt w:val="bullet"/>
      <w:lvlText w:val=""/>
      <w:lvlJc w:val="left"/>
      <w:pPr>
        <w:ind w:left="2160" w:hanging="180"/>
      </w:pPr>
      <w:rPr>
        <w:rFonts w:ascii="Wingdings" w:hAnsi="Wingdings" w:hint="default"/>
        <w:color w:val="5B9BD5" w:themeColor="accent1"/>
        <w:sz w:val="28"/>
        <w:szCs w:val="28"/>
      </w:rPr>
    </w:lvl>
    <w:lvl w:ilvl="3" w:tplc="2E9A178C">
      <w:start w:val="1"/>
      <w:numFmt w:val="lowerRoman"/>
      <w:lvlText w:val="(%4)"/>
      <w:lvlJc w:val="left"/>
      <w:pPr>
        <w:ind w:left="3240" w:hanging="720"/>
      </w:pPr>
      <w:rPr>
        <w:rFonts w:hint="default"/>
      </w:r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1">
    <w:nsid w:val="650378B2"/>
    <w:multiLevelType w:val="hybridMultilevel"/>
    <w:tmpl w:val="F7BC691C"/>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2">
    <w:nsid w:val="653D14FD"/>
    <w:multiLevelType w:val="hybridMultilevel"/>
    <w:tmpl w:val="E222F37E"/>
    <w:lvl w:ilvl="0" w:tplc="0402000D">
      <w:start w:val="1"/>
      <w:numFmt w:val="bullet"/>
      <w:lvlText w:val=""/>
      <w:lvlJc w:val="left"/>
      <w:pPr>
        <w:ind w:left="661" w:hanging="360"/>
      </w:pPr>
      <w:rPr>
        <w:rFonts w:ascii="Wingdings" w:hAnsi="Wingdings" w:hint="default"/>
      </w:rPr>
    </w:lvl>
    <w:lvl w:ilvl="1" w:tplc="04020003" w:tentative="1">
      <w:start w:val="1"/>
      <w:numFmt w:val="bullet"/>
      <w:lvlText w:val="o"/>
      <w:lvlJc w:val="left"/>
      <w:pPr>
        <w:ind w:left="1381" w:hanging="360"/>
      </w:pPr>
      <w:rPr>
        <w:rFonts w:ascii="Courier New" w:hAnsi="Courier New" w:cs="Courier New" w:hint="default"/>
      </w:rPr>
    </w:lvl>
    <w:lvl w:ilvl="2" w:tplc="04020005" w:tentative="1">
      <w:start w:val="1"/>
      <w:numFmt w:val="bullet"/>
      <w:lvlText w:val=""/>
      <w:lvlJc w:val="left"/>
      <w:pPr>
        <w:ind w:left="2101" w:hanging="360"/>
      </w:pPr>
      <w:rPr>
        <w:rFonts w:ascii="Wingdings" w:hAnsi="Wingdings" w:hint="default"/>
      </w:rPr>
    </w:lvl>
    <w:lvl w:ilvl="3" w:tplc="04020001" w:tentative="1">
      <w:start w:val="1"/>
      <w:numFmt w:val="bullet"/>
      <w:lvlText w:val=""/>
      <w:lvlJc w:val="left"/>
      <w:pPr>
        <w:ind w:left="2821" w:hanging="360"/>
      </w:pPr>
      <w:rPr>
        <w:rFonts w:ascii="Symbol" w:hAnsi="Symbol" w:hint="default"/>
      </w:rPr>
    </w:lvl>
    <w:lvl w:ilvl="4" w:tplc="04020003" w:tentative="1">
      <w:start w:val="1"/>
      <w:numFmt w:val="bullet"/>
      <w:lvlText w:val="o"/>
      <w:lvlJc w:val="left"/>
      <w:pPr>
        <w:ind w:left="3541" w:hanging="360"/>
      </w:pPr>
      <w:rPr>
        <w:rFonts w:ascii="Courier New" w:hAnsi="Courier New" w:cs="Courier New" w:hint="default"/>
      </w:rPr>
    </w:lvl>
    <w:lvl w:ilvl="5" w:tplc="04020005" w:tentative="1">
      <w:start w:val="1"/>
      <w:numFmt w:val="bullet"/>
      <w:lvlText w:val=""/>
      <w:lvlJc w:val="left"/>
      <w:pPr>
        <w:ind w:left="4261" w:hanging="360"/>
      </w:pPr>
      <w:rPr>
        <w:rFonts w:ascii="Wingdings" w:hAnsi="Wingdings" w:hint="default"/>
      </w:rPr>
    </w:lvl>
    <w:lvl w:ilvl="6" w:tplc="04020001" w:tentative="1">
      <w:start w:val="1"/>
      <w:numFmt w:val="bullet"/>
      <w:lvlText w:val=""/>
      <w:lvlJc w:val="left"/>
      <w:pPr>
        <w:ind w:left="4981" w:hanging="360"/>
      </w:pPr>
      <w:rPr>
        <w:rFonts w:ascii="Symbol" w:hAnsi="Symbol" w:hint="default"/>
      </w:rPr>
    </w:lvl>
    <w:lvl w:ilvl="7" w:tplc="04020003" w:tentative="1">
      <w:start w:val="1"/>
      <w:numFmt w:val="bullet"/>
      <w:lvlText w:val="o"/>
      <w:lvlJc w:val="left"/>
      <w:pPr>
        <w:ind w:left="5701" w:hanging="360"/>
      </w:pPr>
      <w:rPr>
        <w:rFonts w:ascii="Courier New" w:hAnsi="Courier New" w:cs="Courier New" w:hint="default"/>
      </w:rPr>
    </w:lvl>
    <w:lvl w:ilvl="8" w:tplc="04020005" w:tentative="1">
      <w:start w:val="1"/>
      <w:numFmt w:val="bullet"/>
      <w:lvlText w:val=""/>
      <w:lvlJc w:val="left"/>
      <w:pPr>
        <w:ind w:left="6421" w:hanging="360"/>
      </w:pPr>
      <w:rPr>
        <w:rFonts w:ascii="Wingdings" w:hAnsi="Wingdings" w:hint="default"/>
      </w:rPr>
    </w:lvl>
  </w:abstractNum>
  <w:abstractNum w:abstractNumId="123">
    <w:nsid w:val="65C619F6"/>
    <w:multiLevelType w:val="hybridMultilevel"/>
    <w:tmpl w:val="41549BC0"/>
    <w:lvl w:ilvl="0" w:tplc="04020005">
      <w:start w:val="1"/>
      <w:numFmt w:val="bullet"/>
      <w:lvlText w:val=""/>
      <w:lvlJc w:val="left"/>
      <w:pPr>
        <w:ind w:left="1037" w:hanging="360"/>
      </w:pPr>
      <w:rPr>
        <w:rFonts w:ascii="Wingdings" w:hAnsi="Wingdings" w:hint="default"/>
      </w:rPr>
    </w:lvl>
    <w:lvl w:ilvl="1" w:tplc="04020003" w:tentative="1">
      <w:start w:val="1"/>
      <w:numFmt w:val="bullet"/>
      <w:lvlText w:val="o"/>
      <w:lvlJc w:val="left"/>
      <w:pPr>
        <w:ind w:left="1757" w:hanging="360"/>
      </w:pPr>
      <w:rPr>
        <w:rFonts w:ascii="Courier New" w:hAnsi="Courier New" w:cs="Courier New" w:hint="default"/>
      </w:rPr>
    </w:lvl>
    <w:lvl w:ilvl="2" w:tplc="04020005" w:tentative="1">
      <w:start w:val="1"/>
      <w:numFmt w:val="bullet"/>
      <w:lvlText w:val=""/>
      <w:lvlJc w:val="left"/>
      <w:pPr>
        <w:ind w:left="2477" w:hanging="360"/>
      </w:pPr>
      <w:rPr>
        <w:rFonts w:ascii="Wingdings" w:hAnsi="Wingdings" w:hint="default"/>
      </w:rPr>
    </w:lvl>
    <w:lvl w:ilvl="3" w:tplc="04020001" w:tentative="1">
      <w:start w:val="1"/>
      <w:numFmt w:val="bullet"/>
      <w:lvlText w:val=""/>
      <w:lvlJc w:val="left"/>
      <w:pPr>
        <w:ind w:left="3197" w:hanging="360"/>
      </w:pPr>
      <w:rPr>
        <w:rFonts w:ascii="Symbol" w:hAnsi="Symbol" w:hint="default"/>
      </w:rPr>
    </w:lvl>
    <w:lvl w:ilvl="4" w:tplc="04020003" w:tentative="1">
      <w:start w:val="1"/>
      <w:numFmt w:val="bullet"/>
      <w:lvlText w:val="o"/>
      <w:lvlJc w:val="left"/>
      <w:pPr>
        <w:ind w:left="3917" w:hanging="360"/>
      </w:pPr>
      <w:rPr>
        <w:rFonts w:ascii="Courier New" w:hAnsi="Courier New" w:cs="Courier New" w:hint="default"/>
      </w:rPr>
    </w:lvl>
    <w:lvl w:ilvl="5" w:tplc="04020005" w:tentative="1">
      <w:start w:val="1"/>
      <w:numFmt w:val="bullet"/>
      <w:lvlText w:val=""/>
      <w:lvlJc w:val="left"/>
      <w:pPr>
        <w:ind w:left="4637" w:hanging="360"/>
      </w:pPr>
      <w:rPr>
        <w:rFonts w:ascii="Wingdings" w:hAnsi="Wingdings" w:hint="default"/>
      </w:rPr>
    </w:lvl>
    <w:lvl w:ilvl="6" w:tplc="04020001" w:tentative="1">
      <w:start w:val="1"/>
      <w:numFmt w:val="bullet"/>
      <w:lvlText w:val=""/>
      <w:lvlJc w:val="left"/>
      <w:pPr>
        <w:ind w:left="5357" w:hanging="360"/>
      </w:pPr>
      <w:rPr>
        <w:rFonts w:ascii="Symbol" w:hAnsi="Symbol" w:hint="default"/>
      </w:rPr>
    </w:lvl>
    <w:lvl w:ilvl="7" w:tplc="04020003" w:tentative="1">
      <w:start w:val="1"/>
      <w:numFmt w:val="bullet"/>
      <w:lvlText w:val="o"/>
      <w:lvlJc w:val="left"/>
      <w:pPr>
        <w:ind w:left="6077" w:hanging="360"/>
      </w:pPr>
      <w:rPr>
        <w:rFonts w:ascii="Courier New" w:hAnsi="Courier New" w:cs="Courier New" w:hint="default"/>
      </w:rPr>
    </w:lvl>
    <w:lvl w:ilvl="8" w:tplc="04020005" w:tentative="1">
      <w:start w:val="1"/>
      <w:numFmt w:val="bullet"/>
      <w:lvlText w:val=""/>
      <w:lvlJc w:val="left"/>
      <w:pPr>
        <w:ind w:left="6797" w:hanging="360"/>
      </w:pPr>
      <w:rPr>
        <w:rFonts w:ascii="Wingdings" w:hAnsi="Wingdings" w:hint="default"/>
      </w:rPr>
    </w:lvl>
  </w:abstractNum>
  <w:abstractNum w:abstractNumId="124">
    <w:nsid w:val="68652E58"/>
    <w:multiLevelType w:val="hybridMultilevel"/>
    <w:tmpl w:val="5032195E"/>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68DA3CDE"/>
    <w:multiLevelType w:val="hybridMultilevel"/>
    <w:tmpl w:val="345653F0"/>
    <w:lvl w:ilvl="0" w:tplc="F0ACAB68">
      <w:start w:val="1"/>
      <w:numFmt w:val="bullet"/>
      <w:suff w:val="space"/>
      <w:lvlText w:val=""/>
      <w:lvlJc w:val="left"/>
      <w:pPr>
        <w:ind w:left="644" w:hanging="360"/>
      </w:pPr>
      <w:rPr>
        <w:rFonts w:ascii="Wingdings" w:hAnsi="Wingdings" w:hint="default"/>
        <w:color w:val="auto"/>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26">
    <w:nsid w:val="69936D50"/>
    <w:multiLevelType w:val="hybridMultilevel"/>
    <w:tmpl w:val="7572F546"/>
    <w:lvl w:ilvl="0" w:tplc="04020017">
      <w:start w:val="1"/>
      <w:numFmt w:val="lowerLetter"/>
      <w:lvlText w:val="%1)"/>
      <w:lvlJc w:val="left"/>
      <w:pPr>
        <w:ind w:left="1211" w:hanging="360"/>
      </w:pPr>
    </w:lvl>
    <w:lvl w:ilvl="1" w:tplc="11A669CE">
      <w:start w:val="1"/>
      <w:numFmt w:val="decimal"/>
      <w:lvlText w:val="%2."/>
      <w:lvlJc w:val="left"/>
      <w:pPr>
        <w:ind w:left="1931" w:hanging="360"/>
      </w:pPr>
      <w:rPr>
        <w:rFonts w:hint="default"/>
      </w:r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127">
    <w:nsid w:val="69E37D10"/>
    <w:multiLevelType w:val="hybridMultilevel"/>
    <w:tmpl w:val="CA72F95A"/>
    <w:lvl w:ilvl="0" w:tplc="FFB0A934">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nsid w:val="6A5B0233"/>
    <w:multiLevelType w:val="hybridMultilevel"/>
    <w:tmpl w:val="FB20A91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9">
    <w:nsid w:val="6A603EA0"/>
    <w:multiLevelType w:val="hybridMultilevel"/>
    <w:tmpl w:val="7C44A99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0">
    <w:nsid w:val="6A976346"/>
    <w:multiLevelType w:val="multilevel"/>
    <w:tmpl w:val="79E6EB38"/>
    <w:lvl w:ilvl="0">
      <w:start w:val="1"/>
      <w:numFmt w:val="bullet"/>
      <w:lvlText w:val=""/>
      <w:lvlJc w:val="left"/>
      <w:pPr>
        <w:tabs>
          <w:tab w:val="num" w:pos="720"/>
        </w:tabs>
        <w:ind w:left="720" w:hanging="360"/>
      </w:pPr>
      <w:rPr>
        <w:rFonts w:ascii="Wingdings" w:hAnsi="Wingdings" w:hint="default"/>
        <w:sz w:val="20"/>
      </w:rPr>
    </w:lvl>
    <w:lvl w:ilvl="1">
      <w:start w:val="4"/>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nsid w:val="6B806B00"/>
    <w:multiLevelType w:val="hybridMultilevel"/>
    <w:tmpl w:val="7B84DFBA"/>
    <w:lvl w:ilvl="0" w:tplc="0402000D">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2">
    <w:nsid w:val="6C693BDD"/>
    <w:multiLevelType w:val="multilevel"/>
    <w:tmpl w:val="BFF2484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Wingdings" w:hAnsi="Wingding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nsid w:val="6CD910E3"/>
    <w:multiLevelType w:val="hybridMultilevel"/>
    <w:tmpl w:val="1BF2594E"/>
    <w:lvl w:ilvl="0" w:tplc="0402000D">
      <w:start w:val="1"/>
      <w:numFmt w:val="bullet"/>
      <w:lvlText w:val=""/>
      <w:lvlJc w:val="left"/>
      <w:pPr>
        <w:ind w:left="1021" w:hanging="360"/>
      </w:pPr>
      <w:rPr>
        <w:rFonts w:ascii="Wingdings" w:hAnsi="Wingdings" w:hint="default"/>
      </w:rPr>
    </w:lvl>
    <w:lvl w:ilvl="1" w:tplc="04020019" w:tentative="1">
      <w:start w:val="1"/>
      <w:numFmt w:val="lowerLetter"/>
      <w:lvlText w:val="%2."/>
      <w:lvlJc w:val="left"/>
      <w:pPr>
        <w:ind w:left="1741" w:hanging="360"/>
      </w:pPr>
    </w:lvl>
    <w:lvl w:ilvl="2" w:tplc="0402001B" w:tentative="1">
      <w:start w:val="1"/>
      <w:numFmt w:val="lowerRoman"/>
      <w:lvlText w:val="%3."/>
      <w:lvlJc w:val="right"/>
      <w:pPr>
        <w:ind w:left="2461" w:hanging="180"/>
      </w:pPr>
    </w:lvl>
    <w:lvl w:ilvl="3" w:tplc="0402000F" w:tentative="1">
      <w:start w:val="1"/>
      <w:numFmt w:val="decimal"/>
      <w:lvlText w:val="%4."/>
      <w:lvlJc w:val="left"/>
      <w:pPr>
        <w:ind w:left="3181" w:hanging="360"/>
      </w:pPr>
    </w:lvl>
    <w:lvl w:ilvl="4" w:tplc="04020019" w:tentative="1">
      <w:start w:val="1"/>
      <w:numFmt w:val="lowerLetter"/>
      <w:lvlText w:val="%5."/>
      <w:lvlJc w:val="left"/>
      <w:pPr>
        <w:ind w:left="3901" w:hanging="360"/>
      </w:pPr>
    </w:lvl>
    <w:lvl w:ilvl="5" w:tplc="0402001B" w:tentative="1">
      <w:start w:val="1"/>
      <w:numFmt w:val="lowerRoman"/>
      <w:lvlText w:val="%6."/>
      <w:lvlJc w:val="right"/>
      <w:pPr>
        <w:ind w:left="4621" w:hanging="180"/>
      </w:pPr>
    </w:lvl>
    <w:lvl w:ilvl="6" w:tplc="0402000F" w:tentative="1">
      <w:start w:val="1"/>
      <w:numFmt w:val="decimal"/>
      <w:lvlText w:val="%7."/>
      <w:lvlJc w:val="left"/>
      <w:pPr>
        <w:ind w:left="5341" w:hanging="360"/>
      </w:pPr>
    </w:lvl>
    <w:lvl w:ilvl="7" w:tplc="04020019" w:tentative="1">
      <w:start w:val="1"/>
      <w:numFmt w:val="lowerLetter"/>
      <w:lvlText w:val="%8."/>
      <w:lvlJc w:val="left"/>
      <w:pPr>
        <w:ind w:left="6061" w:hanging="360"/>
      </w:pPr>
    </w:lvl>
    <w:lvl w:ilvl="8" w:tplc="0402001B" w:tentative="1">
      <w:start w:val="1"/>
      <w:numFmt w:val="lowerRoman"/>
      <w:lvlText w:val="%9."/>
      <w:lvlJc w:val="right"/>
      <w:pPr>
        <w:ind w:left="6781" w:hanging="180"/>
      </w:pPr>
    </w:lvl>
  </w:abstractNum>
  <w:abstractNum w:abstractNumId="134">
    <w:nsid w:val="6DEE2220"/>
    <w:multiLevelType w:val="hybridMultilevel"/>
    <w:tmpl w:val="DFC87D6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5">
    <w:nsid w:val="6F8754C6"/>
    <w:multiLevelType w:val="hybridMultilevel"/>
    <w:tmpl w:val="D1B83788"/>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6">
    <w:nsid w:val="70B94B94"/>
    <w:multiLevelType w:val="multilevel"/>
    <w:tmpl w:val="7F7EA44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Wingdings" w:hAnsi="Wingdings" w:hint="default"/>
      </w:rPr>
    </w:lvl>
    <w:lvl w:ilvl="2">
      <w:start w:val="1"/>
      <w:numFmt w:val="bullet"/>
      <w:lvlText w:val=""/>
      <w:lvlJc w:val="left"/>
      <w:pPr>
        <w:tabs>
          <w:tab w:val="num" w:pos="502"/>
        </w:tabs>
        <w:ind w:left="502"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nsid w:val="71D71365"/>
    <w:multiLevelType w:val="hybridMultilevel"/>
    <w:tmpl w:val="9AAE80D0"/>
    <w:lvl w:ilvl="0" w:tplc="F0C430FC">
      <w:start w:val="1"/>
      <w:numFmt w:val="bullet"/>
      <w:lvlText w:val="¬"/>
      <w:lvlJc w:val="left"/>
      <w:pPr>
        <w:ind w:left="720" w:hanging="360"/>
      </w:pPr>
      <w:rPr>
        <w:rFonts w:ascii="Calibri" w:hAnsi="Calibri" w:hint="default"/>
        <w:color w:val="1E507D"/>
      </w:rPr>
    </w:lvl>
    <w:lvl w:ilvl="1" w:tplc="0402000D">
      <w:start w:val="1"/>
      <w:numFmt w:val="bullet"/>
      <w:lvlText w:val=""/>
      <w:lvlJc w:val="left"/>
      <w:pPr>
        <w:ind w:left="1440" w:hanging="360"/>
      </w:pPr>
      <w:rPr>
        <w:rFonts w:ascii="Wingdings" w:hAnsi="Wingdings" w:hint="default"/>
        <w:color w:val="1E507D"/>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8">
    <w:nsid w:val="729518FC"/>
    <w:multiLevelType w:val="hybridMultilevel"/>
    <w:tmpl w:val="453C82DC"/>
    <w:lvl w:ilvl="0" w:tplc="04020017">
      <w:start w:val="1"/>
      <w:numFmt w:val="lowerLetter"/>
      <w:lvlText w:val="%1)"/>
      <w:lvlJc w:val="left"/>
      <w:pPr>
        <w:ind w:left="720" w:hanging="360"/>
      </w:pPr>
    </w:lvl>
    <w:lvl w:ilvl="1" w:tplc="99FE0AEE">
      <w:start w:val="1"/>
      <w:numFmt w:val="decimal"/>
      <w:lvlText w:val="%2)"/>
      <w:lvlJc w:val="left"/>
      <w:pPr>
        <w:ind w:left="1440" w:hanging="360"/>
      </w:pPr>
      <w:rPr>
        <w:rFonts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9">
    <w:nsid w:val="72DD695A"/>
    <w:multiLevelType w:val="hybridMultilevel"/>
    <w:tmpl w:val="FC7A5B1C"/>
    <w:lvl w:ilvl="0" w:tplc="04020017">
      <w:start w:val="1"/>
      <w:numFmt w:val="lowerLetter"/>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0">
    <w:nsid w:val="73A856B4"/>
    <w:multiLevelType w:val="hybridMultilevel"/>
    <w:tmpl w:val="F52E8312"/>
    <w:lvl w:ilvl="0" w:tplc="04020005">
      <w:start w:val="1"/>
      <w:numFmt w:val="bullet"/>
      <w:lvlText w:val=""/>
      <w:lvlJc w:val="left"/>
      <w:pPr>
        <w:ind w:left="1211" w:hanging="360"/>
      </w:pPr>
      <w:rPr>
        <w:rFonts w:ascii="Wingdings" w:hAnsi="Wingdings"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141">
    <w:nsid w:val="73AF6169"/>
    <w:multiLevelType w:val="hybridMultilevel"/>
    <w:tmpl w:val="D63AF4A0"/>
    <w:lvl w:ilvl="0" w:tplc="0402000D">
      <w:start w:val="1"/>
      <w:numFmt w:val="bullet"/>
      <w:lvlText w:val=""/>
      <w:lvlJc w:val="left"/>
      <w:pPr>
        <w:ind w:left="720" w:hanging="360"/>
      </w:pPr>
      <w:rPr>
        <w:rFonts w:ascii="Wingdings" w:hAnsi="Wingdings" w:hint="default"/>
      </w:rPr>
    </w:lvl>
    <w:lvl w:ilvl="1" w:tplc="04020005">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2">
    <w:nsid w:val="749D7506"/>
    <w:multiLevelType w:val="hybridMultilevel"/>
    <w:tmpl w:val="C7A8F82E"/>
    <w:lvl w:ilvl="0" w:tplc="04020011">
      <w:start w:val="1"/>
      <w:numFmt w:val="decimal"/>
      <w:lvlText w:val="%1)"/>
      <w:lvlJc w:val="left"/>
      <w:pPr>
        <w:ind w:left="1571" w:hanging="360"/>
      </w:pPr>
      <w:rPr>
        <w:rFonts w:hint="default"/>
      </w:rPr>
    </w:lvl>
    <w:lvl w:ilvl="1" w:tplc="BF4EBA1C">
      <w:start w:val="1"/>
      <w:numFmt w:val="lowerLetter"/>
      <w:lvlText w:val="%2)"/>
      <w:lvlJc w:val="left"/>
      <w:pPr>
        <w:ind w:left="2291" w:hanging="360"/>
      </w:pPr>
      <w:rPr>
        <w:rFonts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3">
    <w:nsid w:val="75B85C24"/>
    <w:multiLevelType w:val="hybridMultilevel"/>
    <w:tmpl w:val="9782F68A"/>
    <w:lvl w:ilvl="0" w:tplc="0402000D">
      <w:start w:val="1"/>
      <w:numFmt w:val="bullet"/>
      <w:lvlText w:val=""/>
      <w:lvlJc w:val="left"/>
      <w:pPr>
        <w:ind w:left="720" w:hanging="360"/>
      </w:pPr>
      <w:rPr>
        <w:rFonts w:ascii="Wingdings" w:hAnsi="Wingdings" w:hint="default"/>
      </w:rPr>
    </w:lvl>
    <w:lvl w:ilvl="1" w:tplc="04020005">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4">
    <w:nsid w:val="75F92C77"/>
    <w:multiLevelType w:val="hybridMultilevel"/>
    <w:tmpl w:val="359AB526"/>
    <w:lvl w:ilvl="0" w:tplc="43E03EB8">
      <w:start w:val="1"/>
      <w:numFmt w:val="bullet"/>
      <w:lvlText w:val=""/>
      <w:lvlJc w:val="left"/>
      <w:pPr>
        <w:ind w:left="720" w:hanging="360"/>
      </w:pPr>
      <w:rPr>
        <w:rFonts w:ascii="Wingdings" w:hAnsi="Wingdings" w:hint="default"/>
        <w:color w:val="5B9BD5" w:themeColor="accent1"/>
        <w:sz w:val="28"/>
        <w:szCs w:val="28"/>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5">
    <w:nsid w:val="76850FDF"/>
    <w:multiLevelType w:val="hybridMultilevel"/>
    <w:tmpl w:val="575E0484"/>
    <w:lvl w:ilvl="0" w:tplc="0402000D">
      <w:start w:val="1"/>
      <w:numFmt w:val="bullet"/>
      <w:lvlText w:val=""/>
      <w:lvlJc w:val="left"/>
      <w:pPr>
        <w:ind w:left="750" w:hanging="360"/>
      </w:pPr>
      <w:rPr>
        <w:rFonts w:ascii="Wingdings" w:hAnsi="Wingdings" w:hint="default"/>
      </w:rPr>
    </w:lvl>
    <w:lvl w:ilvl="1" w:tplc="04020003" w:tentative="1">
      <w:start w:val="1"/>
      <w:numFmt w:val="bullet"/>
      <w:lvlText w:val="o"/>
      <w:lvlJc w:val="left"/>
      <w:pPr>
        <w:ind w:left="1470" w:hanging="360"/>
      </w:pPr>
      <w:rPr>
        <w:rFonts w:ascii="Courier New" w:hAnsi="Courier New" w:cs="Courier New" w:hint="default"/>
      </w:rPr>
    </w:lvl>
    <w:lvl w:ilvl="2" w:tplc="04020005" w:tentative="1">
      <w:start w:val="1"/>
      <w:numFmt w:val="bullet"/>
      <w:lvlText w:val=""/>
      <w:lvlJc w:val="left"/>
      <w:pPr>
        <w:ind w:left="2190" w:hanging="360"/>
      </w:pPr>
      <w:rPr>
        <w:rFonts w:ascii="Wingdings" w:hAnsi="Wingdings" w:hint="default"/>
      </w:rPr>
    </w:lvl>
    <w:lvl w:ilvl="3" w:tplc="04020001" w:tentative="1">
      <w:start w:val="1"/>
      <w:numFmt w:val="bullet"/>
      <w:lvlText w:val=""/>
      <w:lvlJc w:val="left"/>
      <w:pPr>
        <w:ind w:left="2910" w:hanging="360"/>
      </w:pPr>
      <w:rPr>
        <w:rFonts w:ascii="Symbol" w:hAnsi="Symbol" w:hint="default"/>
      </w:rPr>
    </w:lvl>
    <w:lvl w:ilvl="4" w:tplc="04020003" w:tentative="1">
      <w:start w:val="1"/>
      <w:numFmt w:val="bullet"/>
      <w:lvlText w:val="o"/>
      <w:lvlJc w:val="left"/>
      <w:pPr>
        <w:ind w:left="3630" w:hanging="360"/>
      </w:pPr>
      <w:rPr>
        <w:rFonts w:ascii="Courier New" w:hAnsi="Courier New" w:cs="Courier New" w:hint="default"/>
      </w:rPr>
    </w:lvl>
    <w:lvl w:ilvl="5" w:tplc="04020005" w:tentative="1">
      <w:start w:val="1"/>
      <w:numFmt w:val="bullet"/>
      <w:lvlText w:val=""/>
      <w:lvlJc w:val="left"/>
      <w:pPr>
        <w:ind w:left="4350" w:hanging="360"/>
      </w:pPr>
      <w:rPr>
        <w:rFonts w:ascii="Wingdings" w:hAnsi="Wingdings" w:hint="default"/>
      </w:rPr>
    </w:lvl>
    <w:lvl w:ilvl="6" w:tplc="04020001" w:tentative="1">
      <w:start w:val="1"/>
      <w:numFmt w:val="bullet"/>
      <w:lvlText w:val=""/>
      <w:lvlJc w:val="left"/>
      <w:pPr>
        <w:ind w:left="5070" w:hanging="360"/>
      </w:pPr>
      <w:rPr>
        <w:rFonts w:ascii="Symbol" w:hAnsi="Symbol" w:hint="default"/>
      </w:rPr>
    </w:lvl>
    <w:lvl w:ilvl="7" w:tplc="04020003" w:tentative="1">
      <w:start w:val="1"/>
      <w:numFmt w:val="bullet"/>
      <w:lvlText w:val="o"/>
      <w:lvlJc w:val="left"/>
      <w:pPr>
        <w:ind w:left="5790" w:hanging="360"/>
      </w:pPr>
      <w:rPr>
        <w:rFonts w:ascii="Courier New" w:hAnsi="Courier New" w:cs="Courier New" w:hint="default"/>
      </w:rPr>
    </w:lvl>
    <w:lvl w:ilvl="8" w:tplc="04020005" w:tentative="1">
      <w:start w:val="1"/>
      <w:numFmt w:val="bullet"/>
      <w:lvlText w:val=""/>
      <w:lvlJc w:val="left"/>
      <w:pPr>
        <w:ind w:left="6510" w:hanging="360"/>
      </w:pPr>
      <w:rPr>
        <w:rFonts w:ascii="Wingdings" w:hAnsi="Wingdings" w:hint="default"/>
      </w:rPr>
    </w:lvl>
  </w:abstractNum>
  <w:abstractNum w:abstractNumId="146">
    <w:nsid w:val="77553ED9"/>
    <w:multiLevelType w:val="hybridMultilevel"/>
    <w:tmpl w:val="926248A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7">
    <w:nsid w:val="77CE7AB3"/>
    <w:multiLevelType w:val="hybridMultilevel"/>
    <w:tmpl w:val="F7FC058C"/>
    <w:lvl w:ilvl="0" w:tplc="0402000D">
      <w:start w:val="1"/>
      <w:numFmt w:val="bullet"/>
      <w:lvlText w:val=""/>
      <w:lvlJc w:val="left"/>
      <w:pPr>
        <w:ind w:left="1021" w:hanging="360"/>
      </w:pPr>
      <w:rPr>
        <w:rFonts w:ascii="Wingdings" w:hAnsi="Wingdings" w:hint="default"/>
      </w:rPr>
    </w:lvl>
    <w:lvl w:ilvl="1" w:tplc="04020003" w:tentative="1">
      <w:start w:val="1"/>
      <w:numFmt w:val="bullet"/>
      <w:lvlText w:val="o"/>
      <w:lvlJc w:val="left"/>
      <w:pPr>
        <w:ind w:left="1741" w:hanging="360"/>
      </w:pPr>
      <w:rPr>
        <w:rFonts w:ascii="Courier New" w:hAnsi="Courier New" w:cs="Courier New" w:hint="default"/>
      </w:rPr>
    </w:lvl>
    <w:lvl w:ilvl="2" w:tplc="04020005" w:tentative="1">
      <w:start w:val="1"/>
      <w:numFmt w:val="bullet"/>
      <w:lvlText w:val=""/>
      <w:lvlJc w:val="left"/>
      <w:pPr>
        <w:ind w:left="2461" w:hanging="360"/>
      </w:pPr>
      <w:rPr>
        <w:rFonts w:ascii="Wingdings" w:hAnsi="Wingdings" w:hint="default"/>
      </w:rPr>
    </w:lvl>
    <w:lvl w:ilvl="3" w:tplc="04020001" w:tentative="1">
      <w:start w:val="1"/>
      <w:numFmt w:val="bullet"/>
      <w:lvlText w:val=""/>
      <w:lvlJc w:val="left"/>
      <w:pPr>
        <w:ind w:left="3181" w:hanging="360"/>
      </w:pPr>
      <w:rPr>
        <w:rFonts w:ascii="Symbol" w:hAnsi="Symbol" w:hint="default"/>
      </w:rPr>
    </w:lvl>
    <w:lvl w:ilvl="4" w:tplc="04020003" w:tentative="1">
      <w:start w:val="1"/>
      <w:numFmt w:val="bullet"/>
      <w:lvlText w:val="o"/>
      <w:lvlJc w:val="left"/>
      <w:pPr>
        <w:ind w:left="3901" w:hanging="360"/>
      </w:pPr>
      <w:rPr>
        <w:rFonts w:ascii="Courier New" w:hAnsi="Courier New" w:cs="Courier New" w:hint="default"/>
      </w:rPr>
    </w:lvl>
    <w:lvl w:ilvl="5" w:tplc="04020005" w:tentative="1">
      <w:start w:val="1"/>
      <w:numFmt w:val="bullet"/>
      <w:lvlText w:val=""/>
      <w:lvlJc w:val="left"/>
      <w:pPr>
        <w:ind w:left="4621" w:hanging="360"/>
      </w:pPr>
      <w:rPr>
        <w:rFonts w:ascii="Wingdings" w:hAnsi="Wingdings" w:hint="default"/>
      </w:rPr>
    </w:lvl>
    <w:lvl w:ilvl="6" w:tplc="04020001" w:tentative="1">
      <w:start w:val="1"/>
      <w:numFmt w:val="bullet"/>
      <w:lvlText w:val=""/>
      <w:lvlJc w:val="left"/>
      <w:pPr>
        <w:ind w:left="5341" w:hanging="360"/>
      </w:pPr>
      <w:rPr>
        <w:rFonts w:ascii="Symbol" w:hAnsi="Symbol" w:hint="default"/>
      </w:rPr>
    </w:lvl>
    <w:lvl w:ilvl="7" w:tplc="04020003" w:tentative="1">
      <w:start w:val="1"/>
      <w:numFmt w:val="bullet"/>
      <w:lvlText w:val="o"/>
      <w:lvlJc w:val="left"/>
      <w:pPr>
        <w:ind w:left="6061" w:hanging="360"/>
      </w:pPr>
      <w:rPr>
        <w:rFonts w:ascii="Courier New" w:hAnsi="Courier New" w:cs="Courier New" w:hint="default"/>
      </w:rPr>
    </w:lvl>
    <w:lvl w:ilvl="8" w:tplc="04020005" w:tentative="1">
      <w:start w:val="1"/>
      <w:numFmt w:val="bullet"/>
      <w:lvlText w:val=""/>
      <w:lvlJc w:val="left"/>
      <w:pPr>
        <w:ind w:left="6781" w:hanging="360"/>
      </w:pPr>
      <w:rPr>
        <w:rFonts w:ascii="Wingdings" w:hAnsi="Wingdings" w:hint="default"/>
      </w:rPr>
    </w:lvl>
  </w:abstractNum>
  <w:abstractNum w:abstractNumId="148">
    <w:nsid w:val="78814DBF"/>
    <w:multiLevelType w:val="hybridMultilevel"/>
    <w:tmpl w:val="C30C3FA2"/>
    <w:lvl w:ilvl="0" w:tplc="04020017">
      <w:start w:val="1"/>
      <w:numFmt w:val="lowerLetter"/>
      <w:lvlText w:val="%1)"/>
      <w:lvlJc w:val="left"/>
      <w:pPr>
        <w:ind w:left="2831" w:hanging="360"/>
      </w:pPr>
    </w:lvl>
    <w:lvl w:ilvl="1" w:tplc="04020019" w:tentative="1">
      <w:start w:val="1"/>
      <w:numFmt w:val="lowerLetter"/>
      <w:lvlText w:val="%2."/>
      <w:lvlJc w:val="left"/>
      <w:pPr>
        <w:ind w:left="3551" w:hanging="360"/>
      </w:pPr>
    </w:lvl>
    <w:lvl w:ilvl="2" w:tplc="0402001B" w:tentative="1">
      <w:start w:val="1"/>
      <w:numFmt w:val="lowerRoman"/>
      <w:lvlText w:val="%3."/>
      <w:lvlJc w:val="right"/>
      <w:pPr>
        <w:ind w:left="4271" w:hanging="180"/>
      </w:pPr>
    </w:lvl>
    <w:lvl w:ilvl="3" w:tplc="0402000F" w:tentative="1">
      <w:start w:val="1"/>
      <w:numFmt w:val="decimal"/>
      <w:lvlText w:val="%4."/>
      <w:lvlJc w:val="left"/>
      <w:pPr>
        <w:ind w:left="4991" w:hanging="360"/>
      </w:pPr>
    </w:lvl>
    <w:lvl w:ilvl="4" w:tplc="04020019" w:tentative="1">
      <w:start w:val="1"/>
      <w:numFmt w:val="lowerLetter"/>
      <w:lvlText w:val="%5."/>
      <w:lvlJc w:val="left"/>
      <w:pPr>
        <w:ind w:left="5711" w:hanging="360"/>
      </w:pPr>
    </w:lvl>
    <w:lvl w:ilvl="5" w:tplc="0402001B" w:tentative="1">
      <w:start w:val="1"/>
      <w:numFmt w:val="lowerRoman"/>
      <w:lvlText w:val="%6."/>
      <w:lvlJc w:val="right"/>
      <w:pPr>
        <w:ind w:left="6431" w:hanging="180"/>
      </w:pPr>
    </w:lvl>
    <w:lvl w:ilvl="6" w:tplc="0402000F" w:tentative="1">
      <w:start w:val="1"/>
      <w:numFmt w:val="decimal"/>
      <w:lvlText w:val="%7."/>
      <w:lvlJc w:val="left"/>
      <w:pPr>
        <w:ind w:left="7151" w:hanging="360"/>
      </w:pPr>
    </w:lvl>
    <w:lvl w:ilvl="7" w:tplc="04020019" w:tentative="1">
      <w:start w:val="1"/>
      <w:numFmt w:val="lowerLetter"/>
      <w:lvlText w:val="%8."/>
      <w:lvlJc w:val="left"/>
      <w:pPr>
        <w:ind w:left="7871" w:hanging="360"/>
      </w:pPr>
    </w:lvl>
    <w:lvl w:ilvl="8" w:tplc="0402001B" w:tentative="1">
      <w:start w:val="1"/>
      <w:numFmt w:val="lowerRoman"/>
      <w:lvlText w:val="%9."/>
      <w:lvlJc w:val="right"/>
      <w:pPr>
        <w:ind w:left="8591" w:hanging="180"/>
      </w:pPr>
    </w:lvl>
  </w:abstractNum>
  <w:abstractNum w:abstractNumId="149">
    <w:nsid w:val="79980752"/>
    <w:multiLevelType w:val="hybridMultilevel"/>
    <w:tmpl w:val="F932AB5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0">
    <w:nsid w:val="79A1614F"/>
    <w:multiLevelType w:val="hybridMultilevel"/>
    <w:tmpl w:val="D12071F2"/>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nsid w:val="7A3348C1"/>
    <w:multiLevelType w:val="hybridMultilevel"/>
    <w:tmpl w:val="9F646F7A"/>
    <w:lvl w:ilvl="0" w:tplc="0402000D">
      <w:start w:val="1"/>
      <w:numFmt w:val="bullet"/>
      <w:lvlText w:val=""/>
      <w:lvlJc w:val="left"/>
      <w:pPr>
        <w:ind w:left="1440" w:hanging="360"/>
      </w:pPr>
      <w:rPr>
        <w:rFonts w:ascii="Wingdings" w:hAnsi="Wingdings" w:hint="default"/>
      </w:rPr>
    </w:lvl>
    <w:lvl w:ilvl="1" w:tplc="0402000D">
      <w:start w:val="1"/>
      <w:numFmt w:val="bullet"/>
      <w:lvlText w:val=""/>
      <w:lvlJc w:val="left"/>
      <w:pPr>
        <w:ind w:left="2160" w:hanging="360"/>
      </w:pPr>
      <w:rPr>
        <w:rFonts w:ascii="Wingdings" w:hAnsi="Wingdings"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52">
    <w:nsid w:val="7BC20265"/>
    <w:multiLevelType w:val="hybridMultilevel"/>
    <w:tmpl w:val="07547690"/>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104"/>
  </w:num>
  <w:num w:numId="2">
    <w:abstractNumId w:val="65"/>
  </w:num>
  <w:num w:numId="3">
    <w:abstractNumId w:val="101"/>
  </w:num>
  <w:num w:numId="4">
    <w:abstractNumId w:val="97"/>
  </w:num>
  <w:num w:numId="5">
    <w:abstractNumId w:val="42"/>
  </w:num>
  <w:num w:numId="6">
    <w:abstractNumId w:val="52"/>
  </w:num>
  <w:num w:numId="7">
    <w:abstractNumId w:val="142"/>
  </w:num>
  <w:num w:numId="8">
    <w:abstractNumId w:val="79"/>
  </w:num>
  <w:num w:numId="9">
    <w:abstractNumId w:val="140"/>
  </w:num>
  <w:num w:numId="10">
    <w:abstractNumId w:val="72"/>
  </w:num>
  <w:num w:numId="11">
    <w:abstractNumId w:val="37"/>
  </w:num>
  <w:num w:numId="12">
    <w:abstractNumId w:val="78"/>
  </w:num>
  <w:num w:numId="13">
    <w:abstractNumId w:val="118"/>
  </w:num>
  <w:num w:numId="14">
    <w:abstractNumId w:val="94"/>
  </w:num>
  <w:num w:numId="15">
    <w:abstractNumId w:val="84"/>
  </w:num>
  <w:num w:numId="16">
    <w:abstractNumId w:val="114"/>
  </w:num>
  <w:num w:numId="17">
    <w:abstractNumId w:val="123"/>
  </w:num>
  <w:num w:numId="18">
    <w:abstractNumId w:val="13"/>
  </w:num>
  <w:num w:numId="19">
    <w:abstractNumId w:val="23"/>
  </w:num>
  <w:num w:numId="20">
    <w:abstractNumId w:val="49"/>
  </w:num>
  <w:num w:numId="21">
    <w:abstractNumId w:val="86"/>
  </w:num>
  <w:num w:numId="22">
    <w:abstractNumId w:val="53"/>
  </w:num>
  <w:num w:numId="23">
    <w:abstractNumId w:val="126"/>
  </w:num>
  <w:num w:numId="24">
    <w:abstractNumId w:val="148"/>
  </w:num>
  <w:num w:numId="25">
    <w:abstractNumId w:val="63"/>
  </w:num>
  <w:num w:numId="26">
    <w:abstractNumId w:val="83"/>
  </w:num>
  <w:num w:numId="27">
    <w:abstractNumId w:val="32"/>
  </w:num>
  <w:num w:numId="28">
    <w:abstractNumId w:val="119"/>
  </w:num>
  <w:num w:numId="29">
    <w:abstractNumId w:val="5"/>
  </w:num>
  <w:num w:numId="30">
    <w:abstractNumId w:val="34"/>
  </w:num>
  <w:num w:numId="31">
    <w:abstractNumId w:val="54"/>
  </w:num>
  <w:num w:numId="32">
    <w:abstractNumId w:val="66"/>
  </w:num>
  <w:num w:numId="33">
    <w:abstractNumId w:val="127"/>
  </w:num>
  <w:num w:numId="34">
    <w:abstractNumId w:val="117"/>
  </w:num>
  <w:num w:numId="35">
    <w:abstractNumId w:val="64"/>
  </w:num>
  <w:num w:numId="36">
    <w:abstractNumId w:val="28"/>
  </w:num>
  <w:num w:numId="37">
    <w:abstractNumId w:val="145"/>
  </w:num>
  <w:num w:numId="38">
    <w:abstractNumId w:val="58"/>
  </w:num>
  <w:num w:numId="39">
    <w:abstractNumId w:val="8"/>
  </w:num>
  <w:num w:numId="40">
    <w:abstractNumId w:val="4"/>
  </w:num>
  <w:num w:numId="41">
    <w:abstractNumId w:val="56"/>
  </w:num>
  <w:num w:numId="42">
    <w:abstractNumId w:val="80"/>
  </w:num>
  <w:num w:numId="43">
    <w:abstractNumId w:val="110"/>
  </w:num>
  <w:num w:numId="44">
    <w:abstractNumId w:val="55"/>
  </w:num>
  <w:num w:numId="45">
    <w:abstractNumId w:val="14"/>
  </w:num>
  <w:num w:numId="46">
    <w:abstractNumId w:val="33"/>
  </w:num>
  <w:num w:numId="47">
    <w:abstractNumId w:val="146"/>
  </w:num>
  <w:num w:numId="48">
    <w:abstractNumId w:val="20"/>
  </w:num>
  <w:num w:numId="49">
    <w:abstractNumId w:val="22"/>
  </w:num>
  <w:num w:numId="50">
    <w:abstractNumId w:val="27"/>
  </w:num>
  <w:num w:numId="51">
    <w:abstractNumId w:val="62"/>
  </w:num>
  <w:num w:numId="52">
    <w:abstractNumId w:val="12"/>
  </w:num>
  <w:num w:numId="53">
    <w:abstractNumId w:val="45"/>
  </w:num>
  <w:num w:numId="54">
    <w:abstractNumId w:val="71"/>
  </w:num>
  <w:num w:numId="55">
    <w:abstractNumId w:val="134"/>
  </w:num>
  <w:num w:numId="56">
    <w:abstractNumId w:val="95"/>
  </w:num>
  <w:num w:numId="57">
    <w:abstractNumId w:val="96"/>
  </w:num>
  <w:num w:numId="58">
    <w:abstractNumId w:val="73"/>
  </w:num>
  <w:num w:numId="59">
    <w:abstractNumId w:val="102"/>
  </w:num>
  <w:num w:numId="60">
    <w:abstractNumId w:val="47"/>
  </w:num>
  <w:num w:numId="61">
    <w:abstractNumId w:val="40"/>
  </w:num>
  <w:num w:numId="62">
    <w:abstractNumId w:val="35"/>
  </w:num>
  <w:num w:numId="63">
    <w:abstractNumId w:val="76"/>
  </w:num>
  <w:num w:numId="64">
    <w:abstractNumId w:val="67"/>
  </w:num>
  <w:num w:numId="65">
    <w:abstractNumId w:val="105"/>
  </w:num>
  <w:num w:numId="66">
    <w:abstractNumId w:val="152"/>
  </w:num>
  <w:num w:numId="67">
    <w:abstractNumId w:val="81"/>
  </w:num>
  <w:num w:numId="68">
    <w:abstractNumId w:val="39"/>
  </w:num>
  <w:num w:numId="69">
    <w:abstractNumId w:val="116"/>
  </w:num>
  <w:num w:numId="70">
    <w:abstractNumId w:val="135"/>
  </w:num>
  <w:num w:numId="71">
    <w:abstractNumId w:val="50"/>
  </w:num>
  <w:num w:numId="72">
    <w:abstractNumId w:val="30"/>
  </w:num>
  <w:num w:numId="73">
    <w:abstractNumId w:val="88"/>
  </w:num>
  <w:num w:numId="74">
    <w:abstractNumId w:val="99"/>
  </w:num>
  <w:num w:numId="75">
    <w:abstractNumId w:val="82"/>
  </w:num>
  <w:num w:numId="76">
    <w:abstractNumId w:val="128"/>
  </w:num>
  <w:num w:numId="77">
    <w:abstractNumId w:val="85"/>
  </w:num>
  <w:num w:numId="78">
    <w:abstractNumId w:val="41"/>
  </w:num>
  <w:num w:numId="79">
    <w:abstractNumId w:val="141"/>
  </w:num>
  <w:num w:numId="80">
    <w:abstractNumId w:val="70"/>
  </w:num>
  <w:num w:numId="81">
    <w:abstractNumId w:val="98"/>
  </w:num>
  <w:num w:numId="82">
    <w:abstractNumId w:val="143"/>
  </w:num>
  <w:num w:numId="83">
    <w:abstractNumId w:val="149"/>
  </w:num>
  <w:num w:numId="84">
    <w:abstractNumId w:val="120"/>
  </w:num>
  <w:num w:numId="85">
    <w:abstractNumId w:val="129"/>
  </w:num>
  <w:num w:numId="86">
    <w:abstractNumId w:val="103"/>
  </w:num>
  <w:num w:numId="87">
    <w:abstractNumId w:val="74"/>
  </w:num>
  <w:num w:numId="88">
    <w:abstractNumId w:val="19"/>
  </w:num>
  <w:num w:numId="89">
    <w:abstractNumId w:val="48"/>
  </w:num>
  <w:num w:numId="90">
    <w:abstractNumId w:val="91"/>
  </w:num>
  <w:num w:numId="91">
    <w:abstractNumId w:val="7"/>
  </w:num>
  <w:num w:numId="92">
    <w:abstractNumId w:val="139"/>
  </w:num>
  <w:num w:numId="93">
    <w:abstractNumId w:val="11"/>
  </w:num>
  <w:num w:numId="94">
    <w:abstractNumId w:val="138"/>
  </w:num>
  <w:num w:numId="95">
    <w:abstractNumId w:val="89"/>
  </w:num>
  <w:num w:numId="96">
    <w:abstractNumId w:val="109"/>
  </w:num>
  <w:num w:numId="97">
    <w:abstractNumId w:val="122"/>
  </w:num>
  <w:num w:numId="98">
    <w:abstractNumId w:val="9"/>
  </w:num>
  <w:num w:numId="99">
    <w:abstractNumId w:val="15"/>
  </w:num>
  <w:num w:numId="100">
    <w:abstractNumId w:val="26"/>
  </w:num>
  <w:num w:numId="101">
    <w:abstractNumId w:val="111"/>
  </w:num>
  <w:num w:numId="102">
    <w:abstractNumId w:val="133"/>
  </w:num>
  <w:num w:numId="103">
    <w:abstractNumId w:val="147"/>
  </w:num>
  <w:num w:numId="104">
    <w:abstractNumId w:val="38"/>
  </w:num>
  <w:num w:numId="105">
    <w:abstractNumId w:val="121"/>
  </w:num>
  <w:num w:numId="106">
    <w:abstractNumId w:val="113"/>
  </w:num>
  <w:num w:numId="107">
    <w:abstractNumId w:val="87"/>
  </w:num>
  <w:num w:numId="108">
    <w:abstractNumId w:val="17"/>
  </w:num>
  <w:num w:numId="109">
    <w:abstractNumId w:val="57"/>
  </w:num>
  <w:num w:numId="110">
    <w:abstractNumId w:val="3"/>
  </w:num>
  <w:num w:numId="111">
    <w:abstractNumId w:val="144"/>
  </w:num>
  <w:num w:numId="112">
    <w:abstractNumId w:val="68"/>
  </w:num>
  <w:num w:numId="113">
    <w:abstractNumId w:val="130"/>
  </w:num>
  <w:num w:numId="114">
    <w:abstractNumId w:val="1"/>
  </w:num>
  <w:num w:numId="115">
    <w:abstractNumId w:val="24"/>
  </w:num>
  <w:num w:numId="116">
    <w:abstractNumId w:val="108"/>
  </w:num>
  <w:num w:numId="117">
    <w:abstractNumId w:val="112"/>
  </w:num>
  <w:num w:numId="118">
    <w:abstractNumId w:val="93"/>
  </w:num>
  <w:num w:numId="119">
    <w:abstractNumId w:val="46"/>
  </w:num>
  <w:num w:numId="120">
    <w:abstractNumId w:val="132"/>
  </w:num>
  <w:num w:numId="121">
    <w:abstractNumId w:val="106"/>
  </w:num>
  <w:num w:numId="122">
    <w:abstractNumId w:val="137"/>
  </w:num>
  <w:num w:numId="123">
    <w:abstractNumId w:val="6"/>
  </w:num>
  <w:num w:numId="124">
    <w:abstractNumId w:val="2"/>
  </w:num>
  <w:num w:numId="125">
    <w:abstractNumId w:val="51"/>
  </w:num>
  <w:num w:numId="126">
    <w:abstractNumId w:val="25"/>
  </w:num>
  <w:num w:numId="127">
    <w:abstractNumId w:val="77"/>
  </w:num>
  <w:num w:numId="128">
    <w:abstractNumId w:val="31"/>
  </w:num>
  <w:num w:numId="129">
    <w:abstractNumId w:val="100"/>
  </w:num>
  <w:num w:numId="130">
    <w:abstractNumId w:val="21"/>
  </w:num>
  <w:num w:numId="131">
    <w:abstractNumId w:val="36"/>
  </w:num>
  <w:num w:numId="132">
    <w:abstractNumId w:val="131"/>
  </w:num>
  <w:num w:numId="133">
    <w:abstractNumId w:val="16"/>
  </w:num>
  <w:num w:numId="134">
    <w:abstractNumId w:val="61"/>
  </w:num>
  <w:num w:numId="135">
    <w:abstractNumId w:val="43"/>
  </w:num>
  <w:num w:numId="136">
    <w:abstractNumId w:val="59"/>
  </w:num>
  <w:num w:numId="137">
    <w:abstractNumId w:val="44"/>
  </w:num>
  <w:num w:numId="138">
    <w:abstractNumId w:val="90"/>
  </w:num>
  <w:num w:numId="139">
    <w:abstractNumId w:val="60"/>
  </w:num>
  <w:num w:numId="140">
    <w:abstractNumId w:val="92"/>
  </w:num>
  <w:num w:numId="141">
    <w:abstractNumId w:val="151"/>
  </w:num>
  <w:num w:numId="142">
    <w:abstractNumId w:val="18"/>
  </w:num>
  <w:num w:numId="143">
    <w:abstractNumId w:val="29"/>
  </w:num>
  <w:num w:numId="144">
    <w:abstractNumId w:val="75"/>
  </w:num>
  <w:num w:numId="145">
    <w:abstractNumId w:val="124"/>
  </w:num>
  <w:num w:numId="146">
    <w:abstractNumId w:val="150"/>
  </w:num>
  <w:num w:numId="147">
    <w:abstractNumId w:val="136"/>
  </w:num>
  <w:num w:numId="148">
    <w:abstractNumId w:val="107"/>
  </w:num>
  <w:num w:numId="149">
    <w:abstractNumId w:val="69"/>
  </w:num>
  <w:num w:numId="150">
    <w:abstractNumId w:val="125"/>
  </w:num>
  <w:num w:numId="151">
    <w:abstractNumId w:val="115"/>
  </w:num>
  <w:num w:numId="152">
    <w:abstractNumId w:val="10"/>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0C25"/>
    <w:rsid w:val="000002A0"/>
    <w:rsid w:val="00000B7B"/>
    <w:rsid w:val="00000FD6"/>
    <w:rsid w:val="000014B0"/>
    <w:rsid w:val="00001895"/>
    <w:rsid w:val="0000262E"/>
    <w:rsid w:val="000028FE"/>
    <w:rsid w:val="00011593"/>
    <w:rsid w:val="0001242A"/>
    <w:rsid w:val="00013899"/>
    <w:rsid w:val="00015E09"/>
    <w:rsid w:val="00015E27"/>
    <w:rsid w:val="00017319"/>
    <w:rsid w:val="00020A3D"/>
    <w:rsid w:val="00022490"/>
    <w:rsid w:val="00022745"/>
    <w:rsid w:val="00024A51"/>
    <w:rsid w:val="00026428"/>
    <w:rsid w:val="0002647E"/>
    <w:rsid w:val="000332FC"/>
    <w:rsid w:val="000347B7"/>
    <w:rsid w:val="00034A38"/>
    <w:rsid w:val="00034D0F"/>
    <w:rsid w:val="00034D50"/>
    <w:rsid w:val="00036804"/>
    <w:rsid w:val="00036F5A"/>
    <w:rsid w:val="000412A1"/>
    <w:rsid w:val="00042034"/>
    <w:rsid w:val="000421C6"/>
    <w:rsid w:val="00044DEB"/>
    <w:rsid w:val="00046C5D"/>
    <w:rsid w:val="000514F1"/>
    <w:rsid w:val="00051829"/>
    <w:rsid w:val="0005254F"/>
    <w:rsid w:val="00052D29"/>
    <w:rsid w:val="0005338E"/>
    <w:rsid w:val="0005383D"/>
    <w:rsid w:val="000564D5"/>
    <w:rsid w:val="00062BA1"/>
    <w:rsid w:val="00063572"/>
    <w:rsid w:val="000645F7"/>
    <w:rsid w:val="0006680C"/>
    <w:rsid w:val="00073135"/>
    <w:rsid w:val="0007723C"/>
    <w:rsid w:val="000810D7"/>
    <w:rsid w:val="000828E9"/>
    <w:rsid w:val="0008594B"/>
    <w:rsid w:val="00085A28"/>
    <w:rsid w:val="000863C3"/>
    <w:rsid w:val="000933EC"/>
    <w:rsid w:val="000947FB"/>
    <w:rsid w:val="0009491A"/>
    <w:rsid w:val="000964B6"/>
    <w:rsid w:val="00097974"/>
    <w:rsid w:val="000A11B5"/>
    <w:rsid w:val="000A2A91"/>
    <w:rsid w:val="000A310B"/>
    <w:rsid w:val="000A36E9"/>
    <w:rsid w:val="000A3AD1"/>
    <w:rsid w:val="000A438E"/>
    <w:rsid w:val="000A6D3A"/>
    <w:rsid w:val="000B0B6B"/>
    <w:rsid w:val="000B210E"/>
    <w:rsid w:val="000B28E1"/>
    <w:rsid w:val="000B2CF9"/>
    <w:rsid w:val="000B4E9B"/>
    <w:rsid w:val="000B5443"/>
    <w:rsid w:val="000B599D"/>
    <w:rsid w:val="000B73C2"/>
    <w:rsid w:val="000C0831"/>
    <w:rsid w:val="000C1422"/>
    <w:rsid w:val="000C387A"/>
    <w:rsid w:val="000D0692"/>
    <w:rsid w:val="000D18F4"/>
    <w:rsid w:val="000D2B95"/>
    <w:rsid w:val="000D4B2E"/>
    <w:rsid w:val="000D5B62"/>
    <w:rsid w:val="000D6A15"/>
    <w:rsid w:val="000D6B47"/>
    <w:rsid w:val="000D6B79"/>
    <w:rsid w:val="000D785B"/>
    <w:rsid w:val="000D7B19"/>
    <w:rsid w:val="000E137C"/>
    <w:rsid w:val="000E2C03"/>
    <w:rsid w:val="000E2E53"/>
    <w:rsid w:val="000E360C"/>
    <w:rsid w:val="000F0ACA"/>
    <w:rsid w:val="000F1B8D"/>
    <w:rsid w:val="000F3935"/>
    <w:rsid w:val="000F72B2"/>
    <w:rsid w:val="000F7888"/>
    <w:rsid w:val="00100247"/>
    <w:rsid w:val="00100734"/>
    <w:rsid w:val="00102196"/>
    <w:rsid w:val="00102CB7"/>
    <w:rsid w:val="00104C22"/>
    <w:rsid w:val="001058EF"/>
    <w:rsid w:val="00106E31"/>
    <w:rsid w:val="00107947"/>
    <w:rsid w:val="00107B8E"/>
    <w:rsid w:val="00107F7F"/>
    <w:rsid w:val="00113931"/>
    <w:rsid w:val="001151F2"/>
    <w:rsid w:val="00117579"/>
    <w:rsid w:val="001200F1"/>
    <w:rsid w:val="00120BCE"/>
    <w:rsid w:val="001219C1"/>
    <w:rsid w:val="001220EE"/>
    <w:rsid w:val="0012234C"/>
    <w:rsid w:val="00123920"/>
    <w:rsid w:val="00125A7F"/>
    <w:rsid w:val="00131785"/>
    <w:rsid w:val="00131C4E"/>
    <w:rsid w:val="0013525C"/>
    <w:rsid w:val="00137D44"/>
    <w:rsid w:val="001412D6"/>
    <w:rsid w:val="00144BF9"/>
    <w:rsid w:val="001477A8"/>
    <w:rsid w:val="00147A9C"/>
    <w:rsid w:val="00156D9F"/>
    <w:rsid w:val="00161876"/>
    <w:rsid w:val="00161E7F"/>
    <w:rsid w:val="00164E61"/>
    <w:rsid w:val="00165E0B"/>
    <w:rsid w:val="00167617"/>
    <w:rsid w:val="001676FA"/>
    <w:rsid w:val="00171874"/>
    <w:rsid w:val="001743FA"/>
    <w:rsid w:val="00174C6A"/>
    <w:rsid w:val="0017521B"/>
    <w:rsid w:val="00175AB3"/>
    <w:rsid w:val="00177CC3"/>
    <w:rsid w:val="0018004F"/>
    <w:rsid w:val="00181C9C"/>
    <w:rsid w:val="00183225"/>
    <w:rsid w:val="001833D6"/>
    <w:rsid w:val="00187165"/>
    <w:rsid w:val="0019158A"/>
    <w:rsid w:val="001920F8"/>
    <w:rsid w:val="00193DA9"/>
    <w:rsid w:val="001946DA"/>
    <w:rsid w:val="001950BB"/>
    <w:rsid w:val="00195C05"/>
    <w:rsid w:val="00197C20"/>
    <w:rsid w:val="001A036E"/>
    <w:rsid w:val="001A16C6"/>
    <w:rsid w:val="001A3CF8"/>
    <w:rsid w:val="001A3EBC"/>
    <w:rsid w:val="001A658E"/>
    <w:rsid w:val="001B3021"/>
    <w:rsid w:val="001B55F6"/>
    <w:rsid w:val="001B563D"/>
    <w:rsid w:val="001B7940"/>
    <w:rsid w:val="001C2CFD"/>
    <w:rsid w:val="001C49F5"/>
    <w:rsid w:val="001C5423"/>
    <w:rsid w:val="001C60E1"/>
    <w:rsid w:val="001C7819"/>
    <w:rsid w:val="001D076E"/>
    <w:rsid w:val="001D0B69"/>
    <w:rsid w:val="001D3536"/>
    <w:rsid w:val="001D3EA6"/>
    <w:rsid w:val="001D6F15"/>
    <w:rsid w:val="001D737D"/>
    <w:rsid w:val="001E16A2"/>
    <w:rsid w:val="001E30F0"/>
    <w:rsid w:val="001E43D4"/>
    <w:rsid w:val="001E47BE"/>
    <w:rsid w:val="001E6990"/>
    <w:rsid w:val="001E7114"/>
    <w:rsid w:val="001F07D2"/>
    <w:rsid w:val="001F1A5A"/>
    <w:rsid w:val="001F1CB7"/>
    <w:rsid w:val="001F5CC5"/>
    <w:rsid w:val="001F6A4D"/>
    <w:rsid w:val="002008F7"/>
    <w:rsid w:val="0020197F"/>
    <w:rsid w:val="00204D99"/>
    <w:rsid w:val="0021141C"/>
    <w:rsid w:val="0021220B"/>
    <w:rsid w:val="002171B0"/>
    <w:rsid w:val="002173C0"/>
    <w:rsid w:val="00217A8F"/>
    <w:rsid w:val="002203E3"/>
    <w:rsid w:val="00221221"/>
    <w:rsid w:val="002259A0"/>
    <w:rsid w:val="00225B75"/>
    <w:rsid w:val="0022736C"/>
    <w:rsid w:val="0023135F"/>
    <w:rsid w:val="002336AD"/>
    <w:rsid w:val="002351EC"/>
    <w:rsid w:val="00235F29"/>
    <w:rsid w:val="002367B1"/>
    <w:rsid w:val="0023779C"/>
    <w:rsid w:val="002377EC"/>
    <w:rsid w:val="00244086"/>
    <w:rsid w:val="002538B6"/>
    <w:rsid w:val="002567B4"/>
    <w:rsid w:val="00257E5C"/>
    <w:rsid w:val="0026163C"/>
    <w:rsid w:val="00264D22"/>
    <w:rsid w:val="0026520F"/>
    <w:rsid w:val="00265FA9"/>
    <w:rsid w:val="00266EDC"/>
    <w:rsid w:val="00266F92"/>
    <w:rsid w:val="002705A6"/>
    <w:rsid w:val="0027264C"/>
    <w:rsid w:val="002741F9"/>
    <w:rsid w:val="00274C1D"/>
    <w:rsid w:val="0027567F"/>
    <w:rsid w:val="0027773D"/>
    <w:rsid w:val="00280CB9"/>
    <w:rsid w:val="00281920"/>
    <w:rsid w:val="00282670"/>
    <w:rsid w:val="00285F12"/>
    <w:rsid w:val="00287990"/>
    <w:rsid w:val="00291382"/>
    <w:rsid w:val="00292CC6"/>
    <w:rsid w:val="00295143"/>
    <w:rsid w:val="00297481"/>
    <w:rsid w:val="00297DAF"/>
    <w:rsid w:val="002A0040"/>
    <w:rsid w:val="002A6E9D"/>
    <w:rsid w:val="002B069E"/>
    <w:rsid w:val="002B168C"/>
    <w:rsid w:val="002B2B35"/>
    <w:rsid w:val="002B3D2C"/>
    <w:rsid w:val="002B6831"/>
    <w:rsid w:val="002C34ED"/>
    <w:rsid w:val="002C4F7E"/>
    <w:rsid w:val="002C756B"/>
    <w:rsid w:val="002C7A63"/>
    <w:rsid w:val="002D05A0"/>
    <w:rsid w:val="002D0BB7"/>
    <w:rsid w:val="002D3117"/>
    <w:rsid w:val="002D3BE2"/>
    <w:rsid w:val="002D3BFB"/>
    <w:rsid w:val="002D43EC"/>
    <w:rsid w:val="002D5358"/>
    <w:rsid w:val="002D5913"/>
    <w:rsid w:val="002E205E"/>
    <w:rsid w:val="002E2656"/>
    <w:rsid w:val="002E50C1"/>
    <w:rsid w:val="002E74C0"/>
    <w:rsid w:val="002F0529"/>
    <w:rsid w:val="002F64B1"/>
    <w:rsid w:val="002F7478"/>
    <w:rsid w:val="00300FE4"/>
    <w:rsid w:val="00301497"/>
    <w:rsid w:val="0030178C"/>
    <w:rsid w:val="00302E09"/>
    <w:rsid w:val="00304514"/>
    <w:rsid w:val="00304B13"/>
    <w:rsid w:val="00305161"/>
    <w:rsid w:val="00307756"/>
    <w:rsid w:val="00310065"/>
    <w:rsid w:val="00310A9A"/>
    <w:rsid w:val="00311617"/>
    <w:rsid w:val="00315141"/>
    <w:rsid w:val="003154B0"/>
    <w:rsid w:val="00320CFC"/>
    <w:rsid w:val="003223C3"/>
    <w:rsid w:val="0032242D"/>
    <w:rsid w:val="00325089"/>
    <w:rsid w:val="00330FA0"/>
    <w:rsid w:val="0033112C"/>
    <w:rsid w:val="00332159"/>
    <w:rsid w:val="003321B9"/>
    <w:rsid w:val="00336DD5"/>
    <w:rsid w:val="00340EDD"/>
    <w:rsid w:val="0034256F"/>
    <w:rsid w:val="0034285F"/>
    <w:rsid w:val="003433EE"/>
    <w:rsid w:val="003438EF"/>
    <w:rsid w:val="00345ABF"/>
    <w:rsid w:val="00346C03"/>
    <w:rsid w:val="00347A92"/>
    <w:rsid w:val="003549DD"/>
    <w:rsid w:val="00360287"/>
    <w:rsid w:val="00361271"/>
    <w:rsid w:val="003620E9"/>
    <w:rsid w:val="003623FF"/>
    <w:rsid w:val="003627F7"/>
    <w:rsid w:val="003659C6"/>
    <w:rsid w:val="00367041"/>
    <w:rsid w:val="00374715"/>
    <w:rsid w:val="0037472C"/>
    <w:rsid w:val="003762F9"/>
    <w:rsid w:val="00382272"/>
    <w:rsid w:val="003827AE"/>
    <w:rsid w:val="00382F6A"/>
    <w:rsid w:val="00384136"/>
    <w:rsid w:val="00385A5C"/>
    <w:rsid w:val="00386A68"/>
    <w:rsid w:val="00390277"/>
    <w:rsid w:val="00391132"/>
    <w:rsid w:val="00392731"/>
    <w:rsid w:val="003929C5"/>
    <w:rsid w:val="003946D2"/>
    <w:rsid w:val="00395E51"/>
    <w:rsid w:val="003A555B"/>
    <w:rsid w:val="003A6417"/>
    <w:rsid w:val="003A66B6"/>
    <w:rsid w:val="003A69A7"/>
    <w:rsid w:val="003A6E4F"/>
    <w:rsid w:val="003A704B"/>
    <w:rsid w:val="003B12F6"/>
    <w:rsid w:val="003B17F2"/>
    <w:rsid w:val="003B23FD"/>
    <w:rsid w:val="003C2BDD"/>
    <w:rsid w:val="003C2C59"/>
    <w:rsid w:val="003C3B56"/>
    <w:rsid w:val="003C49C2"/>
    <w:rsid w:val="003C4A8A"/>
    <w:rsid w:val="003C4D4E"/>
    <w:rsid w:val="003C6F6D"/>
    <w:rsid w:val="003C70D5"/>
    <w:rsid w:val="003C73FF"/>
    <w:rsid w:val="003C7FB3"/>
    <w:rsid w:val="003D5393"/>
    <w:rsid w:val="003E0A94"/>
    <w:rsid w:val="003E22F5"/>
    <w:rsid w:val="003E7C71"/>
    <w:rsid w:val="003E7FB6"/>
    <w:rsid w:val="003F2979"/>
    <w:rsid w:val="003F3609"/>
    <w:rsid w:val="003F4EAE"/>
    <w:rsid w:val="003F500A"/>
    <w:rsid w:val="003F527B"/>
    <w:rsid w:val="003F6C93"/>
    <w:rsid w:val="0040426B"/>
    <w:rsid w:val="00404757"/>
    <w:rsid w:val="00405047"/>
    <w:rsid w:val="004068F1"/>
    <w:rsid w:val="004106F9"/>
    <w:rsid w:val="00411C22"/>
    <w:rsid w:val="00414436"/>
    <w:rsid w:val="0041447A"/>
    <w:rsid w:val="0041519B"/>
    <w:rsid w:val="004152BA"/>
    <w:rsid w:val="00416353"/>
    <w:rsid w:val="0041655E"/>
    <w:rsid w:val="00417D6F"/>
    <w:rsid w:val="00420C4B"/>
    <w:rsid w:val="00421960"/>
    <w:rsid w:val="00421EC4"/>
    <w:rsid w:val="00422854"/>
    <w:rsid w:val="004232F2"/>
    <w:rsid w:val="00427020"/>
    <w:rsid w:val="00432BD7"/>
    <w:rsid w:val="0043402E"/>
    <w:rsid w:val="00435416"/>
    <w:rsid w:val="00436F46"/>
    <w:rsid w:val="00440CC0"/>
    <w:rsid w:val="004410E0"/>
    <w:rsid w:val="00441B0A"/>
    <w:rsid w:val="00442A03"/>
    <w:rsid w:val="00443638"/>
    <w:rsid w:val="0044521E"/>
    <w:rsid w:val="00447136"/>
    <w:rsid w:val="004503E0"/>
    <w:rsid w:val="004529A5"/>
    <w:rsid w:val="00452C96"/>
    <w:rsid w:val="00453250"/>
    <w:rsid w:val="004546AF"/>
    <w:rsid w:val="0045619F"/>
    <w:rsid w:val="004562E3"/>
    <w:rsid w:val="004657E0"/>
    <w:rsid w:val="00465DC2"/>
    <w:rsid w:val="00466421"/>
    <w:rsid w:val="00466AEF"/>
    <w:rsid w:val="00472A2B"/>
    <w:rsid w:val="00473CCE"/>
    <w:rsid w:val="004759DB"/>
    <w:rsid w:val="004770BF"/>
    <w:rsid w:val="004833AB"/>
    <w:rsid w:val="00483C38"/>
    <w:rsid w:val="00485769"/>
    <w:rsid w:val="004858B0"/>
    <w:rsid w:val="004876A9"/>
    <w:rsid w:val="00487B66"/>
    <w:rsid w:val="00487D88"/>
    <w:rsid w:val="00491198"/>
    <w:rsid w:val="004932EA"/>
    <w:rsid w:val="00493EC0"/>
    <w:rsid w:val="00494E35"/>
    <w:rsid w:val="00495A4A"/>
    <w:rsid w:val="004966D2"/>
    <w:rsid w:val="004966E2"/>
    <w:rsid w:val="00496C41"/>
    <w:rsid w:val="004A699D"/>
    <w:rsid w:val="004A7E29"/>
    <w:rsid w:val="004B1978"/>
    <w:rsid w:val="004B6340"/>
    <w:rsid w:val="004B67F7"/>
    <w:rsid w:val="004C0A23"/>
    <w:rsid w:val="004C2E61"/>
    <w:rsid w:val="004C539A"/>
    <w:rsid w:val="004C64C4"/>
    <w:rsid w:val="004C6E78"/>
    <w:rsid w:val="004D0F52"/>
    <w:rsid w:val="004D451D"/>
    <w:rsid w:val="004D5BE4"/>
    <w:rsid w:val="004D6636"/>
    <w:rsid w:val="004E14AD"/>
    <w:rsid w:val="004E2124"/>
    <w:rsid w:val="004E2BFB"/>
    <w:rsid w:val="004E7275"/>
    <w:rsid w:val="004F00B9"/>
    <w:rsid w:val="004F0DE1"/>
    <w:rsid w:val="004F26E6"/>
    <w:rsid w:val="004F2CDD"/>
    <w:rsid w:val="004F4379"/>
    <w:rsid w:val="004F53B4"/>
    <w:rsid w:val="004F626D"/>
    <w:rsid w:val="004F6DB9"/>
    <w:rsid w:val="004F7899"/>
    <w:rsid w:val="00501858"/>
    <w:rsid w:val="0050230D"/>
    <w:rsid w:val="005066D6"/>
    <w:rsid w:val="0051100F"/>
    <w:rsid w:val="00513750"/>
    <w:rsid w:val="00517F74"/>
    <w:rsid w:val="0052186B"/>
    <w:rsid w:val="00531451"/>
    <w:rsid w:val="00533C1D"/>
    <w:rsid w:val="005404EB"/>
    <w:rsid w:val="005513DA"/>
    <w:rsid w:val="00553A5E"/>
    <w:rsid w:val="0055742D"/>
    <w:rsid w:val="005576EE"/>
    <w:rsid w:val="00557791"/>
    <w:rsid w:val="0056064F"/>
    <w:rsid w:val="005642FD"/>
    <w:rsid w:val="00565465"/>
    <w:rsid w:val="005663D5"/>
    <w:rsid w:val="005669FC"/>
    <w:rsid w:val="00566B84"/>
    <w:rsid w:val="00576C81"/>
    <w:rsid w:val="00577C16"/>
    <w:rsid w:val="00580614"/>
    <w:rsid w:val="00581323"/>
    <w:rsid w:val="0058162F"/>
    <w:rsid w:val="0058546A"/>
    <w:rsid w:val="0058627C"/>
    <w:rsid w:val="0058664C"/>
    <w:rsid w:val="00590236"/>
    <w:rsid w:val="00590573"/>
    <w:rsid w:val="00590F84"/>
    <w:rsid w:val="00594263"/>
    <w:rsid w:val="00595BFD"/>
    <w:rsid w:val="00597F29"/>
    <w:rsid w:val="005A1BA7"/>
    <w:rsid w:val="005A2223"/>
    <w:rsid w:val="005A4EAF"/>
    <w:rsid w:val="005A78B8"/>
    <w:rsid w:val="005A7AE8"/>
    <w:rsid w:val="005B0A7C"/>
    <w:rsid w:val="005B1DBC"/>
    <w:rsid w:val="005B30AA"/>
    <w:rsid w:val="005B59A5"/>
    <w:rsid w:val="005B5CB3"/>
    <w:rsid w:val="005C0D18"/>
    <w:rsid w:val="005C11E3"/>
    <w:rsid w:val="005C1535"/>
    <w:rsid w:val="005C1802"/>
    <w:rsid w:val="005C3CEF"/>
    <w:rsid w:val="005C4B92"/>
    <w:rsid w:val="005D0AA6"/>
    <w:rsid w:val="005D1F5C"/>
    <w:rsid w:val="005D2F31"/>
    <w:rsid w:val="005D3CFA"/>
    <w:rsid w:val="005D53DF"/>
    <w:rsid w:val="005E1543"/>
    <w:rsid w:val="005E17B6"/>
    <w:rsid w:val="005E2B9F"/>
    <w:rsid w:val="005E310D"/>
    <w:rsid w:val="005E5949"/>
    <w:rsid w:val="005E6F0F"/>
    <w:rsid w:val="005F4B15"/>
    <w:rsid w:val="005F7575"/>
    <w:rsid w:val="006003D1"/>
    <w:rsid w:val="0060358C"/>
    <w:rsid w:val="00603735"/>
    <w:rsid w:val="00604D15"/>
    <w:rsid w:val="00605A36"/>
    <w:rsid w:val="00607F89"/>
    <w:rsid w:val="0061170E"/>
    <w:rsid w:val="00613DBC"/>
    <w:rsid w:val="0061529D"/>
    <w:rsid w:val="00615A90"/>
    <w:rsid w:val="00615C30"/>
    <w:rsid w:val="00615D9C"/>
    <w:rsid w:val="00617FBE"/>
    <w:rsid w:val="0062047D"/>
    <w:rsid w:val="00620CBC"/>
    <w:rsid w:val="00621D89"/>
    <w:rsid w:val="006237F3"/>
    <w:rsid w:val="00627AD7"/>
    <w:rsid w:val="00627E06"/>
    <w:rsid w:val="00630163"/>
    <w:rsid w:val="006309A6"/>
    <w:rsid w:val="006310FE"/>
    <w:rsid w:val="00631640"/>
    <w:rsid w:val="00632DCA"/>
    <w:rsid w:val="006334B9"/>
    <w:rsid w:val="00640622"/>
    <w:rsid w:val="006412CD"/>
    <w:rsid w:val="006413C6"/>
    <w:rsid w:val="00644D36"/>
    <w:rsid w:val="0064665B"/>
    <w:rsid w:val="006475BC"/>
    <w:rsid w:val="00650D7A"/>
    <w:rsid w:val="006524AA"/>
    <w:rsid w:val="0065424F"/>
    <w:rsid w:val="00657601"/>
    <w:rsid w:val="00663C66"/>
    <w:rsid w:val="0066481F"/>
    <w:rsid w:val="006659FC"/>
    <w:rsid w:val="00665F19"/>
    <w:rsid w:val="006676F4"/>
    <w:rsid w:val="00667C12"/>
    <w:rsid w:val="00672113"/>
    <w:rsid w:val="0067331E"/>
    <w:rsid w:val="00674B2B"/>
    <w:rsid w:val="00680792"/>
    <w:rsid w:val="006823E2"/>
    <w:rsid w:val="00683ED1"/>
    <w:rsid w:val="00686657"/>
    <w:rsid w:val="00690F18"/>
    <w:rsid w:val="00691CF9"/>
    <w:rsid w:val="00692155"/>
    <w:rsid w:val="00694C5D"/>
    <w:rsid w:val="00695315"/>
    <w:rsid w:val="00697BB3"/>
    <w:rsid w:val="00697BD5"/>
    <w:rsid w:val="006A01B6"/>
    <w:rsid w:val="006A0AB7"/>
    <w:rsid w:val="006A1E64"/>
    <w:rsid w:val="006A25D3"/>
    <w:rsid w:val="006A33CF"/>
    <w:rsid w:val="006A3D58"/>
    <w:rsid w:val="006A5104"/>
    <w:rsid w:val="006A5F2D"/>
    <w:rsid w:val="006A6981"/>
    <w:rsid w:val="006B1A43"/>
    <w:rsid w:val="006B2C48"/>
    <w:rsid w:val="006B2F52"/>
    <w:rsid w:val="006B4BD2"/>
    <w:rsid w:val="006B7431"/>
    <w:rsid w:val="006B7691"/>
    <w:rsid w:val="006B7C2B"/>
    <w:rsid w:val="006C15E2"/>
    <w:rsid w:val="006C19BC"/>
    <w:rsid w:val="006C20A9"/>
    <w:rsid w:val="006C37E5"/>
    <w:rsid w:val="006C4EBD"/>
    <w:rsid w:val="006C6566"/>
    <w:rsid w:val="006D1111"/>
    <w:rsid w:val="006D1ED0"/>
    <w:rsid w:val="006D2202"/>
    <w:rsid w:val="006D3F04"/>
    <w:rsid w:val="006D4B24"/>
    <w:rsid w:val="006D4B35"/>
    <w:rsid w:val="006D4B6D"/>
    <w:rsid w:val="006D4C31"/>
    <w:rsid w:val="006D6B78"/>
    <w:rsid w:val="006E1E31"/>
    <w:rsid w:val="006E352C"/>
    <w:rsid w:val="006E39EC"/>
    <w:rsid w:val="006E5E12"/>
    <w:rsid w:val="006F0812"/>
    <w:rsid w:val="006F377B"/>
    <w:rsid w:val="006F4339"/>
    <w:rsid w:val="006F4B35"/>
    <w:rsid w:val="006F5B4C"/>
    <w:rsid w:val="00704F85"/>
    <w:rsid w:val="00710D7F"/>
    <w:rsid w:val="00711D68"/>
    <w:rsid w:val="00714120"/>
    <w:rsid w:val="007161BC"/>
    <w:rsid w:val="00717444"/>
    <w:rsid w:val="007205C4"/>
    <w:rsid w:val="00722380"/>
    <w:rsid w:val="00722616"/>
    <w:rsid w:val="00722A8B"/>
    <w:rsid w:val="00722D8B"/>
    <w:rsid w:val="00723231"/>
    <w:rsid w:val="007241C2"/>
    <w:rsid w:val="00724320"/>
    <w:rsid w:val="00727598"/>
    <w:rsid w:val="00730406"/>
    <w:rsid w:val="00731CA3"/>
    <w:rsid w:val="007337A6"/>
    <w:rsid w:val="00740531"/>
    <w:rsid w:val="00741A19"/>
    <w:rsid w:val="00741DAA"/>
    <w:rsid w:val="00743541"/>
    <w:rsid w:val="0074378F"/>
    <w:rsid w:val="00743DBD"/>
    <w:rsid w:val="00744E08"/>
    <w:rsid w:val="0074710D"/>
    <w:rsid w:val="007502FD"/>
    <w:rsid w:val="00751D14"/>
    <w:rsid w:val="00751FA1"/>
    <w:rsid w:val="00752FF6"/>
    <w:rsid w:val="0075338F"/>
    <w:rsid w:val="007537B8"/>
    <w:rsid w:val="007544C4"/>
    <w:rsid w:val="00757D84"/>
    <w:rsid w:val="007607B6"/>
    <w:rsid w:val="00764E73"/>
    <w:rsid w:val="007665EC"/>
    <w:rsid w:val="007678FF"/>
    <w:rsid w:val="00767EA0"/>
    <w:rsid w:val="007702FF"/>
    <w:rsid w:val="00770EB3"/>
    <w:rsid w:val="007747FF"/>
    <w:rsid w:val="007775CC"/>
    <w:rsid w:val="007819D1"/>
    <w:rsid w:val="007828B4"/>
    <w:rsid w:val="007834B7"/>
    <w:rsid w:val="0078445C"/>
    <w:rsid w:val="00784ABD"/>
    <w:rsid w:val="00784C26"/>
    <w:rsid w:val="00786CB9"/>
    <w:rsid w:val="00787873"/>
    <w:rsid w:val="0079017E"/>
    <w:rsid w:val="0079327E"/>
    <w:rsid w:val="00794454"/>
    <w:rsid w:val="00794E10"/>
    <w:rsid w:val="007A0037"/>
    <w:rsid w:val="007A0A24"/>
    <w:rsid w:val="007A1C87"/>
    <w:rsid w:val="007A40D6"/>
    <w:rsid w:val="007A7F57"/>
    <w:rsid w:val="007B12DD"/>
    <w:rsid w:val="007B22AD"/>
    <w:rsid w:val="007B3B4B"/>
    <w:rsid w:val="007B40C0"/>
    <w:rsid w:val="007B634C"/>
    <w:rsid w:val="007C01C9"/>
    <w:rsid w:val="007C07BE"/>
    <w:rsid w:val="007C07FA"/>
    <w:rsid w:val="007C4055"/>
    <w:rsid w:val="007C5AD0"/>
    <w:rsid w:val="007D3650"/>
    <w:rsid w:val="007D6052"/>
    <w:rsid w:val="007D6437"/>
    <w:rsid w:val="007E21AE"/>
    <w:rsid w:val="007E230D"/>
    <w:rsid w:val="007E5B07"/>
    <w:rsid w:val="007F0E3D"/>
    <w:rsid w:val="007F2DA9"/>
    <w:rsid w:val="007F733A"/>
    <w:rsid w:val="008002D3"/>
    <w:rsid w:val="008004BE"/>
    <w:rsid w:val="00800B56"/>
    <w:rsid w:val="0080173F"/>
    <w:rsid w:val="00802D94"/>
    <w:rsid w:val="008066D1"/>
    <w:rsid w:val="008074A4"/>
    <w:rsid w:val="00810EE0"/>
    <w:rsid w:val="00811231"/>
    <w:rsid w:val="0081292E"/>
    <w:rsid w:val="00812D05"/>
    <w:rsid w:val="00817A5B"/>
    <w:rsid w:val="00820ED6"/>
    <w:rsid w:val="0082272B"/>
    <w:rsid w:val="00824F15"/>
    <w:rsid w:val="008255A3"/>
    <w:rsid w:val="00825D1D"/>
    <w:rsid w:val="008311B3"/>
    <w:rsid w:val="0083165D"/>
    <w:rsid w:val="00834DB5"/>
    <w:rsid w:val="00835F5C"/>
    <w:rsid w:val="00836B25"/>
    <w:rsid w:val="00837E56"/>
    <w:rsid w:val="00843C57"/>
    <w:rsid w:val="00843F67"/>
    <w:rsid w:val="00844301"/>
    <w:rsid w:val="008455D2"/>
    <w:rsid w:val="00850114"/>
    <w:rsid w:val="008501EA"/>
    <w:rsid w:val="00850EC0"/>
    <w:rsid w:val="00852800"/>
    <w:rsid w:val="00856465"/>
    <w:rsid w:val="00856918"/>
    <w:rsid w:val="008614F1"/>
    <w:rsid w:val="00865C25"/>
    <w:rsid w:val="00866AD8"/>
    <w:rsid w:val="008675B9"/>
    <w:rsid w:val="00867D48"/>
    <w:rsid w:val="00874A8F"/>
    <w:rsid w:val="00877C94"/>
    <w:rsid w:val="00877D75"/>
    <w:rsid w:val="0088178F"/>
    <w:rsid w:val="00884347"/>
    <w:rsid w:val="008864DE"/>
    <w:rsid w:val="00891CE2"/>
    <w:rsid w:val="00894336"/>
    <w:rsid w:val="00895DB5"/>
    <w:rsid w:val="00896933"/>
    <w:rsid w:val="00896946"/>
    <w:rsid w:val="00896C88"/>
    <w:rsid w:val="0089740C"/>
    <w:rsid w:val="00897A0D"/>
    <w:rsid w:val="008A44D8"/>
    <w:rsid w:val="008A70C2"/>
    <w:rsid w:val="008A7DCE"/>
    <w:rsid w:val="008B36EF"/>
    <w:rsid w:val="008B42D5"/>
    <w:rsid w:val="008B4374"/>
    <w:rsid w:val="008B43C9"/>
    <w:rsid w:val="008B4A11"/>
    <w:rsid w:val="008B71F3"/>
    <w:rsid w:val="008C03F5"/>
    <w:rsid w:val="008C1753"/>
    <w:rsid w:val="008C2C6F"/>
    <w:rsid w:val="008C2FC6"/>
    <w:rsid w:val="008C4472"/>
    <w:rsid w:val="008C4E35"/>
    <w:rsid w:val="008C5C26"/>
    <w:rsid w:val="008C77F6"/>
    <w:rsid w:val="008D18E8"/>
    <w:rsid w:val="008D2C24"/>
    <w:rsid w:val="008E3AF1"/>
    <w:rsid w:val="008E4057"/>
    <w:rsid w:val="008E4A10"/>
    <w:rsid w:val="008E55D2"/>
    <w:rsid w:val="008E62D3"/>
    <w:rsid w:val="008E6461"/>
    <w:rsid w:val="008F308F"/>
    <w:rsid w:val="008F4990"/>
    <w:rsid w:val="008F50F4"/>
    <w:rsid w:val="008F5142"/>
    <w:rsid w:val="008F74AE"/>
    <w:rsid w:val="009012A7"/>
    <w:rsid w:val="00901B6E"/>
    <w:rsid w:val="009063F9"/>
    <w:rsid w:val="00906843"/>
    <w:rsid w:val="00907AE2"/>
    <w:rsid w:val="00910103"/>
    <w:rsid w:val="00910245"/>
    <w:rsid w:val="009105DB"/>
    <w:rsid w:val="00911089"/>
    <w:rsid w:val="00911796"/>
    <w:rsid w:val="00911FF9"/>
    <w:rsid w:val="00914006"/>
    <w:rsid w:val="00917BB0"/>
    <w:rsid w:val="00921114"/>
    <w:rsid w:val="00922F43"/>
    <w:rsid w:val="009238DD"/>
    <w:rsid w:val="00927D63"/>
    <w:rsid w:val="0093058C"/>
    <w:rsid w:val="00930791"/>
    <w:rsid w:val="009319EC"/>
    <w:rsid w:val="0093337F"/>
    <w:rsid w:val="00933C29"/>
    <w:rsid w:val="00935921"/>
    <w:rsid w:val="009376DD"/>
    <w:rsid w:val="0094538C"/>
    <w:rsid w:val="00946453"/>
    <w:rsid w:val="00946729"/>
    <w:rsid w:val="009507EC"/>
    <w:rsid w:val="00951709"/>
    <w:rsid w:val="009538AB"/>
    <w:rsid w:val="00953F41"/>
    <w:rsid w:val="00955CF9"/>
    <w:rsid w:val="00957864"/>
    <w:rsid w:val="00963039"/>
    <w:rsid w:val="00966605"/>
    <w:rsid w:val="009678AD"/>
    <w:rsid w:val="00967EC4"/>
    <w:rsid w:val="00972531"/>
    <w:rsid w:val="00972D3D"/>
    <w:rsid w:val="00973A07"/>
    <w:rsid w:val="009744EC"/>
    <w:rsid w:val="009756DF"/>
    <w:rsid w:val="0097640B"/>
    <w:rsid w:val="0097686A"/>
    <w:rsid w:val="00977AE5"/>
    <w:rsid w:val="009801A4"/>
    <w:rsid w:val="009811D3"/>
    <w:rsid w:val="00990763"/>
    <w:rsid w:val="009922C0"/>
    <w:rsid w:val="00995150"/>
    <w:rsid w:val="0099561B"/>
    <w:rsid w:val="0099630F"/>
    <w:rsid w:val="009A1752"/>
    <w:rsid w:val="009A1DCE"/>
    <w:rsid w:val="009A309F"/>
    <w:rsid w:val="009A622A"/>
    <w:rsid w:val="009A735A"/>
    <w:rsid w:val="009B15D7"/>
    <w:rsid w:val="009B29F2"/>
    <w:rsid w:val="009B511B"/>
    <w:rsid w:val="009B54DC"/>
    <w:rsid w:val="009B6A70"/>
    <w:rsid w:val="009B6BA2"/>
    <w:rsid w:val="009B73A8"/>
    <w:rsid w:val="009C0EFD"/>
    <w:rsid w:val="009C1252"/>
    <w:rsid w:val="009C1CFD"/>
    <w:rsid w:val="009C30F5"/>
    <w:rsid w:val="009C459F"/>
    <w:rsid w:val="009C521D"/>
    <w:rsid w:val="009C60B0"/>
    <w:rsid w:val="009C61F6"/>
    <w:rsid w:val="009C6D60"/>
    <w:rsid w:val="009C79E3"/>
    <w:rsid w:val="009C7A3B"/>
    <w:rsid w:val="009D0DED"/>
    <w:rsid w:val="009D2A4E"/>
    <w:rsid w:val="009D2DBF"/>
    <w:rsid w:val="009D6DA0"/>
    <w:rsid w:val="009D7D80"/>
    <w:rsid w:val="009E0606"/>
    <w:rsid w:val="009E275A"/>
    <w:rsid w:val="009E4676"/>
    <w:rsid w:val="009E54A1"/>
    <w:rsid w:val="009E557D"/>
    <w:rsid w:val="009E55A6"/>
    <w:rsid w:val="009E6215"/>
    <w:rsid w:val="009E65C1"/>
    <w:rsid w:val="009E7A5C"/>
    <w:rsid w:val="009F0EC0"/>
    <w:rsid w:val="009F1D89"/>
    <w:rsid w:val="009F4905"/>
    <w:rsid w:val="009F6DD9"/>
    <w:rsid w:val="009F7105"/>
    <w:rsid w:val="00A00564"/>
    <w:rsid w:val="00A01A04"/>
    <w:rsid w:val="00A056A9"/>
    <w:rsid w:val="00A071B5"/>
    <w:rsid w:val="00A1309B"/>
    <w:rsid w:val="00A13C66"/>
    <w:rsid w:val="00A15C05"/>
    <w:rsid w:val="00A17302"/>
    <w:rsid w:val="00A17CF0"/>
    <w:rsid w:val="00A20D15"/>
    <w:rsid w:val="00A20E7C"/>
    <w:rsid w:val="00A214FF"/>
    <w:rsid w:val="00A22868"/>
    <w:rsid w:val="00A22B55"/>
    <w:rsid w:val="00A23818"/>
    <w:rsid w:val="00A23C33"/>
    <w:rsid w:val="00A314DC"/>
    <w:rsid w:val="00A349F8"/>
    <w:rsid w:val="00A42365"/>
    <w:rsid w:val="00A42F68"/>
    <w:rsid w:val="00A43A22"/>
    <w:rsid w:val="00A43F16"/>
    <w:rsid w:val="00A46B67"/>
    <w:rsid w:val="00A514D4"/>
    <w:rsid w:val="00A517A8"/>
    <w:rsid w:val="00A51ADA"/>
    <w:rsid w:val="00A51CBA"/>
    <w:rsid w:val="00A52C9B"/>
    <w:rsid w:val="00A53472"/>
    <w:rsid w:val="00A55122"/>
    <w:rsid w:val="00A55F89"/>
    <w:rsid w:val="00A57B17"/>
    <w:rsid w:val="00A6106E"/>
    <w:rsid w:val="00A6109A"/>
    <w:rsid w:val="00A6205E"/>
    <w:rsid w:val="00A62568"/>
    <w:rsid w:val="00A650E2"/>
    <w:rsid w:val="00A67208"/>
    <w:rsid w:val="00A71411"/>
    <w:rsid w:val="00A71DEE"/>
    <w:rsid w:val="00A71F1A"/>
    <w:rsid w:val="00A72913"/>
    <w:rsid w:val="00A73655"/>
    <w:rsid w:val="00A74967"/>
    <w:rsid w:val="00A74F8F"/>
    <w:rsid w:val="00A7593F"/>
    <w:rsid w:val="00A811E1"/>
    <w:rsid w:val="00A821AF"/>
    <w:rsid w:val="00A8291D"/>
    <w:rsid w:val="00A82D1C"/>
    <w:rsid w:val="00A833FB"/>
    <w:rsid w:val="00A83513"/>
    <w:rsid w:val="00A836CB"/>
    <w:rsid w:val="00A84492"/>
    <w:rsid w:val="00A84758"/>
    <w:rsid w:val="00A869A2"/>
    <w:rsid w:val="00A87EB1"/>
    <w:rsid w:val="00A91295"/>
    <w:rsid w:val="00A928FE"/>
    <w:rsid w:val="00A957F0"/>
    <w:rsid w:val="00A9643C"/>
    <w:rsid w:val="00A9789A"/>
    <w:rsid w:val="00AA1BAE"/>
    <w:rsid w:val="00AA307B"/>
    <w:rsid w:val="00AB09D2"/>
    <w:rsid w:val="00AB14B6"/>
    <w:rsid w:val="00AB7BB7"/>
    <w:rsid w:val="00AC15DD"/>
    <w:rsid w:val="00AC395E"/>
    <w:rsid w:val="00AC586C"/>
    <w:rsid w:val="00AC6028"/>
    <w:rsid w:val="00AD0279"/>
    <w:rsid w:val="00AD0931"/>
    <w:rsid w:val="00AD1C41"/>
    <w:rsid w:val="00AD3456"/>
    <w:rsid w:val="00AD51E3"/>
    <w:rsid w:val="00AD672F"/>
    <w:rsid w:val="00AD6892"/>
    <w:rsid w:val="00AD705C"/>
    <w:rsid w:val="00AE26C5"/>
    <w:rsid w:val="00AE41A6"/>
    <w:rsid w:val="00AE41E0"/>
    <w:rsid w:val="00AE786C"/>
    <w:rsid w:val="00AE7945"/>
    <w:rsid w:val="00AF004C"/>
    <w:rsid w:val="00AF0C50"/>
    <w:rsid w:val="00AF2094"/>
    <w:rsid w:val="00AF27AF"/>
    <w:rsid w:val="00AF6A86"/>
    <w:rsid w:val="00AF6CCE"/>
    <w:rsid w:val="00AF7DDA"/>
    <w:rsid w:val="00B0326E"/>
    <w:rsid w:val="00B0774A"/>
    <w:rsid w:val="00B10134"/>
    <w:rsid w:val="00B12238"/>
    <w:rsid w:val="00B12706"/>
    <w:rsid w:val="00B12AD7"/>
    <w:rsid w:val="00B1363C"/>
    <w:rsid w:val="00B13D6A"/>
    <w:rsid w:val="00B1622B"/>
    <w:rsid w:val="00B165D6"/>
    <w:rsid w:val="00B20A72"/>
    <w:rsid w:val="00B22077"/>
    <w:rsid w:val="00B23254"/>
    <w:rsid w:val="00B23F4D"/>
    <w:rsid w:val="00B24A16"/>
    <w:rsid w:val="00B255C1"/>
    <w:rsid w:val="00B26F4B"/>
    <w:rsid w:val="00B31A76"/>
    <w:rsid w:val="00B31E42"/>
    <w:rsid w:val="00B34BE5"/>
    <w:rsid w:val="00B40F53"/>
    <w:rsid w:val="00B41988"/>
    <w:rsid w:val="00B41A94"/>
    <w:rsid w:val="00B428C8"/>
    <w:rsid w:val="00B42925"/>
    <w:rsid w:val="00B43473"/>
    <w:rsid w:val="00B436C4"/>
    <w:rsid w:val="00B462AB"/>
    <w:rsid w:val="00B47466"/>
    <w:rsid w:val="00B47554"/>
    <w:rsid w:val="00B5059B"/>
    <w:rsid w:val="00B50AE0"/>
    <w:rsid w:val="00B51098"/>
    <w:rsid w:val="00B511DD"/>
    <w:rsid w:val="00B52559"/>
    <w:rsid w:val="00B52813"/>
    <w:rsid w:val="00B54A3A"/>
    <w:rsid w:val="00B5621B"/>
    <w:rsid w:val="00B60702"/>
    <w:rsid w:val="00B607DB"/>
    <w:rsid w:val="00B62359"/>
    <w:rsid w:val="00B636B8"/>
    <w:rsid w:val="00B63EA4"/>
    <w:rsid w:val="00B66448"/>
    <w:rsid w:val="00B753AC"/>
    <w:rsid w:val="00B77000"/>
    <w:rsid w:val="00B77D22"/>
    <w:rsid w:val="00B818E6"/>
    <w:rsid w:val="00B82D9D"/>
    <w:rsid w:val="00B83A10"/>
    <w:rsid w:val="00B83E87"/>
    <w:rsid w:val="00B86157"/>
    <w:rsid w:val="00B87C9D"/>
    <w:rsid w:val="00B91DFC"/>
    <w:rsid w:val="00B91F9F"/>
    <w:rsid w:val="00B92C4C"/>
    <w:rsid w:val="00B93F18"/>
    <w:rsid w:val="00B94BCB"/>
    <w:rsid w:val="00B94CAA"/>
    <w:rsid w:val="00B95B91"/>
    <w:rsid w:val="00BA0545"/>
    <w:rsid w:val="00BA2260"/>
    <w:rsid w:val="00BA2FD0"/>
    <w:rsid w:val="00BA327C"/>
    <w:rsid w:val="00BA3B11"/>
    <w:rsid w:val="00BA5525"/>
    <w:rsid w:val="00BA6C4D"/>
    <w:rsid w:val="00BA7E31"/>
    <w:rsid w:val="00BB1FC9"/>
    <w:rsid w:val="00BB27BC"/>
    <w:rsid w:val="00BB35A0"/>
    <w:rsid w:val="00BB5473"/>
    <w:rsid w:val="00BB5678"/>
    <w:rsid w:val="00BB5A85"/>
    <w:rsid w:val="00BC0D1D"/>
    <w:rsid w:val="00BC12C5"/>
    <w:rsid w:val="00BC2F15"/>
    <w:rsid w:val="00BC4527"/>
    <w:rsid w:val="00BC5475"/>
    <w:rsid w:val="00BC66BD"/>
    <w:rsid w:val="00BC7AE2"/>
    <w:rsid w:val="00BD3801"/>
    <w:rsid w:val="00BD4595"/>
    <w:rsid w:val="00BD5EEB"/>
    <w:rsid w:val="00BD617F"/>
    <w:rsid w:val="00BD6519"/>
    <w:rsid w:val="00BE0DD0"/>
    <w:rsid w:val="00BE25FA"/>
    <w:rsid w:val="00BE6A66"/>
    <w:rsid w:val="00BF1A93"/>
    <w:rsid w:val="00BF45B1"/>
    <w:rsid w:val="00BF5461"/>
    <w:rsid w:val="00BF7233"/>
    <w:rsid w:val="00BF784E"/>
    <w:rsid w:val="00C042D5"/>
    <w:rsid w:val="00C0538A"/>
    <w:rsid w:val="00C05C5B"/>
    <w:rsid w:val="00C05DFE"/>
    <w:rsid w:val="00C10307"/>
    <w:rsid w:val="00C11402"/>
    <w:rsid w:val="00C14138"/>
    <w:rsid w:val="00C15BC1"/>
    <w:rsid w:val="00C20B73"/>
    <w:rsid w:val="00C2256D"/>
    <w:rsid w:val="00C22C35"/>
    <w:rsid w:val="00C2652D"/>
    <w:rsid w:val="00C2789A"/>
    <w:rsid w:val="00C338C8"/>
    <w:rsid w:val="00C34428"/>
    <w:rsid w:val="00C370EC"/>
    <w:rsid w:val="00C37F8C"/>
    <w:rsid w:val="00C41EDA"/>
    <w:rsid w:val="00C43A5F"/>
    <w:rsid w:val="00C45D68"/>
    <w:rsid w:val="00C47965"/>
    <w:rsid w:val="00C47AB1"/>
    <w:rsid w:val="00C516D1"/>
    <w:rsid w:val="00C53D2C"/>
    <w:rsid w:val="00C5448B"/>
    <w:rsid w:val="00C57F62"/>
    <w:rsid w:val="00C61787"/>
    <w:rsid w:val="00C6183C"/>
    <w:rsid w:val="00C620E3"/>
    <w:rsid w:val="00C63606"/>
    <w:rsid w:val="00C6376B"/>
    <w:rsid w:val="00C637BD"/>
    <w:rsid w:val="00C64230"/>
    <w:rsid w:val="00C6600B"/>
    <w:rsid w:val="00C66B7F"/>
    <w:rsid w:val="00C6729F"/>
    <w:rsid w:val="00C674AF"/>
    <w:rsid w:val="00C677DE"/>
    <w:rsid w:val="00C723F1"/>
    <w:rsid w:val="00C749CD"/>
    <w:rsid w:val="00C7555E"/>
    <w:rsid w:val="00C75A5A"/>
    <w:rsid w:val="00C75AE4"/>
    <w:rsid w:val="00C77A9C"/>
    <w:rsid w:val="00C81A07"/>
    <w:rsid w:val="00C83DC1"/>
    <w:rsid w:val="00C85DF8"/>
    <w:rsid w:val="00C86914"/>
    <w:rsid w:val="00C8764D"/>
    <w:rsid w:val="00C87AF0"/>
    <w:rsid w:val="00C947EC"/>
    <w:rsid w:val="00C9489A"/>
    <w:rsid w:val="00C94A76"/>
    <w:rsid w:val="00CA24BD"/>
    <w:rsid w:val="00CA2A55"/>
    <w:rsid w:val="00CA2CB2"/>
    <w:rsid w:val="00CA358A"/>
    <w:rsid w:val="00CA79F5"/>
    <w:rsid w:val="00CB12CA"/>
    <w:rsid w:val="00CB16CC"/>
    <w:rsid w:val="00CB2543"/>
    <w:rsid w:val="00CB2C49"/>
    <w:rsid w:val="00CB3481"/>
    <w:rsid w:val="00CB4969"/>
    <w:rsid w:val="00CB50A1"/>
    <w:rsid w:val="00CB59F6"/>
    <w:rsid w:val="00CB775D"/>
    <w:rsid w:val="00CB7B4D"/>
    <w:rsid w:val="00CB7DDC"/>
    <w:rsid w:val="00CC080D"/>
    <w:rsid w:val="00CC1630"/>
    <w:rsid w:val="00CC1BA9"/>
    <w:rsid w:val="00CC2832"/>
    <w:rsid w:val="00CC28DE"/>
    <w:rsid w:val="00CC452E"/>
    <w:rsid w:val="00CC48C9"/>
    <w:rsid w:val="00CC5029"/>
    <w:rsid w:val="00CC6505"/>
    <w:rsid w:val="00CC729F"/>
    <w:rsid w:val="00CC74D4"/>
    <w:rsid w:val="00CD0371"/>
    <w:rsid w:val="00CD05FC"/>
    <w:rsid w:val="00CD14DF"/>
    <w:rsid w:val="00CD401B"/>
    <w:rsid w:val="00CD78FA"/>
    <w:rsid w:val="00CD7D62"/>
    <w:rsid w:val="00CE3023"/>
    <w:rsid w:val="00CE38CC"/>
    <w:rsid w:val="00CE6E9D"/>
    <w:rsid w:val="00CF0307"/>
    <w:rsid w:val="00CF5394"/>
    <w:rsid w:val="00CF55F6"/>
    <w:rsid w:val="00CF5A6C"/>
    <w:rsid w:val="00CF6F99"/>
    <w:rsid w:val="00D004B1"/>
    <w:rsid w:val="00D008CE"/>
    <w:rsid w:val="00D01F25"/>
    <w:rsid w:val="00D0258B"/>
    <w:rsid w:val="00D02A98"/>
    <w:rsid w:val="00D02B41"/>
    <w:rsid w:val="00D07F67"/>
    <w:rsid w:val="00D101EE"/>
    <w:rsid w:val="00D106B4"/>
    <w:rsid w:val="00D10E35"/>
    <w:rsid w:val="00D23CEC"/>
    <w:rsid w:val="00D25F4F"/>
    <w:rsid w:val="00D27D52"/>
    <w:rsid w:val="00D27DCE"/>
    <w:rsid w:val="00D301CA"/>
    <w:rsid w:val="00D361F5"/>
    <w:rsid w:val="00D366B8"/>
    <w:rsid w:val="00D420CD"/>
    <w:rsid w:val="00D44C3D"/>
    <w:rsid w:val="00D456F3"/>
    <w:rsid w:val="00D45A9E"/>
    <w:rsid w:val="00D45CBD"/>
    <w:rsid w:val="00D46218"/>
    <w:rsid w:val="00D4755E"/>
    <w:rsid w:val="00D476D6"/>
    <w:rsid w:val="00D50123"/>
    <w:rsid w:val="00D506F4"/>
    <w:rsid w:val="00D51C28"/>
    <w:rsid w:val="00D55B8A"/>
    <w:rsid w:val="00D56DDA"/>
    <w:rsid w:val="00D57C3E"/>
    <w:rsid w:val="00D60E64"/>
    <w:rsid w:val="00D62F2E"/>
    <w:rsid w:val="00D635CA"/>
    <w:rsid w:val="00D63884"/>
    <w:rsid w:val="00D73254"/>
    <w:rsid w:val="00D73AB3"/>
    <w:rsid w:val="00D75861"/>
    <w:rsid w:val="00D75B16"/>
    <w:rsid w:val="00D818E3"/>
    <w:rsid w:val="00D85AED"/>
    <w:rsid w:val="00D85ED7"/>
    <w:rsid w:val="00D86B56"/>
    <w:rsid w:val="00D90879"/>
    <w:rsid w:val="00D93900"/>
    <w:rsid w:val="00D96023"/>
    <w:rsid w:val="00DA2C38"/>
    <w:rsid w:val="00DA6CB3"/>
    <w:rsid w:val="00DB2D29"/>
    <w:rsid w:val="00DB3230"/>
    <w:rsid w:val="00DB6EE8"/>
    <w:rsid w:val="00DB71BC"/>
    <w:rsid w:val="00DC0BCE"/>
    <w:rsid w:val="00DC41A1"/>
    <w:rsid w:val="00DC4D19"/>
    <w:rsid w:val="00DC6432"/>
    <w:rsid w:val="00DD00CE"/>
    <w:rsid w:val="00DD13C6"/>
    <w:rsid w:val="00DD30D6"/>
    <w:rsid w:val="00DE1666"/>
    <w:rsid w:val="00DE2086"/>
    <w:rsid w:val="00DE3358"/>
    <w:rsid w:val="00DE34DE"/>
    <w:rsid w:val="00DE3581"/>
    <w:rsid w:val="00DE3B67"/>
    <w:rsid w:val="00DE3D2D"/>
    <w:rsid w:val="00DE4427"/>
    <w:rsid w:val="00DE5830"/>
    <w:rsid w:val="00DE5CA6"/>
    <w:rsid w:val="00DE6161"/>
    <w:rsid w:val="00DE6B50"/>
    <w:rsid w:val="00DE6E1E"/>
    <w:rsid w:val="00DF0550"/>
    <w:rsid w:val="00DF3F2A"/>
    <w:rsid w:val="00DF6247"/>
    <w:rsid w:val="00DF6F84"/>
    <w:rsid w:val="00DF6FCF"/>
    <w:rsid w:val="00DF7C7F"/>
    <w:rsid w:val="00E010B7"/>
    <w:rsid w:val="00E039E4"/>
    <w:rsid w:val="00E04117"/>
    <w:rsid w:val="00E11565"/>
    <w:rsid w:val="00E120DA"/>
    <w:rsid w:val="00E126C6"/>
    <w:rsid w:val="00E12AA3"/>
    <w:rsid w:val="00E12B6D"/>
    <w:rsid w:val="00E13414"/>
    <w:rsid w:val="00E1355E"/>
    <w:rsid w:val="00E158A0"/>
    <w:rsid w:val="00E1633F"/>
    <w:rsid w:val="00E2154B"/>
    <w:rsid w:val="00E22ADF"/>
    <w:rsid w:val="00E23912"/>
    <w:rsid w:val="00E23F01"/>
    <w:rsid w:val="00E30383"/>
    <w:rsid w:val="00E304F9"/>
    <w:rsid w:val="00E30D79"/>
    <w:rsid w:val="00E31AAC"/>
    <w:rsid w:val="00E3343E"/>
    <w:rsid w:val="00E364B8"/>
    <w:rsid w:val="00E40399"/>
    <w:rsid w:val="00E513B2"/>
    <w:rsid w:val="00E51D2B"/>
    <w:rsid w:val="00E541C5"/>
    <w:rsid w:val="00E5589A"/>
    <w:rsid w:val="00E56457"/>
    <w:rsid w:val="00E62196"/>
    <w:rsid w:val="00E63395"/>
    <w:rsid w:val="00E66CDB"/>
    <w:rsid w:val="00E67EDB"/>
    <w:rsid w:val="00E73553"/>
    <w:rsid w:val="00E73E79"/>
    <w:rsid w:val="00E747A6"/>
    <w:rsid w:val="00E74BDD"/>
    <w:rsid w:val="00E74E51"/>
    <w:rsid w:val="00E81021"/>
    <w:rsid w:val="00E85686"/>
    <w:rsid w:val="00E86D30"/>
    <w:rsid w:val="00E9037D"/>
    <w:rsid w:val="00E90753"/>
    <w:rsid w:val="00E907E4"/>
    <w:rsid w:val="00E9160E"/>
    <w:rsid w:val="00E91EAD"/>
    <w:rsid w:val="00E91EF8"/>
    <w:rsid w:val="00E91F4E"/>
    <w:rsid w:val="00EA0218"/>
    <w:rsid w:val="00EA2176"/>
    <w:rsid w:val="00EA3FA0"/>
    <w:rsid w:val="00EA4F53"/>
    <w:rsid w:val="00EA5732"/>
    <w:rsid w:val="00EB580B"/>
    <w:rsid w:val="00EB6402"/>
    <w:rsid w:val="00EB6696"/>
    <w:rsid w:val="00EB6C68"/>
    <w:rsid w:val="00EB6D72"/>
    <w:rsid w:val="00EB7927"/>
    <w:rsid w:val="00EC59D0"/>
    <w:rsid w:val="00EC6068"/>
    <w:rsid w:val="00EC64C0"/>
    <w:rsid w:val="00ED0735"/>
    <w:rsid w:val="00ED3990"/>
    <w:rsid w:val="00ED4C54"/>
    <w:rsid w:val="00ED5CEF"/>
    <w:rsid w:val="00ED62EA"/>
    <w:rsid w:val="00EE46F4"/>
    <w:rsid w:val="00EE566C"/>
    <w:rsid w:val="00EE5B46"/>
    <w:rsid w:val="00EE5D1F"/>
    <w:rsid w:val="00EE7127"/>
    <w:rsid w:val="00EE754B"/>
    <w:rsid w:val="00EF223F"/>
    <w:rsid w:val="00EF2447"/>
    <w:rsid w:val="00EF5A84"/>
    <w:rsid w:val="00EF5B21"/>
    <w:rsid w:val="00EF66E8"/>
    <w:rsid w:val="00EF6B51"/>
    <w:rsid w:val="00EF7436"/>
    <w:rsid w:val="00F00027"/>
    <w:rsid w:val="00F04AD2"/>
    <w:rsid w:val="00F051A8"/>
    <w:rsid w:val="00F10B3A"/>
    <w:rsid w:val="00F10F76"/>
    <w:rsid w:val="00F15AC0"/>
    <w:rsid w:val="00F16A9B"/>
    <w:rsid w:val="00F20664"/>
    <w:rsid w:val="00F21233"/>
    <w:rsid w:val="00F21C68"/>
    <w:rsid w:val="00F2336B"/>
    <w:rsid w:val="00F23A88"/>
    <w:rsid w:val="00F2533C"/>
    <w:rsid w:val="00F272D9"/>
    <w:rsid w:val="00F35CD3"/>
    <w:rsid w:val="00F3687F"/>
    <w:rsid w:val="00F40608"/>
    <w:rsid w:val="00F437F2"/>
    <w:rsid w:val="00F457CA"/>
    <w:rsid w:val="00F51069"/>
    <w:rsid w:val="00F54846"/>
    <w:rsid w:val="00F56ADF"/>
    <w:rsid w:val="00F61CBE"/>
    <w:rsid w:val="00F64189"/>
    <w:rsid w:val="00F65449"/>
    <w:rsid w:val="00F65A64"/>
    <w:rsid w:val="00F65D89"/>
    <w:rsid w:val="00F66BD6"/>
    <w:rsid w:val="00F6740C"/>
    <w:rsid w:val="00F71AC6"/>
    <w:rsid w:val="00F71C6B"/>
    <w:rsid w:val="00F721CD"/>
    <w:rsid w:val="00F73E88"/>
    <w:rsid w:val="00F76517"/>
    <w:rsid w:val="00F76BE6"/>
    <w:rsid w:val="00F77DBB"/>
    <w:rsid w:val="00F80B33"/>
    <w:rsid w:val="00F80C27"/>
    <w:rsid w:val="00F80C75"/>
    <w:rsid w:val="00F8109D"/>
    <w:rsid w:val="00F81C99"/>
    <w:rsid w:val="00F82A14"/>
    <w:rsid w:val="00F83885"/>
    <w:rsid w:val="00F85E2A"/>
    <w:rsid w:val="00F87EB9"/>
    <w:rsid w:val="00F92032"/>
    <w:rsid w:val="00F920D5"/>
    <w:rsid w:val="00F92171"/>
    <w:rsid w:val="00F93B20"/>
    <w:rsid w:val="00F947C2"/>
    <w:rsid w:val="00F976B0"/>
    <w:rsid w:val="00FA0317"/>
    <w:rsid w:val="00FA0C25"/>
    <w:rsid w:val="00FA1C4F"/>
    <w:rsid w:val="00FA2664"/>
    <w:rsid w:val="00FA565A"/>
    <w:rsid w:val="00FA5E3B"/>
    <w:rsid w:val="00FA703A"/>
    <w:rsid w:val="00FB525B"/>
    <w:rsid w:val="00FB6FC3"/>
    <w:rsid w:val="00FC1BB2"/>
    <w:rsid w:val="00FC3268"/>
    <w:rsid w:val="00FC5164"/>
    <w:rsid w:val="00FC58CF"/>
    <w:rsid w:val="00FC6710"/>
    <w:rsid w:val="00FC7108"/>
    <w:rsid w:val="00FC75F0"/>
    <w:rsid w:val="00FD0610"/>
    <w:rsid w:val="00FD0EF6"/>
    <w:rsid w:val="00FD36AF"/>
    <w:rsid w:val="00FD490C"/>
    <w:rsid w:val="00FD65DD"/>
    <w:rsid w:val="00FD7AEB"/>
    <w:rsid w:val="00FE0ECF"/>
    <w:rsid w:val="00FE243D"/>
    <w:rsid w:val="00FE4F8E"/>
    <w:rsid w:val="00FE573C"/>
    <w:rsid w:val="00FE59D3"/>
    <w:rsid w:val="00FE5BB0"/>
    <w:rsid w:val="00FE6CF2"/>
    <w:rsid w:val="00FE7881"/>
    <w:rsid w:val="00FE7A8A"/>
    <w:rsid w:val="00FF0EB2"/>
    <w:rsid w:val="00FF127D"/>
    <w:rsid w:val="00FF2AA4"/>
    <w:rsid w:val="00FF2CB0"/>
    <w:rsid w:val="00FF4F5B"/>
    <w:rsid w:val="00FF5BEE"/>
    <w:rsid w:val="00FF5C89"/>
    <w:rsid w:val="00FF7A4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schemas-fourth-com/fourthcoffee2" w:url=" " w:name="flavor2"/>
  <w:shapeDefaults>
    <o:shapedefaults v:ext="edit" spidmax="2049"/>
    <o:shapelayout v:ext="edit">
      <o:idmap v:ext="edit" data="1"/>
    </o:shapelayout>
  </w:shapeDefaults>
  <w:decimalSymbol w:val=","/>
  <w:listSeparator w:val=";"/>
  <w15:docId w15:val="{02BA0F7B-7619-4F22-BAFF-384677A9B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36CB"/>
  </w:style>
  <w:style w:type="paragraph" w:styleId="Heading1">
    <w:name w:val="heading 1"/>
    <w:basedOn w:val="Normal"/>
    <w:next w:val="Normal"/>
    <w:link w:val="Heading1Char"/>
    <w:uiPriority w:val="9"/>
    <w:qFormat/>
    <w:rsid w:val="00181C9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nhideWhenUsed/>
    <w:qFormat/>
    <w:rsid w:val="00181C9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81C9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4932EA"/>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A0C25"/>
    <w:pPr>
      <w:ind w:left="720"/>
      <w:contextualSpacing/>
    </w:pPr>
  </w:style>
  <w:style w:type="character" w:customStyle="1" w:styleId="Heading1Char">
    <w:name w:val="Heading 1 Char"/>
    <w:basedOn w:val="DefaultParagraphFont"/>
    <w:link w:val="Heading1"/>
    <w:uiPriority w:val="9"/>
    <w:rsid w:val="00181C9C"/>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rsid w:val="00181C9C"/>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181C9C"/>
    <w:rPr>
      <w:rFonts w:asciiTheme="majorHAnsi" w:eastAsiaTheme="majorEastAsia" w:hAnsiTheme="majorHAnsi" w:cstheme="majorBidi"/>
      <w:color w:val="1F4D78" w:themeColor="accent1" w:themeShade="7F"/>
      <w:sz w:val="24"/>
      <w:szCs w:val="24"/>
    </w:rPr>
  </w:style>
  <w:style w:type="paragraph" w:styleId="TOCHeading">
    <w:name w:val="TOC Heading"/>
    <w:basedOn w:val="Heading1"/>
    <w:next w:val="Normal"/>
    <w:uiPriority w:val="39"/>
    <w:unhideWhenUsed/>
    <w:qFormat/>
    <w:rsid w:val="00307756"/>
    <w:pPr>
      <w:outlineLvl w:val="9"/>
    </w:pPr>
    <w:rPr>
      <w:lang w:val="en-US"/>
    </w:rPr>
  </w:style>
  <w:style w:type="paragraph" w:styleId="TOC1">
    <w:name w:val="toc 1"/>
    <w:basedOn w:val="Normal"/>
    <w:next w:val="Normal"/>
    <w:autoRedefine/>
    <w:uiPriority w:val="39"/>
    <w:unhideWhenUsed/>
    <w:rsid w:val="00307756"/>
    <w:pPr>
      <w:spacing w:after="100"/>
    </w:pPr>
  </w:style>
  <w:style w:type="paragraph" w:styleId="TOC2">
    <w:name w:val="toc 2"/>
    <w:basedOn w:val="Normal"/>
    <w:next w:val="Normal"/>
    <w:autoRedefine/>
    <w:uiPriority w:val="39"/>
    <w:unhideWhenUsed/>
    <w:rsid w:val="009238DD"/>
    <w:pPr>
      <w:tabs>
        <w:tab w:val="right" w:leader="dot" w:pos="9062"/>
      </w:tabs>
      <w:spacing w:after="100"/>
      <w:ind w:left="220"/>
      <w:jc w:val="both"/>
    </w:pPr>
  </w:style>
  <w:style w:type="paragraph" w:styleId="TOC3">
    <w:name w:val="toc 3"/>
    <w:basedOn w:val="Normal"/>
    <w:next w:val="Normal"/>
    <w:autoRedefine/>
    <w:uiPriority w:val="39"/>
    <w:unhideWhenUsed/>
    <w:rsid w:val="000002A0"/>
    <w:pPr>
      <w:tabs>
        <w:tab w:val="right" w:leader="dot" w:pos="9062"/>
      </w:tabs>
      <w:spacing w:after="100"/>
      <w:ind w:left="440"/>
    </w:pPr>
    <w:rPr>
      <w:noProof/>
    </w:rPr>
  </w:style>
  <w:style w:type="character" w:styleId="Hyperlink">
    <w:name w:val="Hyperlink"/>
    <w:basedOn w:val="DefaultParagraphFont"/>
    <w:uiPriority w:val="99"/>
    <w:unhideWhenUsed/>
    <w:rsid w:val="00307756"/>
    <w:rPr>
      <w:color w:val="0563C1" w:themeColor="hyperlink"/>
      <w:u w:val="single"/>
    </w:rPr>
  </w:style>
  <w:style w:type="paragraph" w:styleId="NoSpacing">
    <w:name w:val="No Spacing"/>
    <w:link w:val="NoSpacingChar"/>
    <w:uiPriority w:val="1"/>
    <w:qFormat/>
    <w:rsid w:val="0045619F"/>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45619F"/>
    <w:rPr>
      <w:rFonts w:eastAsiaTheme="minorEastAsia"/>
      <w:lang w:val="en-US"/>
    </w:rPr>
  </w:style>
  <w:style w:type="paragraph" w:styleId="BalloonText">
    <w:name w:val="Balloon Text"/>
    <w:basedOn w:val="Normal"/>
    <w:link w:val="BalloonTextChar"/>
    <w:uiPriority w:val="99"/>
    <w:semiHidden/>
    <w:unhideWhenUsed/>
    <w:rsid w:val="008B437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B4374"/>
    <w:rPr>
      <w:rFonts w:ascii="Tahoma" w:hAnsi="Tahoma" w:cs="Tahoma"/>
      <w:sz w:val="16"/>
      <w:szCs w:val="16"/>
    </w:rPr>
  </w:style>
  <w:style w:type="character" w:styleId="CommentReference">
    <w:name w:val="annotation reference"/>
    <w:basedOn w:val="DefaultParagraphFont"/>
    <w:uiPriority w:val="99"/>
    <w:semiHidden/>
    <w:unhideWhenUsed/>
    <w:rsid w:val="008B4374"/>
    <w:rPr>
      <w:sz w:val="16"/>
      <w:szCs w:val="16"/>
    </w:rPr>
  </w:style>
  <w:style w:type="paragraph" w:styleId="CommentText">
    <w:name w:val="annotation text"/>
    <w:basedOn w:val="Normal"/>
    <w:link w:val="CommentTextChar"/>
    <w:uiPriority w:val="99"/>
    <w:unhideWhenUsed/>
    <w:rsid w:val="008B4374"/>
    <w:pPr>
      <w:spacing w:line="240" w:lineRule="auto"/>
    </w:pPr>
    <w:rPr>
      <w:sz w:val="20"/>
      <w:szCs w:val="20"/>
    </w:rPr>
  </w:style>
  <w:style w:type="character" w:customStyle="1" w:styleId="CommentTextChar">
    <w:name w:val="Comment Text Char"/>
    <w:basedOn w:val="DefaultParagraphFont"/>
    <w:link w:val="CommentText"/>
    <w:uiPriority w:val="99"/>
    <w:rsid w:val="008B4374"/>
    <w:rPr>
      <w:sz w:val="20"/>
      <w:szCs w:val="20"/>
    </w:rPr>
  </w:style>
  <w:style w:type="paragraph" w:styleId="CommentSubject">
    <w:name w:val="annotation subject"/>
    <w:basedOn w:val="CommentText"/>
    <w:next w:val="CommentText"/>
    <w:link w:val="CommentSubjectChar"/>
    <w:uiPriority w:val="99"/>
    <w:semiHidden/>
    <w:unhideWhenUsed/>
    <w:rsid w:val="008B4374"/>
    <w:rPr>
      <w:b/>
      <w:bCs/>
    </w:rPr>
  </w:style>
  <w:style w:type="character" w:customStyle="1" w:styleId="CommentSubjectChar">
    <w:name w:val="Comment Subject Char"/>
    <w:basedOn w:val="CommentTextChar"/>
    <w:link w:val="CommentSubject"/>
    <w:uiPriority w:val="99"/>
    <w:semiHidden/>
    <w:rsid w:val="008B4374"/>
    <w:rPr>
      <w:b/>
      <w:bCs/>
      <w:sz w:val="20"/>
      <w:szCs w:val="20"/>
    </w:rPr>
  </w:style>
  <w:style w:type="paragraph" w:customStyle="1" w:styleId="Default">
    <w:name w:val="Default"/>
    <w:rsid w:val="00235F29"/>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hps">
    <w:name w:val="hps"/>
    <w:basedOn w:val="DefaultParagraphFont"/>
    <w:rsid w:val="00235F29"/>
  </w:style>
  <w:style w:type="character" w:customStyle="1" w:styleId="atn">
    <w:name w:val="atn"/>
    <w:basedOn w:val="DefaultParagraphFont"/>
    <w:rsid w:val="00235F29"/>
  </w:style>
  <w:style w:type="character" w:customStyle="1" w:styleId="alt-edited">
    <w:name w:val="alt-edited"/>
    <w:basedOn w:val="DefaultParagraphFont"/>
    <w:rsid w:val="00235F29"/>
  </w:style>
  <w:style w:type="paragraph" w:styleId="Footer">
    <w:name w:val="footer"/>
    <w:basedOn w:val="Normal"/>
    <w:link w:val="FooterChar"/>
    <w:uiPriority w:val="99"/>
    <w:rsid w:val="00FC58CF"/>
    <w:pPr>
      <w:tabs>
        <w:tab w:val="center" w:pos="4536"/>
        <w:tab w:val="right" w:pos="9072"/>
      </w:tabs>
      <w:spacing w:after="0" w:line="240" w:lineRule="auto"/>
    </w:pPr>
    <w:rPr>
      <w:rFonts w:ascii="Arial" w:eastAsia="Times New Roman" w:hAnsi="Arial" w:cs="Arial"/>
      <w:sz w:val="28"/>
      <w:szCs w:val="28"/>
      <w:lang w:eastAsia="bg-BG"/>
    </w:rPr>
  </w:style>
  <w:style w:type="character" w:customStyle="1" w:styleId="FooterChar">
    <w:name w:val="Footer Char"/>
    <w:basedOn w:val="DefaultParagraphFont"/>
    <w:link w:val="Footer"/>
    <w:uiPriority w:val="99"/>
    <w:rsid w:val="00FC58CF"/>
    <w:rPr>
      <w:rFonts w:ascii="Arial" w:eastAsia="Times New Roman" w:hAnsi="Arial" w:cs="Arial"/>
      <w:sz w:val="28"/>
      <w:szCs w:val="28"/>
      <w:lang w:eastAsia="bg-BG"/>
    </w:rPr>
  </w:style>
  <w:style w:type="character" w:styleId="PageNumber">
    <w:name w:val="page number"/>
    <w:basedOn w:val="DefaultParagraphFont"/>
    <w:rsid w:val="00FC58CF"/>
  </w:style>
  <w:style w:type="paragraph" w:styleId="FootnoteText">
    <w:name w:val="footnote text"/>
    <w:aliases w:val="Fußnotentext arial,Podrozdział,stile 1,Footnote1,Footnote2,Footnote3,Footnote4,Footnote5,Footnote6,Footnote7,Footnote8,Footnote9,Footnote10,Footnote11,Footnote21,Footnote31,Footnote41,Footnote51,Footnote61,Footnote71,Footnote81,Zn,fn,Char"/>
    <w:basedOn w:val="Normal"/>
    <w:link w:val="FootnoteTextChar"/>
    <w:uiPriority w:val="99"/>
    <w:qFormat/>
    <w:rsid w:val="00FC58CF"/>
    <w:pPr>
      <w:spacing w:after="0" w:line="240" w:lineRule="auto"/>
    </w:pPr>
    <w:rPr>
      <w:rFonts w:ascii="Arial" w:eastAsia="Times New Roman" w:hAnsi="Arial" w:cs="Arial"/>
      <w:sz w:val="20"/>
      <w:szCs w:val="20"/>
      <w:lang w:eastAsia="bg-BG"/>
    </w:rPr>
  </w:style>
  <w:style w:type="character" w:customStyle="1" w:styleId="FootnoteTextChar">
    <w:name w:val="Footnote Text Char"/>
    <w:aliases w:val="Fußnotentext arial Char,Podrozdział Char,stile 1 Char,Footnote1 Char,Footnote2 Char,Footnote3 Char,Footnote4 Char,Footnote5 Char,Footnote6 Char,Footnote7 Char,Footnote8 Char,Footnote9 Char,Footnote10 Char,Footnote11 Char,Zn Char"/>
    <w:basedOn w:val="DefaultParagraphFont"/>
    <w:link w:val="FootnoteText"/>
    <w:uiPriority w:val="99"/>
    <w:rsid w:val="00FC58CF"/>
    <w:rPr>
      <w:rFonts w:ascii="Arial" w:eastAsia="Times New Roman" w:hAnsi="Arial" w:cs="Arial"/>
      <w:sz w:val="20"/>
      <w:szCs w:val="20"/>
      <w:lang w:eastAsia="bg-BG"/>
    </w:rPr>
  </w:style>
  <w:style w:type="character" w:styleId="FootnoteReference">
    <w:name w:val="footnote reference"/>
    <w:aliases w:val="Footnote symbol,Footnote Reference Superscript,BVI fnr,Footnote call,SUPERS,(Footnote Reference),Footnote,Voetnootverwijzing,Times 10 Point,Exposant 3 Point,Footnote reference number,note TESI,Footnotes refss,number,stylish,16 Point,o"/>
    <w:uiPriority w:val="99"/>
    <w:rsid w:val="00FC58CF"/>
    <w:rPr>
      <w:vertAlign w:val="superscript"/>
    </w:rPr>
  </w:style>
  <w:style w:type="paragraph" w:styleId="Caption">
    <w:name w:val="caption"/>
    <w:basedOn w:val="Normal"/>
    <w:next w:val="Normal"/>
    <w:qFormat/>
    <w:rsid w:val="00FC58CF"/>
    <w:pPr>
      <w:spacing w:after="0" w:line="240" w:lineRule="auto"/>
    </w:pPr>
    <w:rPr>
      <w:rFonts w:ascii="Arial" w:eastAsia="Times New Roman" w:hAnsi="Arial" w:cs="Arial"/>
      <w:b/>
      <w:bCs/>
      <w:sz w:val="20"/>
      <w:szCs w:val="20"/>
      <w:lang w:eastAsia="bg-BG"/>
    </w:rPr>
  </w:style>
  <w:style w:type="paragraph" w:styleId="Header">
    <w:name w:val="header"/>
    <w:basedOn w:val="Normal"/>
    <w:link w:val="HeaderChar"/>
    <w:uiPriority w:val="99"/>
    <w:unhideWhenUsed/>
    <w:rsid w:val="00EC64C0"/>
    <w:pPr>
      <w:tabs>
        <w:tab w:val="center" w:pos="4536"/>
        <w:tab w:val="right" w:pos="9072"/>
      </w:tabs>
      <w:spacing w:after="0" w:line="240" w:lineRule="auto"/>
    </w:pPr>
  </w:style>
  <w:style w:type="character" w:customStyle="1" w:styleId="HeaderChar">
    <w:name w:val="Header Char"/>
    <w:basedOn w:val="DefaultParagraphFont"/>
    <w:link w:val="Header"/>
    <w:uiPriority w:val="99"/>
    <w:rsid w:val="00EC64C0"/>
  </w:style>
  <w:style w:type="numbering" w:customStyle="1" w:styleId="NoList1">
    <w:name w:val="No List1"/>
    <w:next w:val="NoList"/>
    <w:uiPriority w:val="99"/>
    <w:semiHidden/>
    <w:unhideWhenUsed/>
    <w:rsid w:val="00CB7DDC"/>
  </w:style>
  <w:style w:type="paragraph" w:styleId="BodyText">
    <w:name w:val="Body Text"/>
    <w:aliases w:val="block style"/>
    <w:basedOn w:val="Normal"/>
    <w:link w:val="BodyTextChar"/>
    <w:rsid w:val="00CB7DDC"/>
    <w:pPr>
      <w:spacing w:after="120" w:line="240" w:lineRule="auto"/>
    </w:pPr>
    <w:rPr>
      <w:rFonts w:ascii="Times New Roman" w:eastAsia="Times New Roman" w:hAnsi="Times New Roman" w:cs="Times New Roman"/>
      <w:sz w:val="20"/>
      <w:szCs w:val="20"/>
      <w:lang w:val="en-GB" w:eastAsia="fr-FR"/>
    </w:rPr>
  </w:style>
  <w:style w:type="character" w:customStyle="1" w:styleId="BodyTextChar">
    <w:name w:val="Body Text Char"/>
    <w:aliases w:val="block style Char"/>
    <w:basedOn w:val="DefaultParagraphFont"/>
    <w:link w:val="BodyText"/>
    <w:rsid w:val="00CB7DDC"/>
    <w:rPr>
      <w:rFonts w:ascii="Times New Roman" w:eastAsia="Times New Roman" w:hAnsi="Times New Roman" w:cs="Times New Roman"/>
      <w:sz w:val="20"/>
      <w:szCs w:val="20"/>
      <w:lang w:val="en-GB" w:eastAsia="fr-FR"/>
    </w:rPr>
  </w:style>
  <w:style w:type="table" w:customStyle="1" w:styleId="MediumList2-Accent51">
    <w:name w:val="Medium List 2 - Accent 51"/>
    <w:basedOn w:val="TableNormal"/>
    <w:next w:val="MediumList2-Accent5"/>
    <w:uiPriority w:val="66"/>
    <w:rsid w:val="00CB7DDC"/>
    <w:pPr>
      <w:spacing w:after="0" w:line="240" w:lineRule="auto"/>
    </w:pPr>
    <w:rPr>
      <w:rFonts w:ascii="Cambria" w:eastAsia="Times New Roman" w:hAnsi="Cambria" w:cs="Times New Roman"/>
      <w:color w:val="00000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character" w:customStyle="1" w:styleId="Text1Char">
    <w:name w:val="Text 1 Char"/>
    <w:link w:val="Text1"/>
    <w:uiPriority w:val="99"/>
    <w:locked/>
    <w:rsid w:val="00CB7DDC"/>
    <w:rPr>
      <w:rFonts w:ascii="Times New Roman" w:hAnsi="Times New Roman"/>
      <w:sz w:val="24"/>
      <w:lang w:eastAsia="bg-BG"/>
    </w:rPr>
  </w:style>
  <w:style w:type="paragraph" w:customStyle="1" w:styleId="Text1">
    <w:name w:val="Text 1"/>
    <w:basedOn w:val="Normal"/>
    <w:link w:val="Text1Char"/>
    <w:uiPriority w:val="99"/>
    <w:rsid w:val="00CB7DDC"/>
    <w:pPr>
      <w:spacing w:before="120" w:after="120" w:line="240" w:lineRule="auto"/>
      <w:ind w:left="850"/>
      <w:jc w:val="both"/>
    </w:pPr>
    <w:rPr>
      <w:rFonts w:ascii="Times New Roman" w:hAnsi="Times New Roman"/>
      <w:sz w:val="24"/>
      <w:lang w:eastAsia="bg-BG"/>
    </w:rPr>
  </w:style>
  <w:style w:type="table" w:styleId="TableGrid">
    <w:name w:val="Table Grid"/>
    <w:basedOn w:val="TableNormal"/>
    <w:rsid w:val="00CB7D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Shading2-Accent11">
    <w:name w:val="Medium Shading 2 - Accent 11"/>
    <w:basedOn w:val="TableNormal"/>
    <w:uiPriority w:val="64"/>
    <w:rsid w:val="00CB7DDC"/>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HTMLPreformatted">
    <w:name w:val="HTML Preformatted"/>
    <w:basedOn w:val="Normal"/>
    <w:link w:val="HTMLPreformattedChar"/>
    <w:uiPriority w:val="99"/>
    <w:unhideWhenUsed/>
    <w:rsid w:val="00CB7D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bg-BG"/>
    </w:rPr>
  </w:style>
  <w:style w:type="character" w:customStyle="1" w:styleId="HTMLPreformattedChar">
    <w:name w:val="HTML Preformatted Char"/>
    <w:basedOn w:val="DefaultParagraphFont"/>
    <w:link w:val="HTMLPreformatted"/>
    <w:uiPriority w:val="99"/>
    <w:rsid w:val="00CB7DDC"/>
    <w:rPr>
      <w:rFonts w:ascii="Courier New" w:eastAsia="Times New Roman" w:hAnsi="Courier New" w:cs="Courier New"/>
      <w:sz w:val="20"/>
      <w:szCs w:val="20"/>
      <w:lang w:eastAsia="bg-BG"/>
    </w:rPr>
  </w:style>
  <w:style w:type="table" w:customStyle="1" w:styleId="MediumList2-Accent11">
    <w:name w:val="Medium List 2 - Accent 11"/>
    <w:basedOn w:val="TableNormal"/>
    <w:next w:val="MediumList2-Accent1"/>
    <w:uiPriority w:val="66"/>
    <w:rsid w:val="00CB7DDC"/>
    <w:pPr>
      <w:spacing w:after="0" w:line="240" w:lineRule="auto"/>
    </w:pPr>
    <w:rPr>
      <w:rFonts w:ascii="Cambria" w:eastAsia="Times New Roman" w:hAnsi="Cambria" w:cs="Times New Roman"/>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LightShading-Accent51">
    <w:name w:val="Light Shading - Accent 51"/>
    <w:basedOn w:val="TableNormal"/>
    <w:next w:val="LightShading-Accent5"/>
    <w:uiPriority w:val="60"/>
    <w:rsid w:val="00CB7DDC"/>
    <w:pPr>
      <w:spacing w:after="0" w:line="240" w:lineRule="auto"/>
    </w:pPr>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character" w:styleId="Strong">
    <w:name w:val="Strong"/>
    <w:basedOn w:val="DefaultParagraphFont"/>
    <w:uiPriority w:val="22"/>
    <w:qFormat/>
    <w:rsid w:val="00CB7DDC"/>
    <w:rPr>
      <w:b/>
      <w:bCs/>
    </w:rPr>
  </w:style>
  <w:style w:type="table" w:customStyle="1" w:styleId="MediumGrid3-Accent51">
    <w:name w:val="Medium Grid 3 - Accent 51"/>
    <w:basedOn w:val="TableNormal"/>
    <w:next w:val="MediumGrid3-Accent5"/>
    <w:uiPriority w:val="69"/>
    <w:rsid w:val="00CB7DDC"/>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LightGrid-Accent51">
    <w:name w:val="Light Grid - Accent 51"/>
    <w:basedOn w:val="TableNormal"/>
    <w:next w:val="LightGrid-Accent5"/>
    <w:uiPriority w:val="62"/>
    <w:rsid w:val="00CB7DDC"/>
    <w:pPr>
      <w:spacing w:after="0" w:line="240" w:lineRule="auto"/>
    </w:p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character" w:customStyle="1" w:styleId="apple-converted-space">
    <w:name w:val="apple-converted-space"/>
    <w:basedOn w:val="DefaultParagraphFont"/>
    <w:rsid w:val="00CB7DDC"/>
  </w:style>
  <w:style w:type="paragraph" w:styleId="NormalWeb">
    <w:name w:val="Normal (Web)"/>
    <w:basedOn w:val="Normal"/>
    <w:uiPriority w:val="99"/>
    <w:unhideWhenUsed/>
    <w:rsid w:val="00CB7DDC"/>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1">
    <w:name w:val="CM1"/>
    <w:basedOn w:val="Default"/>
    <w:next w:val="Default"/>
    <w:uiPriority w:val="99"/>
    <w:rsid w:val="00CB7DDC"/>
  </w:style>
  <w:style w:type="paragraph" w:customStyle="1" w:styleId="CM3">
    <w:name w:val="CM3"/>
    <w:basedOn w:val="Default"/>
    <w:next w:val="Default"/>
    <w:uiPriority w:val="99"/>
    <w:rsid w:val="00CB7DDC"/>
  </w:style>
  <w:style w:type="paragraph" w:customStyle="1" w:styleId="CM4">
    <w:name w:val="CM4"/>
    <w:basedOn w:val="Default"/>
    <w:next w:val="Default"/>
    <w:uiPriority w:val="99"/>
    <w:rsid w:val="00CB7DDC"/>
  </w:style>
  <w:style w:type="character" w:customStyle="1" w:styleId="legaldocreference">
    <w:name w:val="legaldocreference"/>
    <w:basedOn w:val="DefaultParagraphFont"/>
    <w:rsid w:val="00CB7DDC"/>
  </w:style>
  <w:style w:type="character" w:customStyle="1" w:styleId="historyreference">
    <w:name w:val="historyreference"/>
    <w:basedOn w:val="DefaultParagraphFont"/>
    <w:rsid w:val="00CB7DDC"/>
  </w:style>
  <w:style w:type="table" w:styleId="MediumList2-Accent5">
    <w:name w:val="Medium List 2 Accent 5"/>
    <w:basedOn w:val="TableNormal"/>
    <w:uiPriority w:val="66"/>
    <w:rsid w:val="00CB7DDC"/>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7DDC"/>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rPr>
        <w:sz w:val="24"/>
        <w:szCs w:val="24"/>
      </w:rPr>
      <w:tblPr/>
      <w:tcPr>
        <w:tcBorders>
          <w:top w:val="nil"/>
          <w:left w:val="nil"/>
          <w:bottom w:val="single" w:sz="24" w:space="0" w:color="5B9BD5" w:themeColor="accent1"/>
          <w:right w:val="nil"/>
          <w:insideH w:val="nil"/>
          <w:insideV w:val="nil"/>
        </w:tcBorders>
        <w:shd w:val="clear" w:color="auto" w:fill="FFFFFF" w:themeFill="background1"/>
      </w:tcPr>
    </w:tblStylePr>
    <w:tblStylePr w:type="lastRow">
      <w:tblPr/>
      <w:tcPr>
        <w:tcBorders>
          <w:top w:val="single" w:sz="8" w:space="0" w:color="5B9BD5"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1"/>
          <w:insideH w:val="nil"/>
          <w:insideV w:val="nil"/>
        </w:tcBorders>
        <w:shd w:val="clear" w:color="auto" w:fill="FFFFFF" w:themeFill="background1"/>
      </w:tcPr>
    </w:tblStylePr>
    <w:tblStylePr w:type="lastCol">
      <w:tblPr/>
      <w:tcPr>
        <w:tcBorders>
          <w:top w:val="nil"/>
          <w:left w:val="single" w:sz="8" w:space="0" w:color="5B9BD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LightShading-Accent5">
    <w:name w:val="Light Shading Accent 5"/>
    <w:basedOn w:val="TableNormal"/>
    <w:uiPriority w:val="60"/>
    <w:rsid w:val="00CB7DDC"/>
    <w:pPr>
      <w:spacing w:after="0" w:line="240" w:lineRule="auto"/>
    </w:pPr>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MediumGrid3-Accent5">
    <w:name w:val="Medium Grid 3 Accent 5"/>
    <w:basedOn w:val="TableNormal"/>
    <w:uiPriority w:val="69"/>
    <w:rsid w:val="00CB7DDC"/>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LightGrid-Accent5">
    <w:name w:val="Light Grid Accent 5"/>
    <w:basedOn w:val="TableNormal"/>
    <w:uiPriority w:val="62"/>
    <w:rsid w:val="00CB7DDC"/>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insideH w:val="single" w:sz="8" w:space="0" w:color="4472C4" w:themeColor="accent5"/>
        <w:insideV w:val="single" w:sz="8" w:space="0" w:color="4472C4"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18" w:space="0" w:color="4472C4" w:themeColor="accent5"/>
          <w:right w:val="single" w:sz="8" w:space="0" w:color="4472C4" w:themeColor="accent5"/>
          <w:insideH w:val="nil"/>
          <w:insideV w:val="single" w:sz="8" w:space="0" w:color="4472C4"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insideH w:val="nil"/>
          <w:insideV w:val="single" w:sz="8" w:space="0" w:color="4472C4"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shd w:val="clear" w:color="auto" w:fill="D0DBF0" w:themeFill="accent5" w:themeFillTint="3F"/>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shd w:val="clear" w:color="auto" w:fill="D0DBF0" w:themeFill="accent5" w:themeFillTint="3F"/>
      </w:tcPr>
    </w:tblStylePr>
    <w:tblStylePr w:type="band2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insideV w:val="single" w:sz="8" w:space="0" w:color="4472C4" w:themeColor="accent5"/>
        </w:tcBorders>
      </w:tcPr>
    </w:tblStylePr>
  </w:style>
  <w:style w:type="table" w:customStyle="1" w:styleId="LightShading-Accent52">
    <w:name w:val="Light Shading - Accent 52"/>
    <w:basedOn w:val="TableNormal"/>
    <w:next w:val="LightShading-Accent5"/>
    <w:uiPriority w:val="60"/>
    <w:rsid w:val="009811D3"/>
    <w:pPr>
      <w:spacing w:after="0" w:line="240" w:lineRule="auto"/>
    </w:pPr>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Shading-Accent53">
    <w:name w:val="Light Shading - Accent 53"/>
    <w:basedOn w:val="TableNormal"/>
    <w:next w:val="LightShading-Accent5"/>
    <w:uiPriority w:val="60"/>
    <w:rsid w:val="009811D3"/>
    <w:pPr>
      <w:spacing w:after="0" w:line="240" w:lineRule="auto"/>
    </w:pPr>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Shading-Accent54">
    <w:name w:val="Light Shading - Accent 54"/>
    <w:basedOn w:val="TableNormal"/>
    <w:next w:val="LightShading-Accent5"/>
    <w:uiPriority w:val="60"/>
    <w:rsid w:val="009811D3"/>
    <w:pPr>
      <w:spacing w:after="0" w:line="240" w:lineRule="auto"/>
    </w:pPr>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MediumGrid3-Accent52">
    <w:name w:val="Medium Grid 3 - Accent 52"/>
    <w:basedOn w:val="TableNormal"/>
    <w:next w:val="MediumGrid3-Accent5"/>
    <w:uiPriority w:val="69"/>
    <w:rsid w:val="009811D3"/>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LightGrid-Accent52">
    <w:name w:val="Light Grid - Accent 52"/>
    <w:basedOn w:val="TableNormal"/>
    <w:next w:val="LightGrid-Accent5"/>
    <w:uiPriority w:val="62"/>
    <w:rsid w:val="009811D3"/>
    <w:pPr>
      <w:spacing w:after="0" w:line="240" w:lineRule="auto"/>
    </w:p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MediumShading1-Accent51">
    <w:name w:val="Medium Shading 1 - Accent 51"/>
    <w:basedOn w:val="TableNormal"/>
    <w:next w:val="MediumShading1-Accent5"/>
    <w:uiPriority w:val="63"/>
    <w:rsid w:val="00F2533C"/>
    <w:pPr>
      <w:spacing w:after="0" w:line="240" w:lineRule="auto"/>
    </w:p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LightShading-Accent11">
    <w:name w:val="Light Shading - Accent 11"/>
    <w:basedOn w:val="TableNormal"/>
    <w:uiPriority w:val="60"/>
    <w:rsid w:val="00F2533C"/>
    <w:pPr>
      <w:spacing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Shading1-Accent5">
    <w:name w:val="Medium Shading 1 Accent 5"/>
    <w:basedOn w:val="TableNormal"/>
    <w:uiPriority w:val="63"/>
    <w:rsid w:val="00F2533C"/>
    <w:pPr>
      <w:spacing w:after="0" w:line="240" w:lineRule="auto"/>
    </w:p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table" w:customStyle="1" w:styleId="LightShading-Accent111">
    <w:name w:val="Light Shading - Accent 111"/>
    <w:basedOn w:val="TableNormal"/>
    <w:uiPriority w:val="60"/>
    <w:rsid w:val="003F4EAE"/>
    <w:pPr>
      <w:spacing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55">
    <w:name w:val="Light Shading - Accent 55"/>
    <w:basedOn w:val="TableNormal"/>
    <w:next w:val="LightShading-Accent5"/>
    <w:uiPriority w:val="60"/>
    <w:rsid w:val="001F1A5A"/>
    <w:pPr>
      <w:spacing w:after="0" w:line="240" w:lineRule="auto"/>
    </w:pPr>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Shading-Accent112">
    <w:name w:val="Light Shading - Accent 112"/>
    <w:basedOn w:val="TableNormal"/>
    <w:uiPriority w:val="60"/>
    <w:rsid w:val="001F1A5A"/>
    <w:pPr>
      <w:spacing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35">
    <w:name w:val="Style35"/>
    <w:basedOn w:val="Normal"/>
    <w:uiPriority w:val="99"/>
    <w:rsid w:val="00894336"/>
    <w:pPr>
      <w:widowControl w:val="0"/>
      <w:autoSpaceDE w:val="0"/>
      <w:autoSpaceDN w:val="0"/>
      <w:adjustRightInd w:val="0"/>
      <w:spacing w:after="0" w:line="240" w:lineRule="exact"/>
    </w:pPr>
    <w:rPr>
      <w:rFonts w:ascii="Arial" w:eastAsia="Times New Roman" w:hAnsi="Arial" w:cs="Arial"/>
      <w:sz w:val="24"/>
      <w:szCs w:val="24"/>
      <w:lang w:eastAsia="bg-BG"/>
    </w:rPr>
  </w:style>
  <w:style w:type="paragraph" w:customStyle="1" w:styleId="Style90">
    <w:name w:val="Style90"/>
    <w:basedOn w:val="Normal"/>
    <w:uiPriority w:val="99"/>
    <w:rsid w:val="00894336"/>
    <w:pPr>
      <w:widowControl w:val="0"/>
      <w:autoSpaceDE w:val="0"/>
      <w:autoSpaceDN w:val="0"/>
      <w:adjustRightInd w:val="0"/>
      <w:spacing w:after="0" w:line="240" w:lineRule="auto"/>
    </w:pPr>
    <w:rPr>
      <w:rFonts w:ascii="Arial" w:eastAsia="Times New Roman" w:hAnsi="Arial" w:cs="Arial"/>
      <w:sz w:val="24"/>
      <w:szCs w:val="24"/>
      <w:lang w:eastAsia="bg-BG"/>
    </w:rPr>
  </w:style>
  <w:style w:type="paragraph" w:customStyle="1" w:styleId="Style167">
    <w:name w:val="Style167"/>
    <w:basedOn w:val="Normal"/>
    <w:uiPriority w:val="99"/>
    <w:rsid w:val="00894336"/>
    <w:pPr>
      <w:widowControl w:val="0"/>
      <w:autoSpaceDE w:val="0"/>
      <w:autoSpaceDN w:val="0"/>
      <w:adjustRightInd w:val="0"/>
      <w:spacing w:after="0" w:line="240" w:lineRule="auto"/>
    </w:pPr>
    <w:rPr>
      <w:rFonts w:ascii="Arial" w:eastAsia="Times New Roman" w:hAnsi="Arial" w:cs="Arial"/>
      <w:sz w:val="24"/>
      <w:szCs w:val="24"/>
      <w:lang w:eastAsia="bg-BG"/>
    </w:rPr>
  </w:style>
  <w:style w:type="character" w:customStyle="1" w:styleId="FontStyle239">
    <w:name w:val="Font Style239"/>
    <w:uiPriority w:val="99"/>
    <w:rsid w:val="00894336"/>
    <w:rPr>
      <w:rFonts w:ascii="Georgia" w:hAnsi="Georgia" w:cs="Georgia"/>
      <w:color w:val="000000"/>
      <w:sz w:val="16"/>
      <w:szCs w:val="16"/>
    </w:rPr>
  </w:style>
  <w:style w:type="character" w:customStyle="1" w:styleId="FontStyle251">
    <w:name w:val="Font Style251"/>
    <w:uiPriority w:val="99"/>
    <w:rsid w:val="00894336"/>
    <w:rPr>
      <w:rFonts w:ascii="Georgia" w:hAnsi="Georgia" w:cs="Georgia"/>
      <w:b/>
      <w:bCs/>
      <w:color w:val="000000"/>
      <w:sz w:val="16"/>
      <w:szCs w:val="16"/>
    </w:rPr>
  </w:style>
  <w:style w:type="numbering" w:customStyle="1" w:styleId="NoList2">
    <w:name w:val="No List2"/>
    <w:next w:val="NoList"/>
    <w:uiPriority w:val="99"/>
    <w:semiHidden/>
    <w:unhideWhenUsed/>
    <w:rsid w:val="0018004F"/>
  </w:style>
  <w:style w:type="table" w:customStyle="1" w:styleId="TableGrid1">
    <w:name w:val="Table Grid1"/>
    <w:basedOn w:val="TableNormal"/>
    <w:next w:val="TableGrid"/>
    <w:uiPriority w:val="59"/>
    <w:rsid w:val="0018004F"/>
    <w:pPr>
      <w:spacing w:after="0" w:line="240" w:lineRule="auto"/>
    </w:pPr>
    <w:rPr>
      <w:rFonts w:ascii="Calibri" w:eastAsia="Calibri" w:hAnsi="Calibri"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4932EA"/>
    <w:rPr>
      <w:rFonts w:asciiTheme="majorHAnsi" w:eastAsiaTheme="majorEastAsia" w:hAnsiTheme="majorHAnsi" w:cstheme="majorBidi"/>
      <w:b/>
      <w:bCs/>
      <w:i/>
      <w:iCs/>
      <w:color w:val="5B9BD5" w:themeColor="accent1"/>
    </w:rPr>
  </w:style>
  <w:style w:type="table" w:customStyle="1" w:styleId="LightShading-Accent56">
    <w:name w:val="Light Shading - Accent 56"/>
    <w:basedOn w:val="TableNormal"/>
    <w:next w:val="LightShading-Accent5"/>
    <w:uiPriority w:val="60"/>
    <w:rsid w:val="00A17302"/>
    <w:pPr>
      <w:spacing w:after="0" w:line="240" w:lineRule="auto"/>
    </w:pPr>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Shading-Accent113">
    <w:name w:val="Light Shading - Accent 113"/>
    <w:basedOn w:val="TableNormal"/>
    <w:uiPriority w:val="60"/>
    <w:rsid w:val="00A17302"/>
    <w:pPr>
      <w:spacing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List-Accent51">
    <w:name w:val="Light List - Accent 51"/>
    <w:basedOn w:val="TableNormal"/>
    <w:next w:val="LightList-Accent5"/>
    <w:uiPriority w:val="61"/>
    <w:rsid w:val="00A17302"/>
    <w:pPr>
      <w:spacing w:after="0" w:line="240" w:lineRule="auto"/>
    </w:p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Shading-Accent12">
    <w:name w:val="Light Shading - Accent 12"/>
    <w:basedOn w:val="TableNormal"/>
    <w:uiPriority w:val="60"/>
    <w:rsid w:val="00A17302"/>
    <w:pPr>
      <w:spacing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List-Accent5">
    <w:name w:val="Light List Accent 5"/>
    <w:basedOn w:val="TableNormal"/>
    <w:uiPriority w:val="61"/>
    <w:rsid w:val="00A17302"/>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table" w:customStyle="1" w:styleId="LightGrid-Accent11">
    <w:name w:val="Light Grid - Accent 11"/>
    <w:basedOn w:val="TableNormal"/>
    <w:uiPriority w:val="62"/>
    <w:rsid w:val="009E6215"/>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character" w:customStyle="1" w:styleId="samedocreference">
    <w:name w:val="samedocreference"/>
    <w:basedOn w:val="DefaultParagraphFont"/>
    <w:rsid w:val="00B52559"/>
  </w:style>
  <w:style w:type="table" w:customStyle="1" w:styleId="LightShading-Accent13">
    <w:name w:val="Light Shading - Accent 13"/>
    <w:basedOn w:val="TableNormal"/>
    <w:uiPriority w:val="60"/>
    <w:rsid w:val="0050230D"/>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MediumGrid3-Accent1">
    <w:name w:val="Medium Grid 3 Accent 1"/>
    <w:basedOn w:val="TableNormal"/>
    <w:uiPriority w:val="69"/>
    <w:rsid w:val="0050230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paragraph" w:customStyle="1" w:styleId="font5">
    <w:name w:val="font5"/>
    <w:basedOn w:val="Normal"/>
    <w:rsid w:val="0050230D"/>
    <w:pPr>
      <w:spacing w:before="100" w:beforeAutospacing="1" w:after="100" w:afterAutospacing="1" w:line="240" w:lineRule="auto"/>
    </w:pPr>
    <w:rPr>
      <w:rFonts w:ascii="Tahoma" w:eastAsia="Times New Roman" w:hAnsi="Tahoma" w:cs="Tahoma"/>
      <w:b/>
      <w:bCs/>
      <w:color w:val="000000"/>
      <w:sz w:val="16"/>
      <w:szCs w:val="16"/>
      <w:lang w:eastAsia="bg-BG"/>
    </w:rPr>
  </w:style>
  <w:style w:type="paragraph" w:customStyle="1" w:styleId="font6">
    <w:name w:val="font6"/>
    <w:basedOn w:val="Normal"/>
    <w:rsid w:val="0050230D"/>
    <w:pPr>
      <w:spacing w:before="100" w:beforeAutospacing="1" w:after="100" w:afterAutospacing="1" w:line="240" w:lineRule="auto"/>
    </w:pPr>
    <w:rPr>
      <w:rFonts w:ascii="Tahoma" w:eastAsia="Times New Roman" w:hAnsi="Tahoma" w:cs="Tahoma"/>
      <w:color w:val="000000"/>
      <w:sz w:val="16"/>
      <w:szCs w:val="16"/>
      <w:lang w:eastAsia="bg-BG"/>
    </w:rPr>
  </w:style>
  <w:style w:type="paragraph" w:customStyle="1" w:styleId="xl64">
    <w:name w:val="xl64"/>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bg-BG"/>
    </w:rPr>
  </w:style>
  <w:style w:type="paragraph" w:customStyle="1" w:styleId="xl65">
    <w:name w:val="xl65"/>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bg-BG"/>
    </w:rPr>
  </w:style>
  <w:style w:type="paragraph" w:customStyle="1" w:styleId="xl66">
    <w:name w:val="xl66"/>
    <w:basedOn w:val="Normal"/>
    <w:rsid w:val="0050230D"/>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xl67">
    <w:name w:val="xl67"/>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68">
    <w:name w:val="xl68"/>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69">
    <w:name w:val="xl69"/>
    <w:basedOn w:val="Normal"/>
    <w:rsid w:val="0050230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xl70">
    <w:name w:val="xl70"/>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xl71">
    <w:name w:val="xl71"/>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72">
    <w:name w:val="xl72"/>
    <w:basedOn w:val="Normal"/>
    <w:rsid w:val="0050230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73">
    <w:name w:val="xl73"/>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74">
    <w:name w:val="xl74"/>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75">
    <w:name w:val="xl75"/>
    <w:basedOn w:val="Normal"/>
    <w:rsid w:val="0050230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xl76">
    <w:name w:val="xl76"/>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bg-BG"/>
    </w:rPr>
  </w:style>
  <w:style w:type="paragraph" w:customStyle="1" w:styleId="xl77">
    <w:name w:val="xl77"/>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bg-BG"/>
    </w:rPr>
  </w:style>
  <w:style w:type="paragraph" w:customStyle="1" w:styleId="xl78">
    <w:name w:val="xl78"/>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79">
    <w:name w:val="xl79"/>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80">
    <w:name w:val="xl80"/>
    <w:basedOn w:val="Normal"/>
    <w:rsid w:val="0050230D"/>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xl81">
    <w:name w:val="xl81"/>
    <w:basedOn w:val="Normal"/>
    <w:rsid w:val="0050230D"/>
    <w:pPr>
      <w:spacing w:before="100" w:beforeAutospacing="1" w:after="100" w:afterAutospacing="1" w:line="240" w:lineRule="auto"/>
    </w:pPr>
    <w:rPr>
      <w:rFonts w:ascii="Arial" w:eastAsia="Times New Roman" w:hAnsi="Arial" w:cs="Arial"/>
      <w:color w:val="3366FF"/>
      <w:sz w:val="24"/>
      <w:szCs w:val="24"/>
      <w:lang w:eastAsia="bg-BG"/>
    </w:rPr>
  </w:style>
  <w:style w:type="paragraph" w:customStyle="1" w:styleId="xl83">
    <w:name w:val="xl83"/>
    <w:basedOn w:val="Normal"/>
    <w:rsid w:val="0050230D"/>
    <w:pPr>
      <w:spacing w:before="100" w:beforeAutospacing="1" w:after="100" w:afterAutospacing="1" w:line="240" w:lineRule="auto"/>
    </w:pPr>
    <w:rPr>
      <w:rFonts w:ascii="Arial" w:eastAsia="Times New Roman" w:hAnsi="Arial" w:cs="Arial"/>
      <w:b/>
      <w:bCs/>
      <w:sz w:val="24"/>
      <w:szCs w:val="24"/>
      <w:lang w:eastAsia="bg-BG"/>
    </w:rPr>
  </w:style>
  <w:style w:type="paragraph" w:customStyle="1" w:styleId="xl84">
    <w:name w:val="xl84"/>
    <w:basedOn w:val="Normal"/>
    <w:rsid w:val="0050230D"/>
    <w:pPr>
      <w:spacing w:before="100" w:beforeAutospacing="1" w:after="100" w:afterAutospacing="1" w:line="240" w:lineRule="auto"/>
    </w:pPr>
    <w:rPr>
      <w:rFonts w:ascii="Arial" w:eastAsia="Times New Roman" w:hAnsi="Arial" w:cs="Arial"/>
      <w:b/>
      <w:bCs/>
      <w:sz w:val="24"/>
      <w:szCs w:val="24"/>
      <w:lang w:eastAsia="bg-BG"/>
    </w:rPr>
  </w:style>
  <w:style w:type="paragraph" w:customStyle="1" w:styleId="xl85">
    <w:name w:val="xl85"/>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bg-BG"/>
    </w:rPr>
  </w:style>
  <w:style w:type="paragraph" w:customStyle="1" w:styleId="xl86">
    <w:name w:val="xl86"/>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bg-BG"/>
    </w:rPr>
  </w:style>
  <w:style w:type="paragraph" w:customStyle="1" w:styleId="xl87">
    <w:name w:val="xl87"/>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bg-BG"/>
    </w:rPr>
  </w:style>
  <w:style w:type="paragraph" w:customStyle="1" w:styleId="xl88">
    <w:name w:val="xl88"/>
    <w:basedOn w:val="Normal"/>
    <w:rsid w:val="005023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bg-BG"/>
    </w:rPr>
  </w:style>
  <w:style w:type="paragraph" w:customStyle="1" w:styleId="xl89">
    <w:name w:val="xl89"/>
    <w:basedOn w:val="Normal"/>
    <w:rsid w:val="0050230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bg-BG"/>
    </w:rPr>
  </w:style>
  <w:style w:type="paragraph" w:customStyle="1" w:styleId="xl90">
    <w:name w:val="xl90"/>
    <w:basedOn w:val="Normal"/>
    <w:rsid w:val="0050230D"/>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w:eastAsia="Times New Roman" w:hAnsi="Arial" w:cs="Arial"/>
      <w:b/>
      <w:bCs/>
      <w:sz w:val="24"/>
      <w:szCs w:val="24"/>
      <w:lang w:eastAsia="bg-BG"/>
    </w:rPr>
  </w:style>
  <w:style w:type="paragraph" w:customStyle="1" w:styleId="xl91">
    <w:name w:val="xl91"/>
    <w:basedOn w:val="Normal"/>
    <w:rsid w:val="0050230D"/>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sz w:val="24"/>
      <w:szCs w:val="24"/>
      <w:lang w:eastAsia="bg-BG"/>
    </w:rPr>
  </w:style>
  <w:style w:type="paragraph" w:customStyle="1" w:styleId="xl92">
    <w:name w:val="xl92"/>
    <w:basedOn w:val="Normal"/>
    <w:rsid w:val="0050230D"/>
    <w:pPr>
      <w:pBdr>
        <w:top w:val="single" w:sz="4" w:space="0" w:color="auto"/>
        <w:bottom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sz w:val="24"/>
      <w:szCs w:val="24"/>
      <w:lang w:eastAsia="bg-BG"/>
    </w:rPr>
  </w:style>
  <w:style w:type="paragraph" w:customStyle="1" w:styleId="xl93">
    <w:name w:val="xl93"/>
    <w:basedOn w:val="Normal"/>
    <w:rsid w:val="0050230D"/>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sz w:val="24"/>
      <w:szCs w:val="24"/>
      <w:lang w:eastAsia="bg-BG"/>
    </w:rPr>
  </w:style>
  <w:style w:type="paragraph" w:customStyle="1" w:styleId="xl94">
    <w:name w:val="xl94"/>
    <w:basedOn w:val="Normal"/>
    <w:rsid w:val="0050230D"/>
    <w:pPr>
      <w:pBdr>
        <w:top w:val="single" w:sz="4" w:space="0" w:color="auto"/>
        <w:left w:val="single" w:sz="4" w:space="0" w:color="auto"/>
        <w:bottom w:val="single" w:sz="4" w:space="0" w:color="auto"/>
      </w:pBdr>
      <w:shd w:val="clear" w:color="000000" w:fill="A5A5A5"/>
      <w:spacing w:before="100" w:beforeAutospacing="1" w:after="100" w:afterAutospacing="1" w:line="240" w:lineRule="auto"/>
      <w:jc w:val="center"/>
      <w:textAlignment w:val="center"/>
    </w:pPr>
    <w:rPr>
      <w:rFonts w:ascii="Arial" w:eastAsia="Times New Roman" w:hAnsi="Arial" w:cs="Arial"/>
      <w:b/>
      <w:bCs/>
      <w:sz w:val="24"/>
      <w:szCs w:val="24"/>
      <w:lang w:eastAsia="bg-BG"/>
    </w:rPr>
  </w:style>
  <w:style w:type="paragraph" w:customStyle="1" w:styleId="xl95">
    <w:name w:val="xl95"/>
    <w:basedOn w:val="Normal"/>
    <w:rsid w:val="0050230D"/>
    <w:pPr>
      <w:pBdr>
        <w:top w:val="single" w:sz="4" w:space="0" w:color="auto"/>
        <w:bottom w:val="single" w:sz="4" w:space="0" w:color="auto"/>
      </w:pBdr>
      <w:shd w:val="clear" w:color="000000" w:fill="A5A5A5"/>
      <w:spacing w:before="100" w:beforeAutospacing="1" w:after="100" w:afterAutospacing="1" w:line="240" w:lineRule="auto"/>
      <w:jc w:val="center"/>
      <w:textAlignment w:val="center"/>
    </w:pPr>
    <w:rPr>
      <w:rFonts w:ascii="Arial" w:eastAsia="Times New Roman" w:hAnsi="Arial" w:cs="Arial"/>
      <w:b/>
      <w:bCs/>
      <w:sz w:val="24"/>
      <w:szCs w:val="24"/>
      <w:lang w:eastAsia="bg-BG"/>
    </w:rPr>
  </w:style>
  <w:style w:type="paragraph" w:customStyle="1" w:styleId="xl96">
    <w:name w:val="xl96"/>
    <w:basedOn w:val="Normal"/>
    <w:rsid w:val="0050230D"/>
    <w:pPr>
      <w:pBdr>
        <w:top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w:eastAsia="Times New Roman" w:hAnsi="Arial" w:cs="Arial"/>
      <w:b/>
      <w:bCs/>
      <w:sz w:val="24"/>
      <w:szCs w:val="24"/>
      <w:lang w:eastAsia="bg-BG"/>
    </w:rPr>
  </w:style>
  <w:style w:type="table" w:customStyle="1" w:styleId="TableGrid2">
    <w:name w:val="Table Grid2"/>
    <w:basedOn w:val="TableNormal"/>
    <w:next w:val="TableGrid"/>
    <w:rsid w:val="0021220B"/>
    <w:pPr>
      <w:spacing w:after="0" w:line="240" w:lineRule="auto"/>
    </w:pPr>
    <w:rPr>
      <w:rFonts w:cs="Arial"/>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53">
    <w:name w:val="Light Grid - Accent 53"/>
    <w:basedOn w:val="TableNormal"/>
    <w:next w:val="LightGrid-Accent5"/>
    <w:uiPriority w:val="62"/>
    <w:rsid w:val="0021220B"/>
    <w:pPr>
      <w:spacing w:after="0" w:line="240" w:lineRule="auto"/>
    </w:pPr>
    <w:rPr>
      <w:lang w:val="en-US"/>
    </w:rPr>
    <w:tblPr>
      <w:tblStyleRowBandSize w:val="1"/>
      <w:tblStyleColBandSize w:val="1"/>
      <w:tblBorders>
        <w:top w:val="single" w:sz="8" w:space="0" w:color="7BA79D"/>
        <w:left w:val="single" w:sz="8" w:space="0" w:color="7BA79D"/>
        <w:bottom w:val="single" w:sz="8" w:space="0" w:color="7BA79D"/>
        <w:right w:val="single" w:sz="8" w:space="0" w:color="7BA79D"/>
        <w:insideH w:val="single" w:sz="8" w:space="0" w:color="7BA79D"/>
        <w:insideV w:val="single" w:sz="8" w:space="0" w:color="7BA79D"/>
      </w:tblBorders>
    </w:tblPr>
    <w:tblStylePr w:type="firstRow">
      <w:pPr>
        <w:spacing w:before="0" w:after="0" w:line="240" w:lineRule="auto"/>
      </w:pPr>
      <w:rPr>
        <w:rFonts w:ascii="Arial" w:eastAsia="MS PGothic" w:hAnsi="Arial" w:cs="Arial"/>
        <w:b/>
        <w:bCs/>
      </w:rPr>
      <w:tblPr/>
      <w:tcPr>
        <w:tcBorders>
          <w:top w:val="single" w:sz="8" w:space="0" w:color="7BA79D"/>
          <w:left w:val="single" w:sz="8" w:space="0" w:color="7BA79D"/>
          <w:bottom w:val="single" w:sz="18" w:space="0" w:color="7BA79D"/>
          <w:right w:val="single" w:sz="8" w:space="0" w:color="7BA79D"/>
          <w:insideH w:val="nil"/>
          <w:insideV w:val="single" w:sz="8" w:space="0" w:color="7BA79D"/>
        </w:tcBorders>
      </w:tcPr>
    </w:tblStylePr>
    <w:tblStylePr w:type="lastRow">
      <w:pPr>
        <w:spacing w:before="0" w:after="0" w:line="240" w:lineRule="auto"/>
      </w:pPr>
      <w:rPr>
        <w:rFonts w:ascii="Arial" w:eastAsia="MS PGothic" w:hAnsi="Arial" w:cs="Arial"/>
        <w:b/>
        <w:bCs/>
      </w:rPr>
      <w:tblPr/>
      <w:tcPr>
        <w:tcBorders>
          <w:top w:val="double" w:sz="6" w:space="0" w:color="7BA79D"/>
          <w:left w:val="single" w:sz="8" w:space="0" w:color="7BA79D"/>
          <w:bottom w:val="single" w:sz="8" w:space="0" w:color="7BA79D"/>
          <w:right w:val="single" w:sz="8" w:space="0" w:color="7BA79D"/>
          <w:insideH w:val="nil"/>
          <w:insideV w:val="single" w:sz="8" w:space="0" w:color="7BA79D"/>
        </w:tcBorders>
      </w:tcPr>
    </w:tblStylePr>
    <w:tblStylePr w:type="firstCol">
      <w:rPr>
        <w:rFonts w:ascii="Arial" w:eastAsia="MS PGothic" w:hAnsi="Arial" w:cs="Arial"/>
        <w:b/>
        <w:bCs/>
      </w:rPr>
    </w:tblStylePr>
    <w:tblStylePr w:type="lastCol">
      <w:rPr>
        <w:rFonts w:ascii="Arial" w:eastAsia="MS PGothic" w:hAnsi="Arial" w:cs="Arial"/>
        <w:b/>
        <w:bCs/>
      </w:rPr>
      <w:tblPr/>
      <w:tcPr>
        <w:tcBorders>
          <w:top w:val="single" w:sz="8" w:space="0" w:color="7BA79D"/>
          <w:left w:val="single" w:sz="8" w:space="0" w:color="7BA79D"/>
          <w:bottom w:val="single" w:sz="8" w:space="0" w:color="7BA79D"/>
          <w:right w:val="single" w:sz="8" w:space="0" w:color="7BA79D"/>
        </w:tcBorders>
      </w:tcPr>
    </w:tblStylePr>
    <w:tblStylePr w:type="band1Vert">
      <w:tblPr/>
      <w:tcPr>
        <w:tcBorders>
          <w:top w:val="single" w:sz="8" w:space="0" w:color="7BA79D"/>
          <w:left w:val="single" w:sz="8" w:space="0" w:color="7BA79D"/>
          <w:bottom w:val="single" w:sz="8" w:space="0" w:color="7BA79D"/>
          <w:right w:val="single" w:sz="8" w:space="0" w:color="7BA79D"/>
        </w:tcBorders>
        <w:shd w:val="clear" w:color="auto" w:fill="DEE9E6"/>
      </w:tcPr>
    </w:tblStylePr>
    <w:tblStylePr w:type="band1Horz">
      <w:tblPr/>
      <w:tcPr>
        <w:tcBorders>
          <w:top w:val="single" w:sz="8" w:space="0" w:color="7BA79D"/>
          <w:left w:val="single" w:sz="8" w:space="0" w:color="7BA79D"/>
          <w:bottom w:val="single" w:sz="8" w:space="0" w:color="7BA79D"/>
          <w:right w:val="single" w:sz="8" w:space="0" w:color="7BA79D"/>
          <w:insideV w:val="single" w:sz="8" w:space="0" w:color="7BA79D"/>
        </w:tcBorders>
        <w:shd w:val="clear" w:color="auto" w:fill="DEE9E6"/>
      </w:tcPr>
    </w:tblStylePr>
    <w:tblStylePr w:type="band2Horz">
      <w:tblPr/>
      <w:tcPr>
        <w:tcBorders>
          <w:top w:val="single" w:sz="8" w:space="0" w:color="7BA79D"/>
          <w:left w:val="single" w:sz="8" w:space="0" w:color="7BA79D"/>
          <w:bottom w:val="single" w:sz="8" w:space="0" w:color="7BA79D"/>
          <w:right w:val="single" w:sz="8" w:space="0" w:color="7BA79D"/>
          <w:insideV w:val="single" w:sz="8" w:space="0" w:color="7BA79D"/>
        </w:tcBorders>
      </w:tcPr>
    </w:tblStylePr>
  </w:style>
  <w:style w:type="character" w:styleId="FollowedHyperlink">
    <w:name w:val="FollowedHyperlink"/>
    <w:basedOn w:val="DefaultParagraphFont"/>
    <w:uiPriority w:val="99"/>
    <w:semiHidden/>
    <w:unhideWhenUsed/>
    <w:rsid w:val="00BB1FC9"/>
    <w:rPr>
      <w:color w:val="954F72" w:themeColor="followedHyperlink"/>
      <w:u w:val="single"/>
    </w:rPr>
  </w:style>
  <w:style w:type="paragraph" w:styleId="Title">
    <w:name w:val="Title"/>
    <w:basedOn w:val="Normal"/>
    <w:next w:val="Normal"/>
    <w:link w:val="TitleChar"/>
    <w:uiPriority w:val="10"/>
    <w:qFormat/>
    <w:rsid w:val="00972D3D"/>
    <w:pPr>
      <w:spacing w:before="240" w:after="60" w:line="276" w:lineRule="auto"/>
      <w:jc w:val="center"/>
      <w:outlineLvl w:val="0"/>
    </w:pPr>
    <w:rPr>
      <w:rFonts w:ascii="Cambria" w:eastAsia="Times New Roman" w:hAnsi="Cambria" w:cs="Times New Roman"/>
      <w:b/>
      <w:bCs/>
      <w:color w:val="17365D"/>
      <w:kern w:val="28"/>
      <w:sz w:val="32"/>
      <w:szCs w:val="32"/>
    </w:rPr>
  </w:style>
  <w:style w:type="character" w:customStyle="1" w:styleId="TitleChar">
    <w:name w:val="Title Char"/>
    <w:basedOn w:val="DefaultParagraphFont"/>
    <w:link w:val="Title"/>
    <w:uiPriority w:val="10"/>
    <w:rsid w:val="00972D3D"/>
    <w:rPr>
      <w:rFonts w:ascii="Cambria" w:eastAsia="Times New Roman" w:hAnsi="Cambria" w:cs="Times New Roman"/>
      <w:b/>
      <w:bCs/>
      <w:color w:val="17365D"/>
      <w:kern w:val="28"/>
      <w:sz w:val="32"/>
      <w:szCs w:val="32"/>
    </w:rPr>
  </w:style>
  <w:style w:type="table" w:customStyle="1" w:styleId="TableGrid3">
    <w:name w:val="Table Grid3"/>
    <w:basedOn w:val="TableNormal"/>
    <w:next w:val="TableGrid"/>
    <w:rsid w:val="00EE754B"/>
    <w:pPr>
      <w:spacing w:after="0" w:line="240" w:lineRule="auto"/>
    </w:pPr>
    <w:rPr>
      <w:rFonts w:cs="Arial"/>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54">
    <w:name w:val="Light Grid - Accent 54"/>
    <w:basedOn w:val="TableNormal"/>
    <w:next w:val="LightGrid-Accent5"/>
    <w:uiPriority w:val="62"/>
    <w:rsid w:val="00EE754B"/>
    <w:pPr>
      <w:spacing w:after="0" w:line="240" w:lineRule="auto"/>
    </w:pPr>
    <w:rPr>
      <w:lang w:val="en-US"/>
    </w:rPr>
    <w:tblPr>
      <w:tblStyleRowBandSize w:val="1"/>
      <w:tblStyleColBandSize w:val="1"/>
      <w:tblBorders>
        <w:top w:val="single" w:sz="8" w:space="0" w:color="7BA79D"/>
        <w:left w:val="single" w:sz="8" w:space="0" w:color="7BA79D"/>
        <w:bottom w:val="single" w:sz="8" w:space="0" w:color="7BA79D"/>
        <w:right w:val="single" w:sz="8" w:space="0" w:color="7BA79D"/>
        <w:insideH w:val="single" w:sz="8" w:space="0" w:color="7BA79D"/>
        <w:insideV w:val="single" w:sz="8" w:space="0" w:color="7BA79D"/>
      </w:tblBorders>
    </w:tblPr>
    <w:tblStylePr w:type="firstRow">
      <w:pPr>
        <w:spacing w:before="0" w:after="0" w:line="240" w:lineRule="auto"/>
      </w:pPr>
      <w:rPr>
        <w:rFonts w:ascii="Arial" w:eastAsia="MS PGothic" w:hAnsi="Arial" w:cs="Arial"/>
        <w:b/>
        <w:bCs/>
      </w:rPr>
      <w:tblPr/>
      <w:tcPr>
        <w:tcBorders>
          <w:top w:val="single" w:sz="8" w:space="0" w:color="7BA79D"/>
          <w:left w:val="single" w:sz="8" w:space="0" w:color="7BA79D"/>
          <w:bottom w:val="single" w:sz="18" w:space="0" w:color="7BA79D"/>
          <w:right w:val="single" w:sz="8" w:space="0" w:color="7BA79D"/>
          <w:insideH w:val="nil"/>
          <w:insideV w:val="single" w:sz="8" w:space="0" w:color="7BA79D"/>
        </w:tcBorders>
      </w:tcPr>
    </w:tblStylePr>
    <w:tblStylePr w:type="lastRow">
      <w:pPr>
        <w:spacing w:before="0" w:after="0" w:line="240" w:lineRule="auto"/>
      </w:pPr>
      <w:rPr>
        <w:rFonts w:ascii="Arial" w:eastAsia="MS PGothic" w:hAnsi="Arial" w:cs="Arial"/>
        <w:b/>
        <w:bCs/>
      </w:rPr>
      <w:tblPr/>
      <w:tcPr>
        <w:tcBorders>
          <w:top w:val="double" w:sz="6" w:space="0" w:color="7BA79D"/>
          <w:left w:val="single" w:sz="8" w:space="0" w:color="7BA79D"/>
          <w:bottom w:val="single" w:sz="8" w:space="0" w:color="7BA79D"/>
          <w:right w:val="single" w:sz="8" w:space="0" w:color="7BA79D"/>
          <w:insideH w:val="nil"/>
          <w:insideV w:val="single" w:sz="8" w:space="0" w:color="7BA79D"/>
        </w:tcBorders>
      </w:tcPr>
    </w:tblStylePr>
    <w:tblStylePr w:type="firstCol">
      <w:rPr>
        <w:rFonts w:ascii="Arial" w:eastAsia="MS PGothic" w:hAnsi="Arial" w:cs="Arial"/>
        <w:b/>
        <w:bCs/>
      </w:rPr>
    </w:tblStylePr>
    <w:tblStylePr w:type="lastCol">
      <w:rPr>
        <w:rFonts w:ascii="Arial" w:eastAsia="MS PGothic" w:hAnsi="Arial" w:cs="Arial"/>
        <w:b/>
        <w:bCs/>
      </w:rPr>
      <w:tblPr/>
      <w:tcPr>
        <w:tcBorders>
          <w:top w:val="single" w:sz="8" w:space="0" w:color="7BA79D"/>
          <w:left w:val="single" w:sz="8" w:space="0" w:color="7BA79D"/>
          <w:bottom w:val="single" w:sz="8" w:space="0" w:color="7BA79D"/>
          <w:right w:val="single" w:sz="8" w:space="0" w:color="7BA79D"/>
        </w:tcBorders>
      </w:tcPr>
    </w:tblStylePr>
    <w:tblStylePr w:type="band1Vert">
      <w:tblPr/>
      <w:tcPr>
        <w:tcBorders>
          <w:top w:val="single" w:sz="8" w:space="0" w:color="7BA79D"/>
          <w:left w:val="single" w:sz="8" w:space="0" w:color="7BA79D"/>
          <w:bottom w:val="single" w:sz="8" w:space="0" w:color="7BA79D"/>
          <w:right w:val="single" w:sz="8" w:space="0" w:color="7BA79D"/>
        </w:tcBorders>
        <w:shd w:val="clear" w:color="auto" w:fill="DEE9E6"/>
      </w:tcPr>
    </w:tblStylePr>
    <w:tblStylePr w:type="band1Horz">
      <w:tblPr/>
      <w:tcPr>
        <w:tcBorders>
          <w:top w:val="single" w:sz="8" w:space="0" w:color="7BA79D"/>
          <w:left w:val="single" w:sz="8" w:space="0" w:color="7BA79D"/>
          <w:bottom w:val="single" w:sz="8" w:space="0" w:color="7BA79D"/>
          <w:right w:val="single" w:sz="8" w:space="0" w:color="7BA79D"/>
          <w:insideV w:val="single" w:sz="8" w:space="0" w:color="7BA79D"/>
        </w:tcBorders>
        <w:shd w:val="clear" w:color="auto" w:fill="DEE9E6"/>
      </w:tcPr>
    </w:tblStylePr>
    <w:tblStylePr w:type="band2Horz">
      <w:tblPr/>
      <w:tcPr>
        <w:tcBorders>
          <w:top w:val="single" w:sz="8" w:space="0" w:color="7BA79D"/>
          <w:left w:val="single" w:sz="8" w:space="0" w:color="7BA79D"/>
          <w:bottom w:val="single" w:sz="8" w:space="0" w:color="7BA79D"/>
          <w:right w:val="single" w:sz="8" w:space="0" w:color="7BA79D"/>
          <w:insideV w:val="single" w:sz="8" w:space="0" w:color="7BA79D"/>
        </w:tcBorders>
      </w:tcPr>
    </w:tblStylePr>
  </w:style>
  <w:style w:type="paragraph" w:styleId="BodyText2">
    <w:name w:val="Body Text 2"/>
    <w:basedOn w:val="Normal"/>
    <w:link w:val="BodyText2Char"/>
    <w:uiPriority w:val="99"/>
    <w:semiHidden/>
    <w:unhideWhenUsed/>
    <w:rsid w:val="009C1252"/>
    <w:pPr>
      <w:spacing w:after="120" w:line="480" w:lineRule="auto"/>
    </w:pPr>
  </w:style>
  <w:style w:type="character" w:customStyle="1" w:styleId="BodyText2Char">
    <w:name w:val="Body Text 2 Char"/>
    <w:basedOn w:val="DefaultParagraphFont"/>
    <w:link w:val="BodyText2"/>
    <w:uiPriority w:val="99"/>
    <w:semiHidden/>
    <w:rsid w:val="009C1252"/>
  </w:style>
  <w:style w:type="table" w:styleId="ColorfulGrid-Accent1">
    <w:name w:val="Colorful Grid Accent 1"/>
    <w:basedOn w:val="TableNormal"/>
    <w:uiPriority w:val="73"/>
    <w:rsid w:val="00421960"/>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EEAF6" w:themeFill="accent1" w:themeFillTint="33"/>
    </w:tcPr>
    <w:tblStylePr w:type="firstRow">
      <w:rPr>
        <w:b/>
        <w:bCs/>
      </w:rPr>
      <w:tblPr/>
      <w:tcPr>
        <w:shd w:val="clear" w:color="auto" w:fill="BDD6EE" w:themeFill="accent1" w:themeFillTint="66"/>
      </w:tcPr>
    </w:tblStylePr>
    <w:tblStylePr w:type="lastRow">
      <w:rPr>
        <w:b/>
        <w:bCs/>
        <w:color w:val="000000" w:themeColor="text1"/>
      </w:rPr>
      <w:tblPr/>
      <w:tcPr>
        <w:shd w:val="clear" w:color="auto" w:fill="BDD6EE" w:themeFill="accent1" w:themeFillTint="66"/>
      </w:tcPr>
    </w:tblStylePr>
    <w:tblStylePr w:type="firstCol">
      <w:rPr>
        <w:color w:val="FFFFFF" w:themeColor="background1"/>
      </w:rPr>
      <w:tblPr/>
      <w:tcPr>
        <w:shd w:val="clear" w:color="auto" w:fill="2E74B5" w:themeFill="accent1" w:themeFillShade="BF"/>
      </w:tcPr>
    </w:tblStylePr>
    <w:tblStylePr w:type="lastCol">
      <w:rPr>
        <w:color w:val="FFFFFF" w:themeColor="background1"/>
      </w:rPr>
      <w:tblPr/>
      <w:tcPr>
        <w:shd w:val="clear" w:color="auto" w:fill="2E74B5" w:themeFill="accent1" w:themeFillShade="BF"/>
      </w:tc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styleId="MediumGrid2-Accent1">
    <w:name w:val="Medium Grid 2 Accent 1"/>
    <w:basedOn w:val="TableNormal"/>
    <w:uiPriority w:val="68"/>
    <w:rsid w:val="0034285F"/>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table" w:customStyle="1" w:styleId="LightList-Accent11">
    <w:name w:val="Light List - Accent 11"/>
    <w:basedOn w:val="TableNormal"/>
    <w:uiPriority w:val="61"/>
    <w:rsid w:val="00432BD7"/>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PlaceholderText">
    <w:name w:val="Placeholder Text"/>
    <w:basedOn w:val="DefaultParagraphFont"/>
    <w:uiPriority w:val="99"/>
    <w:semiHidden/>
    <w:rsid w:val="00C34428"/>
    <w:rPr>
      <w:color w:val="808080"/>
    </w:rPr>
  </w:style>
  <w:style w:type="table" w:customStyle="1" w:styleId="GridTable5Dark-Accent11">
    <w:name w:val="Grid Table 5 Dark - Accent 11"/>
    <w:basedOn w:val="TableNormal"/>
    <w:uiPriority w:val="50"/>
    <w:rsid w:val="008E4A1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leGrid4">
    <w:name w:val="Table Grid4"/>
    <w:basedOn w:val="TableNormal"/>
    <w:next w:val="TableGrid"/>
    <w:rsid w:val="00B511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rsid w:val="00B511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61">
    <w:name w:val="Grid Table 5 Dark - Accent 61"/>
    <w:basedOn w:val="TableNormal"/>
    <w:uiPriority w:val="50"/>
    <w:rsid w:val="00E513B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ColorfulGrid-Accent5">
    <w:name w:val="Colorful Grid Accent 5"/>
    <w:basedOn w:val="TableNormal"/>
    <w:uiPriority w:val="73"/>
    <w:rsid w:val="000F3935"/>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9E2F3" w:themeFill="accent5" w:themeFillTint="33"/>
    </w:tcPr>
    <w:tblStylePr w:type="firstRow">
      <w:rPr>
        <w:b/>
        <w:bCs/>
      </w:rPr>
      <w:tblPr/>
      <w:tcPr>
        <w:shd w:val="clear" w:color="auto" w:fill="B4C6E7" w:themeFill="accent5" w:themeFillTint="66"/>
      </w:tcPr>
    </w:tblStylePr>
    <w:tblStylePr w:type="lastRow">
      <w:rPr>
        <w:b/>
        <w:bCs/>
        <w:color w:val="000000" w:themeColor="text1"/>
      </w:rPr>
      <w:tblPr/>
      <w:tcPr>
        <w:shd w:val="clear" w:color="auto" w:fill="B4C6E7" w:themeFill="accent5" w:themeFillTint="66"/>
      </w:tcPr>
    </w:tblStylePr>
    <w:tblStylePr w:type="firstCol">
      <w:rPr>
        <w:color w:val="FFFFFF" w:themeColor="background1"/>
      </w:rPr>
      <w:tblPr/>
      <w:tcPr>
        <w:shd w:val="clear" w:color="auto" w:fill="2F5496" w:themeFill="accent5" w:themeFillShade="BF"/>
      </w:tcPr>
    </w:tblStylePr>
    <w:tblStylePr w:type="lastCol">
      <w:rPr>
        <w:color w:val="FFFFFF" w:themeColor="background1"/>
      </w:rPr>
      <w:tblPr/>
      <w:tcPr>
        <w:shd w:val="clear" w:color="auto" w:fill="2F5496" w:themeFill="accent5" w:themeFillShade="BF"/>
      </w:tc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customStyle="1" w:styleId="LightShading-Accent14">
    <w:name w:val="Light Shading - Accent 14"/>
    <w:basedOn w:val="TableNormal"/>
    <w:uiPriority w:val="60"/>
    <w:rsid w:val="00165E0B"/>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GridTable5Dark-Accent62">
    <w:name w:val="Grid Table 5 Dark - Accent 62"/>
    <w:basedOn w:val="TableNormal"/>
    <w:uiPriority w:val="50"/>
    <w:rsid w:val="00907AE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paragraph" w:styleId="TableofFigures">
    <w:name w:val="table of figures"/>
    <w:basedOn w:val="Normal"/>
    <w:next w:val="Normal"/>
    <w:uiPriority w:val="99"/>
    <w:unhideWhenUsed/>
    <w:rsid w:val="00EB6C68"/>
    <w:pPr>
      <w:spacing w:after="0"/>
    </w:pPr>
  </w:style>
  <w:style w:type="table" w:customStyle="1" w:styleId="ListTable4-Accent31">
    <w:name w:val="List Table 4 - Accent 31"/>
    <w:basedOn w:val="TableNormal"/>
    <w:uiPriority w:val="49"/>
    <w:rsid w:val="009238DD"/>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st">
    <w:name w:val="st"/>
    <w:rsid w:val="002B2B35"/>
  </w:style>
  <w:style w:type="character" w:styleId="Emphasis">
    <w:name w:val="Emphasis"/>
    <w:uiPriority w:val="20"/>
    <w:qFormat/>
    <w:rsid w:val="002B2B35"/>
    <w:rPr>
      <w:i/>
      <w:iCs/>
    </w:rPr>
  </w:style>
  <w:style w:type="paragraph" w:styleId="EndnoteText">
    <w:name w:val="endnote text"/>
    <w:basedOn w:val="Normal"/>
    <w:link w:val="EndnoteTextChar"/>
    <w:uiPriority w:val="99"/>
    <w:semiHidden/>
    <w:unhideWhenUsed/>
    <w:rsid w:val="002B2B3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2B2B35"/>
    <w:rPr>
      <w:sz w:val="20"/>
      <w:szCs w:val="20"/>
    </w:rPr>
  </w:style>
  <w:style w:type="character" w:styleId="EndnoteReference">
    <w:name w:val="endnote reference"/>
    <w:basedOn w:val="DefaultParagraphFont"/>
    <w:uiPriority w:val="99"/>
    <w:semiHidden/>
    <w:unhideWhenUsed/>
    <w:rsid w:val="002B2B3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07333">
      <w:bodyDiv w:val="1"/>
      <w:marLeft w:val="0"/>
      <w:marRight w:val="0"/>
      <w:marTop w:val="0"/>
      <w:marBottom w:val="0"/>
      <w:divBdr>
        <w:top w:val="none" w:sz="0" w:space="0" w:color="auto"/>
        <w:left w:val="none" w:sz="0" w:space="0" w:color="auto"/>
        <w:bottom w:val="none" w:sz="0" w:space="0" w:color="auto"/>
        <w:right w:val="none" w:sz="0" w:space="0" w:color="auto"/>
      </w:divBdr>
    </w:div>
    <w:div w:id="157041827">
      <w:bodyDiv w:val="1"/>
      <w:marLeft w:val="0"/>
      <w:marRight w:val="0"/>
      <w:marTop w:val="0"/>
      <w:marBottom w:val="0"/>
      <w:divBdr>
        <w:top w:val="none" w:sz="0" w:space="0" w:color="auto"/>
        <w:left w:val="none" w:sz="0" w:space="0" w:color="auto"/>
        <w:bottom w:val="none" w:sz="0" w:space="0" w:color="auto"/>
        <w:right w:val="none" w:sz="0" w:space="0" w:color="auto"/>
      </w:divBdr>
    </w:div>
    <w:div w:id="160897201">
      <w:bodyDiv w:val="1"/>
      <w:marLeft w:val="0"/>
      <w:marRight w:val="0"/>
      <w:marTop w:val="0"/>
      <w:marBottom w:val="0"/>
      <w:divBdr>
        <w:top w:val="none" w:sz="0" w:space="0" w:color="auto"/>
        <w:left w:val="none" w:sz="0" w:space="0" w:color="auto"/>
        <w:bottom w:val="none" w:sz="0" w:space="0" w:color="auto"/>
        <w:right w:val="none" w:sz="0" w:space="0" w:color="auto"/>
      </w:divBdr>
    </w:div>
    <w:div w:id="239945613">
      <w:bodyDiv w:val="1"/>
      <w:marLeft w:val="0"/>
      <w:marRight w:val="0"/>
      <w:marTop w:val="0"/>
      <w:marBottom w:val="0"/>
      <w:divBdr>
        <w:top w:val="none" w:sz="0" w:space="0" w:color="auto"/>
        <w:left w:val="none" w:sz="0" w:space="0" w:color="auto"/>
        <w:bottom w:val="none" w:sz="0" w:space="0" w:color="auto"/>
        <w:right w:val="none" w:sz="0" w:space="0" w:color="auto"/>
      </w:divBdr>
    </w:div>
    <w:div w:id="290946176">
      <w:bodyDiv w:val="1"/>
      <w:marLeft w:val="0"/>
      <w:marRight w:val="0"/>
      <w:marTop w:val="0"/>
      <w:marBottom w:val="0"/>
      <w:divBdr>
        <w:top w:val="none" w:sz="0" w:space="0" w:color="auto"/>
        <w:left w:val="none" w:sz="0" w:space="0" w:color="auto"/>
        <w:bottom w:val="none" w:sz="0" w:space="0" w:color="auto"/>
        <w:right w:val="none" w:sz="0" w:space="0" w:color="auto"/>
      </w:divBdr>
    </w:div>
    <w:div w:id="304046278">
      <w:bodyDiv w:val="1"/>
      <w:marLeft w:val="0"/>
      <w:marRight w:val="0"/>
      <w:marTop w:val="0"/>
      <w:marBottom w:val="0"/>
      <w:divBdr>
        <w:top w:val="none" w:sz="0" w:space="0" w:color="auto"/>
        <w:left w:val="none" w:sz="0" w:space="0" w:color="auto"/>
        <w:bottom w:val="none" w:sz="0" w:space="0" w:color="auto"/>
        <w:right w:val="none" w:sz="0" w:space="0" w:color="auto"/>
      </w:divBdr>
    </w:div>
    <w:div w:id="305016033">
      <w:bodyDiv w:val="1"/>
      <w:marLeft w:val="0"/>
      <w:marRight w:val="0"/>
      <w:marTop w:val="0"/>
      <w:marBottom w:val="0"/>
      <w:divBdr>
        <w:top w:val="none" w:sz="0" w:space="0" w:color="auto"/>
        <w:left w:val="none" w:sz="0" w:space="0" w:color="auto"/>
        <w:bottom w:val="none" w:sz="0" w:space="0" w:color="auto"/>
        <w:right w:val="none" w:sz="0" w:space="0" w:color="auto"/>
      </w:divBdr>
    </w:div>
    <w:div w:id="313147012">
      <w:bodyDiv w:val="1"/>
      <w:marLeft w:val="0"/>
      <w:marRight w:val="0"/>
      <w:marTop w:val="0"/>
      <w:marBottom w:val="0"/>
      <w:divBdr>
        <w:top w:val="none" w:sz="0" w:space="0" w:color="auto"/>
        <w:left w:val="none" w:sz="0" w:space="0" w:color="auto"/>
        <w:bottom w:val="none" w:sz="0" w:space="0" w:color="auto"/>
        <w:right w:val="none" w:sz="0" w:space="0" w:color="auto"/>
      </w:divBdr>
    </w:div>
    <w:div w:id="383674975">
      <w:bodyDiv w:val="1"/>
      <w:marLeft w:val="0"/>
      <w:marRight w:val="0"/>
      <w:marTop w:val="0"/>
      <w:marBottom w:val="0"/>
      <w:divBdr>
        <w:top w:val="none" w:sz="0" w:space="0" w:color="auto"/>
        <w:left w:val="none" w:sz="0" w:space="0" w:color="auto"/>
        <w:bottom w:val="none" w:sz="0" w:space="0" w:color="auto"/>
        <w:right w:val="none" w:sz="0" w:space="0" w:color="auto"/>
      </w:divBdr>
      <w:divsChild>
        <w:div w:id="704788745">
          <w:marLeft w:val="0"/>
          <w:marRight w:val="0"/>
          <w:marTop w:val="0"/>
          <w:marBottom w:val="0"/>
          <w:divBdr>
            <w:top w:val="none" w:sz="0" w:space="0" w:color="auto"/>
            <w:left w:val="none" w:sz="0" w:space="0" w:color="auto"/>
            <w:bottom w:val="none" w:sz="0" w:space="0" w:color="auto"/>
            <w:right w:val="none" w:sz="0" w:space="0" w:color="auto"/>
          </w:divBdr>
          <w:divsChild>
            <w:div w:id="1900165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126970">
      <w:bodyDiv w:val="1"/>
      <w:marLeft w:val="0"/>
      <w:marRight w:val="0"/>
      <w:marTop w:val="0"/>
      <w:marBottom w:val="0"/>
      <w:divBdr>
        <w:top w:val="none" w:sz="0" w:space="0" w:color="auto"/>
        <w:left w:val="none" w:sz="0" w:space="0" w:color="auto"/>
        <w:bottom w:val="none" w:sz="0" w:space="0" w:color="auto"/>
        <w:right w:val="none" w:sz="0" w:space="0" w:color="auto"/>
      </w:divBdr>
    </w:div>
    <w:div w:id="524439903">
      <w:bodyDiv w:val="1"/>
      <w:marLeft w:val="0"/>
      <w:marRight w:val="0"/>
      <w:marTop w:val="0"/>
      <w:marBottom w:val="0"/>
      <w:divBdr>
        <w:top w:val="none" w:sz="0" w:space="0" w:color="auto"/>
        <w:left w:val="none" w:sz="0" w:space="0" w:color="auto"/>
        <w:bottom w:val="none" w:sz="0" w:space="0" w:color="auto"/>
        <w:right w:val="none" w:sz="0" w:space="0" w:color="auto"/>
      </w:divBdr>
      <w:divsChild>
        <w:div w:id="615141596">
          <w:marLeft w:val="0"/>
          <w:marRight w:val="0"/>
          <w:marTop w:val="0"/>
          <w:marBottom w:val="0"/>
          <w:divBdr>
            <w:top w:val="none" w:sz="0" w:space="0" w:color="auto"/>
            <w:left w:val="none" w:sz="0" w:space="0" w:color="auto"/>
            <w:bottom w:val="none" w:sz="0" w:space="0" w:color="auto"/>
            <w:right w:val="none" w:sz="0" w:space="0" w:color="auto"/>
          </w:divBdr>
          <w:divsChild>
            <w:div w:id="466975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7646596">
      <w:bodyDiv w:val="1"/>
      <w:marLeft w:val="0"/>
      <w:marRight w:val="0"/>
      <w:marTop w:val="0"/>
      <w:marBottom w:val="0"/>
      <w:divBdr>
        <w:top w:val="none" w:sz="0" w:space="0" w:color="auto"/>
        <w:left w:val="none" w:sz="0" w:space="0" w:color="auto"/>
        <w:bottom w:val="none" w:sz="0" w:space="0" w:color="auto"/>
        <w:right w:val="none" w:sz="0" w:space="0" w:color="auto"/>
      </w:divBdr>
    </w:div>
    <w:div w:id="597952523">
      <w:bodyDiv w:val="1"/>
      <w:marLeft w:val="0"/>
      <w:marRight w:val="0"/>
      <w:marTop w:val="0"/>
      <w:marBottom w:val="0"/>
      <w:divBdr>
        <w:top w:val="none" w:sz="0" w:space="0" w:color="auto"/>
        <w:left w:val="none" w:sz="0" w:space="0" w:color="auto"/>
        <w:bottom w:val="none" w:sz="0" w:space="0" w:color="auto"/>
        <w:right w:val="none" w:sz="0" w:space="0" w:color="auto"/>
      </w:divBdr>
      <w:divsChild>
        <w:div w:id="741755293">
          <w:marLeft w:val="0"/>
          <w:marRight w:val="0"/>
          <w:marTop w:val="0"/>
          <w:marBottom w:val="0"/>
          <w:divBdr>
            <w:top w:val="none" w:sz="0" w:space="0" w:color="auto"/>
            <w:left w:val="none" w:sz="0" w:space="0" w:color="auto"/>
            <w:bottom w:val="none" w:sz="0" w:space="0" w:color="auto"/>
            <w:right w:val="none" w:sz="0" w:space="0" w:color="auto"/>
          </w:divBdr>
          <w:divsChild>
            <w:div w:id="56013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84963">
      <w:bodyDiv w:val="1"/>
      <w:marLeft w:val="0"/>
      <w:marRight w:val="0"/>
      <w:marTop w:val="0"/>
      <w:marBottom w:val="0"/>
      <w:divBdr>
        <w:top w:val="none" w:sz="0" w:space="0" w:color="auto"/>
        <w:left w:val="none" w:sz="0" w:space="0" w:color="auto"/>
        <w:bottom w:val="none" w:sz="0" w:space="0" w:color="auto"/>
        <w:right w:val="none" w:sz="0" w:space="0" w:color="auto"/>
      </w:divBdr>
      <w:divsChild>
        <w:div w:id="1636911233">
          <w:marLeft w:val="0"/>
          <w:marRight w:val="0"/>
          <w:marTop w:val="0"/>
          <w:marBottom w:val="0"/>
          <w:divBdr>
            <w:top w:val="none" w:sz="0" w:space="0" w:color="auto"/>
            <w:left w:val="none" w:sz="0" w:space="0" w:color="auto"/>
            <w:bottom w:val="none" w:sz="0" w:space="0" w:color="auto"/>
            <w:right w:val="none" w:sz="0" w:space="0" w:color="auto"/>
          </w:divBdr>
          <w:divsChild>
            <w:div w:id="543102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010695">
      <w:bodyDiv w:val="1"/>
      <w:marLeft w:val="0"/>
      <w:marRight w:val="0"/>
      <w:marTop w:val="0"/>
      <w:marBottom w:val="0"/>
      <w:divBdr>
        <w:top w:val="none" w:sz="0" w:space="0" w:color="auto"/>
        <w:left w:val="none" w:sz="0" w:space="0" w:color="auto"/>
        <w:bottom w:val="none" w:sz="0" w:space="0" w:color="auto"/>
        <w:right w:val="none" w:sz="0" w:space="0" w:color="auto"/>
      </w:divBdr>
    </w:div>
    <w:div w:id="613906566">
      <w:bodyDiv w:val="1"/>
      <w:marLeft w:val="0"/>
      <w:marRight w:val="0"/>
      <w:marTop w:val="0"/>
      <w:marBottom w:val="0"/>
      <w:divBdr>
        <w:top w:val="none" w:sz="0" w:space="0" w:color="auto"/>
        <w:left w:val="none" w:sz="0" w:space="0" w:color="auto"/>
        <w:bottom w:val="none" w:sz="0" w:space="0" w:color="auto"/>
        <w:right w:val="none" w:sz="0" w:space="0" w:color="auto"/>
      </w:divBdr>
    </w:div>
    <w:div w:id="622157396">
      <w:bodyDiv w:val="1"/>
      <w:marLeft w:val="0"/>
      <w:marRight w:val="0"/>
      <w:marTop w:val="0"/>
      <w:marBottom w:val="0"/>
      <w:divBdr>
        <w:top w:val="none" w:sz="0" w:space="0" w:color="auto"/>
        <w:left w:val="none" w:sz="0" w:space="0" w:color="auto"/>
        <w:bottom w:val="none" w:sz="0" w:space="0" w:color="auto"/>
        <w:right w:val="none" w:sz="0" w:space="0" w:color="auto"/>
      </w:divBdr>
    </w:div>
    <w:div w:id="628900257">
      <w:bodyDiv w:val="1"/>
      <w:marLeft w:val="0"/>
      <w:marRight w:val="0"/>
      <w:marTop w:val="0"/>
      <w:marBottom w:val="0"/>
      <w:divBdr>
        <w:top w:val="none" w:sz="0" w:space="0" w:color="auto"/>
        <w:left w:val="none" w:sz="0" w:space="0" w:color="auto"/>
        <w:bottom w:val="none" w:sz="0" w:space="0" w:color="auto"/>
        <w:right w:val="none" w:sz="0" w:space="0" w:color="auto"/>
      </w:divBdr>
    </w:div>
    <w:div w:id="683018675">
      <w:bodyDiv w:val="1"/>
      <w:marLeft w:val="0"/>
      <w:marRight w:val="0"/>
      <w:marTop w:val="0"/>
      <w:marBottom w:val="0"/>
      <w:divBdr>
        <w:top w:val="none" w:sz="0" w:space="0" w:color="auto"/>
        <w:left w:val="none" w:sz="0" w:space="0" w:color="auto"/>
        <w:bottom w:val="none" w:sz="0" w:space="0" w:color="auto"/>
        <w:right w:val="none" w:sz="0" w:space="0" w:color="auto"/>
      </w:divBdr>
    </w:div>
    <w:div w:id="929778533">
      <w:bodyDiv w:val="1"/>
      <w:marLeft w:val="0"/>
      <w:marRight w:val="0"/>
      <w:marTop w:val="0"/>
      <w:marBottom w:val="0"/>
      <w:divBdr>
        <w:top w:val="none" w:sz="0" w:space="0" w:color="auto"/>
        <w:left w:val="none" w:sz="0" w:space="0" w:color="auto"/>
        <w:bottom w:val="none" w:sz="0" w:space="0" w:color="auto"/>
        <w:right w:val="none" w:sz="0" w:space="0" w:color="auto"/>
      </w:divBdr>
    </w:div>
    <w:div w:id="1003780119">
      <w:bodyDiv w:val="1"/>
      <w:marLeft w:val="0"/>
      <w:marRight w:val="0"/>
      <w:marTop w:val="0"/>
      <w:marBottom w:val="0"/>
      <w:divBdr>
        <w:top w:val="none" w:sz="0" w:space="0" w:color="auto"/>
        <w:left w:val="none" w:sz="0" w:space="0" w:color="auto"/>
        <w:bottom w:val="none" w:sz="0" w:space="0" w:color="auto"/>
        <w:right w:val="none" w:sz="0" w:space="0" w:color="auto"/>
      </w:divBdr>
    </w:div>
    <w:div w:id="1123885849">
      <w:bodyDiv w:val="1"/>
      <w:marLeft w:val="0"/>
      <w:marRight w:val="0"/>
      <w:marTop w:val="0"/>
      <w:marBottom w:val="0"/>
      <w:divBdr>
        <w:top w:val="none" w:sz="0" w:space="0" w:color="auto"/>
        <w:left w:val="none" w:sz="0" w:space="0" w:color="auto"/>
        <w:bottom w:val="none" w:sz="0" w:space="0" w:color="auto"/>
        <w:right w:val="none" w:sz="0" w:space="0" w:color="auto"/>
      </w:divBdr>
    </w:div>
    <w:div w:id="1143619678">
      <w:bodyDiv w:val="1"/>
      <w:marLeft w:val="0"/>
      <w:marRight w:val="0"/>
      <w:marTop w:val="0"/>
      <w:marBottom w:val="0"/>
      <w:divBdr>
        <w:top w:val="none" w:sz="0" w:space="0" w:color="auto"/>
        <w:left w:val="none" w:sz="0" w:space="0" w:color="auto"/>
        <w:bottom w:val="none" w:sz="0" w:space="0" w:color="auto"/>
        <w:right w:val="none" w:sz="0" w:space="0" w:color="auto"/>
      </w:divBdr>
      <w:divsChild>
        <w:div w:id="548884081">
          <w:marLeft w:val="547"/>
          <w:marRight w:val="0"/>
          <w:marTop w:val="91"/>
          <w:marBottom w:val="0"/>
          <w:divBdr>
            <w:top w:val="none" w:sz="0" w:space="0" w:color="auto"/>
            <w:left w:val="none" w:sz="0" w:space="0" w:color="auto"/>
            <w:bottom w:val="none" w:sz="0" w:space="0" w:color="auto"/>
            <w:right w:val="none" w:sz="0" w:space="0" w:color="auto"/>
          </w:divBdr>
        </w:div>
        <w:div w:id="1392729572">
          <w:marLeft w:val="1166"/>
          <w:marRight w:val="0"/>
          <w:marTop w:val="91"/>
          <w:marBottom w:val="0"/>
          <w:divBdr>
            <w:top w:val="none" w:sz="0" w:space="0" w:color="auto"/>
            <w:left w:val="none" w:sz="0" w:space="0" w:color="auto"/>
            <w:bottom w:val="none" w:sz="0" w:space="0" w:color="auto"/>
            <w:right w:val="none" w:sz="0" w:space="0" w:color="auto"/>
          </w:divBdr>
        </w:div>
        <w:div w:id="709575279">
          <w:marLeft w:val="1166"/>
          <w:marRight w:val="0"/>
          <w:marTop w:val="91"/>
          <w:marBottom w:val="0"/>
          <w:divBdr>
            <w:top w:val="none" w:sz="0" w:space="0" w:color="auto"/>
            <w:left w:val="none" w:sz="0" w:space="0" w:color="auto"/>
            <w:bottom w:val="none" w:sz="0" w:space="0" w:color="auto"/>
            <w:right w:val="none" w:sz="0" w:space="0" w:color="auto"/>
          </w:divBdr>
        </w:div>
        <w:div w:id="701825850">
          <w:marLeft w:val="1166"/>
          <w:marRight w:val="0"/>
          <w:marTop w:val="91"/>
          <w:marBottom w:val="0"/>
          <w:divBdr>
            <w:top w:val="none" w:sz="0" w:space="0" w:color="auto"/>
            <w:left w:val="none" w:sz="0" w:space="0" w:color="auto"/>
            <w:bottom w:val="none" w:sz="0" w:space="0" w:color="auto"/>
            <w:right w:val="none" w:sz="0" w:space="0" w:color="auto"/>
          </w:divBdr>
        </w:div>
      </w:divsChild>
    </w:div>
    <w:div w:id="1145003713">
      <w:bodyDiv w:val="1"/>
      <w:marLeft w:val="0"/>
      <w:marRight w:val="0"/>
      <w:marTop w:val="0"/>
      <w:marBottom w:val="0"/>
      <w:divBdr>
        <w:top w:val="none" w:sz="0" w:space="0" w:color="auto"/>
        <w:left w:val="none" w:sz="0" w:space="0" w:color="auto"/>
        <w:bottom w:val="none" w:sz="0" w:space="0" w:color="auto"/>
        <w:right w:val="none" w:sz="0" w:space="0" w:color="auto"/>
      </w:divBdr>
    </w:div>
    <w:div w:id="1151021329">
      <w:bodyDiv w:val="1"/>
      <w:marLeft w:val="0"/>
      <w:marRight w:val="0"/>
      <w:marTop w:val="0"/>
      <w:marBottom w:val="0"/>
      <w:divBdr>
        <w:top w:val="none" w:sz="0" w:space="0" w:color="auto"/>
        <w:left w:val="none" w:sz="0" w:space="0" w:color="auto"/>
        <w:bottom w:val="none" w:sz="0" w:space="0" w:color="auto"/>
        <w:right w:val="none" w:sz="0" w:space="0" w:color="auto"/>
      </w:divBdr>
    </w:div>
    <w:div w:id="1197694702">
      <w:bodyDiv w:val="1"/>
      <w:marLeft w:val="0"/>
      <w:marRight w:val="0"/>
      <w:marTop w:val="0"/>
      <w:marBottom w:val="0"/>
      <w:divBdr>
        <w:top w:val="none" w:sz="0" w:space="0" w:color="auto"/>
        <w:left w:val="none" w:sz="0" w:space="0" w:color="auto"/>
        <w:bottom w:val="none" w:sz="0" w:space="0" w:color="auto"/>
        <w:right w:val="none" w:sz="0" w:space="0" w:color="auto"/>
      </w:divBdr>
    </w:div>
    <w:div w:id="1217549536">
      <w:bodyDiv w:val="1"/>
      <w:marLeft w:val="0"/>
      <w:marRight w:val="0"/>
      <w:marTop w:val="0"/>
      <w:marBottom w:val="0"/>
      <w:divBdr>
        <w:top w:val="none" w:sz="0" w:space="0" w:color="auto"/>
        <w:left w:val="none" w:sz="0" w:space="0" w:color="auto"/>
        <w:bottom w:val="none" w:sz="0" w:space="0" w:color="auto"/>
        <w:right w:val="none" w:sz="0" w:space="0" w:color="auto"/>
      </w:divBdr>
    </w:div>
    <w:div w:id="1226993986">
      <w:bodyDiv w:val="1"/>
      <w:marLeft w:val="0"/>
      <w:marRight w:val="0"/>
      <w:marTop w:val="0"/>
      <w:marBottom w:val="0"/>
      <w:divBdr>
        <w:top w:val="none" w:sz="0" w:space="0" w:color="auto"/>
        <w:left w:val="none" w:sz="0" w:space="0" w:color="auto"/>
        <w:bottom w:val="none" w:sz="0" w:space="0" w:color="auto"/>
        <w:right w:val="none" w:sz="0" w:space="0" w:color="auto"/>
      </w:divBdr>
    </w:div>
    <w:div w:id="1240940899">
      <w:bodyDiv w:val="1"/>
      <w:marLeft w:val="0"/>
      <w:marRight w:val="0"/>
      <w:marTop w:val="0"/>
      <w:marBottom w:val="0"/>
      <w:divBdr>
        <w:top w:val="none" w:sz="0" w:space="0" w:color="auto"/>
        <w:left w:val="none" w:sz="0" w:space="0" w:color="auto"/>
        <w:bottom w:val="none" w:sz="0" w:space="0" w:color="auto"/>
        <w:right w:val="none" w:sz="0" w:space="0" w:color="auto"/>
      </w:divBdr>
      <w:divsChild>
        <w:div w:id="862480478">
          <w:marLeft w:val="0"/>
          <w:marRight w:val="0"/>
          <w:marTop w:val="0"/>
          <w:marBottom w:val="0"/>
          <w:divBdr>
            <w:top w:val="none" w:sz="0" w:space="0" w:color="auto"/>
            <w:left w:val="none" w:sz="0" w:space="0" w:color="auto"/>
            <w:bottom w:val="none" w:sz="0" w:space="0" w:color="auto"/>
            <w:right w:val="none" w:sz="0" w:space="0" w:color="auto"/>
          </w:divBdr>
        </w:div>
        <w:div w:id="1631284577">
          <w:marLeft w:val="0"/>
          <w:marRight w:val="0"/>
          <w:marTop w:val="0"/>
          <w:marBottom w:val="0"/>
          <w:divBdr>
            <w:top w:val="none" w:sz="0" w:space="0" w:color="auto"/>
            <w:left w:val="none" w:sz="0" w:space="0" w:color="auto"/>
            <w:bottom w:val="none" w:sz="0" w:space="0" w:color="auto"/>
            <w:right w:val="none" w:sz="0" w:space="0" w:color="auto"/>
          </w:divBdr>
        </w:div>
        <w:div w:id="2069499801">
          <w:marLeft w:val="0"/>
          <w:marRight w:val="0"/>
          <w:marTop w:val="0"/>
          <w:marBottom w:val="0"/>
          <w:divBdr>
            <w:top w:val="none" w:sz="0" w:space="0" w:color="auto"/>
            <w:left w:val="none" w:sz="0" w:space="0" w:color="auto"/>
            <w:bottom w:val="none" w:sz="0" w:space="0" w:color="auto"/>
            <w:right w:val="none" w:sz="0" w:space="0" w:color="auto"/>
          </w:divBdr>
        </w:div>
      </w:divsChild>
    </w:div>
    <w:div w:id="1252736170">
      <w:bodyDiv w:val="1"/>
      <w:marLeft w:val="0"/>
      <w:marRight w:val="0"/>
      <w:marTop w:val="0"/>
      <w:marBottom w:val="0"/>
      <w:divBdr>
        <w:top w:val="none" w:sz="0" w:space="0" w:color="auto"/>
        <w:left w:val="none" w:sz="0" w:space="0" w:color="auto"/>
        <w:bottom w:val="none" w:sz="0" w:space="0" w:color="auto"/>
        <w:right w:val="none" w:sz="0" w:space="0" w:color="auto"/>
      </w:divBdr>
      <w:divsChild>
        <w:div w:id="1698266509">
          <w:marLeft w:val="0"/>
          <w:marRight w:val="0"/>
          <w:marTop w:val="0"/>
          <w:marBottom w:val="0"/>
          <w:divBdr>
            <w:top w:val="none" w:sz="0" w:space="0" w:color="auto"/>
            <w:left w:val="none" w:sz="0" w:space="0" w:color="auto"/>
            <w:bottom w:val="none" w:sz="0" w:space="0" w:color="auto"/>
            <w:right w:val="none" w:sz="0" w:space="0" w:color="auto"/>
          </w:divBdr>
          <w:divsChild>
            <w:div w:id="236401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680570">
      <w:bodyDiv w:val="1"/>
      <w:marLeft w:val="0"/>
      <w:marRight w:val="0"/>
      <w:marTop w:val="0"/>
      <w:marBottom w:val="0"/>
      <w:divBdr>
        <w:top w:val="none" w:sz="0" w:space="0" w:color="auto"/>
        <w:left w:val="none" w:sz="0" w:space="0" w:color="auto"/>
        <w:bottom w:val="none" w:sz="0" w:space="0" w:color="auto"/>
        <w:right w:val="none" w:sz="0" w:space="0" w:color="auto"/>
      </w:divBdr>
    </w:div>
    <w:div w:id="1323463210">
      <w:bodyDiv w:val="1"/>
      <w:marLeft w:val="0"/>
      <w:marRight w:val="0"/>
      <w:marTop w:val="0"/>
      <w:marBottom w:val="0"/>
      <w:divBdr>
        <w:top w:val="none" w:sz="0" w:space="0" w:color="auto"/>
        <w:left w:val="none" w:sz="0" w:space="0" w:color="auto"/>
        <w:bottom w:val="none" w:sz="0" w:space="0" w:color="auto"/>
        <w:right w:val="none" w:sz="0" w:space="0" w:color="auto"/>
      </w:divBdr>
      <w:divsChild>
        <w:div w:id="1386486060">
          <w:marLeft w:val="0"/>
          <w:marRight w:val="0"/>
          <w:marTop w:val="0"/>
          <w:marBottom w:val="0"/>
          <w:divBdr>
            <w:top w:val="none" w:sz="0" w:space="0" w:color="auto"/>
            <w:left w:val="none" w:sz="0" w:space="0" w:color="auto"/>
            <w:bottom w:val="none" w:sz="0" w:space="0" w:color="auto"/>
            <w:right w:val="none" w:sz="0" w:space="0" w:color="auto"/>
          </w:divBdr>
          <w:divsChild>
            <w:div w:id="84740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8036914">
      <w:bodyDiv w:val="1"/>
      <w:marLeft w:val="0"/>
      <w:marRight w:val="0"/>
      <w:marTop w:val="0"/>
      <w:marBottom w:val="0"/>
      <w:divBdr>
        <w:top w:val="none" w:sz="0" w:space="0" w:color="auto"/>
        <w:left w:val="none" w:sz="0" w:space="0" w:color="auto"/>
        <w:bottom w:val="none" w:sz="0" w:space="0" w:color="auto"/>
        <w:right w:val="none" w:sz="0" w:space="0" w:color="auto"/>
      </w:divBdr>
    </w:div>
    <w:div w:id="1661428098">
      <w:bodyDiv w:val="1"/>
      <w:marLeft w:val="0"/>
      <w:marRight w:val="0"/>
      <w:marTop w:val="0"/>
      <w:marBottom w:val="0"/>
      <w:divBdr>
        <w:top w:val="none" w:sz="0" w:space="0" w:color="auto"/>
        <w:left w:val="none" w:sz="0" w:space="0" w:color="auto"/>
        <w:bottom w:val="none" w:sz="0" w:space="0" w:color="auto"/>
        <w:right w:val="none" w:sz="0" w:space="0" w:color="auto"/>
      </w:divBdr>
    </w:div>
    <w:div w:id="1784766088">
      <w:bodyDiv w:val="1"/>
      <w:marLeft w:val="0"/>
      <w:marRight w:val="0"/>
      <w:marTop w:val="0"/>
      <w:marBottom w:val="0"/>
      <w:divBdr>
        <w:top w:val="none" w:sz="0" w:space="0" w:color="auto"/>
        <w:left w:val="none" w:sz="0" w:space="0" w:color="auto"/>
        <w:bottom w:val="none" w:sz="0" w:space="0" w:color="auto"/>
        <w:right w:val="none" w:sz="0" w:space="0" w:color="auto"/>
      </w:divBdr>
    </w:div>
    <w:div w:id="1805466419">
      <w:bodyDiv w:val="1"/>
      <w:marLeft w:val="0"/>
      <w:marRight w:val="0"/>
      <w:marTop w:val="0"/>
      <w:marBottom w:val="0"/>
      <w:divBdr>
        <w:top w:val="none" w:sz="0" w:space="0" w:color="auto"/>
        <w:left w:val="none" w:sz="0" w:space="0" w:color="auto"/>
        <w:bottom w:val="none" w:sz="0" w:space="0" w:color="auto"/>
        <w:right w:val="none" w:sz="0" w:space="0" w:color="auto"/>
      </w:divBdr>
    </w:div>
    <w:div w:id="1806073121">
      <w:bodyDiv w:val="1"/>
      <w:marLeft w:val="0"/>
      <w:marRight w:val="0"/>
      <w:marTop w:val="0"/>
      <w:marBottom w:val="0"/>
      <w:divBdr>
        <w:top w:val="none" w:sz="0" w:space="0" w:color="auto"/>
        <w:left w:val="none" w:sz="0" w:space="0" w:color="auto"/>
        <w:bottom w:val="none" w:sz="0" w:space="0" w:color="auto"/>
        <w:right w:val="none" w:sz="0" w:space="0" w:color="auto"/>
      </w:divBdr>
    </w:div>
    <w:div w:id="1814448081">
      <w:bodyDiv w:val="1"/>
      <w:marLeft w:val="0"/>
      <w:marRight w:val="0"/>
      <w:marTop w:val="0"/>
      <w:marBottom w:val="0"/>
      <w:divBdr>
        <w:top w:val="none" w:sz="0" w:space="0" w:color="auto"/>
        <w:left w:val="none" w:sz="0" w:space="0" w:color="auto"/>
        <w:bottom w:val="none" w:sz="0" w:space="0" w:color="auto"/>
        <w:right w:val="none" w:sz="0" w:space="0" w:color="auto"/>
      </w:divBdr>
      <w:divsChild>
        <w:div w:id="250086089">
          <w:marLeft w:val="0"/>
          <w:marRight w:val="0"/>
          <w:marTop w:val="0"/>
          <w:marBottom w:val="0"/>
          <w:divBdr>
            <w:top w:val="none" w:sz="0" w:space="0" w:color="auto"/>
            <w:left w:val="none" w:sz="0" w:space="0" w:color="auto"/>
            <w:bottom w:val="none" w:sz="0" w:space="0" w:color="auto"/>
            <w:right w:val="none" w:sz="0" w:space="0" w:color="auto"/>
          </w:divBdr>
          <w:divsChild>
            <w:div w:id="389573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5243561">
      <w:bodyDiv w:val="1"/>
      <w:marLeft w:val="0"/>
      <w:marRight w:val="0"/>
      <w:marTop w:val="0"/>
      <w:marBottom w:val="0"/>
      <w:divBdr>
        <w:top w:val="none" w:sz="0" w:space="0" w:color="auto"/>
        <w:left w:val="none" w:sz="0" w:space="0" w:color="auto"/>
        <w:bottom w:val="none" w:sz="0" w:space="0" w:color="auto"/>
        <w:right w:val="none" w:sz="0" w:space="0" w:color="auto"/>
      </w:divBdr>
    </w:div>
    <w:div w:id="1886017177">
      <w:bodyDiv w:val="1"/>
      <w:marLeft w:val="0"/>
      <w:marRight w:val="0"/>
      <w:marTop w:val="0"/>
      <w:marBottom w:val="0"/>
      <w:divBdr>
        <w:top w:val="none" w:sz="0" w:space="0" w:color="auto"/>
        <w:left w:val="none" w:sz="0" w:space="0" w:color="auto"/>
        <w:bottom w:val="none" w:sz="0" w:space="0" w:color="auto"/>
        <w:right w:val="none" w:sz="0" w:space="0" w:color="auto"/>
      </w:divBdr>
    </w:div>
    <w:div w:id="1906062084">
      <w:bodyDiv w:val="1"/>
      <w:marLeft w:val="0"/>
      <w:marRight w:val="0"/>
      <w:marTop w:val="0"/>
      <w:marBottom w:val="0"/>
      <w:divBdr>
        <w:top w:val="none" w:sz="0" w:space="0" w:color="auto"/>
        <w:left w:val="none" w:sz="0" w:space="0" w:color="auto"/>
        <w:bottom w:val="none" w:sz="0" w:space="0" w:color="auto"/>
        <w:right w:val="none" w:sz="0" w:space="0" w:color="auto"/>
      </w:divBdr>
    </w:div>
    <w:div w:id="1959485591">
      <w:bodyDiv w:val="1"/>
      <w:marLeft w:val="0"/>
      <w:marRight w:val="0"/>
      <w:marTop w:val="0"/>
      <w:marBottom w:val="0"/>
      <w:divBdr>
        <w:top w:val="none" w:sz="0" w:space="0" w:color="auto"/>
        <w:left w:val="none" w:sz="0" w:space="0" w:color="auto"/>
        <w:bottom w:val="none" w:sz="0" w:space="0" w:color="auto"/>
        <w:right w:val="none" w:sz="0" w:space="0" w:color="auto"/>
      </w:divBdr>
    </w:div>
    <w:div w:id="2059742714">
      <w:bodyDiv w:val="1"/>
      <w:marLeft w:val="0"/>
      <w:marRight w:val="0"/>
      <w:marTop w:val="0"/>
      <w:marBottom w:val="0"/>
      <w:divBdr>
        <w:top w:val="none" w:sz="0" w:space="0" w:color="auto"/>
        <w:left w:val="none" w:sz="0" w:space="0" w:color="auto"/>
        <w:bottom w:val="none" w:sz="0" w:space="0" w:color="auto"/>
        <w:right w:val="none" w:sz="0" w:space="0" w:color="auto"/>
      </w:divBdr>
      <w:divsChild>
        <w:div w:id="1619069532">
          <w:marLeft w:val="547"/>
          <w:marRight w:val="0"/>
          <w:marTop w:val="0"/>
          <w:marBottom w:val="0"/>
          <w:divBdr>
            <w:top w:val="none" w:sz="0" w:space="0" w:color="auto"/>
            <w:left w:val="none" w:sz="0" w:space="0" w:color="auto"/>
            <w:bottom w:val="none" w:sz="0" w:space="0" w:color="auto"/>
            <w:right w:val="none" w:sz="0" w:space="0" w:color="auto"/>
          </w:divBdr>
        </w:div>
      </w:divsChild>
    </w:div>
    <w:div w:id="2067290414">
      <w:bodyDiv w:val="1"/>
      <w:marLeft w:val="0"/>
      <w:marRight w:val="0"/>
      <w:marTop w:val="0"/>
      <w:marBottom w:val="0"/>
      <w:divBdr>
        <w:top w:val="none" w:sz="0" w:space="0" w:color="auto"/>
        <w:left w:val="none" w:sz="0" w:space="0" w:color="auto"/>
        <w:bottom w:val="none" w:sz="0" w:space="0" w:color="auto"/>
        <w:right w:val="none" w:sz="0" w:space="0" w:color="auto"/>
      </w:divBdr>
    </w:div>
    <w:div w:id="2090299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0.jpeg"/><Relationship Id="rId21" Type="http://schemas.openxmlformats.org/officeDocument/2006/relationships/hyperlink" Target="http://www.nsi.bg/ORPDOCS/Ecology_9.2.xls" TargetMode="External"/><Relationship Id="rId42" Type="http://schemas.openxmlformats.org/officeDocument/2006/relationships/diagramData" Target="diagrams/data3.xml"/><Relationship Id="rId63" Type="http://schemas.openxmlformats.org/officeDocument/2006/relationships/hyperlink" Target="http://www.worldbank.org/bg/news/feature/2011/05/18/partnering-bulgarias-european-future" TargetMode="External"/><Relationship Id="rId84" Type="http://schemas.openxmlformats.org/officeDocument/2006/relationships/image" Target="media/image48.jpeg"/><Relationship Id="rId138" Type="http://schemas.openxmlformats.org/officeDocument/2006/relationships/image" Target="media/image76.jpeg"/><Relationship Id="rId159" Type="http://schemas.openxmlformats.org/officeDocument/2006/relationships/image" Target="media/image82.png"/><Relationship Id="rId170" Type="http://schemas.microsoft.com/office/2007/relationships/diagramDrawing" Target="diagrams/drawing13.xml"/><Relationship Id="rId191" Type="http://schemas.openxmlformats.org/officeDocument/2006/relationships/diagramColors" Target="diagrams/colors17.xml"/><Relationship Id="rId205" Type="http://schemas.openxmlformats.org/officeDocument/2006/relationships/diagramQuickStyle" Target="diagrams/quickStyle20.xml"/><Relationship Id="rId107" Type="http://schemas.openxmlformats.org/officeDocument/2006/relationships/image" Target="media/image61.jpeg"/><Relationship Id="rId11" Type="http://schemas.openxmlformats.org/officeDocument/2006/relationships/header" Target="header2.xml"/><Relationship Id="rId32" Type="http://schemas.openxmlformats.org/officeDocument/2006/relationships/diagramLayout" Target="diagrams/layout2.xml"/><Relationship Id="rId37" Type="http://schemas.openxmlformats.org/officeDocument/2006/relationships/hyperlink" Target="http://eur-lex.europa.eu/LexUriServ/LexUriServ.do?uri=OJ:L:2008:312:0003:0030:BG:PDF" TargetMode="External"/><Relationship Id="rId53" Type="http://schemas.openxmlformats.org/officeDocument/2006/relationships/image" Target="media/image23.jpeg"/><Relationship Id="rId58" Type="http://schemas.openxmlformats.org/officeDocument/2006/relationships/image" Target="media/image26.jpeg"/><Relationship Id="rId74" Type="http://schemas.openxmlformats.org/officeDocument/2006/relationships/image" Target="media/image38.jpeg"/><Relationship Id="rId79" Type="http://schemas.openxmlformats.org/officeDocument/2006/relationships/image" Target="media/image43.jpeg"/><Relationship Id="rId102" Type="http://schemas.openxmlformats.org/officeDocument/2006/relationships/diagramColors" Target="diagrams/colors5.xml"/><Relationship Id="rId123" Type="http://schemas.openxmlformats.org/officeDocument/2006/relationships/diagramQuickStyle" Target="diagrams/quickStyle6.xml"/><Relationship Id="rId128" Type="http://schemas.openxmlformats.org/officeDocument/2006/relationships/diagramQuickStyle" Target="diagrams/quickStyle7.xml"/><Relationship Id="rId144" Type="http://schemas.openxmlformats.org/officeDocument/2006/relationships/diagramData" Target="diagrams/data10.xml"/><Relationship Id="rId149" Type="http://schemas.openxmlformats.org/officeDocument/2006/relationships/image" Target="media/image77.jpeg"/><Relationship Id="rId5" Type="http://schemas.openxmlformats.org/officeDocument/2006/relationships/webSettings" Target="webSettings.xml"/><Relationship Id="rId90" Type="http://schemas.openxmlformats.org/officeDocument/2006/relationships/image" Target="media/image54.jpeg"/><Relationship Id="rId95" Type="http://schemas.openxmlformats.org/officeDocument/2006/relationships/diagramLayout" Target="diagrams/layout4.xml"/><Relationship Id="rId160" Type="http://schemas.openxmlformats.org/officeDocument/2006/relationships/image" Target="media/image83.png"/><Relationship Id="rId165" Type="http://schemas.microsoft.com/office/2007/relationships/diagramDrawing" Target="diagrams/drawing12.xml"/><Relationship Id="rId181" Type="http://schemas.openxmlformats.org/officeDocument/2006/relationships/diagramData" Target="diagrams/data16.xml"/><Relationship Id="rId186" Type="http://schemas.openxmlformats.org/officeDocument/2006/relationships/hyperlink" Target="http://www.minfin.bg/document/12044:6" TargetMode="External"/><Relationship Id="rId211" Type="http://schemas.openxmlformats.org/officeDocument/2006/relationships/theme" Target="theme/theme1.xml"/><Relationship Id="rId22" Type="http://schemas.openxmlformats.org/officeDocument/2006/relationships/hyperlink" Target="http://www.moew.government.bg/?show=top&amp;cid=569" TargetMode="External"/><Relationship Id="rId27" Type="http://schemas.openxmlformats.org/officeDocument/2006/relationships/image" Target="media/image12.gif"/><Relationship Id="rId43" Type="http://schemas.openxmlformats.org/officeDocument/2006/relationships/diagramLayout" Target="diagrams/layout3.xml"/><Relationship Id="rId48" Type="http://schemas.openxmlformats.org/officeDocument/2006/relationships/header" Target="header4.xml"/><Relationship Id="rId64" Type="http://schemas.openxmlformats.org/officeDocument/2006/relationships/image" Target="media/image28.jpeg"/><Relationship Id="rId69" Type="http://schemas.openxmlformats.org/officeDocument/2006/relationships/image" Target="media/image33.jpeg"/><Relationship Id="rId113" Type="http://schemas.openxmlformats.org/officeDocument/2006/relationships/image" Target="media/image67.jpeg"/><Relationship Id="rId118" Type="http://schemas.openxmlformats.org/officeDocument/2006/relationships/image" Target="media/image71.jpeg"/><Relationship Id="rId134" Type="http://schemas.openxmlformats.org/officeDocument/2006/relationships/diagramColors" Target="diagrams/colors8.xml"/><Relationship Id="rId139" Type="http://schemas.openxmlformats.org/officeDocument/2006/relationships/diagramData" Target="diagrams/data9.xml"/><Relationship Id="rId80" Type="http://schemas.openxmlformats.org/officeDocument/2006/relationships/image" Target="media/image44.jpeg"/><Relationship Id="rId85" Type="http://schemas.openxmlformats.org/officeDocument/2006/relationships/image" Target="media/image49.jpeg"/><Relationship Id="rId150" Type="http://schemas.openxmlformats.org/officeDocument/2006/relationships/image" Target="media/image78.jpeg"/><Relationship Id="rId155" Type="http://schemas.openxmlformats.org/officeDocument/2006/relationships/diagramColors" Target="diagrams/colors11.xml"/><Relationship Id="rId171" Type="http://schemas.openxmlformats.org/officeDocument/2006/relationships/diagramData" Target="diagrams/data14.xml"/><Relationship Id="rId176" Type="http://schemas.openxmlformats.org/officeDocument/2006/relationships/diagramData" Target="diagrams/data15.xml"/><Relationship Id="rId192" Type="http://schemas.microsoft.com/office/2007/relationships/diagramDrawing" Target="diagrams/drawing17.xml"/><Relationship Id="rId197" Type="http://schemas.microsoft.com/office/2007/relationships/diagramDrawing" Target="diagrams/drawing18.xml"/><Relationship Id="rId206" Type="http://schemas.openxmlformats.org/officeDocument/2006/relationships/diagramColors" Target="diagrams/colors20.xml"/><Relationship Id="rId201" Type="http://schemas.openxmlformats.org/officeDocument/2006/relationships/diagramColors" Target="diagrams/colors19.xml"/><Relationship Id="rId12" Type="http://schemas.openxmlformats.org/officeDocument/2006/relationships/footer" Target="footer3.xml"/><Relationship Id="rId17" Type="http://schemas.openxmlformats.org/officeDocument/2006/relationships/diagramColors" Target="diagrams/colors1.xml"/><Relationship Id="rId33" Type="http://schemas.openxmlformats.org/officeDocument/2006/relationships/diagramQuickStyle" Target="diagrams/quickStyle2.xml"/><Relationship Id="rId38" Type="http://schemas.openxmlformats.org/officeDocument/2006/relationships/image" Target="media/image15.jpeg"/><Relationship Id="rId59" Type="http://schemas.openxmlformats.org/officeDocument/2006/relationships/hyperlink" Target="http://www.flag-bg.com/?id=185" TargetMode="External"/><Relationship Id="rId103" Type="http://schemas.microsoft.com/office/2007/relationships/diagramDrawing" Target="diagrams/drawing5.xml"/><Relationship Id="rId108" Type="http://schemas.openxmlformats.org/officeDocument/2006/relationships/image" Target="media/image62.jpeg"/><Relationship Id="rId124" Type="http://schemas.openxmlformats.org/officeDocument/2006/relationships/diagramColors" Target="diagrams/colors6.xml"/><Relationship Id="rId129" Type="http://schemas.openxmlformats.org/officeDocument/2006/relationships/diagramColors" Target="diagrams/colors7.xml"/><Relationship Id="rId54" Type="http://schemas.openxmlformats.org/officeDocument/2006/relationships/hyperlink" Target="http://pudoos.bg/%D0%BF%D0%BB%D0%B0%D0%BD-%D1%81%D0%BC%D0%B5%D1%82%D0%BA%D0%B8" TargetMode="External"/><Relationship Id="rId70" Type="http://schemas.openxmlformats.org/officeDocument/2006/relationships/image" Target="media/image34.jpeg"/><Relationship Id="rId75" Type="http://schemas.openxmlformats.org/officeDocument/2006/relationships/image" Target="media/image39.jpeg"/><Relationship Id="rId91" Type="http://schemas.openxmlformats.org/officeDocument/2006/relationships/image" Target="media/image55.jpeg"/><Relationship Id="rId96" Type="http://schemas.openxmlformats.org/officeDocument/2006/relationships/diagramQuickStyle" Target="diagrams/quickStyle4.xml"/><Relationship Id="rId140" Type="http://schemas.openxmlformats.org/officeDocument/2006/relationships/diagramLayout" Target="diagrams/layout9.xml"/><Relationship Id="rId145" Type="http://schemas.openxmlformats.org/officeDocument/2006/relationships/diagramLayout" Target="diagrams/layout10.xml"/><Relationship Id="rId161" Type="http://schemas.openxmlformats.org/officeDocument/2006/relationships/diagramData" Target="diagrams/data12.xml"/><Relationship Id="rId166" Type="http://schemas.openxmlformats.org/officeDocument/2006/relationships/diagramData" Target="diagrams/data13.xml"/><Relationship Id="rId182" Type="http://schemas.openxmlformats.org/officeDocument/2006/relationships/diagramLayout" Target="diagrams/layout16.xml"/><Relationship Id="rId187" Type="http://schemas.openxmlformats.org/officeDocument/2006/relationships/image" Target="media/image84.jpe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8.jpeg"/><Relationship Id="rId28" Type="http://schemas.openxmlformats.org/officeDocument/2006/relationships/hyperlink" Target="http://ispa-mrrb.org/?id=108" TargetMode="External"/><Relationship Id="rId49" Type="http://schemas.openxmlformats.org/officeDocument/2006/relationships/footer" Target="footer4.xml"/><Relationship Id="rId114" Type="http://schemas.openxmlformats.org/officeDocument/2006/relationships/footer" Target="footer5.xml"/><Relationship Id="rId119" Type="http://schemas.openxmlformats.org/officeDocument/2006/relationships/image" Target="media/image72.jpeg"/><Relationship Id="rId44" Type="http://schemas.openxmlformats.org/officeDocument/2006/relationships/diagramQuickStyle" Target="diagrams/quickStyle3.xml"/><Relationship Id="rId60" Type="http://schemas.openxmlformats.org/officeDocument/2006/relationships/hyperlink" Target="http://www.eib.org/products/jessica/index.htm" TargetMode="External"/><Relationship Id="rId65" Type="http://schemas.openxmlformats.org/officeDocument/2006/relationships/image" Target="media/image29.jpeg"/><Relationship Id="rId81" Type="http://schemas.openxmlformats.org/officeDocument/2006/relationships/image" Target="media/image45.jpeg"/><Relationship Id="rId86" Type="http://schemas.openxmlformats.org/officeDocument/2006/relationships/image" Target="media/image50.jpeg"/><Relationship Id="rId130" Type="http://schemas.microsoft.com/office/2007/relationships/diagramDrawing" Target="diagrams/drawing7.xml"/><Relationship Id="rId135" Type="http://schemas.microsoft.com/office/2007/relationships/diagramDrawing" Target="diagrams/drawing8.xml"/><Relationship Id="rId151" Type="http://schemas.openxmlformats.org/officeDocument/2006/relationships/image" Target="media/image79.jpeg"/><Relationship Id="rId156" Type="http://schemas.microsoft.com/office/2007/relationships/diagramDrawing" Target="diagrams/drawing11.xml"/><Relationship Id="rId177" Type="http://schemas.openxmlformats.org/officeDocument/2006/relationships/diagramLayout" Target="diagrams/layout15.xml"/><Relationship Id="rId198" Type="http://schemas.openxmlformats.org/officeDocument/2006/relationships/diagramData" Target="diagrams/data19.xml"/><Relationship Id="rId172" Type="http://schemas.openxmlformats.org/officeDocument/2006/relationships/diagramLayout" Target="diagrams/layout14.xml"/><Relationship Id="rId193" Type="http://schemas.openxmlformats.org/officeDocument/2006/relationships/diagramData" Target="diagrams/data18.xml"/><Relationship Id="rId202" Type="http://schemas.microsoft.com/office/2007/relationships/diagramDrawing" Target="diagrams/drawing19.xml"/><Relationship Id="rId207" Type="http://schemas.microsoft.com/office/2007/relationships/diagramDrawing" Target="diagrams/drawing20.xml"/><Relationship Id="rId13" Type="http://schemas.openxmlformats.org/officeDocument/2006/relationships/hyperlink" Target="http://www.nordmetals.com/static.php?content_id=39" TargetMode="External"/><Relationship Id="rId18" Type="http://schemas.microsoft.com/office/2007/relationships/diagramDrawing" Target="diagrams/drawing1.xml"/><Relationship Id="rId39" Type="http://schemas.openxmlformats.org/officeDocument/2006/relationships/image" Target="media/image16.jpeg"/><Relationship Id="rId109" Type="http://schemas.openxmlformats.org/officeDocument/2006/relationships/image" Target="media/image63.png"/><Relationship Id="rId34" Type="http://schemas.openxmlformats.org/officeDocument/2006/relationships/diagramColors" Target="diagrams/colors2.xml"/><Relationship Id="rId50" Type="http://schemas.openxmlformats.org/officeDocument/2006/relationships/header" Target="header5.xml"/><Relationship Id="rId55" Type="http://schemas.openxmlformats.org/officeDocument/2006/relationships/image" Target="media/image24.png"/><Relationship Id="rId76" Type="http://schemas.openxmlformats.org/officeDocument/2006/relationships/image" Target="media/image40.jpeg"/><Relationship Id="rId97" Type="http://schemas.openxmlformats.org/officeDocument/2006/relationships/diagramColors" Target="diagrams/colors4.xml"/><Relationship Id="rId104" Type="http://schemas.openxmlformats.org/officeDocument/2006/relationships/image" Target="media/image58.jpeg"/><Relationship Id="rId120" Type="http://schemas.openxmlformats.org/officeDocument/2006/relationships/image" Target="media/image73.jpeg"/><Relationship Id="rId125" Type="http://schemas.microsoft.com/office/2007/relationships/diagramDrawing" Target="diagrams/drawing6.xml"/><Relationship Id="rId141" Type="http://schemas.openxmlformats.org/officeDocument/2006/relationships/diagramQuickStyle" Target="diagrams/quickStyle9.xml"/><Relationship Id="rId146" Type="http://schemas.openxmlformats.org/officeDocument/2006/relationships/diagramQuickStyle" Target="diagrams/quickStyle10.xml"/><Relationship Id="rId167" Type="http://schemas.openxmlformats.org/officeDocument/2006/relationships/diagramLayout" Target="diagrams/layout13.xml"/><Relationship Id="rId188" Type="http://schemas.openxmlformats.org/officeDocument/2006/relationships/diagramData" Target="diagrams/data17.xml"/><Relationship Id="rId7" Type="http://schemas.openxmlformats.org/officeDocument/2006/relationships/endnotes" Target="endnotes.xml"/><Relationship Id="rId71" Type="http://schemas.openxmlformats.org/officeDocument/2006/relationships/image" Target="media/image35.jpeg"/><Relationship Id="rId92" Type="http://schemas.openxmlformats.org/officeDocument/2006/relationships/image" Target="media/image56.jpeg"/><Relationship Id="rId162" Type="http://schemas.openxmlformats.org/officeDocument/2006/relationships/diagramLayout" Target="diagrams/layout12.xml"/><Relationship Id="rId183" Type="http://schemas.openxmlformats.org/officeDocument/2006/relationships/diagramQuickStyle" Target="diagrams/quickStyle16.xml"/><Relationship Id="rId2" Type="http://schemas.openxmlformats.org/officeDocument/2006/relationships/numbering" Target="numbering.xml"/><Relationship Id="rId29" Type="http://schemas.openxmlformats.org/officeDocument/2006/relationships/image" Target="media/image13.jpeg"/><Relationship Id="rId24" Type="http://schemas.openxmlformats.org/officeDocument/2006/relationships/image" Target="media/image9.jpeg"/><Relationship Id="rId40" Type="http://schemas.openxmlformats.org/officeDocument/2006/relationships/image" Target="media/image17.jpeg"/><Relationship Id="rId45" Type="http://schemas.openxmlformats.org/officeDocument/2006/relationships/diagramColors" Target="diagrams/colors3.xml"/><Relationship Id="rId66" Type="http://schemas.openxmlformats.org/officeDocument/2006/relationships/image" Target="media/image30.jpeg"/><Relationship Id="rId87" Type="http://schemas.openxmlformats.org/officeDocument/2006/relationships/image" Target="media/image51.jpeg"/><Relationship Id="rId110" Type="http://schemas.openxmlformats.org/officeDocument/2006/relationships/image" Target="media/image64.png"/><Relationship Id="rId115" Type="http://schemas.openxmlformats.org/officeDocument/2006/relationships/image" Target="media/image68.jpeg"/><Relationship Id="rId131" Type="http://schemas.openxmlformats.org/officeDocument/2006/relationships/diagramData" Target="diagrams/data8.xml"/><Relationship Id="rId136" Type="http://schemas.openxmlformats.org/officeDocument/2006/relationships/image" Target="media/image74.jpeg"/><Relationship Id="rId157" Type="http://schemas.openxmlformats.org/officeDocument/2006/relationships/image" Target="media/image80.png"/><Relationship Id="rId178" Type="http://schemas.openxmlformats.org/officeDocument/2006/relationships/diagramQuickStyle" Target="diagrams/quickStyle15.xml"/><Relationship Id="rId61" Type="http://schemas.openxmlformats.org/officeDocument/2006/relationships/hyperlink" Target="http://www.eib.org/products/jaspers/index.htm" TargetMode="External"/><Relationship Id="rId82" Type="http://schemas.openxmlformats.org/officeDocument/2006/relationships/image" Target="media/image46.jpeg"/><Relationship Id="rId152" Type="http://schemas.openxmlformats.org/officeDocument/2006/relationships/diagramData" Target="diagrams/data11.xml"/><Relationship Id="rId173" Type="http://schemas.openxmlformats.org/officeDocument/2006/relationships/diagramQuickStyle" Target="diagrams/quickStyle14.xml"/><Relationship Id="rId194" Type="http://schemas.openxmlformats.org/officeDocument/2006/relationships/diagramLayout" Target="diagrams/layout18.xml"/><Relationship Id="rId199" Type="http://schemas.openxmlformats.org/officeDocument/2006/relationships/diagramLayout" Target="diagrams/layout19.xml"/><Relationship Id="rId203" Type="http://schemas.openxmlformats.org/officeDocument/2006/relationships/diagramData" Target="diagrams/data20.xml"/><Relationship Id="rId208" Type="http://schemas.openxmlformats.org/officeDocument/2006/relationships/image" Target="media/image85.emf"/><Relationship Id="rId19" Type="http://schemas.openxmlformats.org/officeDocument/2006/relationships/image" Target="media/image6.jpeg"/><Relationship Id="rId14" Type="http://schemas.openxmlformats.org/officeDocument/2006/relationships/diagramData" Target="diagrams/data1.xml"/><Relationship Id="rId30" Type="http://schemas.openxmlformats.org/officeDocument/2006/relationships/image" Target="media/image14.jpeg"/><Relationship Id="rId35" Type="http://schemas.microsoft.com/office/2007/relationships/diagramDrawing" Target="diagrams/drawing2.xml"/><Relationship Id="rId56" Type="http://schemas.openxmlformats.org/officeDocument/2006/relationships/hyperlink" Target="http://www.flag-bg.com/img/Map22.png" TargetMode="External"/><Relationship Id="rId77" Type="http://schemas.openxmlformats.org/officeDocument/2006/relationships/image" Target="media/image41.jpeg"/><Relationship Id="rId100" Type="http://schemas.openxmlformats.org/officeDocument/2006/relationships/diagramLayout" Target="diagrams/layout5.xml"/><Relationship Id="rId105" Type="http://schemas.openxmlformats.org/officeDocument/2006/relationships/image" Target="media/image59.jpeg"/><Relationship Id="rId126" Type="http://schemas.openxmlformats.org/officeDocument/2006/relationships/diagramData" Target="diagrams/data7.xml"/><Relationship Id="rId147" Type="http://schemas.openxmlformats.org/officeDocument/2006/relationships/diagramColors" Target="diagrams/colors10.xml"/><Relationship Id="rId168" Type="http://schemas.openxmlformats.org/officeDocument/2006/relationships/diagramQuickStyle" Target="diagrams/quickStyle13.xml"/><Relationship Id="rId8" Type="http://schemas.openxmlformats.org/officeDocument/2006/relationships/header" Target="header1.xml"/><Relationship Id="rId51" Type="http://schemas.openxmlformats.org/officeDocument/2006/relationships/image" Target="media/image21.jpeg"/><Relationship Id="rId72" Type="http://schemas.openxmlformats.org/officeDocument/2006/relationships/image" Target="media/image36.jpeg"/><Relationship Id="rId93" Type="http://schemas.openxmlformats.org/officeDocument/2006/relationships/image" Target="media/image57.jpeg"/><Relationship Id="rId98" Type="http://schemas.microsoft.com/office/2007/relationships/diagramDrawing" Target="diagrams/drawing4.xml"/><Relationship Id="rId121" Type="http://schemas.openxmlformats.org/officeDocument/2006/relationships/diagramData" Target="diagrams/data6.xml"/><Relationship Id="rId142" Type="http://schemas.openxmlformats.org/officeDocument/2006/relationships/diagramColors" Target="diagrams/colors9.xml"/><Relationship Id="rId163" Type="http://schemas.openxmlformats.org/officeDocument/2006/relationships/diagramQuickStyle" Target="diagrams/quickStyle12.xml"/><Relationship Id="rId184" Type="http://schemas.openxmlformats.org/officeDocument/2006/relationships/diagramColors" Target="diagrams/colors16.xml"/><Relationship Id="rId189" Type="http://schemas.openxmlformats.org/officeDocument/2006/relationships/diagramLayout" Target="diagrams/layout17.xml"/><Relationship Id="rId3" Type="http://schemas.openxmlformats.org/officeDocument/2006/relationships/styles" Target="styles.xml"/><Relationship Id="rId25" Type="http://schemas.openxmlformats.org/officeDocument/2006/relationships/image" Target="media/image10.jpeg"/><Relationship Id="rId46" Type="http://schemas.microsoft.com/office/2007/relationships/diagramDrawing" Target="diagrams/drawing3.xml"/><Relationship Id="rId67" Type="http://schemas.openxmlformats.org/officeDocument/2006/relationships/image" Target="media/image31.jpeg"/><Relationship Id="rId116" Type="http://schemas.openxmlformats.org/officeDocument/2006/relationships/image" Target="media/image69.jpeg"/><Relationship Id="rId137" Type="http://schemas.openxmlformats.org/officeDocument/2006/relationships/image" Target="media/image75.jpeg"/><Relationship Id="rId158" Type="http://schemas.openxmlformats.org/officeDocument/2006/relationships/image" Target="media/image81.png"/><Relationship Id="rId20" Type="http://schemas.openxmlformats.org/officeDocument/2006/relationships/image" Target="media/image7.jpeg"/><Relationship Id="rId41" Type="http://schemas.openxmlformats.org/officeDocument/2006/relationships/image" Target="media/image18.jpeg"/><Relationship Id="rId62" Type="http://schemas.openxmlformats.org/officeDocument/2006/relationships/image" Target="media/image27.jpeg"/><Relationship Id="rId83" Type="http://schemas.openxmlformats.org/officeDocument/2006/relationships/image" Target="media/image47.jpeg"/><Relationship Id="rId88" Type="http://schemas.openxmlformats.org/officeDocument/2006/relationships/image" Target="media/image52.jpeg"/><Relationship Id="rId111" Type="http://schemas.openxmlformats.org/officeDocument/2006/relationships/image" Target="media/image65.jpeg"/><Relationship Id="rId132" Type="http://schemas.openxmlformats.org/officeDocument/2006/relationships/diagramLayout" Target="diagrams/layout8.xml"/><Relationship Id="rId153" Type="http://schemas.openxmlformats.org/officeDocument/2006/relationships/diagramLayout" Target="diagrams/layout11.xml"/><Relationship Id="rId174" Type="http://schemas.openxmlformats.org/officeDocument/2006/relationships/diagramColors" Target="diagrams/colors14.xml"/><Relationship Id="rId179" Type="http://schemas.openxmlformats.org/officeDocument/2006/relationships/diagramColors" Target="diagrams/colors15.xml"/><Relationship Id="rId195" Type="http://schemas.openxmlformats.org/officeDocument/2006/relationships/diagramQuickStyle" Target="diagrams/quickStyle18.xml"/><Relationship Id="rId209" Type="http://schemas.openxmlformats.org/officeDocument/2006/relationships/oleObject" Target="embeddings/oleObject1.bin"/><Relationship Id="rId190" Type="http://schemas.openxmlformats.org/officeDocument/2006/relationships/diagramQuickStyle" Target="diagrams/quickStyle17.xml"/><Relationship Id="rId204" Type="http://schemas.openxmlformats.org/officeDocument/2006/relationships/diagramLayout" Target="diagrams/layout20.xml"/><Relationship Id="rId15" Type="http://schemas.openxmlformats.org/officeDocument/2006/relationships/diagramLayout" Target="diagrams/layout1.xml"/><Relationship Id="rId36" Type="http://schemas.openxmlformats.org/officeDocument/2006/relationships/hyperlink" Target="http://eur-lex.europa.eu/LexUriServ/LexUriServ.do?uri=CONSLEG:1999L0031:20081211:BG:PDF" TargetMode="External"/><Relationship Id="rId57" Type="http://schemas.openxmlformats.org/officeDocument/2006/relationships/image" Target="media/image25.jpeg"/><Relationship Id="rId106" Type="http://schemas.openxmlformats.org/officeDocument/2006/relationships/image" Target="media/image60.jpeg"/><Relationship Id="rId127" Type="http://schemas.openxmlformats.org/officeDocument/2006/relationships/diagramLayout" Target="diagrams/layout7.xml"/><Relationship Id="rId10" Type="http://schemas.openxmlformats.org/officeDocument/2006/relationships/footer" Target="footer2.xml"/><Relationship Id="rId31" Type="http://schemas.openxmlformats.org/officeDocument/2006/relationships/diagramData" Target="diagrams/data2.xml"/><Relationship Id="rId52" Type="http://schemas.openxmlformats.org/officeDocument/2006/relationships/image" Target="media/image22.jpeg"/><Relationship Id="rId73" Type="http://schemas.openxmlformats.org/officeDocument/2006/relationships/image" Target="media/image37.jpeg"/><Relationship Id="rId78" Type="http://schemas.openxmlformats.org/officeDocument/2006/relationships/image" Target="media/image42.jpeg"/><Relationship Id="rId94" Type="http://schemas.openxmlformats.org/officeDocument/2006/relationships/diagramData" Target="diagrams/data4.xml"/><Relationship Id="rId99" Type="http://schemas.openxmlformats.org/officeDocument/2006/relationships/diagramData" Target="diagrams/data5.xml"/><Relationship Id="rId101" Type="http://schemas.openxmlformats.org/officeDocument/2006/relationships/diagramQuickStyle" Target="diagrams/quickStyle5.xml"/><Relationship Id="rId122" Type="http://schemas.openxmlformats.org/officeDocument/2006/relationships/diagramLayout" Target="diagrams/layout6.xml"/><Relationship Id="rId143" Type="http://schemas.microsoft.com/office/2007/relationships/diagramDrawing" Target="diagrams/drawing9.xml"/><Relationship Id="rId148" Type="http://schemas.microsoft.com/office/2007/relationships/diagramDrawing" Target="diagrams/drawing10.xml"/><Relationship Id="rId164" Type="http://schemas.openxmlformats.org/officeDocument/2006/relationships/diagramColors" Target="diagrams/colors12.xml"/><Relationship Id="rId169" Type="http://schemas.openxmlformats.org/officeDocument/2006/relationships/diagramColors" Target="diagrams/colors13.xml"/><Relationship Id="rId185" Type="http://schemas.microsoft.com/office/2007/relationships/diagramDrawing" Target="diagrams/drawing16.xml"/><Relationship Id="rId4" Type="http://schemas.openxmlformats.org/officeDocument/2006/relationships/settings" Target="settings.xml"/><Relationship Id="rId9" Type="http://schemas.openxmlformats.org/officeDocument/2006/relationships/footer" Target="footer1.xml"/><Relationship Id="rId180" Type="http://schemas.microsoft.com/office/2007/relationships/diagramDrawing" Target="diagrams/drawing15.xml"/><Relationship Id="rId210" Type="http://schemas.openxmlformats.org/officeDocument/2006/relationships/fontTable" Target="fontTable.xml"/><Relationship Id="rId26" Type="http://schemas.openxmlformats.org/officeDocument/2006/relationships/image" Target="media/image11.gif"/><Relationship Id="rId47" Type="http://schemas.openxmlformats.org/officeDocument/2006/relationships/header" Target="header3.xml"/><Relationship Id="rId68" Type="http://schemas.openxmlformats.org/officeDocument/2006/relationships/image" Target="media/image32.jpeg"/><Relationship Id="rId89" Type="http://schemas.openxmlformats.org/officeDocument/2006/relationships/image" Target="media/image53.jpeg"/><Relationship Id="rId112" Type="http://schemas.openxmlformats.org/officeDocument/2006/relationships/image" Target="media/image66.jpeg"/><Relationship Id="rId133" Type="http://schemas.openxmlformats.org/officeDocument/2006/relationships/diagramQuickStyle" Target="diagrams/quickStyle8.xml"/><Relationship Id="rId154" Type="http://schemas.openxmlformats.org/officeDocument/2006/relationships/diagramQuickStyle" Target="diagrams/quickStyle11.xml"/><Relationship Id="rId175" Type="http://schemas.microsoft.com/office/2007/relationships/diagramDrawing" Target="diagrams/drawing14.xml"/><Relationship Id="rId196" Type="http://schemas.openxmlformats.org/officeDocument/2006/relationships/diagramColors" Target="diagrams/colors18.xml"/><Relationship Id="rId200" Type="http://schemas.openxmlformats.org/officeDocument/2006/relationships/diagramQuickStyle" Target="diagrams/quickStyle19.xml"/><Relationship Id="rId16" Type="http://schemas.openxmlformats.org/officeDocument/2006/relationships/diagramQuickStyle" Target="diagrams/quickStyl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8" Type="http://schemas.openxmlformats.org/officeDocument/2006/relationships/hyperlink" Target="http://ec.europa.eu/regional_policy/thefunds/fin_inst/pdf/ex_ante_vol4.pdf" TargetMode="External"/><Relationship Id="rId13" Type="http://schemas.openxmlformats.org/officeDocument/2006/relationships/hyperlink" Target="http://www.worldbank.org/en/country/bulgaria" TargetMode="External"/><Relationship Id="rId18" Type="http://schemas.openxmlformats.org/officeDocument/2006/relationships/hyperlink" Target="http://www.sme.government.bg/uploads/2013/06/SMEs_2013-bg.pdf" TargetMode="External"/><Relationship Id="rId3" Type="http://schemas.openxmlformats.org/officeDocument/2006/relationships/hyperlink" Target="http://www.moew.government.bg/?show=top&amp;cid=569" TargetMode="External"/><Relationship Id="rId21" Type="http://schemas.openxmlformats.org/officeDocument/2006/relationships/hyperlink" Target="http://ec.europa.eu/regional_policy/thefunds/fin_inst/pdf/ex_ante_vol4.pdf" TargetMode="External"/><Relationship Id="rId7" Type="http://schemas.openxmlformats.org/officeDocument/2006/relationships/hyperlink" Target="http://www.rbb.bg/bg/corporate-clients/loans-and-funding-programs/financing-with-grant-element/municipality-funding/" TargetMode="External"/><Relationship Id="rId12" Type="http://schemas.openxmlformats.org/officeDocument/2006/relationships/hyperlink" Target="http://www.ebrd.com/pages/country/bulgaria.shtml" TargetMode="External"/><Relationship Id="rId17" Type="http://schemas.openxmlformats.org/officeDocument/2006/relationships/hyperlink" Target="http://pudoos.bg/%D0%BF%D0%BB%D0%B0%D0%BD-%D1%81%D0%BC%D0%B5%D1%82%D0%BA%D0%B8/" TargetMode="External"/><Relationship Id="rId2" Type="http://schemas.openxmlformats.org/officeDocument/2006/relationships/hyperlink" Target="http://bg.wikipedia.org/wiki/%D0%9A%D0%BE%D0%BD%D1%86%D0%B5%D1%81%D0%B8%D1%8F" TargetMode="External"/><Relationship Id="rId16" Type="http://schemas.openxmlformats.org/officeDocument/2006/relationships/hyperlink" Target="http://pudoos.bg/%D0%BF%D0%BB%D0%B0%D0%BD-%D1%81%D0%BC%D0%B5%D1%82%D0%BA%D0%B8/" TargetMode="External"/><Relationship Id="rId20" Type="http://schemas.openxmlformats.org/officeDocument/2006/relationships/hyperlink" Target="http://www.minfin.bg/bg/page/810" TargetMode="External"/><Relationship Id="rId1" Type="http://schemas.openxmlformats.org/officeDocument/2006/relationships/hyperlink" Target="http://bg.wikipedia.org/wiki/%D0%9B%D0%B8%D1%86%D0%B5%D0%BD%D0%B7" TargetMode="External"/><Relationship Id="rId6" Type="http://schemas.openxmlformats.org/officeDocument/2006/relationships/hyperlink" Target="http://pudoos.bg/wp-content/uploads/2012/04/prav_pudoos-okoncatelno-3-sled-reshenie-na-MS.pdf" TargetMode="External"/><Relationship Id="rId11" Type="http://schemas.openxmlformats.org/officeDocument/2006/relationships/hyperlink" Target="http://www.eib.org/projects/priorities/index.htm" TargetMode="External"/><Relationship Id="rId5" Type="http://schemas.openxmlformats.org/officeDocument/2006/relationships/hyperlink" Target="http://www.moew.government.bg/?show=html&amp;hid=173" TargetMode="External"/><Relationship Id="rId15" Type="http://schemas.openxmlformats.org/officeDocument/2006/relationships/hyperlink" Target="https://www.kfw-entwicklungsbank.de/International-financing/KfW-Entwicklungsbank" TargetMode="External"/><Relationship Id="rId10" Type="http://schemas.openxmlformats.org/officeDocument/2006/relationships/hyperlink" Target="http://pudoos.bg/2013/01/%D1%80%D0%B5%D1%88%D0%B5%D0%BD%D0%B8%D1%8F-%D0%BF%D1%80%D0%BE%D1%82%D0%BE%D0%BA%D0%BE%D0%BB-%E2%84%96-3-%D0%BE%D1%82-27-08-2013-%D0%B3-2/" TargetMode="External"/><Relationship Id="rId19" Type="http://schemas.openxmlformats.org/officeDocument/2006/relationships/hyperlink" Target="http://www3.moew.government.bg/?show=top&amp;cid=569" TargetMode="External"/><Relationship Id="rId4" Type="http://schemas.openxmlformats.org/officeDocument/2006/relationships/hyperlink" Target="http://www.moew.government.bg/?show=top&amp;cid=569" TargetMode="External"/><Relationship Id="rId9" Type="http://schemas.openxmlformats.org/officeDocument/2006/relationships/hyperlink" Target="http://pudoos.bg/2013/01/%D1%80%D0%B5%D1%88%D0%B5%D0%BD%D0%B8%D1%8F-%D0%BF%D1%80%D0%BE%D1%82%D0%BE%D0%BA%D0%BE%D0%BB-%E2%84%96-3-%D0%BE%D1%82-27-08-2013-%D0%B3/" TargetMode="External"/><Relationship Id="rId14" Type="http://schemas.openxmlformats.org/officeDocument/2006/relationships/hyperlink" Target="http://www.coebank.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1#4">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6_2">
  <dgm:title val=""/>
  <dgm:desc val=""/>
  <dgm:catLst>
    <dgm:cat type="accent6" pri="11200"/>
  </dgm:catLst>
  <dgm:styleLbl name="node0">
    <dgm:fillClrLst meth="repeat">
      <a:schemeClr val="accent6"/>
    </dgm:fillClrLst>
    <dgm:linClrLst meth="repeat">
      <a:schemeClr val="lt1"/>
    </dgm:linClrLst>
    <dgm:effectClrLst/>
    <dgm:txLinClrLst/>
    <dgm:txFillClrLst/>
    <dgm:txEffectClrLst/>
  </dgm:styleLbl>
  <dgm:styleLbl name="node1">
    <dgm:fillClrLst meth="repeat">
      <a:schemeClr val="accent6"/>
    </dgm:fillClrLst>
    <dgm:linClrLst meth="repeat">
      <a:schemeClr val="lt1"/>
    </dgm:linClrLst>
    <dgm:effectClrLst/>
    <dgm:txLinClrLst/>
    <dgm:txFillClrLst/>
    <dgm:txEffectClrLst/>
  </dgm:styleLbl>
  <dgm:styleLbl name="alignNode1">
    <dgm:fillClrLst meth="repeat">
      <a:schemeClr val="accent6"/>
    </dgm:fillClrLst>
    <dgm:linClrLst meth="repeat">
      <a:schemeClr val="accent6"/>
    </dgm:linClrLst>
    <dgm:effectClrLst/>
    <dgm:txLinClrLst/>
    <dgm:txFillClrLst/>
    <dgm:txEffectClrLst/>
  </dgm:styleLbl>
  <dgm:styleLbl name="lnNode1">
    <dgm:fillClrLst meth="repeat">
      <a:schemeClr val="accent6"/>
    </dgm:fillClrLst>
    <dgm:linClrLst meth="repeat">
      <a:schemeClr val="lt1"/>
    </dgm:linClrLst>
    <dgm:effectClrLst/>
    <dgm:txLinClrLst/>
    <dgm:txFillClrLst/>
    <dgm:txEffectClrLst/>
  </dgm:styleLbl>
  <dgm:styleLbl name="vennNode1">
    <dgm:fillClrLst meth="repeat">
      <a:schemeClr val="accent6">
        <a:alpha val="50000"/>
      </a:schemeClr>
    </dgm:fillClrLst>
    <dgm:linClrLst meth="repeat">
      <a:schemeClr val="lt1"/>
    </dgm:linClrLst>
    <dgm:effectClrLst/>
    <dgm:txLinClrLst/>
    <dgm:txFillClrLst/>
    <dgm:txEffectClrLst/>
  </dgm:styleLbl>
  <dgm:styleLbl name="node2">
    <dgm:fillClrLst meth="repeat">
      <a:schemeClr val="accent6"/>
    </dgm:fillClrLst>
    <dgm:linClrLst meth="repeat">
      <a:schemeClr val="lt1"/>
    </dgm:linClrLst>
    <dgm:effectClrLst/>
    <dgm:txLinClrLst/>
    <dgm:txFillClrLst/>
    <dgm:txEffectClrLst/>
  </dgm:styleLbl>
  <dgm:styleLbl name="node3">
    <dgm:fillClrLst meth="repeat">
      <a:schemeClr val="accent6"/>
    </dgm:fillClrLst>
    <dgm:linClrLst meth="repeat">
      <a:schemeClr val="lt1"/>
    </dgm:linClrLst>
    <dgm:effectClrLst/>
    <dgm:txLinClrLst/>
    <dgm:txFillClrLst/>
    <dgm:txEffectClrLst/>
  </dgm:styleLbl>
  <dgm:styleLbl name="node4">
    <dgm:fillClrLst meth="repeat">
      <a:schemeClr val="accent6"/>
    </dgm:fillClrLst>
    <dgm:linClrLst meth="repeat">
      <a:schemeClr val="lt1"/>
    </dgm:linClrLst>
    <dgm:effectClrLst/>
    <dgm:txLinClrLst/>
    <dgm:txFillClrLst/>
    <dgm:txEffectClrLst/>
  </dgm:styleLbl>
  <dgm:styleLbl name="f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a:tint val="50000"/>
      </a:schemeClr>
    </dgm:linClrLst>
    <dgm:effectClrLst/>
    <dgm:txLinClrLst/>
    <dgm:txFillClrLst meth="repeat">
      <a:schemeClr val="tx1"/>
    </dgm:txFillClrLst>
    <dgm:txEffectClrLst/>
  </dgm:styleLbl>
  <dgm:styleLbl name="asst0">
    <dgm:fillClrLst meth="repeat">
      <a:schemeClr val="accent6"/>
    </dgm:fillClrLst>
    <dgm:linClrLst meth="repeat">
      <a:schemeClr val="lt1"/>
    </dgm:linClrLst>
    <dgm:effectClrLst/>
    <dgm:txLinClrLst/>
    <dgm:txFillClrLst/>
    <dgm:txEffectClrLst/>
  </dgm:styleLbl>
  <dgm:styleLbl name="asst1">
    <dgm:fillClrLst meth="repeat">
      <a:schemeClr val="accent6"/>
    </dgm:fillClrLst>
    <dgm:linClrLst meth="repeat">
      <a:schemeClr val="lt1"/>
    </dgm:linClrLst>
    <dgm:effectClrLst/>
    <dgm:txLinClrLst/>
    <dgm:txFillClrLst/>
    <dgm:txEffectClrLst/>
  </dgm:styleLbl>
  <dgm:styleLbl name="asst2">
    <dgm:fillClrLst meth="repeat">
      <a:schemeClr val="accent6"/>
    </dgm:fillClrLst>
    <dgm:linClrLst meth="repeat">
      <a:schemeClr val="lt1"/>
    </dgm:linClrLst>
    <dgm:effectClrLst/>
    <dgm:txLinClrLst/>
    <dgm:txFillClrLst/>
    <dgm:txEffectClrLst/>
  </dgm:styleLbl>
  <dgm:styleLbl name="asst3">
    <dgm:fillClrLst meth="repeat">
      <a:schemeClr val="accent6"/>
    </dgm:fillClrLst>
    <dgm:linClrLst meth="repeat">
      <a:schemeClr val="lt1"/>
    </dgm:linClrLst>
    <dgm:effectClrLst/>
    <dgm:txLinClrLst/>
    <dgm:txFillClrLst/>
    <dgm:txEffectClrLst/>
  </dgm:styleLbl>
  <dgm:styleLbl name="asst4">
    <dgm:fillClrLst meth="repeat">
      <a:schemeClr val="accent6"/>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dgm:fillClrLst>
    <dgm:linClrLst meth="repeat">
      <a:schemeClr val="accent6"/>
    </dgm:linClrLst>
    <dgm:effectClrLst/>
    <dgm:txLinClrLst/>
    <dgm:txFillClrLst meth="repeat">
      <a:schemeClr val="lt1"/>
    </dgm:txFillClrLst>
    <dgm:txEffectClrLst/>
  </dgm:styleLbl>
  <dgm:styleLbl name="parChTrans2D3">
    <dgm:fillClrLst meth="repeat">
      <a:schemeClr val="accent6"/>
    </dgm:fillClrLst>
    <dgm:linClrLst meth="repeat">
      <a:schemeClr val="accent6"/>
    </dgm:linClrLst>
    <dgm:effectClrLst/>
    <dgm:txLinClrLst/>
    <dgm:txFillClrLst meth="repeat">
      <a:schemeClr val="lt1"/>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5_4">
  <dgm:title val=""/>
  <dgm:desc val=""/>
  <dgm:catLst>
    <dgm:cat type="accent5" pri="11400"/>
  </dgm:catLst>
  <dgm:styleLbl name="node0">
    <dgm:fillClrLst meth="cycle">
      <a:schemeClr val="accent5">
        <a:shade val="60000"/>
      </a:schemeClr>
    </dgm:fillClrLst>
    <dgm:linClrLst meth="repeat">
      <a:schemeClr val="lt1"/>
    </dgm:linClrLst>
    <dgm:effectClrLst/>
    <dgm:txLinClrLst/>
    <dgm:txFillClrLst/>
    <dgm:txEffectClrLst/>
  </dgm:styleLbl>
  <dgm:styleLbl name="node1">
    <dgm:fillClrLst meth="cycle">
      <a:schemeClr val="accent5">
        <a:shade val="50000"/>
      </a:schemeClr>
      <a:schemeClr val="accent5">
        <a:tint val="55000"/>
      </a:schemeClr>
    </dgm:fillClrLst>
    <dgm:linClrLst meth="repeat">
      <a:schemeClr val="lt1"/>
    </dgm:linClrLst>
    <dgm:effectClrLst/>
    <dgm:txLinClrLst/>
    <dgm:txFillClrLst/>
    <dgm:txEffectClrLst/>
  </dgm:styleLbl>
  <dgm:styleLbl name="alignNode1">
    <dgm:fillClrLst meth="cycle">
      <a:schemeClr val="accent5">
        <a:shade val="50000"/>
      </a:schemeClr>
      <a:schemeClr val="accent5">
        <a:tint val="55000"/>
      </a:schemeClr>
    </dgm:fillClrLst>
    <dgm:linClrLst meth="cycle">
      <a:schemeClr val="accent5">
        <a:shade val="50000"/>
      </a:schemeClr>
      <a:schemeClr val="accent5">
        <a:tint val="55000"/>
      </a:schemeClr>
    </dgm:linClrLst>
    <dgm:effectClrLst/>
    <dgm:txLinClrLst/>
    <dgm:txFillClrLst/>
    <dgm:txEffectClrLst/>
  </dgm:styleLbl>
  <dgm:styleLbl name="lnNode1">
    <dgm:fillClrLst meth="cycle">
      <a:schemeClr val="accent5">
        <a:shade val="50000"/>
      </a:schemeClr>
      <a:schemeClr val="accent5">
        <a:tint val="55000"/>
      </a:schemeClr>
    </dgm:fillClrLst>
    <dgm:linClrLst meth="repeat">
      <a:schemeClr val="lt1"/>
    </dgm:linClrLst>
    <dgm:effectClrLst/>
    <dgm:txLinClrLst/>
    <dgm:txFillClrLst/>
    <dgm:txEffectClrLst/>
  </dgm:styleLbl>
  <dgm:styleLbl name="vennNode1">
    <dgm:fillClrLst meth="cycle">
      <a:schemeClr val="accent5">
        <a:shade val="80000"/>
        <a:alpha val="50000"/>
      </a:schemeClr>
      <a:schemeClr val="accent5">
        <a:tint val="50000"/>
        <a:alpha val="50000"/>
      </a:schemeClr>
    </dgm:fillClrLst>
    <dgm:linClrLst meth="repeat">
      <a:schemeClr val="lt1"/>
    </dgm:linClrLst>
    <dgm:effectClrLst/>
    <dgm:txLinClrLst/>
    <dgm:txFillClrLst/>
    <dgm:txEffectClrLst/>
  </dgm:styleLbl>
  <dgm:styleLbl name="node2">
    <dgm:fillClrLst>
      <a:schemeClr val="accent5">
        <a:shade val="80000"/>
      </a:schemeClr>
    </dgm:fillClrLst>
    <dgm:linClrLst meth="repeat">
      <a:schemeClr val="lt1"/>
    </dgm:linClrLst>
    <dgm:effectClrLst/>
    <dgm:txLinClrLst/>
    <dgm:txFillClrLst/>
    <dgm:txEffectClrLst/>
  </dgm:styleLbl>
  <dgm:styleLbl name="node3">
    <dgm:fillClrLst>
      <a:schemeClr val="accent5">
        <a:tint val="99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5">
        <a:shade val="90000"/>
      </a:schemeClr>
      <a:schemeClr val="accent5">
        <a:tint val="50000"/>
      </a:schemeClr>
    </dgm:fillClrLst>
    <dgm:linClrLst meth="cycle">
      <a:schemeClr val="accent5">
        <a:shade val="90000"/>
      </a:schemeClr>
      <a:schemeClr val="accent5">
        <a:tint val="50000"/>
      </a:schemeClr>
    </dgm:linClrLst>
    <dgm:effectClrLst/>
    <dgm:txLinClrLst/>
    <dgm:txFillClrLst/>
    <dgm:txEffectClrLst/>
  </dgm:styleLbl>
  <dgm:styleLbl name="fgSibTrans2D1">
    <dgm:fillClrLst meth="cycle">
      <a:schemeClr val="accent5">
        <a:shade val="90000"/>
      </a:schemeClr>
      <a:schemeClr val="accent5">
        <a:tint val="50000"/>
      </a:schemeClr>
    </dgm:fillClrLst>
    <dgm:linClrLst meth="cycle">
      <a:schemeClr val="accent5">
        <a:shade val="90000"/>
      </a:schemeClr>
      <a:schemeClr val="accent5">
        <a:tint val="50000"/>
      </a:schemeClr>
    </dgm:linClrLst>
    <dgm:effectClrLst/>
    <dgm:txLinClrLst/>
    <dgm:txFillClrLst/>
    <dgm:txEffectClrLst/>
  </dgm:styleLbl>
  <dgm:styleLbl name="bgSibTrans2D1">
    <dgm:fillClrLst meth="cycle">
      <a:schemeClr val="accent5">
        <a:shade val="90000"/>
      </a:schemeClr>
      <a:schemeClr val="accent5">
        <a:tint val="50000"/>
      </a:schemeClr>
    </dgm:fillClrLst>
    <dgm:linClrLst meth="cycle">
      <a:schemeClr val="accent5">
        <a:shade val="90000"/>
      </a:schemeClr>
      <a:schemeClr val="accent5">
        <a:tint val="50000"/>
      </a:schemeClr>
    </dgm:linClrLst>
    <dgm:effectClrLst/>
    <dgm:txLinClrLst/>
    <dgm:txFillClrLst/>
    <dgm:txEffectClrLst/>
  </dgm:styleLbl>
  <dgm:styleLbl name="fgSibTrans2D1">
    <dgm:fillClrLst meth="cycle">
      <a:schemeClr val="accent5">
        <a:shade val="90000"/>
      </a:schemeClr>
      <a:schemeClr val="accent5">
        <a:tint val="50000"/>
      </a:schemeClr>
    </dgm:fillClrLst>
    <dgm:linClrLst meth="cycle">
      <a:schemeClr val="accent5">
        <a:shade val="90000"/>
      </a:schemeClr>
      <a:schemeClr val="accent5">
        <a:tint val="50000"/>
      </a:schemeClr>
    </dgm:linClrLst>
    <dgm:effectClrLst/>
    <dgm:txLinClrLst/>
    <dgm:txFillClrLst/>
    <dgm:txEffectClrLst/>
  </dgm:styleLbl>
  <dgm:styleLbl name="sibTrans1D1">
    <dgm:fillClrLst meth="cycle">
      <a:schemeClr val="accent5">
        <a:shade val="90000"/>
      </a:schemeClr>
      <a:schemeClr val="accent5">
        <a:tint val="50000"/>
      </a:schemeClr>
    </dgm:fillClrLst>
    <dgm:linClrLst meth="cycle">
      <a:schemeClr val="accent5">
        <a:shade val="90000"/>
      </a:schemeClr>
      <a:schemeClr val="accent5">
        <a:tint val="5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0000"/>
      </a:schemeClr>
    </dgm:fillClrLst>
    <dgm:linClrLst meth="repeat">
      <a:schemeClr val="lt1"/>
    </dgm:linClrLst>
    <dgm:effectClrLst/>
    <dgm:txLinClrLst/>
    <dgm:txFillClrLst/>
    <dgm:txEffectClrLst/>
  </dgm:styleLbl>
  <dgm:styleLbl name="asst3">
    <dgm:fillClrLst>
      <a:schemeClr val="accent5">
        <a:tint val="70000"/>
      </a:schemeClr>
    </dgm:fillClrLst>
    <dgm:linClrLst meth="repeat">
      <a:schemeClr val="lt1"/>
    </dgm:linClrLst>
    <dgm:effectClrLst/>
    <dgm:txLinClrLst/>
    <dgm:txFillClrLst/>
    <dgm:txEffectClrLst/>
  </dgm:styleLbl>
  <dgm:styleLbl name="asst4">
    <dgm:fillClrLst>
      <a:schemeClr val="accent5">
        <a:tint val="5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shade val="80000"/>
      </a:schemeClr>
    </dgm:linClrLst>
    <dgm:effectClrLst/>
    <dgm:txLinClrLst/>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dk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0000"/>
      </a:schemeClr>
    </dgm:fillClrLst>
    <dgm:linClrLst meth="repeat">
      <a:schemeClr val="accent5">
        <a:tint val="90000"/>
      </a:schemeClr>
    </dgm:linClrLst>
    <dgm:effectClrLst/>
    <dgm:txLinClrLst/>
    <dgm:txFillClrLst meth="repeat">
      <a:schemeClr val="tx1"/>
    </dgm:txFillClrLst>
    <dgm:txEffectClrLst/>
  </dgm:styleLbl>
  <dgm:styleLbl name="parChTrans1D3">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5">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5">
        <a:shade val="50000"/>
      </a:schemeClr>
      <a:schemeClr val="accent5">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5">
        <a:shade val="50000"/>
      </a:schemeClr>
      <a:schemeClr val="accent5">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5">
        <a:shade val="50000"/>
      </a:schemeClr>
      <a:schemeClr val="accent5">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5">
        <a:shade val="50000"/>
      </a:schemeClr>
      <a:schemeClr val="accent5">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5">
        <a:shade val="50000"/>
      </a:schemeClr>
      <a:schemeClr val="accent5">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55000"/>
      </a:schemeClr>
    </dgm:fillClrLst>
    <dgm:linClrLst meth="repeat">
      <a:schemeClr val="accent5">
        <a:alpha val="90000"/>
        <a:tint val="55000"/>
      </a:schemeClr>
    </dgm:linClrLst>
    <dgm:effectClrLst/>
    <dgm:txLinClrLst/>
    <dgm:txFillClrLst meth="repeat">
      <a:schemeClr val="dk1"/>
    </dgm:txFillClrLst>
    <dgm:txEffectClrLst/>
  </dgm:styleLbl>
  <dgm:styleLbl name="alignAccFollowNode1">
    <dgm:fillClrLst meth="repeat">
      <a:schemeClr val="accent5">
        <a:alpha val="90000"/>
        <a:tint val="55000"/>
      </a:schemeClr>
    </dgm:fillClrLst>
    <dgm:linClrLst meth="repeat">
      <a:schemeClr val="accent5">
        <a:alpha val="90000"/>
        <a:tint val="55000"/>
      </a:schemeClr>
    </dgm:linClrLst>
    <dgm:effectClrLst/>
    <dgm:txLinClrLst/>
    <dgm:txFillClrLst meth="repeat">
      <a:schemeClr val="dk1"/>
    </dgm:txFillClrLst>
    <dgm:txEffectClrLst/>
  </dgm:styleLbl>
  <dgm:styleLbl name="bgAccFollowNode1">
    <dgm:fillClrLst meth="repeat">
      <a:schemeClr val="accent5">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50000"/>
      </a:schemeClr>
    </dgm:linClrLst>
    <dgm:effectClrLst/>
    <dgm:txLinClrLst/>
    <dgm:txFillClrLst meth="repeat">
      <a:schemeClr val="dk1"/>
    </dgm:txFillClrLst>
    <dgm:txEffectClrLst/>
  </dgm:styleLbl>
  <dgm:styleLbl name="bgShp">
    <dgm:fillClrLst meth="repeat">
      <a:schemeClr val="accent5">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55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6_3">
  <dgm:title val=""/>
  <dgm:desc val=""/>
  <dgm:catLst>
    <dgm:cat type="accent6" pri="11300"/>
  </dgm:catLst>
  <dgm:styleLbl name="node0">
    <dgm:fillClrLst meth="repeat">
      <a:schemeClr val="accent6">
        <a:shade val="80000"/>
      </a:schemeClr>
    </dgm:fillClrLst>
    <dgm:linClrLst meth="repeat">
      <a:schemeClr val="lt1"/>
    </dgm:linClrLst>
    <dgm:effectClrLst/>
    <dgm:txLinClrLst/>
    <dgm:txFillClrLst/>
    <dgm:txEffectClrLst/>
  </dgm:styleLbl>
  <dgm:styleLbl name="node1">
    <dgm:fillClrLst>
      <a:schemeClr val="accent6">
        <a:shade val="80000"/>
      </a:schemeClr>
      <a:schemeClr val="accent6">
        <a:tint val="70000"/>
      </a:schemeClr>
    </dgm:fillClrLst>
    <dgm:linClrLst meth="repeat">
      <a:schemeClr val="lt1"/>
    </dgm:linClrLst>
    <dgm:effectClrLst/>
    <dgm:txLinClrLst/>
    <dgm:txFillClrLst/>
    <dgm:txEffectClrLst/>
  </dgm:styleLbl>
  <dgm:styleLbl name="alignNode1">
    <dgm:fillClrLst>
      <a:schemeClr val="accent6">
        <a:shade val="80000"/>
      </a:schemeClr>
      <a:schemeClr val="accent6">
        <a:tint val="70000"/>
      </a:schemeClr>
    </dgm:fillClrLst>
    <dgm:linClrLst>
      <a:schemeClr val="accent6">
        <a:shade val="80000"/>
      </a:schemeClr>
      <a:schemeClr val="accent6">
        <a:tint val="70000"/>
      </a:schemeClr>
    </dgm:linClrLst>
    <dgm:effectClrLst/>
    <dgm:txLinClrLst/>
    <dgm:txFillClrLst/>
    <dgm:txEffectClrLst/>
  </dgm:styleLbl>
  <dgm:styleLbl name="lnNode1">
    <dgm:fillClrLst>
      <a:schemeClr val="accent6">
        <a:shade val="80000"/>
      </a:schemeClr>
      <a:schemeClr val="accent6">
        <a:tint val="70000"/>
      </a:schemeClr>
    </dgm:fillClrLst>
    <dgm:linClrLst meth="repeat">
      <a:schemeClr val="lt1"/>
    </dgm:linClrLst>
    <dgm:effectClrLst/>
    <dgm:txLinClrLst/>
    <dgm:txFillClrLst/>
    <dgm:txEffectClrLst/>
  </dgm:styleLbl>
  <dgm:styleLbl name="vennNode1">
    <dgm:fillClrLst>
      <a:schemeClr val="accent6">
        <a:shade val="80000"/>
        <a:alpha val="50000"/>
      </a:schemeClr>
      <a:schemeClr val="accent6">
        <a:tint val="70000"/>
        <a:alpha val="50000"/>
      </a:schemeClr>
    </dgm:fillClrLst>
    <dgm:linClrLst meth="repeat">
      <a:schemeClr val="lt1"/>
    </dgm:linClrLst>
    <dgm:effectClrLst/>
    <dgm:txLinClrLst/>
    <dgm:txFillClrLst/>
    <dgm:txEffectClrLst/>
  </dgm:styleLbl>
  <dgm:styleLbl name="node2">
    <dgm:fillClrLst>
      <a:schemeClr val="accent6">
        <a:tint val="99000"/>
      </a:schemeClr>
    </dgm:fillClrLst>
    <dgm:linClrLst meth="repeat">
      <a:schemeClr val="lt1"/>
    </dgm:linClrLst>
    <dgm:effectClrLst/>
    <dgm:txLinClrLst/>
    <dgm:txFillClrLst/>
    <dgm:txEffectClrLst/>
  </dgm:styleLbl>
  <dgm:styleLbl name="node3">
    <dgm:fillClrLst>
      <a:schemeClr val="accent6">
        <a:tint val="80000"/>
      </a:schemeClr>
    </dgm:fillClrLst>
    <dgm:linClrLst meth="repeat">
      <a:schemeClr val="lt1"/>
    </dgm:linClrLst>
    <dgm:effectClrLst/>
    <dgm:txLinClrLst/>
    <dgm:txFillClrLst/>
    <dgm:txEffectClrLst/>
  </dgm:styleLbl>
  <dgm:styleLbl name="node4">
    <dgm:fillClrLst>
      <a:schemeClr val="accent6">
        <a:tint val="70000"/>
      </a:schemeClr>
    </dgm:fillClrLst>
    <dgm:linClrLst meth="repeat">
      <a:schemeClr val="lt1"/>
    </dgm:linClrLst>
    <dgm:effectClrLst/>
    <dgm:txLinClrLst/>
    <dgm:txFillClrLst/>
    <dgm:txEffectClrLst/>
  </dgm:styleLbl>
  <dgm:styleLbl name="fg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dgm:txEffectClrLst/>
  </dgm:styleLbl>
  <dgm:styleLbl name="fg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lt1"/>
    </dgm:txFillClrLst>
    <dgm:txEffectClrLst/>
  </dgm:styleLbl>
  <dgm:styleLbl name="bg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lt1"/>
    </dgm:txFillClrLst>
    <dgm:txEffectClrLst/>
  </dgm:styleLbl>
  <dgm:styleLbl name="sibTrans1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accent6">
        <a:shade val="80000"/>
      </a:schemeClr>
    </dgm:fillClrLst>
    <dgm:linClrLst meth="repeat">
      <a:schemeClr val="lt1"/>
    </dgm:linClrLst>
    <dgm:effectClrLst/>
    <dgm:txLinClrLst/>
    <dgm:txFillClrLst/>
    <dgm:txEffectClrLst/>
  </dgm:styleLbl>
  <dgm:styleLbl name="asst1">
    <dgm:fillClrLst meth="repeat">
      <a:schemeClr val="accent6">
        <a:shade val="80000"/>
      </a:schemeClr>
    </dgm:fillClrLst>
    <dgm:linClrLst meth="repeat">
      <a:schemeClr val="lt1"/>
    </dgm:linClrLst>
    <dgm:effectClrLst/>
    <dgm:txLinClrLst/>
    <dgm:txFillClrLst/>
    <dgm:txEffectClrLst/>
  </dgm:styleLbl>
  <dgm:styleLbl name="asst2">
    <dgm:fillClrLst>
      <a:schemeClr val="accent6">
        <a:tint val="99000"/>
      </a:schemeClr>
    </dgm:fillClrLst>
    <dgm:linClrLst meth="repeat">
      <a:schemeClr val="lt1"/>
    </dgm:linClrLst>
    <dgm:effectClrLst/>
    <dgm:txLinClrLst/>
    <dgm:txFillClrLst/>
    <dgm:txEffectClrLst/>
  </dgm:styleLbl>
  <dgm:styleLbl name="asst3">
    <dgm:fillClrLst>
      <a:schemeClr val="accent6">
        <a:tint val="80000"/>
      </a:schemeClr>
    </dgm:fillClrLst>
    <dgm:linClrLst meth="repeat">
      <a:schemeClr val="lt1"/>
    </dgm:linClrLst>
    <dgm:effectClrLst/>
    <dgm:txLinClrLst/>
    <dgm:txFillClrLst/>
    <dgm:txEffectClrLst/>
  </dgm:styleLbl>
  <dgm:styleLbl name="asst4">
    <dgm:fillClrLst>
      <a:schemeClr val="accent6">
        <a:tint val="70000"/>
      </a:schemeClr>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a:tint val="90000"/>
      </a:schemeClr>
    </dgm:fillClrLst>
    <dgm:linClrLst meth="repeat">
      <a:schemeClr val="accent6">
        <a:tint val="90000"/>
      </a:schemeClr>
    </dgm:linClrLst>
    <dgm:effectClrLst/>
    <dgm:txLinClrLst/>
    <dgm:txFillClrLst/>
    <dgm:txEffectClrLst/>
  </dgm:styleLbl>
  <dgm:styleLbl name="parChTrans2D3">
    <dgm:fillClrLst meth="repeat">
      <a:schemeClr val="accent6">
        <a:tint val="70000"/>
      </a:schemeClr>
    </dgm:fillClrLst>
    <dgm:linClrLst meth="repeat">
      <a:schemeClr val="accent6">
        <a:tint val="70000"/>
      </a:schemeClr>
    </dgm:linClrLst>
    <dgm:effectClrLst/>
    <dgm:txLinClrLst/>
    <dgm:txFillClrLst/>
    <dgm:txEffectClrLst/>
  </dgm:styleLbl>
  <dgm:styleLbl name="parChTrans2D4">
    <dgm:fillClrLst meth="repeat">
      <a:schemeClr val="accent6">
        <a:tint val="50000"/>
      </a:schemeClr>
    </dgm:fillClrLst>
    <dgm:linClrLst meth="repeat">
      <a:schemeClr val="accent6">
        <a:tint val="50000"/>
      </a:schemeClr>
    </dgm:linClrLst>
    <dgm:effectClrLst/>
    <dgm:txLinClrLst/>
    <dgm:txFillClrLst meth="repeat">
      <a:schemeClr val="lt1"/>
    </dgm:txFillClrLst>
    <dgm:txEffectClrLst/>
  </dgm:styleLbl>
  <dgm:styleLbl name="parChTrans1D1">
    <dgm:fillClrLst meth="repeat">
      <a:schemeClr val="accent6">
        <a:shade val="80000"/>
      </a:schemeClr>
    </dgm:fillClrLst>
    <dgm:linClrLst meth="repeat">
      <a:schemeClr val="accent6">
        <a:shade val="80000"/>
      </a:schemeClr>
    </dgm:linClrLst>
    <dgm:effectClrLst/>
    <dgm:txLinClrLst/>
    <dgm:txFillClrLst meth="repeat">
      <a:schemeClr val="tx1"/>
    </dgm:txFillClrLst>
    <dgm:txEffectClrLst/>
  </dgm:styleLbl>
  <dgm:styleLbl name="parChTrans1D2">
    <dgm:fillClrLst meth="repeat">
      <a:schemeClr val="accent6">
        <a:tint val="99000"/>
      </a:schemeClr>
    </dgm:fillClrLst>
    <dgm:linClrLst meth="repeat">
      <a:schemeClr val="accent6">
        <a:tint val="99000"/>
      </a:schemeClr>
    </dgm:linClrLst>
    <dgm:effectClrLst/>
    <dgm:txLinClrLst/>
    <dgm:txFillClrLst meth="repeat">
      <a:schemeClr val="tx1"/>
    </dgm:txFillClrLst>
    <dgm:txEffectClrLst/>
  </dgm:styleLbl>
  <dgm:styleLbl name="parChTrans1D3">
    <dgm:fillClrLst meth="repeat">
      <a:schemeClr val="accent6">
        <a:tint val="80000"/>
      </a:schemeClr>
    </dgm:fillClrLst>
    <dgm:linClrLst meth="repeat">
      <a:schemeClr val="accent6">
        <a:tint val="80000"/>
      </a:schemeClr>
    </dgm:linClrLst>
    <dgm:effectClrLst/>
    <dgm:txLinClrLst/>
    <dgm:txFillClrLst meth="repeat">
      <a:schemeClr val="tx1"/>
    </dgm:txFillClrLst>
    <dgm:txEffectClrLst/>
  </dgm:styleLbl>
  <dgm:styleLbl name="parChTrans1D4">
    <dgm:fillClrLst meth="repeat">
      <a:schemeClr val="accent6">
        <a:tint val="70000"/>
      </a:schemeClr>
    </dgm:fillClrLst>
    <dgm:linClrLst meth="repeat">
      <a:schemeClr val="accent6">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6">
        <a:shade val="80000"/>
      </a:schemeClr>
      <a:schemeClr val="accent6">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a:tint val="70000"/>
      </a:schemeClr>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6">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6_2">
  <dgm:title val=""/>
  <dgm:desc val=""/>
  <dgm:catLst>
    <dgm:cat type="accent6" pri="11200"/>
  </dgm:catLst>
  <dgm:styleLbl name="node0">
    <dgm:fillClrLst meth="repeat">
      <a:schemeClr val="accent6"/>
    </dgm:fillClrLst>
    <dgm:linClrLst meth="repeat">
      <a:schemeClr val="lt1"/>
    </dgm:linClrLst>
    <dgm:effectClrLst/>
    <dgm:txLinClrLst/>
    <dgm:txFillClrLst/>
    <dgm:txEffectClrLst/>
  </dgm:styleLbl>
  <dgm:styleLbl name="node1">
    <dgm:fillClrLst meth="repeat">
      <a:schemeClr val="accent6"/>
    </dgm:fillClrLst>
    <dgm:linClrLst meth="repeat">
      <a:schemeClr val="lt1"/>
    </dgm:linClrLst>
    <dgm:effectClrLst/>
    <dgm:txLinClrLst/>
    <dgm:txFillClrLst/>
    <dgm:txEffectClrLst/>
  </dgm:styleLbl>
  <dgm:styleLbl name="alignNode1">
    <dgm:fillClrLst meth="repeat">
      <a:schemeClr val="accent6"/>
    </dgm:fillClrLst>
    <dgm:linClrLst meth="repeat">
      <a:schemeClr val="accent6"/>
    </dgm:linClrLst>
    <dgm:effectClrLst/>
    <dgm:txLinClrLst/>
    <dgm:txFillClrLst/>
    <dgm:txEffectClrLst/>
  </dgm:styleLbl>
  <dgm:styleLbl name="lnNode1">
    <dgm:fillClrLst meth="repeat">
      <a:schemeClr val="accent6"/>
    </dgm:fillClrLst>
    <dgm:linClrLst meth="repeat">
      <a:schemeClr val="lt1"/>
    </dgm:linClrLst>
    <dgm:effectClrLst/>
    <dgm:txLinClrLst/>
    <dgm:txFillClrLst/>
    <dgm:txEffectClrLst/>
  </dgm:styleLbl>
  <dgm:styleLbl name="vennNode1">
    <dgm:fillClrLst meth="repeat">
      <a:schemeClr val="accent6">
        <a:alpha val="50000"/>
      </a:schemeClr>
    </dgm:fillClrLst>
    <dgm:linClrLst meth="repeat">
      <a:schemeClr val="lt1"/>
    </dgm:linClrLst>
    <dgm:effectClrLst/>
    <dgm:txLinClrLst/>
    <dgm:txFillClrLst/>
    <dgm:txEffectClrLst/>
  </dgm:styleLbl>
  <dgm:styleLbl name="node2">
    <dgm:fillClrLst meth="repeat">
      <a:schemeClr val="accent6"/>
    </dgm:fillClrLst>
    <dgm:linClrLst meth="repeat">
      <a:schemeClr val="lt1"/>
    </dgm:linClrLst>
    <dgm:effectClrLst/>
    <dgm:txLinClrLst/>
    <dgm:txFillClrLst/>
    <dgm:txEffectClrLst/>
  </dgm:styleLbl>
  <dgm:styleLbl name="node3">
    <dgm:fillClrLst meth="repeat">
      <a:schemeClr val="accent6"/>
    </dgm:fillClrLst>
    <dgm:linClrLst meth="repeat">
      <a:schemeClr val="lt1"/>
    </dgm:linClrLst>
    <dgm:effectClrLst/>
    <dgm:txLinClrLst/>
    <dgm:txFillClrLst/>
    <dgm:txEffectClrLst/>
  </dgm:styleLbl>
  <dgm:styleLbl name="node4">
    <dgm:fillClrLst meth="repeat">
      <a:schemeClr val="accent6"/>
    </dgm:fillClrLst>
    <dgm:linClrLst meth="repeat">
      <a:schemeClr val="lt1"/>
    </dgm:linClrLst>
    <dgm:effectClrLst/>
    <dgm:txLinClrLst/>
    <dgm:txFillClrLst/>
    <dgm:txEffectClrLst/>
  </dgm:styleLbl>
  <dgm:styleLbl name="f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a:tint val="50000"/>
      </a:schemeClr>
    </dgm:linClrLst>
    <dgm:effectClrLst/>
    <dgm:txLinClrLst/>
    <dgm:txFillClrLst meth="repeat">
      <a:schemeClr val="tx1"/>
    </dgm:txFillClrLst>
    <dgm:txEffectClrLst/>
  </dgm:styleLbl>
  <dgm:styleLbl name="asst0">
    <dgm:fillClrLst meth="repeat">
      <a:schemeClr val="accent6"/>
    </dgm:fillClrLst>
    <dgm:linClrLst meth="repeat">
      <a:schemeClr val="lt1"/>
    </dgm:linClrLst>
    <dgm:effectClrLst/>
    <dgm:txLinClrLst/>
    <dgm:txFillClrLst/>
    <dgm:txEffectClrLst/>
  </dgm:styleLbl>
  <dgm:styleLbl name="asst1">
    <dgm:fillClrLst meth="repeat">
      <a:schemeClr val="accent6"/>
    </dgm:fillClrLst>
    <dgm:linClrLst meth="repeat">
      <a:schemeClr val="lt1"/>
    </dgm:linClrLst>
    <dgm:effectClrLst/>
    <dgm:txLinClrLst/>
    <dgm:txFillClrLst/>
    <dgm:txEffectClrLst/>
  </dgm:styleLbl>
  <dgm:styleLbl name="asst2">
    <dgm:fillClrLst meth="repeat">
      <a:schemeClr val="accent6"/>
    </dgm:fillClrLst>
    <dgm:linClrLst meth="repeat">
      <a:schemeClr val="lt1"/>
    </dgm:linClrLst>
    <dgm:effectClrLst/>
    <dgm:txLinClrLst/>
    <dgm:txFillClrLst/>
    <dgm:txEffectClrLst/>
  </dgm:styleLbl>
  <dgm:styleLbl name="asst3">
    <dgm:fillClrLst meth="repeat">
      <a:schemeClr val="accent6"/>
    </dgm:fillClrLst>
    <dgm:linClrLst meth="repeat">
      <a:schemeClr val="lt1"/>
    </dgm:linClrLst>
    <dgm:effectClrLst/>
    <dgm:txLinClrLst/>
    <dgm:txFillClrLst/>
    <dgm:txEffectClrLst/>
  </dgm:styleLbl>
  <dgm:styleLbl name="asst4">
    <dgm:fillClrLst meth="repeat">
      <a:schemeClr val="accent6"/>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dgm:fillClrLst>
    <dgm:linClrLst meth="repeat">
      <a:schemeClr val="accent6"/>
    </dgm:linClrLst>
    <dgm:effectClrLst/>
    <dgm:txLinClrLst/>
    <dgm:txFillClrLst meth="repeat">
      <a:schemeClr val="lt1"/>
    </dgm:txFillClrLst>
    <dgm:txEffectClrLst/>
  </dgm:styleLbl>
  <dgm:styleLbl name="parChTrans2D3">
    <dgm:fillClrLst meth="repeat">
      <a:schemeClr val="accent6"/>
    </dgm:fillClrLst>
    <dgm:linClrLst meth="repeat">
      <a:schemeClr val="accent6"/>
    </dgm:linClrLst>
    <dgm:effectClrLst/>
    <dgm:txLinClrLst/>
    <dgm:txFillClrLst meth="repeat">
      <a:schemeClr val="lt1"/>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70A2A3D-ED08-4CA5-8C28-65E0E1912221}" type="doc">
      <dgm:prSet loTypeId="urn:microsoft.com/office/officeart/2005/8/layout/hProcess9" loCatId="process" qsTypeId="urn:microsoft.com/office/officeart/2005/8/quickstyle/simple1" qsCatId="simple" csTypeId="urn:microsoft.com/office/officeart/2005/8/colors/colorful5" csCatId="colorful" phldr="1"/>
      <dgm:spPr/>
    </dgm:pt>
    <dgm:pt modelId="{175572FD-DFBA-410C-A6C4-27520902B43A}">
      <dgm:prSet phldrT="[Text]"/>
      <dgm:spPr/>
      <dgm:t>
        <a:bodyPr/>
        <a:lstStyle/>
        <a:p>
          <a:r>
            <a:rPr lang="bg-BG" b="1"/>
            <a:t>Стъпка 1</a:t>
          </a:r>
        </a:p>
        <a:p>
          <a:r>
            <a:rPr lang="bg-BG"/>
            <a:t>Идентифициране на съществуващите проблеми на пазара</a:t>
          </a:r>
        </a:p>
      </dgm:t>
    </dgm:pt>
    <dgm:pt modelId="{F5DBDB31-A057-4C53-8F08-C4CE049F04B6}" type="parTrans" cxnId="{9C09DC13-FC2C-49E3-8B12-A779023C5748}">
      <dgm:prSet/>
      <dgm:spPr/>
      <dgm:t>
        <a:bodyPr/>
        <a:lstStyle/>
        <a:p>
          <a:endParaRPr lang="bg-BG"/>
        </a:p>
      </dgm:t>
    </dgm:pt>
    <dgm:pt modelId="{AFC4645E-BF37-479C-B7E1-EC1352ED50CC}" type="sibTrans" cxnId="{9C09DC13-FC2C-49E3-8B12-A779023C5748}">
      <dgm:prSet/>
      <dgm:spPr/>
      <dgm:t>
        <a:bodyPr/>
        <a:lstStyle/>
        <a:p>
          <a:endParaRPr lang="bg-BG"/>
        </a:p>
      </dgm:t>
    </dgm:pt>
    <dgm:pt modelId="{0707690F-75B2-4095-8CF1-C7DDF6678DEC}">
      <dgm:prSet phldrT="[Text]"/>
      <dgm:spPr/>
      <dgm:t>
        <a:bodyPr/>
        <a:lstStyle/>
        <a:p>
          <a:r>
            <a:rPr lang="bg-BG" b="1"/>
            <a:t>Стъпка 2</a:t>
          </a:r>
        </a:p>
        <a:p>
          <a:r>
            <a:rPr lang="bg-BG"/>
            <a:t>Анализиране на недостига между търсене и предлагане и идентифициране на неоптимални инвестиционни ситуации</a:t>
          </a:r>
        </a:p>
      </dgm:t>
    </dgm:pt>
    <dgm:pt modelId="{A08F93A6-9DE4-41BF-8CA3-0AA3B0B69363}" type="parTrans" cxnId="{650FE6DC-8C76-4E72-84B0-01ADE12A46CE}">
      <dgm:prSet/>
      <dgm:spPr/>
      <dgm:t>
        <a:bodyPr/>
        <a:lstStyle/>
        <a:p>
          <a:endParaRPr lang="bg-BG"/>
        </a:p>
      </dgm:t>
    </dgm:pt>
    <dgm:pt modelId="{9E9B9E57-7D84-432D-90E6-A6C5054BA4D8}" type="sibTrans" cxnId="{650FE6DC-8C76-4E72-84B0-01ADE12A46CE}">
      <dgm:prSet/>
      <dgm:spPr/>
      <dgm:t>
        <a:bodyPr/>
        <a:lstStyle/>
        <a:p>
          <a:endParaRPr lang="bg-BG"/>
        </a:p>
      </dgm:t>
    </dgm:pt>
    <dgm:pt modelId="{103FE1AA-DE8B-478F-BEEF-CD7C5E8E34EA}">
      <dgm:prSet phldrT="[Text]"/>
      <dgm:spPr/>
      <dgm:t>
        <a:bodyPr/>
        <a:lstStyle/>
        <a:p>
          <a:r>
            <a:rPr lang="bg-BG" b="1"/>
            <a:t>Стъпка 3</a:t>
          </a:r>
        </a:p>
        <a:p>
          <a:r>
            <a:rPr lang="bg-BG"/>
            <a:t>Остойностяване на инвестиционния недостиг доколкото това е възможно</a:t>
          </a:r>
        </a:p>
      </dgm:t>
    </dgm:pt>
    <dgm:pt modelId="{EFCEA657-6582-4572-9A7B-F103E2B4363D}" type="parTrans" cxnId="{0762038D-5160-4A68-8463-7433B61C4188}">
      <dgm:prSet/>
      <dgm:spPr/>
      <dgm:t>
        <a:bodyPr/>
        <a:lstStyle/>
        <a:p>
          <a:endParaRPr lang="bg-BG"/>
        </a:p>
      </dgm:t>
    </dgm:pt>
    <dgm:pt modelId="{9E9A3750-F6DF-41C1-90E1-432CF390C89D}" type="sibTrans" cxnId="{0762038D-5160-4A68-8463-7433B61C4188}">
      <dgm:prSet/>
      <dgm:spPr/>
      <dgm:t>
        <a:bodyPr/>
        <a:lstStyle/>
        <a:p>
          <a:endParaRPr lang="bg-BG"/>
        </a:p>
      </dgm:t>
    </dgm:pt>
    <dgm:pt modelId="{BA9EEF2E-2DC7-435A-8B7D-3B18FF295CFA}" type="pres">
      <dgm:prSet presAssocID="{270A2A3D-ED08-4CA5-8C28-65E0E1912221}" presName="CompostProcess" presStyleCnt="0">
        <dgm:presLayoutVars>
          <dgm:dir/>
          <dgm:resizeHandles val="exact"/>
        </dgm:presLayoutVars>
      </dgm:prSet>
      <dgm:spPr/>
    </dgm:pt>
    <dgm:pt modelId="{4E58AD71-991A-489A-8642-7DEECC7BB175}" type="pres">
      <dgm:prSet presAssocID="{270A2A3D-ED08-4CA5-8C28-65E0E1912221}" presName="arrow" presStyleLbl="bgShp" presStyleIdx="0" presStyleCnt="1"/>
      <dgm:spPr/>
    </dgm:pt>
    <dgm:pt modelId="{83CCA9FF-148B-4653-958D-9A209C058682}" type="pres">
      <dgm:prSet presAssocID="{270A2A3D-ED08-4CA5-8C28-65E0E1912221}" presName="linearProcess" presStyleCnt="0"/>
      <dgm:spPr/>
    </dgm:pt>
    <dgm:pt modelId="{A15AF902-CDB9-4A39-9342-B908D94E2DA9}" type="pres">
      <dgm:prSet presAssocID="{175572FD-DFBA-410C-A6C4-27520902B43A}" presName="textNode" presStyleLbl="node1" presStyleIdx="0" presStyleCnt="3">
        <dgm:presLayoutVars>
          <dgm:bulletEnabled val="1"/>
        </dgm:presLayoutVars>
      </dgm:prSet>
      <dgm:spPr/>
      <dgm:t>
        <a:bodyPr/>
        <a:lstStyle/>
        <a:p>
          <a:endParaRPr lang="bg-BG"/>
        </a:p>
      </dgm:t>
    </dgm:pt>
    <dgm:pt modelId="{42C108AE-E131-4FFD-B8F5-9E5729A4A3FB}" type="pres">
      <dgm:prSet presAssocID="{AFC4645E-BF37-479C-B7E1-EC1352ED50CC}" presName="sibTrans" presStyleCnt="0"/>
      <dgm:spPr/>
    </dgm:pt>
    <dgm:pt modelId="{0CAB4FDE-56A1-46B4-8D05-72E79C3D35B9}" type="pres">
      <dgm:prSet presAssocID="{0707690F-75B2-4095-8CF1-C7DDF6678DEC}" presName="textNode" presStyleLbl="node1" presStyleIdx="1" presStyleCnt="3">
        <dgm:presLayoutVars>
          <dgm:bulletEnabled val="1"/>
        </dgm:presLayoutVars>
      </dgm:prSet>
      <dgm:spPr/>
      <dgm:t>
        <a:bodyPr/>
        <a:lstStyle/>
        <a:p>
          <a:endParaRPr lang="bg-BG"/>
        </a:p>
      </dgm:t>
    </dgm:pt>
    <dgm:pt modelId="{FF85701F-08C8-4744-88C8-171F1B3B1592}" type="pres">
      <dgm:prSet presAssocID="{9E9B9E57-7D84-432D-90E6-A6C5054BA4D8}" presName="sibTrans" presStyleCnt="0"/>
      <dgm:spPr/>
    </dgm:pt>
    <dgm:pt modelId="{9F73F49A-C065-4BAB-ACCF-C653DC8365DB}" type="pres">
      <dgm:prSet presAssocID="{103FE1AA-DE8B-478F-BEEF-CD7C5E8E34EA}" presName="textNode" presStyleLbl="node1" presStyleIdx="2" presStyleCnt="3">
        <dgm:presLayoutVars>
          <dgm:bulletEnabled val="1"/>
        </dgm:presLayoutVars>
      </dgm:prSet>
      <dgm:spPr/>
      <dgm:t>
        <a:bodyPr/>
        <a:lstStyle/>
        <a:p>
          <a:endParaRPr lang="bg-BG"/>
        </a:p>
      </dgm:t>
    </dgm:pt>
  </dgm:ptLst>
  <dgm:cxnLst>
    <dgm:cxn modelId="{9C09DC13-FC2C-49E3-8B12-A779023C5748}" srcId="{270A2A3D-ED08-4CA5-8C28-65E0E1912221}" destId="{175572FD-DFBA-410C-A6C4-27520902B43A}" srcOrd="0" destOrd="0" parTransId="{F5DBDB31-A057-4C53-8F08-C4CE049F04B6}" sibTransId="{AFC4645E-BF37-479C-B7E1-EC1352ED50CC}"/>
    <dgm:cxn modelId="{A9362921-F416-4367-8EA6-758F98B95CBC}" type="presOf" srcId="{103FE1AA-DE8B-478F-BEEF-CD7C5E8E34EA}" destId="{9F73F49A-C065-4BAB-ACCF-C653DC8365DB}" srcOrd="0" destOrd="0" presId="urn:microsoft.com/office/officeart/2005/8/layout/hProcess9"/>
    <dgm:cxn modelId="{5D99D765-1B1E-4F31-B6D1-411EC72F0202}" type="presOf" srcId="{0707690F-75B2-4095-8CF1-C7DDF6678DEC}" destId="{0CAB4FDE-56A1-46B4-8D05-72E79C3D35B9}" srcOrd="0" destOrd="0" presId="urn:microsoft.com/office/officeart/2005/8/layout/hProcess9"/>
    <dgm:cxn modelId="{9B120450-D005-42E8-A53F-AB5D387FD264}" type="presOf" srcId="{175572FD-DFBA-410C-A6C4-27520902B43A}" destId="{A15AF902-CDB9-4A39-9342-B908D94E2DA9}" srcOrd="0" destOrd="0" presId="urn:microsoft.com/office/officeart/2005/8/layout/hProcess9"/>
    <dgm:cxn modelId="{650FE6DC-8C76-4E72-84B0-01ADE12A46CE}" srcId="{270A2A3D-ED08-4CA5-8C28-65E0E1912221}" destId="{0707690F-75B2-4095-8CF1-C7DDF6678DEC}" srcOrd="1" destOrd="0" parTransId="{A08F93A6-9DE4-41BF-8CA3-0AA3B0B69363}" sibTransId="{9E9B9E57-7D84-432D-90E6-A6C5054BA4D8}"/>
    <dgm:cxn modelId="{0762038D-5160-4A68-8463-7433B61C4188}" srcId="{270A2A3D-ED08-4CA5-8C28-65E0E1912221}" destId="{103FE1AA-DE8B-478F-BEEF-CD7C5E8E34EA}" srcOrd="2" destOrd="0" parTransId="{EFCEA657-6582-4572-9A7B-F103E2B4363D}" sibTransId="{9E9A3750-F6DF-41C1-90E1-432CF390C89D}"/>
    <dgm:cxn modelId="{2EC03BAB-338F-403D-A64A-2D7F8AC68250}" type="presOf" srcId="{270A2A3D-ED08-4CA5-8C28-65E0E1912221}" destId="{BA9EEF2E-2DC7-435A-8B7D-3B18FF295CFA}" srcOrd="0" destOrd="0" presId="urn:microsoft.com/office/officeart/2005/8/layout/hProcess9"/>
    <dgm:cxn modelId="{5ECB21EE-BA32-4CE4-BCF2-E6FE0C488B1E}" type="presParOf" srcId="{BA9EEF2E-2DC7-435A-8B7D-3B18FF295CFA}" destId="{4E58AD71-991A-489A-8642-7DEECC7BB175}" srcOrd="0" destOrd="0" presId="urn:microsoft.com/office/officeart/2005/8/layout/hProcess9"/>
    <dgm:cxn modelId="{05255926-F028-4437-8696-9EB745B106AB}" type="presParOf" srcId="{BA9EEF2E-2DC7-435A-8B7D-3B18FF295CFA}" destId="{83CCA9FF-148B-4653-958D-9A209C058682}" srcOrd="1" destOrd="0" presId="urn:microsoft.com/office/officeart/2005/8/layout/hProcess9"/>
    <dgm:cxn modelId="{E40E39CE-BA44-457C-93A7-5928D71502A1}" type="presParOf" srcId="{83CCA9FF-148B-4653-958D-9A209C058682}" destId="{A15AF902-CDB9-4A39-9342-B908D94E2DA9}" srcOrd="0" destOrd="0" presId="urn:microsoft.com/office/officeart/2005/8/layout/hProcess9"/>
    <dgm:cxn modelId="{A8961061-F992-4733-BB6B-664D761F725D}" type="presParOf" srcId="{83CCA9FF-148B-4653-958D-9A209C058682}" destId="{42C108AE-E131-4FFD-B8F5-9E5729A4A3FB}" srcOrd="1" destOrd="0" presId="urn:microsoft.com/office/officeart/2005/8/layout/hProcess9"/>
    <dgm:cxn modelId="{0AC02D4D-73D1-4D42-99AF-F1BFB61AE634}" type="presParOf" srcId="{83CCA9FF-148B-4653-958D-9A209C058682}" destId="{0CAB4FDE-56A1-46B4-8D05-72E79C3D35B9}" srcOrd="2" destOrd="0" presId="urn:microsoft.com/office/officeart/2005/8/layout/hProcess9"/>
    <dgm:cxn modelId="{36B563AB-8232-4D2A-A4AD-5E7D713A1FE9}" type="presParOf" srcId="{83CCA9FF-148B-4653-958D-9A209C058682}" destId="{FF85701F-08C8-4744-88C8-171F1B3B1592}" srcOrd="3" destOrd="0" presId="urn:microsoft.com/office/officeart/2005/8/layout/hProcess9"/>
    <dgm:cxn modelId="{B16354FD-7C1F-4DFE-A17E-7D2B1D9B735C}" type="presParOf" srcId="{83CCA9FF-148B-4653-958D-9A209C058682}" destId="{9F73F49A-C065-4BAB-ACCF-C653DC8365DB}" srcOrd="4" destOrd="0" presId="urn:microsoft.com/office/officeart/2005/8/layout/hProcess9"/>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3A32B9A-6962-4317-BEFC-F1D401E0D375}" type="doc">
      <dgm:prSet loTypeId="urn:microsoft.com/office/officeart/2005/8/layout/process4" loCatId="process" qsTypeId="urn:microsoft.com/office/officeart/2005/8/quickstyle/simple1" qsCatId="simple" csTypeId="urn:microsoft.com/office/officeart/2005/8/colors/colorful4" csCatId="colorful" phldr="1"/>
      <dgm:spPr/>
      <dgm:t>
        <a:bodyPr/>
        <a:lstStyle/>
        <a:p>
          <a:endParaRPr lang="bg-BG"/>
        </a:p>
      </dgm:t>
    </dgm:pt>
    <dgm:pt modelId="{E53DDB7E-93AA-4075-B0B8-EA4D35A984F2}">
      <dgm:prSet phldrT="[Text]" custT="1"/>
      <dgm:spPr>
        <a:xfrm rot="10800000">
          <a:off x="0" y="1980"/>
          <a:ext cx="5784591" cy="1607508"/>
        </a:xfrm>
        <a:solidFill>
          <a:srgbClr val="8064A2">
            <a:hueOff val="-4464770"/>
            <a:satOff val="26899"/>
            <a:lumOff val="2156"/>
            <a:alphaOff val="0"/>
          </a:srgbClr>
        </a:solidFill>
        <a:ln w="25400" cap="flat" cmpd="sng" algn="ctr">
          <a:solidFill>
            <a:sysClr val="window" lastClr="FFFFFF">
              <a:hueOff val="0"/>
              <a:satOff val="0"/>
              <a:lumOff val="0"/>
              <a:alphaOff val="0"/>
            </a:sysClr>
          </a:solidFill>
          <a:prstDash val="solid"/>
        </a:ln>
        <a:effectLst/>
      </dgm:spPr>
      <dgm:t>
        <a:bodyPr/>
        <a:lstStyle/>
        <a:p>
          <a:r>
            <a:rPr lang="bg-BG" sz="1400" b="1">
              <a:solidFill>
                <a:sysClr val="window" lastClr="FFFFFF"/>
              </a:solidFill>
              <a:latin typeface="Calibri"/>
              <a:ea typeface="+mn-ea"/>
              <a:cs typeface="+mn-cs"/>
            </a:rPr>
            <a:t>Пазарно предлагане</a:t>
          </a:r>
        </a:p>
      </dgm:t>
    </dgm:pt>
    <dgm:pt modelId="{D0DCDEB5-271F-4C2C-99A0-2F4EF4D0E19F}" type="parTrans" cxnId="{2161EFA0-F16E-48B4-B79A-3C8CD75DFC8A}">
      <dgm:prSet/>
      <dgm:spPr/>
      <dgm:t>
        <a:bodyPr/>
        <a:lstStyle/>
        <a:p>
          <a:endParaRPr lang="bg-BG" sz="800"/>
        </a:p>
      </dgm:t>
    </dgm:pt>
    <dgm:pt modelId="{EB8E63C1-3444-4625-8591-13873BC1B810}" type="sibTrans" cxnId="{2161EFA0-F16E-48B4-B79A-3C8CD75DFC8A}">
      <dgm:prSet/>
      <dgm:spPr/>
      <dgm:t>
        <a:bodyPr/>
        <a:lstStyle/>
        <a:p>
          <a:endParaRPr lang="bg-BG" sz="800"/>
        </a:p>
      </dgm:t>
    </dgm:pt>
    <dgm:pt modelId="{5A496740-5EB1-4083-87FA-8F6385CD5FED}">
      <dgm:prSet phldrT="[Text]" custT="1"/>
      <dgm:spPr>
        <a:xfrm>
          <a:off x="1157341" y="566215"/>
          <a:ext cx="1156635" cy="480645"/>
        </a:xfrm>
        <a:solidFill>
          <a:srgbClr val="8064A2">
            <a:tint val="40000"/>
            <a:alpha val="90000"/>
            <a:hueOff val="-2959279"/>
            <a:satOff val="16618"/>
            <a:lumOff val="1056"/>
            <a:alphaOff val="0"/>
          </a:srgbClr>
        </a:solidFill>
        <a:ln w="25400" cap="flat" cmpd="sng" algn="ctr">
          <a:solidFill>
            <a:srgbClr val="8064A2">
              <a:tint val="40000"/>
              <a:alpha val="90000"/>
              <a:hueOff val="-2959279"/>
              <a:satOff val="16618"/>
              <a:lumOff val="1056"/>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ЕИБ - държавно гарантирани заеми</a:t>
          </a:r>
        </a:p>
      </dgm:t>
    </dgm:pt>
    <dgm:pt modelId="{959E1704-D1D0-4D17-BD42-2986BA54CE2A}" type="parTrans" cxnId="{2E7C458E-0F64-4CFA-B3C4-35183B200A26}">
      <dgm:prSet/>
      <dgm:spPr/>
      <dgm:t>
        <a:bodyPr/>
        <a:lstStyle/>
        <a:p>
          <a:endParaRPr lang="bg-BG" sz="800"/>
        </a:p>
      </dgm:t>
    </dgm:pt>
    <dgm:pt modelId="{8B213B24-F528-4998-97D3-105894BF70B7}" type="sibTrans" cxnId="{2E7C458E-0F64-4CFA-B3C4-35183B200A26}">
      <dgm:prSet/>
      <dgm:spPr/>
      <dgm:t>
        <a:bodyPr/>
        <a:lstStyle/>
        <a:p>
          <a:endParaRPr lang="bg-BG" sz="800"/>
        </a:p>
      </dgm:t>
    </dgm:pt>
    <dgm:pt modelId="{37FFB657-CED4-4A13-908D-DDA8FA4EBBAF}">
      <dgm:prSet phldrT="[Text]" custT="1"/>
      <dgm:spPr>
        <a:xfrm rot="10800000">
          <a:off x="0" y="1593810"/>
          <a:ext cx="5784591" cy="1607508"/>
        </a:xfrm>
        <a:solidFill>
          <a:srgbClr val="8064A2">
            <a:hueOff val="-2976513"/>
            <a:satOff val="17933"/>
            <a:lumOff val="1437"/>
            <a:alphaOff val="0"/>
          </a:srgbClr>
        </a:solidFill>
        <a:ln w="25400" cap="flat" cmpd="sng" algn="ctr">
          <a:solidFill>
            <a:sysClr val="window" lastClr="FFFFFF">
              <a:hueOff val="0"/>
              <a:satOff val="0"/>
              <a:lumOff val="0"/>
              <a:alphaOff val="0"/>
            </a:sysClr>
          </a:solidFill>
          <a:prstDash val="solid"/>
        </a:ln>
        <a:effectLst/>
      </dgm:spPr>
      <dgm:t>
        <a:bodyPr/>
        <a:lstStyle/>
        <a:p>
          <a:r>
            <a:rPr lang="bg-BG" sz="1400" b="1">
              <a:solidFill>
                <a:sysClr val="window" lastClr="FFFFFF"/>
              </a:solidFill>
              <a:latin typeface="Calibri"/>
              <a:ea typeface="+mn-ea"/>
              <a:cs typeface="+mn-cs"/>
            </a:rPr>
            <a:t>Незадоволено търсене</a:t>
          </a:r>
        </a:p>
      </dgm:t>
    </dgm:pt>
    <dgm:pt modelId="{2827DB39-93FC-4B8E-BD68-A68EC29BE479}" type="parTrans" cxnId="{6D1952A7-FC0A-4F9A-A720-7CB02205B564}">
      <dgm:prSet/>
      <dgm:spPr/>
      <dgm:t>
        <a:bodyPr/>
        <a:lstStyle/>
        <a:p>
          <a:endParaRPr lang="bg-BG" sz="800"/>
        </a:p>
      </dgm:t>
    </dgm:pt>
    <dgm:pt modelId="{DD5ECDE1-4B17-4626-BA20-8B524D32CC8D}" type="sibTrans" cxnId="{6D1952A7-FC0A-4F9A-A720-7CB02205B564}">
      <dgm:prSet/>
      <dgm:spPr/>
      <dgm:t>
        <a:bodyPr/>
        <a:lstStyle/>
        <a:p>
          <a:endParaRPr lang="bg-BG" sz="800"/>
        </a:p>
      </dgm:t>
    </dgm:pt>
    <dgm:pt modelId="{8FE3D517-63D8-4B1F-9676-63FE38B796A9}">
      <dgm:prSet phldrT="[Text]" custT="1"/>
      <dgm:spPr>
        <a:xfrm rot="10800000">
          <a:off x="0" y="3185641"/>
          <a:ext cx="5784591" cy="1607508"/>
        </a:xfrm>
        <a:solidFill>
          <a:srgbClr val="8064A2">
            <a:hueOff val="-1488257"/>
            <a:satOff val="8966"/>
            <a:lumOff val="719"/>
            <a:alphaOff val="0"/>
          </a:srgbClr>
        </a:solidFill>
        <a:ln w="25400" cap="flat" cmpd="sng" algn="ctr">
          <a:solidFill>
            <a:sysClr val="window" lastClr="FFFFFF">
              <a:hueOff val="0"/>
              <a:satOff val="0"/>
              <a:lumOff val="0"/>
              <a:alphaOff val="0"/>
            </a:sysClr>
          </a:solidFill>
          <a:prstDash val="solid"/>
        </a:ln>
        <a:effectLst/>
      </dgm:spPr>
      <dgm:t>
        <a:bodyPr/>
        <a:lstStyle/>
        <a:p>
          <a:r>
            <a:rPr lang="bg-BG" sz="1400" b="1">
              <a:solidFill>
                <a:sysClr val="window" lastClr="FFFFFF"/>
              </a:solidFill>
              <a:latin typeface="Calibri"/>
              <a:ea typeface="+mn-ea"/>
              <a:cs typeface="+mn-cs"/>
            </a:rPr>
            <a:t>Причини</a:t>
          </a:r>
        </a:p>
      </dgm:t>
    </dgm:pt>
    <dgm:pt modelId="{65A40A06-65B5-4B43-8DB9-633C3E73E9D4}" type="parTrans" cxnId="{9DECD37C-5788-475D-917A-8BD76D57BE65}">
      <dgm:prSet/>
      <dgm:spPr/>
      <dgm:t>
        <a:bodyPr/>
        <a:lstStyle/>
        <a:p>
          <a:endParaRPr lang="bg-BG" sz="800"/>
        </a:p>
      </dgm:t>
    </dgm:pt>
    <dgm:pt modelId="{6FA61E24-319E-407A-8DB1-010ECAEB6374}" type="sibTrans" cxnId="{9DECD37C-5788-475D-917A-8BD76D57BE65}">
      <dgm:prSet/>
      <dgm:spPr/>
      <dgm:t>
        <a:bodyPr/>
        <a:lstStyle/>
        <a:p>
          <a:endParaRPr lang="bg-BG" sz="800"/>
        </a:p>
      </dgm:t>
    </dgm:pt>
    <dgm:pt modelId="{542E910C-CE15-4C1D-B944-6488D74520F9}">
      <dgm:prSet phldrT="[Text]" custT="1"/>
      <dgm:spPr>
        <a:xfrm>
          <a:off x="0" y="3749877"/>
          <a:ext cx="1446147" cy="480645"/>
        </a:xfrm>
        <a:solidFill>
          <a:srgbClr val="8064A2">
            <a:tint val="40000"/>
            <a:alpha val="90000"/>
            <a:hueOff val="0"/>
            <a:satOff val="0"/>
            <a:lumOff val="0"/>
            <a:alphaOff val="0"/>
          </a:srgbClr>
        </a:solidFill>
        <a:ln w="25400" cap="flat" cmpd="sng" algn="ctr">
          <a:solidFill>
            <a:srgbClr val="8064A2">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Неефективно регулиране на ВиК сектора</a:t>
          </a:r>
        </a:p>
      </dgm:t>
    </dgm:pt>
    <dgm:pt modelId="{43E127A5-EC8A-4C46-9E45-9DD7360A7A7F}" type="parTrans" cxnId="{0EC95321-07E3-4FBA-8A3E-EE5772CED3B5}">
      <dgm:prSet/>
      <dgm:spPr/>
      <dgm:t>
        <a:bodyPr/>
        <a:lstStyle/>
        <a:p>
          <a:endParaRPr lang="bg-BG" sz="800"/>
        </a:p>
      </dgm:t>
    </dgm:pt>
    <dgm:pt modelId="{04FAAB40-6491-4B39-8B60-0C3D4D1F68A2}" type="sibTrans" cxnId="{0EC95321-07E3-4FBA-8A3E-EE5772CED3B5}">
      <dgm:prSet/>
      <dgm:spPr/>
      <dgm:t>
        <a:bodyPr/>
        <a:lstStyle/>
        <a:p>
          <a:endParaRPr lang="bg-BG" sz="800"/>
        </a:p>
      </dgm:t>
    </dgm:pt>
    <dgm:pt modelId="{CF90A33D-C2B7-46EE-BF62-BD362828311C}">
      <dgm:prSet phldrT="[Text]" custT="1"/>
      <dgm:spPr>
        <a:xfrm>
          <a:off x="2313977" y="566215"/>
          <a:ext cx="1156635" cy="480645"/>
        </a:xfrm>
        <a:solidFill>
          <a:srgbClr val="8064A2">
            <a:tint val="40000"/>
            <a:alpha val="90000"/>
            <a:hueOff val="-3288088"/>
            <a:satOff val="18464"/>
            <a:lumOff val="1173"/>
            <a:alphaOff val="0"/>
          </a:srgbClr>
        </a:solidFill>
        <a:ln w="25400" cap="flat" cmpd="sng" algn="ctr">
          <a:solidFill>
            <a:srgbClr val="8064A2">
              <a:tint val="40000"/>
              <a:alpha val="90000"/>
              <a:hueOff val="-3288088"/>
              <a:satOff val="18464"/>
              <a:lumOff val="1173"/>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ЕБВР - директни заеми за  ВиК дружествата, които пряко събират таксите от ВиК услугите</a:t>
          </a:r>
        </a:p>
      </dgm:t>
    </dgm:pt>
    <dgm:pt modelId="{3531F59F-D374-49DE-B221-5697E3ECF197}" type="parTrans" cxnId="{9344E6B6-AF37-4F63-8B3C-3DFE74A03735}">
      <dgm:prSet/>
      <dgm:spPr/>
      <dgm:t>
        <a:bodyPr/>
        <a:lstStyle/>
        <a:p>
          <a:endParaRPr lang="bg-BG" sz="800"/>
        </a:p>
      </dgm:t>
    </dgm:pt>
    <dgm:pt modelId="{3AEC46A1-3B91-49A0-B394-D8828B79C543}" type="sibTrans" cxnId="{9344E6B6-AF37-4F63-8B3C-3DFE74A03735}">
      <dgm:prSet/>
      <dgm:spPr/>
      <dgm:t>
        <a:bodyPr/>
        <a:lstStyle/>
        <a:p>
          <a:endParaRPr lang="bg-BG" sz="800"/>
        </a:p>
      </dgm:t>
    </dgm:pt>
    <dgm:pt modelId="{5759EE38-CC64-44F0-9FE0-A42FB34618A8}">
      <dgm:prSet phldrT="[Text]" custT="1"/>
      <dgm:spPr>
        <a:xfrm>
          <a:off x="3470613" y="566215"/>
          <a:ext cx="1156635" cy="480645"/>
        </a:xfrm>
        <a:solidFill>
          <a:srgbClr val="8064A2">
            <a:tint val="40000"/>
            <a:alpha val="90000"/>
            <a:hueOff val="-3616897"/>
            <a:satOff val="20311"/>
            <a:lumOff val="1291"/>
            <a:alphaOff val="0"/>
          </a:srgbClr>
        </a:solidFill>
        <a:ln w="25400" cap="flat" cmpd="sng" algn="ctr">
          <a:solidFill>
            <a:srgbClr val="8064A2">
              <a:tint val="40000"/>
              <a:alpha val="90000"/>
              <a:hueOff val="-3616897"/>
              <a:satOff val="20311"/>
              <a:lumOff val="1291"/>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Фонд ФЛАГ  - заеми за съфинансиране и мостово финансиране</a:t>
          </a:r>
        </a:p>
      </dgm:t>
    </dgm:pt>
    <dgm:pt modelId="{13C712A2-878E-428B-A26B-1A096B704504}" type="parTrans" cxnId="{254C6BDB-28D9-498D-B680-1AACF49DB023}">
      <dgm:prSet/>
      <dgm:spPr/>
      <dgm:t>
        <a:bodyPr/>
        <a:lstStyle/>
        <a:p>
          <a:endParaRPr lang="bg-BG" sz="800"/>
        </a:p>
      </dgm:t>
    </dgm:pt>
    <dgm:pt modelId="{80E55F33-A201-4DAC-9710-58142EC0C13F}" type="sibTrans" cxnId="{254C6BDB-28D9-498D-B680-1AACF49DB023}">
      <dgm:prSet/>
      <dgm:spPr/>
      <dgm:t>
        <a:bodyPr/>
        <a:lstStyle/>
        <a:p>
          <a:endParaRPr lang="bg-BG" sz="800"/>
        </a:p>
      </dgm:t>
    </dgm:pt>
    <dgm:pt modelId="{AAA98193-880F-43F9-9BF8-419C5D95A49C}">
      <dgm:prSet phldrT="[Text]" custT="1"/>
      <dgm:spPr>
        <a:xfrm>
          <a:off x="4627249" y="566215"/>
          <a:ext cx="1156635" cy="480645"/>
        </a:xfrm>
        <a:solidFill>
          <a:srgbClr val="8064A2">
            <a:tint val="40000"/>
            <a:alpha val="90000"/>
            <a:hueOff val="-3945706"/>
            <a:satOff val="22157"/>
            <a:lumOff val="1408"/>
            <a:alphaOff val="0"/>
          </a:srgbClr>
        </a:solidFill>
        <a:ln w="25400" cap="flat" cmpd="sng" algn="ctr">
          <a:solidFill>
            <a:srgbClr val="8064A2">
              <a:tint val="40000"/>
              <a:alpha val="90000"/>
              <a:hueOff val="-3945706"/>
              <a:satOff val="22157"/>
              <a:lumOff val="1408"/>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ПУДООС - безлихвени заеми за мостово финансиране</a:t>
          </a:r>
        </a:p>
      </dgm:t>
    </dgm:pt>
    <dgm:pt modelId="{1524E92D-4353-4C40-BA21-B80D4E0A67DD}" type="parTrans" cxnId="{8DA06BC8-C155-47AC-B04D-81ACC838A358}">
      <dgm:prSet/>
      <dgm:spPr/>
      <dgm:t>
        <a:bodyPr/>
        <a:lstStyle/>
        <a:p>
          <a:endParaRPr lang="bg-BG" sz="800"/>
        </a:p>
      </dgm:t>
    </dgm:pt>
    <dgm:pt modelId="{031C4BCB-DBDC-46F0-816F-EF92B1BD9DA6}" type="sibTrans" cxnId="{8DA06BC8-C155-47AC-B04D-81ACC838A358}">
      <dgm:prSet/>
      <dgm:spPr/>
      <dgm:t>
        <a:bodyPr/>
        <a:lstStyle/>
        <a:p>
          <a:endParaRPr lang="bg-BG" sz="800"/>
        </a:p>
      </dgm:t>
    </dgm:pt>
    <dgm:pt modelId="{1C127B52-5A5E-44DF-B32D-90640BC7BBA3}">
      <dgm:prSet phldrT="[Text]" custT="1"/>
      <dgm:spPr>
        <a:xfrm>
          <a:off x="0" y="2158046"/>
          <a:ext cx="1446147" cy="480645"/>
        </a:xfrm>
        <a:solidFill>
          <a:srgbClr val="8064A2">
            <a:tint val="40000"/>
            <a:alpha val="90000"/>
            <a:hueOff val="-1315235"/>
            <a:satOff val="7386"/>
            <a:lumOff val="469"/>
            <a:alphaOff val="0"/>
          </a:srgbClr>
        </a:solidFill>
        <a:ln w="25400" cap="flat" cmpd="sng" algn="ctr">
          <a:solidFill>
            <a:srgbClr val="8064A2">
              <a:tint val="40000"/>
              <a:alpha val="90000"/>
              <a:hueOff val="-1315235"/>
              <a:satOff val="7386"/>
              <a:lumOff val="469"/>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Различни стимули за ползвателите на ВиК услуги</a:t>
          </a:r>
        </a:p>
      </dgm:t>
    </dgm:pt>
    <dgm:pt modelId="{684060F2-1761-469B-B519-531225632DBB}" type="parTrans" cxnId="{FE88C1E0-F73E-4588-A4EA-C8AD8EBD612B}">
      <dgm:prSet/>
      <dgm:spPr/>
      <dgm:t>
        <a:bodyPr/>
        <a:lstStyle/>
        <a:p>
          <a:endParaRPr lang="bg-BG" sz="800"/>
        </a:p>
      </dgm:t>
    </dgm:pt>
    <dgm:pt modelId="{DE4C197A-C065-4834-8F6D-AE2413B144A3}" type="sibTrans" cxnId="{FE88C1E0-F73E-4588-A4EA-C8AD8EBD612B}">
      <dgm:prSet/>
      <dgm:spPr/>
      <dgm:t>
        <a:bodyPr/>
        <a:lstStyle/>
        <a:p>
          <a:endParaRPr lang="bg-BG" sz="800"/>
        </a:p>
      </dgm:t>
    </dgm:pt>
    <dgm:pt modelId="{2C3114A5-BF95-4C49-9BE2-C5BE29DFEE3B}">
      <dgm:prSet phldrT="[Text]" custT="1"/>
      <dgm:spPr>
        <a:xfrm>
          <a:off x="1446147" y="2158046"/>
          <a:ext cx="1446147" cy="480645"/>
        </a:xfrm>
        <a:solidFill>
          <a:srgbClr val="8064A2">
            <a:tint val="40000"/>
            <a:alpha val="90000"/>
            <a:hueOff val="-1644044"/>
            <a:satOff val="9232"/>
            <a:lumOff val="587"/>
            <a:alphaOff val="0"/>
          </a:srgbClr>
        </a:solidFill>
        <a:ln w="25400" cap="flat" cmpd="sng" algn="ctr">
          <a:solidFill>
            <a:srgbClr val="8064A2">
              <a:tint val="40000"/>
              <a:alpha val="90000"/>
              <a:hueOff val="-1644044"/>
              <a:satOff val="9232"/>
              <a:lumOff val="587"/>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Недостатъчно готови инвестиционни проекти</a:t>
          </a:r>
        </a:p>
      </dgm:t>
    </dgm:pt>
    <dgm:pt modelId="{74D400A1-F863-4CCB-A276-5ED87D16EC48}" type="parTrans" cxnId="{973693FE-C1E4-4751-A645-2167A0145604}">
      <dgm:prSet/>
      <dgm:spPr/>
      <dgm:t>
        <a:bodyPr/>
        <a:lstStyle/>
        <a:p>
          <a:endParaRPr lang="bg-BG" sz="800"/>
        </a:p>
      </dgm:t>
    </dgm:pt>
    <dgm:pt modelId="{6B637766-AB69-4F47-8B12-F70276E1C352}" type="sibTrans" cxnId="{973693FE-C1E4-4751-A645-2167A0145604}">
      <dgm:prSet/>
      <dgm:spPr/>
      <dgm:t>
        <a:bodyPr/>
        <a:lstStyle/>
        <a:p>
          <a:endParaRPr lang="bg-BG" sz="800"/>
        </a:p>
      </dgm:t>
    </dgm:pt>
    <dgm:pt modelId="{340AFF3C-C592-4F02-A8AF-6CC590316EFF}">
      <dgm:prSet phldrT="[Text]" custT="1"/>
      <dgm:spPr>
        <a:xfrm>
          <a:off x="2892295" y="2158046"/>
          <a:ext cx="1446147" cy="480645"/>
        </a:xfrm>
        <a:solidFill>
          <a:srgbClr val="8064A2">
            <a:tint val="40000"/>
            <a:alpha val="90000"/>
            <a:hueOff val="-1972853"/>
            <a:satOff val="11079"/>
            <a:lumOff val="704"/>
            <a:alphaOff val="0"/>
          </a:srgbClr>
        </a:solidFill>
        <a:ln w="25400" cap="flat" cmpd="sng" algn="ctr">
          <a:solidFill>
            <a:srgbClr val="8064A2">
              <a:tint val="40000"/>
              <a:alpha val="90000"/>
              <a:hueOff val="-1972853"/>
              <a:satOff val="11079"/>
              <a:lumOff val="704"/>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Ограничен достъп до подходящо финансиране</a:t>
          </a:r>
        </a:p>
      </dgm:t>
    </dgm:pt>
    <dgm:pt modelId="{EAFEFA31-F61D-49CF-A5AA-DBB77BD0E289}" type="parTrans" cxnId="{3A664E80-03AE-4066-8CB6-316875C1D11B}">
      <dgm:prSet/>
      <dgm:spPr/>
      <dgm:t>
        <a:bodyPr/>
        <a:lstStyle/>
        <a:p>
          <a:endParaRPr lang="bg-BG" sz="800"/>
        </a:p>
      </dgm:t>
    </dgm:pt>
    <dgm:pt modelId="{D4AD38AD-B868-43D6-993B-98DE551ED3B2}" type="sibTrans" cxnId="{3A664E80-03AE-4066-8CB6-316875C1D11B}">
      <dgm:prSet/>
      <dgm:spPr/>
      <dgm:t>
        <a:bodyPr/>
        <a:lstStyle/>
        <a:p>
          <a:endParaRPr lang="bg-BG" sz="800"/>
        </a:p>
      </dgm:t>
    </dgm:pt>
    <dgm:pt modelId="{118AC32E-D0A9-471E-8805-A990622D67B2}">
      <dgm:prSet phldrT="[Text]" custT="1"/>
      <dgm:spPr>
        <a:xfrm>
          <a:off x="4338443" y="2158046"/>
          <a:ext cx="1446147" cy="480645"/>
        </a:xfrm>
        <a:solidFill>
          <a:srgbClr val="8064A2">
            <a:tint val="40000"/>
            <a:alpha val="90000"/>
            <a:hueOff val="-2301662"/>
            <a:satOff val="12925"/>
            <a:lumOff val="821"/>
            <a:alphaOff val="0"/>
          </a:srgbClr>
        </a:solidFill>
        <a:ln w="25400" cap="flat" cmpd="sng" algn="ctr">
          <a:solidFill>
            <a:srgbClr val="8064A2">
              <a:tint val="40000"/>
              <a:alpha val="90000"/>
              <a:hueOff val="-2301662"/>
              <a:satOff val="12925"/>
              <a:lumOff val="821"/>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Липса на капацитет или недостатъчно опит при управление на проектно финансиране</a:t>
          </a:r>
        </a:p>
      </dgm:t>
    </dgm:pt>
    <dgm:pt modelId="{4A77808B-B795-43AB-8368-C202FB0C2139}" type="parTrans" cxnId="{432F3A0F-F87C-495B-8393-1F83CD176A55}">
      <dgm:prSet/>
      <dgm:spPr/>
      <dgm:t>
        <a:bodyPr/>
        <a:lstStyle/>
        <a:p>
          <a:endParaRPr lang="bg-BG" sz="800"/>
        </a:p>
      </dgm:t>
    </dgm:pt>
    <dgm:pt modelId="{9F11B96C-CB6E-4200-8F70-4DD5F709BF17}" type="sibTrans" cxnId="{432F3A0F-F87C-495B-8393-1F83CD176A55}">
      <dgm:prSet/>
      <dgm:spPr/>
      <dgm:t>
        <a:bodyPr/>
        <a:lstStyle/>
        <a:p>
          <a:endParaRPr lang="bg-BG" sz="800"/>
        </a:p>
      </dgm:t>
    </dgm:pt>
    <dgm:pt modelId="{CEC3B090-0220-456B-BB4E-FC20F05FA341}">
      <dgm:prSet phldrT="[Text]" custT="1"/>
      <dgm:spPr>
        <a:xfrm>
          <a:off x="2892295" y="3749877"/>
          <a:ext cx="1446147" cy="480645"/>
        </a:xfrm>
        <a:solidFill>
          <a:srgbClr val="8064A2">
            <a:tint val="40000"/>
            <a:alpha val="90000"/>
            <a:hueOff val="-657618"/>
            <a:satOff val="3693"/>
            <a:lumOff val="235"/>
            <a:alphaOff val="0"/>
          </a:srgbClr>
        </a:solidFill>
        <a:ln w="25400" cap="flat" cmpd="sng" algn="ctr">
          <a:solidFill>
            <a:srgbClr val="8064A2">
              <a:tint val="40000"/>
              <a:alpha val="90000"/>
              <a:hueOff val="-657618"/>
              <a:satOff val="3693"/>
              <a:lumOff val="235"/>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Липса на опит в прилагането на ФИ</a:t>
          </a:r>
        </a:p>
      </dgm:t>
    </dgm:pt>
    <dgm:pt modelId="{3FA36221-CA4C-409B-A53E-53DC8FF496E0}" type="parTrans" cxnId="{E987C31B-0AF5-4326-9CD1-BAFB90F891C4}">
      <dgm:prSet/>
      <dgm:spPr/>
      <dgm:t>
        <a:bodyPr/>
        <a:lstStyle/>
        <a:p>
          <a:endParaRPr lang="bg-BG" sz="800"/>
        </a:p>
      </dgm:t>
    </dgm:pt>
    <dgm:pt modelId="{376A2D56-5114-4ABD-8224-BEA4ECC17E21}" type="sibTrans" cxnId="{E987C31B-0AF5-4326-9CD1-BAFB90F891C4}">
      <dgm:prSet/>
      <dgm:spPr/>
      <dgm:t>
        <a:bodyPr/>
        <a:lstStyle/>
        <a:p>
          <a:endParaRPr lang="bg-BG" sz="800"/>
        </a:p>
      </dgm:t>
    </dgm:pt>
    <dgm:pt modelId="{47D2FEB9-4B4F-49FF-B027-39AEA80309C4}">
      <dgm:prSet phldrT="[Text]" custT="1"/>
      <dgm:spPr>
        <a:xfrm>
          <a:off x="4338443" y="3749877"/>
          <a:ext cx="1446147" cy="480645"/>
        </a:xfrm>
        <a:solidFill>
          <a:srgbClr val="8064A2">
            <a:tint val="40000"/>
            <a:alpha val="90000"/>
            <a:hueOff val="-986426"/>
            <a:satOff val="5539"/>
            <a:lumOff val="352"/>
            <a:alphaOff val="0"/>
          </a:srgbClr>
        </a:solidFill>
        <a:ln w="25400" cap="flat" cmpd="sng" algn="ctr">
          <a:solidFill>
            <a:srgbClr val="8064A2">
              <a:tint val="40000"/>
              <a:alpha val="90000"/>
              <a:hueOff val="-986426"/>
              <a:satOff val="5539"/>
              <a:lumOff val="352"/>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Публични услуги с голям размер на първоначалните инвестиции и дълъг период на изплащане</a:t>
          </a:r>
        </a:p>
      </dgm:t>
    </dgm:pt>
    <dgm:pt modelId="{92992FE8-0F35-468D-8213-975A7FBF78C1}" type="parTrans" cxnId="{755BBB5C-2228-416A-8DD8-AE7D3983656B}">
      <dgm:prSet/>
      <dgm:spPr/>
      <dgm:t>
        <a:bodyPr/>
        <a:lstStyle/>
        <a:p>
          <a:endParaRPr lang="bg-BG" sz="800"/>
        </a:p>
      </dgm:t>
    </dgm:pt>
    <dgm:pt modelId="{BDBAE3E5-DBA0-4A0B-8D5C-AEFB48695E0A}" type="sibTrans" cxnId="{755BBB5C-2228-416A-8DD8-AE7D3983656B}">
      <dgm:prSet/>
      <dgm:spPr/>
      <dgm:t>
        <a:bodyPr/>
        <a:lstStyle/>
        <a:p>
          <a:endParaRPr lang="bg-BG" sz="800"/>
        </a:p>
      </dgm:t>
    </dgm:pt>
    <dgm:pt modelId="{065455D4-C36A-4555-8E2D-C5608BB33B0D}">
      <dgm:prSet phldrT="[Text]" custT="1"/>
      <dgm:spPr>
        <a:xfrm>
          <a:off x="1446147" y="3749877"/>
          <a:ext cx="1446147" cy="480645"/>
        </a:xfrm>
        <a:solidFill>
          <a:srgbClr val="8064A2">
            <a:tint val="40000"/>
            <a:alpha val="90000"/>
            <a:hueOff val="-328809"/>
            <a:satOff val="1846"/>
            <a:lumOff val="117"/>
            <a:alphaOff val="0"/>
          </a:srgbClr>
        </a:solidFill>
        <a:ln w="25400" cap="flat" cmpd="sng" algn="ctr">
          <a:solidFill>
            <a:srgbClr val="8064A2">
              <a:tint val="40000"/>
              <a:alpha val="90000"/>
              <a:hueOff val="-328809"/>
              <a:satOff val="1846"/>
              <a:lumOff val="117"/>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Бавен процес на реформиране на ВиК сектора </a:t>
          </a:r>
        </a:p>
      </dgm:t>
    </dgm:pt>
    <dgm:pt modelId="{79DC7543-8AE5-44E0-91F9-2885F0F82B31}" type="parTrans" cxnId="{D0D4D4AF-76D0-4768-960E-072FDB0EBDC1}">
      <dgm:prSet/>
      <dgm:spPr/>
      <dgm:t>
        <a:bodyPr/>
        <a:lstStyle/>
        <a:p>
          <a:endParaRPr lang="bg-BG" sz="800"/>
        </a:p>
      </dgm:t>
    </dgm:pt>
    <dgm:pt modelId="{A426E2B2-A582-4AF0-98EF-6C4589AB91DB}" type="sibTrans" cxnId="{D0D4D4AF-76D0-4768-960E-072FDB0EBDC1}">
      <dgm:prSet/>
      <dgm:spPr/>
      <dgm:t>
        <a:bodyPr/>
        <a:lstStyle/>
        <a:p>
          <a:endParaRPr lang="bg-BG" sz="800"/>
        </a:p>
      </dgm:t>
    </dgm:pt>
    <dgm:pt modelId="{5C38F257-5BDE-490D-BB02-9B69CE6776A2}">
      <dgm:prSet phldrT="[Text]" custT="1"/>
      <dgm:spPr>
        <a:xfrm>
          <a:off x="706" y="566215"/>
          <a:ext cx="1156635" cy="480645"/>
        </a:xfrm>
        <a:solidFill>
          <a:srgbClr val="8064A2">
            <a:tint val="40000"/>
            <a:alpha val="90000"/>
            <a:hueOff val="-2630471"/>
            <a:satOff val="14771"/>
            <a:lumOff val="939"/>
            <a:alphaOff val="0"/>
          </a:srgbClr>
        </a:solidFill>
        <a:ln w="25400" cap="flat" cmpd="sng" algn="ctr">
          <a:solidFill>
            <a:srgbClr val="8064A2">
              <a:tint val="40000"/>
              <a:alpha val="90000"/>
              <a:hueOff val="-2630471"/>
              <a:satOff val="14771"/>
              <a:lumOff val="939"/>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Безвъзмездна финансова помощ от ЕС</a:t>
          </a:r>
        </a:p>
      </dgm:t>
    </dgm:pt>
    <dgm:pt modelId="{E6DF9940-C4A9-4988-8EA3-F5E0EB320E77}" type="parTrans" cxnId="{F2709ED8-333B-414D-9DAD-BB2B2E55FE52}">
      <dgm:prSet/>
      <dgm:spPr/>
      <dgm:t>
        <a:bodyPr/>
        <a:lstStyle/>
        <a:p>
          <a:endParaRPr lang="bg-BG" sz="800"/>
        </a:p>
      </dgm:t>
    </dgm:pt>
    <dgm:pt modelId="{A11C0D9D-0707-416D-9203-D8EAB34207C6}" type="sibTrans" cxnId="{F2709ED8-333B-414D-9DAD-BB2B2E55FE52}">
      <dgm:prSet/>
      <dgm:spPr/>
      <dgm:t>
        <a:bodyPr/>
        <a:lstStyle/>
        <a:p>
          <a:endParaRPr lang="bg-BG" sz="800"/>
        </a:p>
      </dgm:t>
    </dgm:pt>
    <dgm:pt modelId="{02381903-F41F-479D-BFB8-3A24DD69920F}">
      <dgm:prSet phldrT="[Text]" custT="1"/>
      <dgm:spPr>
        <a:xfrm>
          <a:off x="0" y="4777472"/>
          <a:ext cx="5784591" cy="1045194"/>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400" b="1">
              <a:solidFill>
                <a:sysClr val="window" lastClr="FFFFFF"/>
              </a:solidFill>
              <a:latin typeface="Calibri"/>
              <a:ea typeface="+mn-ea"/>
              <a:cs typeface="+mn-cs"/>
            </a:rPr>
            <a:t>Пазарен неуспех и неоптимална инвестиционна ситуация</a:t>
          </a:r>
        </a:p>
      </dgm:t>
    </dgm:pt>
    <dgm:pt modelId="{3D55B492-4205-4249-A8D7-EB00690ADEC2}" type="parTrans" cxnId="{0D1054DB-7C16-48D8-BDB1-7C5BF3926298}">
      <dgm:prSet/>
      <dgm:spPr/>
      <dgm:t>
        <a:bodyPr/>
        <a:lstStyle/>
        <a:p>
          <a:endParaRPr lang="bg-BG" sz="800"/>
        </a:p>
      </dgm:t>
    </dgm:pt>
    <dgm:pt modelId="{532BFF79-472C-4A41-BB4E-3C2780FC13A8}" type="sibTrans" cxnId="{0D1054DB-7C16-48D8-BDB1-7C5BF3926298}">
      <dgm:prSet/>
      <dgm:spPr/>
      <dgm:t>
        <a:bodyPr/>
        <a:lstStyle/>
        <a:p>
          <a:endParaRPr lang="bg-BG" sz="800"/>
        </a:p>
      </dgm:t>
    </dgm:pt>
    <dgm:pt modelId="{494095AF-317D-4F20-B487-B3181608C0B6}" type="pres">
      <dgm:prSet presAssocID="{23A32B9A-6962-4317-BEFC-F1D401E0D375}" presName="Name0" presStyleCnt="0">
        <dgm:presLayoutVars>
          <dgm:dir/>
          <dgm:animLvl val="lvl"/>
          <dgm:resizeHandles val="exact"/>
        </dgm:presLayoutVars>
      </dgm:prSet>
      <dgm:spPr/>
      <dgm:t>
        <a:bodyPr/>
        <a:lstStyle/>
        <a:p>
          <a:endParaRPr lang="bg-BG"/>
        </a:p>
      </dgm:t>
    </dgm:pt>
    <dgm:pt modelId="{59F4EF3D-B1DA-494B-A6D8-C50C32A13B2D}" type="pres">
      <dgm:prSet presAssocID="{02381903-F41F-479D-BFB8-3A24DD69920F}" presName="boxAndChildren" presStyleCnt="0"/>
      <dgm:spPr/>
    </dgm:pt>
    <dgm:pt modelId="{9D9DD7BF-75FD-40D4-9014-42F8D09A0CD1}" type="pres">
      <dgm:prSet presAssocID="{02381903-F41F-479D-BFB8-3A24DD69920F}" presName="parentTextBox" presStyleLbl="node1" presStyleIdx="0" presStyleCnt="4"/>
      <dgm:spPr>
        <a:prstGeom prst="rect">
          <a:avLst/>
        </a:prstGeom>
      </dgm:spPr>
      <dgm:t>
        <a:bodyPr/>
        <a:lstStyle/>
        <a:p>
          <a:endParaRPr lang="bg-BG"/>
        </a:p>
      </dgm:t>
    </dgm:pt>
    <dgm:pt modelId="{59771051-46E6-44BE-B0CC-1DF7077AF402}" type="pres">
      <dgm:prSet presAssocID="{6FA61E24-319E-407A-8DB1-010ECAEB6374}" presName="sp" presStyleCnt="0"/>
      <dgm:spPr/>
    </dgm:pt>
    <dgm:pt modelId="{C586E322-0248-43B1-A464-B85CE7AD1FC3}" type="pres">
      <dgm:prSet presAssocID="{8FE3D517-63D8-4B1F-9676-63FE38B796A9}" presName="arrowAndChildren" presStyleCnt="0"/>
      <dgm:spPr/>
    </dgm:pt>
    <dgm:pt modelId="{FAD3FB79-2198-4431-B827-B06673D3DC69}" type="pres">
      <dgm:prSet presAssocID="{8FE3D517-63D8-4B1F-9676-63FE38B796A9}" presName="parentTextArrow" presStyleLbl="node1" presStyleIdx="0" presStyleCnt="4"/>
      <dgm:spPr>
        <a:prstGeom prst="upArrowCallout">
          <a:avLst/>
        </a:prstGeom>
      </dgm:spPr>
      <dgm:t>
        <a:bodyPr/>
        <a:lstStyle/>
        <a:p>
          <a:endParaRPr lang="bg-BG"/>
        </a:p>
      </dgm:t>
    </dgm:pt>
    <dgm:pt modelId="{44553E6B-8AD2-46BC-9BE6-B66976392FD9}" type="pres">
      <dgm:prSet presAssocID="{8FE3D517-63D8-4B1F-9676-63FE38B796A9}" presName="arrow" presStyleLbl="node1" presStyleIdx="1" presStyleCnt="4"/>
      <dgm:spPr/>
      <dgm:t>
        <a:bodyPr/>
        <a:lstStyle/>
        <a:p>
          <a:endParaRPr lang="bg-BG"/>
        </a:p>
      </dgm:t>
    </dgm:pt>
    <dgm:pt modelId="{78A3E087-66CC-4B77-8AED-0CF1DC2BEE3B}" type="pres">
      <dgm:prSet presAssocID="{8FE3D517-63D8-4B1F-9676-63FE38B796A9}" presName="descendantArrow" presStyleCnt="0"/>
      <dgm:spPr/>
    </dgm:pt>
    <dgm:pt modelId="{2A144D04-B277-47AF-BCC5-C0E7523254BF}" type="pres">
      <dgm:prSet presAssocID="{542E910C-CE15-4C1D-B944-6488D74520F9}" presName="childTextArrow" presStyleLbl="fgAccFollowNode1" presStyleIdx="0" presStyleCnt="13">
        <dgm:presLayoutVars>
          <dgm:bulletEnabled val="1"/>
        </dgm:presLayoutVars>
      </dgm:prSet>
      <dgm:spPr>
        <a:prstGeom prst="rect">
          <a:avLst/>
        </a:prstGeom>
      </dgm:spPr>
      <dgm:t>
        <a:bodyPr/>
        <a:lstStyle/>
        <a:p>
          <a:endParaRPr lang="bg-BG"/>
        </a:p>
      </dgm:t>
    </dgm:pt>
    <dgm:pt modelId="{50EC5608-D5C1-4313-81C2-26E0FFD6064F}" type="pres">
      <dgm:prSet presAssocID="{065455D4-C36A-4555-8E2D-C5608BB33B0D}" presName="childTextArrow" presStyleLbl="fgAccFollowNode1" presStyleIdx="1" presStyleCnt="13">
        <dgm:presLayoutVars>
          <dgm:bulletEnabled val="1"/>
        </dgm:presLayoutVars>
      </dgm:prSet>
      <dgm:spPr>
        <a:prstGeom prst="rect">
          <a:avLst/>
        </a:prstGeom>
      </dgm:spPr>
      <dgm:t>
        <a:bodyPr/>
        <a:lstStyle/>
        <a:p>
          <a:endParaRPr lang="bg-BG"/>
        </a:p>
      </dgm:t>
    </dgm:pt>
    <dgm:pt modelId="{6001BEED-1C08-43C4-AFE3-9330D26A6EB9}" type="pres">
      <dgm:prSet presAssocID="{CEC3B090-0220-456B-BB4E-FC20F05FA341}" presName="childTextArrow" presStyleLbl="fgAccFollowNode1" presStyleIdx="2" presStyleCnt="13">
        <dgm:presLayoutVars>
          <dgm:bulletEnabled val="1"/>
        </dgm:presLayoutVars>
      </dgm:prSet>
      <dgm:spPr>
        <a:prstGeom prst="rect">
          <a:avLst/>
        </a:prstGeom>
      </dgm:spPr>
      <dgm:t>
        <a:bodyPr/>
        <a:lstStyle/>
        <a:p>
          <a:endParaRPr lang="bg-BG"/>
        </a:p>
      </dgm:t>
    </dgm:pt>
    <dgm:pt modelId="{DEF3529B-8B25-4E49-8ACC-3C475A80A60A}" type="pres">
      <dgm:prSet presAssocID="{47D2FEB9-4B4F-49FF-B027-39AEA80309C4}" presName="childTextArrow" presStyleLbl="fgAccFollowNode1" presStyleIdx="3" presStyleCnt="13">
        <dgm:presLayoutVars>
          <dgm:bulletEnabled val="1"/>
        </dgm:presLayoutVars>
      </dgm:prSet>
      <dgm:spPr>
        <a:prstGeom prst="rect">
          <a:avLst/>
        </a:prstGeom>
      </dgm:spPr>
      <dgm:t>
        <a:bodyPr/>
        <a:lstStyle/>
        <a:p>
          <a:endParaRPr lang="bg-BG"/>
        </a:p>
      </dgm:t>
    </dgm:pt>
    <dgm:pt modelId="{FF8DD1BE-14BC-4139-871D-56D86C65C004}" type="pres">
      <dgm:prSet presAssocID="{DD5ECDE1-4B17-4626-BA20-8B524D32CC8D}" presName="sp" presStyleCnt="0"/>
      <dgm:spPr/>
    </dgm:pt>
    <dgm:pt modelId="{B2DDB0E4-4F9A-45C1-91FF-9F83484465A1}" type="pres">
      <dgm:prSet presAssocID="{37FFB657-CED4-4A13-908D-DDA8FA4EBBAF}" presName="arrowAndChildren" presStyleCnt="0"/>
      <dgm:spPr/>
    </dgm:pt>
    <dgm:pt modelId="{A6D69E59-AD4C-4D99-A360-F44AE646DC45}" type="pres">
      <dgm:prSet presAssocID="{37FFB657-CED4-4A13-908D-DDA8FA4EBBAF}" presName="parentTextArrow" presStyleLbl="node1" presStyleIdx="1" presStyleCnt="4"/>
      <dgm:spPr>
        <a:prstGeom prst="upArrowCallout">
          <a:avLst/>
        </a:prstGeom>
      </dgm:spPr>
      <dgm:t>
        <a:bodyPr/>
        <a:lstStyle/>
        <a:p>
          <a:endParaRPr lang="bg-BG"/>
        </a:p>
      </dgm:t>
    </dgm:pt>
    <dgm:pt modelId="{F78E0E7F-9B97-4A03-873E-DFA13145B11B}" type="pres">
      <dgm:prSet presAssocID="{37FFB657-CED4-4A13-908D-DDA8FA4EBBAF}" presName="arrow" presStyleLbl="node1" presStyleIdx="2" presStyleCnt="4"/>
      <dgm:spPr/>
      <dgm:t>
        <a:bodyPr/>
        <a:lstStyle/>
        <a:p>
          <a:endParaRPr lang="bg-BG"/>
        </a:p>
      </dgm:t>
    </dgm:pt>
    <dgm:pt modelId="{E7AD694A-F4CF-40A0-ADEF-736DD7A783E9}" type="pres">
      <dgm:prSet presAssocID="{37FFB657-CED4-4A13-908D-DDA8FA4EBBAF}" presName="descendantArrow" presStyleCnt="0"/>
      <dgm:spPr/>
    </dgm:pt>
    <dgm:pt modelId="{C745B4F3-18AD-4736-882D-1E5484DDD628}" type="pres">
      <dgm:prSet presAssocID="{1C127B52-5A5E-44DF-B32D-90640BC7BBA3}" presName="childTextArrow" presStyleLbl="fgAccFollowNode1" presStyleIdx="4" presStyleCnt="13">
        <dgm:presLayoutVars>
          <dgm:bulletEnabled val="1"/>
        </dgm:presLayoutVars>
      </dgm:prSet>
      <dgm:spPr>
        <a:prstGeom prst="rect">
          <a:avLst/>
        </a:prstGeom>
      </dgm:spPr>
      <dgm:t>
        <a:bodyPr/>
        <a:lstStyle/>
        <a:p>
          <a:endParaRPr lang="bg-BG"/>
        </a:p>
      </dgm:t>
    </dgm:pt>
    <dgm:pt modelId="{BFEE3ADB-D684-4D64-A1A1-693C7A2C3CA9}" type="pres">
      <dgm:prSet presAssocID="{2C3114A5-BF95-4C49-9BE2-C5BE29DFEE3B}" presName="childTextArrow" presStyleLbl="fgAccFollowNode1" presStyleIdx="5" presStyleCnt="13">
        <dgm:presLayoutVars>
          <dgm:bulletEnabled val="1"/>
        </dgm:presLayoutVars>
      </dgm:prSet>
      <dgm:spPr>
        <a:prstGeom prst="rect">
          <a:avLst/>
        </a:prstGeom>
      </dgm:spPr>
      <dgm:t>
        <a:bodyPr/>
        <a:lstStyle/>
        <a:p>
          <a:endParaRPr lang="bg-BG"/>
        </a:p>
      </dgm:t>
    </dgm:pt>
    <dgm:pt modelId="{63A88AF5-EDCF-430E-AFC2-FE938F4E30A1}" type="pres">
      <dgm:prSet presAssocID="{340AFF3C-C592-4F02-A8AF-6CC590316EFF}" presName="childTextArrow" presStyleLbl="fgAccFollowNode1" presStyleIdx="6" presStyleCnt="13">
        <dgm:presLayoutVars>
          <dgm:bulletEnabled val="1"/>
        </dgm:presLayoutVars>
      </dgm:prSet>
      <dgm:spPr>
        <a:prstGeom prst="rect">
          <a:avLst/>
        </a:prstGeom>
      </dgm:spPr>
      <dgm:t>
        <a:bodyPr/>
        <a:lstStyle/>
        <a:p>
          <a:endParaRPr lang="bg-BG"/>
        </a:p>
      </dgm:t>
    </dgm:pt>
    <dgm:pt modelId="{ABEF8898-CB6C-4DA6-A2BC-5D3584AECE7B}" type="pres">
      <dgm:prSet presAssocID="{118AC32E-D0A9-471E-8805-A990622D67B2}" presName="childTextArrow" presStyleLbl="fgAccFollowNode1" presStyleIdx="7" presStyleCnt="13">
        <dgm:presLayoutVars>
          <dgm:bulletEnabled val="1"/>
        </dgm:presLayoutVars>
      </dgm:prSet>
      <dgm:spPr>
        <a:prstGeom prst="rect">
          <a:avLst/>
        </a:prstGeom>
      </dgm:spPr>
      <dgm:t>
        <a:bodyPr/>
        <a:lstStyle/>
        <a:p>
          <a:endParaRPr lang="bg-BG"/>
        </a:p>
      </dgm:t>
    </dgm:pt>
    <dgm:pt modelId="{FD6A6ED3-7707-4688-9FB6-D163906B9BAD}" type="pres">
      <dgm:prSet presAssocID="{EB8E63C1-3444-4625-8591-13873BC1B810}" presName="sp" presStyleCnt="0"/>
      <dgm:spPr/>
    </dgm:pt>
    <dgm:pt modelId="{7C016111-9ED9-4AC0-B937-BF50C5909671}" type="pres">
      <dgm:prSet presAssocID="{E53DDB7E-93AA-4075-B0B8-EA4D35A984F2}" presName="arrowAndChildren" presStyleCnt="0"/>
      <dgm:spPr/>
    </dgm:pt>
    <dgm:pt modelId="{9F6634AA-F684-4A22-A214-96199F10244E}" type="pres">
      <dgm:prSet presAssocID="{E53DDB7E-93AA-4075-B0B8-EA4D35A984F2}" presName="parentTextArrow" presStyleLbl="node1" presStyleIdx="2" presStyleCnt="4"/>
      <dgm:spPr>
        <a:prstGeom prst="upArrowCallout">
          <a:avLst/>
        </a:prstGeom>
      </dgm:spPr>
      <dgm:t>
        <a:bodyPr/>
        <a:lstStyle/>
        <a:p>
          <a:endParaRPr lang="bg-BG"/>
        </a:p>
      </dgm:t>
    </dgm:pt>
    <dgm:pt modelId="{5F4753C0-B7AC-487A-AD1F-2B864BEF95FD}" type="pres">
      <dgm:prSet presAssocID="{E53DDB7E-93AA-4075-B0B8-EA4D35A984F2}" presName="arrow" presStyleLbl="node1" presStyleIdx="3" presStyleCnt="4"/>
      <dgm:spPr/>
      <dgm:t>
        <a:bodyPr/>
        <a:lstStyle/>
        <a:p>
          <a:endParaRPr lang="bg-BG"/>
        </a:p>
      </dgm:t>
    </dgm:pt>
    <dgm:pt modelId="{C9512512-5844-4C5E-B3B2-8A09B1E8FF94}" type="pres">
      <dgm:prSet presAssocID="{E53DDB7E-93AA-4075-B0B8-EA4D35A984F2}" presName="descendantArrow" presStyleCnt="0"/>
      <dgm:spPr/>
    </dgm:pt>
    <dgm:pt modelId="{9EC0C046-E1CB-4877-A7A6-8DE8909C9D01}" type="pres">
      <dgm:prSet presAssocID="{5C38F257-5BDE-490D-BB02-9B69CE6776A2}" presName="childTextArrow" presStyleLbl="fgAccFollowNode1" presStyleIdx="8" presStyleCnt="13">
        <dgm:presLayoutVars>
          <dgm:bulletEnabled val="1"/>
        </dgm:presLayoutVars>
      </dgm:prSet>
      <dgm:spPr>
        <a:prstGeom prst="rect">
          <a:avLst/>
        </a:prstGeom>
      </dgm:spPr>
      <dgm:t>
        <a:bodyPr/>
        <a:lstStyle/>
        <a:p>
          <a:endParaRPr lang="bg-BG"/>
        </a:p>
      </dgm:t>
    </dgm:pt>
    <dgm:pt modelId="{CE17F1D6-06C4-4C72-8F8B-690B8FC6B71F}" type="pres">
      <dgm:prSet presAssocID="{5A496740-5EB1-4083-87FA-8F6385CD5FED}" presName="childTextArrow" presStyleLbl="fgAccFollowNode1" presStyleIdx="9" presStyleCnt="13">
        <dgm:presLayoutVars>
          <dgm:bulletEnabled val="1"/>
        </dgm:presLayoutVars>
      </dgm:prSet>
      <dgm:spPr>
        <a:prstGeom prst="rect">
          <a:avLst/>
        </a:prstGeom>
      </dgm:spPr>
      <dgm:t>
        <a:bodyPr/>
        <a:lstStyle/>
        <a:p>
          <a:endParaRPr lang="bg-BG"/>
        </a:p>
      </dgm:t>
    </dgm:pt>
    <dgm:pt modelId="{065C51F8-87B6-453B-89D5-BFE5B24E3623}" type="pres">
      <dgm:prSet presAssocID="{CF90A33D-C2B7-46EE-BF62-BD362828311C}" presName="childTextArrow" presStyleLbl="fgAccFollowNode1" presStyleIdx="10" presStyleCnt="13">
        <dgm:presLayoutVars>
          <dgm:bulletEnabled val="1"/>
        </dgm:presLayoutVars>
      </dgm:prSet>
      <dgm:spPr>
        <a:prstGeom prst="rect">
          <a:avLst/>
        </a:prstGeom>
      </dgm:spPr>
      <dgm:t>
        <a:bodyPr/>
        <a:lstStyle/>
        <a:p>
          <a:endParaRPr lang="bg-BG"/>
        </a:p>
      </dgm:t>
    </dgm:pt>
    <dgm:pt modelId="{EFAFC93D-85F6-4346-9494-229C444B322C}" type="pres">
      <dgm:prSet presAssocID="{5759EE38-CC64-44F0-9FE0-A42FB34618A8}" presName="childTextArrow" presStyleLbl="fgAccFollowNode1" presStyleIdx="11" presStyleCnt="13">
        <dgm:presLayoutVars>
          <dgm:bulletEnabled val="1"/>
        </dgm:presLayoutVars>
      </dgm:prSet>
      <dgm:spPr>
        <a:prstGeom prst="rect">
          <a:avLst/>
        </a:prstGeom>
      </dgm:spPr>
      <dgm:t>
        <a:bodyPr/>
        <a:lstStyle/>
        <a:p>
          <a:endParaRPr lang="bg-BG"/>
        </a:p>
      </dgm:t>
    </dgm:pt>
    <dgm:pt modelId="{E5645726-787A-4B70-8D41-52FDFB21DE7F}" type="pres">
      <dgm:prSet presAssocID="{AAA98193-880F-43F9-9BF8-419C5D95A49C}" presName="childTextArrow" presStyleLbl="fgAccFollowNode1" presStyleIdx="12" presStyleCnt="13">
        <dgm:presLayoutVars>
          <dgm:bulletEnabled val="1"/>
        </dgm:presLayoutVars>
      </dgm:prSet>
      <dgm:spPr>
        <a:prstGeom prst="rect">
          <a:avLst/>
        </a:prstGeom>
      </dgm:spPr>
      <dgm:t>
        <a:bodyPr/>
        <a:lstStyle/>
        <a:p>
          <a:endParaRPr lang="bg-BG"/>
        </a:p>
      </dgm:t>
    </dgm:pt>
  </dgm:ptLst>
  <dgm:cxnLst>
    <dgm:cxn modelId="{973693FE-C1E4-4751-A645-2167A0145604}" srcId="{37FFB657-CED4-4A13-908D-DDA8FA4EBBAF}" destId="{2C3114A5-BF95-4C49-9BE2-C5BE29DFEE3B}" srcOrd="1" destOrd="0" parTransId="{74D400A1-F863-4CCB-A276-5ED87D16EC48}" sibTransId="{6B637766-AB69-4F47-8B12-F70276E1C352}"/>
    <dgm:cxn modelId="{9DECD37C-5788-475D-917A-8BD76D57BE65}" srcId="{23A32B9A-6962-4317-BEFC-F1D401E0D375}" destId="{8FE3D517-63D8-4B1F-9676-63FE38B796A9}" srcOrd="2" destOrd="0" parTransId="{65A40A06-65B5-4B43-8DB9-633C3E73E9D4}" sibTransId="{6FA61E24-319E-407A-8DB1-010ECAEB6374}"/>
    <dgm:cxn modelId="{E668952F-0849-44B4-BB22-FC3F6F8B6707}" type="presOf" srcId="{37FFB657-CED4-4A13-908D-DDA8FA4EBBAF}" destId="{F78E0E7F-9B97-4A03-873E-DFA13145B11B}" srcOrd="1" destOrd="0" presId="urn:microsoft.com/office/officeart/2005/8/layout/process4"/>
    <dgm:cxn modelId="{1DD0C4F7-BFED-4494-AAF7-A239041CE0A7}" type="presOf" srcId="{118AC32E-D0A9-471E-8805-A990622D67B2}" destId="{ABEF8898-CB6C-4DA6-A2BC-5D3584AECE7B}" srcOrd="0" destOrd="0" presId="urn:microsoft.com/office/officeart/2005/8/layout/process4"/>
    <dgm:cxn modelId="{44BE8F78-8B69-4490-AC38-2C33DF290303}" type="presOf" srcId="{1C127B52-5A5E-44DF-B32D-90640BC7BBA3}" destId="{C745B4F3-18AD-4736-882D-1E5484DDD628}" srcOrd="0" destOrd="0" presId="urn:microsoft.com/office/officeart/2005/8/layout/process4"/>
    <dgm:cxn modelId="{CD87B37A-8243-46E8-9B82-99BE814DF40F}" type="presOf" srcId="{2C3114A5-BF95-4C49-9BE2-C5BE29DFEE3B}" destId="{BFEE3ADB-D684-4D64-A1A1-693C7A2C3CA9}" srcOrd="0" destOrd="0" presId="urn:microsoft.com/office/officeart/2005/8/layout/process4"/>
    <dgm:cxn modelId="{83A7C795-5575-4979-8F09-E621B2DF2909}" type="presOf" srcId="{8FE3D517-63D8-4B1F-9676-63FE38B796A9}" destId="{FAD3FB79-2198-4431-B827-B06673D3DC69}" srcOrd="0" destOrd="0" presId="urn:microsoft.com/office/officeart/2005/8/layout/process4"/>
    <dgm:cxn modelId="{9344E6B6-AF37-4F63-8B3C-3DFE74A03735}" srcId="{E53DDB7E-93AA-4075-B0B8-EA4D35A984F2}" destId="{CF90A33D-C2B7-46EE-BF62-BD362828311C}" srcOrd="2" destOrd="0" parTransId="{3531F59F-D374-49DE-B221-5697E3ECF197}" sibTransId="{3AEC46A1-3B91-49A0-B394-D8828B79C543}"/>
    <dgm:cxn modelId="{A04015D0-B946-4218-9B9A-D178C8272B6A}" type="presOf" srcId="{E53DDB7E-93AA-4075-B0B8-EA4D35A984F2}" destId="{9F6634AA-F684-4A22-A214-96199F10244E}" srcOrd="0" destOrd="0" presId="urn:microsoft.com/office/officeart/2005/8/layout/process4"/>
    <dgm:cxn modelId="{87843AD8-EEA6-41CD-BD6E-3980ED27A8C5}" type="presOf" srcId="{065455D4-C36A-4555-8E2D-C5608BB33B0D}" destId="{50EC5608-D5C1-4313-81C2-26E0FFD6064F}" srcOrd="0" destOrd="0" presId="urn:microsoft.com/office/officeart/2005/8/layout/process4"/>
    <dgm:cxn modelId="{2E7C458E-0F64-4CFA-B3C4-35183B200A26}" srcId="{E53DDB7E-93AA-4075-B0B8-EA4D35A984F2}" destId="{5A496740-5EB1-4083-87FA-8F6385CD5FED}" srcOrd="1" destOrd="0" parTransId="{959E1704-D1D0-4D17-BD42-2986BA54CE2A}" sibTransId="{8B213B24-F528-4998-97D3-105894BF70B7}"/>
    <dgm:cxn modelId="{0EC95321-07E3-4FBA-8A3E-EE5772CED3B5}" srcId="{8FE3D517-63D8-4B1F-9676-63FE38B796A9}" destId="{542E910C-CE15-4C1D-B944-6488D74520F9}" srcOrd="0" destOrd="0" parTransId="{43E127A5-EC8A-4C46-9E45-9DD7360A7A7F}" sibTransId="{04FAAB40-6491-4B39-8B60-0C3D4D1F68A2}"/>
    <dgm:cxn modelId="{88592B39-E124-4190-98C7-341E4D4AA5BB}" type="presOf" srcId="{CEC3B090-0220-456B-BB4E-FC20F05FA341}" destId="{6001BEED-1C08-43C4-AFE3-9330D26A6EB9}" srcOrd="0" destOrd="0" presId="urn:microsoft.com/office/officeart/2005/8/layout/process4"/>
    <dgm:cxn modelId="{254C6BDB-28D9-498D-B680-1AACF49DB023}" srcId="{E53DDB7E-93AA-4075-B0B8-EA4D35A984F2}" destId="{5759EE38-CC64-44F0-9FE0-A42FB34618A8}" srcOrd="3" destOrd="0" parTransId="{13C712A2-878E-428B-A26B-1A096B704504}" sibTransId="{80E55F33-A201-4DAC-9710-58142EC0C13F}"/>
    <dgm:cxn modelId="{0F4F47FE-E345-4721-9B82-9C630CA1B7D6}" type="presOf" srcId="{02381903-F41F-479D-BFB8-3A24DD69920F}" destId="{9D9DD7BF-75FD-40D4-9014-42F8D09A0CD1}" srcOrd="0" destOrd="0" presId="urn:microsoft.com/office/officeart/2005/8/layout/process4"/>
    <dgm:cxn modelId="{2161EFA0-F16E-48B4-B79A-3C8CD75DFC8A}" srcId="{23A32B9A-6962-4317-BEFC-F1D401E0D375}" destId="{E53DDB7E-93AA-4075-B0B8-EA4D35A984F2}" srcOrd="0" destOrd="0" parTransId="{D0DCDEB5-271F-4C2C-99A0-2F4EF4D0E19F}" sibTransId="{EB8E63C1-3444-4625-8591-13873BC1B810}"/>
    <dgm:cxn modelId="{D0D4D4AF-76D0-4768-960E-072FDB0EBDC1}" srcId="{8FE3D517-63D8-4B1F-9676-63FE38B796A9}" destId="{065455D4-C36A-4555-8E2D-C5608BB33B0D}" srcOrd="1" destOrd="0" parTransId="{79DC7543-8AE5-44E0-91F9-2885F0F82B31}" sibTransId="{A426E2B2-A582-4AF0-98EF-6C4589AB91DB}"/>
    <dgm:cxn modelId="{51078370-F262-482F-8886-F8606ED10694}" type="presOf" srcId="{5C38F257-5BDE-490D-BB02-9B69CE6776A2}" destId="{9EC0C046-E1CB-4877-A7A6-8DE8909C9D01}" srcOrd="0" destOrd="0" presId="urn:microsoft.com/office/officeart/2005/8/layout/process4"/>
    <dgm:cxn modelId="{B1D9CB23-5D28-4899-99EB-3C7BF52EB22A}" type="presOf" srcId="{5A496740-5EB1-4083-87FA-8F6385CD5FED}" destId="{CE17F1D6-06C4-4C72-8F8B-690B8FC6B71F}" srcOrd="0" destOrd="0" presId="urn:microsoft.com/office/officeart/2005/8/layout/process4"/>
    <dgm:cxn modelId="{54C1EEA2-3BBE-40BA-91C5-9E4BAA35C4C7}" type="presOf" srcId="{CF90A33D-C2B7-46EE-BF62-BD362828311C}" destId="{065C51F8-87B6-453B-89D5-BFE5B24E3623}" srcOrd="0" destOrd="0" presId="urn:microsoft.com/office/officeart/2005/8/layout/process4"/>
    <dgm:cxn modelId="{A1FBB0C3-B04B-43E0-AC99-CB9A9378952B}" type="presOf" srcId="{8FE3D517-63D8-4B1F-9676-63FE38B796A9}" destId="{44553E6B-8AD2-46BC-9BE6-B66976392FD9}" srcOrd="1" destOrd="0" presId="urn:microsoft.com/office/officeart/2005/8/layout/process4"/>
    <dgm:cxn modelId="{6D1952A7-FC0A-4F9A-A720-7CB02205B564}" srcId="{23A32B9A-6962-4317-BEFC-F1D401E0D375}" destId="{37FFB657-CED4-4A13-908D-DDA8FA4EBBAF}" srcOrd="1" destOrd="0" parTransId="{2827DB39-93FC-4B8E-BD68-A68EC29BE479}" sibTransId="{DD5ECDE1-4B17-4626-BA20-8B524D32CC8D}"/>
    <dgm:cxn modelId="{B455E33B-8CFC-4D97-9B86-404297F3DADC}" type="presOf" srcId="{E53DDB7E-93AA-4075-B0B8-EA4D35A984F2}" destId="{5F4753C0-B7AC-487A-AD1F-2B864BEF95FD}" srcOrd="1" destOrd="0" presId="urn:microsoft.com/office/officeart/2005/8/layout/process4"/>
    <dgm:cxn modelId="{3A664E80-03AE-4066-8CB6-316875C1D11B}" srcId="{37FFB657-CED4-4A13-908D-DDA8FA4EBBAF}" destId="{340AFF3C-C592-4F02-A8AF-6CC590316EFF}" srcOrd="2" destOrd="0" parTransId="{EAFEFA31-F61D-49CF-A5AA-DBB77BD0E289}" sibTransId="{D4AD38AD-B868-43D6-993B-98DE551ED3B2}"/>
    <dgm:cxn modelId="{4ECB2084-3696-4F2D-AC99-41C6B480A702}" type="presOf" srcId="{37FFB657-CED4-4A13-908D-DDA8FA4EBBAF}" destId="{A6D69E59-AD4C-4D99-A360-F44AE646DC45}" srcOrd="0" destOrd="0" presId="urn:microsoft.com/office/officeart/2005/8/layout/process4"/>
    <dgm:cxn modelId="{FE88C1E0-F73E-4588-A4EA-C8AD8EBD612B}" srcId="{37FFB657-CED4-4A13-908D-DDA8FA4EBBAF}" destId="{1C127B52-5A5E-44DF-B32D-90640BC7BBA3}" srcOrd="0" destOrd="0" parTransId="{684060F2-1761-469B-B519-531225632DBB}" sibTransId="{DE4C197A-C065-4834-8F6D-AE2413B144A3}"/>
    <dgm:cxn modelId="{432F3A0F-F87C-495B-8393-1F83CD176A55}" srcId="{37FFB657-CED4-4A13-908D-DDA8FA4EBBAF}" destId="{118AC32E-D0A9-471E-8805-A990622D67B2}" srcOrd="3" destOrd="0" parTransId="{4A77808B-B795-43AB-8368-C202FB0C2139}" sibTransId="{9F11B96C-CB6E-4200-8F70-4DD5F709BF17}"/>
    <dgm:cxn modelId="{8DA06BC8-C155-47AC-B04D-81ACC838A358}" srcId="{E53DDB7E-93AA-4075-B0B8-EA4D35A984F2}" destId="{AAA98193-880F-43F9-9BF8-419C5D95A49C}" srcOrd="4" destOrd="0" parTransId="{1524E92D-4353-4C40-BA21-B80D4E0A67DD}" sibTransId="{031C4BCB-DBDC-46F0-816F-EF92B1BD9DA6}"/>
    <dgm:cxn modelId="{E987C31B-0AF5-4326-9CD1-BAFB90F891C4}" srcId="{8FE3D517-63D8-4B1F-9676-63FE38B796A9}" destId="{CEC3B090-0220-456B-BB4E-FC20F05FA341}" srcOrd="2" destOrd="0" parTransId="{3FA36221-CA4C-409B-A53E-53DC8FF496E0}" sibTransId="{376A2D56-5114-4ABD-8224-BEA4ECC17E21}"/>
    <dgm:cxn modelId="{5820DC05-B1EF-47C6-A71F-32AA120AF244}" type="presOf" srcId="{542E910C-CE15-4C1D-B944-6488D74520F9}" destId="{2A144D04-B277-47AF-BCC5-C0E7523254BF}" srcOrd="0" destOrd="0" presId="urn:microsoft.com/office/officeart/2005/8/layout/process4"/>
    <dgm:cxn modelId="{0D1054DB-7C16-48D8-BDB1-7C5BF3926298}" srcId="{23A32B9A-6962-4317-BEFC-F1D401E0D375}" destId="{02381903-F41F-479D-BFB8-3A24DD69920F}" srcOrd="3" destOrd="0" parTransId="{3D55B492-4205-4249-A8D7-EB00690ADEC2}" sibTransId="{532BFF79-472C-4A41-BB4E-3C2780FC13A8}"/>
    <dgm:cxn modelId="{F2709ED8-333B-414D-9DAD-BB2B2E55FE52}" srcId="{E53DDB7E-93AA-4075-B0B8-EA4D35A984F2}" destId="{5C38F257-5BDE-490D-BB02-9B69CE6776A2}" srcOrd="0" destOrd="0" parTransId="{E6DF9940-C4A9-4988-8EA3-F5E0EB320E77}" sibTransId="{A11C0D9D-0707-416D-9203-D8EAB34207C6}"/>
    <dgm:cxn modelId="{FEC9EC7C-1EFC-4B0E-8565-F82EF0A77C56}" type="presOf" srcId="{340AFF3C-C592-4F02-A8AF-6CC590316EFF}" destId="{63A88AF5-EDCF-430E-AFC2-FE938F4E30A1}" srcOrd="0" destOrd="0" presId="urn:microsoft.com/office/officeart/2005/8/layout/process4"/>
    <dgm:cxn modelId="{97BE379D-BB59-4089-BA99-D7E14E21D487}" type="presOf" srcId="{5759EE38-CC64-44F0-9FE0-A42FB34618A8}" destId="{EFAFC93D-85F6-4346-9494-229C444B322C}" srcOrd="0" destOrd="0" presId="urn:microsoft.com/office/officeart/2005/8/layout/process4"/>
    <dgm:cxn modelId="{753026CF-9B00-48B9-A94B-AFE1A6073FF2}" type="presOf" srcId="{AAA98193-880F-43F9-9BF8-419C5D95A49C}" destId="{E5645726-787A-4B70-8D41-52FDFB21DE7F}" srcOrd="0" destOrd="0" presId="urn:microsoft.com/office/officeart/2005/8/layout/process4"/>
    <dgm:cxn modelId="{1DFA83D1-D784-4A6D-B72D-6F139076D936}" type="presOf" srcId="{47D2FEB9-4B4F-49FF-B027-39AEA80309C4}" destId="{DEF3529B-8B25-4E49-8ACC-3C475A80A60A}" srcOrd="0" destOrd="0" presId="urn:microsoft.com/office/officeart/2005/8/layout/process4"/>
    <dgm:cxn modelId="{8ED21B05-35DF-4425-8321-95AE3C83C699}" type="presOf" srcId="{23A32B9A-6962-4317-BEFC-F1D401E0D375}" destId="{494095AF-317D-4F20-B487-B3181608C0B6}" srcOrd="0" destOrd="0" presId="urn:microsoft.com/office/officeart/2005/8/layout/process4"/>
    <dgm:cxn modelId="{755BBB5C-2228-416A-8DD8-AE7D3983656B}" srcId="{8FE3D517-63D8-4B1F-9676-63FE38B796A9}" destId="{47D2FEB9-4B4F-49FF-B027-39AEA80309C4}" srcOrd="3" destOrd="0" parTransId="{92992FE8-0F35-468D-8213-975A7FBF78C1}" sibTransId="{BDBAE3E5-DBA0-4A0B-8D5C-AEFB48695E0A}"/>
    <dgm:cxn modelId="{BFCD8E43-4466-4A90-92DF-1C8D080EC8EF}" type="presParOf" srcId="{494095AF-317D-4F20-B487-B3181608C0B6}" destId="{59F4EF3D-B1DA-494B-A6D8-C50C32A13B2D}" srcOrd="0" destOrd="0" presId="urn:microsoft.com/office/officeart/2005/8/layout/process4"/>
    <dgm:cxn modelId="{75B63DAF-C0BB-4F57-9A78-A59E3F551C03}" type="presParOf" srcId="{59F4EF3D-B1DA-494B-A6D8-C50C32A13B2D}" destId="{9D9DD7BF-75FD-40D4-9014-42F8D09A0CD1}" srcOrd="0" destOrd="0" presId="urn:microsoft.com/office/officeart/2005/8/layout/process4"/>
    <dgm:cxn modelId="{34F26F07-2AD5-4644-BC7A-8E7E6D01ED82}" type="presParOf" srcId="{494095AF-317D-4F20-B487-B3181608C0B6}" destId="{59771051-46E6-44BE-B0CC-1DF7077AF402}" srcOrd="1" destOrd="0" presId="urn:microsoft.com/office/officeart/2005/8/layout/process4"/>
    <dgm:cxn modelId="{432564CA-337D-4A6C-906A-7D908857B8A3}" type="presParOf" srcId="{494095AF-317D-4F20-B487-B3181608C0B6}" destId="{C586E322-0248-43B1-A464-B85CE7AD1FC3}" srcOrd="2" destOrd="0" presId="urn:microsoft.com/office/officeart/2005/8/layout/process4"/>
    <dgm:cxn modelId="{7DC7B338-5499-4FEE-9E15-AA7213FED02B}" type="presParOf" srcId="{C586E322-0248-43B1-A464-B85CE7AD1FC3}" destId="{FAD3FB79-2198-4431-B827-B06673D3DC69}" srcOrd="0" destOrd="0" presId="urn:microsoft.com/office/officeart/2005/8/layout/process4"/>
    <dgm:cxn modelId="{BF1CDC13-E22A-4AE3-B593-3C90C339DBE7}" type="presParOf" srcId="{C586E322-0248-43B1-A464-B85CE7AD1FC3}" destId="{44553E6B-8AD2-46BC-9BE6-B66976392FD9}" srcOrd="1" destOrd="0" presId="urn:microsoft.com/office/officeart/2005/8/layout/process4"/>
    <dgm:cxn modelId="{3C13FD9D-CC8E-4E89-B598-0C857DA473BC}" type="presParOf" srcId="{C586E322-0248-43B1-A464-B85CE7AD1FC3}" destId="{78A3E087-66CC-4B77-8AED-0CF1DC2BEE3B}" srcOrd="2" destOrd="0" presId="urn:microsoft.com/office/officeart/2005/8/layout/process4"/>
    <dgm:cxn modelId="{16739613-BCA5-46E4-9126-6E56A5447857}" type="presParOf" srcId="{78A3E087-66CC-4B77-8AED-0CF1DC2BEE3B}" destId="{2A144D04-B277-47AF-BCC5-C0E7523254BF}" srcOrd="0" destOrd="0" presId="urn:microsoft.com/office/officeart/2005/8/layout/process4"/>
    <dgm:cxn modelId="{F5D1D43F-6CE6-421C-8F43-0A67FE8041CA}" type="presParOf" srcId="{78A3E087-66CC-4B77-8AED-0CF1DC2BEE3B}" destId="{50EC5608-D5C1-4313-81C2-26E0FFD6064F}" srcOrd="1" destOrd="0" presId="urn:microsoft.com/office/officeart/2005/8/layout/process4"/>
    <dgm:cxn modelId="{FB30AA49-DDE2-4F99-BBA6-0F9BDE4948AD}" type="presParOf" srcId="{78A3E087-66CC-4B77-8AED-0CF1DC2BEE3B}" destId="{6001BEED-1C08-43C4-AFE3-9330D26A6EB9}" srcOrd="2" destOrd="0" presId="urn:microsoft.com/office/officeart/2005/8/layout/process4"/>
    <dgm:cxn modelId="{219AC999-5FF8-42BD-BC13-2F4E024CED3A}" type="presParOf" srcId="{78A3E087-66CC-4B77-8AED-0CF1DC2BEE3B}" destId="{DEF3529B-8B25-4E49-8ACC-3C475A80A60A}" srcOrd="3" destOrd="0" presId="urn:microsoft.com/office/officeart/2005/8/layout/process4"/>
    <dgm:cxn modelId="{E291E98C-3947-496B-A1E5-621EA52447B0}" type="presParOf" srcId="{494095AF-317D-4F20-B487-B3181608C0B6}" destId="{FF8DD1BE-14BC-4139-871D-56D86C65C004}" srcOrd="3" destOrd="0" presId="urn:microsoft.com/office/officeart/2005/8/layout/process4"/>
    <dgm:cxn modelId="{823297C3-2065-4EC4-88F2-10572B951A95}" type="presParOf" srcId="{494095AF-317D-4F20-B487-B3181608C0B6}" destId="{B2DDB0E4-4F9A-45C1-91FF-9F83484465A1}" srcOrd="4" destOrd="0" presId="urn:microsoft.com/office/officeart/2005/8/layout/process4"/>
    <dgm:cxn modelId="{611B8CB1-8A46-4A07-8C3A-07A3832093F7}" type="presParOf" srcId="{B2DDB0E4-4F9A-45C1-91FF-9F83484465A1}" destId="{A6D69E59-AD4C-4D99-A360-F44AE646DC45}" srcOrd="0" destOrd="0" presId="urn:microsoft.com/office/officeart/2005/8/layout/process4"/>
    <dgm:cxn modelId="{70C7B885-2FC0-4F84-8ED7-76C9728F63E6}" type="presParOf" srcId="{B2DDB0E4-4F9A-45C1-91FF-9F83484465A1}" destId="{F78E0E7F-9B97-4A03-873E-DFA13145B11B}" srcOrd="1" destOrd="0" presId="urn:microsoft.com/office/officeart/2005/8/layout/process4"/>
    <dgm:cxn modelId="{64806CE1-5333-480E-BA07-E66A4155261B}" type="presParOf" srcId="{B2DDB0E4-4F9A-45C1-91FF-9F83484465A1}" destId="{E7AD694A-F4CF-40A0-ADEF-736DD7A783E9}" srcOrd="2" destOrd="0" presId="urn:microsoft.com/office/officeart/2005/8/layout/process4"/>
    <dgm:cxn modelId="{1B34C016-7502-44FC-AD05-36F815C2EA8D}" type="presParOf" srcId="{E7AD694A-F4CF-40A0-ADEF-736DD7A783E9}" destId="{C745B4F3-18AD-4736-882D-1E5484DDD628}" srcOrd="0" destOrd="0" presId="urn:microsoft.com/office/officeart/2005/8/layout/process4"/>
    <dgm:cxn modelId="{CBC14B65-9900-469D-9D42-D33529EAACE8}" type="presParOf" srcId="{E7AD694A-F4CF-40A0-ADEF-736DD7A783E9}" destId="{BFEE3ADB-D684-4D64-A1A1-693C7A2C3CA9}" srcOrd="1" destOrd="0" presId="urn:microsoft.com/office/officeart/2005/8/layout/process4"/>
    <dgm:cxn modelId="{8BEDDB0F-2199-460B-96CD-FD44F198C8F9}" type="presParOf" srcId="{E7AD694A-F4CF-40A0-ADEF-736DD7A783E9}" destId="{63A88AF5-EDCF-430E-AFC2-FE938F4E30A1}" srcOrd="2" destOrd="0" presId="urn:microsoft.com/office/officeart/2005/8/layout/process4"/>
    <dgm:cxn modelId="{389D6B2E-165D-4697-838E-6DD25AEB2E28}" type="presParOf" srcId="{E7AD694A-F4CF-40A0-ADEF-736DD7A783E9}" destId="{ABEF8898-CB6C-4DA6-A2BC-5D3584AECE7B}" srcOrd="3" destOrd="0" presId="urn:microsoft.com/office/officeart/2005/8/layout/process4"/>
    <dgm:cxn modelId="{E272E36C-DC95-4C95-BCE2-991C227220DB}" type="presParOf" srcId="{494095AF-317D-4F20-B487-B3181608C0B6}" destId="{FD6A6ED3-7707-4688-9FB6-D163906B9BAD}" srcOrd="5" destOrd="0" presId="urn:microsoft.com/office/officeart/2005/8/layout/process4"/>
    <dgm:cxn modelId="{1E58DFF7-8D61-48CE-A7AF-9D8F1250A47F}" type="presParOf" srcId="{494095AF-317D-4F20-B487-B3181608C0B6}" destId="{7C016111-9ED9-4AC0-B937-BF50C5909671}" srcOrd="6" destOrd="0" presId="urn:microsoft.com/office/officeart/2005/8/layout/process4"/>
    <dgm:cxn modelId="{AED40FE8-F5EC-4212-ABD1-B0287D0E2AE1}" type="presParOf" srcId="{7C016111-9ED9-4AC0-B937-BF50C5909671}" destId="{9F6634AA-F684-4A22-A214-96199F10244E}" srcOrd="0" destOrd="0" presId="urn:microsoft.com/office/officeart/2005/8/layout/process4"/>
    <dgm:cxn modelId="{AC194CE3-7EA1-4BA9-A136-F6B79F01D59F}" type="presParOf" srcId="{7C016111-9ED9-4AC0-B937-BF50C5909671}" destId="{5F4753C0-B7AC-487A-AD1F-2B864BEF95FD}" srcOrd="1" destOrd="0" presId="urn:microsoft.com/office/officeart/2005/8/layout/process4"/>
    <dgm:cxn modelId="{17777C0D-94A4-4E33-83E6-47DAABFF6B95}" type="presParOf" srcId="{7C016111-9ED9-4AC0-B937-BF50C5909671}" destId="{C9512512-5844-4C5E-B3B2-8A09B1E8FF94}" srcOrd="2" destOrd="0" presId="urn:microsoft.com/office/officeart/2005/8/layout/process4"/>
    <dgm:cxn modelId="{C6B1CE0F-70C9-4BCC-AEFF-ECEE413F47F5}" type="presParOf" srcId="{C9512512-5844-4C5E-B3B2-8A09B1E8FF94}" destId="{9EC0C046-E1CB-4877-A7A6-8DE8909C9D01}" srcOrd="0" destOrd="0" presId="urn:microsoft.com/office/officeart/2005/8/layout/process4"/>
    <dgm:cxn modelId="{7FA7A32F-73E8-43B4-A512-BC9F6E80C529}" type="presParOf" srcId="{C9512512-5844-4C5E-B3B2-8A09B1E8FF94}" destId="{CE17F1D6-06C4-4C72-8F8B-690B8FC6B71F}" srcOrd="1" destOrd="0" presId="urn:microsoft.com/office/officeart/2005/8/layout/process4"/>
    <dgm:cxn modelId="{5EC8E7C8-67FD-4093-B3B5-B205ED713A0E}" type="presParOf" srcId="{C9512512-5844-4C5E-B3B2-8A09B1E8FF94}" destId="{065C51F8-87B6-453B-89D5-BFE5B24E3623}" srcOrd="2" destOrd="0" presId="urn:microsoft.com/office/officeart/2005/8/layout/process4"/>
    <dgm:cxn modelId="{A982F1D5-3C51-49A6-84B7-D94922B88D96}" type="presParOf" srcId="{C9512512-5844-4C5E-B3B2-8A09B1E8FF94}" destId="{EFAFC93D-85F6-4346-9494-229C444B322C}" srcOrd="3" destOrd="0" presId="urn:microsoft.com/office/officeart/2005/8/layout/process4"/>
    <dgm:cxn modelId="{0E18E55B-8F30-465B-A09B-C4D824EB77F3}" type="presParOf" srcId="{C9512512-5844-4C5E-B3B2-8A09B1E8FF94}" destId="{E5645726-787A-4B70-8D41-52FDFB21DE7F}" srcOrd="4" destOrd="0" presId="urn:microsoft.com/office/officeart/2005/8/layout/process4"/>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23A32B9A-6962-4317-BEFC-F1D401E0D375}" type="doc">
      <dgm:prSet loTypeId="urn:microsoft.com/office/officeart/2005/8/layout/process4" loCatId="process" qsTypeId="urn:microsoft.com/office/officeart/2005/8/quickstyle/simple1" qsCatId="simple" csTypeId="urn:microsoft.com/office/officeart/2005/8/colors/colorful1#4" csCatId="colorful" phldr="1"/>
      <dgm:spPr/>
      <dgm:t>
        <a:bodyPr/>
        <a:lstStyle/>
        <a:p>
          <a:endParaRPr lang="bg-BG"/>
        </a:p>
      </dgm:t>
    </dgm:pt>
    <dgm:pt modelId="{E53DDB7E-93AA-4075-B0B8-EA4D35A984F2}">
      <dgm:prSet phldrT="[Text]" custT="1"/>
      <dgm:spPr>
        <a:xfrm rot="10800000">
          <a:off x="0" y="1980"/>
          <a:ext cx="5784591" cy="1607508"/>
        </a:xfrm>
        <a:solidFill>
          <a:srgbClr val="4BACC6">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400" b="1">
              <a:solidFill>
                <a:sysClr val="window" lastClr="FFFFFF"/>
              </a:solidFill>
              <a:latin typeface="Calibri"/>
              <a:ea typeface="+mn-ea"/>
              <a:cs typeface="+mn-cs"/>
            </a:rPr>
            <a:t>Пазарно предлагане</a:t>
          </a:r>
        </a:p>
      </dgm:t>
    </dgm:pt>
    <dgm:pt modelId="{D0DCDEB5-271F-4C2C-99A0-2F4EF4D0E19F}" type="parTrans" cxnId="{2161EFA0-F16E-48B4-B79A-3C8CD75DFC8A}">
      <dgm:prSet/>
      <dgm:spPr/>
      <dgm:t>
        <a:bodyPr/>
        <a:lstStyle/>
        <a:p>
          <a:endParaRPr lang="bg-BG" sz="800"/>
        </a:p>
      </dgm:t>
    </dgm:pt>
    <dgm:pt modelId="{EB8E63C1-3444-4625-8591-13873BC1B810}" type="sibTrans" cxnId="{2161EFA0-F16E-48B4-B79A-3C8CD75DFC8A}">
      <dgm:prSet/>
      <dgm:spPr/>
      <dgm:t>
        <a:bodyPr/>
        <a:lstStyle/>
        <a:p>
          <a:endParaRPr lang="bg-BG" sz="800"/>
        </a:p>
      </dgm:t>
    </dgm:pt>
    <dgm:pt modelId="{5A496740-5EB1-4083-87FA-8F6385CD5FED}">
      <dgm:prSet phldrT="[Text]" custT="1"/>
      <dgm:spPr>
        <a:xfrm>
          <a:off x="1157341" y="566215"/>
          <a:ext cx="1156635" cy="480645"/>
        </a:xfrm>
        <a:solidFill>
          <a:srgbClr val="F79646">
            <a:tint val="40000"/>
            <a:alpha val="90000"/>
            <a:hueOff val="0"/>
            <a:satOff val="0"/>
            <a:lumOff val="0"/>
            <a:alphaOff val="0"/>
          </a:srgbClr>
        </a:solidFill>
        <a:ln w="25400" cap="flat" cmpd="sng" algn="ctr">
          <a:solidFill>
            <a:srgbClr val="F79646">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Такса БО</a:t>
          </a:r>
        </a:p>
      </dgm:t>
    </dgm:pt>
    <dgm:pt modelId="{959E1704-D1D0-4D17-BD42-2986BA54CE2A}" type="parTrans" cxnId="{2E7C458E-0F64-4CFA-B3C4-35183B200A26}">
      <dgm:prSet/>
      <dgm:spPr/>
      <dgm:t>
        <a:bodyPr/>
        <a:lstStyle/>
        <a:p>
          <a:endParaRPr lang="bg-BG" sz="800"/>
        </a:p>
      </dgm:t>
    </dgm:pt>
    <dgm:pt modelId="{8B213B24-F528-4998-97D3-105894BF70B7}" type="sibTrans" cxnId="{2E7C458E-0F64-4CFA-B3C4-35183B200A26}">
      <dgm:prSet/>
      <dgm:spPr/>
      <dgm:t>
        <a:bodyPr/>
        <a:lstStyle/>
        <a:p>
          <a:endParaRPr lang="bg-BG" sz="800"/>
        </a:p>
      </dgm:t>
    </dgm:pt>
    <dgm:pt modelId="{37FFB657-CED4-4A13-908D-DDA8FA4EBBAF}">
      <dgm:prSet phldrT="[Text]" custT="1"/>
      <dgm:spPr>
        <a:xfrm rot="10800000">
          <a:off x="0" y="1593810"/>
          <a:ext cx="5784591" cy="1607508"/>
        </a:xfrm>
        <a:solidFill>
          <a:srgbClr val="8064A2">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400" b="1">
              <a:solidFill>
                <a:sysClr val="window" lastClr="FFFFFF"/>
              </a:solidFill>
              <a:latin typeface="Calibri"/>
              <a:ea typeface="+mn-ea"/>
              <a:cs typeface="+mn-cs"/>
            </a:rPr>
            <a:t>Незадоволено търсене</a:t>
          </a:r>
        </a:p>
      </dgm:t>
    </dgm:pt>
    <dgm:pt modelId="{2827DB39-93FC-4B8E-BD68-A68EC29BE479}" type="parTrans" cxnId="{6D1952A7-FC0A-4F9A-A720-7CB02205B564}">
      <dgm:prSet/>
      <dgm:spPr/>
      <dgm:t>
        <a:bodyPr/>
        <a:lstStyle/>
        <a:p>
          <a:endParaRPr lang="bg-BG" sz="800"/>
        </a:p>
      </dgm:t>
    </dgm:pt>
    <dgm:pt modelId="{DD5ECDE1-4B17-4626-BA20-8B524D32CC8D}" type="sibTrans" cxnId="{6D1952A7-FC0A-4F9A-A720-7CB02205B564}">
      <dgm:prSet/>
      <dgm:spPr/>
      <dgm:t>
        <a:bodyPr/>
        <a:lstStyle/>
        <a:p>
          <a:endParaRPr lang="bg-BG" sz="800"/>
        </a:p>
      </dgm:t>
    </dgm:pt>
    <dgm:pt modelId="{8FE3D517-63D8-4B1F-9676-63FE38B796A9}">
      <dgm:prSet phldrT="[Text]" custT="1"/>
      <dgm:spPr>
        <a:xfrm rot="10800000">
          <a:off x="0" y="3185641"/>
          <a:ext cx="5784591" cy="1607508"/>
        </a:xfrm>
        <a:solidFill>
          <a:srgbClr val="9BBB59">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400" b="1">
              <a:solidFill>
                <a:sysClr val="window" lastClr="FFFFFF"/>
              </a:solidFill>
              <a:latin typeface="Calibri"/>
              <a:ea typeface="+mn-ea"/>
              <a:cs typeface="+mn-cs"/>
            </a:rPr>
            <a:t>Причини</a:t>
          </a:r>
        </a:p>
      </dgm:t>
    </dgm:pt>
    <dgm:pt modelId="{65A40A06-65B5-4B43-8DB9-633C3E73E9D4}" type="parTrans" cxnId="{9DECD37C-5788-475D-917A-8BD76D57BE65}">
      <dgm:prSet/>
      <dgm:spPr/>
      <dgm:t>
        <a:bodyPr/>
        <a:lstStyle/>
        <a:p>
          <a:endParaRPr lang="bg-BG" sz="800"/>
        </a:p>
      </dgm:t>
    </dgm:pt>
    <dgm:pt modelId="{6FA61E24-319E-407A-8DB1-010ECAEB6374}" type="sibTrans" cxnId="{9DECD37C-5788-475D-917A-8BD76D57BE65}">
      <dgm:prSet/>
      <dgm:spPr/>
      <dgm:t>
        <a:bodyPr/>
        <a:lstStyle/>
        <a:p>
          <a:endParaRPr lang="bg-BG" sz="800"/>
        </a:p>
      </dgm:t>
    </dgm:pt>
    <dgm:pt modelId="{542E910C-CE15-4C1D-B944-6488D74520F9}">
      <dgm:prSet phldrT="[Text]" custT="1"/>
      <dgm:spPr>
        <a:xfrm>
          <a:off x="0" y="3749877"/>
          <a:ext cx="1446147" cy="480645"/>
        </a:xfrm>
        <a:solidFill>
          <a:srgbClr val="C0504D">
            <a:tint val="40000"/>
            <a:alpha val="90000"/>
            <a:hueOff val="0"/>
            <a:satOff val="0"/>
            <a:lumOff val="0"/>
            <a:alphaOff val="0"/>
          </a:srgbClr>
        </a:solidFill>
        <a:ln w="25400" cap="flat" cmpd="sng" algn="ctr">
          <a:solidFill>
            <a:srgbClr val="C0504D">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Неефективно регулиране на пазара в сектор Отпадъци</a:t>
          </a:r>
        </a:p>
      </dgm:t>
    </dgm:pt>
    <dgm:pt modelId="{43E127A5-EC8A-4C46-9E45-9DD7360A7A7F}" type="parTrans" cxnId="{0EC95321-07E3-4FBA-8A3E-EE5772CED3B5}">
      <dgm:prSet/>
      <dgm:spPr/>
      <dgm:t>
        <a:bodyPr/>
        <a:lstStyle/>
        <a:p>
          <a:endParaRPr lang="bg-BG" sz="800"/>
        </a:p>
      </dgm:t>
    </dgm:pt>
    <dgm:pt modelId="{04FAAB40-6491-4B39-8B60-0C3D4D1F68A2}" type="sibTrans" cxnId="{0EC95321-07E3-4FBA-8A3E-EE5772CED3B5}">
      <dgm:prSet/>
      <dgm:spPr/>
      <dgm:t>
        <a:bodyPr/>
        <a:lstStyle/>
        <a:p>
          <a:endParaRPr lang="bg-BG" sz="800"/>
        </a:p>
      </dgm:t>
    </dgm:pt>
    <dgm:pt modelId="{CF90A33D-C2B7-46EE-BF62-BD362828311C}">
      <dgm:prSet phldrT="[Text]" custT="1"/>
      <dgm:spPr>
        <a:xfrm>
          <a:off x="2313977" y="566215"/>
          <a:ext cx="1156635" cy="480645"/>
        </a:xfrm>
        <a:solidFill>
          <a:srgbClr val="C0504D">
            <a:tint val="40000"/>
            <a:alpha val="90000"/>
            <a:hueOff val="0"/>
            <a:satOff val="0"/>
            <a:lumOff val="0"/>
            <a:alphaOff val="0"/>
          </a:srgbClr>
        </a:solidFill>
        <a:ln w="25400" cap="flat" cmpd="sng" algn="ctr">
          <a:solidFill>
            <a:srgbClr val="C0504D">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Отчисления по чл. 60 и чл. 64 от ЗУО</a:t>
          </a:r>
        </a:p>
      </dgm:t>
    </dgm:pt>
    <dgm:pt modelId="{3531F59F-D374-49DE-B221-5697E3ECF197}" type="parTrans" cxnId="{9344E6B6-AF37-4F63-8B3C-3DFE74A03735}">
      <dgm:prSet/>
      <dgm:spPr/>
      <dgm:t>
        <a:bodyPr/>
        <a:lstStyle/>
        <a:p>
          <a:endParaRPr lang="bg-BG" sz="800"/>
        </a:p>
      </dgm:t>
    </dgm:pt>
    <dgm:pt modelId="{3AEC46A1-3B91-49A0-B394-D8828B79C543}" type="sibTrans" cxnId="{9344E6B6-AF37-4F63-8B3C-3DFE74A03735}">
      <dgm:prSet/>
      <dgm:spPr/>
      <dgm:t>
        <a:bodyPr/>
        <a:lstStyle/>
        <a:p>
          <a:endParaRPr lang="bg-BG" sz="800"/>
        </a:p>
      </dgm:t>
    </dgm:pt>
    <dgm:pt modelId="{5759EE38-CC64-44F0-9FE0-A42FB34618A8}">
      <dgm:prSet phldrT="[Text]" custT="1"/>
      <dgm:spPr>
        <a:xfrm>
          <a:off x="3470613" y="566215"/>
          <a:ext cx="1156635" cy="480645"/>
        </a:xfrm>
        <a:solidFill>
          <a:srgbClr val="9BBB59">
            <a:tint val="40000"/>
            <a:alpha val="90000"/>
            <a:hueOff val="0"/>
            <a:satOff val="0"/>
            <a:lumOff val="0"/>
            <a:alphaOff val="0"/>
          </a:srgbClr>
        </a:solidFill>
        <a:ln w="25400" cap="flat" cmpd="sng" algn="ctr">
          <a:solidFill>
            <a:srgbClr val="9BBB59">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Фонд ФЛАГ  - заеми за съфинансиране и мостово финансиране</a:t>
          </a:r>
        </a:p>
      </dgm:t>
    </dgm:pt>
    <dgm:pt modelId="{13C712A2-878E-428B-A26B-1A096B704504}" type="parTrans" cxnId="{254C6BDB-28D9-498D-B680-1AACF49DB023}">
      <dgm:prSet/>
      <dgm:spPr/>
      <dgm:t>
        <a:bodyPr/>
        <a:lstStyle/>
        <a:p>
          <a:endParaRPr lang="bg-BG" sz="800"/>
        </a:p>
      </dgm:t>
    </dgm:pt>
    <dgm:pt modelId="{80E55F33-A201-4DAC-9710-58142EC0C13F}" type="sibTrans" cxnId="{254C6BDB-28D9-498D-B680-1AACF49DB023}">
      <dgm:prSet/>
      <dgm:spPr/>
      <dgm:t>
        <a:bodyPr/>
        <a:lstStyle/>
        <a:p>
          <a:endParaRPr lang="bg-BG" sz="800"/>
        </a:p>
      </dgm:t>
    </dgm:pt>
    <dgm:pt modelId="{AAA98193-880F-43F9-9BF8-419C5D95A49C}">
      <dgm:prSet phldrT="[Text]" custT="1"/>
      <dgm:spPr>
        <a:xfrm>
          <a:off x="4627249" y="566215"/>
          <a:ext cx="1156635" cy="480645"/>
        </a:xfrm>
        <a:solidFill>
          <a:srgbClr val="8064A2">
            <a:tint val="40000"/>
            <a:alpha val="90000"/>
            <a:hueOff val="0"/>
            <a:satOff val="0"/>
            <a:lumOff val="0"/>
            <a:alphaOff val="0"/>
          </a:srgbClr>
        </a:solidFill>
        <a:ln w="25400" cap="flat" cmpd="sng" algn="ctr">
          <a:solidFill>
            <a:srgbClr val="8064A2">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ПУДООС - безлихвени заеми за мостово финансиране</a:t>
          </a:r>
        </a:p>
      </dgm:t>
    </dgm:pt>
    <dgm:pt modelId="{1524E92D-4353-4C40-BA21-B80D4E0A67DD}" type="parTrans" cxnId="{8DA06BC8-C155-47AC-B04D-81ACC838A358}">
      <dgm:prSet/>
      <dgm:spPr/>
      <dgm:t>
        <a:bodyPr/>
        <a:lstStyle/>
        <a:p>
          <a:endParaRPr lang="bg-BG" sz="800"/>
        </a:p>
      </dgm:t>
    </dgm:pt>
    <dgm:pt modelId="{031C4BCB-DBDC-46F0-816F-EF92B1BD9DA6}" type="sibTrans" cxnId="{8DA06BC8-C155-47AC-B04D-81ACC838A358}">
      <dgm:prSet/>
      <dgm:spPr/>
      <dgm:t>
        <a:bodyPr/>
        <a:lstStyle/>
        <a:p>
          <a:endParaRPr lang="bg-BG" sz="800"/>
        </a:p>
      </dgm:t>
    </dgm:pt>
    <dgm:pt modelId="{1C127B52-5A5E-44DF-B32D-90640BC7BBA3}">
      <dgm:prSet phldrT="[Text]" custT="1"/>
      <dgm:spPr>
        <a:xfrm>
          <a:off x="0" y="2158046"/>
          <a:ext cx="1446147" cy="480645"/>
        </a:xfrm>
        <a:solidFill>
          <a:srgbClr val="F79646">
            <a:tint val="40000"/>
            <a:alpha val="90000"/>
            <a:hueOff val="0"/>
            <a:satOff val="0"/>
            <a:lumOff val="0"/>
            <a:alphaOff val="0"/>
          </a:srgbClr>
        </a:solidFill>
        <a:ln w="25400" cap="flat" cmpd="sng" algn="ctr">
          <a:solidFill>
            <a:srgbClr val="F79646">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Различни стимули за ползвателите на услуги в сектор Отпадъци</a:t>
          </a:r>
        </a:p>
      </dgm:t>
    </dgm:pt>
    <dgm:pt modelId="{684060F2-1761-469B-B519-531225632DBB}" type="parTrans" cxnId="{FE88C1E0-F73E-4588-A4EA-C8AD8EBD612B}">
      <dgm:prSet/>
      <dgm:spPr/>
      <dgm:t>
        <a:bodyPr/>
        <a:lstStyle/>
        <a:p>
          <a:endParaRPr lang="bg-BG" sz="800"/>
        </a:p>
      </dgm:t>
    </dgm:pt>
    <dgm:pt modelId="{DE4C197A-C065-4834-8F6D-AE2413B144A3}" type="sibTrans" cxnId="{FE88C1E0-F73E-4588-A4EA-C8AD8EBD612B}">
      <dgm:prSet/>
      <dgm:spPr/>
      <dgm:t>
        <a:bodyPr/>
        <a:lstStyle/>
        <a:p>
          <a:endParaRPr lang="bg-BG" sz="800"/>
        </a:p>
      </dgm:t>
    </dgm:pt>
    <dgm:pt modelId="{2C3114A5-BF95-4C49-9BE2-C5BE29DFEE3B}">
      <dgm:prSet phldrT="[Text]" custT="1"/>
      <dgm:spPr>
        <a:xfrm>
          <a:off x="1446147" y="2158046"/>
          <a:ext cx="1446147" cy="480645"/>
        </a:xfrm>
        <a:solidFill>
          <a:srgbClr val="C0504D">
            <a:tint val="40000"/>
            <a:alpha val="90000"/>
            <a:hueOff val="0"/>
            <a:satOff val="0"/>
            <a:lumOff val="0"/>
            <a:alphaOff val="0"/>
          </a:srgbClr>
        </a:solidFill>
        <a:ln w="25400" cap="flat" cmpd="sng" algn="ctr">
          <a:solidFill>
            <a:srgbClr val="C0504D">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Недостатъчно готови инвестиционни проекти</a:t>
          </a:r>
        </a:p>
      </dgm:t>
    </dgm:pt>
    <dgm:pt modelId="{74D400A1-F863-4CCB-A276-5ED87D16EC48}" type="parTrans" cxnId="{973693FE-C1E4-4751-A645-2167A0145604}">
      <dgm:prSet/>
      <dgm:spPr/>
      <dgm:t>
        <a:bodyPr/>
        <a:lstStyle/>
        <a:p>
          <a:endParaRPr lang="bg-BG" sz="800"/>
        </a:p>
      </dgm:t>
    </dgm:pt>
    <dgm:pt modelId="{6B637766-AB69-4F47-8B12-F70276E1C352}" type="sibTrans" cxnId="{973693FE-C1E4-4751-A645-2167A0145604}">
      <dgm:prSet/>
      <dgm:spPr/>
      <dgm:t>
        <a:bodyPr/>
        <a:lstStyle/>
        <a:p>
          <a:endParaRPr lang="bg-BG" sz="800"/>
        </a:p>
      </dgm:t>
    </dgm:pt>
    <dgm:pt modelId="{340AFF3C-C592-4F02-A8AF-6CC590316EFF}">
      <dgm:prSet phldrT="[Text]" custT="1"/>
      <dgm:spPr>
        <a:xfrm>
          <a:off x="2892295" y="2158046"/>
          <a:ext cx="1446147" cy="480645"/>
        </a:xfrm>
        <a:solidFill>
          <a:srgbClr val="9BBB59">
            <a:tint val="40000"/>
            <a:alpha val="90000"/>
            <a:hueOff val="0"/>
            <a:satOff val="0"/>
            <a:lumOff val="0"/>
            <a:alphaOff val="0"/>
          </a:srgbClr>
        </a:solidFill>
        <a:ln w="25400" cap="flat" cmpd="sng" algn="ctr">
          <a:solidFill>
            <a:srgbClr val="9BBB59">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Ограничен достъп до подходящо финансиране</a:t>
          </a:r>
        </a:p>
      </dgm:t>
    </dgm:pt>
    <dgm:pt modelId="{EAFEFA31-F61D-49CF-A5AA-DBB77BD0E289}" type="parTrans" cxnId="{3A664E80-03AE-4066-8CB6-316875C1D11B}">
      <dgm:prSet/>
      <dgm:spPr/>
      <dgm:t>
        <a:bodyPr/>
        <a:lstStyle/>
        <a:p>
          <a:endParaRPr lang="bg-BG" sz="800"/>
        </a:p>
      </dgm:t>
    </dgm:pt>
    <dgm:pt modelId="{D4AD38AD-B868-43D6-993B-98DE551ED3B2}" type="sibTrans" cxnId="{3A664E80-03AE-4066-8CB6-316875C1D11B}">
      <dgm:prSet/>
      <dgm:spPr/>
      <dgm:t>
        <a:bodyPr/>
        <a:lstStyle/>
        <a:p>
          <a:endParaRPr lang="bg-BG" sz="800"/>
        </a:p>
      </dgm:t>
    </dgm:pt>
    <dgm:pt modelId="{118AC32E-D0A9-471E-8805-A990622D67B2}">
      <dgm:prSet phldrT="[Text]" custT="1"/>
      <dgm:spPr>
        <a:xfrm>
          <a:off x="4338443" y="2158046"/>
          <a:ext cx="1446147" cy="480645"/>
        </a:xfrm>
        <a:solidFill>
          <a:srgbClr val="8064A2">
            <a:tint val="40000"/>
            <a:alpha val="90000"/>
            <a:hueOff val="0"/>
            <a:satOff val="0"/>
            <a:lumOff val="0"/>
            <a:alphaOff val="0"/>
          </a:srgbClr>
        </a:solidFill>
        <a:ln w="25400" cap="flat" cmpd="sng" algn="ctr">
          <a:solidFill>
            <a:srgbClr val="8064A2">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Липса на капацитет или недостатъчно опит при управление на проектно финансиране</a:t>
          </a:r>
        </a:p>
      </dgm:t>
    </dgm:pt>
    <dgm:pt modelId="{4A77808B-B795-43AB-8368-C202FB0C2139}" type="parTrans" cxnId="{432F3A0F-F87C-495B-8393-1F83CD176A55}">
      <dgm:prSet/>
      <dgm:spPr/>
      <dgm:t>
        <a:bodyPr/>
        <a:lstStyle/>
        <a:p>
          <a:endParaRPr lang="bg-BG" sz="800"/>
        </a:p>
      </dgm:t>
    </dgm:pt>
    <dgm:pt modelId="{9F11B96C-CB6E-4200-8F70-4DD5F709BF17}" type="sibTrans" cxnId="{432F3A0F-F87C-495B-8393-1F83CD176A55}">
      <dgm:prSet/>
      <dgm:spPr/>
      <dgm:t>
        <a:bodyPr/>
        <a:lstStyle/>
        <a:p>
          <a:endParaRPr lang="bg-BG" sz="800"/>
        </a:p>
      </dgm:t>
    </dgm:pt>
    <dgm:pt modelId="{CEC3B090-0220-456B-BB4E-FC20F05FA341}">
      <dgm:prSet phldrT="[Text]" custT="1"/>
      <dgm:spPr>
        <a:xfrm>
          <a:off x="2892295" y="3749877"/>
          <a:ext cx="1446147" cy="480645"/>
        </a:xfrm>
        <a:solidFill>
          <a:srgbClr val="8064A2">
            <a:tint val="40000"/>
            <a:alpha val="90000"/>
            <a:hueOff val="0"/>
            <a:satOff val="0"/>
            <a:lumOff val="0"/>
            <a:alphaOff val="0"/>
          </a:srgbClr>
        </a:solidFill>
        <a:ln w="25400" cap="flat" cmpd="sng" algn="ctr">
          <a:solidFill>
            <a:srgbClr val="8064A2">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Липса на опит в прилагането на ФИ</a:t>
          </a:r>
        </a:p>
      </dgm:t>
    </dgm:pt>
    <dgm:pt modelId="{3FA36221-CA4C-409B-A53E-53DC8FF496E0}" type="parTrans" cxnId="{E987C31B-0AF5-4326-9CD1-BAFB90F891C4}">
      <dgm:prSet/>
      <dgm:spPr/>
      <dgm:t>
        <a:bodyPr/>
        <a:lstStyle/>
        <a:p>
          <a:endParaRPr lang="bg-BG" sz="800"/>
        </a:p>
      </dgm:t>
    </dgm:pt>
    <dgm:pt modelId="{376A2D56-5114-4ABD-8224-BEA4ECC17E21}" type="sibTrans" cxnId="{E987C31B-0AF5-4326-9CD1-BAFB90F891C4}">
      <dgm:prSet/>
      <dgm:spPr/>
      <dgm:t>
        <a:bodyPr/>
        <a:lstStyle/>
        <a:p>
          <a:endParaRPr lang="bg-BG" sz="800"/>
        </a:p>
      </dgm:t>
    </dgm:pt>
    <dgm:pt modelId="{47D2FEB9-4B4F-49FF-B027-39AEA80309C4}">
      <dgm:prSet phldrT="[Text]" custT="1"/>
      <dgm:spPr>
        <a:xfrm>
          <a:off x="4338443" y="3749877"/>
          <a:ext cx="1446147" cy="480645"/>
        </a:xfrm>
        <a:solidFill>
          <a:srgbClr val="4BACC6">
            <a:tint val="40000"/>
            <a:alpha val="90000"/>
            <a:hueOff val="0"/>
            <a:satOff val="0"/>
            <a:lumOff val="0"/>
            <a:alphaOff val="0"/>
          </a:srgbClr>
        </a:solidFill>
        <a:ln w="25400" cap="flat" cmpd="sng" algn="ctr">
          <a:solidFill>
            <a:srgbClr val="4BACC6">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Публични услуги с голям размер на първоначалните инвестиции и дълъг период на изплащане</a:t>
          </a:r>
        </a:p>
      </dgm:t>
    </dgm:pt>
    <dgm:pt modelId="{92992FE8-0F35-468D-8213-975A7FBF78C1}" type="parTrans" cxnId="{755BBB5C-2228-416A-8DD8-AE7D3983656B}">
      <dgm:prSet/>
      <dgm:spPr/>
      <dgm:t>
        <a:bodyPr/>
        <a:lstStyle/>
        <a:p>
          <a:endParaRPr lang="bg-BG" sz="800"/>
        </a:p>
      </dgm:t>
    </dgm:pt>
    <dgm:pt modelId="{BDBAE3E5-DBA0-4A0B-8D5C-AEFB48695E0A}" type="sibTrans" cxnId="{755BBB5C-2228-416A-8DD8-AE7D3983656B}">
      <dgm:prSet/>
      <dgm:spPr/>
      <dgm:t>
        <a:bodyPr/>
        <a:lstStyle/>
        <a:p>
          <a:endParaRPr lang="bg-BG" sz="800"/>
        </a:p>
      </dgm:t>
    </dgm:pt>
    <dgm:pt modelId="{065455D4-C36A-4555-8E2D-C5608BB33B0D}">
      <dgm:prSet phldrT="[Text]" custT="1"/>
      <dgm:spPr>
        <a:xfrm>
          <a:off x="1446147" y="3749877"/>
          <a:ext cx="1446147" cy="480645"/>
        </a:xfrm>
        <a:solidFill>
          <a:srgbClr val="9BBB59">
            <a:tint val="40000"/>
            <a:alpha val="90000"/>
            <a:hueOff val="0"/>
            <a:satOff val="0"/>
            <a:lumOff val="0"/>
            <a:alphaOff val="0"/>
          </a:srgbClr>
        </a:solidFill>
        <a:ln w="25400" cap="flat" cmpd="sng" algn="ctr">
          <a:solidFill>
            <a:srgbClr val="9BBB59">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Публични услуги с незадоволително участие на частния сектор</a:t>
          </a:r>
        </a:p>
      </dgm:t>
    </dgm:pt>
    <dgm:pt modelId="{79DC7543-8AE5-44E0-91F9-2885F0F82B31}" type="parTrans" cxnId="{D0D4D4AF-76D0-4768-960E-072FDB0EBDC1}">
      <dgm:prSet/>
      <dgm:spPr/>
      <dgm:t>
        <a:bodyPr/>
        <a:lstStyle/>
        <a:p>
          <a:endParaRPr lang="bg-BG" sz="800"/>
        </a:p>
      </dgm:t>
    </dgm:pt>
    <dgm:pt modelId="{A426E2B2-A582-4AF0-98EF-6C4589AB91DB}" type="sibTrans" cxnId="{D0D4D4AF-76D0-4768-960E-072FDB0EBDC1}">
      <dgm:prSet/>
      <dgm:spPr/>
      <dgm:t>
        <a:bodyPr/>
        <a:lstStyle/>
        <a:p>
          <a:endParaRPr lang="bg-BG" sz="800"/>
        </a:p>
      </dgm:t>
    </dgm:pt>
    <dgm:pt modelId="{5C38F257-5BDE-490D-BB02-9B69CE6776A2}">
      <dgm:prSet phldrT="[Text]" custT="1"/>
      <dgm:spPr>
        <a:xfrm>
          <a:off x="706" y="566215"/>
          <a:ext cx="1156635" cy="480645"/>
        </a:xfrm>
        <a:solidFill>
          <a:srgbClr val="4BACC6">
            <a:tint val="40000"/>
            <a:alpha val="90000"/>
            <a:hueOff val="0"/>
            <a:satOff val="0"/>
            <a:lumOff val="0"/>
            <a:alphaOff val="0"/>
          </a:srgbClr>
        </a:solidFill>
        <a:ln w="25400" cap="flat" cmpd="sng" algn="ctr">
          <a:solidFill>
            <a:srgbClr val="4BACC6">
              <a:tint val="40000"/>
              <a:alpha val="90000"/>
              <a:hueOff val="0"/>
              <a:satOff val="0"/>
              <a:lumOff val="0"/>
              <a:alphaOff val="0"/>
            </a:srgbClr>
          </a:solidFill>
          <a:prstDash val="solid"/>
        </a:ln>
        <a:effectLst/>
      </dgm:spPr>
      <dgm:t>
        <a:bodyPr/>
        <a:lstStyle/>
        <a:p>
          <a:r>
            <a:rPr lang="bg-BG" sz="800">
              <a:solidFill>
                <a:sysClr val="windowText" lastClr="000000">
                  <a:hueOff val="0"/>
                  <a:satOff val="0"/>
                  <a:lumOff val="0"/>
                  <a:alphaOff val="0"/>
                </a:sysClr>
              </a:solidFill>
              <a:latin typeface="Calibri"/>
              <a:ea typeface="+mn-ea"/>
              <a:cs typeface="+mn-cs"/>
            </a:rPr>
            <a:t>Безвъзмездна финансова помощ от ЕС</a:t>
          </a:r>
        </a:p>
      </dgm:t>
    </dgm:pt>
    <dgm:pt modelId="{E6DF9940-C4A9-4988-8EA3-F5E0EB320E77}" type="parTrans" cxnId="{F2709ED8-333B-414D-9DAD-BB2B2E55FE52}">
      <dgm:prSet/>
      <dgm:spPr/>
      <dgm:t>
        <a:bodyPr/>
        <a:lstStyle/>
        <a:p>
          <a:endParaRPr lang="bg-BG" sz="800"/>
        </a:p>
      </dgm:t>
    </dgm:pt>
    <dgm:pt modelId="{A11C0D9D-0707-416D-9203-D8EAB34207C6}" type="sibTrans" cxnId="{F2709ED8-333B-414D-9DAD-BB2B2E55FE52}">
      <dgm:prSet/>
      <dgm:spPr/>
      <dgm:t>
        <a:bodyPr/>
        <a:lstStyle/>
        <a:p>
          <a:endParaRPr lang="bg-BG" sz="800"/>
        </a:p>
      </dgm:t>
    </dgm:pt>
    <dgm:pt modelId="{02381903-F41F-479D-BFB8-3A24DD69920F}">
      <dgm:prSet phldrT="[Text]" custT="1"/>
      <dgm:spPr>
        <a:xfrm>
          <a:off x="0" y="4777472"/>
          <a:ext cx="5784591" cy="1045194"/>
        </a:xfr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400" b="1">
              <a:solidFill>
                <a:sysClr val="window" lastClr="FFFFFF"/>
              </a:solidFill>
              <a:latin typeface="Calibri"/>
              <a:ea typeface="+mn-ea"/>
              <a:cs typeface="+mn-cs"/>
            </a:rPr>
            <a:t>Пазарен неуспех и неоптимална инвестиционна ситуация</a:t>
          </a:r>
        </a:p>
      </dgm:t>
    </dgm:pt>
    <dgm:pt modelId="{3D55B492-4205-4249-A8D7-EB00690ADEC2}" type="parTrans" cxnId="{0D1054DB-7C16-48D8-BDB1-7C5BF3926298}">
      <dgm:prSet/>
      <dgm:spPr/>
      <dgm:t>
        <a:bodyPr/>
        <a:lstStyle/>
        <a:p>
          <a:endParaRPr lang="bg-BG" sz="800"/>
        </a:p>
      </dgm:t>
    </dgm:pt>
    <dgm:pt modelId="{532BFF79-472C-4A41-BB4E-3C2780FC13A8}" type="sibTrans" cxnId="{0D1054DB-7C16-48D8-BDB1-7C5BF3926298}">
      <dgm:prSet/>
      <dgm:spPr/>
      <dgm:t>
        <a:bodyPr/>
        <a:lstStyle/>
        <a:p>
          <a:endParaRPr lang="bg-BG" sz="800"/>
        </a:p>
      </dgm:t>
    </dgm:pt>
    <dgm:pt modelId="{494095AF-317D-4F20-B487-B3181608C0B6}" type="pres">
      <dgm:prSet presAssocID="{23A32B9A-6962-4317-BEFC-F1D401E0D375}" presName="Name0" presStyleCnt="0">
        <dgm:presLayoutVars>
          <dgm:dir/>
          <dgm:animLvl val="lvl"/>
          <dgm:resizeHandles val="exact"/>
        </dgm:presLayoutVars>
      </dgm:prSet>
      <dgm:spPr/>
      <dgm:t>
        <a:bodyPr/>
        <a:lstStyle/>
        <a:p>
          <a:endParaRPr lang="bg-BG"/>
        </a:p>
      </dgm:t>
    </dgm:pt>
    <dgm:pt modelId="{59F4EF3D-B1DA-494B-A6D8-C50C32A13B2D}" type="pres">
      <dgm:prSet presAssocID="{02381903-F41F-479D-BFB8-3A24DD69920F}" presName="boxAndChildren" presStyleCnt="0"/>
      <dgm:spPr/>
      <dgm:t>
        <a:bodyPr/>
        <a:lstStyle/>
        <a:p>
          <a:endParaRPr lang="bg-BG"/>
        </a:p>
      </dgm:t>
    </dgm:pt>
    <dgm:pt modelId="{9D9DD7BF-75FD-40D4-9014-42F8D09A0CD1}" type="pres">
      <dgm:prSet presAssocID="{02381903-F41F-479D-BFB8-3A24DD69920F}" presName="parentTextBox" presStyleLbl="node1" presStyleIdx="0" presStyleCnt="4"/>
      <dgm:spPr>
        <a:prstGeom prst="rect">
          <a:avLst/>
        </a:prstGeom>
      </dgm:spPr>
      <dgm:t>
        <a:bodyPr/>
        <a:lstStyle/>
        <a:p>
          <a:endParaRPr lang="bg-BG"/>
        </a:p>
      </dgm:t>
    </dgm:pt>
    <dgm:pt modelId="{59771051-46E6-44BE-B0CC-1DF7077AF402}" type="pres">
      <dgm:prSet presAssocID="{6FA61E24-319E-407A-8DB1-010ECAEB6374}" presName="sp" presStyleCnt="0"/>
      <dgm:spPr/>
      <dgm:t>
        <a:bodyPr/>
        <a:lstStyle/>
        <a:p>
          <a:endParaRPr lang="bg-BG"/>
        </a:p>
      </dgm:t>
    </dgm:pt>
    <dgm:pt modelId="{C586E322-0248-43B1-A464-B85CE7AD1FC3}" type="pres">
      <dgm:prSet presAssocID="{8FE3D517-63D8-4B1F-9676-63FE38B796A9}" presName="arrowAndChildren" presStyleCnt="0"/>
      <dgm:spPr/>
      <dgm:t>
        <a:bodyPr/>
        <a:lstStyle/>
        <a:p>
          <a:endParaRPr lang="bg-BG"/>
        </a:p>
      </dgm:t>
    </dgm:pt>
    <dgm:pt modelId="{FAD3FB79-2198-4431-B827-B06673D3DC69}" type="pres">
      <dgm:prSet presAssocID="{8FE3D517-63D8-4B1F-9676-63FE38B796A9}" presName="parentTextArrow" presStyleLbl="node1" presStyleIdx="0" presStyleCnt="4"/>
      <dgm:spPr>
        <a:prstGeom prst="upArrowCallout">
          <a:avLst/>
        </a:prstGeom>
      </dgm:spPr>
      <dgm:t>
        <a:bodyPr/>
        <a:lstStyle/>
        <a:p>
          <a:endParaRPr lang="bg-BG"/>
        </a:p>
      </dgm:t>
    </dgm:pt>
    <dgm:pt modelId="{44553E6B-8AD2-46BC-9BE6-B66976392FD9}" type="pres">
      <dgm:prSet presAssocID="{8FE3D517-63D8-4B1F-9676-63FE38B796A9}" presName="arrow" presStyleLbl="node1" presStyleIdx="1" presStyleCnt="4"/>
      <dgm:spPr/>
      <dgm:t>
        <a:bodyPr/>
        <a:lstStyle/>
        <a:p>
          <a:endParaRPr lang="bg-BG"/>
        </a:p>
      </dgm:t>
    </dgm:pt>
    <dgm:pt modelId="{78A3E087-66CC-4B77-8AED-0CF1DC2BEE3B}" type="pres">
      <dgm:prSet presAssocID="{8FE3D517-63D8-4B1F-9676-63FE38B796A9}" presName="descendantArrow" presStyleCnt="0"/>
      <dgm:spPr/>
      <dgm:t>
        <a:bodyPr/>
        <a:lstStyle/>
        <a:p>
          <a:endParaRPr lang="bg-BG"/>
        </a:p>
      </dgm:t>
    </dgm:pt>
    <dgm:pt modelId="{2A144D04-B277-47AF-BCC5-C0E7523254BF}" type="pres">
      <dgm:prSet presAssocID="{542E910C-CE15-4C1D-B944-6488D74520F9}" presName="childTextArrow" presStyleLbl="fgAccFollowNode1" presStyleIdx="0" presStyleCnt="13">
        <dgm:presLayoutVars>
          <dgm:bulletEnabled val="1"/>
        </dgm:presLayoutVars>
      </dgm:prSet>
      <dgm:spPr>
        <a:prstGeom prst="rect">
          <a:avLst/>
        </a:prstGeom>
      </dgm:spPr>
      <dgm:t>
        <a:bodyPr/>
        <a:lstStyle/>
        <a:p>
          <a:endParaRPr lang="bg-BG"/>
        </a:p>
      </dgm:t>
    </dgm:pt>
    <dgm:pt modelId="{50EC5608-D5C1-4313-81C2-26E0FFD6064F}" type="pres">
      <dgm:prSet presAssocID="{065455D4-C36A-4555-8E2D-C5608BB33B0D}" presName="childTextArrow" presStyleLbl="fgAccFollowNode1" presStyleIdx="1" presStyleCnt="13">
        <dgm:presLayoutVars>
          <dgm:bulletEnabled val="1"/>
        </dgm:presLayoutVars>
      </dgm:prSet>
      <dgm:spPr>
        <a:prstGeom prst="rect">
          <a:avLst/>
        </a:prstGeom>
      </dgm:spPr>
      <dgm:t>
        <a:bodyPr/>
        <a:lstStyle/>
        <a:p>
          <a:endParaRPr lang="bg-BG"/>
        </a:p>
      </dgm:t>
    </dgm:pt>
    <dgm:pt modelId="{6001BEED-1C08-43C4-AFE3-9330D26A6EB9}" type="pres">
      <dgm:prSet presAssocID="{CEC3B090-0220-456B-BB4E-FC20F05FA341}" presName="childTextArrow" presStyleLbl="fgAccFollowNode1" presStyleIdx="2" presStyleCnt="13">
        <dgm:presLayoutVars>
          <dgm:bulletEnabled val="1"/>
        </dgm:presLayoutVars>
      </dgm:prSet>
      <dgm:spPr>
        <a:prstGeom prst="rect">
          <a:avLst/>
        </a:prstGeom>
      </dgm:spPr>
      <dgm:t>
        <a:bodyPr/>
        <a:lstStyle/>
        <a:p>
          <a:endParaRPr lang="bg-BG"/>
        </a:p>
      </dgm:t>
    </dgm:pt>
    <dgm:pt modelId="{DEF3529B-8B25-4E49-8ACC-3C475A80A60A}" type="pres">
      <dgm:prSet presAssocID="{47D2FEB9-4B4F-49FF-B027-39AEA80309C4}" presName="childTextArrow" presStyleLbl="fgAccFollowNode1" presStyleIdx="3" presStyleCnt="13">
        <dgm:presLayoutVars>
          <dgm:bulletEnabled val="1"/>
        </dgm:presLayoutVars>
      </dgm:prSet>
      <dgm:spPr>
        <a:prstGeom prst="rect">
          <a:avLst/>
        </a:prstGeom>
      </dgm:spPr>
      <dgm:t>
        <a:bodyPr/>
        <a:lstStyle/>
        <a:p>
          <a:endParaRPr lang="bg-BG"/>
        </a:p>
      </dgm:t>
    </dgm:pt>
    <dgm:pt modelId="{FF8DD1BE-14BC-4139-871D-56D86C65C004}" type="pres">
      <dgm:prSet presAssocID="{DD5ECDE1-4B17-4626-BA20-8B524D32CC8D}" presName="sp" presStyleCnt="0"/>
      <dgm:spPr/>
      <dgm:t>
        <a:bodyPr/>
        <a:lstStyle/>
        <a:p>
          <a:endParaRPr lang="bg-BG"/>
        </a:p>
      </dgm:t>
    </dgm:pt>
    <dgm:pt modelId="{B2DDB0E4-4F9A-45C1-91FF-9F83484465A1}" type="pres">
      <dgm:prSet presAssocID="{37FFB657-CED4-4A13-908D-DDA8FA4EBBAF}" presName="arrowAndChildren" presStyleCnt="0"/>
      <dgm:spPr/>
      <dgm:t>
        <a:bodyPr/>
        <a:lstStyle/>
        <a:p>
          <a:endParaRPr lang="bg-BG"/>
        </a:p>
      </dgm:t>
    </dgm:pt>
    <dgm:pt modelId="{A6D69E59-AD4C-4D99-A360-F44AE646DC45}" type="pres">
      <dgm:prSet presAssocID="{37FFB657-CED4-4A13-908D-DDA8FA4EBBAF}" presName="parentTextArrow" presStyleLbl="node1" presStyleIdx="1" presStyleCnt="4"/>
      <dgm:spPr>
        <a:prstGeom prst="upArrowCallout">
          <a:avLst/>
        </a:prstGeom>
      </dgm:spPr>
      <dgm:t>
        <a:bodyPr/>
        <a:lstStyle/>
        <a:p>
          <a:endParaRPr lang="bg-BG"/>
        </a:p>
      </dgm:t>
    </dgm:pt>
    <dgm:pt modelId="{F78E0E7F-9B97-4A03-873E-DFA13145B11B}" type="pres">
      <dgm:prSet presAssocID="{37FFB657-CED4-4A13-908D-DDA8FA4EBBAF}" presName="arrow" presStyleLbl="node1" presStyleIdx="2" presStyleCnt="4"/>
      <dgm:spPr/>
      <dgm:t>
        <a:bodyPr/>
        <a:lstStyle/>
        <a:p>
          <a:endParaRPr lang="bg-BG"/>
        </a:p>
      </dgm:t>
    </dgm:pt>
    <dgm:pt modelId="{E7AD694A-F4CF-40A0-ADEF-736DD7A783E9}" type="pres">
      <dgm:prSet presAssocID="{37FFB657-CED4-4A13-908D-DDA8FA4EBBAF}" presName="descendantArrow" presStyleCnt="0"/>
      <dgm:spPr/>
      <dgm:t>
        <a:bodyPr/>
        <a:lstStyle/>
        <a:p>
          <a:endParaRPr lang="bg-BG"/>
        </a:p>
      </dgm:t>
    </dgm:pt>
    <dgm:pt modelId="{C745B4F3-18AD-4736-882D-1E5484DDD628}" type="pres">
      <dgm:prSet presAssocID="{1C127B52-5A5E-44DF-B32D-90640BC7BBA3}" presName="childTextArrow" presStyleLbl="fgAccFollowNode1" presStyleIdx="4" presStyleCnt="13">
        <dgm:presLayoutVars>
          <dgm:bulletEnabled val="1"/>
        </dgm:presLayoutVars>
      </dgm:prSet>
      <dgm:spPr>
        <a:prstGeom prst="rect">
          <a:avLst/>
        </a:prstGeom>
      </dgm:spPr>
      <dgm:t>
        <a:bodyPr/>
        <a:lstStyle/>
        <a:p>
          <a:endParaRPr lang="bg-BG"/>
        </a:p>
      </dgm:t>
    </dgm:pt>
    <dgm:pt modelId="{BFEE3ADB-D684-4D64-A1A1-693C7A2C3CA9}" type="pres">
      <dgm:prSet presAssocID="{2C3114A5-BF95-4C49-9BE2-C5BE29DFEE3B}" presName="childTextArrow" presStyleLbl="fgAccFollowNode1" presStyleIdx="5" presStyleCnt="13">
        <dgm:presLayoutVars>
          <dgm:bulletEnabled val="1"/>
        </dgm:presLayoutVars>
      </dgm:prSet>
      <dgm:spPr>
        <a:prstGeom prst="rect">
          <a:avLst/>
        </a:prstGeom>
      </dgm:spPr>
      <dgm:t>
        <a:bodyPr/>
        <a:lstStyle/>
        <a:p>
          <a:endParaRPr lang="bg-BG"/>
        </a:p>
      </dgm:t>
    </dgm:pt>
    <dgm:pt modelId="{63A88AF5-EDCF-430E-AFC2-FE938F4E30A1}" type="pres">
      <dgm:prSet presAssocID="{340AFF3C-C592-4F02-A8AF-6CC590316EFF}" presName="childTextArrow" presStyleLbl="fgAccFollowNode1" presStyleIdx="6" presStyleCnt="13">
        <dgm:presLayoutVars>
          <dgm:bulletEnabled val="1"/>
        </dgm:presLayoutVars>
      </dgm:prSet>
      <dgm:spPr>
        <a:prstGeom prst="rect">
          <a:avLst/>
        </a:prstGeom>
      </dgm:spPr>
      <dgm:t>
        <a:bodyPr/>
        <a:lstStyle/>
        <a:p>
          <a:endParaRPr lang="bg-BG"/>
        </a:p>
      </dgm:t>
    </dgm:pt>
    <dgm:pt modelId="{ABEF8898-CB6C-4DA6-A2BC-5D3584AECE7B}" type="pres">
      <dgm:prSet presAssocID="{118AC32E-D0A9-471E-8805-A990622D67B2}" presName="childTextArrow" presStyleLbl="fgAccFollowNode1" presStyleIdx="7" presStyleCnt="13">
        <dgm:presLayoutVars>
          <dgm:bulletEnabled val="1"/>
        </dgm:presLayoutVars>
      </dgm:prSet>
      <dgm:spPr>
        <a:prstGeom prst="rect">
          <a:avLst/>
        </a:prstGeom>
      </dgm:spPr>
      <dgm:t>
        <a:bodyPr/>
        <a:lstStyle/>
        <a:p>
          <a:endParaRPr lang="bg-BG"/>
        </a:p>
      </dgm:t>
    </dgm:pt>
    <dgm:pt modelId="{FD6A6ED3-7707-4688-9FB6-D163906B9BAD}" type="pres">
      <dgm:prSet presAssocID="{EB8E63C1-3444-4625-8591-13873BC1B810}" presName="sp" presStyleCnt="0"/>
      <dgm:spPr/>
      <dgm:t>
        <a:bodyPr/>
        <a:lstStyle/>
        <a:p>
          <a:endParaRPr lang="bg-BG"/>
        </a:p>
      </dgm:t>
    </dgm:pt>
    <dgm:pt modelId="{7C016111-9ED9-4AC0-B937-BF50C5909671}" type="pres">
      <dgm:prSet presAssocID="{E53DDB7E-93AA-4075-B0B8-EA4D35A984F2}" presName="arrowAndChildren" presStyleCnt="0"/>
      <dgm:spPr/>
      <dgm:t>
        <a:bodyPr/>
        <a:lstStyle/>
        <a:p>
          <a:endParaRPr lang="bg-BG"/>
        </a:p>
      </dgm:t>
    </dgm:pt>
    <dgm:pt modelId="{9F6634AA-F684-4A22-A214-96199F10244E}" type="pres">
      <dgm:prSet presAssocID="{E53DDB7E-93AA-4075-B0B8-EA4D35A984F2}" presName="parentTextArrow" presStyleLbl="node1" presStyleIdx="2" presStyleCnt="4"/>
      <dgm:spPr>
        <a:prstGeom prst="upArrowCallout">
          <a:avLst/>
        </a:prstGeom>
      </dgm:spPr>
      <dgm:t>
        <a:bodyPr/>
        <a:lstStyle/>
        <a:p>
          <a:endParaRPr lang="bg-BG"/>
        </a:p>
      </dgm:t>
    </dgm:pt>
    <dgm:pt modelId="{5F4753C0-B7AC-487A-AD1F-2B864BEF95FD}" type="pres">
      <dgm:prSet presAssocID="{E53DDB7E-93AA-4075-B0B8-EA4D35A984F2}" presName="arrow" presStyleLbl="node1" presStyleIdx="3" presStyleCnt="4"/>
      <dgm:spPr/>
      <dgm:t>
        <a:bodyPr/>
        <a:lstStyle/>
        <a:p>
          <a:endParaRPr lang="bg-BG"/>
        </a:p>
      </dgm:t>
    </dgm:pt>
    <dgm:pt modelId="{C9512512-5844-4C5E-B3B2-8A09B1E8FF94}" type="pres">
      <dgm:prSet presAssocID="{E53DDB7E-93AA-4075-B0B8-EA4D35A984F2}" presName="descendantArrow" presStyleCnt="0"/>
      <dgm:spPr/>
      <dgm:t>
        <a:bodyPr/>
        <a:lstStyle/>
        <a:p>
          <a:endParaRPr lang="bg-BG"/>
        </a:p>
      </dgm:t>
    </dgm:pt>
    <dgm:pt modelId="{9EC0C046-E1CB-4877-A7A6-8DE8909C9D01}" type="pres">
      <dgm:prSet presAssocID="{5C38F257-5BDE-490D-BB02-9B69CE6776A2}" presName="childTextArrow" presStyleLbl="fgAccFollowNode1" presStyleIdx="8" presStyleCnt="13">
        <dgm:presLayoutVars>
          <dgm:bulletEnabled val="1"/>
        </dgm:presLayoutVars>
      </dgm:prSet>
      <dgm:spPr>
        <a:prstGeom prst="rect">
          <a:avLst/>
        </a:prstGeom>
      </dgm:spPr>
      <dgm:t>
        <a:bodyPr/>
        <a:lstStyle/>
        <a:p>
          <a:endParaRPr lang="bg-BG"/>
        </a:p>
      </dgm:t>
    </dgm:pt>
    <dgm:pt modelId="{CE17F1D6-06C4-4C72-8F8B-690B8FC6B71F}" type="pres">
      <dgm:prSet presAssocID="{5A496740-5EB1-4083-87FA-8F6385CD5FED}" presName="childTextArrow" presStyleLbl="fgAccFollowNode1" presStyleIdx="9" presStyleCnt="13">
        <dgm:presLayoutVars>
          <dgm:bulletEnabled val="1"/>
        </dgm:presLayoutVars>
      </dgm:prSet>
      <dgm:spPr>
        <a:prstGeom prst="rect">
          <a:avLst/>
        </a:prstGeom>
      </dgm:spPr>
      <dgm:t>
        <a:bodyPr/>
        <a:lstStyle/>
        <a:p>
          <a:endParaRPr lang="bg-BG"/>
        </a:p>
      </dgm:t>
    </dgm:pt>
    <dgm:pt modelId="{065C51F8-87B6-453B-89D5-BFE5B24E3623}" type="pres">
      <dgm:prSet presAssocID="{CF90A33D-C2B7-46EE-BF62-BD362828311C}" presName="childTextArrow" presStyleLbl="fgAccFollowNode1" presStyleIdx="10" presStyleCnt="13">
        <dgm:presLayoutVars>
          <dgm:bulletEnabled val="1"/>
        </dgm:presLayoutVars>
      </dgm:prSet>
      <dgm:spPr>
        <a:prstGeom prst="rect">
          <a:avLst/>
        </a:prstGeom>
      </dgm:spPr>
      <dgm:t>
        <a:bodyPr/>
        <a:lstStyle/>
        <a:p>
          <a:endParaRPr lang="bg-BG"/>
        </a:p>
      </dgm:t>
    </dgm:pt>
    <dgm:pt modelId="{EFAFC93D-85F6-4346-9494-229C444B322C}" type="pres">
      <dgm:prSet presAssocID="{5759EE38-CC64-44F0-9FE0-A42FB34618A8}" presName="childTextArrow" presStyleLbl="fgAccFollowNode1" presStyleIdx="11" presStyleCnt="13">
        <dgm:presLayoutVars>
          <dgm:bulletEnabled val="1"/>
        </dgm:presLayoutVars>
      </dgm:prSet>
      <dgm:spPr>
        <a:prstGeom prst="rect">
          <a:avLst/>
        </a:prstGeom>
      </dgm:spPr>
      <dgm:t>
        <a:bodyPr/>
        <a:lstStyle/>
        <a:p>
          <a:endParaRPr lang="bg-BG"/>
        </a:p>
      </dgm:t>
    </dgm:pt>
    <dgm:pt modelId="{E5645726-787A-4B70-8D41-52FDFB21DE7F}" type="pres">
      <dgm:prSet presAssocID="{AAA98193-880F-43F9-9BF8-419C5D95A49C}" presName="childTextArrow" presStyleLbl="fgAccFollowNode1" presStyleIdx="12" presStyleCnt="13">
        <dgm:presLayoutVars>
          <dgm:bulletEnabled val="1"/>
        </dgm:presLayoutVars>
      </dgm:prSet>
      <dgm:spPr>
        <a:prstGeom prst="rect">
          <a:avLst/>
        </a:prstGeom>
      </dgm:spPr>
      <dgm:t>
        <a:bodyPr/>
        <a:lstStyle/>
        <a:p>
          <a:endParaRPr lang="bg-BG"/>
        </a:p>
      </dgm:t>
    </dgm:pt>
  </dgm:ptLst>
  <dgm:cxnLst>
    <dgm:cxn modelId="{182E8A42-9B86-435F-915D-380C5DFD8C00}" type="presOf" srcId="{E53DDB7E-93AA-4075-B0B8-EA4D35A984F2}" destId="{5F4753C0-B7AC-487A-AD1F-2B864BEF95FD}" srcOrd="1" destOrd="0" presId="urn:microsoft.com/office/officeart/2005/8/layout/process4"/>
    <dgm:cxn modelId="{2161EFA0-F16E-48B4-B79A-3C8CD75DFC8A}" srcId="{23A32B9A-6962-4317-BEFC-F1D401E0D375}" destId="{E53DDB7E-93AA-4075-B0B8-EA4D35A984F2}" srcOrd="0" destOrd="0" parTransId="{D0DCDEB5-271F-4C2C-99A0-2F4EF4D0E19F}" sibTransId="{EB8E63C1-3444-4625-8591-13873BC1B810}"/>
    <dgm:cxn modelId="{E6B0539B-88A7-4BE2-97EC-71B6F4149367}" type="presOf" srcId="{CEC3B090-0220-456B-BB4E-FC20F05FA341}" destId="{6001BEED-1C08-43C4-AFE3-9330D26A6EB9}" srcOrd="0" destOrd="0" presId="urn:microsoft.com/office/officeart/2005/8/layout/process4"/>
    <dgm:cxn modelId="{5570ACF0-CB68-443B-ACB6-6BC7CEEF6775}" type="presOf" srcId="{5C38F257-5BDE-490D-BB02-9B69CE6776A2}" destId="{9EC0C046-E1CB-4877-A7A6-8DE8909C9D01}" srcOrd="0" destOrd="0" presId="urn:microsoft.com/office/officeart/2005/8/layout/process4"/>
    <dgm:cxn modelId="{0D1054DB-7C16-48D8-BDB1-7C5BF3926298}" srcId="{23A32B9A-6962-4317-BEFC-F1D401E0D375}" destId="{02381903-F41F-479D-BFB8-3A24DD69920F}" srcOrd="3" destOrd="0" parTransId="{3D55B492-4205-4249-A8D7-EB00690ADEC2}" sibTransId="{532BFF79-472C-4A41-BB4E-3C2780FC13A8}"/>
    <dgm:cxn modelId="{254C6BDB-28D9-498D-B680-1AACF49DB023}" srcId="{E53DDB7E-93AA-4075-B0B8-EA4D35A984F2}" destId="{5759EE38-CC64-44F0-9FE0-A42FB34618A8}" srcOrd="3" destOrd="0" parTransId="{13C712A2-878E-428B-A26B-1A096B704504}" sibTransId="{80E55F33-A201-4DAC-9710-58142EC0C13F}"/>
    <dgm:cxn modelId="{E987C31B-0AF5-4326-9CD1-BAFB90F891C4}" srcId="{8FE3D517-63D8-4B1F-9676-63FE38B796A9}" destId="{CEC3B090-0220-456B-BB4E-FC20F05FA341}" srcOrd="2" destOrd="0" parTransId="{3FA36221-CA4C-409B-A53E-53DC8FF496E0}" sibTransId="{376A2D56-5114-4ABD-8224-BEA4ECC17E21}"/>
    <dgm:cxn modelId="{53FA075A-D86A-4B02-94D1-03EFA0D390B4}" type="presOf" srcId="{47D2FEB9-4B4F-49FF-B027-39AEA80309C4}" destId="{DEF3529B-8B25-4E49-8ACC-3C475A80A60A}" srcOrd="0" destOrd="0" presId="urn:microsoft.com/office/officeart/2005/8/layout/process4"/>
    <dgm:cxn modelId="{3A664E80-03AE-4066-8CB6-316875C1D11B}" srcId="{37FFB657-CED4-4A13-908D-DDA8FA4EBBAF}" destId="{340AFF3C-C592-4F02-A8AF-6CC590316EFF}" srcOrd="2" destOrd="0" parTransId="{EAFEFA31-F61D-49CF-A5AA-DBB77BD0E289}" sibTransId="{D4AD38AD-B868-43D6-993B-98DE551ED3B2}"/>
    <dgm:cxn modelId="{9DECD37C-5788-475D-917A-8BD76D57BE65}" srcId="{23A32B9A-6962-4317-BEFC-F1D401E0D375}" destId="{8FE3D517-63D8-4B1F-9676-63FE38B796A9}" srcOrd="2" destOrd="0" parTransId="{65A40A06-65B5-4B43-8DB9-633C3E73E9D4}" sibTransId="{6FA61E24-319E-407A-8DB1-010ECAEB6374}"/>
    <dgm:cxn modelId="{4D4CDC8C-3C6F-4430-A110-AD463EC07FA0}" type="presOf" srcId="{8FE3D517-63D8-4B1F-9676-63FE38B796A9}" destId="{44553E6B-8AD2-46BC-9BE6-B66976392FD9}" srcOrd="1" destOrd="0" presId="urn:microsoft.com/office/officeart/2005/8/layout/process4"/>
    <dgm:cxn modelId="{A3861775-1558-435D-90D1-7FAE614F2AD4}" type="presOf" srcId="{5A496740-5EB1-4083-87FA-8F6385CD5FED}" destId="{CE17F1D6-06C4-4C72-8F8B-690B8FC6B71F}" srcOrd="0" destOrd="0" presId="urn:microsoft.com/office/officeart/2005/8/layout/process4"/>
    <dgm:cxn modelId="{FA162CA2-D2BA-4104-844C-73D1226DDE73}" type="presOf" srcId="{065455D4-C36A-4555-8E2D-C5608BB33B0D}" destId="{50EC5608-D5C1-4313-81C2-26E0FFD6064F}" srcOrd="0" destOrd="0" presId="urn:microsoft.com/office/officeart/2005/8/layout/process4"/>
    <dgm:cxn modelId="{432F3A0F-F87C-495B-8393-1F83CD176A55}" srcId="{37FFB657-CED4-4A13-908D-DDA8FA4EBBAF}" destId="{118AC32E-D0A9-471E-8805-A990622D67B2}" srcOrd="3" destOrd="0" parTransId="{4A77808B-B795-43AB-8368-C202FB0C2139}" sibTransId="{9F11B96C-CB6E-4200-8F70-4DD5F709BF17}"/>
    <dgm:cxn modelId="{40B5E650-DCFA-48D9-8067-C543CED117FA}" type="presOf" srcId="{E53DDB7E-93AA-4075-B0B8-EA4D35A984F2}" destId="{9F6634AA-F684-4A22-A214-96199F10244E}" srcOrd="0" destOrd="0" presId="urn:microsoft.com/office/officeart/2005/8/layout/process4"/>
    <dgm:cxn modelId="{0EC95321-07E3-4FBA-8A3E-EE5772CED3B5}" srcId="{8FE3D517-63D8-4B1F-9676-63FE38B796A9}" destId="{542E910C-CE15-4C1D-B944-6488D74520F9}" srcOrd="0" destOrd="0" parTransId="{43E127A5-EC8A-4C46-9E45-9DD7360A7A7F}" sibTransId="{04FAAB40-6491-4B39-8B60-0C3D4D1F68A2}"/>
    <dgm:cxn modelId="{FE88C1E0-F73E-4588-A4EA-C8AD8EBD612B}" srcId="{37FFB657-CED4-4A13-908D-DDA8FA4EBBAF}" destId="{1C127B52-5A5E-44DF-B32D-90640BC7BBA3}" srcOrd="0" destOrd="0" parTransId="{684060F2-1761-469B-B519-531225632DBB}" sibTransId="{DE4C197A-C065-4834-8F6D-AE2413B144A3}"/>
    <dgm:cxn modelId="{973693FE-C1E4-4751-A645-2167A0145604}" srcId="{37FFB657-CED4-4A13-908D-DDA8FA4EBBAF}" destId="{2C3114A5-BF95-4C49-9BE2-C5BE29DFEE3B}" srcOrd="1" destOrd="0" parTransId="{74D400A1-F863-4CCB-A276-5ED87D16EC48}" sibTransId="{6B637766-AB69-4F47-8B12-F70276E1C352}"/>
    <dgm:cxn modelId="{D0D4D4AF-76D0-4768-960E-072FDB0EBDC1}" srcId="{8FE3D517-63D8-4B1F-9676-63FE38B796A9}" destId="{065455D4-C36A-4555-8E2D-C5608BB33B0D}" srcOrd="1" destOrd="0" parTransId="{79DC7543-8AE5-44E0-91F9-2885F0F82B31}" sibTransId="{A426E2B2-A582-4AF0-98EF-6C4589AB91DB}"/>
    <dgm:cxn modelId="{D6A39839-FFF8-4814-B98B-066E655C1DC8}" type="presOf" srcId="{340AFF3C-C592-4F02-A8AF-6CC590316EFF}" destId="{63A88AF5-EDCF-430E-AFC2-FE938F4E30A1}" srcOrd="0" destOrd="0" presId="urn:microsoft.com/office/officeart/2005/8/layout/process4"/>
    <dgm:cxn modelId="{31ECD1A5-DA34-4764-9DC9-679416E7AE2C}" type="presOf" srcId="{37FFB657-CED4-4A13-908D-DDA8FA4EBBAF}" destId="{A6D69E59-AD4C-4D99-A360-F44AE646DC45}" srcOrd="0" destOrd="0" presId="urn:microsoft.com/office/officeart/2005/8/layout/process4"/>
    <dgm:cxn modelId="{9344E6B6-AF37-4F63-8B3C-3DFE74A03735}" srcId="{E53DDB7E-93AA-4075-B0B8-EA4D35A984F2}" destId="{CF90A33D-C2B7-46EE-BF62-BD362828311C}" srcOrd="2" destOrd="0" parTransId="{3531F59F-D374-49DE-B221-5697E3ECF197}" sibTransId="{3AEC46A1-3B91-49A0-B394-D8828B79C543}"/>
    <dgm:cxn modelId="{2E7C458E-0F64-4CFA-B3C4-35183B200A26}" srcId="{E53DDB7E-93AA-4075-B0B8-EA4D35A984F2}" destId="{5A496740-5EB1-4083-87FA-8F6385CD5FED}" srcOrd="1" destOrd="0" parTransId="{959E1704-D1D0-4D17-BD42-2986BA54CE2A}" sibTransId="{8B213B24-F528-4998-97D3-105894BF70B7}"/>
    <dgm:cxn modelId="{755BBB5C-2228-416A-8DD8-AE7D3983656B}" srcId="{8FE3D517-63D8-4B1F-9676-63FE38B796A9}" destId="{47D2FEB9-4B4F-49FF-B027-39AEA80309C4}" srcOrd="3" destOrd="0" parTransId="{92992FE8-0F35-468D-8213-975A7FBF78C1}" sibTransId="{BDBAE3E5-DBA0-4A0B-8D5C-AEFB48695E0A}"/>
    <dgm:cxn modelId="{8DA06BC8-C155-47AC-B04D-81ACC838A358}" srcId="{E53DDB7E-93AA-4075-B0B8-EA4D35A984F2}" destId="{AAA98193-880F-43F9-9BF8-419C5D95A49C}" srcOrd="4" destOrd="0" parTransId="{1524E92D-4353-4C40-BA21-B80D4E0A67DD}" sibTransId="{031C4BCB-DBDC-46F0-816F-EF92B1BD9DA6}"/>
    <dgm:cxn modelId="{605C5C8E-FC78-43E7-86B9-15C0CE18DE20}" type="presOf" srcId="{1C127B52-5A5E-44DF-B32D-90640BC7BBA3}" destId="{C745B4F3-18AD-4736-882D-1E5484DDD628}" srcOrd="0" destOrd="0" presId="urn:microsoft.com/office/officeart/2005/8/layout/process4"/>
    <dgm:cxn modelId="{571CDA4B-CC82-41DB-914D-36E59ED36BC2}" type="presOf" srcId="{37FFB657-CED4-4A13-908D-DDA8FA4EBBAF}" destId="{F78E0E7F-9B97-4A03-873E-DFA13145B11B}" srcOrd="1" destOrd="0" presId="urn:microsoft.com/office/officeart/2005/8/layout/process4"/>
    <dgm:cxn modelId="{6F6FD02F-CF61-4DA6-99CA-2B2621894A9E}" type="presOf" srcId="{8FE3D517-63D8-4B1F-9676-63FE38B796A9}" destId="{FAD3FB79-2198-4431-B827-B06673D3DC69}" srcOrd="0" destOrd="0" presId="urn:microsoft.com/office/officeart/2005/8/layout/process4"/>
    <dgm:cxn modelId="{C8A75F03-0148-43A9-B8E3-EC1416B5D612}" type="presOf" srcId="{CF90A33D-C2B7-46EE-BF62-BD362828311C}" destId="{065C51F8-87B6-453B-89D5-BFE5B24E3623}" srcOrd="0" destOrd="0" presId="urn:microsoft.com/office/officeart/2005/8/layout/process4"/>
    <dgm:cxn modelId="{CD455CBE-69C1-4B0C-AADC-F676865548F6}" type="presOf" srcId="{5759EE38-CC64-44F0-9FE0-A42FB34618A8}" destId="{EFAFC93D-85F6-4346-9494-229C444B322C}" srcOrd="0" destOrd="0" presId="urn:microsoft.com/office/officeart/2005/8/layout/process4"/>
    <dgm:cxn modelId="{6D1952A7-FC0A-4F9A-A720-7CB02205B564}" srcId="{23A32B9A-6962-4317-BEFC-F1D401E0D375}" destId="{37FFB657-CED4-4A13-908D-DDA8FA4EBBAF}" srcOrd="1" destOrd="0" parTransId="{2827DB39-93FC-4B8E-BD68-A68EC29BE479}" sibTransId="{DD5ECDE1-4B17-4626-BA20-8B524D32CC8D}"/>
    <dgm:cxn modelId="{F67FDEBF-FD05-4E50-BE92-D4DC78D7E8BF}" type="presOf" srcId="{118AC32E-D0A9-471E-8805-A990622D67B2}" destId="{ABEF8898-CB6C-4DA6-A2BC-5D3584AECE7B}" srcOrd="0" destOrd="0" presId="urn:microsoft.com/office/officeart/2005/8/layout/process4"/>
    <dgm:cxn modelId="{F4B6FF00-2672-4646-9FD9-09D688DFF3C5}" type="presOf" srcId="{02381903-F41F-479D-BFB8-3A24DD69920F}" destId="{9D9DD7BF-75FD-40D4-9014-42F8D09A0CD1}" srcOrd="0" destOrd="0" presId="urn:microsoft.com/office/officeart/2005/8/layout/process4"/>
    <dgm:cxn modelId="{72685F15-0443-4259-A0AF-39DFC9E2F53E}" type="presOf" srcId="{2C3114A5-BF95-4C49-9BE2-C5BE29DFEE3B}" destId="{BFEE3ADB-D684-4D64-A1A1-693C7A2C3CA9}" srcOrd="0" destOrd="0" presId="urn:microsoft.com/office/officeart/2005/8/layout/process4"/>
    <dgm:cxn modelId="{AFCE89DD-23A6-4C21-A616-BE0B44D7F072}" type="presOf" srcId="{23A32B9A-6962-4317-BEFC-F1D401E0D375}" destId="{494095AF-317D-4F20-B487-B3181608C0B6}" srcOrd="0" destOrd="0" presId="urn:microsoft.com/office/officeart/2005/8/layout/process4"/>
    <dgm:cxn modelId="{D3328047-1031-4E6D-BD22-DF5EBF96F72A}" type="presOf" srcId="{AAA98193-880F-43F9-9BF8-419C5D95A49C}" destId="{E5645726-787A-4B70-8D41-52FDFB21DE7F}" srcOrd="0" destOrd="0" presId="urn:microsoft.com/office/officeart/2005/8/layout/process4"/>
    <dgm:cxn modelId="{F2709ED8-333B-414D-9DAD-BB2B2E55FE52}" srcId="{E53DDB7E-93AA-4075-B0B8-EA4D35A984F2}" destId="{5C38F257-5BDE-490D-BB02-9B69CE6776A2}" srcOrd="0" destOrd="0" parTransId="{E6DF9940-C4A9-4988-8EA3-F5E0EB320E77}" sibTransId="{A11C0D9D-0707-416D-9203-D8EAB34207C6}"/>
    <dgm:cxn modelId="{5DF2E303-9667-44CE-8182-B811CDE84410}" type="presOf" srcId="{542E910C-CE15-4C1D-B944-6488D74520F9}" destId="{2A144D04-B277-47AF-BCC5-C0E7523254BF}" srcOrd="0" destOrd="0" presId="urn:microsoft.com/office/officeart/2005/8/layout/process4"/>
    <dgm:cxn modelId="{61CE778A-8BE4-4712-8583-B308A5255DED}" type="presParOf" srcId="{494095AF-317D-4F20-B487-B3181608C0B6}" destId="{59F4EF3D-B1DA-494B-A6D8-C50C32A13B2D}" srcOrd="0" destOrd="0" presId="urn:microsoft.com/office/officeart/2005/8/layout/process4"/>
    <dgm:cxn modelId="{0320C069-AC55-47A3-AEFB-7B5150DDE5FB}" type="presParOf" srcId="{59F4EF3D-B1DA-494B-A6D8-C50C32A13B2D}" destId="{9D9DD7BF-75FD-40D4-9014-42F8D09A0CD1}" srcOrd="0" destOrd="0" presId="urn:microsoft.com/office/officeart/2005/8/layout/process4"/>
    <dgm:cxn modelId="{F4D9EC4B-BD77-4F2A-890F-9C062474B445}" type="presParOf" srcId="{494095AF-317D-4F20-B487-B3181608C0B6}" destId="{59771051-46E6-44BE-B0CC-1DF7077AF402}" srcOrd="1" destOrd="0" presId="urn:microsoft.com/office/officeart/2005/8/layout/process4"/>
    <dgm:cxn modelId="{0941A7DF-74AC-4526-895E-79388D5E69E9}" type="presParOf" srcId="{494095AF-317D-4F20-B487-B3181608C0B6}" destId="{C586E322-0248-43B1-A464-B85CE7AD1FC3}" srcOrd="2" destOrd="0" presId="urn:microsoft.com/office/officeart/2005/8/layout/process4"/>
    <dgm:cxn modelId="{D981482B-8891-42CE-804E-4FE26B78E894}" type="presParOf" srcId="{C586E322-0248-43B1-A464-B85CE7AD1FC3}" destId="{FAD3FB79-2198-4431-B827-B06673D3DC69}" srcOrd="0" destOrd="0" presId="urn:microsoft.com/office/officeart/2005/8/layout/process4"/>
    <dgm:cxn modelId="{4D645488-849D-457D-B950-E7105C321649}" type="presParOf" srcId="{C586E322-0248-43B1-A464-B85CE7AD1FC3}" destId="{44553E6B-8AD2-46BC-9BE6-B66976392FD9}" srcOrd="1" destOrd="0" presId="urn:microsoft.com/office/officeart/2005/8/layout/process4"/>
    <dgm:cxn modelId="{525A7E01-9292-4175-99CC-399C11F125FF}" type="presParOf" srcId="{C586E322-0248-43B1-A464-B85CE7AD1FC3}" destId="{78A3E087-66CC-4B77-8AED-0CF1DC2BEE3B}" srcOrd="2" destOrd="0" presId="urn:microsoft.com/office/officeart/2005/8/layout/process4"/>
    <dgm:cxn modelId="{E1EA43D9-D389-4656-8F19-E551603FABE7}" type="presParOf" srcId="{78A3E087-66CC-4B77-8AED-0CF1DC2BEE3B}" destId="{2A144D04-B277-47AF-BCC5-C0E7523254BF}" srcOrd="0" destOrd="0" presId="urn:microsoft.com/office/officeart/2005/8/layout/process4"/>
    <dgm:cxn modelId="{EF77CD09-B333-4802-A543-9B8A6719F90B}" type="presParOf" srcId="{78A3E087-66CC-4B77-8AED-0CF1DC2BEE3B}" destId="{50EC5608-D5C1-4313-81C2-26E0FFD6064F}" srcOrd="1" destOrd="0" presId="urn:microsoft.com/office/officeart/2005/8/layout/process4"/>
    <dgm:cxn modelId="{D0D95D67-4FED-41F1-8A18-C36C210738AF}" type="presParOf" srcId="{78A3E087-66CC-4B77-8AED-0CF1DC2BEE3B}" destId="{6001BEED-1C08-43C4-AFE3-9330D26A6EB9}" srcOrd="2" destOrd="0" presId="urn:microsoft.com/office/officeart/2005/8/layout/process4"/>
    <dgm:cxn modelId="{EB443776-23C0-4BEC-B5C7-0267D3798522}" type="presParOf" srcId="{78A3E087-66CC-4B77-8AED-0CF1DC2BEE3B}" destId="{DEF3529B-8B25-4E49-8ACC-3C475A80A60A}" srcOrd="3" destOrd="0" presId="urn:microsoft.com/office/officeart/2005/8/layout/process4"/>
    <dgm:cxn modelId="{0C173EE3-8598-4AFF-9CDD-B2A25DB46C7C}" type="presParOf" srcId="{494095AF-317D-4F20-B487-B3181608C0B6}" destId="{FF8DD1BE-14BC-4139-871D-56D86C65C004}" srcOrd="3" destOrd="0" presId="urn:microsoft.com/office/officeart/2005/8/layout/process4"/>
    <dgm:cxn modelId="{57135336-980B-4D67-9339-EB4518287ABC}" type="presParOf" srcId="{494095AF-317D-4F20-B487-B3181608C0B6}" destId="{B2DDB0E4-4F9A-45C1-91FF-9F83484465A1}" srcOrd="4" destOrd="0" presId="urn:microsoft.com/office/officeart/2005/8/layout/process4"/>
    <dgm:cxn modelId="{C42BD71E-561C-42BF-8990-271702A897D9}" type="presParOf" srcId="{B2DDB0E4-4F9A-45C1-91FF-9F83484465A1}" destId="{A6D69E59-AD4C-4D99-A360-F44AE646DC45}" srcOrd="0" destOrd="0" presId="urn:microsoft.com/office/officeart/2005/8/layout/process4"/>
    <dgm:cxn modelId="{9637FC56-BC7E-4611-A449-EB385EF89EEA}" type="presParOf" srcId="{B2DDB0E4-4F9A-45C1-91FF-9F83484465A1}" destId="{F78E0E7F-9B97-4A03-873E-DFA13145B11B}" srcOrd="1" destOrd="0" presId="urn:microsoft.com/office/officeart/2005/8/layout/process4"/>
    <dgm:cxn modelId="{F2471B67-985D-4F6C-9535-3264767AD3D4}" type="presParOf" srcId="{B2DDB0E4-4F9A-45C1-91FF-9F83484465A1}" destId="{E7AD694A-F4CF-40A0-ADEF-736DD7A783E9}" srcOrd="2" destOrd="0" presId="urn:microsoft.com/office/officeart/2005/8/layout/process4"/>
    <dgm:cxn modelId="{DED11E6B-567D-4F7F-9855-0037292827CF}" type="presParOf" srcId="{E7AD694A-F4CF-40A0-ADEF-736DD7A783E9}" destId="{C745B4F3-18AD-4736-882D-1E5484DDD628}" srcOrd="0" destOrd="0" presId="urn:microsoft.com/office/officeart/2005/8/layout/process4"/>
    <dgm:cxn modelId="{A7733840-07F3-4233-A528-C33589144EC2}" type="presParOf" srcId="{E7AD694A-F4CF-40A0-ADEF-736DD7A783E9}" destId="{BFEE3ADB-D684-4D64-A1A1-693C7A2C3CA9}" srcOrd="1" destOrd="0" presId="urn:microsoft.com/office/officeart/2005/8/layout/process4"/>
    <dgm:cxn modelId="{3DF73AC6-662C-4712-86BF-6CBA9DA9AD7E}" type="presParOf" srcId="{E7AD694A-F4CF-40A0-ADEF-736DD7A783E9}" destId="{63A88AF5-EDCF-430E-AFC2-FE938F4E30A1}" srcOrd="2" destOrd="0" presId="urn:microsoft.com/office/officeart/2005/8/layout/process4"/>
    <dgm:cxn modelId="{114A33B5-114A-43B4-A5A0-F98E886D883F}" type="presParOf" srcId="{E7AD694A-F4CF-40A0-ADEF-736DD7A783E9}" destId="{ABEF8898-CB6C-4DA6-A2BC-5D3584AECE7B}" srcOrd="3" destOrd="0" presId="urn:microsoft.com/office/officeart/2005/8/layout/process4"/>
    <dgm:cxn modelId="{27BEC014-6CC2-4795-AEAB-6DDC2EEFF209}" type="presParOf" srcId="{494095AF-317D-4F20-B487-B3181608C0B6}" destId="{FD6A6ED3-7707-4688-9FB6-D163906B9BAD}" srcOrd="5" destOrd="0" presId="urn:microsoft.com/office/officeart/2005/8/layout/process4"/>
    <dgm:cxn modelId="{644F2A35-814C-4510-9515-D778DCB02C62}" type="presParOf" srcId="{494095AF-317D-4F20-B487-B3181608C0B6}" destId="{7C016111-9ED9-4AC0-B937-BF50C5909671}" srcOrd="6" destOrd="0" presId="urn:microsoft.com/office/officeart/2005/8/layout/process4"/>
    <dgm:cxn modelId="{726CBB31-EE7A-413B-97D6-04C305E6F117}" type="presParOf" srcId="{7C016111-9ED9-4AC0-B937-BF50C5909671}" destId="{9F6634AA-F684-4A22-A214-96199F10244E}" srcOrd="0" destOrd="0" presId="urn:microsoft.com/office/officeart/2005/8/layout/process4"/>
    <dgm:cxn modelId="{ED73C607-4E6F-417B-B122-8307BCA41AB7}" type="presParOf" srcId="{7C016111-9ED9-4AC0-B937-BF50C5909671}" destId="{5F4753C0-B7AC-487A-AD1F-2B864BEF95FD}" srcOrd="1" destOrd="0" presId="urn:microsoft.com/office/officeart/2005/8/layout/process4"/>
    <dgm:cxn modelId="{82D6D9DA-DED9-42D5-9D47-0DED389408C4}" type="presParOf" srcId="{7C016111-9ED9-4AC0-B937-BF50C5909671}" destId="{C9512512-5844-4C5E-B3B2-8A09B1E8FF94}" srcOrd="2" destOrd="0" presId="urn:microsoft.com/office/officeart/2005/8/layout/process4"/>
    <dgm:cxn modelId="{D291DC79-B8AC-4DEC-825C-BA6984218116}" type="presParOf" srcId="{C9512512-5844-4C5E-B3B2-8A09B1E8FF94}" destId="{9EC0C046-E1CB-4877-A7A6-8DE8909C9D01}" srcOrd="0" destOrd="0" presId="urn:microsoft.com/office/officeart/2005/8/layout/process4"/>
    <dgm:cxn modelId="{40E0615A-BA42-42A1-AEB7-F214C9AC7904}" type="presParOf" srcId="{C9512512-5844-4C5E-B3B2-8A09B1E8FF94}" destId="{CE17F1D6-06C4-4C72-8F8B-690B8FC6B71F}" srcOrd="1" destOrd="0" presId="urn:microsoft.com/office/officeart/2005/8/layout/process4"/>
    <dgm:cxn modelId="{6C07683B-8185-4DEE-B4B2-D93FCF7FAE60}" type="presParOf" srcId="{C9512512-5844-4C5E-B3B2-8A09B1E8FF94}" destId="{065C51F8-87B6-453B-89D5-BFE5B24E3623}" srcOrd="2" destOrd="0" presId="urn:microsoft.com/office/officeart/2005/8/layout/process4"/>
    <dgm:cxn modelId="{FCBF7F8E-54E0-4C4D-B572-D00D7E549BC4}" type="presParOf" srcId="{C9512512-5844-4C5E-B3B2-8A09B1E8FF94}" destId="{EFAFC93D-85F6-4346-9494-229C444B322C}" srcOrd="3" destOrd="0" presId="urn:microsoft.com/office/officeart/2005/8/layout/process4"/>
    <dgm:cxn modelId="{79D9F68E-CC47-4C0C-8B9A-6DA6780D4D49}" type="presParOf" srcId="{C9512512-5844-4C5E-B3B2-8A09B1E8FF94}" destId="{E5645726-787A-4B70-8D41-52FDFB21DE7F}" srcOrd="4" destOrd="0" presId="urn:microsoft.com/office/officeart/2005/8/layout/process4"/>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01027B1F-0B60-4423-A68E-EDE89CA7F00E}" type="doc">
      <dgm:prSet loTypeId="urn:microsoft.com/office/officeart/2005/8/layout/hProcess9" loCatId="process" qsTypeId="urn:microsoft.com/office/officeart/2005/8/quickstyle/simple1" qsCatId="simple" csTypeId="urn:microsoft.com/office/officeart/2005/8/colors/colorful5" csCatId="colorful" phldr="1"/>
      <dgm:spPr/>
    </dgm:pt>
    <dgm:pt modelId="{9818AE25-3B8A-4FF4-8FD2-9974CE04FAAC}">
      <dgm:prSet phldrT="[Text]" custT="1"/>
      <dgm:spPr/>
      <dgm:t>
        <a:bodyPr/>
        <a:lstStyle/>
        <a:p>
          <a:pPr algn="ctr"/>
          <a:r>
            <a:rPr lang="bg-BG" sz="1000" b="1"/>
            <a:t>Стъпка 1</a:t>
          </a:r>
        </a:p>
        <a:p>
          <a:pPr algn="ctr"/>
          <a:r>
            <a:rPr lang="bg-BG" sz="900"/>
            <a:t>Идентифициране на количественото и качествено измерение на добавената стойност на предвидените финансови инструменти и сравнение с добавената стойност на алтернативни подходи</a:t>
          </a:r>
        </a:p>
      </dgm:t>
    </dgm:pt>
    <dgm:pt modelId="{4489D9B6-5532-4E66-9F47-6D2BE380D4C5}" type="parTrans" cxnId="{19CAB094-2D0F-476C-9E4D-827AB0602D36}">
      <dgm:prSet/>
      <dgm:spPr/>
      <dgm:t>
        <a:bodyPr/>
        <a:lstStyle/>
        <a:p>
          <a:pPr algn="ctr"/>
          <a:endParaRPr lang="bg-BG"/>
        </a:p>
      </dgm:t>
    </dgm:pt>
    <dgm:pt modelId="{98F3A2F6-2244-4FB9-A142-AEE41168D0A3}" type="sibTrans" cxnId="{19CAB094-2D0F-476C-9E4D-827AB0602D36}">
      <dgm:prSet/>
      <dgm:spPr/>
      <dgm:t>
        <a:bodyPr/>
        <a:lstStyle/>
        <a:p>
          <a:pPr algn="ctr"/>
          <a:endParaRPr lang="bg-BG"/>
        </a:p>
      </dgm:t>
    </dgm:pt>
    <dgm:pt modelId="{696D66E1-0294-4760-B39D-90907DBFBDBF}">
      <dgm:prSet phldrT="[Text]" custT="1"/>
      <dgm:spPr/>
      <dgm:t>
        <a:bodyPr/>
        <a:lstStyle/>
        <a:p>
          <a:pPr algn="ctr"/>
          <a:r>
            <a:rPr lang="bg-BG" sz="1100" b="1"/>
            <a:t>Стъпка 2</a:t>
          </a:r>
        </a:p>
        <a:p>
          <a:pPr algn="ctr"/>
          <a:r>
            <a:rPr lang="bg-BG" sz="1000"/>
            <a:t>Оценка на съответствието на предвидените финансови инструменти с други форми на публична интервенция </a:t>
          </a:r>
        </a:p>
      </dgm:t>
    </dgm:pt>
    <dgm:pt modelId="{AFC96343-1ABB-455F-BE1F-ACC023FEA022}" type="parTrans" cxnId="{37F14501-13B5-48F8-AA22-F57BD89E9A77}">
      <dgm:prSet/>
      <dgm:spPr/>
      <dgm:t>
        <a:bodyPr/>
        <a:lstStyle/>
        <a:p>
          <a:pPr algn="ctr"/>
          <a:endParaRPr lang="bg-BG"/>
        </a:p>
      </dgm:t>
    </dgm:pt>
    <dgm:pt modelId="{6DBE20E2-074F-40F8-9223-5AD17B81EBB0}" type="sibTrans" cxnId="{37F14501-13B5-48F8-AA22-F57BD89E9A77}">
      <dgm:prSet/>
      <dgm:spPr/>
      <dgm:t>
        <a:bodyPr/>
        <a:lstStyle/>
        <a:p>
          <a:pPr algn="ctr"/>
          <a:endParaRPr lang="bg-BG"/>
        </a:p>
      </dgm:t>
    </dgm:pt>
    <dgm:pt modelId="{CA38BEA0-9DC1-4CBC-8E76-7317B1CF41CC}">
      <dgm:prSet phldrT="[Text]" custT="1"/>
      <dgm:spPr/>
      <dgm:t>
        <a:bodyPr/>
        <a:lstStyle/>
        <a:p>
          <a:pPr algn="ctr"/>
          <a:r>
            <a:rPr lang="bg-BG" sz="1100" b="1"/>
            <a:t>Стъпка 3</a:t>
          </a:r>
        </a:p>
        <a:p>
          <a:pPr algn="ctr"/>
          <a:r>
            <a:rPr lang="bg-BG" sz="1000"/>
            <a:t>Съответствие с приложимостта на държавните помощи към предвидените финансови инструменти</a:t>
          </a:r>
        </a:p>
      </dgm:t>
    </dgm:pt>
    <dgm:pt modelId="{227D4589-DDC5-44D2-A628-95D6BEBF7134}" type="parTrans" cxnId="{B055E56A-2937-45ED-A32B-3A6888EB0A7F}">
      <dgm:prSet/>
      <dgm:spPr/>
      <dgm:t>
        <a:bodyPr/>
        <a:lstStyle/>
        <a:p>
          <a:pPr algn="ctr"/>
          <a:endParaRPr lang="bg-BG"/>
        </a:p>
      </dgm:t>
    </dgm:pt>
    <dgm:pt modelId="{9E389162-643D-4945-9BB9-3F6AC7D8311E}" type="sibTrans" cxnId="{B055E56A-2937-45ED-A32B-3A6888EB0A7F}">
      <dgm:prSet/>
      <dgm:spPr/>
      <dgm:t>
        <a:bodyPr/>
        <a:lstStyle/>
        <a:p>
          <a:pPr algn="ctr"/>
          <a:endParaRPr lang="bg-BG"/>
        </a:p>
      </dgm:t>
    </dgm:pt>
    <dgm:pt modelId="{C350519B-042E-4C95-B6AF-98E6DEEE00E6}" type="pres">
      <dgm:prSet presAssocID="{01027B1F-0B60-4423-A68E-EDE89CA7F00E}" presName="CompostProcess" presStyleCnt="0">
        <dgm:presLayoutVars>
          <dgm:dir/>
          <dgm:resizeHandles val="exact"/>
        </dgm:presLayoutVars>
      </dgm:prSet>
      <dgm:spPr/>
    </dgm:pt>
    <dgm:pt modelId="{8E2B9C90-53AE-4821-ACFE-706F396A960C}" type="pres">
      <dgm:prSet presAssocID="{01027B1F-0B60-4423-A68E-EDE89CA7F00E}" presName="arrow" presStyleLbl="bgShp" presStyleIdx="0" presStyleCnt="1"/>
      <dgm:spPr/>
    </dgm:pt>
    <dgm:pt modelId="{7B90233B-CED8-4A5E-9460-D1CC3618148E}" type="pres">
      <dgm:prSet presAssocID="{01027B1F-0B60-4423-A68E-EDE89CA7F00E}" presName="linearProcess" presStyleCnt="0"/>
      <dgm:spPr/>
    </dgm:pt>
    <dgm:pt modelId="{9A9C6AA2-B0AB-4666-A9C3-076302387CD2}" type="pres">
      <dgm:prSet presAssocID="{9818AE25-3B8A-4FF4-8FD2-9974CE04FAAC}" presName="textNode" presStyleLbl="node1" presStyleIdx="0" presStyleCnt="3">
        <dgm:presLayoutVars>
          <dgm:bulletEnabled val="1"/>
        </dgm:presLayoutVars>
      </dgm:prSet>
      <dgm:spPr/>
      <dgm:t>
        <a:bodyPr/>
        <a:lstStyle/>
        <a:p>
          <a:endParaRPr lang="bg-BG"/>
        </a:p>
      </dgm:t>
    </dgm:pt>
    <dgm:pt modelId="{99BEA9B9-DEF8-47DB-8D4B-81553CF8E7E6}" type="pres">
      <dgm:prSet presAssocID="{98F3A2F6-2244-4FB9-A142-AEE41168D0A3}" presName="sibTrans" presStyleCnt="0"/>
      <dgm:spPr/>
    </dgm:pt>
    <dgm:pt modelId="{DB12272A-5DA0-4EBC-941F-002C85A4BBB0}" type="pres">
      <dgm:prSet presAssocID="{696D66E1-0294-4760-B39D-90907DBFBDBF}" presName="textNode" presStyleLbl="node1" presStyleIdx="1" presStyleCnt="3">
        <dgm:presLayoutVars>
          <dgm:bulletEnabled val="1"/>
        </dgm:presLayoutVars>
      </dgm:prSet>
      <dgm:spPr/>
      <dgm:t>
        <a:bodyPr/>
        <a:lstStyle/>
        <a:p>
          <a:endParaRPr lang="bg-BG"/>
        </a:p>
      </dgm:t>
    </dgm:pt>
    <dgm:pt modelId="{418D5CE2-4247-4E6F-AC28-D8ED5B35E543}" type="pres">
      <dgm:prSet presAssocID="{6DBE20E2-074F-40F8-9223-5AD17B81EBB0}" presName="sibTrans" presStyleCnt="0"/>
      <dgm:spPr/>
    </dgm:pt>
    <dgm:pt modelId="{6A448DA2-1DEC-4DC6-BB6E-5E76A077A6B3}" type="pres">
      <dgm:prSet presAssocID="{CA38BEA0-9DC1-4CBC-8E76-7317B1CF41CC}" presName="textNode" presStyleLbl="node1" presStyleIdx="2" presStyleCnt="3">
        <dgm:presLayoutVars>
          <dgm:bulletEnabled val="1"/>
        </dgm:presLayoutVars>
      </dgm:prSet>
      <dgm:spPr/>
      <dgm:t>
        <a:bodyPr/>
        <a:lstStyle/>
        <a:p>
          <a:endParaRPr lang="bg-BG"/>
        </a:p>
      </dgm:t>
    </dgm:pt>
  </dgm:ptLst>
  <dgm:cxnLst>
    <dgm:cxn modelId="{37F14501-13B5-48F8-AA22-F57BD89E9A77}" srcId="{01027B1F-0B60-4423-A68E-EDE89CA7F00E}" destId="{696D66E1-0294-4760-B39D-90907DBFBDBF}" srcOrd="1" destOrd="0" parTransId="{AFC96343-1ABB-455F-BE1F-ACC023FEA022}" sibTransId="{6DBE20E2-074F-40F8-9223-5AD17B81EBB0}"/>
    <dgm:cxn modelId="{0468B4C2-0E6B-4BA1-91E9-FB3DE214125C}" type="presOf" srcId="{01027B1F-0B60-4423-A68E-EDE89CA7F00E}" destId="{C350519B-042E-4C95-B6AF-98E6DEEE00E6}" srcOrd="0" destOrd="0" presId="urn:microsoft.com/office/officeart/2005/8/layout/hProcess9"/>
    <dgm:cxn modelId="{19CAB094-2D0F-476C-9E4D-827AB0602D36}" srcId="{01027B1F-0B60-4423-A68E-EDE89CA7F00E}" destId="{9818AE25-3B8A-4FF4-8FD2-9974CE04FAAC}" srcOrd="0" destOrd="0" parTransId="{4489D9B6-5532-4E66-9F47-6D2BE380D4C5}" sibTransId="{98F3A2F6-2244-4FB9-A142-AEE41168D0A3}"/>
    <dgm:cxn modelId="{3A725C7D-ECF2-47E3-8A5D-0E2A74015E42}" type="presOf" srcId="{696D66E1-0294-4760-B39D-90907DBFBDBF}" destId="{DB12272A-5DA0-4EBC-941F-002C85A4BBB0}" srcOrd="0" destOrd="0" presId="urn:microsoft.com/office/officeart/2005/8/layout/hProcess9"/>
    <dgm:cxn modelId="{1FD3D51E-38F8-4307-A334-4656E4C6F3CC}" type="presOf" srcId="{9818AE25-3B8A-4FF4-8FD2-9974CE04FAAC}" destId="{9A9C6AA2-B0AB-4666-A9C3-076302387CD2}" srcOrd="0" destOrd="0" presId="urn:microsoft.com/office/officeart/2005/8/layout/hProcess9"/>
    <dgm:cxn modelId="{58BF1DF1-A4FC-45AF-AE34-02EEF23F8123}" type="presOf" srcId="{CA38BEA0-9DC1-4CBC-8E76-7317B1CF41CC}" destId="{6A448DA2-1DEC-4DC6-BB6E-5E76A077A6B3}" srcOrd="0" destOrd="0" presId="urn:microsoft.com/office/officeart/2005/8/layout/hProcess9"/>
    <dgm:cxn modelId="{B055E56A-2937-45ED-A32B-3A6888EB0A7F}" srcId="{01027B1F-0B60-4423-A68E-EDE89CA7F00E}" destId="{CA38BEA0-9DC1-4CBC-8E76-7317B1CF41CC}" srcOrd="2" destOrd="0" parTransId="{227D4589-DDC5-44D2-A628-95D6BEBF7134}" sibTransId="{9E389162-643D-4945-9BB9-3F6AC7D8311E}"/>
    <dgm:cxn modelId="{7D6EC57F-44EC-4BB6-A216-5E69293EE14A}" type="presParOf" srcId="{C350519B-042E-4C95-B6AF-98E6DEEE00E6}" destId="{8E2B9C90-53AE-4821-ACFE-706F396A960C}" srcOrd="0" destOrd="0" presId="urn:microsoft.com/office/officeart/2005/8/layout/hProcess9"/>
    <dgm:cxn modelId="{5EF77FC5-449E-4185-AB90-339902A02F9E}" type="presParOf" srcId="{C350519B-042E-4C95-B6AF-98E6DEEE00E6}" destId="{7B90233B-CED8-4A5E-9460-D1CC3618148E}" srcOrd="1" destOrd="0" presId="urn:microsoft.com/office/officeart/2005/8/layout/hProcess9"/>
    <dgm:cxn modelId="{605ABF6F-1796-470B-A09B-D93AE6E7BA80}" type="presParOf" srcId="{7B90233B-CED8-4A5E-9460-D1CC3618148E}" destId="{9A9C6AA2-B0AB-4666-A9C3-076302387CD2}" srcOrd="0" destOrd="0" presId="urn:microsoft.com/office/officeart/2005/8/layout/hProcess9"/>
    <dgm:cxn modelId="{668F8FE4-9DC3-4C04-A041-A1046A02A69A}" type="presParOf" srcId="{7B90233B-CED8-4A5E-9460-D1CC3618148E}" destId="{99BEA9B9-DEF8-47DB-8D4B-81553CF8E7E6}" srcOrd="1" destOrd="0" presId="urn:microsoft.com/office/officeart/2005/8/layout/hProcess9"/>
    <dgm:cxn modelId="{2483498B-FF46-4659-A346-2716D7E571F7}" type="presParOf" srcId="{7B90233B-CED8-4A5E-9460-D1CC3618148E}" destId="{DB12272A-5DA0-4EBC-941F-002C85A4BBB0}" srcOrd="2" destOrd="0" presId="urn:microsoft.com/office/officeart/2005/8/layout/hProcess9"/>
    <dgm:cxn modelId="{9F39DD18-F56A-458D-9F12-E0F3708A1BC1}" type="presParOf" srcId="{7B90233B-CED8-4A5E-9460-D1CC3618148E}" destId="{418D5CE2-4247-4E6F-AC28-D8ED5B35E543}" srcOrd="3" destOrd="0" presId="urn:microsoft.com/office/officeart/2005/8/layout/hProcess9"/>
    <dgm:cxn modelId="{DE7BD046-666F-476F-A8F4-DFDC8B811D48}" type="presParOf" srcId="{7B90233B-CED8-4A5E-9460-D1CC3618148E}" destId="{6A448DA2-1DEC-4DC6-BB6E-5E76A077A6B3}" srcOrd="4" destOrd="0" presId="urn:microsoft.com/office/officeart/2005/8/layout/hProcess9"/>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4D44D04C-4A0C-4958-81A8-968B44B2E40E}" type="doc">
      <dgm:prSet loTypeId="urn:microsoft.com/office/officeart/2005/8/layout/hierarchy3" loCatId="hierarchy" qsTypeId="urn:microsoft.com/office/officeart/2005/8/quickstyle/simple1" qsCatId="simple" csTypeId="urn:microsoft.com/office/officeart/2005/8/colors/colorful5" csCatId="colorful" phldr="1"/>
      <dgm:spPr/>
      <dgm:t>
        <a:bodyPr/>
        <a:lstStyle/>
        <a:p>
          <a:endParaRPr lang="bg-BG"/>
        </a:p>
      </dgm:t>
    </dgm:pt>
    <dgm:pt modelId="{17DE169D-D8C0-472C-B266-9BA4AD280F1E}">
      <dgm:prSet phldrT="[Text]"/>
      <dgm:spPr/>
      <dgm:t>
        <a:bodyPr/>
        <a:lstStyle/>
        <a:p>
          <a:r>
            <a:rPr lang="bg-BG"/>
            <a:t>Капиталово финансиране</a:t>
          </a:r>
        </a:p>
      </dgm:t>
    </dgm:pt>
    <dgm:pt modelId="{0CB04050-DDD0-4CB4-BFFE-2AB99B751AE5}" type="parTrans" cxnId="{409827F9-8A08-459E-8449-DAB5E17CADFB}">
      <dgm:prSet/>
      <dgm:spPr/>
      <dgm:t>
        <a:bodyPr/>
        <a:lstStyle/>
        <a:p>
          <a:endParaRPr lang="bg-BG"/>
        </a:p>
      </dgm:t>
    </dgm:pt>
    <dgm:pt modelId="{DB606D76-120D-4F19-AE21-DA417194D8A1}" type="sibTrans" cxnId="{409827F9-8A08-459E-8449-DAB5E17CADFB}">
      <dgm:prSet/>
      <dgm:spPr/>
      <dgm:t>
        <a:bodyPr/>
        <a:lstStyle/>
        <a:p>
          <a:endParaRPr lang="bg-BG"/>
        </a:p>
      </dgm:t>
    </dgm:pt>
    <dgm:pt modelId="{DA0CB062-8903-4551-BDA4-601B59B094D9}">
      <dgm:prSet phldrT="[Text]" custT="1"/>
      <dgm:spPr/>
      <dgm:t>
        <a:bodyPr/>
        <a:lstStyle/>
        <a:p>
          <a:r>
            <a:rPr lang="bg-BG" sz="800"/>
            <a:t>- Стартово финансиране</a:t>
          </a:r>
        </a:p>
        <a:p>
          <a:r>
            <a:rPr lang="bg-BG" sz="800"/>
            <a:t>- Рисков капитал</a:t>
          </a:r>
        </a:p>
        <a:p>
          <a:r>
            <a:rPr lang="bg-BG" sz="800"/>
            <a:t>- Мецанин капитал</a:t>
          </a:r>
        </a:p>
        <a:p>
          <a:r>
            <a:rPr lang="bg-BG" sz="800"/>
            <a:t>- Грантове</a:t>
          </a:r>
        </a:p>
        <a:p>
          <a:r>
            <a:rPr lang="bg-BG" sz="800"/>
            <a:t>- Директен капитал</a:t>
          </a:r>
        </a:p>
        <a:p>
          <a:r>
            <a:rPr lang="bg-BG" sz="800"/>
            <a:t> - Конвертируем капитал</a:t>
          </a:r>
        </a:p>
        <a:p>
          <a:r>
            <a:rPr lang="bg-BG" sz="800"/>
            <a:t>(чрез фондове или директно, в зависимост от размера и/или достъпа до финансиране)</a:t>
          </a:r>
        </a:p>
      </dgm:t>
    </dgm:pt>
    <dgm:pt modelId="{FB8190B0-ECA3-4584-95AD-6BD42CEE445A}" type="parTrans" cxnId="{56B893A1-5BDA-469E-9847-47E79B123620}">
      <dgm:prSet/>
      <dgm:spPr/>
      <dgm:t>
        <a:bodyPr/>
        <a:lstStyle/>
        <a:p>
          <a:endParaRPr lang="bg-BG"/>
        </a:p>
      </dgm:t>
    </dgm:pt>
    <dgm:pt modelId="{5CD18A02-AE8F-4025-8A40-1AE06A9FC4BC}" type="sibTrans" cxnId="{56B893A1-5BDA-469E-9847-47E79B123620}">
      <dgm:prSet/>
      <dgm:spPr/>
      <dgm:t>
        <a:bodyPr/>
        <a:lstStyle/>
        <a:p>
          <a:endParaRPr lang="bg-BG"/>
        </a:p>
      </dgm:t>
    </dgm:pt>
    <dgm:pt modelId="{79B37A7C-EFE2-4281-BA46-72428B483D3E}">
      <dgm:prSet phldrT="[Text]" custT="1"/>
      <dgm:spPr/>
      <dgm:t>
        <a:bodyPr/>
        <a:lstStyle/>
        <a:p>
          <a:r>
            <a:rPr lang="bg-BG" sz="800" b="1"/>
            <a:t>Характеристики</a:t>
          </a:r>
        </a:p>
        <a:p>
          <a:endParaRPr lang="bg-BG" sz="600" b="1"/>
        </a:p>
        <a:p>
          <a:r>
            <a:rPr lang="bg-BG" sz="800" b="0"/>
            <a:t>1) Право на собственост и управление</a:t>
          </a:r>
        </a:p>
        <a:p>
          <a:r>
            <a:rPr lang="bg-BG" sz="800" b="0"/>
            <a:t>2) Риск за инвестирания капитал</a:t>
          </a:r>
        </a:p>
        <a:p>
          <a:r>
            <a:rPr lang="bg-BG" sz="800" b="0"/>
            <a:t>3) Прехвърлянето и постъпленията са условни по отношение на сумите и не зависят от времеви периоди</a:t>
          </a:r>
        </a:p>
        <a:p>
          <a:r>
            <a:rPr lang="bg-BG" sz="800" b="0"/>
            <a:t>4) Рискът се намалява чрез инвестиционно портфолио и съ-финансиране от частния сектор</a:t>
          </a:r>
        </a:p>
        <a:p>
          <a:r>
            <a:rPr lang="bg-BG" sz="800" b="0"/>
            <a:t>5) Възвращаемостта на капитала може да бъде висока</a:t>
          </a:r>
        </a:p>
      </dgm:t>
    </dgm:pt>
    <dgm:pt modelId="{6318EC11-7E66-430A-A6AB-DE5F41B8A4B1}" type="parTrans" cxnId="{69F7D771-CF4A-4D3B-A704-A54E4E260EEC}">
      <dgm:prSet/>
      <dgm:spPr/>
      <dgm:t>
        <a:bodyPr/>
        <a:lstStyle/>
        <a:p>
          <a:endParaRPr lang="bg-BG"/>
        </a:p>
      </dgm:t>
    </dgm:pt>
    <dgm:pt modelId="{2C07B0E6-462E-4CCD-BDA0-530EF300D8EA}" type="sibTrans" cxnId="{69F7D771-CF4A-4D3B-A704-A54E4E260EEC}">
      <dgm:prSet/>
      <dgm:spPr/>
      <dgm:t>
        <a:bodyPr/>
        <a:lstStyle/>
        <a:p>
          <a:endParaRPr lang="bg-BG"/>
        </a:p>
      </dgm:t>
    </dgm:pt>
    <dgm:pt modelId="{620D1586-7FDE-4A1E-8D76-5744EC6732C4}">
      <dgm:prSet phldrT="[Text]"/>
      <dgm:spPr/>
      <dgm:t>
        <a:bodyPr/>
        <a:lstStyle/>
        <a:p>
          <a:r>
            <a:rPr lang="bg-BG"/>
            <a:t>Дългово финансиране</a:t>
          </a:r>
        </a:p>
      </dgm:t>
    </dgm:pt>
    <dgm:pt modelId="{799A5AC8-2DBC-40BA-9D06-B913E0304607}" type="parTrans" cxnId="{F6F876DD-E497-4612-ABC9-F731305510DF}">
      <dgm:prSet/>
      <dgm:spPr/>
      <dgm:t>
        <a:bodyPr/>
        <a:lstStyle/>
        <a:p>
          <a:endParaRPr lang="bg-BG"/>
        </a:p>
      </dgm:t>
    </dgm:pt>
    <dgm:pt modelId="{C7BE72C0-D133-42DB-930E-E718CD1389DD}" type="sibTrans" cxnId="{F6F876DD-E497-4612-ABC9-F731305510DF}">
      <dgm:prSet/>
      <dgm:spPr/>
      <dgm:t>
        <a:bodyPr/>
        <a:lstStyle/>
        <a:p>
          <a:endParaRPr lang="bg-BG"/>
        </a:p>
      </dgm:t>
    </dgm:pt>
    <dgm:pt modelId="{545322EA-38CB-4382-B02B-5347074655E3}">
      <dgm:prSet phldrT="[Text]" custT="1"/>
      <dgm:spPr/>
      <dgm:t>
        <a:bodyPr/>
        <a:lstStyle/>
        <a:p>
          <a:r>
            <a:rPr lang="bg-BG" sz="800"/>
            <a:t>- Микро кредити</a:t>
          </a:r>
        </a:p>
        <a:p>
          <a:r>
            <a:rPr lang="bg-BG" sz="800"/>
            <a:t>- Облигации</a:t>
          </a:r>
        </a:p>
        <a:p>
          <a:r>
            <a:rPr lang="bg-BG" sz="800"/>
            <a:t>- Старши облигации</a:t>
          </a:r>
        </a:p>
        <a:p>
          <a:r>
            <a:rPr lang="bg-BG" sz="800"/>
            <a:t>- Подчинен дълг</a:t>
          </a:r>
        </a:p>
        <a:p>
          <a:r>
            <a:rPr lang="bg-BG" sz="800"/>
            <a:t>- Заеми</a:t>
          </a:r>
        </a:p>
        <a:p>
          <a:r>
            <a:rPr lang="bg-BG" sz="800"/>
            <a:t>- Гаранции</a:t>
          </a:r>
        </a:p>
        <a:p>
          <a:r>
            <a:rPr lang="bg-BG" sz="800"/>
            <a:t>(чрез фондове или директно, в зависимост от размера и/или достъпа до финансиране)</a:t>
          </a:r>
        </a:p>
      </dgm:t>
    </dgm:pt>
    <dgm:pt modelId="{FC303727-E55D-4D26-9090-59E5E6F6D5ED}" type="parTrans" cxnId="{13C8D152-BB05-4F39-97B7-1CC65EC608D8}">
      <dgm:prSet/>
      <dgm:spPr/>
      <dgm:t>
        <a:bodyPr/>
        <a:lstStyle/>
        <a:p>
          <a:endParaRPr lang="bg-BG"/>
        </a:p>
      </dgm:t>
    </dgm:pt>
    <dgm:pt modelId="{70C09CA5-C7A3-4BB3-99C9-171E43D92ECC}" type="sibTrans" cxnId="{13C8D152-BB05-4F39-97B7-1CC65EC608D8}">
      <dgm:prSet/>
      <dgm:spPr/>
      <dgm:t>
        <a:bodyPr/>
        <a:lstStyle/>
        <a:p>
          <a:endParaRPr lang="bg-BG"/>
        </a:p>
      </dgm:t>
    </dgm:pt>
    <dgm:pt modelId="{5A7D5A4A-E786-428D-A442-7646B04BC254}">
      <dgm:prSet phldrT="[Text]" custT="1"/>
      <dgm:spPr/>
      <dgm:t>
        <a:bodyPr/>
        <a:lstStyle/>
        <a:p>
          <a:r>
            <a:rPr lang="bg-BG" sz="800" b="1"/>
            <a:t>Характеристики</a:t>
          </a:r>
        </a:p>
        <a:p>
          <a:endParaRPr lang="bg-BG" sz="600"/>
        </a:p>
        <a:p>
          <a:r>
            <a:rPr lang="bg-BG" sz="800"/>
            <a:t>1) Предоставя се погасителен план</a:t>
          </a:r>
        </a:p>
        <a:p>
          <a:r>
            <a:rPr lang="bg-BG" sz="800"/>
            <a:t>2)Риск и възвращаемостта  за капитала и погасителните вноски</a:t>
          </a:r>
        </a:p>
        <a:p>
          <a:r>
            <a:rPr lang="bg-BG" sz="800"/>
            <a:t>3) В повечето случаи облигациите и заемите имат справедлива ликвидност</a:t>
          </a:r>
        </a:p>
        <a:p>
          <a:r>
            <a:rPr lang="bg-BG" sz="800"/>
            <a:t>4)Рискът се намалява чрез инвестиционно портфолио с други ФИ</a:t>
          </a:r>
        </a:p>
        <a:p>
          <a:r>
            <a:rPr lang="bg-BG" sz="800"/>
            <a:t>5) Управлението и информацията се осъществяват от трети страни, освен ако не е предвидено друго</a:t>
          </a:r>
        </a:p>
      </dgm:t>
    </dgm:pt>
    <dgm:pt modelId="{C7044A8D-F25E-44AA-88C8-5E29FA953FE9}" type="parTrans" cxnId="{4875B368-01E1-41A9-AECE-390F32AABC62}">
      <dgm:prSet/>
      <dgm:spPr/>
      <dgm:t>
        <a:bodyPr/>
        <a:lstStyle/>
        <a:p>
          <a:endParaRPr lang="bg-BG"/>
        </a:p>
      </dgm:t>
    </dgm:pt>
    <dgm:pt modelId="{B3A6A502-BF95-44C6-82C4-85303BED4132}" type="sibTrans" cxnId="{4875B368-01E1-41A9-AECE-390F32AABC62}">
      <dgm:prSet/>
      <dgm:spPr/>
      <dgm:t>
        <a:bodyPr/>
        <a:lstStyle/>
        <a:p>
          <a:endParaRPr lang="bg-BG"/>
        </a:p>
      </dgm:t>
    </dgm:pt>
    <dgm:pt modelId="{23F2E1E8-2E9B-4C09-A915-5A907F848A7D}" type="pres">
      <dgm:prSet presAssocID="{4D44D04C-4A0C-4958-81A8-968B44B2E40E}" presName="diagram" presStyleCnt="0">
        <dgm:presLayoutVars>
          <dgm:chPref val="1"/>
          <dgm:dir/>
          <dgm:animOne val="branch"/>
          <dgm:animLvl val="lvl"/>
          <dgm:resizeHandles/>
        </dgm:presLayoutVars>
      </dgm:prSet>
      <dgm:spPr/>
      <dgm:t>
        <a:bodyPr/>
        <a:lstStyle/>
        <a:p>
          <a:endParaRPr lang="bg-BG"/>
        </a:p>
      </dgm:t>
    </dgm:pt>
    <dgm:pt modelId="{1E241996-3E8C-4EB0-8B7F-1E0A490A18D2}" type="pres">
      <dgm:prSet presAssocID="{17DE169D-D8C0-472C-B266-9BA4AD280F1E}" presName="root" presStyleCnt="0"/>
      <dgm:spPr/>
      <dgm:t>
        <a:bodyPr/>
        <a:lstStyle/>
        <a:p>
          <a:endParaRPr lang="bg-BG"/>
        </a:p>
      </dgm:t>
    </dgm:pt>
    <dgm:pt modelId="{3925B1CC-A926-472C-A91A-AC03A40AC687}" type="pres">
      <dgm:prSet presAssocID="{17DE169D-D8C0-472C-B266-9BA4AD280F1E}" presName="rootComposite" presStyleCnt="0"/>
      <dgm:spPr/>
      <dgm:t>
        <a:bodyPr/>
        <a:lstStyle/>
        <a:p>
          <a:endParaRPr lang="bg-BG"/>
        </a:p>
      </dgm:t>
    </dgm:pt>
    <dgm:pt modelId="{44BC6984-54D5-4765-9A0C-A3BCFECCB242}" type="pres">
      <dgm:prSet presAssocID="{17DE169D-D8C0-472C-B266-9BA4AD280F1E}" presName="rootText" presStyleLbl="node1" presStyleIdx="0" presStyleCnt="2" custScaleY="71818"/>
      <dgm:spPr/>
      <dgm:t>
        <a:bodyPr/>
        <a:lstStyle/>
        <a:p>
          <a:endParaRPr lang="bg-BG"/>
        </a:p>
      </dgm:t>
    </dgm:pt>
    <dgm:pt modelId="{DF3D7999-66B8-4412-AACF-4898D232C86B}" type="pres">
      <dgm:prSet presAssocID="{17DE169D-D8C0-472C-B266-9BA4AD280F1E}" presName="rootConnector" presStyleLbl="node1" presStyleIdx="0" presStyleCnt="2"/>
      <dgm:spPr/>
      <dgm:t>
        <a:bodyPr/>
        <a:lstStyle/>
        <a:p>
          <a:endParaRPr lang="bg-BG"/>
        </a:p>
      </dgm:t>
    </dgm:pt>
    <dgm:pt modelId="{151BEFB5-B4D5-4C4E-9875-131F468B0F49}" type="pres">
      <dgm:prSet presAssocID="{17DE169D-D8C0-472C-B266-9BA4AD280F1E}" presName="childShape" presStyleCnt="0"/>
      <dgm:spPr/>
      <dgm:t>
        <a:bodyPr/>
        <a:lstStyle/>
        <a:p>
          <a:endParaRPr lang="bg-BG"/>
        </a:p>
      </dgm:t>
    </dgm:pt>
    <dgm:pt modelId="{429FC650-BA01-4A8E-B85C-1752EA630EBA}" type="pres">
      <dgm:prSet presAssocID="{FB8190B0-ECA3-4584-95AD-6BD42CEE445A}" presName="Name13" presStyleLbl="parChTrans1D2" presStyleIdx="0" presStyleCnt="4"/>
      <dgm:spPr/>
      <dgm:t>
        <a:bodyPr/>
        <a:lstStyle/>
        <a:p>
          <a:endParaRPr lang="bg-BG"/>
        </a:p>
      </dgm:t>
    </dgm:pt>
    <dgm:pt modelId="{74C90E6A-34C8-4758-BFF7-83EE74D76F41}" type="pres">
      <dgm:prSet presAssocID="{DA0CB062-8903-4551-BDA4-601B59B094D9}" presName="childText" presStyleLbl="bgAcc1" presStyleIdx="0" presStyleCnt="4">
        <dgm:presLayoutVars>
          <dgm:bulletEnabled val="1"/>
        </dgm:presLayoutVars>
      </dgm:prSet>
      <dgm:spPr/>
      <dgm:t>
        <a:bodyPr/>
        <a:lstStyle/>
        <a:p>
          <a:endParaRPr lang="bg-BG"/>
        </a:p>
      </dgm:t>
    </dgm:pt>
    <dgm:pt modelId="{0EC7A4F2-76D6-4245-9D71-43FCBF7E23DE}" type="pres">
      <dgm:prSet presAssocID="{6318EC11-7E66-430A-A6AB-DE5F41B8A4B1}" presName="Name13" presStyleLbl="parChTrans1D2" presStyleIdx="1" presStyleCnt="4"/>
      <dgm:spPr/>
      <dgm:t>
        <a:bodyPr/>
        <a:lstStyle/>
        <a:p>
          <a:endParaRPr lang="bg-BG"/>
        </a:p>
      </dgm:t>
    </dgm:pt>
    <dgm:pt modelId="{98A09A1C-CDB4-4200-8DE8-D7DDB0AB2CA6}" type="pres">
      <dgm:prSet presAssocID="{79B37A7C-EFE2-4281-BA46-72428B483D3E}" presName="childText" presStyleLbl="bgAcc1" presStyleIdx="1" presStyleCnt="4" custScaleY="137123">
        <dgm:presLayoutVars>
          <dgm:bulletEnabled val="1"/>
        </dgm:presLayoutVars>
      </dgm:prSet>
      <dgm:spPr/>
      <dgm:t>
        <a:bodyPr/>
        <a:lstStyle/>
        <a:p>
          <a:endParaRPr lang="bg-BG"/>
        </a:p>
      </dgm:t>
    </dgm:pt>
    <dgm:pt modelId="{21642C96-1BE7-4D46-9494-979F14D98859}" type="pres">
      <dgm:prSet presAssocID="{620D1586-7FDE-4A1E-8D76-5744EC6732C4}" presName="root" presStyleCnt="0"/>
      <dgm:spPr/>
      <dgm:t>
        <a:bodyPr/>
        <a:lstStyle/>
        <a:p>
          <a:endParaRPr lang="bg-BG"/>
        </a:p>
      </dgm:t>
    </dgm:pt>
    <dgm:pt modelId="{525E73D3-ACEC-4E94-B1B4-9DCA29EF0A93}" type="pres">
      <dgm:prSet presAssocID="{620D1586-7FDE-4A1E-8D76-5744EC6732C4}" presName="rootComposite" presStyleCnt="0"/>
      <dgm:spPr/>
      <dgm:t>
        <a:bodyPr/>
        <a:lstStyle/>
        <a:p>
          <a:endParaRPr lang="bg-BG"/>
        </a:p>
      </dgm:t>
    </dgm:pt>
    <dgm:pt modelId="{2DAA0F60-8B32-414E-8E61-75E427E1B9E2}" type="pres">
      <dgm:prSet presAssocID="{620D1586-7FDE-4A1E-8D76-5744EC6732C4}" presName="rootText" presStyleLbl="node1" presStyleIdx="1" presStyleCnt="2" custScaleY="72190"/>
      <dgm:spPr/>
      <dgm:t>
        <a:bodyPr/>
        <a:lstStyle/>
        <a:p>
          <a:endParaRPr lang="bg-BG"/>
        </a:p>
      </dgm:t>
    </dgm:pt>
    <dgm:pt modelId="{5DDC1510-D65A-4754-82F4-5E791C5108D1}" type="pres">
      <dgm:prSet presAssocID="{620D1586-7FDE-4A1E-8D76-5744EC6732C4}" presName="rootConnector" presStyleLbl="node1" presStyleIdx="1" presStyleCnt="2"/>
      <dgm:spPr/>
      <dgm:t>
        <a:bodyPr/>
        <a:lstStyle/>
        <a:p>
          <a:endParaRPr lang="bg-BG"/>
        </a:p>
      </dgm:t>
    </dgm:pt>
    <dgm:pt modelId="{EF58BCB6-9D33-422E-8E73-CF9D5F47CA67}" type="pres">
      <dgm:prSet presAssocID="{620D1586-7FDE-4A1E-8D76-5744EC6732C4}" presName="childShape" presStyleCnt="0"/>
      <dgm:spPr/>
      <dgm:t>
        <a:bodyPr/>
        <a:lstStyle/>
        <a:p>
          <a:endParaRPr lang="bg-BG"/>
        </a:p>
      </dgm:t>
    </dgm:pt>
    <dgm:pt modelId="{0525C172-EC85-44A2-8908-60633F7645D5}" type="pres">
      <dgm:prSet presAssocID="{FC303727-E55D-4D26-9090-59E5E6F6D5ED}" presName="Name13" presStyleLbl="parChTrans1D2" presStyleIdx="2" presStyleCnt="4"/>
      <dgm:spPr/>
      <dgm:t>
        <a:bodyPr/>
        <a:lstStyle/>
        <a:p>
          <a:endParaRPr lang="bg-BG"/>
        </a:p>
      </dgm:t>
    </dgm:pt>
    <dgm:pt modelId="{E9015659-D6C8-4193-BE45-55DCA033691A}" type="pres">
      <dgm:prSet presAssocID="{545322EA-38CB-4382-B02B-5347074655E3}" presName="childText" presStyleLbl="bgAcc1" presStyleIdx="2" presStyleCnt="4">
        <dgm:presLayoutVars>
          <dgm:bulletEnabled val="1"/>
        </dgm:presLayoutVars>
      </dgm:prSet>
      <dgm:spPr/>
      <dgm:t>
        <a:bodyPr/>
        <a:lstStyle/>
        <a:p>
          <a:endParaRPr lang="bg-BG"/>
        </a:p>
      </dgm:t>
    </dgm:pt>
    <dgm:pt modelId="{AE72FB59-C85D-4905-9047-4FAF7FE085F8}" type="pres">
      <dgm:prSet presAssocID="{C7044A8D-F25E-44AA-88C8-5E29FA953FE9}" presName="Name13" presStyleLbl="parChTrans1D2" presStyleIdx="3" presStyleCnt="4"/>
      <dgm:spPr/>
      <dgm:t>
        <a:bodyPr/>
        <a:lstStyle/>
        <a:p>
          <a:endParaRPr lang="bg-BG"/>
        </a:p>
      </dgm:t>
    </dgm:pt>
    <dgm:pt modelId="{89FE494E-1093-4638-836D-EF25360E0D95}" type="pres">
      <dgm:prSet presAssocID="{5A7D5A4A-E786-428D-A442-7646B04BC254}" presName="childText" presStyleLbl="bgAcc1" presStyleIdx="3" presStyleCnt="4" custScaleY="136751">
        <dgm:presLayoutVars>
          <dgm:bulletEnabled val="1"/>
        </dgm:presLayoutVars>
      </dgm:prSet>
      <dgm:spPr/>
      <dgm:t>
        <a:bodyPr/>
        <a:lstStyle/>
        <a:p>
          <a:endParaRPr lang="bg-BG"/>
        </a:p>
      </dgm:t>
    </dgm:pt>
  </dgm:ptLst>
  <dgm:cxnLst>
    <dgm:cxn modelId="{56B893A1-5BDA-469E-9847-47E79B123620}" srcId="{17DE169D-D8C0-472C-B266-9BA4AD280F1E}" destId="{DA0CB062-8903-4551-BDA4-601B59B094D9}" srcOrd="0" destOrd="0" parTransId="{FB8190B0-ECA3-4584-95AD-6BD42CEE445A}" sibTransId="{5CD18A02-AE8F-4025-8A40-1AE06A9FC4BC}"/>
    <dgm:cxn modelId="{69F7D771-CF4A-4D3B-A704-A54E4E260EEC}" srcId="{17DE169D-D8C0-472C-B266-9BA4AD280F1E}" destId="{79B37A7C-EFE2-4281-BA46-72428B483D3E}" srcOrd="1" destOrd="0" parTransId="{6318EC11-7E66-430A-A6AB-DE5F41B8A4B1}" sibTransId="{2C07B0E6-462E-4CCD-BDA0-530EF300D8EA}"/>
    <dgm:cxn modelId="{10C887FB-8C8F-4D3D-8976-1B3C59AC9992}" type="presOf" srcId="{FB8190B0-ECA3-4584-95AD-6BD42CEE445A}" destId="{429FC650-BA01-4A8E-B85C-1752EA630EBA}" srcOrd="0" destOrd="0" presId="urn:microsoft.com/office/officeart/2005/8/layout/hierarchy3"/>
    <dgm:cxn modelId="{409827F9-8A08-459E-8449-DAB5E17CADFB}" srcId="{4D44D04C-4A0C-4958-81A8-968B44B2E40E}" destId="{17DE169D-D8C0-472C-B266-9BA4AD280F1E}" srcOrd="0" destOrd="0" parTransId="{0CB04050-DDD0-4CB4-BFFE-2AB99B751AE5}" sibTransId="{DB606D76-120D-4F19-AE21-DA417194D8A1}"/>
    <dgm:cxn modelId="{13C8D152-BB05-4F39-97B7-1CC65EC608D8}" srcId="{620D1586-7FDE-4A1E-8D76-5744EC6732C4}" destId="{545322EA-38CB-4382-B02B-5347074655E3}" srcOrd="0" destOrd="0" parTransId="{FC303727-E55D-4D26-9090-59E5E6F6D5ED}" sibTransId="{70C09CA5-C7A3-4BB3-99C9-171E43D92ECC}"/>
    <dgm:cxn modelId="{5253D19D-1620-4799-AB54-8BCCCD3D4249}" type="presOf" srcId="{5A7D5A4A-E786-428D-A442-7646B04BC254}" destId="{89FE494E-1093-4638-836D-EF25360E0D95}" srcOrd="0" destOrd="0" presId="urn:microsoft.com/office/officeart/2005/8/layout/hierarchy3"/>
    <dgm:cxn modelId="{1E701A77-0272-4EC1-8C91-8F5FFD569753}" type="presOf" srcId="{620D1586-7FDE-4A1E-8D76-5744EC6732C4}" destId="{5DDC1510-D65A-4754-82F4-5E791C5108D1}" srcOrd="1" destOrd="0" presId="urn:microsoft.com/office/officeart/2005/8/layout/hierarchy3"/>
    <dgm:cxn modelId="{22E44679-0B2B-4468-8A18-17A41DD3FEED}" type="presOf" srcId="{C7044A8D-F25E-44AA-88C8-5E29FA953FE9}" destId="{AE72FB59-C85D-4905-9047-4FAF7FE085F8}" srcOrd="0" destOrd="0" presId="urn:microsoft.com/office/officeart/2005/8/layout/hierarchy3"/>
    <dgm:cxn modelId="{DD20240C-6AD1-4BD7-A7B8-7BEB61183E0F}" type="presOf" srcId="{FC303727-E55D-4D26-9090-59E5E6F6D5ED}" destId="{0525C172-EC85-44A2-8908-60633F7645D5}" srcOrd="0" destOrd="0" presId="urn:microsoft.com/office/officeart/2005/8/layout/hierarchy3"/>
    <dgm:cxn modelId="{33396087-0D51-4D59-BAC1-15F7DCC9047B}" type="presOf" srcId="{17DE169D-D8C0-472C-B266-9BA4AD280F1E}" destId="{44BC6984-54D5-4765-9A0C-A3BCFECCB242}" srcOrd="0" destOrd="0" presId="urn:microsoft.com/office/officeart/2005/8/layout/hierarchy3"/>
    <dgm:cxn modelId="{4875B368-01E1-41A9-AECE-390F32AABC62}" srcId="{620D1586-7FDE-4A1E-8D76-5744EC6732C4}" destId="{5A7D5A4A-E786-428D-A442-7646B04BC254}" srcOrd="1" destOrd="0" parTransId="{C7044A8D-F25E-44AA-88C8-5E29FA953FE9}" sibTransId="{B3A6A502-BF95-44C6-82C4-85303BED4132}"/>
    <dgm:cxn modelId="{52BCA961-A6F3-41FC-BC36-F0E3703AF2DE}" type="presOf" srcId="{79B37A7C-EFE2-4281-BA46-72428B483D3E}" destId="{98A09A1C-CDB4-4200-8DE8-D7DDB0AB2CA6}" srcOrd="0" destOrd="0" presId="urn:microsoft.com/office/officeart/2005/8/layout/hierarchy3"/>
    <dgm:cxn modelId="{88685182-1E3E-4DF3-9336-45E6BD566A0C}" type="presOf" srcId="{620D1586-7FDE-4A1E-8D76-5744EC6732C4}" destId="{2DAA0F60-8B32-414E-8E61-75E427E1B9E2}" srcOrd="0" destOrd="0" presId="urn:microsoft.com/office/officeart/2005/8/layout/hierarchy3"/>
    <dgm:cxn modelId="{03A5B0B1-548C-47BD-B78A-3D63A9BB4BEB}" type="presOf" srcId="{545322EA-38CB-4382-B02B-5347074655E3}" destId="{E9015659-D6C8-4193-BE45-55DCA033691A}" srcOrd="0" destOrd="0" presId="urn:microsoft.com/office/officeart/2005/8/layout/hierarchy3"/>
    <dgm:cxn modelId="{3F7D1F0E-77C9-4D99-B3AD-2213C1CF1725}" type="presOf" srcId="{DA0CB062-8903-4551-BDA4-601B59B094D9}" destId="{74C90E6A-34C8-4758-BFF7-83EE74D76F41}" srcOrd="0" destOrd="0" presId="urn:microsoft.com/office/officeart/2005/8/layout/hierarchy3"/>
    <dgm:cxn modelId="{BEBD1B26-E743-45AF-A4A6-443F6DD7E8FD}" type="presOf" srcId="{4D44D04C-4A0C-4958-81A8-968B44B2E40E}" destId="{23F2E1E8-2E9B-4C09-A915-5A907F848A7D}" srcOrd="0" destOrd="0" presId="urn:microsoft.com/office/officeart/2005/8/layout/hierarchy3"/>
    <dgm:cxn modelId="{DFC9174D-C0C9-416F-81DB-41801B771F04}" type="presOf" srcId="{6318EC11-7E66-430A-A6AB-DE5F41B8A4B1}" destId="{0EC7A4F2-76D6-4245-9D71-43FCBF7E23DE}" srcOrd="0" destOrd="0" presId="urn:microsoft.com/office/officeart/2005/8/layout/hierarchy3"/>
    <dgm:cxn modelId="{F6F876DD-E497-4612-ABC9-F731305510DF}" srcId="{4D44D04C-4A0C-4958-81A8-968B44B2E40E}" destId="{620D1586-7FDE-4A1E-8D76-5744EC6732C4}" srcOrd="1" destOrd="0" parTransId="{799A5AC8-2DBC-40BA-9D06-B913E0304607}" sibTransId="{C7BE72C0-D133-42DB-930E-E718CD1389DD}"/>
    <dgm:cxn modelId="{E60E2202-07EA-4CC3-8132-0210E3DF1DC2}" type="presOf" srcId="{17DE169D-D8C0-472C-B266-9BA4AD280F1E}" destId="{DF3D7999-66B8-4412-AACF-4898D232C86B}" srcOrd="1" destOrd="0" presId="urn:microsoft.com/office/officeart/2005/8/layout/hierarchy3"/>
    <dgm:cxn modelId="{5DD85D42-26BC-4989-AE43-598E64F0588D}" type="presParOf" srcId="{23F2E1E8-2E9B-4C09-A915-5A907F848A7D}" destId="{1E241996-3E8C-4EB0-8B7F-1E0A490A18D2}" srcOrd="0" destOrd="0" presId="urn:microsoft.com/office/officeart/2005/8/layout/hierarchy3"/>
    <dgm:cxn modelId="{CAB8F888-6A7E-417A-BA8B-BF7ED5AF498E}" type="presParOf" srcId="{1E241996-3E8C-4EB0-8B7F-1E0A490A18D2}" destId="{3925B1CC-A926-472C-A91A-AC03A40AC687}" srcOrd="0" destOrd="0" presId="urn:microsoft.com/office/officeart/2005/8/layout/hierarchy3"/>
    <dgm:cxn modelId="{C16198E2-1297-4461-987F-2B1970210DD8}" type="presParOf" srcId="{3925B1CC-A926-472C-A91A-AC03A40AC687}" destId="{44BC6984-54D5-4765-9A0C-A3BCFECCB242}" srcOrd="0" destOrd="0" presId="urn:microsoft.com/office/officeart/2005/8/layout/hierarchy3"/>
    <dgm:cxn modelId="{EDD152D2-663F-497F-8CC7-15CE4FFBE455}" type="presParOf" srcId="{3925B1CC-A926-472C-A91A-AC03A40AC687}" destId="{DF3D7999-66B8-4412-AACF-4898D232C86B}" srcOrd="1" destOrd="0" presId="urn:microsoft.com/office/officeart/2005/8/layout/hierarchy3"/>
    <dgm:cxn modelId="{35EE224D-C74C-4707-BB87-CDD89543B6F8}" type="presParOf" srcId="{1E241996-3E8C-4EB0-8B7F-1E0A490A18D2}" destId="{151BEFB5-B4D5-4C4E-9875-131F468B0F49}" srcOrd="1" destOrd="0" presId="urn:microsoft.com/office/officeart/2005/8/layout/hierarchy3"/>
    <dgm:cxn modelId="{7623D2A2-8696-4B6D-A302-5EEB8CAA57D4}" type="presParOf" srcId="{151BEFB5-B4D5-4C4E-9875-131F468B0F49}" destId="{429FC650-BA01-4A8E-B85C-1752EA630EBA}" srcOrd="0" destOrd="0" presId="urn:microsoft.com/office/officeart/2005/8/layout/hierarchy3"/>
    <dgm:cxn modelId="{78AF5029-AB6C-4E75-A786-9CDB5A004031}" type="presParOf" srcId="{151BEFB5-B4D5-4C4E-9875-131F468B0F49}" destId="{74C90E6A-34C8-4758-BFF7-83EE74D76F41}" srcOrd="1" destOrd="0" presId="urn:microsoft.com/office/officeart/2005/8/layout/hierarchy3"/>
    <dgm:cxn modelId="{38865400-A466-4592-9952-ACC119DA8AA2}" type="presParOf" srcId="{151BEFB5-B4D5-4C4E-9875-131F468B0F49}" destId="{0EC7A4F2-76D6-4245-9D71-43FCBF7E23DE}" srcOrd="2" destOrd="0" presId="urn:microsoft.com/office/officeart/2005/8/layout/hierarchy3"/>
    <dgm:cxn modelId="{F6E888D3-ACD3-495E-8C10-AD30E6C7B1BD}" type="presParOf" srcId="{151BEFB5-B4D5-4C4E-9875-131F468B0F49}" destId="{98A09A1C-CDB4-4200-8DE8-D7DDB0AB2CA6}" srcOrd="3" destOrd="0" presId="urn:microsoft.com/office/officeart/2005/8/layout/hierarchy3"/>
    <dgm:cxn modelId="{647426FA-C945-4F5E-B4F7-EE04E6119C9F}" type="presParOf" srcId="{23F2E1E8-2E9B-4C09-A915-5A907F848A7D}" destId="{21642C96-1BE7-4D46-9494-979F14D98859}" srcOrd="1" destOrd="0" presId="urn:microsoft.com/office/officeart/2005/8/layout/hierarchy3"/>
    <dgm:cxn modelId="{88B8F776-9FCB-4CB0-9374-FF8EF295A2EE}" type="presParOf" srcId="{21642C96-1BE7-4D46-9494-979F14D98859}" destId="{525E73D3-ACEC-4E94-B1B4-9DCA29EF0A93}" srcOrd="0" destOrd="0" presId="urn:microsoft.com/office/officeart/2005/8/layout/hierarchy3"/>
    <dgm:cxn modelId="{A43C4CDC-47B3-4728-98D9-562A18AD7745}" type="presParOf" srcId="{525E73D3-ACEC-4E94-B1B4-9DCA29EF0A93}" destId="{2DAA0F60-8B32-414E-8E61-75E427E1B9E2}" srcOrd="0" destOrd="0" presId="urn:microsoft.com/office/officeart/2005/8/layout/hierarchy3"/>
    <dgm:cxn modelId="{D98BE6C7-8147-4666-9531-D3277210BFF3}" type="presParOf" srcId="{525E73D3-ACEC-4E94-B1B4-9DCA29EF0A93}" destId="{5DDC1510-D65A-4754-82F4-5E791C5108D1}" srcOrd="1" destOrd="0" presId="urn:microsoft.com/office/officeart/2005/8/layout/hierarchy3"/>
    <dgm:cxn modelId="{E106704B-6668-4E9F-B752-3D809B1EEFE9}" type="presParOf" srcId="{21642C96-1BE7-4D46-9494-979F14D98859}" destId="{EF58BCB6-9D33-422E-8E73-CF9D5F47CA67}" srcOrd="1" destOrd="0" presId="urn:microsoft.com/office/officeart/2005/8/layout/hierarchy3"/>
    <dgm:cxn modelId="{BAC9E821-0726-4A71-9531-29F25E40EBE7}" type="presParOf" srcId="{EF58BCB6-9D33-422E-8E73-CF9D5F47CA67}" destId="{0525C172-EC85-44A2-8908-60633F7645D5}" srcOrd="0" destOrd="0" presId="urn:microsoft.com/office/officeart/2005/8/layout/hierarchy3"/>
    <dgm:cxn modelId="{2D0AF6D1-FD77-4FE3-81F6-43E6571FBA9E}" type="presParOf" srcId="{EF58BCB6-9D33-422E-8E73-CF9D5F47CA67}" destId="{E9015659-D6C8-4193-BE45-55DCA033691A}" srcOrd="1" destOrd="0" presId="urn:microsoft.com/office/officeart/2005/8/layout/hierarchy3"/>
    <dgm:cxn modelId="{743C456D-F4C9-42EA-9790-3615CBC6B924}" type="presParOf" srcId="{EF58BCB6-9D33-422E-8E73-CF9D5F47CA67}" destId="{AE72FB59-C85D-4905-9047-4FAF7FE085F8}" srcOrd="2" destOrd="0" presId="urn:microsoft.com/office/officeart/2005/8/layout/hierarchy3"/>
    <dgm:cxn modelId="{371C22B7-0FF6-4F72-8DDA-3491E0E90002}" type="presParOf" srcId="{EF58BCB6-9D33-422E-8E73-CF9D5F47CA67}" destId="{89FE494E-1093-4638-836D-EF25360E0D95}" srcOrd="3" destOrd="0" presId="urn:microsoft.com/office/officeart/2005/8/layout/hierarchy3"/>
  </dgm:cxnLst>
  <dgm:bg/>
  <dgm:whole/>
  <dgm:extLst>
    <a:ext uri="http://schemas.microsoft.com/office/drawing/2008/diagram">
      <dsp:dataModelExt xmlns:dsp="http://schemas.microsoft.com/office/drawing/2008/diagram" relId="rId103"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76D9B46A-FC5E-4A39-94E5-A155A791CDD4}" type="doc">
      <dgm:prSet loTypeId="urn:microsoft.com/office/officeart/2005/8/layout/hProcess9" loCatId="process" qsTypeId="urn:microsoft.com/office/officeart/2005/8/quickstyle/simple1" qsCatId="simple" csTypeId="urn:microsoft.com/office/officeart/2005/8/colors/colorful5" csCatId="colorful" phldr="1"/>
      <dgm:spPr/>
    </dgm:pt>
    <dgm:pt modelId="{5C49C5DF-F08F-478F-BB13-C6A7662C82B7}">
      <dgm:prSet phldrT="[Text]" custT="1"/>
      <dgm:spPr/>
      <dgm:t>
        <a:bodyPr/>
        <a:lstStyle/>
        <a:p>
          <a:r>
            <a:rPr lang="bg-BG" sz="900" b="1"/>
            <a:t>Съответствие с пазара  </a:t>
          </a:r>
        </a:p>
        <a:p>
          <a:r>
            <a:rPr lang="bg-BG" sz="800"/>
            <a:t>Ако съответният ФИ е структуриран в съответствие с пазара, не се счита за държавна помощ и не са необходими последващи действия</a:t>
          </a:r>
        </a:p>
      </dgm:t>
    </dgm:pt>
    <dgm:pt modelId="{81C1395E-FE81-401C-A44A-4EDEC9BC1E16}" type="parTrans" cxnId="{B5ED41A8-9144-4B00-8C2E-4A030EE486B2}">
      <dgm:prSet/>
      <dgm:spPr/>
      <dgm:t>
        <a:bodyPr/>
        <a:lstStyle/>
        <a:p>
          <a:endParaRPr lang="bg-BG"/>
        </a:p>
      </dgm:t>
    </dgm:pt>
    <dgm:pt modelId="{F33C14EE-EDC4-4E32-83DF-5DA41A8291F8}" type="sibTrans" cxnId="{B5ED41A8-9144-4B00-8C2E-4A030EE486B2}">
      <dgm:prSet/>
      <dgm:spPr/>
      <dgm:t>
        <a:bodyPr/>
        <a:lstStyle/>
        <a:p>
          <a:endParaRPr lang="bg-BG"/>
        </a:p>
      </dgm:t>
    </dgm:pt>
    <dgm:pt modelId="{1347C404-F1CB-40DF-8478-76A1425BE6DB}">
      <dgm:prSet phldrT="[Text]" custT="1"/>
      <dgm:spPr/>
      <dgm:t>
        <a:bodyPr/>
        <a:lstStyle/>
        <a:p>
          <a:r>
            <a:rPr lang="bg-BG" sz="900" b="1"/>
            <a:t>Режим </a:t>
          </a:r>
          <a:r>
            <a:rPr lang="en-US" sz="900" b="1"/>
            <a:t>De minimis</a:t>
          </a:r>
        </a:p>
        <a:p>
          <a:r>
            <a:rPr lang="bg-BG" sz="800"/>
            <a:t>В случай, че съответния инструмент попада в режим </a:t>
          </a:r>
          <a:r>
            <a:rPr lang="en-US" sz="800"/>
            <a:t>de minimis</a:t>
          </a:r>
          <a:r>
            <a:rPr lang="bg-BG" sz="800"/>
            <a:t> не се извършва нотификация</a:t>
          </a:r>
        </a:p>
      </dgm:t>
    </dgm:pt>
    <dgm:pt modelId="{D1AA3A00-E85E-4F5F-B02E-309FD073A881}" type="parTrans" cxnId="{A4DFB359-31F9-4FED-BD80-BE943358C52B}">
      <dgm:prSet/>
      <dgm:spPr/>
      <dgm:t>
        <a:bodyPr/>
        <a:lstStyle/>
        <a:p>
          <a:endParaRPr lang="bg-BG"/>
        </a:p>
      </dgm:t>
    </dgm:pt>
    <dgm:pt modelId="{C799B9B1-2FDD-466F-9B6B-B14E5D7F5E50}" type="sibTrans" cxnId="{A4DFB359-31F9-4FED-BD80-BE943358C52B}">
      <dgm:prSet/>
      <dgm:spPr/>
      <dgm:t>
        <a:bodyPr/>
        <a:lstStyle/>
        <a:p>
          <a:endParaRPr lang="bg-BG"/>
        </a:p>
      </dgm:t>
    </dgm:pt>
    <dgm:pt modelId="{84FBC687-F142-45E2-BC7E-D3F67EA532B3}">
      <dgm:prSet phldrT="[Text]" custT="1"/>
      <dgm:spPr/>
      <dgm:t>
        <a:bodyPr/>
        <a:lstStyle/>
        <a:p>
          <a:r>
            <a:rPr lang="bg-BG" sz="900" b="1"/>
            <a:t>Режим Групово освобождаване</a:t>
          </a:r>
        </a:p>
        <a:p>
          <a:r>
            <a:rPr lang="bg-BG" sz="800"/>
            <a:t>В свучай, че ФИ попада в режим а за групово освобождаване </a:t>
          </a:r>
          <a:r>
            <a:rPr lang="en-US" sz="800"/>
            <a:t>(GBER, ABER)</a:t>
          </a:r>
          <a:r>
            <a:rPr lang="bg-BG" sz="800"/>
            <a:t> не се изисква нотификация, но това следва да бъде документирано</a:t>
          </a:r>
        </a:p>
      </dgm:t>
    </dgm:pt>
    <dgm:pt modelId="{1FFAF409-15B8-481C-B21E-EE78A3EE04C2}" type="parTrans" cxnId="{273FB4D8-7A92-4E8C-91F2-55B3EA067DE0}">
      <dgm:prSet/>
      <dgm:spPr/>
      <dgm:t>
        <a:bodyPr/>
        <a:lstStyle/>
        <a:p>
          <a:endParaRPr lang="bg-BG"/>
        </a:p>
      </dgm:t>
    </dgm:pt>
    <dgm:pt modelId="{4985A582-7129-4B6B-B074-3E5C584D2F6C}" type="sibTrans" cxnId="{273FB4D8-7A92-4E8C-91F2-55B3EA067DE0}">
      <dgm:prSet/>
      <dgm:spPr/>
      <dgm:t>
        <a:bodyPr/>
        <a:lstStyle/>
        <a:p>
          <a:endParaRPr lang="bg-BG"/>
        </a:p>
      </dgm:t>
    </dgm:pt>
    <dgm:pt modelId="{C51A1FF7-81A7-4DCD-817F-2CCD22F30575}">
      <dgm:prSet phldrT="[Text]" custT="1"/>
      <dgm:spPr/>
      <dgm:t>
        <a:bodyPr/>
        <a:lstStyle/>
        <a:p>
          <a:r>
            <a:rPr lang="bg-BG" sz="900" b="1"/>
            <a:t>Последващи действия</a:t>
          </a:r>
        </a:p>
        <a:p>
          <a:r>
            <a:rPr lang="bg-BG" sz="800"/>
            <a:t>Ако оценката покаже, че ФИ подлежи на нотификация, е необходимо да се предприемат съответните действия</a:t>
          </a:r>
        </a:p>
      </dgm:t>
    </dgm:pt>
    <dgm:pt modelId="{163775D0-104C-41AD-9E56-0FFC9742F4B6}" type="parTrans" cxnId="{7F2725D9-E8D3-417D-96A4-47217E336582}">
      <dgm:prSet/>
      <dgm:spPr/>
      <dgm:t>
        <a:bodyPr/>
        <a:lstStyle/>
        <a:p>
          <a:endParaRPr lang="bg-BG"/>
        </a:p>
      </dgm:t>
    </dgm:pt>
    <dgm:pt modelId="{3E4CC53C-3997-4D96-ADB6-E64B82741E27}" type="sibTrans" cxnId="{7F2725D9-E8D3-417D-96A4-47217E336582}">
      <dgm:prSet/>
      <dgm:spPr/>
      <dgm:t>
        <a:bodyPr/>
        <a:lstStyle/>
        <a:p>
          <a:endParaRPr lang="bg-BG"/>
        </a:p>
      </dgm:t>
    </dgm:pt>
    <dgm:pt modelId="{7CBA99C0-20DD-4B81-8CB1-90ABBB7F1ED0}">
      <dgm:prSet phldrT="[Text]" custT="1"/>
      <dgm:spPr/>
      <dgm:t>
        <a:bodyPr/>
        <a:lstStyle/>
        <a:p>
          <a:r>
            <a:rPr lang="bg-BG" sz="900" b="1"/>
            <a:t>Инструменти </a:t>
          </a:r>
          <a:r>
            <a:rPr lang="en-US" sz="900" b="1"/>
            <a:t>Off-the-shelf</a:t>
          </a:r>
        </a:p>
        <a:p>
          <a:r>
            <a:rPr lang="bg-BG" sz="800"/>
            <a:t>Ако ФИ е о</a:t>
          </a:r>
          <a:r>
            <a:rPr lang="en-US" sz="800"/>
            <a:t>ff-the-shelf</a:t>
          </a:r>
          <a:r>
            <a:rPr lang="bg-BG" sz="800"/>
            <a:t>, не се изисква нотификация, но това следва да бъде документирано</a:t>
          </a:r>
        </a:p>
      </dgm:t>
    </dgm:pt>
    <dgm:pt modelId="{B42D9EC8-5AF8-4DB9-9965-DCF9F550EFD2}" type="parTrans" cxnId="{1450BD8A-34B9-4B30-9F0C-589494A29659}">
      <dgm:prSet/>
      <dgm:spPr/>
      <dgm:t>
        <a:bodyPr/>
        <a:lstStyle/>
        <a:p>
          <a:endParaRPr lang="bg-BG"/>
        </a:p>
      </dgm:t>
    </dgm:pt>
    <dgm:pt modelId="{3D3F7381-144C-48E8-B26E-352C365D5131}" type="sibTrans" cxnId="{1450BD8A-34B9-4B30-9F0C-589494A29659}">
      <dgm:prSet/>
      <dgm:spPr/>
      <dgm:t>
        <a:bodyPr/>
        <a:lstStyle/>
        <a:p>
          <a:endParaRPr lang="bg-BG"/>
        </a:p>
      </dgm:t>
    </dgm:pt>
    <dgm:pt modelId="{A2344C73-A40B-4B50-AA7E-9BDCB9B9F1FD}" type="pres">
      <dgm:prSet presAssocID="{76D9B46A-FC5E-4A39-94E5-A155A791CDD4}" presName="CompostProcess" presStyleCnt="0">
        <dgm:presLayoutVars>
          <dgm:dir/>
          <dgm:resizeHandles val="exact"/>
        </dgm:presLayoutVars>
      </dgm:prSet>
      <dgm:spPr/>
    </dgm:pt>
    <dgm:pt modelId="{07AFB34E-A494-4BBF-953C-CC998C41C450}" type="pres">
      <dgm:prSet presAssocID="{76D9B46A-FC5E-4A39-94E5-A155A791CDD4}" presName="arrow" presStyleLbl="bgShp" presStyleIdx="0" presStyleCnt="1"/>
      <dgm:spPr/>
    </dgm:pt>
    <dgm:pt modelId="{7C44DA6A-3B6E-4874-8816-E3C279417A69}" type="pres">
      <dgm:prSet presAssocID="{76D9B46A-FC5E-4A39-94E5-A155A791CDD4}" presName="linearProcess" presStyleCnt="0"/>
      <dgm:spPr/>
    </dgm:pt>
    <dgm:pt modelId="{D93159BA-6E69-4F9E-958C-30158FDCBD68}" type="pres">
      <dgm:prSet presAssocID="{5C49C5DF-F08F-478F-BB13-C6A7662C82B7}" presName="textNode" presStyleLbl="node1" presStyleIdx="0" presStyleCnt="5">
        <dgm:presLayoutVars>
          <dgm:bulletEnabled val="1"/>
        </dgm:presLayoutVars>
      </dgm:prSet>
      <dgm:spPr/>
      <dgm:t>
        <a:bodyPr/>
        <a:lstStyle/>
        <a:p>
          <a:endParaRPr lang="bg-BG"/>
        </a:p>
      </dgm:t>
    </dgm:pt>
    <dgm:pt modelId="{2EF220B5-B419-4DE8-93CF-493A830C840B}" type="pres">
      <dgm:prSet presAssocID="{F33C14EE-EDC4-4E32-83DF-5DA41A8291F8}" presName="sibTrans" presStyleCnt="0"/>
      <dgm:spPr/>
    </dgm:pt>
    <dgm:pt modelId="{C2AAF5B5-EBAC-45E2-AF2E-13DFBCDBCD79}" type="pres">
      <dgm:prSet presAssocID="{1347C404-F1CB-40DF-8478-76A1425BE6DB}" presName="textNode" presStyleLbl="node1" presStyleIdx="1" presStyleCnt="5">
        <dgm:presLayoutVars>
          <dgm:bulletEnabled val="1"/>
        </dgm:presLayoutVars>
      </dgm:prSet>
      <dgm:spPr/>
      <dgm:t>
        <a:bodyPr/>
        <a:lstStyle/>
        <a:p>
          <a:endParaRPr lang="bg-BG"/>
        </a:p>
      </dgm:t>
    </dgm:pt>
    <dgm:pt modelId="{4E86CB9D-7F95-4E42-A831-42DA96EE2F16}" type="pres">
      <dgm:prSet presAssocID="{C799B9B1-2FDD-466F-9B6B-B14E5D7F5E50}" presName="sibTrans" presStyleCnt="0"/>
      <dgm:spPr/>
    </dgm:pt>
    <dgm:pt modelId="{F94A6F46-3C62-452F-A7B5-D34CF239EF2B}" type="pres">
      <dgm:prSet presAssocID="{84FBC687-F142-45E2-BC7E-D3F67EA532B3}" presName="textNode" presStyleLbl="node1" presStyleIdx="2" presStyleCnt="5">
        <dgm:presLayoutVars>
          <dgm:bulletEnabled val="1"/>
        </dgm:presLayoutVars>
      </dgm:prSet>
      <dgm:spPr/>
      <dgm:t>
        <a:bodyPr/>
        <a:lstStyle/>
        <a:p>
          <a:endParaRPr lang="bg-BG"/>
        </a:p>
      </dgm:t>
    </dgm:pt>
    <dgm:pt modelId="{6F846452-09D5-471C-829D-FC5A2AB69348}" type="pres">
      <dgm:prSet presAssocID="{4985A582-7129-4B6B-B074-3E5C584D2F6C}" presName="sibTrans" presStyleCnt="0"/>
      <dgm:spPr/>
    </dgm:pt>
    <dgm:pt modelId="{70FCBAA0-5E72-4FF3-A6AE-7749F5730A66}" type="pres">
      <dgm:prSet presAssocID="{7CBA99C0-20DD-4B81-8CB1-90ABBB7F1ED0}" presName="textNode" presStyleLbl="node1" presStyleIdx="3" presStyleCnt="5">
        <dgm:presLayoutVars>
          <dgm:bulletEnabled val="1"/>
        </dgm:presLayoutVars>
      </dgm:prSet>
      <dgm:spPr/>
      <dgm:t>
        <a:bodyPr/>
        <a:lstStyle/>
        <a:p>
          <a:endParaRPr lang="bg-BG"/>
        </a:p>
      </dgm:t>
    </dgm:pt>
    <dgm:pt modelId="{2A5E99A7-2FE2-4DCF-A948-FB93E762FD6B}" type="pres">
      <dgm:prSet presAssocID="{3D3F7381-144C-48E8-B26E-352C365D5131}" presName="sibTrans" presStyleCnt="0"/>
      <dgm:spPr/>
    </dgm:pt>
    <dgm:pt modelId="{495DEEB8-2D87-4779-903A-83091A8A914A}" type="pres">
      <dgm:prSet presAssocID="{C51A1FF7-81A7-4DCD-817F-2CCD22F30575}" presName="textNode" presStyleLbl="node1" presStyleIdx="4" presStyleCnt="5">
        <dgm:presLayoutVars>
          <dgm:bulletEnabled val="1"/>
        </dgm:presLayoutVars>
      </dgm:prSet>
      <dgm:spPr/>
      <dgm:t>
        <a:bodyPr/>
        <a:lstStyle/>
        <a:p>
          <a:endParaRPr lang="bg-BG"/>
        </a:p>
      </dgm:t>
    </dgm:pt>
  </dgm:ptLst>
  <dgm:cxnLst>
    <dgm:cxn modelId="{2A6F43C6-E357-43F9-9518-788DEF8B93A7}" type="presOf" srcId="{76D9B46A-FC5E-4A39-94E5-A155A791CDD4}" destId="{A2344C73-A40B-4B50-AA7E-9BDCB9B9F1FD}" srcOrd="0" destOrd="0" presId="urn:microsoft.com/office/officeart/2005/8/layout/hProcess9"/>
    <dgm:cxn modelId="{22C0E0FE-16D2-4B91-B62F-C5DBD0D5FDAB}" type="presOf" srcId="{5C49C5DF-F08F-478F-BB13-C6A7662C82B7}" destId="{D93159BA-6E69-4F9E-958C-30158FDCBD68}" srcOrd="0" destOrd="0" presId="urn:microsoft.com/office/officeart/2005/8/layout/hProcess9"/>
    <dgm:cxn modelId="{9C452B74-6CCD-4CB4-A6B0-E12475D7920D}" type="presOf" srcId="{1347C404-F1CB-40DF-8478-76A1425BE6DB}" destId="{C2AAF5B5-EBAC-45E2-AF2E-13DFBCDBCD79}" srcOrd="0" destOrd="0" presId="urn:microsoft.com/office/officeart/2005/8/layout/hProcess9"/>
    <dgm:cxn modelId="{1450BD8A-34B9-4B30-9F0C-589494A29659}" srcId="{76D9B46A-FC5E-4A39-94E5-A155A791CDD4}" destId="{7CBA99C0-20DD-4B81-8CB1-90ABBB7F1ED0}" srcOrd="3" destOrd="0" parTransId="{B42D9EC8-5AF8-4DB9-9965-DCF9F550EFD2}" sibTransId="{3D3F7381-144C-48E8-B26E-352C365D5131}"/>
    <dgm:cxn modelId="{F050FF37-4E39-4A46-B4E7-7751BA1E1DC3}" type="presOf" srcId="{84FBC687-F142-45E2-BC7E-D3F67EA532B3}" destId="{F94A6F46-3C62-452F-A7B5-D34CF239EF2B}" srcOrd="0" destOrd="0" presId="urn:microsoft.com/office/officeart/2005/8/layout/hProcess9"/>
    <dgm:cxn modelId="{273FB4D8-7A92-4E8C-91F2-55B3EA067DE0}" srcId="{76D9B46A-FC5E-4A39-94E5-A155A791CDD4}" destId="{84FBC687-F142-45E2-BC7E-D3F67EA532B3}" srcOrd="2" destOrd="0" parTransId="{1FFAF409-15B8-481C-B21E-EE78A3EE04C2}" sibTransId="{4985A582-7129-4B6B-B074-3E5C584D2F6C}"/>
    <dgm:cxn modelId="{B5ED41A8-9144-4B00-8C2E-4A030EE486B2}" srcId="{76D9B46A-FC5E-4A39-94E5-A155A791CDD4}" destId="{5C49C5DF-F08F-478F-BB13-C6A7662C82B7}" srcOrd="0" destOrd="0" parTransId="{81C1395E-FE81-401C-A44A-4EDEC9BC1E16}" sibTransId="{F33C14EE-EDC4-4E32-83DF-5DA41A8291F8}"/>
    <dgm:cxn modelId="{7F2725D9-E8D3-417D-96A4-47217E336582}" srcId="{76D9B46A-FC5E-4A39-94E5-A155A791CDD4}" destId="{C51A1FF7-81A7-4DCD-817F-2CCD22F30575}" srcOrd="4" destOrd="0" parTransId="{163775D0-104C-41AD-9E56-0FFC9742F4B6}" sibTransId="{3E4CC53C-3997-4D96-ADB6-E64B82741E27}"/>
    <dgm:cxn modelId="{4B99D02C-CEA8-4A08-A921-A1D9D7D95434}" type="presOf" srcId="{C51A1FF7-81A7-4DCD-817F-2CCD22F30575}" destId="{495DEEB8-2D87-4779-903A-83091A8A914A}" srcOrd="0" destOrd="0" presId="urn:microsoft.com/office/officeart/2005/8/layout/hProcess9"/>
    <dgm:cxn modelId="{184719FB-0EA7-49E8-8AB9-2983A344A12F}" type="presOf" srcId="{7CBA99C0-20DD-4B81-8CB1-90ABBB7F1ED0}" destId="{70FCBAA0-5E72-4FF3-A6AE-7749F5730A66}" srcOrd="0" destOrd="0" presId="urn:microsoft.com/office/officeart/2005/8/layout/hProcess9"/>
    <dgm:cxn modelId="{A4DFB359-31F9-4FED-BD80-BE943358C52B}" srcId="{76D9B46A-FC5E-4A39-94E5-A155A791CDD4}" destId="{1347C404-F1CB-40DF-8478-76A1425BE6DB}" srcOrd="1" destOrd="0" parTransId="{D1AA3A00-E85E-4F5F-B02E-309FD073A881}" sibTransId="{C799B9B1-2FDD-466F-9B6B-B14E5D7F5E50}"/>
    <dgm:cxn modelId="{5002FEFF-869D-4815-BCF9-2089FD951164}" type="presParOf" srcId="{A2344C73-A40B-4B50-AA7E-9BDCB9B9F1FD}" destId="{07AFB34E-A494-4BBF-953C-CC998C41C450}" srcOrd="0" destOrd="0" presId="urn:microsoft.com/office/officeart/2005/8/layout/hProcess9"/>
    <dgm:cxn modelId="{9353CC5A-AE33-4E56-985E-0C435B02ED9F}" type="presParOf" srcId="{A2344C73-A40B-4B50-AA7E-9BDCB9B9F1FD}" destId="{7C44DA6A-3B6E-4874-8816-E3C279417A69}" srcOrd="1" destOrd="0" presId="urn:microsoft.com/office/officeart/2005/8/layout/hProcess9"/>
    <dgm:cxn modelId="{5DF19321-C5B9-4B01-AD64-1FF9E745B3E9}" type="presParOf" srcId="{7C44DA6A-3B6E-4874-8816-E3C279417A69}" destId="{D93159BA-6E69-4F9E-958C-30158FDCBD68}" srcOrd="0" destOrd="0" presId="urn:microsoft.com/office/officeart/2005/8/layout/hProcess9"/>
    <dgm:cxn modelId="{3609CD7E-47D5-4087-9DA9-B6292D80E550}" type="presParOf" srcId="{7C44DA6A-3B6E-4874-8816-E3C279417A69}" destId="{2EF220B5-B419-4DE8-93CF-493A830C840B}" srcOrd="1" destOrd="0" presId="urn:microsoft.com/office/officeart/2005/8/layout/hProcess9"/>
    <dgm:cxn modelId="{F58D3063-101E-49FE-A999-D85D014D72EE}" type="presParOf" srcId="{7C44DA6A-3B6E-4874-8816-E3C279417A69}" destId="{C2AAF5B5-EBAC-45E2-AF2E-13DFBCDBCD79}" srcOrd="2" destOrd="0" presId="urn:microsoft.com/office/officeart/2005/8/layout/hProcess9"/>
    <dgm:cxn modelId="{0F5E89E8-E8E6-4400-8A11-493CD9EDC2F7}" type="presParOf" srcId="{7C44DA6A-3B6E-4874-8816-E3C279417A69}" destId="{4E86CB9D-7F95-4E42-A831-42DA96EE2F16}" srcOrd="3" destOrd="0" presId="urn:microsoft.com/office/officeart/2005/8/layout/hProcess9"/>
    <dgm:cxn modelId="{D4FB1957-3EF2-42AF-8011-0252DA03EA0B}" type="presParOf" srcId="{7C44DA6A-3B6E-4874-8816-E3C279417A69}" destId="{F94A6F46-3C62-452F-A7B5-D34CF239EF2B}" srcOrd="4" destOrd="0" presId="urn:microsoft.com/office/officeart/2005/8/layout/hProcess9"/>
    <dgm:cxn modelId="{822A1B38-CBCF-4FD5-AEFD-6CDD1F170AB8}" type="presParOf" srcId="{7C44DA6A-3B6E-4874-8816-E3C279417A69}" destId="{6F846452-09D5-471C-829D-FC5A2AB69348}" srcOrd="5" destOrd="0" presId="urn:microsoft.com/office/officeart/2005/8/layout/hProcess9"/>
    <dgm:cxn modelId="{0146259B-B5AB-4072-9FDA-65A0BC258202}" type="presParOf" srcId="{7C44DA6A-3B6E-4874-8816-E3C279417A69}" destId="{70FCBAA0-5E72-4FF3-A6AE-7749F5730A66}" srcOrd="6" destOrd="0" presId="urn:microsoft.com/office/officeart/2005/8/layout/hProcess9"/>
    <dgm:cxn modelId="{425ACA06-D8BD-4383-BD2C-0323D0EE29B7}" type="presParOf" srcId="{7C44DA6A-3B6E-4874-8816-E3C279417A69}" destId="{2A5E99A7-2FE2-4DCF-A948-FB93E762FD6B}" srcOrd="7" destOrd="0" presId="urn:microsoft.com/office/officeart/2005/8/layout/hProcess9"/>
    <dgm:cxn modelId="{6262E1B0-B2F6-4F62-9BFE-5AFFF96C5123}" type="presParOf" srcId="{7C44DA6A-3B6E-4874-8816-E3C279417A69}" destId="{495DEEB8-2D87-4779-903A-83091A8A914A}" srcOrd="8" destOrd="0" presId="urn:microsoft.com/office/officeart/2005/8/layout/hProcess9"/>
  </dgm:cxnLst>
  <dgm:bg/>
  <dgm:whole/>
  <dgm:extLst>
    <a:ext uri="http://schemas.microsoft.com/office/drawing/2008/diagram">
      <dsp:dataModelExt xmlns:dsp="http://schemas.microsoft.com/office/drawing/2008/diagram" relId="rId125"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3C9E325B-553F-4E7F-9BCC-591EF9ACBACA}"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C8CADDFB-13EB-443B-AAF7-CFFD4AD5C361}">
      <dgm:prSet phldrT="[Text]" custT="1"/>
      <dgm:spPr/>
      <dgm:t>
        <a:bodyPr/>
        <a:lstStyle/>
        <a:p>
          <a:r>
            <a:rPr lang="bg-BG" sz="1600" dirty="0" smtClean="0"/>
            <a:t>Пазарно съответствие</a:t>
          </a:r>
          <a:endParaRPr lang="en-US" sz="1600" dirty="0"/>
        </a:p>
      </dgm:t>
    </dgm:pt>
    <dgm:pt modelId="{991AF4F1-BF65-4C5E-9BD1-300023B7646F}" type="parTrans" cxnId="{AFA93DFF-EA18-4278-A0B2-3E5CFADD34C3}">
      <dgm:prSet/>
      <dgm:spPr/>
      <dgm:t>
        <a:bodyPr/>
        <a:lstStyle/>
        <a:p>
          <a:endParaRPr lang="en-US"/>
        </a:p>
      </dgm:t>
    </dgm:pt>
    <dgm:pt modelId="{1B351B94-8324-497E-A62B-232B698A29AA}" type="sibTrans" cxnId="{AFA93DFF-EA18-4278-A0B2-3E5CFADD34C3}">
      <dgm:prSet/>
      <dgm:spPr/>
      <dgm:t>
        <a:bodyPr/>
        <a:lstStyle/>
        <a:p>
          <a:endParaRPr lang="en-US"/>
        </a:p>
      </dgm:t>
    </dgm:pt>
    <dgm:pt modelId="{D1E38B8B-9434-48BA-B109-6688CC375218}">
      <dgm:prSet phldrT="[Text]" custT="1"/>
      <dgm:spPr/>
      <dgm:t>
        <a:bodyPr/>
        <a:lstStyle/>
        <a:p>
          <a:r>
            <a:rPr lang="en-US" sz="1600" dirty="0" smtClean="0"/>
            <a:t>GBER</a:t>
          </a:r>
          <a:r>
            <a:rPr lang="bg-BG" sz="1600" dirty="0" smtClean="0"/>
            <a:t>/А</a:t>
          </a:r>
          <a:r>
            <a:rPr lang="en-US" sz="1600" dirty="0" smtClean="0"/>
            <a:t>BER</a:t>
          </a:r>
        </a:p>
      </dgm:t>
    </dgm:pt>
    <dgm:pt modelId="{356387D1-5B98-473F-937E-144012634BD7}" type="parTrans" cxnId="{5ED0DDFD-9D2D-47EF-97C0-C5C15FE358E1}">
      <dgm:prSet/>
      <dgm:spPr/>
      <dgm:t>
        <a:bodyPr/>
        <a:lstStyle/>
        <a:p>
          <a:endParaRPr lang="en-US"/>
        </a:p>
      </dgm:t>
    </dgm:pt>
    <dgm:pt modelId="{8C296C54-81D1-4B23-ACE5-0262D24B25C1}" type="sibTrans" cxnId="{5ED0DDFD-9D2D-47EF-97C0-C5C15FE358E1}">
      <dgm:prSet/>
      <dgm:spPr/>
      <dgm:t>
        <a:bodyPr/>
        <a:lstStyle/>
        <a:p>
          <a:endParaRPr lang="en-US"/>
        </a:p>
      </dgm:t>
    </dgm:pt>
    <dgm:pt modelId="{AB08163B-5C63-47A9-8269-AA84A12C8ED5}">
      <dgm:prSet phldrT="[Text]"/>
      <dgm:spPr/>
      <dgm:t>
        <a:bodyPr/>
        <a:lstStyle/>
        <a:p>
          <a:r>
            <a:rPr lang="bg-BG" dirty="0" smtClean="0"/>
            <a:t>Помощта</a:t>
          </a:r>
          <a:r>
            <a:rPr lang="en-US" dirty="0" smtClean="0"/>
            <a:t> e </a:t>
          </a:r>
          <a:r>
            <a:rPr lang="bg-BG" dirty="0" smtClean="0"/>
            <a:t>предоставяна с ФИ в обхвата на </a:t>
          </a:r>
          <a:r>
            <a:rPr lang="en-US" dirty="0" smtClean="0"/>
            <a:t>GBER</a:t>
          </a:r>
          <a:r>
            <a:rPr lang="bg-BG" dirty="0" smtClean="0"/>
            <a:t>/А</a:t>
          </a:r>
          <a:r>
            <a:rPr lang="en-US" dirty="0" smtClean="0"/>
            <a:t>BER</a:t>
          </a:r>
          <a:endParaRPr lang="en-US" dirty="0"/>
        </a:p>
      </dgm:t>
    </dgm:pt>
    <dgm:pt modelId="{86AD62CF-8866-4050-B96E-362CC3C32EA2}" type="parTrans" cxnId="{FD54150E-C982-402E-B7BD-D5B96924469B}">
      <dgm:prSet/>
      <dgm:spPr/>
      <dgm:t>
        <a:bodyPr/>
        <a:lstStyle/>
        <a:p>
          <a:endParaRPr lang="en-US"/>
        </a:p>
      </dgm:t>
    </dgm:pt>
    <dgm:pt modelId="{D5289DA4-B8C1-42BA-8DD5-BB2D6D83F931}" type="sibTrans" cxnId="{FD54150E-C982-402E-B7BD-D5B96924469B}">
      <dgm:prSet/>
      <dgm:spPr/>
      <dgm:t>
        <a:bodyPr/>
        <a:lstStyle/>
        <a:p>
          <a:endParaRPr lang="en-US"/>
        </a:p>
      </dgm:t>
    </dgm:pt>
    <dgm:pt modelId="{5EC2DA99-ADAD-4383-96AD-E73A91A7819B}">
      <dgm:prSet phldrT="[Text]"/>
      <dgm:spPr/>
      <dgm:t>
        <a:bodyPr/>
        <a:lstStyle/>
        <a:p>
          <a:r>
            <a:rPr lang="bg-BG" b="1" u="sng" dirty="0" smtClean="0"/>
            <a:t>Няма нотификация</a:t>
          </a:r>
          <a:endParaRPr lang="en-US" dirty="0"/>
        </a:p>
      </dgm:t>
    </dgm:pt>
    <dgm:pt modelId="{9F34FDF4-2B05-477C-A9E1-756F06B4A17A}" type="parTrans" cxnId="{2033259D-441C-4783-806F-714181CBDFA7}">
      <dgm:prSet/>
      <dgm:spPr/>
      <dgm:t>
        <a:bodyPr/>
        <a:lstStyle/>
        <a:p>
          <a:endParaRPr lang="en-US"/>
        </a:p>
      </dgm:t>
    </dgm:pt>
    <dgm:pt modelId="{58AB776D-0D33-4396-8F39-17A916E7CACA}" type="sibTrans" cxnId="{2033259D-441C-4783-806F-714181CBDFA7}">
      <dgm:prSet/>
      <dgm:spPr/>
      <dgm:t>
        <a:bodyPr/>
        <a:lstStyle/>
        <a:p>
          <a:endParaRPr lang="en-US"/>
        </a:p>
      </dgm:t>
    </dgm:pt>
    <dgm:pt modelId="{0335C41E-F587-4112-AC71-289619320BB2}">
      <dgm:prSet phldrT="[Text]" custT="1"/>
      <dgm:spPr/>
      <dgm:t>
        <a:bodyPr/>
        <a:lstStyle/>
        <a:p>
          <a:r>
            <a:rPr lang="bg-BG" sz="1600" dirty="0" smtClean="0"/>
            <a:t>Друга помощ</a:t>
          </a:r>
          <a:endParaRPr lang="en-US" sz="1600" dirty="0" smtClean="0"/>
        </a:p>
      </dgm:t>
    </dgm:pt>
    <dgm:pt modelId="{CA11839F-AFF7-4647-979F-119588780198}" type="parTrans" cxnId="{7DFB9222-222A-440A-BAE9-473093C56046}">
      <dgm:prSet/>
      <dgm:spPr/>
      <dgm:t>
        <a:bodyPr/>
        <a:lstStyle/>
        <a:p>
          <a:endParaRPr lang="en-US"/>
        </a:p>
      </dgm:t>
    </dgm:pt>
    <dgm:pt modelId="{4B0C80FE-77D0-432A-BD38-438C5D58A8B0}" type="sibTrans" cxnId="{7DFB9222-222A-440A-BAE9-473093C56046}">
      <dgm:prSet/>
      <dgm:spPr/>
      <dgm:t>
        <a:bodyPr/>
        <a:lstStyle/>
        <a:p>
          <a:endParaRPr lang="en-US"/>
        </a:p>
      </dgm:t>
    </dgm:pt>
    <dgm:pt modelId="{FCF68CC5-1CE2-46A7-BF80-EF939211DB56}">
      <dgm:prSet phldrT="[Text]"/>
      <dgm:spPr/>
      <dgm:t>
        <a:bodyPr/>
        <a:lstStyle/>
        <a:p>
          <a:r>
            <a:rPr lang="bg-BG" dirty="0" smtClean="0"/>
            <a:t>Ако предоставената помощ е извън случаите по-горе</a:t>
          </a:r>
          <a:endParaRPr lang="en-US" dirty="0"/>
        </a:p>
      </dgm:t>
    </dgm:pt>
    <dgm:pt modelId="{C6C94156-0FB1-4B4E-844A-5A6A3B3A9B11}" type="parTrans" cxnId="{615775AC-FDF7-4A70-A14E-4927C9809487}">
      <dgm:prSet/>
      <dgm:spPr/>
      <dgm:t>
        <a:bodyPr/>
        <a:lstStyle/>
        <a:p>
          <a:endParaRPr lang="en-US"/>
        </a:p>
      </dgm:t>
    </dgm:pt>
    <dgm:pt modelId="{0C2A7515-EEF9-4880-B998-8DD7B21E2302}" type="sibTrans" cxnId="{615775AC-FDF7-4A70-A14E-4927C9809487}">
      <dgm:prSet/>
      <dgm:spPr/>
      <dgm:t>
        <a:bodyPr/>
        <a:lstStyle/>
        <a:p>
          <a:endParaRPr lang="en-US"/>
        </a:p>
      </dgm:t>
    </dgm:pt>
    <dgm:pt modelId="{41849B8C-59A8-4B2C-A38D-23F1D8DC083A}">
      <dgm:prSet phldrT="[Text]"/>
      <dgm:spPr/>
      <dgm:t>
        <a:bodyPr/>
        <a:lstStyle/>
        <a:p>
          <a:r>
            <a:rPr lang="bg-BG" b="1" u="sng" dirty="0" smtClean="0"/>
            <a:t>Предприемат се следващи стъпки за нотификация</a:t>
          </a:r>
          <a:endParaRPr lang="en-US" b="1" u="sng" dirty="0"/>
        </a:p>
      </dgm:t>
    </dgm:pt>
    <dgm:pt modelId="{819F541B-1C04-4B2A-BA3E-46154B360F2C}" type="parTrans" cxnId="{65A23B8A-6C9A-4D02-8505-F7A897F54480}">
      <dgm:prSet/>
      <dgm:spPr/>
      <dgm:t>
        <a:bodyPr/>
        <a:lstStyle/>
        <a:p>
          <a:endParaRPr lang="en-US"/>
        </a:p>
      </dgm:t>
    </dgm:pt>
    <dgm:pt modelId="{1144A4FA-34D0-4ED3-A097-E8407292F4D3}" type="sibTrans" cxnId="{65A23B8A-6C9A-4D02-8505-F7A897F54480}">
      <dgm:prSet/>
      <dgm:spPr/>
      <dgm:t>
        <a:bodyPr/>
        <a:lstStyle/>
        <a:p>
          <a:endParaRPr lang="en-US"/>
        </a:p>
      </dgm:t>
    </dgm:pt>
    <dgm:pt modelId="{704831AF-4AF2-4C53-A502-937D5E37770B}">
      <dgm:prSet phldrT="[Text]"/>
      <dgm:spPr/>
      <dgm:t>
        <a:bodyPr/>
        <a:lstStyle/>
        <a:p>
          <a:r>
            <a:rPr lang="bg-BG" dirty="0" smtClean="0"/>
            <a:t>Ако  предвиденият ФИ, работи на пазарни принципи, то  държавна помощ няма.</a:t>
          </a:r>
          <a:endParaRPr lang="en-US" dirty="0"/>
        </a:p>
      </dgm:t>
    </dgm:pt>
    <dgm:pt modelId="{78195CE1-3025-423B-8D85-2C07551BB281}" type="parTrans" cxnId="{B39ADB98-21DC-41AF-AB23-FF9219B00893}">
      <dgm:prSet/>
      <dgm:spPr/>
      <dgm:t>
        <a:bodyPr/>
        <a:lstStyle/>
        <a:p>
          <a:endParaRPr lang="en-US"/>
        </a:p>
      </dgm:t>
    </dgm:pt>
    <dgm:pt modelId="{84FC7390-B21D-4E80-A26B-1D197F808742}" type="sibTrans" cxnId="{B39ADB98-21DC-41AF-AB23-FF9219B00893}">
      <dgm:prSet/>
      <dgm:spPr/>
      <dgm:t>
        <a:bodyPr/>
        <a:lstStyle/>
        <a:p>
          <a:endParaRPr lang="en-US"/>
        </a:p>
      </dgm:t>
    </dgm:pt>
    <dgm:pt modelId="{9F17E90E-8EC9-4192-9296-3F2223F88FF5}">
      <dgm:prSet phldrT="[Text]"/>
      <dgm:spPr/>
      <dgm:t>
        <a:bodyPr/>
        <a:lstStyle/>
        <a:p>
          <a:r>
            <a:rPr lang="bg-BG" b="1" u="sng" dirty="0" smtClean="0"/>
            <a:t>Не се предприемат следващи стъпки</a:t>
          </a:r>
          <a:endParaRPr lang="en-US" b="1" u="sng" dirty="0"/>
        </a:p>
      </dgm:t>
    </dgm:pt>
    <dgm:pt modelId="{0F184BE6-1D46-4C93-96C5-AB8AF2FD3C0C}" type="parTrans" cxnId="{14DA2621-533B-4F71-B794-841F8E8163BE}">
      <dgm:prSet/>
      <dgm:spPr/>
      <dgm:t>
        <a:bodyPr/>
        <a:lstStyle/>
        <a:p>
          <a:endParaRPr lang="en-US"/>
        </a:p>
      </dgm:t>
    </dgm:pt>
    <dgm:pt modelId="{C92902A4-8FEC-4D70-9455-676741F76B41}" type="sibTrans" cxnId="{14DA2621-533B-4F71-B794-841F8E8163BE}">
      <dgm:prSet/>
      <dgm:spPr/>
      <dgm:t>
        <a:bodyPr/>
        <a:lstStyle/>
        <a:p>
          <a:endParaRPr lang="en-US"/>
        </a:p>
      </dgm:t>
    </dgm:pt>
    <dgm:pt modelId="{8D296B6D-7ECA-4FBB-BD1E-16E19AEAEFCD}">
      <dgm:prSet phldrT="[Text]" custT="1"/>
      <dgm:spPr/>
      <dgm:t>
        <a:bodyPr/>
        <a:lstStyle/>
        <a:p>
          <a:r>
            <a:rPr lang="bg-BG" sz="1600" dirty="0" smtClean="0"/>
            <a:t>Регламент </a:t>
          </a:r>
          <a:br>
            <a:rPr lang="bg-BG" sz="1600" dirty="0" smtClean="0"/>
          </a:br>
          <a:r>
            <a:rPr lang="en-US" sz="1600" dirty="0" smtClean="0"/>
            <a:t>de </a:t>
          </a:r>
          <a:r>
            <a:rPr lang="en-US" sz="1600" dirty="0" err="1" smtClean="0"/>
            <a:t>minimis</a:t>
          </a:r>
          <a:r>
            <a:rPr lang="en-US" sz="1600" dirty="0" smtClean="0"/>
            <a:t>    </a:t>
          </a:r>
        </a:p>
      </dgm:t>
    </dgm:pt>
    <dgm:pt modelId="{8E8FBC37-0DB2-4375-9917-6B46AFAE589F}" type="parTrans" cxnId="{0043237D-7AA7-4587-8766-F909224CAF48}">
      <dgm:prSet/>
      <dgm:spPr/>
      <dgm:t>
        <a:bodyPr/>
        <a:lstStyle/>
        <a:p>
          <a:endParaRPr lang="en-US"/>
        </a:p>
      </dgm:t>
    </dgm:pt>
    <dgm:pt modelId="{371E59BD-F0E5-4A0B-9548-1FE199B08AAF}" type="sibTrans" cxnId="{0043237D-7AA7-4587-8766-F909224CAF48}">
      <dgm:prSet/>
      <dgm:spPr/>
      <dgm:t>
        <a:bodyPr/>
        <a:lstStyle/>
        <a:p>
          <a:endParaRPr lang="en-US"/>
        </a:p>
      </dgm:t>
    </dgm:pt>
    <dgm:pt modelId="{21C5B5EF-0B45-4891-8019-61B91B96116B}">
      <dgm:prSet phldrT="[Text]"/>
      <dgm:spPr/>
      <dgm:t>
        <a:bodyPr/>
        <a:lstStyle/>
        <a:p>
          <a:r>
            <a:rPr lang="bg-BG" dirty="0" smtClean="0"/>
            <a:t> Помощта</a:t>
          </a:r>
          <a:r>
            <a:rPr lang="en-US" dirty="0" smtClean="0"/>
            <a:t> e</a:t>
          </a:r>
          <a:r>
            <a:rPr lang="bg-BG" dirty="0" smtClean="0"/>
            <a:t>  предоставяна с ФИ  в обхвата на Регламент </a:t>
          </a:r>
          <a:r>
            <a:rPr lang="en-US" dirty="0" smtClean="0"/>
            <a:t>de </a:t>
          </a:r>
          <a:r>
            <a:rPr lang="en-US" dirty="0" err="1" smtClean="0"/>
            <a:t>minimis</a:t>
          </a:r>
          <a:r>
            <a:rPr lang="en-US" dirty="0" smtClean="0"/>
            <a:t>    </a:t>
          </a:r>
          <a:endParaRPr lang="en-US" dirty="0"/>
        </a:p>
      </dgm:t>
    </dgm:pt>
    <dgm:pt modelId="{BDAE29A1-CA04-4F34-932E-C9778A1AC7DD}" type="parTrans" cxnId="{382DAFCC-5A79-45A5-9E49-B7028E9FEBD5}">
      <dgm:prSet/>
      <dgm:spPr/>
      <dgm:t>
        <a:bodyPr/>
        <a:lstStyle/>
        <a:p>
          <a:endParaRPr lang="en-US"/>
        </a:p>
      </dgm:t>
    </dgm:pt>
    <dgm:pt modelId="{24F4EC9F-5B42-4DC2-A25D-EA3828919D5F}" type="sibTrans" cxnId="{382DAFCC-5A79-45A5-9E49-B7028E9FEBD5}">
      <dgm:prSet/>
      <dgm:spPr/>
      <dgm:t>
        <a:bodyPr/>
        <a:lstStyle/>
        <a:p>
          <a:endParaRPr lang="en-US"/>
        </a:p>
      </dgm:t>
    </dgm:pt>
    <dgm:pt modelId="{9C50C3A9-DDEE-4E4A-A860-1817D0B0BA4F}">
      <dgm:prSet phldrT="[Text]"/>
      <dgm:spPr/>
      <dgm:t>
        <a:bodyPr/>
        <a:lstStyle/>
        <a:p>
          <a:r>
            <a:rPr lang="bg-BG" b="1" u="sng" dirty="0" smtClean="0"/>
            <a:t>Няма нотификация</a:t>
          </a:r>
          <a:endParaRPr lang="en-US" b="1" u="sng" dirty="0"/>
        </a:p>
      </dgm:t>
    </dgm:pt>
    <dgm:pt modelId="{F95C6DA4-D3C0-46B2-BFD0-A0511B7CDF82}" type="parTrans" cxnId="{CA17BE7D-549C-409F-85F0-3641144277CF}">
      <dgm:prSet/>
      <dgm:spPr/>
      <dgm:t>
        <a:bodyPr/>
        <a:lstStyle/>
        <a:p>
          <a:endParaRPr lang="en-US"/>
        </a:p>
      </dgm:t>
    </dgm:pt>
    <dgm:pt modelId="{45E49E0B-52E8-4B26-84C7-01E006F05141}" type="sibTrans" cxnId="{CA17BE7D-549C-409F-85F0-3641144277CF}">
      <dgm:prSet/>
      <dgm:spPr/>
      <dgm:t>
        <a:bodyPr/>
        <a:lstStyle/>
        <a:p>
          <a:endParaRPr lang="en-US"/>
        </a:p>
      </dgm:t>
    </dgm:pt>
    <dgm:pt modelId="{D784789D-687A-4780-838C-8F44F5F6D204}">
      <dgm:prSet phldrT="[Text]" custT="1"/>
      <dgm:spPr/>
      <dgm:t>
        <a:bodyPr/>
        <a:lstStyle/>
        <a:p>
          <a:r>
            <a:rPr lang="bg-BG" sz="1600" dirty="0" smtClean="0"/>
            <a:t>Стандартизирани ФИ (</a:t>
          </a:r>
          <a:r>
            <a:rPr lang="en-US" sz="1600" dirty="0" smtClean="0"/>
            <a:t>off-the shelf)</a:t>
          </a:r>
        </a:p>
      </dgm:t>
    </dgm:pt>
    <dgm:pt modelId="{8A89E4E3-47E9-46EB-9854-3968D3C3C00C}" type="parTrans" cxnId="{688F305D-CFFC-4529-B593-63D70FA5A51E}">
      <dgm:prSet/>
      <dgm:spPr/>
      <dgm:t>
        <a:bodyPr/>
        <a:lstStyle/>
        <a:p>
          <a:endParaRPr lang="en-US"/>
        </a:p>
      </dgm:t>
    </dgm:pt>
    <dgm:pt modelId="{A0FC733B-0053-4BD6-877E-5BF3B656EA16}" type="sibTrans" cxnId="{688F305D-CFFC-4529-B593-63D70FA5A51E}">
      <dgm:prSet/>
      <dgm:spPr/>
      <dgm:t>
        <a:bodyPr/>
        <a:lstStyle/>
        <a:p>
          <a:endParaRPr lang="en-US"/>
        </a:p>
      </dgm:t>
    </dgm:pt>
    <dgm:pt modelId="{FA23F166-83D9-4EE5-ADC5-B4578E18ABCF}">
      <dgm:prSet phldrT="[Text]"/>
      <dgm:spPr/>
      <dgm:t>
        <a:bodyPr/>
        <a:lstStyle/>
        <a:p>
          <a:r>
            <a:rPr lang="bg-BG" dirty="0" smtClean="0"/>
            <a:t>Помощта е  предоставяна със стандартизиран  ФИ</a:t>
          </a:r>
          <a:r>
            <a:rPr lang="en-US" dirty="0" smtClean="0"/>
            <a:t> (off-the –shelf) </a:t>
          </a:r>
          <a:r>
            <a:rPr lang="bg-BG" dirty="0" smtClean="0"/>
            <a:t> </a:t>
          </a:r>
          <a:endParaRPr lang="en-US" dirty="0"/>
        </a:p>
      </dgm:t>
    </dgm:pt>
    <dgm:pt modelId="{4485ED58-0D6F-43F0-BBEB-897573DCC523}" type="parTrans" cxnId="{D910C1DD-1939-46A6-996A-75F2AADCB434}">
      <dgm:prSet/>
      <dgm:spPr/>
      <dgm:t>
        <a:bodyPr/>
        <a:lstStyle/>
        <a:p>
          <a:endParaRPr lang="en-US"/>
        </a:p>
      </dgm:t>
    </dgm:pt>
    <dgm:pt modelId="{B33D4022-6FFA-4903-B165-8E719EBFF43E}" type="sibTrans" cxnId="{D910C1DD-1939-46A6-996A-75F2AADCB434}">
      <dgm:prSet/>
      <dgm:spPr/>
      <dgm:t>
        <a:bodyPr/>
        <a:lstStyle/>
        <a:p>
          <a:endParaRPr lang="en-US"/>
        </a:p>
      </dgm:t>
    </dgm:pt>
    <dgm:pt modelId="{FD9EF259-3A6D-4596-B8CA-878D57433260}">
      <dgm:prSet phldrT="[Text]"/>
      <dgm:spPr/>
      <dgm:t>
        <a:bodyPr/>
        <a:lstStyle/>
        <a:p>
          <a:r>
            <a:rPr lang="bg-BG" b="1" u="sng" dirty="0" smtClean="0"/>
            <a:t>Няма нотификация</a:t>
          </a:r>
          <a:endParaRPr lang="en-US" b="1" dirty="0"/>
        </a:p>
      </dgm:t>
    </dgm:pt>
    <dgm:pt modelId="{30CB05A1-B86E-4BE3-87B6-04E5C3A5B8D6}" type="parTrans" cxnId="{84FE2C85-1FBE-46B3-B6DE-386A2C10515E}">
      <dgm:prSet/>
      <dgm:spPr/>
      <dgm:t>
        <a:bodyPr/>
        <a:lstStyle/>
        <a:p>
          <a:endParaRPr lang="en-US"/>
        </a:p>
      </dgm:t>
    </dgm:pt>
    <dgm:pt modelId="{0934D39C-C014-4F17-A3E4-38968A27E49D}" type="sibTrans" cxnId="{84FE2C85-1FBE-46B3-B6DE-386A2C10515E}">
      <dgm:prSet/>
      <dgm:spPr/>
      <dgm:t>
        <a:bodyPr/>
        <a:lstStyle/>
        <a:p>
          <a:endParaRPr lang="en-US"/>
        </a:p>
      </dgm:t>
    </dgm:pt>
    <dgm:pt modelId="{8E2B82E8-FC5F-425B-A2ED-4D2881C987A6}">
      <dgm:prSet phldrT="[Text]"/>
      <dgm:spPr/>
      <dgm:t>
        <a:bodyPr/>
        <a:lstStyle/>
        <a:p>
          <a:r>
            <a:rPr lang="bg-BG" b="1" u="sng" dirty="0" smtClean="0"/>
            <a:t>Администраторът на помощта  я вписва в регистъра </a:t>
          </a:r>
          <a:r>
            <a:rPr lang="en-US" b="1" i="1" u="sng" dirty="0" smtClean="0"/>
            <a:t>de</a:t>
          </a:r>
          <a:r>
            <a:rPr lang="en-US" i="1" u="sng" dirty="0" smtClean="0"/>
            <a:t> </a:t>
          </a:r>
          <a:r>
            <a:rPr lang="en-US" b="1" i="1" u="sng" dirty="0" err="1" smtClean="0"/>
            <a:t>minimis</a:t>
          </a:r>
          <a:r>
            <a:rPr lang="en-US" i="1" u="sng" dirty="0" smtClean="0"/>
            <a:t>    </a:t>
          </a:r>
          <a:endParaRPr lang="en-US" b="1" i="1" u="sng" dirty="0"/>
        </a:p>
      </dgm:t>
    </dgm:pt>
    <dgm:pt modelId="{899A0CA3-84B0-4802-A45C-43200601925D}" type="parTrans" cxnId="{B56D5C1D-1490-4B18-A591-A4221CE92B02}">
      <dgm:prSet/>
      <dgm:spPr/>
      <dgm:t>
        <a:bodyPr/>
        <a:lstStyle/>
        <a:p>
          <a:endParaRPr lang="en-US"/>
        </a:p>
      </dgm:t>
    </dgm:pt>
    <dgm:pt modelId="{595718A8-664A-4CC1-BFAE-FF0FCF85AD91}" type="sibTrans" cxnId="{B56D5C1D-1490-4B18-A591-A4221CE92B02}">
      <dgm:prSet/>
      <dgm:spPr/>
      <dgm:t>
        <a:bodyPr/>
        <a:lstStyle/>
        <a:p>
          <a:endParaRPr lang="en-US"/>
        </a:p>
      </dgm:t>
    </dgm:pt>
    <dgm:pt modelId="{F2915B02-C78D-4E57-B243-907F2E0B712C}">
      <dgm:prSet phldrT="[Text]"/>
      <dgm:spPr/>
      <dgm:t>
        <a:bodyPr/>
        <a:lstStyle/>
        <a:p>
          <a:r>
            <a:rPr lang="bg-BG" b="1" u="sng" dirty="0" smtClean="0"/>
            <a:t>Документира се. Уведомяване на ЕК след отпускане на помощта</a:t>
          </a:r>
          <a:endParaRPr lang="en-US" b="1" u="sng" dirty="0"/>
        </a:p>
      </dgm:t>
    </dgm:pt>
    <dgm:pt modelId="{CA9378CE-7A35-42B3-AD52-0BA5E34B7416}" type="parTrans" cxnId="{1FECDBF8-E548-41D5-A859-19EFB6BAE783}">
      <dgm:prSet/>
      <dgm:spPr/>
      <dgm:t>
        <a:bodyPr/>
        <a:lstStyle/>
        <a:p>
          <a:endParaRPr lang="en-US"/>
        </a:p>
      </dgm:t>
    </dgm:pt>
    <dgm:pt modelId="{5BEC744A-00EA-4914-A3CA-EB3D84DD1F58}" type="sibTrans" cxnId="{1FECDBF8-E548-41D5-A859-19EFB6BAE783}">
      <dgm:prSet/>
      <dgm:spPr/>
      <dgm:t>
        <a:bodyPr/>
        <a:lstStyle/>
        <a:p>
          <a:endParaRPr lang="en-US"/>
        </a:p>
      </dgm:t>
    </dgm:pt>
    <dgm:pt modelId="{0225171F-9A5C-493B-AEC1-7ECED2C0C9C8}">
      <dgm:prSet/>
      <dgm:spPr/>
      <dgm:t>
        <a:bodyPr/>
        <a:lstStyle/>
        <a:p>
          <a:r>
            <a:rPr lang="bg-BG" b="1" u="sng" dirty="0" smtClean="0"/>
            <a:t>Документира се. Уведомяване на ЕК след отпускане на помощта</a:t>
          </a:r>
          <a:endParaRPr lang="en-US" dirty="0"/>
        </a:p>
      </dgm:t>
    </dgm:pt>
    <dgm:pt modelId="{A22B97D1-D5F3-41BF-B641-087383D4C275}" type="parTrans" cxnId="{D90D3ED9-1203-44E2-89A9-DBB32FF8C78C}">
      <dgm:prSet/>
      <dgm:spPr/>
      <dgm:t>
        <a:bodyPr/>
        <a:lstStyle/>
        <a:p>
          <a:endParaRPr lang="en-US"/>
        </a:p>
      </dgm:t>
    </dgm:pt>
    <dgm:pt modelId="{38ED9BE9-0F14-48BB-93E0-964AE19657D2}" type="sibTrans" cxnId="{D90D3ED9-1203-44E2-89A9-DBB32FF8C78C}">
      <dgm:prSet/>
      <dgm:spPr/>
      <dgm:t>
        <a:bodyPr/>
        <a:lstStyle/>
        <a:p>
          <a:endParaRPr lang="en-US"/>
        </a:p>
      </dgm:t>
    </dgm:pt>
    <dgm:pt modelId="{202C265F-897B-40AA-9D8D-A63E4DBB62A3}">
      <dgm:prSet phldrT="[Text]"/>
      <dgm:spPr/>
      <dgm:t>
        <a:bodyPr/>
        <a:lstStyle/>
        <a:p>
          <a:r>
            <a:rPr lang="bg-BG" b="1" u="sng" dirty="0" smtClean="0"/>
            <a:t> Изчаква се решение на ЕК за съвместимост с вътрешния пазар</a:t>
          </a:r>
          <a:endParaRPr lang="en-US" b="1" u="sng" dirty="0"/>
        </a:p>
      </dgm:t>
    </dgm:pt>
    <dgm:pt modelId="{1D0FE275-0D9A-4565-B601-C60222ABE78A}" type="parTrans" cxnId="{1CA648EF-CD30-4CC7-AFB6-D6979EF74EA3}">
      <dgm:prSet/>
      <dgm:spPr/>
      <dgm:t>
        <a:bodyPr/>
        <a:lstStyle/>
        <a:p>
          <a:endParaRPr lang="en-US"/>
        </a:p>
      </dgm:t>
    </dgm:pt>
    <dgm:pt modelId="{94EF2731-9A1F-4661-9088-07CAF868E6E1}" type="sibTrans" cxnId="{1CA648EF-CD30-4CC7-AFB6-D6979EF74EA3}">
      <dgm:prSet/>
      <dgm:spPr/>
      <dgm:t>
        <a:bodyPr/>
        <a:lstStyle/>
        <a:p>
          <a:endParaRPr lang="en-US"/>
        </a:p>
      </dgm:t>
    </dgm:pt>
    <dgm:pt modelId="{007B9189-26A4-4026-9568-358FA733A7FE}" type="pres">
      <dgm:prSet presAssocID="{3C9E325B-553F-4E7F-9BCC-591EF9ACBACA}" presName="Name0" presStyleCnt="0">
        <dgm:presLayoutVars>
          <dgm:dir/>
          <dgm:animLvl val="lvl"/>
          <dgm:resizeHandles val="exact"/>
        </dgm:presLayoutVars>
      </dgm:prSet>
      <dgm:spPr/>
      <dgm:t>
        <a:bodyPr/>
        <a:lstStyle/>
        <a:p>
          <a:endParaRPr lang="en-US"/>
        </a:p>
      </dgm:t>
    </dgm:pt>
    <dgm:pt modelId="{772E657F-7594-4F28-B0C5-8C3ADCDCD4A2}" type="pres">
      <dgm:prSet presAssocID="{C8CADDFB-13EB-443B-AAF7-CFFD4AD5C361}" presName="linNode" presStyleCnt="0"/>
      <dgm:spPr/>
    </dgm:pt>
    <dgm:pt modelId="{D74AE6FD-80DC-4C9C-9BE8-628B2AC30592}" type="pres">
      <dgm:prSet presAssocID="{C8CADDFB-13EB-443B-AAF7-CFFD4AD5C361}" presName="parentText" presStyleLbl="node1" presStyleIdx="0" presStyleCnt="5">
        <dgm:presLayoutVars>
          <dgm:chMax val="1"/>
          <dgm:bulletEnabled val="1"/>
        </dgm:presLayoutVars>
      </dgm:prSet>
      <dgm:spPr/>
      <dgm:t>
        <a:bodyPr/>
        <a:lstStyle/>
        <a:p>
          <a:endParaRPr lang="en-US"/>
        </a:p>
      </dgm:t>
    </dgm:pt>
    <dgm:pt modelId="{B621618D-9FF0-44AF-A749-3097B469B225}" type="pres">
      <dgm:prSet presAssocID="{C8CADDFB-13EB-443B-AAF7-CFFD4AD5C361}" presName="descendantText" presStyleLbl="alignAccFollowNode1" presStyleIdx="0" presStyleCnt="5">
        <dgm:presLayoutVars>
          <dgm:bulletEnabled val="1"/>
        </dgm:presLayoutVars>
      </dgm:prSet>
      <dgm:spPr/>
      <dgm:t>
        <a:bodyPr/>
        <a:lstStyle/>
        <a:p>
          <a:endParaRPr lang="en-US"/>
        </a:p>
      </dgm:t>
    </dgm:pt>
    <dgm:pt modelId="{E0D86C5C-5DA6-4DE7-A807-149A3ACF8A1B}" type="pres">
      <dgm:prSet presAssocID="{1B351B94-8324-497E-A62B-232B698A29AA}" presName="sp" presStyleCnt="0"/>
      <dgm:spPr/>
    </dgm:pt>
    <dgm:pt modelId="{7C79931D-5614-4574-8F04-CE8D68AE6D1E}" type="pres">
      <dgm:prSet presAssocID="{8D296B6D-7ECA-4FBB-BD1E-16E19AEAEFCD}" presName="linNode" presStyleCnt="0"/>
      <dgm:spPr/>
    </dgm:pt>
    <dgm:pt modelId="{938BFA0E-7C8A-461A-86B5-79A4F70F278E}" type="pres">
      <dgm:prSet presAssocID="{8D296B6D-7ECA-4FBB-BD1E-16E19AEAEFCD}" presName="parentText" presStyleLbl="node1" presStyleIdx="1" presStyleCnt="5">
        <dgm:presLayoutVars>
          <dgm:chMax val="1"/>
          <dgm:bulletEnabled val="1"/>
        </dgm:presLayoutVars>
      </dgm:prSet>
      <dgm:spPr/>
      <dgm:t>
        <a:bodyPr/>
        <a:lstStyle/>
        <a:p>
          <a:endParaRPr lang="en-US"/>
        </a:p>
      </dgm:t>
    </dgm:pt>
    <dgm:pt modelId="{E588A11E-4405-4260-9845-417ACDC7D33D}" type="pres">
      <dgm:prSet presAssocID="{8D296B6D-7ECA-4FBB-BD1E-16E19AEAEFCD}" presName="descendantText" presStyleLbl="alignAccFollowNode1" presStyleIdx="1" presStyleCnt="5" custLinFactNeighborX="-486" custLinFactNeighborY="-3185">
        <dgm:presLayoutVars>
          <dgm:bulletEnabled val="1"/>
        </dgm:presLayoutVars>
      </dgm:prSet>
      <dgm:spPr/>
      <dgm:t>
        <a:bodyPr/>
        <a:lstStyle/>
        <a:p>
          <a:endParaRPr lang="en-US"/>
        </a:p>
      </dgm:t>
    </dgm:pt>
    <dgm:pt modelId="{F9E54D87-3161-4C33-9BAB-8FDDDC4CDD55}" type="pres">
      <dgm:prSet presAssocID="{371E59BD-F0E5-4A0B-9548-1FE199B08AAF}" presName="sp" presStyleCnt="0"/>
      <dgm:spPr/>
    </dgm:pt>
    <dgm:pt modelId="{26DCAFBF-3489-4FF2-8BB5-6A188778C905}" type="pres">
      <dgm:prSet presAssocID="{D1E38B8B-9434-48BA-B109-6688CC375218}" presName="linNode" presStyleCnt="0"/>
      <dgm:spPr/>
    </dgm:pt>
    <dgm:pt modelId="{8A4978E4-6797-4525-B1FD-C8F8C4937FBD}" type="pres">
      <dgm:prSet presAssocID="{D1E38B8B-9434-48BA-B109-6688CC375218}" presName="parentText" presStyleLbl="node1" presStyleIdx="2" presStyleCnt="5">
        <dgm:presLayoutVars>
          <dgm:chMax val="1"/>
          <dgm:bulletEnabled val="1"/>
        </dgm:presLayoutVars>
      </dgm:prSet>
      <dgm:spPr/>
      <dgm:t>
        <a:bodyPr/>
        <a:lstStyle/>
        <a:p>
          <a:endParaRPr lang="en-US"/>
        </a:p>
      </dgm:t>
    </dgm:pt>
    <dgm:pt modelId="{85F77215-F923-4155-99B2-3EB377A37BEC}" type="pres">
      <dgm:prSet presAssocID="{D1E38B8B-9434-48BA-B109-6688CC375218}" presName="descendantText" presStyleLbl="alignAccFollowNode1" presStyleIdx="2" presStyleCnt="5">
        <dgm:presLayoutVars>
          <dgm:bulletEnabled val="1"/>
        </dgm:presLayoutVars>
      </dgm:prSet>
      <dgm:spPr/>
      <dgm:t>
        <a:bodyPr/>
        <a:lstStyle/>
        <a:p>
          <a:endParaRPr lang="en-US"/>
        </a:p>
      </dgm:t>
    </dgm:pt>
    <dgm:pt modelId="{E973625D-B34C-453B-B3C2-9ED997AF82B6}" type="pres">
      <dgm:prSet presAssocID="{8C296C54-81D1-4B23-ACE5-0262D24B25C1}" presName="sp" presStyleCnt="0"/>
      <dgm:spPr/>
    </dgm:pt>
    <dgm:pt modelId="{494578B9-BE5C-40B6-8ADB-438A70CE3A86}" type="pres">
      <dgm:prSet presAssocID="{D784789D-687A-4780-838C-8F44F5F6D204}" presName="linNode" presStyleCnt="0"/>
      <dgm:spPr/>
    </dgm:pt>
    <dgm:pt modelId="{76114A65-9316-440C-93B3-658D29EBD15B}" type="pres">
      <dgm:prSet presAssocID="{D784789D-687A-4780-838C-8F44F5F6D204}" presName="parentText" presStyleLbl="node1" presStyleIdx="3" presStyleCnt="5">
        <dgm:presLayoutVars>
          <dgm:chMax val="1"/>
          <dgm:bulletEnabled val="1"/>
        </dgm:presLayoutVars>
      </dgm:prSet>
      <dgm:spPr/>
      <dgm:t>
        <a:bodyPr/>
        <a:lstStyle/>
        <a:p>
          <a:endParaRPr lang="en-US"/>
        </a:p>
      </dgm:t>
    </dgm:pt>
    <dgm:pt modelId="{0F4CC6F3-3BE5-4803-9B8C-AD2CC7093BD5}" type="pres">
      <dgm:prSet presAssocID="{D784789D-687A-4780-838C-8F44F5F6D204}" presName="descendantText" presStyleLbl="alignAccFollowNode1" presStyleIdx="3" presStyleCnt="5" custLinFactNeighborX="2331" custLinFactNeighborY="-560">
        <dgm:presLayoutVars>
          <dgm:bulletEnabled val="1"/>
        </dgm:presLayoutVars>
      </dgm:prSet>
      <dgm:spPr/>
      <dgm:t>
        <a:bodyPr/>
        <a:lstStyle/>
        <a:p>
          <a:endParaRPr lang="en-US"/>
        </a:p>
      </dgm:t>
    </dgm:pt>
    <dgm:pt modelId="{F08A1DE4-7840-485E-A407-21EA13078728}" type="pres">
      <dgm:prSet presAssocID="{A0FC733B-0053-4BD6-877E-5BF3B656EA16}" presName="sp" presStyleCnt="0"/>
      <dgm:spPr/>
    </dgm:pt>
    <dgm:pt modelId="{68FE39CF-3929-41D2-8E2F-919D42328F30}" type="pres">
      <dgm:prSet presAssocID="{0335C41E-F587-4112-AC71-289619320BB2}" presName="linNode" presStyleCnt="0"/>
      <dgm:spPr/>
    </dgm:pt>
    <dgm:pt modelId="{DCC6AEEA-7C5D-4E57-B50A-8E255E95EB4B}" type="pres">
      <dgm:prSet presAssocID="{0335C41E-F587-4112-AC71-289619320BB2}" presName="parentText" presStyleLbl="node1" presStyleIdx="4" presStyleCnt="5">
        <dgm:presLayoutVars>
          <dgm:chMax val="1"/>
          <dgm:bulletEnabled val="1"/>
        </dgm:presLayoutVars>
      </dgm:prSet>
      <dgm:spPr/>
      <dgm:t>
        <a:bodyPr/>
        <a:lstStyle/>
        <a:p>
          <a:endParaRPr lang="en-US"/>
        </a:p>
      </dgm:t>
    </dgm:pt>
    <dgm:pt modelId="{7C879E88-EA9C-4123-880A-6C465B235E90}" type="pres">
      <dgm:prSet presAssocID="{0335C41E-F587-4112-AC71-289619320BB2}" presName="descendantText" presStyleLbl="alignAccFollowNode1" presStyleIdx="4" presStyleCnt="5">
        <dgm:presLayoutVars>
          <dgm:bulletEnabled val="1"/>
        </dgm:presLayoutVars>
      </dgm:prSet>
      <dgm:spPr/>
      <dgm:t>
        <a:bodyPr/>
        <a:lstStyle/>
        <a:p>
          <a:endParaRPr lang="en-US"/>
        </a:p>
      </dgm:t>
    </dgm:pt>
  </dgm:ptLst>
  <dgm:cxnLst>
    <dgm:cxn modelId="{14DA2621-533B-4F71-B794-841F8E8163BE}" srcId="{C8CADDFB-13EB-443B-AAF7-CFFD4AD5C361}" destId="{9F17E90E-8EC9-4192-9296-3F2223F88FF5}" srcOrd="1" destOrd="0" parTransId="{0F184BE6-1D46-4C93-96C5-AB8AF2FD3C0C}" sibTransId="{C92902A4-8FEC-4D70-9455-676741F76B41}"/>
    <dgm:cxn modelId="{65A23B8A-6C9A-4D02-8505-F7A897F54480}" srcId="{0335C41E-F587-4112-AC71-289619320BB2}" destId="{41849B8C-59A8-4B2C-A38D-23F1D8DC083A}" srcOrd="1" destOrd="0" parTransId="{819F541B-1C04-4B2A-BA3E-46154B360F2C}" sibTransId="{1144A4FA-34D0-4ED3-A097-E8407292F4D3}"/>
    <dgm:cxn modelId="{84FE2C85-1FBE-46B3-B6DE-386A2C10515E}" srcId="{D784789D-687A-4780-838C-8F44F5F6D204}" destId="{FD9EF259-3A6D-4596-B8CA-878D57433260}" srcOrd="1" destOrd="0" parTransId="{30CB05A1-B86E-4BE3-87B6-04E5C3A5B8D6}" sibTransId="{0934D39C-C014-4F17-A3E4-38968A27E49D}"/>
    <dgm:cxn modelId="{95BB235D-02D9-43F7-BA69-3DFC7D3A58B4}" type="presOf" srcId="{FA23F166-83D9-4EE5-ADC5-B4578E18ABCF}" destId="{0F4CC6F3-3BE5-4803-9B8C-AD2CC7093BD5}" srcOrd="0" destOrd="0" presId="urn:microsoft.com/office/officeart/2005/8/layout/vList5"/>
    <dgm:cxn modelId="{FD54150E-C982-402E-B7BD-D5B96924469B}" srcId="{D1E38B8B-9434-48BA-B109-6688CC375218}" destId="{AB08163B-5C63-47A9-8269-AA84A12C8ED5}" srcOrd="0" destOrd="0" parTransId="{86AD62CF-8866-4050-B96E-362CC3C32EA2}" sibTransId="{D5289DA4-B8C1-42BA-8DD5-BB2D6D83F931}"/>
    <dgm:cxn modelId="{0E3EAA97-1067-49C5-899F-E5F677198477}" type="presOf" srcId="{8D296B6D-7ECA-4FBB-BD1E-16E19AEAEFCD}" destId="{938BFA0E-7C8A-461A-86B5-79A4F70F278E}" srcOrd="0" destOrd="0" presId="urn:microsoft.com/office/officeart/2005/8/layout/vList5"/>
    <dgm:cxn modelId="{BDADE154-8544-4767-9205-D444B4612E52}" type="presOf" srcId="{0225171F-9A5C-493B-AEC1-7ECED2C0C9C8}" destId="{0F4CC6F3-3BE5-4803-9B8C-AD2CC7093BD5}" srcOrd="0" destOrd="2" presId="urn:microsoft.com/office/officeart/2005/8/layout/vList5"/>
    <dgm:cxn modelId="{615775AC-FDF7-4A70-A14E-4927C9809487}" srcId="{0335C41E-F587-4112-AC71-289619320BB2}" destId="{FCF68CC5-1CE2-46A7-BF80-EF939211DB56}" srcOrd="0" destOrd="0" parTransId="{C6C94156-0FB1-4B4E-844A-5A6A3B3A9B11}" sibTransId="{0C2A7515-EEF9-4880-B998-8DD7B21E2302}"/>
    <dgm:cxn modelId="{484F8456-5E55-4444-A3BF-E08F45C14459}" type="presOf" srcId="{41849B8C-59A8-4B2C-A38D-23F1D8DC083A}" destId="{7C879E88-EA9C-4123-880A-6C465B235E90}" srcOrd="0" destOrd="1" presId="urn:microsoft.com/office/officeart/2005/8/layout/vList5"/>
    <dgm:cxn modelId="{991C1185-2E97-4484-AD09-DA56CE9DF8E7}" type="presOf" srcId="{202C265F-897B-40AA-9D8D-A63E4DBB62A3}" destId="{7C879E88-EA9C-4123-880A-6C465B235E90}" srcOrd="0" destOrd="2" presId="urn:microsoft.com/office/officeart/2005/8/layout/vList5"/>
    <dgm:cxn modelId="{688F305D-CFFC-4529-B593-63D70FA5A51E}" srcId="{3C9E325B-553F-4E7F-9BCC-591EF9ACBACA}" destId="{D784789D-687A-4780-838C-8F44F5F6D204}" srcOrd="3" destOrd="0" parTransId="{8A89E4E3-47E9-46EB-9854-3968D3C3C00C}" sibTransId="{A0FC733B-0053-4BD6-877E-5BF3B656EA16}"/>
    <dgm:cxn modelId="{D90D3ED9-1203-44E2-89A9-DBB32FF8C78C}" srcId="{D784789D-687A-4780-838C-8F44F5F6D204}" destId="{0225171F-9A5C-493B-AEC1-7ECED2C0C9C8}" srcOrd="2" destOrd="0" parTransId="{A22B97D1-D5F3-41BF-B641-087383D4C275}" sibTransId="{38ED9BE9-0F14-48BB-93E0-964AE19657D2}"/>
    <dgm:cxn modelId="{1FECDBF8-E548-41D5-A859-19EFB6BAE783}" srcId="{D1E38B8B-9434-48BA-B109-6688CC375218}" destId="{F2915B02-C78D-4E57-B243-907F2E0B712C}" srcOrd="2" destOrd="0" parTransId="{CA9378CE-7A35-42B3-AD52-0BA5E34B7416}" sibTransId="{5BEC744A-00EA-4914-A3CA-EB3D84DD1F58}"/>
    <dgm:cxn modelId="{3DBAF0F3-0169-458B-9DEC-B487BE8E0AF6}" type="presOf" srcId="{D784789D-687A-4780-838C-8F44F5F6D204}" destId="{76114A65-9316-440C-93B3-658D29EBD15B}" srcOrd="0" destOrd="0" presId="urn:microsoft.com/office/officeart/2005/8/layout/vList5"/>
    <dgm:cxn modelId="{B39ADB98-21DC-41AF-AB23-FF9219B00893}" srcId="{C8CADDFB-13EB-443B-AAF7-CFFD4AD5C361}" destId="{704831AF-4AF2-4C53-A502-937D5E37770B}" srcOrd="0" destOrd="0" parTransId="{78195CE1-3025-423B-8D85-2C07551BB281}" sibTransId="{84FC7390-B21D-4E80-A26B-1D197F808742}"/>
    <dgm:cxn modelId="{382DAFCC-5A79-45A5-9E49-B7028E9FEBD5}" srcId="{8D296B6D-7ECA-4FBB-BD1E-16E19AEAEFCD}" destId="{21C5B5EF-0B45-4891-8019-61B91B96116B}" srcOrd="0" destOrd="0" parTransId="{BDAE29A1-CA04-4F34-932E-C9778A1AC7DD}" sibTransId="{24F4EC9F-5B42-4DC2-A25D-EA3828919D5F}"/>
    <dgm:cxn modelId="{0D5E0FC9-F3F2-4310-937C-0D4BE210A056}" type="presOf" srcId="{21C5B5EF-0B45-4891-8019-61B91B96116B}" destId="{E588A11E-4405-4260-9845-417ACDC7D33D}" srcOrd="0" destOrd="0" presId="urn:microsoft.com/office/officeart/2005/8/layout/vList5"/>
    <dgm:cxn modelId="{B56D5C1D-1490-4B18-A591-A4221CE92B02}" srcId="{8D296B6D-7ECA-4FBB-BD1E-16E19AEAEFCD}" destId="{8E2B82E8-FC5F-425B-A2ED-4D2881C987A6}" srcOrd="2" destOrd="0" parTransId="{899A0CA3-84B0-4802-A45C-43200601925D}" sibTransId="{595718A8-664A-4CC1-BFAE-FF0FCF85AD91}"/>
    <dgm:cxn modelId="{7DFB9222-222A-440A-BAE9-473093C56046}" srcId="{3C9E325B-553F-4E7F-9BCC-591EF9ACBACA}" destId="{0335C41E-F587-4112-AC71-289619320BB2}" srcOrd="4" destOrd="0" parTransId="{CA11839F-AFF7-4647-979F-119588780198}" sibTransId="{4B0C80FE-77D0-432A-BD38-438C5D58A8B0}"/>
    <dgm:cxn modelId="{26948D89-0427-4A90-8081-B2AE2F82DE21}" type="presOf" srcId="{3C9E325B-553F-4E7F-9BCC-591EF9ACBACA}" destId="{007B9189-26A4-4026-9568-358FA733A7FE}" srcOrd="0" destOrd="0" presId="urn:microsoft.com/office/officeart/2005/8/layout/vList5"/>
    <dgm:cxn modelId="{6D79561B-6EE7-4B6E-8756-56F91D64EBB1}" type="presOf" srcId="{8E2B82E8-FC5F-425B-A2ED-4D2881C987A6}" destId="{E588A11E-4405-4260-9845-417ACDC7D33D}" srcOrd="0" destOrd="2" presId="urn:microsoft.com/office/officeart/2005/8/layout/vList5"/>
    <dgm:cxn modelId="{AFA93DFF-EA18-4278-A0B2-3E5CFADD34C3}" srcId="{3C9E325B-553F-4E7F-9BCC-591EF9ACBACA}" destId="{C8CADDFB-13EB-443B-AAF7-CFFD4AD5C361}" srcOrd="0" destOrd="0" parTransId="{991AF4F1-BF65-4C5E-9BD1-300023B7646F}" sibTransId="{1B351B94-8324-497E-A62B-232B698A29AA}"/>
    <dgm:cxn modelId="{3C0295EA-F0D4-4240-8E2F-EC4B1AFD7A0E}" type="presOf" srcId="{D1E38B8B-9434-48BA-B109-6688CC375218}" destId="{8A4978E4-6797-4525-B1FD-C8F8C4937FBD}" srcOrd="0" destOrd="0" presId="urn:microsoft.com/office/officeart/2005/8/layout/vList5"/>
    <dgm:cxn modelId="{A5E21C64-741D-406A-AE2E-03217B5FFC1C}" type="presOf" srcId="{704831AF-4AF2-4C53-A502-937D5E37770B}" destId="{B621618D-9FF0-44AF-A749-3097B469B225}" srcOrd="0" destOrd="0" presId="urn:microsoft.com/office/officeart/2005/8/layout/vList5"/>
    <dgm:cxn modelId="{F80018B9-E975-4C29-A99A-1C31849437F9}" type="presOf" srcId="{0335C41E-F587-4112-AC71-289619320BB2}" destId="{DCC6AEEA-7C5D-4E57-B50A-8E255E95EB4B}" srcOrd="0" destOrd="0" presId="urn:microsoft.com/office/officeart/2005/8/layout/vList5"/>
    <dgm:cxn modelId="{A3AB3512-A270-4C01-A631-9FE07007CFC2}" type="presOf" srcId="{FD9EF259-3A6D-4596-B8CA-878D57433260}" destId="{0F4CC6F3-3BE5-4803-9B8C-AD2CC7093BD5}" srcOrd="0" destOrd="1" presId="urn:microsoft.com/office/officeart/2005/8/layout/vList5"/>
    <dgm:cxn modelId="{59390B45-6357-4B0B-9191-1CFCD696D139}" type="presOf" srcId="{AB08163B-5C63-47A9-8269-AA84A12C8ED5}" destId="{85F77215-F923-4155-99B2-3EB377A37BEC}" srcOrd="0" destOrd="0" presId="urn:microsoft.com/office/officeart/2005/8/layout/vList5"/>
    <dgm:cxn modelId="{0043237D-7AA7-4587-8766-F909224CAF48}" srcId="{3C9E325B-553F-4E7F-9BCC-591EF9ACBACA}" destId="{8D296B6D-7ECA-4FBB-BD1E-16E19AEAEFCD}" srcOrd="1" destOrd="0" parTransId="{8E8FBC37-0DB2-4375-9917-6B46AFAE589F}" sibTransId="{371E59BD-F0E5-4A0B-9548-1FE199B08AAF}"/>
    <dgm:cxn modelId="{CA17BE7D-549C-409F-85F0-3641144277CF}" srcId="{8D296B6D-7ECA-4FBB-BD1E-16E19AEAEFCD}" destId="{9C50C3A9-DDEE-4E4A-A860-1817D0B0BA4F}" srcOrd="1" destOrd="0" parTransId="{F95C6DA4-D3C0-46B2-BFD0-A0511B7CDF82}" sibTransId="{45E49E0B-52E8-4B26-84C7-01E006F05141}"/>
    <dgm:cxn modelId="{1CA648EF-CD30-4CC7-AFB6-D6979EF74EA3}" srcId="{0335C41E-F587-4112-AC71-289619320BB2}" destId="{202C265F-897B-40AA-9D8D-A63E4DBB62A3}" srcOrd="2" destOrd="0" parTransId="{1D0FE275-0D9A-4565-B601-C60222ABE78A}" sibTransId="{94EF2731-9A1F-4661-9088-07CAF868E6E1}"/>
    <dgm:cxn modelId="{98E268E1-5B8A-404F-9DC2-52C4CED7D7C6}" type="presOf" srcId="{5EC2DA99-ADAD-4383-96AD-E73A91A7819B}" destId="{85F77215-F923-4155-99B2-3EB377A37BEC}" srcOrd="0" destOrd="1" presId="urn:microsoft.com/office/officeart/2005/8/layout/vList5"/>
    <dgm:cxn modelId="{8A53E399-9EBD-4DF8-BEA8-C33DB7A46946}" type="presOf" srcId="{FCF68CC5-1CE2-46A7-BF80-EF939211DB56}" destId="{7C879E88-EA9C-4123-880A-6C465B235E90}" srcOrd="0" destOrd="0" presId="urn:microsoft.com/office/officeart/2005/8/layout/vList5"/>
    <dgm:cxn modelId="{9B19203C-85AD-47D8-A9FA-EE728661CBB1}" type="presOf" srcId="{9C50C3A9-DDEE-4E4A-A860-1817D0B0BA4F}" destId="{E588A11E-4405-4260-9845-417ACDC7D33D}" srcOrd="0" destOrd="1" presId="urn:microsoft.com/office/officeart/2005/8/layout/vList5"/>
    <dgm:cxn modelId="{2033259D-441C-4783-806F-714181CBDFA7}" srcId="{D1E38B8B-9434-48BA-B109-6688CC375218}" destId="{5EC2DA99-ADAD-4383-96AD-E73A91A7819B}" srcOrd="1" destOrd="0" parTransId="{9F34FDF4-2B05-477C-A9E1-756F06B4A17A}" sibTransId="{58AB776D-0D33-4396-8F39-17A916E7CACA}"/>
    <dgm:cxn modelId="{D910C1DD-1939-46A6-996A-75F2AADCB434}" srcId="{D784789D-687A-4780-838C-8F44F5F6D204}" destId="{FA23F166-83D9-4EE5-ADC5-B4578E18ABCF}" srcOrd="0" destOrd="0" parTransId="{4485ED58-0D6F-43F0-BBEB-897573DCC523}" sibTransId="{B33D4022-6FFA-4903-B165-8E719EBFF43E}"/>
    <dgm:cxn modelId="{EC8DB99A-C4C9-4B70-84C3-B0BAE2E08711}" type="presOf" srcId="{9F17E90E-8EC9-4192-9296-3F2223F88FF5}" destId="{B621618D-9FF0-44AF-A749-3097B469B225}" srcOrd="0" destOrd="1" presId="urn:microsoft.com/office/officeart/2005/8/layout/vList5"/>
    <dgm:cxn modelId="{2F24B212-00CA-4964-AA5F-3C9645C09917}" type="presOf" srcId="{F2915B02-C78D-4E57-B243-907F2E0B712C}" destId="{85F77215-F923-4155-99B2-3EB377A37BEC}" srcOrd="0" destOrd="2" presId="urn:microsoft.com/office/officeart/2005/8/layout/vList5"/>
    <dgm:cxn modelId="{477A3725-F890-4EC8-8CD6-1D43017322FB}" type="presOf" srcId="{C8CADDFB-13EB-443B-AAF7-CFFD4AD5C361}" destId="{D74AE6FD-80DC-4C9C-9BE8-628B2AC30592}" srcOrd="0" destOrd="0" presId="urn:microsoft.com/office/officeart/2005/8/layout/vList5"/>
    <dgm:cxn modelId="{5ED0DDFD-9D2D-47EF-97C0-C5C15FE358E1}" srcId="{3C9E325B-553F-4E7F-9BCC-591EF9ACBACA}" destId="{D1E38B8B-9434-48BA-B109-6688CC375218}" srcOrd="2" destOrd="0" parTransId="{356387D1-5B98-473F-937E-144012634BD7}" sibTransId="{8C296C54-81D1-4B23-ACE5-0262D24B25C1}"/>
    <dgm:cxn modelId="{D4EAA158-EB4F-491D-AC87-2A4E9B584F69}" type="presParOf" srcId="{007B9189-26A4-4026-9568-358FA733A7FE}" destId="{772E657F-7594-4F28-B0C5-8C3ADCDCD4A2}" srcOrd="0" destOrd="0" presId="urn:microsoft.com/office/officeart/2005/8/layout/vList5"/>
    <dgm:cxn modelId="{41515ECC-EDFE-47B8-B584-4A4B25407303}" type="presParOf" srcId="{772E657F-7594-4F28-B0C5-8C3ADCDCD4A2}" destId="{D74AE6FD-80DC-4C9C-9BE8-628B2AC30592}" srcOrd="0" destOrd="0" presId="urn:microsoft.com/office/officeart/2005/8/layout/vList5"/>
    <dgm:cxn modelId="{2BBA6EE5-22DB-436A-A2F8-8C1FC1F5164E}" type="presParOf" srcId="{772E657F-7594-4F28-B0C5-8C3ADCDCD4A2}" destId="{B621618D-9FF0-44AF-A749-3097B469B225}" srcOrd="1" destOrd="0" presId="urn:microsoft.com/office/officeart/2005/8/layout/vList5"/>
    <dgm:cxn modelId="{26F12438-F210-474F-840A-B106A9452B5E}" type="presParOf" srcId="{007B9189-26A4-4026-9568-358FA733A7FE}" destId="{E0D86C5C-5DA6-4DE7-A807-149A3ACF8A1B}" srcOrd="1" destOrd="0" presId="urn:microsoft.com/office/officeart/2005/8/layout/vList5"/>
    <dgm:cxn modelId="{6FDDA57F-3D4B-4A0B-8A0E-5585456A221C}" type="presParOf" srcId="{007B9189-26A4-4026-9568-358FA733A7FE}" destId="{7C79931D-5614-4574-8F04-CE8D68AE6D1E}" srcOrd="2" destOrd="0" presId="urn:microsoft.com/office/officeart/2005/8/layout/vList5"/>
    <dgm:cxn modelId="{A088B603-58AB-4D34-AFA6-11F20202D2D3}" type="presParOf" srcId="{7C79931D-5614-4574-8F04-CE8D68AE6D1E}" destId="{938BFA0E-7C8A-461A-86B5-79A4F70F278E}" srcOrd="0" destOrd="0" presId="urn:microsoft.com/office/officeart/2005/8/layout/vList5"/>
    <dgm:cxn modelId="{FFC45B26-43A9-48EB-AFBD-183C3ED16474}" type="presParOf" srcId="{7C79931D-5614-4574-8F04-CE8D68AE6D1E}" destId="{E588A11E-4405-4260-9845-417ACDC7D33D}" srcOrd="1" destOrd="0" presId="urn:microsoft.com/office/officeart/2005/8/layout/vList5"/>
    <dgm:cxn modelId="{9BB6C78C-8CD2-4795-9A41-9EEB70F4C350}" type="presParOf" srcId="{007B9189-26A4-4026-9568-358FA733A7FE}" destId="{F9E54D87-3161-4C33-9BAB-8FDDDC4CDD55}" srcOrd="3" destOrd="0" presId="urn:microsoft.com/office/officeart/2005/8/layout/vList5"/>
    <dgm:cxn modelId="{B9FEF8FB-4C81-457B-8656-B2AB0932823F}" type="presParOf" srcId="{007B9189-26A4-4026-9568-358FA733A7FE}" destId="{26DCAFBF-3489-4FF2-8BB5-6A188778C905}" srcOrd="4" destOrd="0" presId="urn:microsoft.com/office/officeart/2005/8/layout/vList5"/>
    <dgm:cxn modelId="{BC2DD39F-609E-44AE-A6D5-BCDE8D3DF90F}" type="presParOf" srcId="{26DCAFBF-3489-4FF2-8BB5-6A188778C905}" destId="{8A4978E4-6797-4525-B1FD-C8F8C4937FBD}" srcOrd="0" destOrd="0" presId="urn:microsoft.com/office/officeart/2005/8/layout/vList5"/>
    <dgm:cxn modelId="{DBAE3898-43DC-4E5A-8D03-0FD7FF3F1B70}" type="presParOf" srcId="{26DCAFBF-3489-4FF2-8BB5-6A188778C905}" destId="{85F77215-F923-4155-99B2-3EB377A37BEC}" srcOrd="1" destOrd="0" presId="urn:microsoft.com/office/officeart/2005/8/layout/vList5"/>
    <dgm:cxn modelId="{01599ABE-6AF6-4555-A36F-CFA0A4253965}" type="presParOf" srcId="{007B9189-26A4-4026-9568-358FA733A7FE}" destId="{E973625D-B34C-453B-B3C2-9ED997AF82B6}" srcOrd="5" destOrd="0" presId="urn:microsoft.com/office/officeart/2005/8/layout/vList5"/>
    <dgm:cxn modelId="{D071BB39-E8E5-4ACF-B9CC-14CC032A4381}" type="presParOf" srcId="{007B9189-26A4-4026-9568-358FA733A7FE}" destId="{494578B9-BE5C-40B6-8ADB-438A70CE3A86}" srcOrd="6" destOrd="0" presId="urn:microsoft.com/office/officeart/2005/8/layout/vList5"/>
    <dgm:cxn modelId="{504FB546-4B4E-4B6F-900B-55581A10899C}" type="presParOf" srcId="{494578B9-BE5C-40B6-8ADB-438A70CE3A86}" destId="{76114A65-9316-440C-93B3-658D29EBD15B}" srcOrd="0" destOrd="0" presId="urn:microsoft.com/office/officeart/2005/8/layout/vList5"/>
    <dgm:cxn modelId="{125411AF-DF5D-440B-B712-D8482957039A}" type="presParOf" srcId="{494578B9-BE5C-40B6-8ADB-438A70CE3A86}" destId="{0F4CC6F3-3BE5-4803-9B8C-AD2CC7093BD5}" srcOrd="1" destOrd="0" presId="urn:microsoft.com/office/officeart/2005/8/layout/vList5"/>
    <dgm:cxn modelId="{74F3A660-AE06-4020-9641-2E4C54D639D3}" type="presParOf" srcId="{007B9189-26A4-4026-9568-358FA733A7FE}" destId="{F08A1DE4-7840-485E-A407-21EA13078728}" srcOrd="7" destOrd="0" presId="urn:microsoft.com/office/officeart/2005/8/layout/vList5"/>
    <dgm:cxn modelId="{44808240-189F-4677-BDFC-2BB9B557FEE6}" type="presParOf" srcId="{007B9189-26A4-4026-9568-358FA733A7FE}" destId="{68FE39CF-3929-41D2-8E2F-919D42328F30}" srcOrd="8" destOrd="0" presId="urn:microsoft.com/office/officeart/2005/8/layout/vList5"/>
    <dgm:cxn modelId="{07B23D94-A538-4C31-98DA-24CB09914037}" type="presParOf" srcId="{68FE39CF-3929-41D2-8E2F-919D42328F30}" destId="{DCC6AEEA-7C5D-4E57-B50A-8E255E95EB4B}" srcOrd="0" destOrd="0" presId="urn:microsoft.com/office/officeart/2005/8/layout/vList5"/>
    <dgm:cxn modelId="{9D4DC344-6F8C-40E1-B1BB-60740A2AA068}" type="presParOf" srcId="{68FE39CF-3929-41D2-8E2F-919D42328F30}" destId="{7C879E88-EA9C-4123-880A-6C465B235E90}" srcOrd="1" destOrd="0" presId="urn:microsoft.com/office/officeart/2005/8/layout/vList5"/>
  </dgm:cxnLst>
  <dgm:bg/>
  <dgm:whole/>
  <dgm:extLst>
    <a:ext uri="http://schemas.microsoft.com/office/drawing/2008/diagram">
      <dsp:dataModelExt xmlns:dsp="http://schemas.microsoft.com/office/drawing/2008/diagram" relId="rId130"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6D4A5DB3-539D-4322-A623-697D5B385C5F}" type="doc">
      <dgm:prSet loTypeId="urn:microsoft.com/office/officeart/2005/8/layout/hProcess9" loCatId="process" qsTypeId="urn:microsoft.com/office/officeart/2005/8/quickstyle/simple1" qsCatId="simple" csTypeId="urn:microsoft.com/office/officeart/2005/8/colors/colorful5" csCatId="colorful" phldr="1"/>
      <dgm:spPr/>
    </dgm:pt>
    <dgm:pt modelId="{A840E904-A1C1-4E8F-BB29-AF7943751AAA}">
      <dgm:prSet phldrT="[Text]" custT="1"/>
      <dgm:spPr/>
      <dgm:t>
        <a:bodyPr/>
        <a:lstStyle/>
        <a:p>
          <a:r>
            <a:rPr lang="bg-BG" sz="900" b="1"/>
            <a:t>Идентифициране на допълнителни източници</a:t>
          </a:r>
        </a:p>
        <a:p>
          <a:r>
            <a:rPr lang="bg-BG" sz="800"/>
            <a:t>Идентифициране на допълнителни публични и частни източници, които потенциално могат да бъда привлечени чрез ФИ и оценка на индикативния график на националното съ-финансиране и допълнителния частен принос</a:t>
          </a:r>
        </a:p>
      </dgm:t>
    </dgm:pt>
    <dgm:pt modelId="{EBAAAE5C-D8EC-43F0-8054-AF62F83B1F18}" type="parTrans" cxnId="{4EB54340-053E-44C6-9FD2-887690DCFEE0}">
      <dgm:prSet/>
      <dgm:spPr/>
      <dgm:t>
        <a:bodyPr/>
        <a:lstStyle/>
        <a:p>
          <a:endParaRPr lang="bg-BG"/>
        </a:p>
      </dgm:t>
    </dgm:pt>
    <dgm:pt modelId="{CAFAD8D2-FDAD-4EAE-8709-D2E2256FCD96}" type="sibTrans" cxnId="{4EB54340-053E-44C6-9FD2-887690DCFEE0}">
      <dgm:prSet/>
      <dgm:spPr/>
      <dgm:t>
        <a:bodyPr/>
        <a:lstStyle/>
        <a:p>
          <a:endParaRPr lang="bg-BG"/>
        </a:p>
      </dgm:t>
    </dgm:pt>
    <dgm:pt modelId="{EE61986F-60CB-4243-AC4E-E62BB5C0B7AD}">
      <dgm:prSet phldrT="[Text]" custT="1"/>
      <dgm:spPr/>
      <dgm:t>
        <a:bodyPr/>
        <a:lstStyle/>
        <a:p>
          <a:r>
            <a:rPr lang="bg-BG" sz="1000" b="1"/>
            <a:t>Ефект на лоста на ФИ</a:t>
          </a:r>
        </a:p>
        <a:p>
          <a:r>
            <a:rPr lang="bg-BG" sz="900"/>
            <a:t>Оценка на лоста на предвидените финансови инструменти</a:t>
          </a:r>
        </a:p>
      </dgm:t>
    </dgm:pt>
    <dgm:pt modelId="{B1F857EE-3412-4F71-AB71-E45EF0CD4886}" type="parTrans" cxnId="{C6E25E56-1228-4C01-B55C-006CC495D99D}">
      <dgm:prSet/>
      <dgm:spPr/>
      <dgm:t>
        <a:bodyPr/>
        <a:lstStyle/>
        <a:p>
          <a:endParaRPr lang="bg-BG"/>
        </a:p>
      </dgm:t>
    </dgm:pt>
    <dgm:pt modelId="{163FDEA8-69C6-45B7-9292-E978AB06DCEF}" type="sibTrans" cxnId="{C6E25E56-1228-4C01-B55C-006CC495D99D}">
      <dgm:prSet/>
      <dgm:spPr/>
      <dgm:t>
        <a:bodyPr/>
        <a:lstStyle/>
        <a:p>
          <a:endParaRPr lang="bg-BG"/>
        </a:p>
      </dgm:t>
    </dgm:pt>
    <dgm:pt modelId="{3150B787-5E61-4C72-BBA9-784AC824E70D}">
      <dgm:prSet phldrT="[Text]" custT="1"/>
      <dgm:spPr/>
      <dgm:t>
        <a:bodyPr/>
        <a:lstStyle/>
        <a:p>
          <a:r>
            <a:rPr lang="bg-BG" sz="1000" b="1"/>
            <a:t>Преференциално възнаграждение</a:t>
          </a:r>
        </a:p>
        <a:p>
          <a:r>
            <a:rPr lang="bg-BG" sz="900"/>
            <a:t>Оценка на нуждите и нивото на преференциално възнаграждение на база опита на съответния пазар</a:t>
          </a:r>
        </a:p>
      </dgm:t>
    </dgm:pt>
    <dgm:pt modelId="{481CDDAB-A468-4455-8B7D-4AA6F7ECE3AE}" type="parTrans" cxnId="{C77BF6E6-8A45-4298-819C-6E410200B436}">
      <dgm:prSet/>
      <dgm:spPr/>
      <dgm:t>
        <a:bodyPr/>
        <a:lstStyle/>
        <a:p>
          <a:endParaRPr lang="bg-BG"/>
        </a:p>
      </dgm:t>
    </dgm:pt>
    <dgm:pt modelId="{0F809C84-2895-405D-93E3-A2697FAE2E82}" type="sibTrans" cxnId="{C77BF6E6-8A45-4298-819C-6E410200B436}">
      <dgm:prSet/>
      <dgm:spPr/>
      <dgm:t>
        <a:bodyPr/>
        <a:lstStyle/>
        <a:p>
          <a:endParaRPr lang="bg-BG"/>
        </a:p>
      </dgm:t>
    </dgm:pt>
    <dgm:pt modelId="{0E02F180-7462-4586-877A-7E2A6AEF757A}" type="pres">
      <dgm:prSet presAssocID="{6D4A5DB3-539D-4322-A623-697D5B385C5F}" presName="CompostProcess" presStyleCnt="0">
        <dgm:presLayoutVars>
          <dgm:dir/>
          <dgm:resizeHandles val="exact"/>
        </dgm:presLayoutVars>
      </dgm:prSet>
      <dgm:spPr/>
    </dgm:pt>
    <dgm:pt modelId="{FAD16BE1-75BF-4D0C-A32E-06B6CF28FB67}" type="pres">
      <dgm:prSet presAssocID="{6D4A5DB3-539D-4322-A623-697D5B385C5F}" presName="arrow" presStyleLbl="bgShp" presStyleIdx="0" presStyleCnt="1"/>
      <dgm:spPr/>
    </dgm:pt>
    <dgm:pt modelId="{22B716A0-8D9E-4D74-8B92-4381B44CD8AC}" type="pres">
      <dgm:prSet presAssocID="{6D4A5DB3-539D-4322-A623-697D5B385C5F}" presName="linearProcess" presStyleCnt="0"/>
      <dgm:spPr/>
    </dgm:pt>
    <dgm:pt modelId="{AFF0489E-59E1-4BA4-A3CB-B9CD48590C86}" type="pres">
      <dgm:prSet presAssocID="{A840E904-A1C1-4E8F-BB29-AF7943751AAA}" presName="textNode" presStyleLbl="node1" presStyleIdx="0" presStyleCnt="3">
        <dgm:presLayoutVars>
          <dgm:bulletEnabled val="1"/>
        </dgm:presLayoutVars>
      </dgm:prSet>
      <dgm:spPr/>
      <dgm:t>
        <a:bodyPr/>
        <a:lstStyle/>
        <a:p>
          <a:endParaRPr lang="bg-BG"/>
        </a:p>
      </dgm:t>
    </dgm:pt>
    <dgm:pt modelId="{6E42E365-8B7E-4939-8BD5-FAA6EE6C1C98}" type="pres">
      <dgm:prSet presAssocID="{CAFAD8D2-FDAD-4EAE-8709-D2E2256FCD96}" presName="sibTrans" presStyleCnt="0"/>
      <dgm:spPr/>
    </dgm:pt>
    <dgm:pt modelId="{9A8BC369-10C1-4F00-A680-16AE17CD380B}" type="pres">
      <dgm:prSet presAssocID="{EE61986F-60CB-4243-AC4E-E62BB5C0B7AD}" presName="textNode" presStyleLbl="node1" presStyleIdx="1" presStyleCnt="3">
        <dgm:presLayoutVars>
          <dgm:bulletEnabled val="1"/>
        </dgm:presLayoutVars>
      </dgm:prSet>
      <dgm:spPr/>
      <dgm:t>
        <a:bodyPr/>
        <a:lstStyle/>
        <a:p>
          <a:endParaRPr lang="bg-BG"/>
        </a:p>
      </dgm:t>
    </dgm:pt>
    <dgm:pt modelId="{3BC2B93E-DEF5-4428-AC8F-9092708D07BD}" type="pres">
      <dgm:prSet presAssocID="{163FDEA8-69C6-45B7-9292-E978AB06DCEF}" presName="sibTrans" presStyleCnt="0"/>
      <dgm:spPr/>
    </dgm:pt>
    <dgm:pt modelId="{A37964B7-EDB0-4232-AEE0-BEEBD542F306}" type="pres">
      <dgm:prSet presAssocID="{3150B787-5E61-4C72-BBA9-784AC824E70D}" presName="textNode" presStyleLbl="node1" presStyleIdx="2" presStyleCnt="3">
        <dgm:presLayoutVars>
          <dgm:bulletEnabled val="1"/>
        </dgm:presLayoutVars>
      </dgm:prSet>
      <dgm:spPr/>
      <dgm:t>
        <a:bodyPr/>
        <a:lstStyle/>
        <a:p>
          <a:endParaRPr lang="bg-BG"/>
        </a:p>
      </dgm:t>
    </dgm:pt>
  </dgm:ptLst>
  <dgm:cxnLst>
    <dgm:cxn modelId="{C6E25E56-1228-4C01-B55C-006CC495D99D}" srcId="{6D4A5DB3-539D-4322-A623-697D5B385C5F}" destId="{EE61986F-60CB-4243-AC4E-E62BB5C0B7AD}" srcOrd="1" destOrd="0" parTransId="{B1F857EE-3412-4F71-AB71-E45EF0CD4886}" sibTransId="{163FDEA8-69C6-45B7-9292-E978AB06DCEF}"/>
    <dgm:cxn modelId="{4EB54340-053E-44C6-9FD2-887690DCFEE0}" srcId="{6D4A5DB3-539D-4322-A623-697D5B385C5F}" destId="{A840E904-A1C1-4E8F-BB29-AF7943751AAA}" srcOrd="0" destOrd="0" parTransId="{EBAAAE5C-D8EC-43F0-8054-AF62F83B1F18}" sibTransId="{CAFAD8D2-FDAD-4EAE-8709-D2E2256FCD96}"/>
    <dgm:cxn modelId="{F33DB7CA-B0BD-43F8-AFD1-889638E8D8CE}" type="presOf" srcId="{A840E904-A1C1-4E8F-BB29-AF7943751AAA}" destId="{AFF0489E-59E1-4BA4-A3CB-B9CD48590C86}" srcOrd="0" destOrd="0" presId="urn:microsoft.com/office/officeart/2005/8/layout/hProcess9"/>
    <dgm:cxn modelId="{743B4EB5-B666-429C-BA0F-62584B1509F4}" type="presOf" srcId="{3150B787-5E61-4C72-BBA9-784AC824E70D}" destId="{A37964B7-EDB0-4232-AEE0-BEEBD542F306}" srcOrd="0" destOrd="0" presId="urn:microsoft.com/office/officeart/2005/8/layout/hProcess9"/>
    <dgm:cxn modelId="{C77BF6E6-8A45-4298-819C-6E410200B436}" srcId="{6D4A5DB3-539D-4322-A623-697D5B385C5F}" destId="{3150B787-5E61-4C72-BBA9-784AC824E70D}" srcOrd="2" destOrd="0" parTransId="{481CDDAB-A468-4455-8B7D-4AA6F7ECE3AE}" sibTransId="{0F809C84-2895-405D-93E3-A2697FAE2E82}"/>
    <dgm:cxn modelId="{3B9BE2A2-183D-4745-AB94-FD77B0686139}" type="presOf" srcId="{EE61986F-60CB-4243-AC4E-E62BB5C0B7AD}" destId="{9A8BC369-10C1-4F00-A680-16AE17CD380B}" srcOrd="0" destOrd="0" presId="urn:microsoft.com/office/officeart/2005/8/layout/hProcess9"/>
    <dgm:cxn modelId="{CCD573BB-DE55-4945-8C73-B1238280A5EE}" type="presOf" srcId="{6D4A5DB3-539D-4322-A623-697D5B385C5F}" destId="{0E02F180-7462-4586-877A-7E2A6AEF757A}" srcOrd="0" destOrd="0" presId="urn:microsoft.com/office/officeart/2005/8/layout/hProcess9"/>
    <dgm:cxn modelId="{EF33FE88-0DB8-4202-9FE7-7F2F933C3BBC}" type="presParOf" srcId="{0E02F180-7462-4586-877A-7E2A6AEF757A}" destId="{FAD16BE1-75BF-4D0C-A32E-06B6CF28FB67}" srcOrd="0" destOrd="0" presId="urn:microsoft.com/office/officeart/2005/8/layout/hProcess9"/>
    <dgm:cxn modelId="{1CD5D145-7DBA-4101-A86E-06F9624255C0}" type="presParOf" srcId="{0E02F180-7462-4586-877A-7E2A6AEF757A}" destId="{22B716A0-8D9E-4D74-8B92-4381B44CD8AC}" srcOrd="1" destOrd="0" presId="urn:microsoft.com/office/officeart/2005/8/layout/hProcess9"/>
    <dgm:cxn modelId="{12B69722-3787-4234-847A-F26DF4CBD20F}" type="presParOf" srcId="{22B716A0-8D9E-4D74-8B92-4381B44CD8AC}" destId="{AFF0489E-59E1-4BA4-A3CB-B9CD48590C86}" srcOrd="0" destOrd="0" presId="urn:microsoft.com/office/officeart/2005/8/layout/hProcess9"/>
    <dgm:cxn modelId="{55756258-CC4A-4436-8D1C-F8B20738AE24}" type="presParOf" srcId="{22B716A0-8D9E-4D74-8B92-4381B44CD8AC}" destId="{6E42E365-8B7E-4939-8BD5-FAA6EE6C1C98}" srcOrd="1" destOrd="0" presId="urn:microsoft.com/office/officeart/2005/8/layout/hProcess9"/>
    <dgm:cxn modelId="{8FC63688-AD4D-4680-81CB-3AB76E932C97}" type="presParOf" srcId="{22B716A0-8D9E-4D74-8B92-4381B44CD8AC}" destId="{9A8BC369-10C1-4F00-A680-16AE17CD380B}" srcOrd="2" destOrd="0" presId="urn:microsoft.com/office/officeart/2005/8/layout/hProcess9"/>
    <dgm:cxn modelId="{46CA8631-3990-4953-8D54-73EA5F9A8860}" type="presParOf" srcId="{22B716A0-8D9E-4D74-8B92-4381B44CD8AC}" destId="{3BC2B93E-DEF5-4428-AC8F-9092708D07BD}" srcOrd="3" destOrd="0" presId="urn:microsoft.com/office/officeart/2005/8/layout/hProcess9"/>
    <dgm:cxn modelId="{9C492B73-74AD-4EF4-A696-776A8AB2C12B}" type="presParOf" srcId="{22B716A0-8D9E-4D74-8B92-4381B44CD8AC}" destId="{A37964B7-EDB0-4232-AEE0-BEEBD542F306}" srcOrd="4" destOrd="0" presId="urn:microsoft.com/office/officeart/2005/8/layout/hProcess9"/>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5E82CDAF-3AC5-40EC-9A1A-D53DD83B91D3}"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bg-BG"/>
        </a:p>
      </dgm:t>
    </dgm:pt>
    <dgm:pt modelId="{3AB92C99-58E1-498E-9EF1-A8B7AEB553A5}">
      <dgm:prSet phldrT="[Text]" custT="1"/>
      <dgm:spPr/>
      <dgm:t>
        <a:bodyPr/>
        <a:lstStyle/>
        <a:p>
          <a:r>
            <a:rPr lang="bg-BG" sz="1100"/>
            <a:t>УО на ОПОС 2014-2020</a:t>
          </a:r>
        </a:p>
      </dgm:t>
    </dgm:pt>
    <dgm:pt modelId="{738F09BA-569A-4DEB-85D6-7D742F44E5FA}" type="parTrans" cxnId="{52B5AAEB-7150-4B7B-8B0F-F1933012EECF}">
      <dgm:prSet/>
      <dgm:spPr/>
      <dgm:t>
        <a:bodyPr/>
        <a:lstStyle/>
        <a:p>
          <a:endParaRPr lang="bg-BG" sz="1100"/>
        </a:p>
      </dgm:t>
    </dgm:pt>
    <dgm:pt modelId="{58344323-500D-4C2E-AFF2-C84E1C463DC0}" type="sibTrans" cxnId="{52B5AAEB-7150-4B7B-8B0F-F1933012EECF}">
      <dgm:prSet/>
      <dgm:spPr/>
      <dgm:t>
        <a:bodyPr/>
        <a:lstStyle/>
        <a:p>
          <a:endParaRPr lang="bg-BG" sz="1100"/>
        </a:p>
      </dgm:t>
    </dgm:pt>
    <dgm:pt modelId="{37A620E8-7D62-46D7-B6A1-EF4B942B44F4}">
      <dgm:prSet phldrT="[Text]" custT="1"/>
      <dgm:spPr/>
      <dgm:t>
        <a:bodyPr/>
        <a:lstStyle/>
        <a:p>
          <a:r>
            <a:rPr lang="bg-BG" sz="1100"/>
            <a:t>Фонд на фондове</a:t>
          </a:r>
        </a:p>
      </dgm:t>
    </dgm:pt>
    <dgm:pt modelId="{EEB76B71-31D1-4CEB-9418-E2550E1E4EA9}" type="parTrans" cxnId="{D2253D56-3CD0-4B20-BACF-8C478FB0722B}">
      <dgm:prSet/>
      <dgm:spPr/>
      <dgm:t>
        <a:bodyPr/>
        <a:lstStyle/>
        <a:p>
          <a:endParaRPr lang="bg-BG" sz="1100"/>
        </a:p>
      </dgm:t>
    </dgm:pt>
    <dgm:pt modelId="{1CF9FFB7-A7E3-4C36-99EC-76DF63079F1F}" type="sibTrans" cxnId="{D2253D56-3CD0-4B20-BACF-8C478FB0722B}">
      <dgm:prSet/>
      <dgm:spPr/>
      <dgm:t>
        <a:bodyPr/>
        <a:lstStyle/>
        <a:p>
          <a:endParaRPr lang="bg-BG" sz="1100"/>
        </a:p>
      </dgm:t>
    </dgm:pt>
    <dgm:pt modelId="{E39C7D32-5A88-460D-8507-60CC1E4E78EA}">
      <dgm:prSet phldrT="[Text]" custT="1"/>
      <dgm:spPr/>
      <dgm:t>
        <a:bodyPr/>
        <a:lstStyle/>
        <a:p>
          <a:r>
            <a:rPr lang="bg-BG" sz="1100"/>
            <a:t>Финансов посредник</a:t>
          </a:r>
        </a:p>
      </dgm:t>
    </dgm:pt>
    <dgm:pt modelId="{52778637-A187-4807-A4AF-78F1A5A7B052}" type="parTrans" cxnId="{4FEBF93B-FFE6-45D4-AE60-45A945FA880C}">
      <dgm:prSet/>
      <dgm:spPr/>
      <dgm:t>
        <a:bodyPr/>
        <a:lstStyle/>
        <a:p>
          <a:endParaRPr lang="bg-BG" sz="1100"/>
        </a:p>
      </dgm:t>
    </dgm:pt>
    <dgm:pt modelId="{26B2CF2C-CA30-4F27-995A-FBF2B7E16533}" type="sibTrans" cxnId="{4FEBF93B-FFE6-45D4-AE60-45A945FA880C}">
      <dgm:prSet/>
      <dgm:spPr/>
      <dgm:t>
        <a:bodyPr/>
        <a:lstStyle/>
        <a:p>
          <a:endParaRPr lang="bg-BG" sz="1100"/>
        </a:p>
      </dgm:t>
    </dgm:pt>
    <dgm:pt modelId="{59032578-6058-4B31-B9DD-0DE7F59B6214}">
      <dgm:prSet phldrT="[Text]" custT="1"/>
      <dgm:spPr/>
      <dgm:t>
        <a:bodyPr/>
        <a:lstStyle/>
        <a:p>
          <a:r>
            <a:rPr lang="bg-BG" sz="1100"/>
            <a:t>Заеми</a:t>
          </a:r>
        </a:p>
      </dgm:t>
    </dgm:pt>
    <dgm:pt modelId="{4D2E7289-86EB-4BD1-8FB6-D7071F982147}" type="parTrans" cxnId="{21B534D2-3E01-4506-BF47-E9243A7E4E3A}">
      <dgm:prSet/>
      <dgm:spPr/>
      <dgm:t>
        <a:bodyPr/>
        <a:lstStyle/>
        <a:p>
          <a:endParaRPr lang="bg-BG" sz="1100"/>
        </a:p>
      </dgm:t>
    </dgm:pt>
    <dgm:pt modelId="{314E1D84-89A2-4BE1-8011-8E195663D072}" type="sibTrans" cxnId="{21B534D2-3E01-4506-BF47-E9243A7E4E3A}">
      <dgm:prSet/>
      <dgm:spPr/>
      <dgm:t>
        <a:bodyPr/>
        <a:lstStyle/>
        <a:p>
          <a:endParaRPr lang="bg-BG" sz="1100"/>
        </a:p>
      </dgm:t>
    </dgm:pt>
    <dgm:pt modelId="{F0A6D1B8-000E-4941-B68D-E20E13105692}">
      <dgm:prSet phldrT="[Text]" custT="1"/>
      <dgm:spPr/>
      <dgm:t>
        <a:bodyPr/>
        <a:lstStyle/>
        <a:p>
          <a:r>
            <a:rPr lang="bg-BG" sz="1100"/>
            <a:t>Гаранции</a:t>
          </a:r>
        </a:p>
      </dgm:t>
    </dgm:pt>
    <dgm:pt modelId="{5E0BF77C-16C9-4B0F-B99C-2621035F458F}" type="parTrans" cxnId="{06746538-9227-4B08-8A5B-E31300D0BC7F}">
      <dgm:prSet/>
      <dgm:spPr/>
      <dgm:t>
        <a:bodyPr/>
        <a:lstStyle/>
        <a:p>
          <a:endParaRPr lang="bg-BG" sz="1100"/>
        </a:p>
      </dgm:t>
    </dgm:pt>
    <dgm:pt modelId="{EDA02928-4EF7-40B9-8D99-688ABDEF7270}" type="sibTrans" cxnId="{06746538-9227-4B08-8A5B-E31300D0BC7F}">
      <dgm:prSet/>
      <dgm:spPr/>
      <dgm:t>
        <a:bodyPr/>
        <a:lstStyle/>
        <a:p>
          <a:endParaRPr lang="bg-BG" sz="1100"/>
        </a:p>
      </dgm:t>
    </dgm:pt>
    <dgm:pt modelId="{543ABD03-F165-41F8-AD90-1A62D7F761DE}" type="pres">
      <dgm:prSet presAssocID="{5E82CDAF-3AC5-40EC-9A1A-D53DD83B91D3}" presName="hierChild1" presStyleCnt="0">
        <dgm:presLayoutVars>
          <dgm:chPref val="1"/>
          <dgm:dir/>
          <dgm:animOne val="branch"/>
          <dgm:animLvl val="lvl"/>
          <dgm:resizeHandles/>
        </dgm:presLayoutVars>
      </dgm:prSet>
      <dgm:spPr/>
      <dgm:t>
        <a:bodyPr/>
        <a:lstStyle/>
        <a:p>
          <a:endParaRPr lang="bg-BG"/>
        </a:p>
      </dgm:t>
    </dgm:pt>
    <dgm:pt modelId="{00D20620-B872-4B49-A588-A356C253547B}" type="pres">
      <dgm:prSet presAssocID="{3AB92C99-58E1-498E-9EF1-A8B7AEB553A5}" presName="hierRoot1" presStyleCnt="0"/>
      <dgm:spPr/>
    </dgm:pt>
    <dgm:pt modelId="{8B7892B5-8C85-4360-AD17-6A460D8B903A}" type="pres">
      <dgm:prSet presAssocID="{3AB92C99-58E1-498E-9EF1-A8B7AEB553A5}" presName="composite" presStyleCnt="0"/>
      <dgm:spPr/>
    </dgm:pt>
    <dgm:pt modelId="{077AF472-57B9-463C-A259-E7203160867B}" type="pres">
      <dgm:prSet presAssocID="{3AB92C99-58E1-498E-9EF1-A8B7AEB553A5}" presName="background" presStyleLbl="node0" presStyleIdx="0" presStyleCnt="1"/>
      <dgm:spPr/>
    </dgm:pt>
    <dgm:pt modelId="{E2763386-5CE9-465C-9D56-CDE9827FF92E}" type="pres">
      <dgm:prSet presAssocID="{3AB92C99-58E1-498E-9EF1-A8B7AEB553A5}" presName="text" presStyleLbl="fgAcc0" presStyleIdx="0" presStyleCnt="1" custLinFactY="-15063" custLinFactNeighborX="0" custLinFactNeighborY="-100000">
        <dgm:presLayoutVars>
          <dgm:chPref val="3"/>
        </dgm:presLayoutVars>
      </dgm:prSet>
      <dgm:spPr/>
      <dgm:t>
        <a:bodyPr/>
        <a:lstStyle/>
        <a:p>
          <a:endParaRPr lang="bg-BG"/>
        </a:p>
      </dgm:t>
    </dgm:pt>
    <dgm:pt modelId="{F9AC5C44-CB76-4025-99B7-680F7887CFD1}" type="pres">
      <dgm:prSet presAssocID="{3AB92C99-58E1-498E-9EF1-A8B7AEB553A5}" presName="hierChild2" presStyleCnt="0"/>
      <dgm:spPr/>
    </dgm:pt>
    <dgm:pt modelId="{A79CA63B-FD8D-4F84-BD04-B32F70C5ACF0}" type="pres">
      <dgm:prSet presAssocID="{EEB76B71-31D1-4CEB-9418-E2550E1E4EA9}" presName="Name10" presStyleLbl="parChTrans1D2" presStyleIdx="0" presStyleCnt="1"/>
      <dgm:spPr/>
      <dgm:t>
        <a:bodyPr/>
        <a:lstStyle/>
        <a:p>
          <a:endParaRPr lang="bg-BG"/>
        </a:p>
      </dgm:t>
    </dgm:pt>
    <dgm:pt modelId="{E76BBE07-EE22-42E2-903A-0D2DD17032AE}" type="pres">
      <dgm:prSet presAssocID="{37A620E8-7D62-46D7-B6A1-EF4B942B44F4}" presName="hierRoot2" presStyleCnt="0"/>
      <dgm:spPr/>
    </dgm:pt>
    <dgm:pt modelId="{DDBC2851-EE37-4089-81AA-E114FC63C9FA}" type="pres">
      <dgm:prSet presAssocID="{37A620E8-7D62-46D7-B6A1-EF4B942B44F4}" presName="composite2" presStyleCnt="0"/>
      <dgm:spPr/>
    </dgm:pt>
    <dgm:pt modelId="{B11ADDB9-6979-465C-A5E3-5129845A4C00}" type="pres">
      <dgm:prSet presAssocID="{37A620E8-7D62-46D7-B6A1-EF4B942B44F4}" presName="background2" presStyleLbl="node2" presStyleIdx="0" presStyleCnt="1"/>
      <dgm:spPr/>
    </dgm:pt>
    <dgm:pt modelId="{D5B06F5F-7F48-4411-8BFC-DB73E93BDA2B}" type="pres">
      <dgm:prSet presAssocID="{37A620E8-7D62-46D7-B6A1-EF4B942B44F4}" presName="text2" presStyleLbl="fgAcc2" presStyleIdx="0" presStyleCnt="1" custLinFactNeighborX="0" custLinFactNeighborY="-30581">
        <dgm:presLayoutVars>
          <dgm:chPref val="3"/>
        </dgm:presLayoutVars>
      </dgm:prSet>
      <dgm:spPr/>
      <dgm:t>
        <a:bodyPr/>
        <a:lstStyle/>
        <a:p>
          <a:endParaRPr lang="bg-BG"/>
        </a:p>
      </dgm:t>
    </dgm:pt>
    <dgm:pt modelId="{84AC80E0-3BB0-4190-A43E-E366353EDA81}" type="pres">
      <dgm:prSet presAssocID="{37A620E8-7D62-46D7-B6A1-EF4B942B44F4}" presName="hierChild3" presStyleCnt="0"/>
      <dgm:spPr/>
    </dgm:pt>
    <dgm:pt modelId="{4E3D0F2A-721A-47D8-B566-813966A213D0}" type="pres">
      <dgm:prSet presAssocID="{52778637-A187-4807-A4AF-78F1A5A7B052}" presName="Name17" presStyleLbl="parChTrans1D3" presStyleIdx="0" presStyleCnt="1"/>
      <dgm:spPr/>
      <dgm:t>
        <a:bodyPr/>
        <a:lstStyle/>
        <a:p>
          <a:endParaRPr lang="bg-BG"/>
        </a:p>
      </dgm:t>
    </dgm:pt>
    <dgm:pt modelId="{2E81FFEF-D80D-4CE4-BD57-9B365EF6505D}" type="pres">
      <dgm:prSet presAssocID="{E39C7D32-5A88-460D-8507-60CC1E4E78EA}" presName="hierRoot3" presStyleCnt="0"/>
      <dgm:spPr/>
    </dgm:pt>
    <dgm:pt modelId="{4C5BCE3F-8D1B-4885-80CA-014CB723F428}" type="pres">
      <dgm:prSet presAssocID="{E39C7D32-5A88-460D-8507-60CC1E4E78EA}" presName="composite3" presStyleCnt="0"/>
      <dgm:spPr/>
    </dgm:pt>
    <dgm:pt modelId="{D8422716-B14C-4740-B07D-D9DA52DD99E5}" type="pres">
      <dgm:prSet presAssocID="{E39C7D32-5A88-460D-8507-60CC1E4E78EA}" presName="background3" presStyleLbl="node3" presStyleIdx="0" presStyleCnt="1"/>
      <dgm:spPr/>
    </dgm:pt>
    <dgm:pt modelId="{19C748C0-B497-4E17-90E5-10C474CC4FC0}" type="pres">
      <dgm:prSet presAssocID="{E39C7D32-5A88-460D-8507-60CC1E4E78EA}" presName="text3" presStyleLbl="fgAcc3" presStyleIdx="0" presStyleCnt="1">
        <dgm:presLayoutVars>
          <dgm:chPref val="3"/>
        </dgm:presLayoutVars>
      </dgm:prSet>
      <dgm:spPr/>
      <dgm:t>
        <a:bodyPr/>
        <a:lstStyle/>
        <a:p>
          <a:endParaRPr lang="bg-BG"/>
        </a:p>
      </dgm:t>
    </dgm:pt>
    <dgm:pt modelId="{3F6650F1-3388-4A11-9672-C4E69EA8E0AB}" type="pres">
      <dgm:prSet presAssocID="{E39C7D32-5A88-460D-8507-60CC1E4E78EA}" presName="hierChild4" presStyleCnt="0"/>
      <dgm:spPr/>
    </dgm:pt>
    <dgm:pt modelId="{7866D969-6BB5-41F3-A012-E2C14E28DC50}" type="pres">
      <dgm:prSet presAssocID="{4D2E7289-86EB-4BD1-8FB6-D7071F982147}" presName="Name23" presStyleLbl="parChTrans1D4" presStyleIdx="0" presStyleCnt="2"/>
      <dgm:spPr/>
      <dgm:t>
        <a:bodyPr/>
        <a:lstStyle/>
        <a:p>
          <a:endParaRPr lang="bg-BG"/>
        </a:p>
      </dgm:t>
    </dgm:pt>
    <dgm:pt modelId="{BE4B4D4D-4161-4F20-A746-E86C27BE968D}" type="pres">
      <dgm:prSet presAssocID="{59032578-6058-4B31-B9DD-0DE7F59B6214}" presName="hierRoot4" presStyleCnt="0"/>
      <dgm:spPr/>
    </dgm:pt>
    <dgm:pt modelId="{C1E3B303-8916-484A-932E-AA05B8B07326}" type="pres">
      <dgm:prSet presAssocID="{59032578-6058-4B31-B9DD-0DE7F59B6214}" presName="composite4" presStyleCnt="0"/>
      <dgm:spPr/>
    </dgm:pt>
    <dgm:pt modelId="{A7763E9B-5265-47C6-911D-03ABAAF28DFC}" type="pres">
      <dgm:prSet presAssocID="{59032578-6058-4B31-B9DD-0DE7F59B6214}" presName="background4" presStyleLbl="node4" presStyleIdx="0" presStyleCnt="2"/>
      <dgm:spPr/>
    </dgm:pt>
    <dgm:pt modelId="{9EB5EC69-8505-4AC8-BCC1-BF0057D02D05}" type="pres">
      <dgm:prSet presAssocID="{59032578-6058-4B31-B9DD-0DE7F59B6214}" presName="text4" presStyleLbl="fgAcc4" presStyleIdx="0" presStyleCnt="2" custLinFactNeighborX="-23860" custLinFactNeighborY="78811">
        <dgm:presLayoutVars>
          <dgm:chPref val="3"/>
        </dgm:presLayoutVars>
      </dgm:prSet>
      <dgm:spPr/>
      <dgm:t>
        <a:bodyPr/>
        <a:lstStyle/>
        <a:p>
          <a:endParaRPr lang="bg-BG"/>
        </a:p>
      </dgm:t>
    </dgm:pt>
    <dgm:pt modelId="{EB993BF9-1E66-488F-B188-75C46E212638}" type="pres">
      <dgm:prSet presAssocID="{59032578-6058-4B31-B9DD-0DE7F59B6214}" presName="hierChild5" presStyleCnt="0"/>
      <dgm:spPr/>
    </dgm:pt>
    <dgm:pt modelId="{F5208A41-F22E-44A6-8302-0C92F54A873B}" type="pres">
      <dgm:prSet presAssocID="{5E0BF77C-16C9-4B0F-B99C-2621035F458F}" presName="Name23" presStyleLbl="parChTrans1D4" presStyleIdx="1" presStyleCnt="2"/>
      <dgm:spPr/>
      <dgm:t>
        <a:bodyPr/>
        <a:lstStyle/>
        <a:p>
          <a:endParaRPr lang="bg-BG"/>
        </a:p>
      </dgm:t>
    </dgm:pt>
    <dgm:pt modelId="{CC59A608-9430-48BC-902C-B997D79ED1B4}" type="pres">
      <dgm:prSet presAssocID="{F0A6D1B8-000E-4941-B68D-E20E13105692}" presName="hierRoot4" presStyleCnt="0"/>
      <dgm:spPr/>
    </dgm:pt>
    <dgm:pt modelId="{CBFFC17B-F26B-4D14-909E-F2F938BF15FC}" type="pres">
      <dgm:prSet presAssocID="{F0A6D1B8-000E-4941-B68D-E20E13105692}" presName="composite4" presStyleCnt="0"/>
      <dgm:spPr/>
    </dgm:pt>
    <dgm:pt modelId="{7CBE8B88-D93E-478D-AFC1-5E6C395FF09F}" type="pres">
      <dgm:prSet presAssocID="{F0A6D1B8-000E-4941-B68D-E20E13105692}" presName="background4" presStyleLbl="node4" presStyleIdx="1" presStyleCnt="2"/>
      <dgm:spPr/>
    </dgm:pt>
    <dgm:pt modelId="{D77224B0-4A87-4BB8-BD52-E8B7DDCA8A0D}" type="pres">
      <dgm:prSet presAssocID="{F0A6D1B8-000E-4941-B68D-E20E13105692}" presName="text4" presStyleLbl="fgAcc4" presStyleIdx="1" presStyleCnt="2" custLinFactNeighborX="28" custLinFactNeighborY="78988">
        <dgm:presLayoutVars>
          <dgm:chPref val="3"/>
        </dgm:presLayoutVars>
      </dgm:prSet>
      <dgm:spPr/>
      <dgm:t>
        <a:bodyPr/>
        <a:lstStyle/>
        <a:p>
          <a:endParaRPr lang="bg-BG"/>
        </a:p>
      </dgm:t>
    </dgm:pt>
    <dgm:pt modelId="{92A2F13C-DEB7-4A6A-81D6-D514E1464A17}" type="pres">
      <dgm:prSet presAssocID="{F0A6D1B8-000E-4941-B68D-E20E13105692}" presName="hierChild5" presStyleCnt="0"/>
      <dgm:spPr/>
    </dgm:pt>
  </dgm:ptLst>
  <dgm:cxnLst>
    <dgm:cxn modelId="{21B534D2-3E01-4506-BF47-E9243A7E4E3A}" srcId="{E39C7D32-5A88-460D-8507-60CC1E4E78EA}" destId="{59032578-6058-4B31-B9DD-0DE7F59B6214}" srcOrd="0" destOrd="0" parTransId="{4D2E7289-86EB-4BD1-8FB6-D7071F982147}" sibTransId="{314E1D84-89A2-4BE1-8011-8E195663D072}"/>
    <dgm:cxn modelId="{4FEBF93B-FFE6-45D4-AE60-45A945FA880C}" srcId="{37A620E8-7D62-46D7-B6A1-EF4B942B44F4}" destId="{E39C7D32-5A88-460D-8507-60CC1E4E78EA}" srcOrd="0" destOrd="0" parTransId="{52778637-A187-4807-A4AF-78F1A5A7B052}" sibTransId="{26B2CF2C-CA30-4F27-995A-FBF2B7E16533}"/>
    <dgm:cxn modelId="{7695C00A-64B9-4312-A548-038F5C2FFDC4}" type="presOf" srcId="{EEB76B71-31D1-4CEB-9418-E2550E1E4EA9}" destId="{A79CA63B-FD8D-4F84-BD04-B32F70C5ACF0}" srcOrd="0" destOrd="0" presId="urn:microsoft.com/office/officeart/2005/8/layout/hierarchy1"/>
    <dgm:cxn modelId="{D2253D56-3CD0-4B20-BACF-8C478FB0722B}" srcId="{3AB92C99-58E1-498E-9EF1-A8B7AEB553A5}" destId="{37A620E8-7D62-46D7-B6A1-EF4B942B44F4}" srcOrd="0" destOrd="0" parTransId="{EEB76B71-31D1-4CEB-9418-E2550E1E4EA9}" sibTransId="{1CF9FFB7-A7E3-4C36-99EC-76DF63079F1F}"/>
    <dgm:cxn modelId="{41247EB0-9419-411D-A7CF-80B40D868A37}" type="presOf" srcId="{E39C7D32-5A88-460D-8507-60CC1E4E78EA}" destId="{19C748C0-B497-4E17-90E5-10C474CC4FC0}" srcOrd="0" destOrd="0" presId="urn:microsoft.com/office/officeart/2005/8/layout/hierarchy1"/>
    <dgm:cxn modelId="{3EF635A3-AB37-4EA1-AEAE-65A45F3C1586}" type="presOf" srcId="{5E82CDAF-3AC5-40EC-9A1A-D53DD83B91D3}" destId="{543ABD03-F165-41F8-AD90-1A62D7F761DE}" srcOrd="0" destOrd="0" presId="urn:microsoft.com/office/officeart/2005/8/layout/hierarchy1"/>
    <dgm:cxn modelId="{F9F65F08-34F2-4BE6-BE73-634DA7F10B70}" type="presOf" srcId="{59032578-6058-4B31-B9DD-0DE7F59B6214}" destId="{9EB5EC69-8505-4AC8-BCC1-BF0057D02D05}" srcOrd="0" destOrd="0" presId="urn:microsoft.com/office/officeart/2005/8/layout/hierarchy1"/>
    <dgm:cxn modelId="{236FBA2A-E145-4AAA-B7BF-42686AB4BCDD}" type="presOf" srcId="{5E0BF77C-16C9-4B0F-B99C-2621035F458F}" destId="{F5208A41-F22E-44A6-8302-0C92F54A873B}" srcOrd="0" destOrd="0" presId="urn:microsoft.com/office/officeart/2005/8/layout/hierarchy1"/>
    <dgm:cxn modelId="{EDA04262-81FC-49D9-A200-D135A3B91406}" type="presOf" srcId="{52778637-A187-4807-A4AF-78F1A5A7B052}" destId="{4E3D0F2A-721A-47D8-B566-813966A213D0}" srcOrd="0" destOrd="0" presId="urn:microsoft.com/office/officeart/2005/8/layout/hierarchy1"/>
    <dgm:cxn modelId="{8AD1B0FF-0028-43F0-9D52-0AAF79BC9481}" type="presOf" srcId="{3AB92C99-58E1-498E-9EF1-A8B7AEB553A5}" destId="{E2763386-5CE9-465C-9D56-CDE9827FF92E}" srcOrd="0" destOrd="0" presId="urn:microsoft.com/office/officeart/2005/8/layout/hierarchy1"/>
    <dgm:cxn modelId="{06746538-9227-4B08-8A5B-E31300D0BC7F}" srcId="{E39C7D32-5A88-460D-8507-60CC1E4E78EA}" destId="{F0A6D1B8-000E-4941-B68D-E20E13105692}" srcOrd="1" destOrd="0" parTransId="{5E0BF77C-16C9-4B0F-B99C-2621035F458F}" sibTransId="{EDA02928-4EF7-40B9-8D99-688ABDEF7270}"/>
    <dgm:cxn modelId="{52B5AAEB-7150-4B7B-8B0F-F1933012EECF}" srcId="{5E82CDAF-3AC5-40EC-9A1A-D53DD83B91D3}" destId="{3AB92C99-58E1-498E-9EF1-A8B7AEB553A5}" srcOrd="0" destOrd="0" parTransId="{738F09BA-569A-4DEB-85D6-7D742F44E5FA}" sibTransId="{58344323-500D-4C2E-AFF2-C84E1C463DC0}"/>
    <dgm:cxn modelId="{5F3A2CE4-5E29-4BA0-BBD2-FAD23EE9ABD0}" type="presOf" srcId="{F0A6D1B8-000E-4941-B68D-E20E13105692}" destId="{D77224B0-4A87-4BB8-BD52-E8B7DDCA8A0D}" srcOrd="0" destOrd="0" presId="urn:microsoft.com/office/officeart/2005/8/layout/hierarchy1"/>
    <dgm:cxn modelId="{645F1AF7-BA58-43BF-80E7-E25755D0E47F}" type="presOf" srcId="{37A620E8-7D62-46D7-B6A1-EF4B942B44F4}" destId="{D5B06F5F-7F48-4411-8BFC-DB73E93BDA2B}" srcOrd="0" destOrd="0" presId="urn:microsoft.com/office/officeart/2005/8/layout/hierarchy1"/>
    <dgm:cxn modelId="{5BC06516-9128-4862-9061-ECE51E103646}" type="presOf" srcId="{4D2E7289-86EB-4BD1-8FB6-D7071F982147}" destId="{7866D969-6BB5-41F3-A012-E2C14E28DC50}" srcOrd="0" destOrd="0" presId="urn:microsoft.com/office/officeart/2005/8/layout/hierarchy1"/>
    <dgm:cxn modelId="{F173D1AB-5285-4949-A436-81B915AAC2A6}" type="presParOf" srcId="{543ABD03-F165-41F8-AD90-1A62D7F761DE}" destId="{00D20620-B872-4B49-A588-A356C253547B}" srcOrd="0" destOrd="0" presId="urn:microsoft.com/office/officeart/2005/8/layout/hierarchy1"/>
    <dgm:cxn modelId="{EE4A8B9C-FCC5-42B1-A836-927A84ACF364}" type="presParOf" srcId="{00D20620-B872-4B49-A588-A356C253547B}" destId="{8B7892B5-8C85-4360-AD17-6A460D8B903A}" srcOrd="0" destOrd="0" presId="urn:microsoft.com/office/officeart/2005/8/layout/hierarchy1"/>
    <dgm:cxn modelId="{E072201D-F1EB-4531-A908-9B87A58C2132}" type="presParOf" srcId="{8B7892B5-8C85-4360-AD17-6A460D8B903A}" destId="{077AF472-57B9-463C-A259-E7203160867B}" srcOrd="0" destOrd="0" presId="urn:microsoft.com/office/officeart/2005/8/layout/hierarchy1"/>
    <dgm:cxn modelId="{4A6FF08C-5948-4B57-A045-66EE01F50678}" type="presParOf" srcId="{8B7892B5-8C85-4360-AD17-6A460D8B903A}" destId="{E2763386-5CE9-465C-9D56-CDE9827FF92E}" srcOrd="1" destOrd="0" presId="urn:microsoft.com/office/officeart/2005/8/layout/hierarchy1"/>
    <dgm:cxn modelId="{0562288D-ABD1-4828-BB0B-8CE6E042AA87}" type="presParOf" srcId="{00D20620-B872-4B49-A588-A356C253547B}" destId="{F9AC5C44-CB76-4025-99B7-680F7887CFD1}" srcOrd="1" destOrd="0" presId="urn:microsoft.com/office/officeart/2005/8/layout/hierarchy1"/>
    <dgm:cxn modelId="{BF957F14-393E-4162-A9BA-11CC6EA761A7}" type="presParOf" srcId="{F9AC5C44-CB76-4025-99B7-680F7887CFD1}" destId="{A79CA63B-FD8D-4F84-BD04-B32F70C5ACF0}" srcOrd="0" destOrd="0" presId="urn:microsoft.com/office/officeart/2005/8/layout/hierarchy1"/>
    <dgm:cxn modelId="{4D8FC608-80F1-4260-BB1B-D8CF5B1B36AF}" type="presParOf" srcId="{F9AC5C44-CB76-4025-99B7-680F7887CFD1}" destId="{E76BBE07-EE22-42E2-903A-0D2DD17032AE}" srcOrd="1" destOrd="0" presId="urn:microsoft.com/office/officeart/2005/8/layout/hierarchy1"/>
    <dgm:cxn modelId="{0AC6983D-6616-41B0-919B-589810D5905E}" type="presParOf" srcId="{E76BBE07-EE22-42E2-903A-0D2DD17032AE}" destId="{DDBC2851-EE37-4089-81AA-E114FC63C9FA}" srcOrd="0" destOrd="0" presId="urn:microsoft.com/office/officeart/2005/8/layout/hierarchy1"/>
    <dgm:cxn modelId="{193815F6-36DD-4867-BE52-43F53615BAE3}" type="presParOf" srcId="{DDBC2851-EE37-4089-81AA-E114FC63C9FA}" destId="{B11ADDB9-6979-465C-A5E3-5129845A4C00}" srcOrd="0" destOrd="0" presId="urn:microsoft.com/office/officeart/2005/8/layout/hierarchy1"/>
    <dgm:cxn modelId="{34193FBF-4583-43CC-B1FA-25C39E93D587}" type="presParOf" srcId="{DDBC2851-EE37-4089-81AA-E114FC63C9FA}" destId="{D5B06F5F-7F48-4411-8BFC-DB73E93BDA2B}" srcOrd="1" destOrd="0" presId="urn:microsoft.com/office/officeart/2005/8/layout/hierarchy1"/>
    <dgm:cxn modelId="{363D3C20-6652-43B5-9538-4FF53EB9CBE8}" type="presParOf" srcId="{E76BBE07-EE22-42E2-903A-0D2DD17032AE}" destId="{84AC80E0-3BB0-4190-A43E-E366353EDA81}" srcOrd="1" destOrd="0" presId="urn:microsoft.com/office/officeart/2005/8/layout/hierarchy1"/>
    <dgm:cxn modelId="{DE770119-5520-43BC-8061-6EEEC135710D}" type="presParOf" srcId="{84AC80E0-3BB0-4190-A43E-E366353EDA81}" destId="{4E3D0F2A-721A-47D8-B566-813966A213D0}" srcOrd="0" destOrd="0" presId="urn:microsoft.com/office/officeart/2005/8/layout/hierarchy1"/>
    <dgm:cxn modelId="{C4229DD4-4835-41D1-A90E-244BABC199C7}" type="presParOf" srcId="{84AC80E0-3BB0-4190-A43E-E366353EDA81}" destId="{2E81FFEF-D80D-4CE4-BD57-9B365EF6505D}" srcOrd="1" destOrd="0" presId="urn:microsoft.com/office/officeart/2005/8/layout/hierarchy1"/>
    <dgm:cxn modelId="{6EC6A65C-E211-4CB2-9D32-4E96C73E30A8}" type="presParOf" srcId="{2E81FFEF-D80D-4CE4-BD57-9B365EF6505D}" destId="{4C5BCE3F-8D1B-4885-80CA-014CB723F428}" srcOrd="0" destOrd="0" presId="urn:microsoft.com/office/officeart/2005/8/layout/hierarchy1"/>
    <dgm:cxn modelId="{F0BEDA1E-96DF-4BA1-B600-9642A425ED44}" type="presParOf" srcId="{4C5BCE3F-8D1B-4885-80CA-014CB723F428}" destId="{D8422716-B14C-4740-B07D-D9DA52DD99E5}" srcOrd="0" destOrd="0" presId="urn:microsoft.com/office/officeart/2005/8/layout/hierarchy1"/>
    <dgm:cxn modelId="{71515BD2-3AE6-4555-B294-1869756604AC}" type="presParOf" srcId="{4C5BCE3F-8D1B-4885-80CA-014CB723F428}" destId="{19C748C0-B497-4E17-90E5-10C474CC4FC0}" srcOrd="1" destOrd="0" presId="urn:microsoft.com/office/officeart/2005/8/layout/hierarchy1"/>
    <dgm:cxn modelId="{9777E8B5-E428-49F7-8177-8BE6BCC8BD0F}" type="presParOf" srcId="{2E81FFEF-D80D-4CE4-BD57-9B365EF6505D}" destId="{3F6650F1-3388-4A11-9672-C4E69EA8E0AB}" srcOrd="1" destOrd="0" presId="urn:microsoft.com/office/officeart/2005/8/layout/hierarchy1"/>
    <dgm:cxn modelId="{BD61EC53-8676-4E14-B459-A47DF1241EDA}" type="presParOf" srcId="{3F6650F1-3388-4A11-9672-C4E69EA8E0AB}" destId="{7866D969-6BB5-41F3-A012-E2C14E28DC50}" srcOrd="0" destOrd="0" presId="urn:microsoft.com/office/officeart/2005/8/layout/hierarchy1"/>
    <dgm:cxn modelId="{3A81E18C-DACA-46CE-8DF4-BEEDC6D4AE03}" type="presParOf" srcId="{3F6650F1-3388-4A11-9672-C4E69EA8E0AB}" destId="{BE4B4D4D-4161-4F20-A746-E86C27BE968D}" srcOrd="1" destOrd="0" presId="urn:microsoft.com/office/officeart/2005/8/layout/hierarchy1"/>
    <dgm:cxn modelId="{C7CB6C13-E8AF-4B94-AB5B-61B3119368A0}" type="presParOf" srcId="{BE4B4D4D-4161-4F20-A746-E86C27BE968D}" destId="{C1E3B303-8916-484A-932E-AA05B8B07326}" srcOrd="0" destOrd="0" presId="urn:microsoft.com/office/officeart/2005/8/layout/hierarchy1"/>
    <dgm:cxn modelId="{1ECABF0A-3EC1-423E-B3CC-2303C0701DD0}" type="presParOf" srcId="{C1E3B303-8916-484A-932E-AA05B8B07326}" destId="{A7763E9B-5265-47C6-911D-03ABAAF28DFC}" srcOrd="0" destOrd="0" presId="urn:microsoft.com/office/officeart/2005/8/layout/hierarchy1"/>
    <dgm:cxn modelId="{78B79A18-1CE0-41DB-A0D2-67E0DD3E4287}" type="presParOf" srcId="{C1E3B303-8916-484A-932E-AA05B8B07326}" destId="{9EB5EC69-8505-4AC8-BCC1-BF0057D02D05}" srcOrd="1" destOrd="0" presId="urn:microsoft.com/office/officeart/2005/8/layout/hierarchy1"/>
    <dgm:cxn modelId="{BCADE7F9-5798-46E1-8EBC-EC551899EE18}" type="presParOf" srcId="{BE4B4D4D-4161-4F20-A746-E86C27BE968D}" destId="{EB993BF9-1E66-488F-B188-75C46E212638}" srcOrd="1" destOrd="0" presId="urn:microsoft.com/office/officeart/2005/8/layout/hierarchy1"/>
    <dgm:cxn modelId="{D1AF7AE4-86F4-4964-BDA1-CE4ACDA8D52E}" type="presParOf" srcId="{3F6650F1-3388-4A11-9672-C4E69EA8E0AB}" destId="{F5208A41-F22E-44A6-8302-0C92F54A873B}" srcOrd="2" destOrd="0" presId="urn:microsoft.com/office/officeart/2005/8/layout/hierarchy1"/>
    <dgm:cxn modelId="{DF36E8D3-3157-49C0-A4AF-4E1DB36EC010}" type="presParOf" srcId="{3F6650F1-3388-4A11-9672-C4E69EA8E0AB}" destId="{CC59A608-9430-48BC-902C-B997D79ED1B4}" srcOrd="3" destOrd="0" presId="urn:microsoft.com/office/officeart/2005/8/layout/hierarchy1"/>
    <dgm:cxn modelId="{88DCF55C-2FF6-477D-A5A8-31789636BDD0}" type="presParOf" srcId="{CC59A608-9430-48BC-902C-B997D79ED1B4}" destId="{CBFFC17B-F26B-4D14-909E-F2F938BF15FC}" srcOrd="0" destOrd="0" presId="urn:microsoft.com/office/officeart/2005/8/layout/hierarchy1"/>
    <dgm:cxn modelId="{E4AE29E0-C3AE-4DDE-AFC0-6DF43B266C95}" type="presParOf" srcId="{CBFFC17B-F26B-4D14-909E-F2F938BF15FC}" destId="{7CBE8B88-D93E-478D-AFC1-5E6C395FF09F}" srcOrd="0" destOrd="0" presId="urn:microsoft.com/office/officeart/2005/8/layout/hierarchy1"/>
    <dgm:cxn modelId="{E81D9B4F-53E6-4AAB-9EB9-4A6056F260A2}" type="presParOf" srcId="{CBFFC17B-F26B-4D14-909E-F2F938BF15FC}" destId="{D77224B0-4A87-4BB8-BD52-E8B7DDCA8A0D}" srcOrd="1" destOrd="0" presId="urn:microsoft.com/office/officeart/2005/8/layout/hierarchy1"/>
    <dgm:cxn modelId="{F5E497AB-DB53-472D-9C1B-B58847118A9E}" type="presParOf" srcId="{CC59A608-9430-48BC-902C-B997D79ED1B4}" destId="{92A2F13C-DEB7-4A6A-81D6-D514E1464A17}" srcOrd="1" destOrd="0" presId="urn:microsoft.com/office/officeart/2005/8/layout/hierarchy1"/>
  </dgm:cxnLst>
  <dgm:bg/>
  <dgm:whole/>
  <dgm:extLst>
    <a:ext uri="http://schemas.microsoft.com/office/drawing/2008/diagram">
      <dsp:dataModelExt xmlns:dsp="http://schemas.microsoft.com/office/drawing/2008/diagram" relId="rId143"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5E82CDAF-3AC5-40EC-9A1A-D53DD83B91D3}" type="doc">
      <dgm:prSet loTypeId="urn:microsoft.com/office/officeart/2005/8/layout/hierarchy1" loCatId="hierarchy" qsTypeId="urn:microsoft.com/office/officeart/2005/8/quickstyle/simple1" qsCatId="simple" csTypeId="urn:microsoft.com/office/officeart/2005/8/colors/accent6_2" csCatId="accent6" phldr="1"/>
      <dgm:spPr/>
      <dgm:t>
        <a:bodyPr/>
        <a:lstStyle/>
        <a:p>
          <a:endParaRPr lang="bg-BG"/>
        </a:p>
      </dgm:t>
    </dgm:pt>
    <dgm:pt modelId="{3AB92C99-58E1-498E-9EF1-A8B7AEB553A5}">
      <dgm:prSet phldrT="[Text]" custT="1"/>
      <dgm:spPr/>
      <dgm:t>
        <a:bodyPr/>
        <a:lstStyle/>
        <a:p>
          <a:r>
            <a:rPr lang="bg-BG" sz="1100"/>
            <a:t>УО на ОПОС 2014-2020</a:t>
          </a:r>
        </a:p>
      </dgm:t>
    </dgm:pt>
    <dgm:pt modelId="{738F09BA-569A-4DEB-85D6-7D742F44E5FA}" type="parTrans" cxnId="{52B5AAEB-7150-4B7B-8B0F-F1933012EECF}">
      <dgm:prSet/>
      <dgm:spPr/>
      <dgm:t>
        <a:bodyPr/>
        <a:lstStyle/>
        <a:p>
          <a:endParaRPr lang="bg-BG" sz="1100"/>
        </a:p>
      </dgm:t>
    </dgm:pt>
    <dgm:pt modelId="{58344323-500D-4C2E-AFF2-C84E1C463DC0}" type="sibTrans" cxnId="{52B5AAEB-7150-4B7B-8B0F-F1933012EECF}">
      <dgm:prSet/>
      <dgm:spPr/>
      <dgm:t>
        <a:bodyPr/>
        <a:lstStyle/>
        <a:p>
          <a:endParaRPr lang="bg-BG" sz="1100"/>
        </a:p>
      </dgm:t>
    </dgm:pt>
    <dgm:pt modelId="{E39C7D32-5A88-460D-8507-60CC1E4E78EA}">
      <dgm:prSet phldrT="[Text]" custT="1"/>
      <dgm:spPr/>
      <dgm:t>
        <a:bodyPr/>
        <a:lstStyle/>
        <a:p>
          <a:r>
            <a:rPr lang="bg-BG" sz="1100"/>
            <a:t>Финансов посредник</a:t>
          </a:r>
        </a:p>
      </dgm:t>
    </dgm:pt>
    <dgm:pt modelId="{52778637-A187-4807-A4AF-78F1A5A7B052}" type="parTrans" cxnId="{4FEBF93B-FFE6-45D4-AE60-45A945FA880C}">
      <dgm:prSet/>
      <dgm:spPr/>
      <dgm:t>
        <a:bodyPr/>
        <a:lstStyle/>
        <a:p>
          <a:endParaRPr lang="bg-BG" sz="1100"/>
        </a:p>
      </dgm:t>
    </dgm:pt>
    <dgm:pt modelId="{26B2CF2C-CA30-4F27-995A-FBF2B7E16533}" type="sibTrans" cxnId="{4FEBF93B-FFE6-45D4-AE60-45A945FA880C}">
      <dgm:prSet/>
      <dgm:spPr/>
      <dgm:t>
        <a:bodyPr/>
        <a:lstStyle/>
        <a:p>
          <a:endParaRPr lang="bg-BG" sz="1100"/>
        </a:p>
      </dgm:t>
    </dgm:pt>
    <dgm:pt modelId="{F0A6D1B8-000E-4941-B68D-E20E13105692}">
      <dgm:prSet phldrT="[Text]" custT="1"/>
      <dgm:spPr/>
      <dgm:t>
        <a:bodyPr/>
        <a:lstStyle/>
        <a:p>
          <a:r>
            <a:rPr lang="bg-BG" sz="1100"/>
            <a:t>Гаранции</a:t>
          </a:r>
        </a:p>
      </dgm:t>
    </dgm:pt>
    <dgm:pt modelId="{5E0BF77C-16C9-4B0F-B99C-2621035F458F}" type="parTrans" cxnId="{06746538-9227-4B08-8A5B-E31300D0BC7F}">
      <dgm:prSet/>
      <dgm:spPr/>
      <dgm:t>
        <a:bodyPr/>
        <a:lstStyle/>
        <a:p>
          <a:endParaRPr lang="bg-BG" sz="1100"/>
        </a:p>
      </dgm:t>
    </dgm:pt>
    <dgm:pt modelId="{EDA02928-4EF7-40B9-8D99-688ABDEF7270}" type="sibTrans" cxnId="{06746538-9227-4B08-8A5B-E31300D0BC7F}">
      <dgm:prSet/>
      <dgm:spPr/>
      <dgm:t>
        <a:bodyPr/>
        <a:lstStyle/>
        <a:p>
          <a:endParaRPr lang="bg-BG" sz="1100"/>
        </a:p>
      </dgm:t>
    </dgm:pt>
    <dgm:pt modelId="{4DAE21C2-D7A9-48D3-8FBF-417DD714CE02}">
      <dgm:prSet phldrT="[Text]" custT="1"/>
      <dgm:spPr/>
      <dgm:t>
        <a:bodyPr/>
        <a:lstStyle/>
        <a:p>
          <a:r>
            <a:rPr lang="bg-BG" sz="1100"/>
            <a:t>МФИ чрез търговски банки</a:t>
          </a:r>
        </a:p>
        <a:p>
          <a:r>
            <a:rPr lang="bg-BG" sz="1100"/>
            <a:t>Търговски банки</a:t>
          </a:r>
        </a:p>
      </dgm:t>
    </dgm:pt>
    <dgm:pt modelId="{B9F206F2-972E-4A2F-89D0-E6594B93B015}" type="parTrans" cxnId="{BFCFCFA0-E8C5-4FE8-AEC1-431EF3FBB790}">
      <dgm:prSet/>
      <dgm:spPr/>
      <dgm:t>
        <a:bodyPr/>
        <a:lstStyle/>
        <a:p>
          <a:endParaRPr lang="bg-BG"/>
        </a:p>
      </dgm:t>
    </dgm:pt>
    <dgm:pt modelId="{E5F7009F-A3A4-4DA8-93A2-6D66886FB81F}" type="sibTrans" cxnId="{BFCFCFA0-E8C5-4FE8-AEC1-431EF3FBB790}">
      <dgm:prSet/>
      <dgm:spPr/>
      <dgm:t>
        <a:bodyPr/>
        <a:lstStyle/>
        <a:p>
          <a:endParaRPr lang="bg-BG"/>
        </a:p>
      </dgm:t>
    </dgm:pt>
    <dgm:pt modelId="{543ABD03-F165-41F8-AD90-1A62D7F761DE}" type="pres">
      <dgm:prSet presAssocID="{5E82CDAF-3AC5-40EC-9A1A-D53DD83B91D3}" presName="hierChild1" presStyleCnt="0">
        <dgm:presLayoutVars>
          <dgm:chPref val="1"/>
          <dgm:dir/>
          <dgm:animOne val="branch"/>
          <dgm:animLvl val="lvl"/>
          <dgm:resizeHandles/>
        </dgm:presLayoutVars>
      </dgm:prSet>
      <dgm:spPr/>
      <dgm:t>
        <a:bodyPr/>
        <a:lstStyle/>
        <a:p>
          <a:endParaRPr lang="bg-BG"/>
        </a:p>
      </dgm:t>
    </dgm:pt>
    <dgm:pt modelId="{00D20620-B872-4B49-A588-A356C253547B}" type="pres">
      <dgm:prSet presAssocID="{3AB92C99-58E1-498E-9EF1-A8B7AEB553A5}" presName="hierRoot1" presStyleCnt="0"/>
      <dgm:spPr/>
    </dgm:pt>
    <dgm:pt modelId="{8B7892B5-8C85-4360-AD17-6A460D8B903A}" type="pres">
      <dgm:prSet presAssocID="{3AB92C99-58E1-498E-9EF1-A8B7AEB553A5}" presName="composite" presStyleCnt="0"/>
      <dgm:spPr/>
    </dgm:pt>
    <dgm:pt modelId="{077AF472-57B9-463C-A259-E7203160867B}" type="pres">
      <dgm:prSet presAssocID="{3AB92C99-58E1-498E-9EF1-A8B7AEB553A5}" presName="background" presStyleLbl="node0" presStyleIdx="0" presStyleCnt="1"/>
      <dgm:spPr/>
    </dgm:pt>
    <dgm:pt modelId="{E2763386-5CE9-465C-9D56-CDE9827FF92E}" type="pres">
      <dgm:prSet presAssocID="{3AB92C99-58E1-498E-9EF1-A8B7AEB553A5}" presName="text" presStyleLbl="fgAcc0" presStyleIdx="0" presStyleCnt="1" custLinFactY="-15063" custLinFactNeighborX="0" custLinFactNeighborY="-100000">
        <dgm:presLayoutVars>
          <dgm:chPref val="3"/>
        </dgm:presLayoutVars>
      </dgm:prSet>
      <dgm:spPr/>
      <dgm:t>
        <a:bodyPr/>
        <a:lstStyle/>
        <a:p>
          <a:endParaRPr lang="bg-BG"/>
        </a:p>
      </dgm:t>
    </dgm:pt>
    <dgm:pt modelId="{F9AC5C44-CB76-4025-99B7-680F7887CFD1}" type="pres">
      <dgm:prSet presAssocID="{3AB92C99-58E1-498E-9EF1-A8B7AEB553A5}" presName="hierChild2" presStyleCnt="0"/>
      <dgm:spPr/>
    </dgm:pt>
    <dgm:pt modelId="{88215ED3-8E9F-4015-99E0-70B4C8A55F77}" type="pres">
      <dgm:prSet presAssocID="{52778637-A187-4807-A4AF-78F1A5A7B052}" presName="Name10" presStyleLbl="parChTrans1D2" presStyleIdx="0" presStyleCnt="1"/>
      <dgm:spPr/>
      <dgm:t>
        <a:bodyPr/>
        <a:lstStyle/>
        <a:p>
          <a:endParaRPr lang="bg-BG"/>
        </a:p>
      </dgm:t>
    </dgm:pt>
    <dgm:pt modelId="{9FA27E84-4AE3-41F9-BC17-9B84FF3071EB}" type="pres">
      <dgm:prSet presAssocID="{E39C7D32-5A88-460D-8507-60CC1E4E78EA}" presName="hierRoot2" presStyleCnt="0"/>
      <dgm:spPr/>
    </dgm:pt>
    <dgm:pt modelId="{36913B37-D5B3-4DA7-9C61-4716A31C2B1C}" type="pres">
      <dgm:prSet presAssocID="{E39C7D32-5A88-460D-8507-60CC1E4E78EA}" presName="composite2" presStyleCnt="0"/>
      <dgm:spPr/>
    </dgm:pt>
    <dgm:pt modelId="{97B1EC78-0037-4DEA-96D1-C6B8D56BE9C9}" type="pres">
      <dgm:prSet presAssocID="{E39C7D32-5A88-460D-8507-60CC1E4E78EA}" presName="background2" presStyleLbl="node2" presStyleIdx="0" presStyleCnt="1"/>
      <dgm:spPr/>
    </dgm:pt>
    <dgm:pt modelId="{75858EC8-49FD-4DA5-A896-A1E15DEEE0F7}" type="pres">
      <dgm:prSet presAssocID="{E39C7D32-5A88-460D-8507-60CC1E4E78EA}" presName="text2" presStyleLbl="fgAcc2" presStyleIdx="0" presStyleCnt="1" custLinFactNeighborY="-9151">
        <dgm:presLayoutVars>
          <dgm:chPref val="3"/>
        </dgm:presLayoutVars>
      </dgm:prSet>
      <dgm:spPr/>
      <dgm:t>
        <a:bodyPr/>
        <a:lstStyle/>
        <a:p>
          <a:endParaRPr lang="bg-BG"/>
        </a:p>
      </dgm:t>
    </dgm:pt>
    <dgm:pt modelId="{A20BA317-7D9E-4E64-9018-A17F68016D35}" type="pres">
      <dgm:prSet presAssocID="{E39C7D32-5A88-460D-8507-60CC1E4E78EA}" presName="hierChild3" presStyleCnt="0"/>
      <dgm:spPr/>
    </dgm:pt>
    <dgm:pt modelId="{E8B641D3-B646-494B-BFD4-8E54EAC1CF00}" type="pres">
      <dgm:prSet presAssocID="{5E0BF77C-16C9-4B0F-B99C-2621035F458F}" presName="Name17" presStyleLbl="parChTrans1D3" presStyleIdx="0" presStyleCnt="1"/>
      <dgm:spPr/>
      <dgm:t>
        <a:bodyPr/>
        <a:lstStyle/>
        <a:p>
          <a:endParaRPr lang="bg-BG"/>
        </a:p>
      </dgm:t>
    </dgm:pt>
    <dgm:pt modelId="{DF3F5D79-E217-4EC0-A370-9B2E2105E489}" type="pres">
      <dgm:prSet presAssocID="{F0A6D1B8-000E-4941-B68D-E20E13105692}" presName="hierRoot3" presStyleCnt="0"/>
      <dgm:spPr/>
    </dgm:pt>
    <dgm:pt modelId="{3AEE0A52-8DFB-4D84-B19D-135C468F66BE}" type="pres">
      <dgm:prSet presAssocID="{F0A6D1B8-000E-4941-B68D-E20E13105692}" presName="composite3" presStyleCnt="0"/>
      <dgm:spPr/>
    </dgm:pt>
    <dgm:pt modelId="{97E0A53A-D289-45CF-AA46-493001FD6EE8}" type="pres">
      <dgm:prSet presAssocID="{F0A6D1B8-000E-4941-B68D-E20E13105692}" presName="background3" presStyleLbl="node3" presStyleIdx="0" presStyleCnt="1"/>
      <dgm:spPr/>
    </dgm:pt>
    <dgm:pt modelId="{D40C4D0E-4840-4734-BCAF-6799E45DB0EB}" type="pres">
      <dgm:prSet presAssocID="{F0A6D1B8-000E-4941-B68D-E20E13105692}" presName="text3" presStyleLbl="fgAcc3" presStyleIdx="0" presStyleCnt="1" custLinFactNeighborY="-3213">
        <dgm:presLayoutVars>
          <dgm:chPref val="3"/>
        </dgm:presLayoutVars>
      </dgm:prSet>
      <dgm:spPr/>
      <dgm:t>
        <a:bodyPr/>
        <a:lstStyle/>
        <a:p>
          <a:endParaRPr lang="bg-BG"/>
        </a:p>
      </dgm:t>
    </dgm:pt>
    <dgm:pt modelId="{C492CF3E-6DA4-4C78-AD26-14B1652CE15A}" type="pres">
      <dgm:prSet presAssocID="{F0A6D1B8-000E-4941-B68D-E20E13105692}" presName="hierChild4" presStyleCnt="0"/>
      <dgm:spPr/>
    </dgm:pt>
    <dgm:pt modelId="{CF7267FE-B404-46D9-826F-F5DAEB954767}" type="pres">
      <dgm:prSet presAssocID="{B9F206F2-972E-4A2F-89D0-E6594B93B015}" presName="Name23" presStyleLbl="parChTrans1D4" presStyleIdx="0" presStyleCnt="1"/>
      <dgm:spPr/>
      <dgm:t>
        <a:bodyPr/>
        <a:lstStyle/>
        <a:p>
          <a:endParaRPr lang="bg-BG"/>
        </a:p>
      </dgm:t>
    </dgm:pt>
    <dgm:pt modelId="{D8203DF9-B592-40D4-B697-0C3218CC7C5D}" type="pres">
      <dgm:prSet presAssocID="{4DAE21C2-D7A9-48D3-8FBF-417DD714CE02}" presName="hierRoot4" presStyleCnt="0"/>
      <dgm:spPr/>
    </dgm:pt>
    <dgm:pt modelId="{FC12B952-58B3-4FA2-8528-DB76A58D534A}" type="pres">
      <dgm:prSet presAssocID="{4DAE21C2-D7A9-48D3-8FBF-417DD714CE02}" presName="composite4" presStyleCnt="0"/>
      <dgm:spPr/>
    </dgm:pt>
    <dgm:pt modelId="{6DFD699B-2BE0-4ED4-B9B5-60643E81DE3A}" type="pres">
      <dgm:prSet presAssocID="{4DAE21C2-D7A9-48D3-8FBF-417DD714CE02}" presName="background4" presStyleLbl="node4" presStyleIdx="0" presStyleCnt="1"/>
      <dgm:spPr/>
    </dgm:pt>
    <dgm:pt modelId="{090BBF5B-BD7B-4840-87C9-ACE4CD309814}" type="pres">
      <dgm:prSet presAssocID="{4DAE21C2-D7A9-48D3-8FBF-417DD714CE02}" presName="text4" presStyleLbl="fgAcc4" presStyleIdx="0" presStyleCnt="1">
        <dgm:presLayoutVars>
          <dgm:chPref val="3"/>
        </dgm:presLayoutVars>
      </dgm:prSet>
      <dgm:spPr/>
      <dgm:t>
        <a:bodyPr/>
        <a:lstStyle/>
        <a:p>
          <a:endParaRPr lang="bg-BG"/>
        </a:p>
      </dgm:t>
    </dgm:pt>
    <dgm:pt modelId="{E00843FB-0DA6-403E-BEA4-4CC3C42AA85B}" type="pres">
      <dgm:prSet presAssocID="{4DAE21C2-D7A9-48D3-8FBF-417DD714CE02}" presName="hierChild5" presStyleCnt="0"/>
      <dgm:spPr/>
    </dgm:pt>
  </dgm:ptLst>
  <dgm:cxnLst>
    <dgm:cxn modelId="{27039435-35EF-4F5A-B088-DB8164255860}" type="presOf" srcId="{4DAE21C2-D7A9-48D3-8FBF-417DD714CE02}" destId="{090BBF5B-BD7B-4840-87C9-ACE4CD309814}" srcOrd="0" destOrd="0" presId="urn:microsoft.com/office/officeart/2005/8/layout/hierarchy1"/>
    <dgm:cxn modelId="{FF0C968B-8B4D-44C0-8947-55CF18CB9733}" type="presOf" srcId="{5E82CDAF-3AC5-40EC-9A1A-D53DD83B91D3}" destId="{543ABD03-F165-41F8-AD90-1A62D7F761DE}" srcOrd="0" destOrd="0" presId="urn:microsoft.com/office/officeart/2005/8/layout/hierarchy1"/>
    <dgm:cxn modelId="{BFCFCFA0-E8C5-4FE8-AEC1-431EF3FBB790}" srcId="{F0A6D1B8-000E-4941-B68D-E20E13105692}" destId="{4DAE21C2-D7A9-48D3-8FBF-417DD714CE02}" srcOrd="0" destOrd="0" parTransId="{B9F206F2-972E-4A2F-89D0-E6594B93B015}" sibTransId="{E5F7009F-A3A4-4DA8-93A2-6D66886FB81F}"/>
    <dgm:cxn modelId="{2DE74F83-3A81-4B12-B037-3B3D5E97AA52}" type="presOf" srcId="{E39C7D32-5A88-460D-8507-60CC1E4E78EA}" destId="{75858EC8-49FD-4DA5-A896-A1E15DEEE0F7}" srcOrd="0" destOrd="0" presId="urn:microsoft.com/office/officeart/2005/8/layout/hierarchy1"/>
    <dgm:cxn modelId="{75436CF0-D761-4C97-8A9B-11129C7DC7A8}" type="presOf" srcId="{F0A6D1B8-000E-4941-B68D-E20E13105692}" destId="{D40C4D0E-4840-4734-BCAF-6799E45DB0EB}" srcOrd="0" destOrd="0" presId="urn:microsoft.com/office/officeart/2005/8/layout/hierarchy1"/>
    <dgm:cxn modelId="{52B5AAEB-7150-4B7B-8B0F-F1933012EECF}" srcId="{5E82CDAF-3AC5-40EC-9A1A-D53DD83B91D3}" destId="{3AB92C99-58E1-498E-9EF1-A8B7AEB553A5}" srcOrd="0" destOrd="0" parTransId="{738F09BA-569A-4DEB-85D6-7D742F44E5FA}" sibTransId="{58344323-500D-4C2E-AFF2-C84E1C463DC0}"/>
    <dgm:cxn modelId="{0972B7D3-AC5E-4F6D-9936-B8EA2E4045A5}" type="presOf" srcId="{5E0BF77C-16C9-4B0F-B99C-2621035F458F}" destId="{E8B641D3-B646-494B-BFD4-8E54EAC1CF00}" srcOrd="0" destOrd="0" presId="urn:microsoft.com/office/officeart/2005/8/layout/hierarchy1"/>
    <dgm:cxn modelId="{4FEBF93B-FFE6-45D4-AE60-45A945FA880C}" srcId="{3AB92C99-58E1-498E-9EF1-A8B7AEB553A5}" destId="{E39C7D32-5A88-460D-8507-60CC1E4E78EA}" srcOrd="0" destOrd="0" parTransId="{52778637-A187-4807-A4AF-78F1A5A7B052}" sibTransId="{26B2CF2C-CA30-4F27-995A-FBF2B7E16533}"/>
    <dgm:cxn modelId="{55CAD673-7DFC-455C-A51F-058BCC1F33EF}" type="presOf" srcId="{3AB92C99-58E1-498E-9EF1-A8B7AEB553A5}" destId="{E2763386-5CE9-465C-9D56-CDE9827FF92E}" srcOrd="0" destOrd="0" presId="urn:microsoft.com/office/officeart/2005/8/layout/hierarchy1"/>
    <dgm:cxn modelId="{5F36A6C9-DA6C-4E92-B403-E931B29FFF26}" type="presOf" srcId="{52778637-A187-4807-A4AF-78F1A5A7B052}" destId="{88215ED3-8E9F-4015-99E0-70B4C8A55F77}" srcOrd="0" destOrd="0" presId="urn:microsoft.com/office/officeart/2005/8/layout/hierarchy1"/>
    <dgm:cxn modelId="{8D8F8BD8-B9B0-42F0-A12C-A5AFAB1516B2}" type="presOf" srcId="{B9F206F2-972E-4A2F-89D0-E6594B93B015}" destId="{CF7267FE-B404-46D9-826F-F5DAEB954767}" srcOrd="0" destOrd="0" presId="urn:microsoft.com/office/officeart/2005/8/layout/hierarchy1"/>
    <dgm:cxn modelId="{06746538-9227-4B08-8A5B-E31300D0BC7F}" srcId="{E39C7D32-5A88-460D-8507-60CC1E4E78EA}" destId="{F0A6D1B8-000E-4941-B68D-E20E13105692}" srcOrd="0" destOrd="0" parTransId="{5E0BF77C-16C9-4B0F-B99C-2621035F458F}" sibTransId="{EDA02928-4EF7-40B9-8D99-688ABDEF7270}"/>
    <dgm:cxn modelId="{9C04678E-EEE2-415E-9187-3794915BB001}" type="presParOf" srcId="{543ABD03-F165-41F8-AD90-1A62D7F761DE}" destId="{00D20620-B872-4B49-A588-A356C253547B}" srcOrd="0" destOrd="0" presId="urn:microsoft.com/office/officeart/2005/8/layout/hierarchy1"/>
    <dgm:cxn modelId="{3DF73FEF-AAC6-4C65-8B8A-8355476858B3}" type="presParOf" srcId="{00D20620-B872-4B49-A588-A356C253547B}" destId="{8B7892B5-8C85-4360-AD17-6A460D8B903A}" srcOrd="0" destOrd="0" presId="urn:microsoft.com/office/officeart/2005/8/layout/hierarchy1"/>
    <dgm:cxn modelId="{C8FEC27F-9130-447C-913D-C9190795B110}" type="presParOf" srcId="{8B7892B5-8C85-4360-AD17-6A460D8B903A}" destId="{077AF472-57B9-463C-A259-E7203160867B}" srcOrd="0" destOrd="0" presId="urn:microsoft.com/office/officeart/2005/8/layout/hierarchy1"/>
    <dgm:cxn modelId="{2ED09D6F-DB98-45A4-BDD2-259F4A759617}" type="presParOf" srcId="{8B7892B5-8C85-4360-AD17-6A460D8B903A}" destId="{E2763386-5CE9-465C-9D56-CDE9827FF92E}" srcOrd="1" destOrd="0" presId="urn:microsoft.com/office/officeart/2005/8/layout/hierarchy1"/>
    <dgm:cxn modelId="{3AFAA470-D0D4-40DC-A0C0-AB0C52DB5ABC}" type="presParOf" srcId="{00D20620-B872-4B49-A588-A356C253547B}" destId="{F9AC5C44-CB76-4025-99B7-680F7887CFD1}" srcOrd="1" destOrd="0" presId="urn:microsoft.com/office/officeart/2005/8/layout/hierarchy1"/>
    <dgm:cxn modelId="{781ECDF3-0ABA-4EB4-BDB5-3F12661254B7}" type="presParOf" srcId="{F9AC5C44-CB76-4025-99B7-680F7887CFD1}" destId="{88215ED3-8E9F-4015-99E0-70B4C8A55F77}" srcOrd="0" destOrd="0" presId="urn:microsoft.com/office/officeart/2005/8/layout/hierarchy1"/>
    <dgm:cxn modelId="{F1C38C78-2796-4CBC-B1B0-5E0D01A60C51}" type="presParOf" srcId="{F9AC5C44-CB76-4025-99B7-680F7887CFD1}" destId="{9FA27E84-4AE3-41F9-BC17-9B84FF3071EB}" srcOrd="1" destOrd="0" presId="urn:microsoft.com/office/officeart/2005/8/layout/hierarchy1"/>
    <dgm:cxn modelId="{2F3A8EC3-DDD3-453F-8F86-3C0FDB9E7ED0}" type="presParOf" srcId="{9FA27E84-4AE3-41F9-BC17-9B84FF3071EB}" destId="{36913B37-D5B3-4DA7-9C61-4716A31C2B1C}" srcOrd="0" destOrd="0" presId="urn:microsoft.com/office/officeart/2005/8/layout/hierarchy1"/>
    <dgm:cxn modelId="{9ED0C087-1957-4785-880C-519F8A06F5F1}" type="presParOf" srcId="{36913B37-D5B3-4DA7-9C61-4716A31C2B1C}" destId="{97B1EC78-0037-4DEA-96D1-C6B8D56BE9C9}" srcOrd="0" destOrd="0" presId="urn:microsoft.com/office/officeart/2005/8/layout/hierarchy1"/>
    <dgm:cxn modelId="{D42FF7C8-7BC9-4131-982A-1CF7105227F8}" type="presParOf" srcId="{36913B37-D5B3-4DA7-9C61-4716A31C2B1C}" destId="{75858EC8-49FD-4DA5-A896-A1E15DEEE0F7}" srcOrd="1" destOrd="0" presId="urn:microsoft.com/office/officeart/2005/8/layout/hierarchy1"/>
    <dgm:cxn modelId="{7A89A122-E099-4155-B5BC-A18447A017E8}" type="presParOf" srcId="{9FA27E84-4AE3-41F9-BC17-9B84FF3071EB}" destId="{A20BA317-7D9E-4E64-9018-A17F68016D35}" srcOrd="1" destOrd="0" presId="urn:microsoft.com/office/officeart/2005/8/layout/hierarchy1"/>
    <dgm:cxn modelId="{B9D45871-DAB9-4971-BC71-15B1E2773773}" type="presParOf" srcId="{A20BA317-7D9E-4E64-9018-A17F68016D35}" destId="{E8B641D3-B646-494B-BFD4-8E54EAC1CF00}" srcOrd="0" destOrd="0" presId="urn:microsoft.com/office/officeart/2005/8/layout/hierarchy1"/>
    <dgm:cxn modelId="{5698E123-BD43-488E-AD28-BB9E1937C447}" type="presParOf" srcId="{A20BA317-7D9E-4E64-9018-A17F68016D35}" destId="{DF3F5D79-E217-4EC0-A370-9B2E2105E489}" srcOrd="1" destOrd="0" presId="urn:microsoft.com/office/officeart/2005/8/layout/hierarchy1"/>
    <dgm:cxn modelId="{FA83E659-AA92-4160-B95E-D01E782615E0}" type="presParOf" srcId="{DF3F5D79-E217-4EC0-A370-9B2E2105E489}" destId="{3AEE0A52-8DFB-4D84-B19D-135C468F66BE}" srcOrd="0" destOrd="0" presId="urn:microsoft.com/office/officeart/2005/8/layout/hierarchy1"/>
    <dgm:cxn modelId="{DE98E4FF-CBB9-4961-8532-D48534238D9C}" type="presParOf" srcId="{3AEE0A52-8DFB-4D84-B19D-135C468F66BE}" destId="{97E0A53A-D289-45CF-AA46-493001FD6EE8}" srcOrd="0" destOrd="0" presId="urn:microsoft.com/office/officeart/2005/8/layout/hierarchy1"/>
    <dgm:cxn modelId="{1A4DE919-CD15-4256-947A-5E4F1723ABA1}" type="presParOf" srcId="{3AEE0A52-8DFB-4D84-B19D-135C468F66BE}" destId="{D40C4D0E-4840-4734-BCAF-6799E45DB0EB}" srcOrd="1" destOrd="0" presId="urn:microsoft.com/office/officeart/2005/8/layout/hierarchy1"/>
    <dgm:cxn modelId="{2E6C5DC7-55B2-4274-A4F0-5AA20D1ECF3F}" type="presParOf" srcId="{DF3F5D79-E217-4EC0-A370-9B2E2105E489}" destId="{C492CF3E-6DA4-4C78-AD26-14B1652CE15A}" srcOrd="1" destOrd="0" presId="urn:microsoft.com/office/officeart/2005/8/layout/hierarchy1"/>
    <dgm:cxn modelId="{FA0F530D-ADBA-4B31-A788-3B86ABDEF0C9}" type="presParOf" srcId="{C492CF3E-6DA4-4C78-AD26-14B1652CE15A}" destId="{CF7267FE-B404-46D9-826F-F5DAEB954767}" srcOrd="0" destOrd="0" presId="urn:microsoft.com/office/officeart/2005/8/layout/hierarchy1"/>
    <dgm:cxn modelId="{4D0A094C-BC10-4764-958C-6BD95A06E562}" type="presParOf" srcId="{C492CF3E-6DA4-4C78-AD26-14B1652CE15A}" destId="{D8203DF9-B592-40D4-B697-0C3218CC7C5D}" srcOrd="1" destOrd="0" presId="urn:microsoft.com/office/officeart/2005/8/layout/hierarchy1"/>
    <dgm:cxn modelId="{24D7DB93-75ED-46B7-BE35-E873443ED5A5}" type="presParOf" srcId="{D8203DF9-B592-40D4-B697-0C3218CC7C5D}" destId="{FC12B952-58B3-4FA2-8528-DB76A58D534A}" srcOrd="0" destOrd="0" presId="urn:microsoft.com/office/officeart/2005/8/layout/hierarchy1"/>
    <dgm:cxn modelId="{08AA2A1D-51D9-4502-A692-44BD8EED4172}" type="presParOf" srcId="{FC12B952-58B3-4FA2-8528-DB76A58D534A}" destId="{6DFD699B-2BE0-4ED4-B9B5-60643E81DE3A}" srcOrd="0" destOrd="0" presId="urn:microsoft.com/office/officeart/2005/8/layout/hierarchy1"/>
    <dgm:cxn modelId="{19F318F1-1215-4148-A1DA-125A55C78A68}" type="presParOf" srcId="{FC12B952-58B3-4FA2-8528-DB76A58D534A}" destId="{090BBF5B-BD7B-4840-87C9-ACE4CD309814}" srcOrd="1" destOrd="0" presId="urn:microsoft.com/office/officeart/2005/8/layout/hierarchy1"/>
    <dgm:cxn modelId="{8C383986-5BE1-46B3-BE4B-32149FE422EA}" type="presParOf" srcId="{D8203DF9-B592-40D4-B697-0C3218CC7C5D}" destId="{E00843FB-0DA6-403E-BEA4-4CC3C42AA85B}" srcOrd="1" destOrd="0" presId="urn:microsoft.com/office/officeart/2005/8/layout/hierarchy1"/>
  </dgm:cxnLst>
  <dgm:bg/>
  <dgm:whole/>
  <dgm:extLst>
    <a:ext uri="http://schemas.microsoft.com/office/drawing/2008/diagram">
      <dsp:dataModelExt xmlns:dsp="http://schemas.microsoft.com/office/drawing/2008/diagram" relId="rId148"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B91B234F-24C5-4349-A473-ECD45D0BC880}" type="doc">
      <dgm:prSet loTypeId="urn:microsoft.com/office/officeart/2005/8/layout/hProcess9" loCatId="process" qsTypeId="urn:microsoft.com/office/officeart/2005/8/quickstyle/simple1" qsCatId="simple" csTypeId="urn:microsoft.com/office/officeart/2005/8/colors/colorful5" csCatId="colorful" phldr="1"/>
      <dgm:spPr/>
    </dgm:pt>
    <dgm:pt modelId="{BC98CD3D-1B5B-4E41-8E25-471893FEAEBF}">
      <dgm:prSet phldrT="[Text]"/>
      <dgm:spPr/>
      <dgm:t>
        <a:bodyPr/>
        <a:lstStyle/>
        <a:p>
          <a:r>
            <a:rPr lang="bg-BG" b="1"/>
            <a:t>Събиране на информация</a:t>
          </a:r>
        </a:p>
        <a:p>
          <a:r>
            <a:rPr lang="bg-BG"/>
            <a:t>Събиране на налична информация за предишен опит от вече разработени и внедрени финансови инструменти</a:t>
          </a:r>
        </a:p>
      </dgm:t>
    </dgm:pt>
    <dgm:pt modelId="{CC64D9D4-6B7D-42C8-94CF-B420EBF41E01}" type="parTrans" cxnId="{2B247DCE-7E17-4320-9812-FCA1A5F06070}">
      <dgm:prSet/>
      <dgm:spPr/>
      <dgm:t>
        <a:bodyPr/>
        <a:lstStyle/>
        <a:p>
          <a:endParaRPr lang="bg-BG"/>
        </a:p>
      </dgm:t>
    </dgm:pt>
    <dgm:pt modelId="{09735B68-BC06-466A-9551-3C9797CF7881}" type="sibTrans" cxnId="{2B247DCE-7E17-4320-9812-FCA1A5F06070}">
      <dgm:prSet/>
      <dgm:spPr/>
      <dgm:t>
        <a:bodyPr/>
        <a:lstStyle/>
        <a:p>
          <a:endParaRPr lang="bg-BG"/>
        </a:p>
      </dgm:t>
    </dgm:pt>
    <dgm:pt modelId="{3E18CBB6-F887-4C4C-A56A-00B881D8EF63}">
      <dgm:prSet phldrT="[Text]"/>
      <dgm:spPr/>
      <dgm:t>
        <a:bodyPr/>
        <a:lstStyle/>
        <a:p>
          <a:r>
            <a:rPr lang="bg-BG" b="1"/>
            <a:t>Фктори за успех</a:t>
          </a:r>
        </a:p>
        <a:p>
          <a:r>
            <a:rPr lang="bg-BG"/>
            <a:t>Идентифициране на основните фактори за успех и предивзикателства на база предишен опит </a:t>
          </a:r>
        </a:p>
      </dgm:t>
    </dgm:pt>
    <dgm:pt modelId="{BD2F8034-6DB5-435E-884E-9E4F17F0B678}" type="parTrans" cxnId="{AA3EAE0A-C76B-4BD8-A659-70FFBDCC1A7A}">
      <dgm:prSet/>
      <dgm:spPr/>
      <dgm:t>
        <a:bodyPr/>
        <a:lstStyle/>
        <a:p>
          <a:endParaRPr lang="bg-BG"/>
        </a:p>
      </dgm:t>
    </dgm:pt>
    <dgm:pt modelId="{6AEC29EB-1913-4B94-B559-EF57B3381A62}" type="sibTrans" cxnId="{AA3EAE0A-C76B-4BD8-A659-70FFBDCC1A7A}">
      <dgm:prSet/>
      <dgm:spPr/>
      <dgm:t>
        <a:bodyPr/>
        <a:lstStyle/>
        <a:p>
          <a:endParaRPr lang="bg-BG"/>
        </a:p>
      </dgm:t>
    </dgm:pt>
    <dgm:pt modelId="{F840007E-110C-4B37-BB18-2031670652DF}">
      <dgm:prSet phldrT="[Text]"/>
      <dgm:spPr/>
      <dgm:t>
        <a:bodyPr/>
        <a:lstStyle/>
        <a:p>
          <a:r>
            <a:rPr lang="bg-BG" b="1"/>
            <a:t>Подобряване на изпълнението</a:t>
          </a:r>
        </a:p>
        <a:p>
          <a:r>
            <a:rPr lang="bg-BG"/>
            <a:t>Използване на събраната информация за подобряване изпълнението на предвидените ФИ</a:t>
          </a:r>
        </a:p>
      </dgm:t>
    </dgm:pt>
    <dgm:pt modelId="{A6C96FB2-8CDD-4A84-90F1-4B464090ADF9}" type="parTrans" cxnId="{F5F5D1D0-9558-4805-96B5-E810EFEB359F}">
      <dgm:prSet/>
      <dgm:spPr/>
      <dgm:t>
        <a:bodyPr/>
        <a:lstStyle/>
        <a:p>
          <a:endParaRPr lang="bg-BG"/>
        </a:p>
      </dgm:t>
    </dgm:pt>
    <dgm:pt modelId="{4CFD7DBB-73E8-4FBB-B654-FBA896DE2EB4}" type="sibTrans" cxnId="{F5F5D1D0-9558-4805-96B5-E810EFEB359F}">
      <dgm:prSet/>
      <dgm:spPr/>
      <dgm:t>
        <a:bodyPr/>
        <a:lstStyle/>
        <a:p>
          <a:endParaRPr lang="bg-BG"/>
        </a:p>
      </dgm:t>
    </dgm:pt>
    <dgm:pt modelId="{B508B459-68F0-4BA7-88AE-EAB5B1E9113F}" type="pres">
      <dgm:prSet presAssocID="{B91B234F-24C5-4349-A473-ECD45D0BC880}" presName="CompostProcess" presStyleCnt="0">
        <dgm:presLayoutVars>
          <dgm:dir/>
          <dgm:resizeHandles val="exact"/>
        </dgm:presLayoutVars>
      </dgm:prSet>
      <dgm:spPr/>
    </dgm:pt>
    <dgm:pt modelId="{29A048EA-013C-4B38-A7E3-976549FA5852}" type="pres">
      <dgm:prSet presAssocID="{B91B234F-24C5-4349-A473-ECD45D0BC880}" presName="arrow" presStyleLbl="bgShp" presStyleIdx="0" presStyleCnt="1"/>
      <dgm:spPr/>
    </dgm:pt>
    <dgm:pt modelId="{146B99E9-3F99-4709-82F5-BA6101A56E7E}" type="pres">
      <dgm:prSet presAssocID="{B91B234F-24C5-4349-A473-ECD45D0BC880}" presName="linearProcess" presStyleCnt="0"/>
      <dgm:spPr/>
    </dgm:pt>
    <dgm:pt modelId="{D31D9A46-2C88-44AF-A09D-739E8672297F}" type="pres">
      <dgm:prSet presAssocID="{BC98CD3D-1B5B-4E41-8E25-471893FEAEBF}" presName="textNode" presStyleLbl="node1" presStyleIdx="0" presStyleCnt="3">
        <dgm:presLayoutVars>
          <dgm:bulletEnabled val="1"/>
        </dgm:presLayoutVars>
      </dgm:prSet>
      <dgm:spPr/>
      <dgm:t>
        <a:bodyPr/>
        <a:lstStyle/>
        <a:p>
          <a:endParaRPr lang="bg-BG"/>
        </a:p>
      </dgm:t>
    </dgm:pt>
    <dgm:pt modelId="{86DB3E1F-8215-4893-A5DF-19120A571FB4}" type="pres">
      <dgm:prSet presAssocID="{09735B68-BC06-466A-9551-3C9797CF7881}" presName="sibTrans" presStyleCnt="0"/>
      <dgm:spPr/>
    </dgm:pt>
    <dgm:pt modelId="{0D9F8E2E-6957-41C8-A455-85B17F554EE2}" type="pres">
      <dgm:prSet presAssocID="{3E18CBB6-F887-4C4C-A56A-00B881D8EF63}" presName="textNode" presStyleLbl="node1" presStyleIdx="1" presStyleCnt="3">
        <dgm:presLayoutVars>
          <dgm:bulletEnabled val="1"/>
        </dgm:presLayoutVars>
      </dgm:prSet>
      <dgm:spPr/>
      <dgm:t>
        <a:bodyPr/>
        <a:lstStyle/>
        <a:p>
          <a:endParaRPr lang="bg-BG"/>
        </a:p>
      </dgm:t>
    </dgm:pt>
    <dgm:pt modelId="{17DEA0F1-F41A-44CF-A73D-D2E65F4B7B93}" type="pres">
      <dgm:prSet presAssocID="{6AEC29EB-1913-4B94-B559-EF57B3381A62}" presName="sibTrans" presStyleCnt="0"/>
      <dgm:spPr/>
    </dgm:pt>
    <dgm:pt modelId="{86405E34-4AF0-4532-B2C8-C5E8BA5F9239}" type="pres">
      <dgm:prSet presAssocID="{F840007E-110C-4B37-BB18-2031670652DF}" presName="textNode" presStyleLbl="node1" presStyleIdx="2" presStyleCnt="3">
        <dgm:presLayoutVars>
          <dgm:bulletEnabled val="1"/>
        </dgm:presLayoutVars>
      </dgm:prSet>
      <dgm:spPr/>
      <dgm:t>
        <a:bodyPr/>
        <a:lstStyle/>
        <a:p>
          <a:endParaRPr lang="bg-BG"/>
        </a:p>
      </dgm:t>
    </dgm:pt>
  </dgm:ptLst>
  <dgm:cxnLst>
    <dgm:cxn modelId="{AA3EAE0A-C76B-4BD8-A659-70FFBDCC1A7A}" srcId="{B91B234F-24C5-4349-A473-ECD45D0BC880}" destId="{3E18CBB6-F887-4C4C-A56A-00B881D8EF63}" srcOrd="1" destOrd="0" parTransId="{BD2F8034-6DB5-435E-884E-9E4F17F0B678}" sibTransId="{6AEC29EB-1913-4B94-B559-EF57B3381A62}"/>
    <dgm:cxn modelId="{6A8AEA2A-DF4C-4D71-90A2-9E4CBA3E60DA}" type="presOf" srcId="{BC98CD3D-1B5B-4E41-8E25-471893FEAEBF}" destId="{D31D9A46-2C88-44AF-A09D-739E8672297F}" srcOrd="0" destOrd="0" presId="urn:microsoft.com/office/officeart/2005/8/layout/hProcess9"/>
    <dgm:cxn modelId="{2B247DCE-7E17-4320-9812-FCA1A5F06070}" srcId="{B91B234F-24C5-4349-A473-ECD45D0BC880}" destId="{BC98CD3D-1B5B-4E41-8E25-471893FEAEBF}" srcOrd="0" destOrd="0" parTransId="{CC64D9D4-6B7D-42C8-94CF-B420EBF41E01}" sibTransId="{09735B68-BC06-466A-9551-3C9797CF7881}"/>
    <dgm:cxn modelId="{F5F5D1D0-9558-4805-96B5-E810EFEB359F}" srcId="{B91B234F-24C5-4349-A473-ECD45D0BC880}" destId="{F840007E-110C-4B37-BB18-2031670652DF}" srcOrd="2" destOrd="0" parTransId="{A6C96FB2-8CDD-4A84-90F1-4B464090ADF9}" sibTransId="{4CFD7DBB-73E8-4FBB-B654-FBA896DE2EB4}"/>
    <dgm:cxn modelId="{3BF28698-0A2F-4AE3-86FF-46B16BC6E085}" type="presOf" srcId="{F840007E-110C-4B37-BB18-2031670652DF}" destId="{86405E34-4AF0-4532-B2C8-C5E8BA5F9239}" srcOrd="0" destOrd="0" presId="urn:microsoft.com/office/officeart/2005/8/layout/hProcess9"/>
    <dgm:cxn modelId="{993987B1-3A68-4772-A9E0-6AF0305F983E}" type="presOf" srcId="{B91B234F-24C5-4349-A473-ECD45D0BC880}" destId="{B508B459-68F0-4BA7-88AE-EAB5B1E9113F}" srcOrd="0" destOrd="0" presId="urn:microsoft.com/office/officeart/2005/8/layout/hProcess9"/>
    <dgm:cxn modelId="{7AEB58B8-F958-4198-A4CE-A2D2D4396E0E}" type="presOf" srcId="{3E18CBB6-F887-4C4C-A56A-00B881D8EF63}" destId="{0D9F8E2E-6957-41C8-A455-85B17F554EE2}" srcOrd="0" destOrd="0" presId="urn:microsoft.com/office/officeart/2005/8/layout/hProcess9"/>
    <dgm:cxn modelId="{4532D8F6-7758-497C-BDDE-4E85627356C9}" type="presParOf" srcId="{B508B459-68F0-4BA7-88AE-EAB5B1E9113F}" destId="{29A048EA-013C-4B38-A7E3-976549FA5852}" srcOrd="0" destOrd="0" presId="urn:microsoft.com/office/officeart/2005/8/layout/hProcess9"/>
    <dgm:cxn modelId="{0E9BF0E2-432B-42FD-89B3-25331897582C}" type="presParOf" srcId="{B508B459-68F0-4BA7-88AE-EAB5B1E9113F}" destId="{146B99E9-3F99-4709-82F5-BA6101A56E7E}" srcOrd="1" destOrd="0" presId="urn:microsoft.com/office/officeart/2005/8/layout/hProcess9"/>
    <dgm:cxn modelId="{A174A7DF-7008-43D6-ACC0-B3E84BD599ED}" type="presParOf" srcId="{146B99E9-3F99-4709-82F5-BA6101A56E7E}" destId="{D31D9A46-2C88-44AF-A09D-739E8672297F}" srcOrd="0" destOrd="0" presId="urn:microsoft.com/office/officeart/2005/8/layout/hProcess9"/>
    <dgm:cxn modelId="{6BFFE2EF-4F1C-4EDD-971F-521E4C28F6F6}" type="presParOf" srcId="{146B99E9-3F99-4709-82F5-BA6101A56E7E}" destId="{86DB3E1F-8215-4893-A5DF-19120A571FB4}" srcOrd="1" destOrd="0" presId="urn:microsoft.com/office/officeart/2005/8/layout/hProcess9"/>
    <dgm:cxn modelId="{9CC70382-C59C-473D-AC23-88024805289C}" type="presParOf" srcId="{146B99E9-3F99-4709-82F5-BA6101A56E7E}" destId="{0D9F8E2E-6957-41C8-A455-85B17F554EE2}" srcOrd="2" destOrd="0" presId="urn:microsoft.com/office/officeart/2005/8/layout/hProcess9"/>
    <dgm:cxn modelId="{5260B681-B69D-451D-8F55-C76FDAD1CE33}" type="presParOf" srcId="{146B99E9-3F99-4709-82F5-BA6101A56E7E}" destId="{17DEA0F1-F41A-44CF-A73D-D2E65F4B7B93}" srcOrd="3" destOrd="0" presId="urn:microsoft.com/office/officeart/2005/8/layout/hProcess9"/>
    <dgm:cxn modelId="{B6A67810-E9C5-4807-B0D7-8E746E1F8307}" type="presParOf" srcId="{146B99E9-3F99-4709-82F5-BA6101A56E7E}" destId="{86405E34-4AF0-4532-B2C8-C5E8BA5F9239}" srcOrd="4" destOrd="0" presId="urn:microsoft.com/office/officeart/2005/8/layout/hProcess9"/>
  </dgm:cxnLst>
  <dgm:bg/>
  <dgm:whole/>
  <dgm:extLst>
    <a:ext uri="http://schemas.microsoft.com/office/drawing/2008/diagram">
      <dsp:dataModelExt xmlns:dsp="http://schemas.microsoft.com/office/drawing/2008/diagram" relId="rId15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DA0F393C-88AB-4D34-AF34-25069345706F}" type="doc">
      <dgm:prSet loTypeId="urn:microsoft.com/office/officeart/2005/8/layout/hProcess9" loCatId="process" qsTypeId="urn:microsoft.com/office/officeart/2005/8/quickstyle/simple1" qsCatId="simple" csTypeId="urn:microsoft.com/office/officeart/2005/8/colors/colorful5" csCatId="colorful" phldr="1"/>
      <dgm:spPr/>
    </dgm:pt>
    <dgm:pt modelId="{1EC7D3A8-D191-4887-B9E7-76EF56EDA64F}">
      <dgm:prSet phldrT="[Text]" custT="1"/>
      <dgm:spPr/>
      <dgm:t>
        <a:bodyPr/>
        <a:lstStyle/>
        <a:p>
          <a:r>
            <a:rPr lang="bg-BG" sz="1000" b="1"/>
            <a:t>Ниво на дейтализиране</a:t>
          </a:r>
        </a:p>
        <a:p>
          <a:r>
            <a:rPr lang="bg-BG" sz="900"/>
            <a:t>Определяне нивото на детайлизиране на предложената инвестицонна стратегия чрез поддържане на определена гъвкавост</a:t>
          </a:r>
        </a:p>
      </dgm:t>
    </dgm:pt>
    <dgm:pt modelId="{553B8AA1-4B4A-4CAE-BC54-D686691FC123}" type="parTrans" cxnId="{49AF6980-B5B4-41A8-A293-E8D11C714C3D}">
      <dgm:prSet/>
      <dgm:spPr/>
      <dgm:t>
        <a:bodyPr/>
        <a:lstStyle/>
        <a:p>
          <a:endParaRPr lang="bg-BG"/>
        </a:p>
      </dgm:t>
    </dgm:pt>
    <dgm:pt modelId="{64BEDFCB-5685-4D41-ADCF-9D32CC4B67B3}" type="sibTrans" cxnId="{49AF6980-B5B4-41A8-A293-E8D11C714C3D}">
      <dgm:prSet/>
      <dgm:spPr/>
      <dgm:t>
        <a:bodyPr/>
        <a:lstStyle/>
        <a:p>
          <a:endParaRPr lang="bg-BG"/>
        </a:p>
      </dgm:t>
    </dgm:pt>
    <dgm:pt modelId="{A073603D-3186-46D5-8A4A-E5DDB38173F3}">
      <dgm:prSet phldrT="[Text]" custT="1"/>
      <dgm:spPr/>
      <dgm:t>
        <a:bodyPr/>
        <a:lstStyle/>
        <a:p>
          <a:r>
            <a:rPr lang="bg-BG" sz="1000" b="1"/>
            <a:t>Мащаб и фокус на ФИ</a:t>
          </a:r>
        </a:p>
        <a:p>
          <a:r>
            <a:rPr lang="bg-BG" sz="900"/>
            <a:t>Определяне мащабът и фокусът на ФИ в съответствие с резултатите от анализа на пазара и оценката на добавената стойност чрез избор на финансов продукт, който да се предложи на целевите крайни бенефициенти</a:t>
          </a:r>
        </a:p>
      </dgm:t>
    </dgm:pt>
    <dgm:pt modelId="{AC34448B-46ED-449E-8BD7-9C252C046F75}" type="parTrans" cxnId="{FED1FE91-F09F-4C7D-9993-99190BD75B75}">
      <dgm:prSet/>
      <dgm:spPr/>
      <dgm:t>
        <a:bodyPr/>
        <a:lstStyle/>
        <a:p>
          <a:endParaRPr lang="bg-BG"/>
        </a:p>
      </dgm:t>
    </dgm:pt>
    <dgm:pt modelId="{49FBF185-5C72-4518-B854-7901DE48F043}" type="sibTrans" cxnId="{FED1FE91-F09F-4C7D-9993-99190BD75B75}">
      <dgm:prSet/>
      <dgm:spPr/>
      <dgm:t>
        <a:bodyPr/>
        <a:lstStyle/>
        <a:p>
          <a:endParaRPr lang="bg-BG"/>
        </a:p>
      </dgm:t>
    </dgm:pt>
    <dgm:pt modelId="{AF964D53-DB4B-4F5F-BE1A-44B506266878}">
      <dgm:prSet phldrT="[Text]" custT="1"/>
      <dgm:spPr/>
      <dgm:t>
        <a:bodyPr/>
        <a:lstStyle/>
        <a:p>
          <a:r>
            <a:rPr lang="bg-BG" sz="1000" b="1"/>
            <a:t>Допълнителен анализ</a:t>
          </a:r>
        </a:p>
        <a:p>
          <a:r>
            <a:rPr lang="bg-BG" sz="900"/>
            <a:t>Определяне структурата на управление на ФИ чрез избор на най-подходящите договорености и комбинация с БФП </a:t>
          </a:r>
        </a:p>
      </dgm:t>
    </dgm:pt>
    <dgm:pt modelId="{E8C0AAAE-0F36-4CCF-A469-1698B329DC1E}" type="parTrans" cxnId="{8BA1F713-9452-47D8-930F-8E141FC0A33D}">
      <dgm:prSet/>
      <dgm:spPr/>
      <dgm:t>
        <a:bodyPr/>
        <a:lstStyle/>
        <a:p>
          <a:endParaRPr lang="bg-BG"/>
        </a:p>
      </dgm:t>
    </dgm:pt>
    <dgm:pt modelId="{C3B37C40-F70A-4FFB-95EC-BC12FE3D15CA}" type="sibTrans" cxnId="{8BA1F713-9452-47D8-930F-8E141FC0A33D}">
      <dgm:prSet/>
      <dgm:spPr/>
      <dgm:t>
        <a:bodyPr/>
        <a:lstStyle/>
        <a:p>
          <a:endParaRPr lang="bg-BG"/>
        </a:p>
      </dgm:t>
    </dgm:pt>
    <dgm:pt modelId="{F9A4C55D-5326-4536-82E6-EA7ABFA9351C}" type="pres">
      <dgm:prSet presAssocID="{DA0F393C-88AB-4D34-AF34-25069345706F}" presName="CompostProcess" presStyleCnt="0">
        <dgm:presLayoutVars>
          <dgm:dir/>
          <dgm:resizeHandles val="exact"/>
        </dgm:presLayoutVars>
      </dgm:prSet>
      <dgm:spPr/>
    </dgm:pt>
    <dgm:pt modelId="{0B9216B3-4C6E-4757-8534-247C13254924}" type="pres">
      <dgm:prSet presAssocID="{DA0F393C-88AB-4D34-AF34-25069345706F}" presName="arrow" presStyleLbl="bgShp" presStyleIdx="0" presStyleCnt="1"/>
      <dgm:spPr/>
    </dgm:pt>
    <dgm:pt modelId="{3DC7DE7E-8422-4ECF-80B6-A7CF557EDE1E}" type="pres">
      <dgm:prSet presAssocID="{DA0F393C-88AB-4D34-AF34-25069345706F}" presName="linearProcess" presStyleCnt="0"/>
      <dgm:spPr/>
    </dgm:pt>
    <dgm:pt modelId="{42F0F914-887C-4202-B7A3-21B829219031}" type="pres">
      <dgm:prSet presAssocID="{1EC7D3A8-D191-4887-B9E7-76EF56EDA64F}" presName="textNode" presStyleLbl="node1" presStyleIdx="0" presStyleCnt="3">
        <dgm:presLayoutVars>
          <dgm:bulletEnabled val="1"/>
        </dgm:presLayoutVars>
      </dgm:prSet>
      <dgm:spPr/>
      <dgm:t>
        <a:bodyPr/>
        <a:lstStyle/>
        <a:p>
          <a:endParaRPr lang="bg-BG"/>
        </a:p>
      </dgm:t>
    </dgm:pt>
    <dgm:pt modelId="{47BE56A8-A62F-4A03-B533-77EDD0D60D2E}" type="pres">
      <dgm:prSet presAssocID="{64BEDFCB-5685-4D41-ADCF-9D32CC4B67B3}" presName="sibTrans" presStyleCnt="0"/>
      <dgm:spPr/>
    </dgm:pt>
    <dgm:pt modelId="{068D350F-0274-41F5-9604-0C7C645A20AD}" type="pres">
      <dgm:prSet presAssocID="{A073603D-3186-46D5-8A4A-E5DDB38173F3}" presName="textNode" presStyleLbl="node1" presStyleIdx="1" presStyleCnt="3">
        <dgm:presLayoutVars>
          <dgm:bulletEnabled val="1"/>
        </dgm:presLayoutVars>
      </dgm:prSet>
      <dgm:spPr/>
      <dgm:t>
        <a:bodyPr/>
        <a:lstStyle/>
        <a:p>
          <a:endParaRPr lang="bg-BG"/>
        </a:p>
      </dgm:t>
    </dgm:pt>
    <dgm:pt modelId="{C4E3A0F9-5ADA-4C95-B0E9-A7ACD08B2188}" type="pres">
      <dgm:prSet presAssocID="{49FBF185-5C72-4518-B854-7901DE48F043}" presName="sibTrans" presStyleCnt="0"/>
      <dgm:spPr/>
    </dgm:pt>
    <dgm:pt modelId="{8C342B56-B3E8-46EF-833A-8516AE3E8739}" type="pres">
      <dgm:prSet presAssocID="{AF964D53-DB4B-4F5F-BE1A-44B506266878}" presName="textNode" presStyleLbl="node1" presStyleIdx="2" presStyleCnt="3">
        <dgm:presLayoutVars>
          <dgm:bulletEnabled val="1"/>
        </dgm:presLayoutVars>
      </dgm:prSet>
      <dgm:spPr/>
      <dgm:t>
        <a:bodyPr/>
        <a:lstStyle/>
        <a:p>
          <a:endParaRPr lang="bg-BG"/>
        </a:p>
      </dgm:t>
    </dgm:pt>
  </dgm:ptLst>
  <dgm:cxnLst>
    <dgm:cxn modelId="{8BA1F713-9452-47D8-930F-8E141FC0A33D}" srcId="{DA0F393C-88AB-4D34-AF34-25069345706F}" destId="{AF964D53-DB4B-4F5F-BE1A-44B506266878}" srcOrd="2" destOrd="0" parTransId="{E8C0AAAE-0F36-4CCF-A469-1698B329DC1E}" sibTransId="{C3B37C40-F70A-4FFB-95EC-BC12FE3D15CA}"/>
    <dgm:cxn modelId="{E1F7D72C-76B3-434C-B6D5-8E6D599A88C4}" type="presOf" srcId="{1EC7D3A8-D191-4887-B9E7-76EF56EDA64F}" destId="{42F0F914-887C-4202-B7A3-21B829219031}" srcOrd="0" destOrd="0" presId="urn:microsoft.com/office/officeart/2005/8/layout/hProcess9"/>
    <dgm:cxn modelId="{D82B4820-A534-4D5D-B895-A3C2CD20740A}" type="presOf" srcId="{A073603D-3186-46D5-8A4A-E5DDB38173F3}" destId="{068D350F-0274-41F5-9604-0C7C645A20AD}" srcOrd="0" destOrd="0" presId="urn:microsoft.com/office/officeart/2005/8/layout/hProcess9"/>
    <dgm:cxn modelId="{8B239A5B-8450-41AE-94BA-4D704C5A4871}" type="presOf" srcId="{AF964D53-DB4B-4F5F-BE1A-44B506266878}" destId="{8C342B56-B3E8-46EF-833A-8516AE3E8739}" srcOrd="0" destOrd="0" presId="urn:microsoft.com/office/officeart/2005/8/layout/hProcess9"/>
    <dgm:cxn modelId="{FED1FE91-F09F-4C7D-9993-99190BD75B75}" srcId="{DA0F393C-88AB-4D34-AF34-25069345706F}" destId="{A073603D-3186-46D5-8A4A-E5DDB38173F3}" srcOrd="1" destOrd="0" parTransId="{AC34448B-46ED-449E-8BD7-9C252C046F75}" sibTransId="{49FBF185-5C72-4518-B854-7901DE48F043}"/>
    <dgm:cxn modelId="{3652F6F1-A7D7-402D-B34F-BC5EEA2551DA}" type="presOf" srcId="{DA0F393C-88AB-4D34-AF34-25069345706F}" destId="{F9A4C55D-5326-4536-82E6-EA7ABFA9351C}" srcOrd="0" destOrd="0" presId="urn:microsoft.com/office/officeart/2005/8/layout/hProcess9"/>
    <dgm:cxn modelId="{49AF6980-B5B4-41A8-A293-E8D11C714C3D}" srcId="{DA0F393C-88AB-4D34-AF34-25069345706F}" destId="{1EC7D3A8-D191-4887-B9E7-76EF56EDA64F}" srcOrd="0" destOrd="0" parTransId="{553B8AA1-4B4A-4CAE-BC54-D686691FC123}" sibTransId="{64BEDFCB-5685-4D41-ADCF-9D32CC4B67B3}"/>
    <dgm:cxn modelId="{772F691D-03E6-49EB-8F83-359D9295B240}" type="presParOf" srcId="{F9A4C55D-5326-4536-82E6-EA7ABFA9351C}" destId="{0B9216B3-4C6E-4757-8534-247C13254924}" srcOrd="0" destOrd="0" presId="urn:microsoft.com/office/officeart/2005/8/layout/hProcess9"/>
    <dgm:cxn modelId="{9641A622-500B-496E-BB37-EBA8F08ECAC2}" type="presParOf" srcId="{F9A4C55D-5326-4536-82E6-EA7ABFA9351C}" destId="{3DC7DE7E-8422-4ECF-80B6-A7CF557EDE1E}" srcOrd="1" destOrd="0" presId="urn:microsoft.com/office/officeart/2005/8/layout/hProcess9"/>
    <dgm:cxn modelId="{D44B85F6-FE97-49F1-B5D6-A8492846CE64}" type="presParOf" srcId="{3DC7DE7E-8422-4ECF-80B6-A7CF557EDE1E}" destId="{42F0F914-887C-4202-B7A3-21B829219031}" srcOrd="0" destOrd="0" presId="urn:microsoft.com/office/officeart/2005/8/layout/hProcess9"/>
    <dgm:cxn modelId="{F8724F20-0166-45B7-B6B7-F4736A6D900C}" type="presParOf" srcId="{3DC7DE7E-8422-4ECF-80B6-A7CF557EDE1E}" destId="{47BE56A8-A62F-4A03-B533-77EDD0D60D2E}" srcOrd="1" destOrd="0" presId="urn:microsoft.com/office/officeart/2005/8/layout/hProcess9"/>
    <dgm:cxn modelId="{801D601F-D6AA-4645-BCDE-AC9C86B5ECDE}" type="presParOf" srcId="{3DC7DE7E-8422-4ECF-80B6-A7CF557EDE1E}" destId="{068D350F-0274-41F5-9604-0C7C645A20AD}" srcOrd="2" destOrd="0" presId="urn:microsoft.com/office/officeart/2005/8/layout/hProcess9"/>
    <dgm:cxn modelId="{A9443F98-0C27-400F-AF82-DE5CAA6A37CF}" type="presParOf" srcId="{3DC7DE7E-8422-4ECF-80B6-A7CF557EDE1E}" destId="{C4E3A0F9-5ADA-4C95-B0E9-A7ACD08B2188}" srcOrd="3" destOrd="0" presId="urn:microsoft.com/office/officeart/2005/8/layout/hProcess9"/>
    <dgm:cxn modelId="{6A84006E-53AA-4A93-8F64-19DE6FAFD801}" type="presParOf" srcId="{3DC7DE7E-8422-4ECF-80B6-A7CF557EDE1E}" destId="{8C342B56-B3E8-46EF-833A-8516AE3E8739}" srcOrd="4" destOrd="0" presId="urn:microsoft.com/office/officeart/2005/8/layout/hProcess9"/>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05F6B969-8AEC-4E1D-BC7F-B93769C8B69E}" type="doc">
      <dgm:prSet loTypeId="urn:microsoft.com/office/officeart/2005/8/layout/hList9" loCatId="list" qsTypeId="urn:microsoft.com/office/officeart/2005/8/quickstyle/3d2" qsCatId="3D" csTypeId="urn:microsoft.com/office/officeart/2005/8/colors/accent5_4" csCatId="accent5" phldr="1"/>
      <dgm:spPr/>
      <dgm:t>
        <a:bodyPr/>
        <a:lstStyle/>
        <a:p>
          <a:endParaRPr lang="bg-BG"/>
        </a:p>
      </dgm:t>
    </dgm:pt>
    <dgm:pt modelId="{DDF11C44-B03A-4DE1-89A1-489FE24C6ABE}">
      <dgm:prSet phldrT="[Text]"/>
      <dgm:spPr>
        <a:xfrm>
          <a:off x="167533" y="46"/>
          <a:ext cx="753709" cy="753709"/>
        </a:xfrm>
      </dgm:spPr>
      <dgm:t>
        <a:bodyPr/>
        <a:lstStyle/>
        <a:p>
          <a:pPr algn="ctr"/>
          <a:r>
            <a:rPr lang="bg-BG">
              <a:latin typeface="Calibri"/>
              <a:ea typeface="+mn-ea"/>
              <a:cs typeface="+mn-cs"/>
            </a:rPr>
            <a:t>КФ</a:t>
          </a:r>
        </a:p>
      </dgm:t>
    </dgm:pt>
    <dgm:pt modelId="{0705CEA0-96D2-49BB-A66C-DBE1BC3F54A7}" type="parTrans" cxnId="{960B760E-6197-4E41-B68B-389A8146FFC7}">
      <dgm:prSet/>
      <dgm:spPr/>
      <dgm:t>
        <a:bodyPr/>
        <a:lstStyle/>
        <a:p>
          <a:pPr algn="ctr"/>
          <a:endParaRPr lang="bg-BG"/>
        </a:p>
      </dgm:t>
    </dgm:pt>
    <dgm:pt modelId="{47532267-98A4-4109-857A-26777FDBEE09}" type="sibTrans" cxnId="{960B760E-6197-4E41-B68B-389A8146FFC7}">
      <dgm:prSet/>
      <dgm:spPr/>
      <dgm:t>
        <a:bodyPr/>
        <a:lstStyle/>
        <a:p>
          <a:pPr algn="ctr"/>
          <a:endParaRPr lang="bg-BG"/>
        </a:p>
      </dgm:t>
    </dgm:pt>
    <dgm:pt modelId="{02D9600E-3EDE-4B0C-9C6A-D7A5B5746B19}">
      <dgm:prSet phldrT="[Text]"/>
      <dgm:spPr>
        <a:xfrm>
          <a:off x="770501" y="301530"/>
          <a:ext cx="1130564" cy="754086"/>
        </a:xfrm>
      </dgm:spPr>
      <dgm:t>
        <a:bodyPr/>
        <a:lstStyle/>
        <a:p>
          <a:pPr algn="ctr"/>
          <a:r>
            <a:rPr lang="bg-BG">
              <a:latin typeface="Calibri"/>
              <a:ea typeface="+mn-ea"/>
              <a:cs typeface="+mn-cs"/>
            </a:rPr>
            <a:t>ОПОС </a:t>
          </a:r>
        </a:p>
        <a:p>
          <a:pPr algn="ctr"/>
          <a:r>
            <a:rPr lang="bg-BG">
              <a:latin typeface="Calibri"/>
              <a:ea typeface="+mn-ea"/>
              <a:cs typeface="+mn-cs"/>
            </a:rPr>
            <a:t>2014-2020  г.</a:t>
          </a:r>
        </a:p>
      </dgm:t>
    </dgm:pt>
    <dgm:pt modelId="{ABDB9440-8781-4FF9-84EC-F9F2DEB23CB4}" type="parTrans" cxnId="{4363765D-3E5B-4864-B52D-ED2E88652A73}">
      <dgm:prSet/>
      <dgm:spPr/>
      <dgm:t>
        <a:bodyPr/>
        <a:lstStyle/>
        <a:p>
          <a:pPr algn="ctr"/>
          <a:endParaRPr lang="bg-BG"/>
        </a:p>
      </dgm:t>
    </dgm:pt>
    <dgm:pt modelId="{C6DA94D9-93AE-4A42-94F4-15B5D768BCE5}" type="sibTrans" cxnId="{4363765D-3E5B-4864-B52D-ED2E88652A73}">
      <dgm:prSet/>
      <dgm:spPr/>
      <dgm:t>
        <a:bodyPr/>
        <a:lstStyle/>
        <a:p>
          <a:pPr algn="ctr"/>
          <a:endParaRPr lang="bg-BG"/>
        </a:p>
      </dgm:t>
    </dgm:pt>
    <dgm:pt modelId="{9772790B-0262-4DFE-A5DE-38A8470EF69A}">
      <dgm:prSet phldrT="[Text]"/>
      <dgm:spPr>
        <a:xfrm>
          <a:off x="2051808" y="46"/>
          <a:ext cx="753709" cy="753709"/>
        </a:xfrm>
      </dgm:spPr>
      <dgm:t>
        <a:bodyPr/>
        <a:lstStyle/>
        <a:p>
          <a:pPr algn="ctr"/>
          <a:r>
            <a:rPr lang="bg-BG">
              <a:latin typeface="Calibri"/>
              <a:ea typeface="+mn-ea"/>
              <a:cs typeface="+mn-cs"/>
            </a:rPr>
            <a:t>ФИ</a:t>
          </a:r>
        </a:p>
      </dgm:t>
    </dgm:pt>
    <dgm:pt modelId="{9147D602-3E19-4088-A2FD-027AD0B61E41}" type="parTrans" cxnId="{E13ED72C-796C-4551-9623-24853A475CDA}">
      <dgm:prSet/>
      <dgm:spPr/>
      <dgm:t>
        <a:bodyPr/>
        <a:lstStyle/>
        <a:p>
          <a:pPr algn="ctr"/>
          <a:endParaRPr lang="bg-BG"/>
        </a:p>
      </dgm:t>
    </dgm:pt>
    <dgm:pt modelId="{BC801DFB-EF48-49FD-B010-98C093C553C1}" type="sibTrans" cxnId="{E13ED72C-796C-4551-9623-24853A475CDA}">
      <dgm:prSet/>
      <dgm:spPr/>
      <dgm:t>
        <a:bodyPr/>
        <a:lstStyle/>
        <a:p>
          <a:pPr algn="ctr"/>
          <a:endParaRPr lang="bg-BG"/>
        </a:p>
      </dgm:t>
    </dgm:pt>
    <dgm:pt modelId="{802DE616-5132-45A9-9482-5CBBF7F9E574}">
      <dgm:prSet phldrT="[Text]"/>
      <dgm:spPr>
        <a:xfrm>
          <a:off x="2654776" y="1055616"/>
          <a:ext cx="1130564" cy="754086"/>
        </a:xfrm>
      </dgm:spPr>
      <dgm:t>
        <a:bodyPr/>
        <a:lstStyle/>
        <a:p>
          <a:pPr algn="ctr"/>
          <a:r>
            <a:rPr lang="bg-BG">
              <a:latin typeface="Calibri"/>
              <a:ea typeface="+mn-ea"/>
              <a:cs typeface="+mn-cs"/>
            </a:rPr>
            <a:t>Основен капитал </a:t>
          </a:r>
        </a:p>
      </dgm:t>
    </dgm:pt>
    <dgm:pt modelId="{80CE270B-3796-4B45-B815-16F346223A99}" type="parTrans" cxnId="{30AECC69-5DC2-4A53-8E8A-0A9FB9FE7D36}">
      <dgm:prSet/>
      <dgm:spPr/>
      <dgm:t>
        <a:bodyPr/>
        <a:lstStyle/>
        <a:p>
          <a:pPr algn="ctr"/>
          <a:endParaRPr lang="bg-BG"/>
        </a:p>
      </dgm:t>
    </dgm:pt>
    <dgm:pt modelId="{497C30C3-0931-4D68-892C-0685310C9002}" type="sibTrans" cxnId="{30AECC69-5DC2-4A53-8E8A-0A9FB9FE7D36}">
      <dgm:prSet/>
      <dgm:spPr/>
      <dgm:t>
        <a:bodyPr/>
        <a:lstStyle/>
        <a:p>
          <a:pPr algn="ctr"/>
          <a:endParaRPr lang="bg-BG"/>
        </a:p>
      </dgm:t>
    </dgm:pt>
    <dgm:pt modelId="{F57DB2DF-9C8C-473E-AD4C-6CDF94371C22}">
      <dgm:prSet phldrT="[Text]"/>
      <dgm:spPr>
        <a:xfrm>
          <a:off x="2654776" y="301530"/>
          <a:ext cx="1130564" cy="754086"/>
        </a:xfrm>
      </dgm:spPr>
      <dgm:t>
        <a:bodyPr/>
        <a:lstStyle/>
        <a:p>
          <a:pPr algn="ctr"/>
          <a:r>
            <a:rPr lang="bg-BG">
              <a:latin typeface="Calibri"/>
              <a:ea typeface="+mn-ea"/>
              <a:cs typeface="+mn-cs"/>
            </a:rPr>
            <a:t>Международни финансови институции (ЕИБ, ЕБВР, Световна банка и др.)</a:t>
          </a:r>
        </a:p>
      </dgm:t>
    </dgm:pt>
    <dgm:pt modelId="{EB3FC3D1-C7C6-4902-963C-593B05008729}" type="parTrans" cxnId="{F6F91D32-4FDE-4BC1-8F50-9DF87785CB6F}">
      <dgm:prSet/>
      <dgm:spPr/>
      <dgm:t>
        <a:bodyPr/>
        <a:lstStyle/>
        <a:p>
          <a:pPr algn="ctr"/>
          <a:endParaRPr lang="bg-BG"/>
        </a:p>
      </dgm:t>
    </dgm:pt>
    <dgm:pt modelId="{8D4EB801-F6D0-4352-B53F-2C91D448C6D6}" type="sibTrans" cxnId="{F6F91D32-4FDE-4BC1-8F50-9DF87785CB6F}">
      <dgm:prSet/>
      <dgm:spPr/>
      <dgm:t>
        <a:bodyPr/>
        <a:lstStyle/>
        <a:p>
          <a:pPr algn="ctr"/>
          <a:endParaRPr lang="bg-BG"/>
        </a:p>
      </dgm:t>
    </dgm:pt>
    <dgm:pt modelId="{F9068301-E816-4E0B-844F-458E13AB2617}">
      <dgm:prSet phldrT="[Text]"/>
      <dgm:spPr>
        <a:xfrm>
          <a:off x="770501" y="1055616"/>
          <a:ext cx="1130564" cy="754086"/>
        </a:xfrm>
      </dgm:spPr>
      <dgm:t>
        <a:bodyPr/>
        <a:lstStyle/>
        <a:p>
          <a:pPr algn="ctr"/>
          <a:r>
            <a:rPr lang="bg-BG">
              <a:latin typeface="Calibri"/>
              <a:ea typeface="+mn-ea"/>
              <a:cs typeface="+mn-cs"/>
            </a:rPr>
            <a:t>Подчинен капитал </a:t>
          </a:r>
        </a:p>
      </dgm:t>
    </dgm:pt>
    <dgm:pt modelId="{6E69BACD-03FC-4679-A76D-1047C37BDD4F}" type="parTrans" cxnId="{999A493A-5E13-4AF6-AC57-BD1CE0B50D57}">
      <dgm:prSet/>
      <dgm:spPr/>
      <dgm:t>
        <a:bodyPr/>
        <a:lstStyle/>
        <a:p>
          <a:pPr algn="ctr"/>
          <a:endParaRPr lang="bg-BG"/>
        </a:p>
      </dgm:t>
    </dgm:pt>
    <dgm:pt modelId="{7786C584-5240-452E-BC91-258767DCAC07}" type="sibTrans" cxnId="{999A493A-5E13-4AF6-AC57-BD1CE0B50D57}">
      <dgm:prSet/>
      <dgm:spPr/>
      <dgm:t>
        <a:bodyPr/>
        <a:lstStyle/>
        <a:p>
          <a:pPr algn="ctr"/>
          <a:endParaRPr lang="bg-BG"/>
        </a:p>
      </dgm:t>
    </dgm:pt>
    <dgm:pt modelId="{12D6F020-808D-4D4B-A934-61566F5107A2}" type="pres">
      <dgm:prSet presAssocID="{05F6B969-8AEC-4E1D-BC7F-B93769C8B69E}" presName="list" presStyleCnt="0">
        <dgm:presLayoutVars>
          <dgm:dir/>
          <dgm:animLvl val="lvl"/>
        </dgm:presLayoutVars>
      </dgm:prSet>
      <dgm:spPr/>
      <dgm:t>
        <a:bodyPr/>
        <a:lstStyle/>
        <a:p>
          <a:endParaRPr lang="bg-BG"/>
        </a:p>
      </dgm:t>
    </dgm:pt>
    <dgm:pt modelId="{5F8A0274-6388-44F7-AA5F-EA995CF3E838}" type="pres">
      <dgm:prSet presAssocID="{DDF11C44-B03A-4DE1-89A1-489FE24C6ABE}" presName="posSpace" presStyleCnt="0"/>
      <dgm:spPr/>
      <dgm:t>
        <a:bodyPr/>
        <a:lstStyle/>
        <a:p>
          <a:endParaRPr lang="bg-BG"/>
        </a:p>
      </dgm:t>
    </dgm:pt>
    <dgm:pt modelId="{D3183CED-FA6A-4FF8-AA84-49F45EAA2959}" type="pres">
      <dgm:prSet presAssocID="{DDF11C44-B03A-4DE1-89A1-489FE24C6ABE}" presName="vertFlow" presStyleCnt="0"/>
      <dgm:spPr/>
      <dgm:t>
        <a:bodyPr/>
        <a:lstStyle/>
        <a:p>
          <a:endParaRPr lang="bg-BG"/>
        </a:p>
      </dgm:t>
    </dgm:pt>
    <dgm:pt modelId="{87C3D89F-EC1F-4A6A-84FF-D29DA86C0D90}" type="pres">
      <dgm:prSet presAssocID="{DDF11C44-B03A-4DE1-89A1-489FE24C6ABE}" presName="topSpace" presStyleCnt="0"/>
      <dgm:spPr/>
      <dgm:t>
        <a:bodyPr/>
        <a:lstStyle/>
        <a:p>
          <a:endParaRPr lang="bg-BG"/>
        </a:p>
      </dgm:t>
    </dgm:pt>
    <dgm:pt modelId="{8F4D68C8-B5E7-4A71-AEA1-5F0043225AD4}" type="pres">
      <dgm:prSet presAssocID="{DDF11C44-B03A-4DE1-89A1-489FE24C6ABE}" presName="firstComp" presStyleCnt="0"/>
      <dgm:spPr/>
      <dgm:t>
        <a:bodyPr/>
        <a:lstStyle/>
        <a:p>
          <a:endParaRPr lang="bg-BG"/>
        </a:p>
      </dgm:t>
    </dgm:pt>
    <dgm:pt modelId="{29268762-CF50-4335-9C9D-F40307B26A50}" type="pres">
      <dgm:prSet presAssocID="{DDF11C44-B03A-4DE1-89A1-489FE24C6ABE}" presName="firstChild" presStyleLbl="bgAccFollowNode1" presStyleIdx="0" presStyleCnt="4"/>
      <dgm:spPr>
        <a:prstGeom prst="rect">
          <a:avLst/>
        </a:prstGeom>
      </dgm:spPr>
      <dgm:t>
        <a:bodyPr/>
        <a:lstStyle/>
        <a:p>
          <a:endParaRPr lang="bg-BG"/>
        </a:p>
      </dgm:t>
    </dgm:pt>
    <dgm:pt modelId="{46700B89-BCA4-4888-8B86-EB4FD1198F8D}" type="pres">
      <dgm:prSet presAssocID="{DDF11C44-B03A-4DE1-89A1-489FE24C6ABE}" presName="firstChildTx" presStyleLbl="bgAccFollowNode1" presStyleIdx="0" presStyleCnt="4">
        <dgm:presLayoutVars>
          <dgm:bulletEnabled val="1"/>
        </dgm:presLayoutVars>
      </dgm:prSet>
      <dgm:spPr/>
      <dgm:t>
        <a:bodyPr/>
        <a:lstStyle/>
        <a:p>
          <a:endParaRPr lang="bg-BG"/>
        </a:p>
      </dgm:t>
    </dgm:pt>
    <dgm:pt modelId="{81F90AAF-26E4-49FB-8202-34AB4D90963F}" type="pres">
      <dgm:prSet presAssocID="{F9068301-E816-4E0B-844F-458E13AB2617}" presName="comp" presStyleCnt="0"/>
      <dgm:spPr/>
      <dgm:t>
        <a:bodyPr/>
        <a:lstStyle/>
        <a:p>
          <a:endParaRPr lang="bg-BG"/>
        </a:p>
      </dgm:t>
    </dgm:pt>
    <dgm:pt modelId="{057955A9-9622-4B7C-ABF0-340D6D8DC0DE}" type="pres">
      <dgm:prSet presAssocID="{F9068301-E816-4E0B-844F-458E13AB2617}" presName="child" presStyleLbl="bgAccFollowNode1" presStyleIdx="1" presStyleCnt="4"/>
      <dgm:spPr>
        <a:prstGeom prst="rect">
          <a:avLst/>
        </a:prstGeom>
      </dgm:spPr>
      <dgm:t>
        <a:bodyPr/>
        <a:lstStyle/>
        <a:p>
          <a:endParaRPr lang="bg-BG"/>
        </a:p>
      </dgm:t>
    </dgm:pt>
    <dgm:pt modelId="{3FDCC83A-A0D1-45E7-B3FF-EB443DF04D67}" type="pres">
      <dgm:prSet presAssocID="{F9068301-E816-4E0B-844F-458E13AB2617}" presName="childTx" presStyleLbl="bgAccFollowNode1" presStyleIdx="1" presStyleCnt="4">
        <dgm:presLayoutVars>
          <dgm:bulletEnabled val="1"/>
        </dgm:presLayoutVars>
      </dgm:prSet>
      <dgm:spPr/>
      <dgm:t>
        <a:bodyPr/>
        <a:lstStyle/>
        <a:p>
          <a:endParaRPr lang="bg-BG"/>
        </a:p>
      </dgm:t>
    </dgm:pt>
    <dgm:pt modelId="{44805F49-6A96-4EBB-893D-994A8B4B432A}" type="pres">
      <dgm:prSet presAssocID="{DDF11C44-B03A-4DE1-89A1-489FE24C6ABE}" presName="negSpace" presStyleCnt="0"/>
      <dgm:spPr/>
      <dgm:t>
        <a:bodyPr/>
        <a:lstStyle/>
        <a:p>
          <a:endParaRPr lang="bg-BG"/>
        </a:p>
      </dgm:t>
    </dgm:pt>
    <dgm:pt modelId="{24E05DCC-03AF-4C64-8C6E-F9F09DF86CA6}" type="pres">
      <dgm:prSet presAssocID="{DDF11C44-B03A-4DE1-89A1-489FE24C6ABE}" presName="circle" presStyleLbl="node1" presStyleIdx="0" presStyleCnt="2"/>
      <dgm:spPr>
        <a:prstGeom prst="ellipse">
          <a:avLst/>
        </a:prstGeom>
      </dgm:spPr>
      <dgm:t>
        <a:bodyPr/>
        <a:lstStyle/>
        <a:p>
          <a:endParaRPr lang="bg-BG"/>
        </a:p>
      </dgm:t>
    </dgm:pt>
    <dgm:pt modelId="{1EA86B03-9BD8-4A61-AF38-AE0C521019C2}" type="pres">
      <dgm:prSet presAssocID="{47532267-98A4-4109-857A-26777FDBEE09}" presName="transSpace" presStyleCnt="0"/>
      <dgm:spPr/>
      <dgm:t>
        <a:bodyPr/>
        <a:lstStyle/>
        <a:p>
          <a:endParaRPr lang="bg-BG"/>
        </a:p>
      </dgm:t>
    </dgm:pt>
    <dgm:pt modelId="{CB2E456A-F147-4EC2-BF26-E476969CD200}" type="pres">
      <dgm:prSet presAssocID="{9772790B-0262-4DFE-A5DE-38A8470EF69A}" presName="posSpace" presStyleCnt="0"/>
      <dgm:spPr/>
      <dgm:t>
        <a:bodyPr/>
        <a:lstStyle/>
        <a:p>
          <a:endParaRPr lang="bg-BG"/>
        </a:p>
      </dgm:t>
    </dgm:pt>
    <dgm:pt modelId="{B6F50A71-D9F4-415B-A5CC-A40D31BBD42C}" type="pres">
      <dgm:prSet presAssocID="{9772790B-0262-4DFE-A5DE-38A8470EF69A}" presName="vertFlow" presStyleCnt="0"/>
      <dgm:spPr/>
      <dgm:t>
        <a:bodyPr/>
        <a:lstStyle/>
        <a:p>
          <a:endParaRPr lang="bg-BG"/>
        </a:p>
      </dgm:t>
    </dgm:pt>
    <dgm:pt modelId="{8AA031E1-9753-44F8-B08D-4CA961C10700}" type="pres">
      <dgm:prSet presAssocID="{9772790B-0262-4DFE-A5DE-38A8470EF69A}" presName="topSpace" presStyleCnt="0"/>
      <dgm:spPr/>
      <dgm:t>
        <a:bodyPr/>
        <a:lstStyle/>
        <a:p>
          <a:endParaRPr lang="bg-BG"/>
        </a:p>
      </dgm:t>
    </dgm:pt>
    <dgm:pt modelId="{8A137D88-B0D0-48B5-96EA-FE177922FCC9}" type="pres">
      <dgm:prSet presAssocID="{9772790B-0262-4DFE-A5DE-38A8470EF69A}" presName="firstComp" presStyleCnt="0"/>
      <dgm:spPr/>
      <dgm:t>
        <a:bodyPr/>
        <a:lstStyle/>
        <a:p>
          <a:endParaRPr lang="bg-BG"/>
        </a:p>
      </dgm:t>
    </dgm:pt>
    <dgm:pt modelId="{DF6C0483-70DC-4C50-A871-4025E8247335}" type="pres">
      <dgm:prSet presAssocID="{9772790B-0262-4DFE-A5DE-38A8470EF69A}" presName="firstChild" presStyleLbl="bgAccFollowNode1" presStyleIdx="2" presStyleCnt="4"/>
      <dgm:spPr>
        <a:prstGeom prst="rect">
          <a:avLst/>
        </a:prstGeom>
      </dgm:spPr>
      <dgm:t>
        <a:bodyPr/>
        <a:lstStyle/>
        <a:p>
          <a:endParaRPr lang="bg-BG"/>
        </a:p>
      </dgm:t>
    </dgm:pt>
    <dgm:pt modelId="{37168DCC-9728-4B58-B79E-B0CD3C82BCFF}" type="pres">
      <dgm:prSet presAssocID="{9772790B-0262-4DFE-A5DE-38A8470EF69A}" presName="firstChildTx" presStyleLbl="bgAccFollowNode1" presStyleIdx="2" presStyleCnt="4">
        <dgm:presLayoutVars>
          <dgm:bulletEnabled val="1"/>
        </dgm:presLayoutVars>
      </dgm:prSet>
      <dgm:spPr/>
      <dgm:t>
        <a:bodyPr/>
        <a:lstStyle/>
        <a:p>
          <a:endParaRPr lang="bg-BG"/>
        </a:p>
      </dgm:t>
    </dgm:pt>
    <dgm:pt modelId="{06C78AE7-5313-40D4-9E7B-5C5B0488D60B}" type="pres">
      <dgm:prSet presAssocID="{802DE616-5132-45A9-9482-5CBBF7F9E574}" presName="comp" presStyleCnt="0"/>
      <dgm:spPr/>
      <dgm:t>
        <a:bodyPr/>
        <a:lstStyle/>
        <a:p>
          <a:endParaRPr lang="bg-BG"/>
        </a:p>
      </dgm:t>
    </dgm:pt>
    <dgm:pt modelId="{CDE9EBED-1844-4499-9007-5BB5618E49E8}" type="pres">
      <dgm:prSet presAssocID="{802DE616-5132-45A9-9482-5CBBF7F9E574}" presName="child" presStyleLbl="bgAccFollowNode1" presStyleIdx="3" presStyleCnt="4"/>
      <dgm:spPr>
        <a:prstGeom prst="rect">
          <a:avLst/>
        </a:prstGeom>
      </dgm:spPr>
      <dgm:t>
        <a:bodyPr/>
        <a:lstStyle/>
        <a:p>
          <a:endParaRPr lang="bg-BG"/>
        </a:p>
      </dgm:t>
    </dgm:pt>
    <dgm:pt modelId="{761391F2-6AFA-4C32-BCE8-3E02208B832A}" type="pres">
      <dgm:prSet presAssocID="{802DE616-5132-45A9-9482-5CBBF7F9E574}" presName="childTx" presStyleLbl="bgAccFollowNode1" presStyleIdx="3" presStyleCnt="4">
        <dgm:presLayoutVars>
          <dgm:bulletEnabled val="1"/>
        </dgm:presLayoutVars>
      </dgm:prSet>
      <dgm:spPr/>
      <dgm:t>
        <a:bodyPr/>
        <a:lstStyle/>
        <a:p>
          <a:endParaRPr lang="bg-BG"/>
        </a:p>
      </dgm:t>
    </dgm:pt>
    <dgm:pt modelId="{16120DF7-5C0C-475B-9CD4-B1024253E23D}" type="pres">
      <dgm:prSet presAssocID="{9772790B-0262-4DFE-A5DE-38A8470EF69A}" presName="negSpace" presStyleCnt="0"/>
      <dgm:spPr/>
      <dgm:t>
        <a:bodyPr/>
        <a:lstStyle/>
        <a:p>
          <a:endParaRPr lang="bg-BG"/>
        </a:p>
      </dgm:t>
    </dgm:pt>
    <dgm:pt modelId="{8E47FB41-B1F1-4A02-9286-689CDEA6B390}" type="pres">
      <dgm:prSet presAssocID="{9772790B-0262-4DFE-A5DE-38A8470EF69A}" presName="circle" presStyleLbl="node1" presStyleIdx="1" presStyleCnt="2"/>
      <dgm:spPr>
        <a:prstGeom prst="ellipse">
          <a:avLst/>
        </a:prstGeom>
      </dgm:spPr>
      <dgm:t>
        <a:bodyPr/>
        <a:lstStyle/>
        <a:p>
          <a:endParaRPr lang="bg-BG"/>
        </a:p>
      </dgm:t>
    </dgm:pt>
  </dgm:ptLst>
  <dgm:cxnLst>
    <dgm:cxn modelId="{AA39461D-97E8-4F10-8C09-94D51851B5F0}" type="presOf" srcId="{F57DB2DF-9C8C-473E-AD4C-6CDF94371C22}" destId="{37168DCC-9728-4B58-B79E-B0CD3C82BCFF}" srcOrd="1" destOrd="0" presId="urn:microsoft.com/office/officeart/2005/8/layout/hList9"/>
    <dgm:cxn modelId="{F6F91D32-4FDE-4BC1-8F50-9DF87785CB6F}" srcId="{9772790B-0262-4DFE-A5DE-38A8470EF69A}" destId="{F57DB2DF-9C8C-473E-AD4C-6CDF94371C22}" srcOrd="0" destOrd="0" parTransId="{EB3FC3D1-C7C6-4902-963C-593B05008729}" sibTransId="{8D4EB801-F6D0-4352-B53F-2C91D448C6D6}"/>
    <dgm:cxn modelId="{30AECC69-5DC2-4A53-8E8A-0A9FB9FE7D36}" srcId="{9772790B-0262-4DFE-A5DE-38A8470EF69A}" destId="{802DE616-5132-45A9-9482-5CBBF7F9E574}" srcOrd="1" destOrd="0" parTransId="{80CE270B-3796-4B45-B815-16F346223A99}" sibTransId="{497C30C3-0931-4D68-892C-0685310C9002}"/>
    <dgm:cxn modelId="{62024164-BEC9-422D-99AE-9B006AFF0748}" type="presOf" srcId="{F9068301-E816-4E0B-844F-458E13AB2617}" destId="{057955A9-9622-4B7C-ABF0-340D6D8DC0DE}" srcOrd="0" destOrd="0" presId="urn:microsoft.com/office/officeart/2005/8/layout/hList9"/>
    <dgm:cxn modelId="{E7D378DF-B265-41F6-9911-3346EF7AFB4D}" type="presOf" srcId="{802DE616-5132-45A9-9482-5CBBF7F9E574}" destId="{CDE9EBED-1844-4499-9007-5BB5618E49E8}" srcOrd="0" destOrd="0" presId="urn:microsoft.com/office/officeart/2005/8/layout/hList9"/>
    <dgm:cxn modelId="{36C65F66-F79E-4825-989C-06F963BB3DDE}" type="presOf" srcId="{DDF11C44-B03A-4DE1-89A1-489FE24C6ABE}" destId="{24E05DCC-03AF-4C64-8C6E-F9F09DF86CA6}" srcOrd="0" destOrd="0" presId="urn:microsoft.com/office/officeart/2005/8/layout/hList9"/>
    <dgm:cxn modelId="{2BA95DD5-926C-4C9B-A9F0-86A0F3AC9D30}" type="presOf" srcId="{05F6B969-8AEC-4E1D-BC7F-B93769C8B69E}" destId="{12D6F020-808D-4D4B-A934-61566F5107A2}" srcOrd="0" destOrd="0" presId="urn:microsoft.com/office/officeart/2005/8/layout/hList9"/>
    <dgm:cxn modelId="{4363765D-3E5B-4864-B52D-ED2E88652A73}" srcId="{DDF11C44-B03A-4DE1-89A1-489FE24C6ABE}" destId="{02D9600E-3EDE-4B0C-9C6A-D7A5B5746B19}" srcOrd="0" destOrd="0" parTransId="{ABDB9440-8781-4FF9-84EC-F9F2DEB23CB4}" sibTransId="{C6DA94D9-93AE-4A42-94F4-15B5D768BCE5}"/>
    <dgm:cxn modelId="{111A079D-3D71-48A4-9112-B06A715EBADD}" type="presOf" srcId="{F9068301-E816-4E0B-844F-458E13AB2617}" destId="{3FDCC83A-A0D1-45E7-B3FF-EB443DF04D67}" srcOrd="1" destOrd="0" presId="urn:microsoft.com/office/officeart/2005/8/layout/hList9"/>
    <dgm:cxn modelId="{45DEA494-3841-4B90-9562-342E7B75DCDC}" type="presOf" srcId="{802DE616-5132-45A9-9482-5CBBF7F9E574}" destId="{761391F2-6AFA-4C32-BCE8-3E02208B832A}" srcOrd="1" destOrd="0" presId="urn:microsoft.com/office/officeart/2005/8/layout/hList9"/>
    <dgm:cxn modelId="{FE8C1D36-9ABC-420E-A045-640468916100}" type="presOf" srcId="{02D9600E-3EDE-4B0C-9C6A-D7A5B5746B19}" destId="{29268762-CF50-4335-9C9D-F40307B26A50}" srcOrd="0" destOrd="0" presId="urn:microsoft.com/office/officeart/2005/8/layout/hList9"/>
    <dgm:cxn modelId="{A0B7D943-8DDA-4796-AB37-B259CFDE2887}" type="presOf" srcId="{02D9600E-3EDE-4B0C-9C6A-D7A5B5746B19}" destId="{46700B89-BCA4-4888-8B86-EB4FD1198F8D}" srcOrd="1" destOrd="0" presId="urn:microsoft.com/office/officeart/2005/8/layout/hList9"/>
    <dgm:cxn modelId="{999A493A-5E13-4AF6-AC57-BD1CE0B50D57}" srcId="{DDF11C44-B03A-4DE1-89A1-489FE24C6ABE}" destId="{F9068301-E816-4E0B-844F-458E13AB2617}" srcOrd="1" destOrd="0" parTransId="{6E69BACD-03FC-4679-A76D-1047C37BDD4F}" sibTransId="{7786C584-5240-452E-BC91-258767DCAC07}"/>
    <dgm:cxn modelId="{D1EFCE84-01A0-4AE2-9B55-8F7713962C86}" type="presOf" srcId="{F57DB2DF-9C8C-473E-AD4C-6CDF94371C22}" destId="{DF6C0483-70DC-4C50-A871-4025E8247335}" srcOrd="0" destOrd="0" presId="urn:microsoft.com/office/officeart/2005/8/layout/hList9"/>
    <dgm:cxn modelId="{E13ED72C-796C-4551-9623-24853A475CDA}" srcId="{05F6B969-8AEC-4E1D-BC7F-B93769C8B69E}" destId="{9772790B-0262-4DFE-A5DE-38A8470EF69A}" srcOrd="1" destOrd="0" parTransId="{9147D602-3E19-4088-A2FD-027AD0B61E41}" sibTransId="{BC801DFB-EF48-49FD-B010-98C093C553C1}"/>
    <dgm:cxn modelId="{960B760E-6197-4E41-B68B-389A8146FFC7}" srcId="{05F6B969-8AEC-4E1D-BC7F-B93769C8B69E}" destId="{DDF11C44-B03A-4DE1-89A1-489FE24C6ABE}" srcOrd="0" destOrd="0" parTransId="{0705CEA0-96D2-49BB-A66C-DBE1BC3F54A7}" sibTransId="{47532267-98A4-4109-857A-26777FDBEE09}"/>
    <dgm:cxn modelId="{D315AF68-71DA-40E2-8D75-5087498D83C0}" type="presOf" srcId="{9772790B-0262-4DFE-A5DE-38A8470EF69A}" destId="{8E47FB41-B1F1-4A02-9286-689CDEA6B390}" srcOrd="0" destOrd="0" presId="urn:microsoft.com/office/officeart/2005/8/layout/hList9"/>
    <dgm:cxn modelId="{8191A706-15F6-4AD2-AABE-8E868A3F399D}" type="presParOf" srcId="{12D6F020-808D-4D4B-A934-61566F5107A2}" destId="{5F8A0274-6388-44F7-AA5F-EA995CF3E838}" srcOrd="0" destOrd="0" presId="urn:microsoft.com/office/officeart/2005/8/layout/hList9"/>
    <dgm:cxn modelId="{DA4A73D2-C5BE-40E2-9E24-9698A354F9E3}" type="presParOf" srcId="{12D6F020-808D-4D4B-A934-61566F5107A2}" destId="{D3183CED-FA6A-4FF8-AA84-49F45EAA2959}" srcOrd="1" destOrd="0" presId="urn:microsoft.com/office/officeart/2005/8/layout/hList9"/>
    <dgm:cxn modelId="{89E86C92-C5E7-41ED-8FDB-BC24553BEDC7}" type="presParOf" srcId="{D3183CED-FA6A-4FF8-AA84-49F45EAA2959}" destId="{87C3D89F-EC1F-4A6A-84FF-D29DA86C0D90}" srcOrd="0" destOrd="0" presId="urn:microsoft.com/office/officeart/2005/8/layout/hList9"/>
    <dgm:cxn modelId="{D8C533F9-9FB5-42CF-A122-7E9ADC06E103}" type="presParOf" srcId="{D3183CED-FA6A-4FF8-AA84-49F45EAA2959}" destId="{8F4D68C8-B5E7-4A71-AEA1-5F0043225AD4}" srcOrd="1" destOrd="0" presId="urn:microsoft.com/office/officeart/2005/8/layout/hList9"/>
    <dgm:cxn modelId="{82944375-5039-41C9-894A-83FFBF3B9E87}" type="presParOf" srcId="{8F4D68C8-B5E7-4A71-AEA1-5F0043225AD4}" destId="{29268762-CF50-4335-9C9D-F40307B26A50}" srcOrd="0" destOrd="0" presId="urn:microsoft.com/office/officeart/2005/8/layout/hList9"/>
    <dgm:cxn modelId="{AA60D9BB-6881-4AD5-8C31-BED8B2E22440}" type="presParOf" srcId="{8F4D68C8-B5E7-4A71-AEA1-5F0043225AD4}" destId="{46700B89-BCA4-4888-8B86-EB4FD1198F8D}" srcOrd="1" destOrd="0" presId="urn:microsoft.com/office/officeart/2005/8/layout/hList9"/>
    <dgm:cxn modelId="{8A2D4F32-1796-4B71-B433-7F4E9B8D1AF3}" type="presParOf" srcId="{D3183CED-FA6A-4FF8-AA84-49F45EAA2959}" destId="{81F90AAF-26E4-49FB-8202-34AB4D90963F}" srcOrd="2" destOrd="0" presId="urn:microsoft.com/office/officeart/2005/8/layout/hList9"/>
    <dgm:cxn modelId="{ABCC1A35-8479-4513-BCFF-F9AC55BB0C9F}" type="presParOf" srcId="{81F90AAF-26E4-49FB-8202-34AB4D90963F}" destId="{057955A9-9622-4B7C-ABF0-340D6D8DC0DE}" srcOrd="0" destOrd="0" presId="urn:microsoft.com/office/officeart/2005/8/layout/hList9"/>
    <dgm:cxn modelId="{9B5A5E87-8D9D-4059-9CF8-3AA3AC72D80F}" type="presParOf" srcId="{81F90AAF-26E4-49FB-8202-34AB4D90963F}" destId="{3FDCC83A-A0D1-45E7-B3FF-EB443DF04D67}" srcOrd="1" destOrd="0" presId="urn:microsoft.com/office/officeart/2005/8/layout/hList9"/>
    <dgm:cxn modelId="{B041A80A-9602-4BCE-884C-1AAD0368086F}" type="presParOf" srcId="{12D6F020-808D-4D4B-A934-61566F5107A2}" destId="{44805F49-6A96-4EBB-893D-994A8B4B432A}" srcOrd="2" destOrd="0" presId="urn:microsoft.com/office/officeart/2005/8/layout/hList9"/>
    <dgm:cxn modelId="{1FE7036E-5353-46A6-8D95-56C4CDAA09B3}" type="presParOf" srcId="{12D6F020-808D-4D4B-A934-61566F5107A2}" destId="{24E05DCC-03AF-4C64-8C6E-F9F09DF86CA6}" srcOrd="3" destOrd="0" presId="urn:microsoft.com/office/officeart/2005/8/layout/hList9"/>
    <dgm:cxn modelId="{D221D488-2188-417F-B181-4FB17B12925A}" type="presParOf" srcId="{12D6F020-808D-4D4B-A934-61566F5107A2}" destId="{1EA86B03-9BD8-4A61-AF38-AE0C521019C2}" srcOrd="4" destOrd="0" presId="urn:microsoft.com/office/officeart/2005/8/layout/hList9"/>
    <dgm:cxn modelId="{387EC9C9-C5A2-4418-BBCB-F2750FB6C1A7}" type="presParOf" srcId="{12D6F020-808D-4D4B-A934-61566F5107A2}" destId="{CB2E456A-F147-4EC2-BF26-E476969CD200}" srcOrd="5" destOrd="0" presId="urn:microsoft.com/office/officeart/2005/8/layout/hList9"/>
    <dgm:cxn modelId="{6DE532EF-E074-4F56-A48E-3A7BBADF3673}" type="presParOf" srcId="{12D6F020-808D-4D4B-A934-61566F5107A2}" destId="{B6F50A71-D9F4-415B-A5CC-A40D31BBD42C}" srcOrd="6" destOrd="0" presId="urn:microsoft.com/office/officeart/2005/8/layout/hList9"/>
    <dgm:cxn modelId="{38DDEA11-B347-4746-8293-2C0A49C35DEA}" type="presParOf" srcId="{B6F50A71-D9F4-415B-A5CC-A40D31BBD42C}" destId="{8AA031E1-9753-44F8-B08D-4CA961C10700}" srcOrd="0" destOrd="0" presId="urn:microsoft.com/office/officeart/2005/8/layout/hList9"/>
    <dgm:cxn modelId="{1F28B735-5C19-496F-91B6-AF7442106B38}" type="presParOf" srcId="{B6F50A71-D9F4-415B-A5CC-A40D31BBD42C}" destId="{8A137D88-B0D0-48B5-96EA-FE177922FCC9}" srcOrd="1" destOrd="0" presId="urn:microsoft.com/office/officeart/2005/8/layout/hList9"/>
    <dgm:cxn modelId="{11828880-8B75-4DCD-904E-24CDC3C8D6A3}" type="presParOf" srcId="{8A137D88-B0D0-48B5-96EA-FE177922FCC9}" destId="{DF6C0483-70DC-4C50-A871-4025E8247335}" srcOrd="0" destOrd="0" presId="urn:microsoft.com/office/officeart/2005/8/layout/hList9"/>
    <dgm:cxn modelId="{86BF5D32-A116-4EA9-87AF-E56D77D3DB33}" type="presParOf" srcId="{8A137D88-B0D0-48B5-96EA-FE177922FCC9}" destId="{37168DCC-9728-4B58-B79E-B0CD3C82BCFF}" srcOrd="1" destOrd="0" presId="urn:microsoft.com/office/officeart/2005/8/layout/hList9"/>
    <dgm:cxn modelId="{8483A0B4-BBAB-465C-B545-F8C5F06443E8}" type="presParOf" srcId="{B6F50A71-D9F4-415B-A5CC-A40D31BBD42C}" destId="{06C78AE7-5313-40D4-9E7B-5C5B0488D60B}" srcOrd="2" destOrd="0" presId="urn:microsoft.com/office/officeart/2005/8/layout/hList9"/>
    <dgm:cxn modelId="{34BCEE2B-320F-4E74-AA3A-A48145A61DC7}" type="presParOf" srcId="{06C78AE7-5313-40D4-9E7B-5C5B0488D60B}" destId="{CDE9EBED-1844-4499-9007-5BB5618E49E8}" srcOrd="0" destOrd="0" presId="urn:microsoft.com/office/officeart/2005/8/layout/hList9"/>
    <dgm:cxn modelId="{25A2C807-64E2-490B-9169-AF1CFD52F93E}" type="presParOf" srcId="{06C78AE7-5313-40D4-9E7B-5C5B0488D60B}" destId="{761391F2-6AFA-4C32-BCE8-3E02208B832A}" srcOrd="1" destOrd="0" presId="urn:microsoft.com/office/officeart/2005/8/layout/hList9"/>
    <dgm:cxn modelId="{540F15E5-28E3-46A5-9065-6CB4F48199E3}" type="presParOf" srcId="{12D6F020-808D-4D4B-A934-61566F5107A2}" destId="{16120DF7-5C0C-475B-9CD4-B1024253E23D}" srcOrd="7" destOrd="0" presId="urn:microsoft.com/office/officeart/2005/8/layout/hList9"/>
    <dgm:cxn modelId="{9B071DB4-E4D2-43F6-B2D0-E47AF9EA794D}" type="presParOf" srcId="{12D6F020-808D-4D4B-A934-61566F5107A2}" destId="{8E47FB41-B1F1-4A02-9286-689CDEA6B390}" srcOrd="8" destOrd="0" presId="urn:microsoft.com/office/officeart/2005/8/layout/hList9"/>
  </dgm:cxnLst>
  <dgm:bg/>
  <dgm:whole/>
  <dgm:extLst>
    <a:ext uri="http://schemas.microsoft.com/office/drawing/2008/diagram">
      <dsp:dataModelExt xmlns:dsp="http://schemas.microsoft.com/office/drawing/2008/diagram" relId="rId170"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356F2771-5387-420E-A61D-1923D48A7C5A}" type="doc">
      <dgm:prSet loTypeId="urn:microsoft.com/office/officeart/2005/8/layout/orgChart1" loCatId="hierarchy" qsTypeId="urn:microsoft.com/office/officeart/2005/8/quickstyle/3d1" qsCatId="3D" csTypeId="urn:microsoft.com/office/officeart/2005/8/colors/accent1_2" csCatId="accent1" phldr="1"/>
      <dgm:spPr/>
      <dgm:t>
        <a:bodyPr/>
        <a:lstStyle/>
        <a:p>
          <a:endParaRPr lang="bg-BG"/>
        </a:p>
      </dgm:t>
    </dgm:pt>
    <dgm:pt modelId="{2EAEB09A-D61D-43E8-AF1E-74C82D36F6CD}">
      <dgm:prSet phldrT="[Text]" custT="1"/>
      <dgm:spPr/>
      <dgm:t>
        <a:bodyPr/>
        <a:lstStyle/>
        <a:p>
          <a:r>
            <a:rPr lang="bg-BG" sz="1400" b="1"/>
            <a:t>Фонд за устойчиви </a:t>
          </a:r>
        </a:p>
        <a:p>
          <a:r>
            <a:rPr lang="bg-BG" sz="1400" b="1"/>
            <a:t>инвестиции във  ВиК  </a:t>
          </a:r>
        </a:p>
        <a:p>
          <a:r>
            <a:rPr lang="bg-BG" sz="1400" b="1"/>
            <a:t>сектора</a:t>
          </a:r>
        </a:p>
      </dgm:t>
    </dgm:pt>
    <dgm:pt modelId="{532241B9-0737-4056-ACA8-191047264404}" type="parTrans" cxnId="{CBEEB579-E714-480D-9992-41F847142FDC}">
      <dgm:prSet/>
      <dgm:spPr/>
      <dgm:t>
        <a:bodyPr/>
        <a:lstStyle/>
        <a:p>
          <a:endParaRPr lang="bg-BG"/>
        </a:p>
      </dgm:t>
    </dgm:pt>
    <dgm:pt modelId="{9F535197-1383-4506-9484-4DF2485E7DAE}" type="sibTrans" cxnId="{CBEEB579-E714-480D-9992-41F847142FDC}">
      <dgm:prSet/>
      <dgm:spPr/>
      <dgm:t>
        <a:bodyPr/>
        <a:lstStyle/>
        <a:p>
          <a:endParaRPr lang="bg-BG"/>
        </a:p>
      </dgm:t>
    </dgm:pt>
    <dgm:pt modelId="{1670CADF-406E-48DE-B9CC-62E838AEDB27}" type="asst">
      <dgm:prSet phldrT="[Text]" custT="1"/>
      <dgm:spPr/>
      <dgm:t>
        <a:bodyPr/>
        <a:lstStyle/>
        <a:p>
          <a:r>
            <a:rPr lang="bg-BG" sz="1200"/>
            <a:t>Гаранции за поемане на част   от кредитния риск за паралелно финансиране до 80%</a:t>
          </a:r>
        </a:p>
      </dgm:t>
    </dgm:pt>
    <dgm:pt modelId="{047D6450-1C89-48A7-9D74-25DB3D39F43E}" type="parTrans" cxnId="{B810CA21-56F9-4F6B-AB33-289B370E02A3}">
      <dgm:prSet/>
      <dgm:spPr/>
      <dgm:t>
        <a:bodyPr/>
        <a:lstStyle/>
        <a:p>
          <a:endParaRPr lang="bg-BG"/>
        </a:p>
      </dgm:t>
    </dgm:pt>
    <dgm:pt modelId="{974B4199-B6AD-4E22-85E8-E674256421F7}" type="sibTrans" cxnId="{B810CA21-56F9-4F6B-AB33-289B370E02A3}">
      <dgm:prSet/>
      <dgm:spPr/>
      <dgm:t>
        <a:bodyPr/>
        <a:lstStyle/>
        <a:p>
          <a:endParaRPr lang="bg-BG"/>
        </a:p>
      </dgm:t>
    </dgm:pt>
    <dgm:pt modelId="{0DA31C31-D8E7-4367-8E62-3EF146D02551}" type="asst">
      <dgm:prSet phldrT="[Text]" custT="1"/>
      <dgm:spPr/>
      <dgm:t>
        <a:bodyPr/>
        <a:lstStyle/>
        <a:p>
          <a:r>
            <a:rPr lang="bg-BG" sz="1200"/>
            <a:t>Директни  кредити за проекти във ВиК сектора</a:t>
          </a:r>
        </a:p>
      </dgm:t>
    </dgm:pt>
    <dgm:pt modelId="{8F8A7F3E-F2B8-4C2A-A9E6-23E390589462}" type="parTrans" cxnId="{A5A2398C-EA2C-4A04-A0CC-BB4F342627AA}">
      <dgm:prSet/>
      <dgm:spPr/>
      <dgm:t>
        <a:bodyPr/>
        <a:lstStyle/>
        <a:p>
          <a:endParaRPr lang="bg-BG"/>
        </a:p>
      </dgm:t>
    </dgm:pt>
    <dgm:pt modelId="{D05834AC-3A66-4C28-A135-67E4721F0C95}" type="sibTrans" cxnId="{A5A2398C-EA2C-4A04-A0CC-BB4F342627AA}">
      <dgm:prSet/>
      <dgm:spPr/>
      <dgm:t>
        <a:bodyPr/>
        <a:lstStyle/>
        <a:p>
          <a:endParaRPr lang="bg-BG"/>
        </a:p>
      </dgm:t>
    </dgm:pt>
    <dgm:pt modelId="{A40110D9-DEC1-4927-A0E8-FA61E6A3ECFD}" type="asst">
      <dgm:prSet phldrT="[Text]" custT="1"/>
      <dgm:spPr/>
      <dgm:t>
        <a:bodyPr/>
        <a:lstStyle/>
        <a:p>
          <a:r>
            <a:rPr lang="bg-BG" sz="1200"/>
            <a:t>ВиК дружества</a:t>
          </a:r>
        </a:p>
      </dgm:t>
    </dgm:pt>
    <dgm:pt modelId="{CBE32FA9-5112-48FE-B8D8-1DFFB3234EBA}" type="parTrans" cxnId="{917616EC-C780-4DE7-A26A-D25F663F9927}">
      <dgm:prSet/>
      <dgm:spPr/>
      <dgm:t>
        <a:bodyPr/>
        <a:lstStyle/>
        <a:p>
          <a:endParaRPr lang="bg-BG"/>
        </a:p>
      </dgm:t>
    </dgm:pt>
    <dgm:pt modelId="{307AE74F-D3B4-4952-87F3-FFB43EC448D0}" type="sibTrans" cxnId="{917616EC-C780-4DE7-A26A-D25F663F9927}">
      <dgm:prSet/>
      <dgm:spPr/>
      <dgm:t>
        <a:bodyPr/>
        <a:lstStyle/>
        <a:p>
          <a:endParaRPr lang="bg-BG"/>
        </a:p>
      </dgm:t>
    </dgm:pt>
    <dgm:pt modelId="{C8A3695D-9510-4D39-872F-9FF332505380}" type="asst">
      <dgm:prSet phldrT="[Text]" custT="1"/>
      <dgm:spPr/>
      <dgm:t>
        <a:bodyPr/>
        <a:lstStyle/>
        <a:p>
          <a:r>
            <a:rPr lang="bg-BG" sz="1200"/>
            <a:t>Паралелни кредити от търговски банки </a:t>
          </a:r>
        </a:p>
      </dgm:t>
    </dgm:pt>
    <dgm:pt modelId="{49501E86-7D38-4A94-A257-CBDFC61ECD3F}" type="parTrans" cxnId="{E56A3BD3-E5CE-4A1D-B496-1CECFA94BE11}">
      <dgm:prSet/>
      <dgm:spPr/>
      <dgm:t>
        <a:bodyPr/>
        <a:lstStyle/>
        <a:p>
          <a:endParaRPr lang="bg-BG"/>
        </a:p>
      </dgm:t>
    </dgm:pt>
    <dgm:pt modelId="{C980708F-FFEA-40D4-A406-D31192927732}" type="sibTrans" cxnId="{E56A3BD3-E5CE-4A1D-B496-1CECFA94BE11}">
      <dgm:prSet/>
      <dgm:spPr/>
      <dgm:t>
        <a:bodyPr/>
        <a:lstStyle/>
        <a:p>
          <a:endParaRPr lang="bg-BG"/>
        </a:p>
      </dgm:t>
    </dgm:pt>
    <dgm:pt modelId="{4FCC0B66-854A-4C33-8A07-A56FA766017D}" type="pres">
      <dgm:prSet presAssocID="{356F2771-5387-420E-A61D-1923D48A7C5A}" presName="hierChild1" presStyleCnt="0">
        <dgm:presLayoutVars>
          <dgm:orgChart val="1"/>
          <dgm:chPref val="1"/>
          <dgm:dir/>
          <dgm:animOne val="branch"/>
          <dgm:animLvl val="lvl"/>
          <dgm:resizeHandles/>
        </dgm:presLayoutVars>
      </dgm:prSet>
      <dgm:spPr/>
      <dgm:t>
        <a:bodyPr/>
        <a:lstStyle/>
        <a:p>
          <a:endParaRPr lang="bg-BG"/>
        </a:p>
      </dgm:t>
    </dgm:pt>
    <dgm:pt modelId="{7CA4E860-03F1-4C2B-8AD9-704F81ABFCBF}" type="pres">
      <dgm:prSet presAssocID="{2EAEB09A-D61D-43E8-AF1E-74C82D36F6CD}" presName="hierRoot1" presStyleCnt="0">
        <dgm:presLayoutVars>
          <dgm:hierBranch val="init"/>
        </dgm:presLayoutVars>
      </dgm:prSet>
      <dgm:spPr/>
      <dgm:t>
        <a:bodyPr/>
        <a:lstStyle/>
        <a:p>
          <a:endParaRPr lang="bg-BG"/>
        </a:p>
      </dgm:t>
    </dgm:pt>
    <dgm:pt modelId="{9259A7F9-9846-443A-BCDC-9ACF5DAC983C}" type="pres">
      <dgm:prSet presAssocID="{2EAEB09A-D61D-43E8-AF1E-74C82D36F6CD}" presName="rootComposite1" presStyleCnt="0"/>
      <dgm:spPr/>
      <dgm:t>
        <a:bodyPr/>
        <a:lstStyle/>
        <a:p>
          <a:endParaRPr lang="bg-BG"/>
        </a:p>
      </dgm:t>
    </dgm:pt>
    <dgm:pt modelId="{A5478BEF-2966-45A7-BD38-7B23E2CA6C2A}" type="pres">
      <dgm:prSet presAssocID="{2EAEB09A-D61D-43E8-AF1E-74C82D36F6CD}" presName="rootText1" presStyleLbl="node0" presStyleIdx="0" presStyleCnt="1" custScaleX="150370" custScaleY="172971" custLinFactNeighborX="-544" custLinFactNeighborY="-30298">
        <dgm:presLayoutVars>
          <dgm:chPref val="3"/>
        </dgm:presLayoutVars>
      </dgm:prSet>
      <dgm:spPr/>
      <dgm:t>
        <a:bodyPr/>
        <a:lstStyle/>
        <a:p>
          <a:endParaRPr lang="bg-BG"/>
        </a:p>
      </dgm:t>
    </dgm:pt>
    <dgm:pt modelId="{FABBF046-4EEB-47CB-BE3B-5FD519FE34B3}" type="pres">
      <dgm:prSet presAssocID="{2EAEB09A-D61D-43E8-AF1E-74C82D36F6CD}" presName="rootConnector1" presStyleLbl="node1" presStyleIdx="0" presStyleCnt="0"/>
      <dgm:spPr/>
      <dgm:t>
        <a:bodyPr/>
        <a:lstStyle/>
        <a:p>
          <a:endParaRPr lang="bg-BG"/>
        </a:p>
      </dgm:t>
    </dgm:pt>
    <dgm:pt modelId="{0F1C2577-B7B5-4D5F-8CCC-6AF541CED544}" type="pres">
      <dgm:prSet presAssocID="{2EAEB09A-D61D-43E8-AF1E-74C82D36F6CD}" presName="hierChild2" presStyleCnt="0"/>
      <dgm:spPr/>
      <dgm:t>
        <a:bodyPr/>
        <a:lstStyle/>
        <a:p>
          <a:endParaRPr lang="bg-BG"/>
        </a:p>
      </dgm:t>
    </dgm:pt>
    <dgm:pt modelId="{2B1DFC13-51D4-4A5D-84A2-51F951C2D874}" type="pres">
      <dgm:prSet presAssocID="{2EAEB09A-D61D-43E8-AF1E-74C82D36F6CD}" presName="hierChild3" presStyleCnt="0"/>
      <dgm:spPr/>
      <dgm:t>
        <a:bodyPr/>
        <a:lstStyle/>
        <a:p>
          <a:endParaRPr lang="bg-BG"/>
        </a:p>
      </dgm:t>
    </dgm:pt>
    <dgm:pt modelId="{43DCCB3C-0A0B-4DF1-B2AE-CA4798FB0197}" type="pres">
      <dgm:prSet presAssocID="{047D6450-1C89-48A7-9D74-25DB3D39F43E}" presName="Name111" presStyleLbl="parChTrans1D2" presStyleIdx="0" presStyleCnt="2"/>
      <dgm:spPr/>
      <dgm:t>
        <a:bodyPr/>
        <a:lstStyle/>
        <a:p>
          <a:endParaRPr lang="bg-BG"/>
        </a:p>
      </dgm:t>
    </dgm:pt>
    <dgm:pt modelId="{0D077E34-518B-4235-B954-FD02A2ADF5F8}" type="pres">
      <dgm:prSet presAssocID="{1670CADF-406E-48DE-B9CC-62E838AEDB27}" presName="hierRoot3" presStyleCnt="0">
        <dgm:presLayoutVars>
          <dgm:hierBranch val="init"/>
        </dgm:presLayoutVars>
      </dgm:prSet>
      <dgm:spPr/>
      <dgm:t>
        <a:bodyPr/>
        <a:lstStyle/>
        <a:p>
          <a:endParaRPr lang="bg-BG"/>
        </a:p>
      </dgm:t>
    </dgm:pt>
    <dgm:pt modelId="{1ADCABBE-EA67-4DAE-8A29-0E2C5106A8F4}" type="pres">
      <dgm:prSet presAssocID="{1670CADF-406E-48DE-B9CC-62E838AEDB27}" presName="rootComposite3" presStyleCnt="0"/>
      <dgm:spPr/>
      <dgm:t>
        <a:bodyPr/>
        <a:lstStyle/>
        <a:p>
          <a:endParaRPr lang="bg-BG"/>
        </a:p>
      </dgm:t>
    </dgm:pt>
    <dgm:pt modelId="{92A83981-11F3-41A0-BBFD-C4809526ED15}" type="pres">
      <dgm:prSet presAssocID="{1670CADF-406E-48DE-B9CC-62E838AEDB27}" presName="rootText3" presStyleLbl="asst1" presStyleIdx="0" presStyleCnt="4" custScaleX="127795" custScaleY="138130" custLinFactNeighborX="-12247" custLinFactNeighborY="-1965">
        <dgm:presLayoutVars>
          <dgm:chPref val="3"/>
        </dgm:presLayoutVars>
      </dgm:prSet>
      <dgm:spPr/>
      <dgm:t>
        <a:bodyPr/>
        <a:lstStyle/>
        <a:p>
          <a:endParaRPr lang="bg-BG"/>
        </a:p>
      </dgm:t>
    </dgm:pt>
    <dgm:pt modelId="{9BEBFD61-71F7-482B-AAA7-6E59BF0FFA63}" type="pres">
      <dgm:prSet presAssocID="{1670CADF-406E-48DE-B9CC-62E838AEDB27}" presName="rootConnector3" presStyleLbl="asst1" presStyleIdx="0" presStyleCnt="4"/>
      <dgm:spPr/>
      <dgm:t>
        <a:bodyPr/>
        <a:lstStyle/>
        <a:p>
          <a:endParaRPr lang="bg-BG"/>
        </a:p>
      </dgm:t>
    </dgm:pt>
    <dgm:pt modelId="{B9F93ECE-1FF9-4CC4-95BC-6AD7E1CCF0DC}" type="pres">
      <dgm:prSet presAssocID="{1670CADF-406E-48DE-B9CC-62E838AEDB27}" presName="hierChild6" presStyleCnt="0"/>
      <dgm:spPr/>
      <dgm:t>
        <a:bodyPr/>
        <a:lstStyle/>
        <a:p>
          <a:endParaRPr lang="bg-BG"/>
        </a:p>
      </dgm:t>
    </dgm:pt>
    <dgm:pt modelId="{223175AF-F3E4-4117-856A-DBA50CB6F10E}" type="pres">
      <dgm:prSet presAssocID="{1670CADF-406E-48DE-B9CC-62E838AEDB27}" presName="hierChild7" presStyleCnt="0"/>
      <dgm:spPr/>
      <dgm:t>
        <a:bodyPr/>
        <a:lstStyle/>
        <a:p>
          <a:endParaRPr lang="bg-BG"/>
        </a:p>
      </dgm:t>
    </dgm:pt>
    <dgm:pt modelId="{1A543F11-94BA-4DD0-A740-7998962D7237}" type="pres">
      <dgm:prSet presAssocID="{49501E86-7D38-4A94-A257-CBDFC61ECD3F}" presName="Name111" presStyleLbl="parChTrans1D3" presStyleIdx="0" presStyleCnt="2"/>
      <dgm:spPr/>
      <dgm:t>
        <a:bodyPr/>
        <a:lstStyle/>
        <a:p>
          <a:endParaRPr lang="bg-BG"/>
        </a:p>
      </dgm:t>
    </dgm:pt>
    <dgm:pt modelId="{5AA680C5-AC59-4636-B1AD-C2A65EBD6B9E}" type="pres">
      <dgm:prSet presAssocID="{C8A3695D-9510-4D39-872F-9FF332505380}" presName="hierRoot3" presStyleCnt="0">
        <dgm:presLayoutVars>
          <dgm:hierBranch val="init"/>
        </dgm:presLayoutVars>
      </dgm:prSet>
      <dgm:spPr/>
      <dgm:t>
        <a:bodyPr/>
        <a:lstStyle/>
        <a:p>
          <a:endParaRPr lang="bg-BG"/>
        </a:p>
      </dgm:t>
    </dgm:pt>
    <dgm:pt modelId="{411DF6E8-E338-432A-B75C-304461FD9B92}" type="pres">
      <dgm:prSet presAssocID="{C8A3695D-9510-4D39-872F-9FF332505380}" presName="rootComposite3" presStyleCnt="0"/>
      <dgm:spPr/>
      <dgm:t>
        <a:bodyPr/>
        <a:lstStyle/>
        <a:p>
          <a:endParaRPr lang="bg-BG"/>
        </a:p>
      </dgm:t>
    </dgm:pt>
    <dgm:pt modelId="{E88C7D92-E618-4B1B-B29E-19F3DBCC3A22}" type="pres">
      <dgm:prSet presAssocID="{C8A3695D-9510-4D39-872F-9FF332505380}" presName="rootText3" presStyleLbl="asst1" presStyleIdx="1" presStyleCnt="4" custScaleX="78380" custLinFactNeighborX="-15498" custLinFactNeighborY="-1569">
        <dgm:presLayoutVars>
          <dgm:chPref val="3"/>
        </dgm:presLayoutVars>
      </dgm:prSet>
      <dgm:spPr/>
      <dgm:t>
        <a:bodyPr/>
        <a:lstStyle/>
        <a:p>
          <a:endParaRPr lang="bg-BG"/>
        </a:p>
      </dgm:t>
    </dgm:pt>
    <dgm:pt modelId="{BCEFA340-CAC2-44CC-B8C3-4BDC4362E95A}" type="pres">
      <dgm:prSet presAssocID="{C8A3695D-9510-4D39-872F-9FF332505380}" presName="rootConnector3" presStyleLbl="asst1" presStyleIdx="1" presStyleCnt="4"/>
      <dgm:spPr/>
      <dgm:t>
        <a:bodyPr/>
        <a:lstStyle/>
        <a:p>
          <a:endParaRPr lang="bg-BG"/>
        </a:p>
      </dgm:t>
    </dgm:pt>
    <dgm:pt modelId="{FB551E0C-01F9-4C4B-AD6D-660778791B0F}" type="pres">
      <dgm:prSet presAssocID="{C8A3695D-9510-4D39-872F-9FF332505380}" presName="hierChild6" presStyleCnt="0"/>
      <dgm:spPr/>
      <dgm:t>
        <a:bodyPr/>
        <a:lstStyle/>
        <a:p>
          <a:endParaRPr lang="bg-BG"/>
        </a:p>
      </dgm:t>
    </dgm:pt>
    <dgm:pt modelId="{703817EE-E846-44FB-8945-64A2E9C8C28F}" type="pres">
      <dgm:prSet presAssocID="{C8A3695D-9510-4D39-872F-9FF332505380}" presName="hierChild7" presStyleCnt="0"/>
      <dgm:spPr/>
      <dgm:t>
        <a:bodyPr/>
        <a:lstStyle/>
        <a:p>
          <a:endParaRPr lang="bg-BG"/>
        </a:p>
      </dgm:t>
    </dgm:pt>
    <dgm:pt modelId="{0F0FB104-3C5F-44C4-B8B9-70BDC7DFBCE2}" type="pres">
      <dgm:prSet presAssocID="{8F8A7F3E-F2B8-4C2A-A9E6-23E390589462}" presName="Name111" presStyleLbl="parChTrans1D2" presStyleIdx="1" presStyleCnt="2"/>
      <dgm:spPr/>
      <dgm:t>
        <a:bodyPr/>
        <a:lstStyle/>
        <a:p>
          <a:endParaRPr lang="bg-BG"/>
        </a:p>
      </dgm:t>
    </dgm:pt>
    <dgm:pt modelId="{1DE160B6-76F9-4A88-80CC-3AAD7A0F6D68}" type="pres">
      <dgm:prSet presAssocID="{0DA31C31-D8E7-4367-8E62-3EF146D02551}" presName="hierRoot3" presStyleCnt="0">
        <dgm:presLayoutVars>
          <dgm:hierBranch val="init"/>
        </dgm:presLayoutVars>
      </dgm:prSet>
      <dgm:spPr/>
      <dgm:t>
        <a:bodyPr/>
        <a:lstStyle/>
        <a:p>
          <a:endParaRPr lang="bg-BG"/>
        </a:p>
      </dgm:t>
    </dgm:pt>
    <dgm:pt modelId="{ED0E066A-260F-44E2-AA0A-BB9DBE471ED1}" type="pres">
      <dgm:prSet presAssocID="{0DA31C31-D8E7-4367-8E62-3EF146D02551}" presName="rootComposite3" presStyleCnt="0"/>
      <dgm:spPr/>
      <dgm:t>
        <a:bodyPr/>
        <a:lstStyle/>
        <a:p>
          <a:endParaRPr lang="bg-BG"/>
        </a:p>
      </dgm:t>
    </dgm:pt>
    <dgm:pt modelId="{FF00E875-B9B5-431B-9603-3C8528B9DD7B}" type="pres">
      <dgm:prSet presAssocID="{0DA31C31-D8E7-4367-8E62-3EF146D02551}" presName="rootText3" presStyleLbl="asst1" presStyleIdx="2" presStyleCnt="4" custScaleX="127734" custScaleY="138130" custLinFactNeighborX="-21545" custLinFactNeighborY="-2299">
        <dgm:presLayoutVars>
          <dgm:chPref val="3"/>
        </dgm:presLayoutVars>
      </dgm:prSet>
      <dgm:spPr/>
      <dgm:t>
        <a:bodyPr/>
        <a:lstStyle/>
        <a:p>
          <a:endParaRPr lang="bg-BG"/>
        </a:p>
      </dgm:t>
    </dgm:pt>
    <dgm:pt modelId="{E9F7D8A9-6D4D-4760-98EA-6347417A0C74}" type="pres">
      <dgm:prSet presAssocID="{0DA31C31-D8E7-4367-8E62-3EF146D02551}" presName="rootConnector3" presStyleLbl="asst1" presStyleIdx="2" presStyleCnt="4"/>
      <dgm:spPr/>
      <dgm:t>
        <a:bodyPr/>
        <a:lstStyle/>
        <a:p>
          <a:endParaRPr lang="bg-BG"/>
        </a:p>
      </dgm:t>
    </dgm:pt>
    <dgm:pt modelId="{63F289BE-7B67-4702-95F7-D4765BA166C2}" type="pres">
      <dgm:prSet presAssocID="{0DA31C31-D8E7-4367-8E62-3EF146D02551}" presName="hierChild6" presStyleCnt="0"/>
      <dgm:spPr/>
      <dgm:t>
        <a:bodyPr/>
        <a:lstStyle/>
        <a:p>
          <a:endParaRPr lang="bg-BG"/>
        </a:p>
      </dgm:t>
    </dgm:pt>
    <dgm:pt modelId="{F7934AF4-816A-44CD-8859-847DCF580A23}" type="pres">
      <dgm:prSet presAssocID="{0DA31C31-D8E7-4367-8E62-3EF146D02551}" presName="hierChild7" presStyleCnt="0"/>
      <dgm:spPr/>
      <dgm:t>
        <a:bodyPr/>
        <a:lstStyle/>
        <a:p>
          <a:endParaRPr lang="bg-BG"/>
        </a:p>
      </dgm:t>
    </dgm:pt>
    <dgm:pt modelId="{BB8BE6D0-1D1F-44A4-9050-A58A53514579}" type="pres">
      <dgm:prSet presAssocID="{CBE32FA9-5112-48FE-B8D8-1DFFB3234EBA}" presName="Name111" presStyleLbl="parChTrans1D3" presStyleIdx="1" presStyleCnt="2"/>
      <dgm:spPr/>
      <dgm:t>
        <a:bodyPr/>
        <a:lstStyle/>
        <a:p>
          <a:endParaRPr lang="bg-BG"/>
        </a:p>
      </dgm:t>
    </dgm:pt>
    <dgm:pt modelId="{3B8CAD39-D90C-41A6-97BB-E9DF84A5BA73}" type="pres">
      <dgm:prSet presAssocID="{A40110D9-DEC1-4927-A0E8-FA61E6A3ECFD}" presName="hierRoot3" presStyleCnt="0">
        <dgm:presLayoutVars>
          <dgm:hierBranch val="init"/>
        </dgm:presLayoutVars>
      </dgm:prSet>
      <dgm:spPr/>
      <dgm:t>
        <a:bodyPr/>
        <a:lstStyle/>
        <a:p>
          <a:endParaRPr lang="bg-BG"/>
        </a:p>
      </dgm:t>
    </dgm:pt>
    <dgm:pt modelId="{F6BD4B96-AF6C-423D-8935-D46521DF65D6}" type="pres">
      <dgm:prSet presAssocID="{A40110D9-DEC1-4927-A0E8-FA61E6A3ECFD}" presName="rootComposite3" presStyleCnt="0"/>
      <dgm:spPr/>
      <dgm:t>
        <a:bodyPr/>
        <a:lstStyle/>
        <a:p>
          <a:endParaRPr lang="bg-BG"/>
        </a:p>
      </dgm:t>
    </dgm:pt>
    <dgm:pt modelId="{B818DCD8-5B4A-41DB-A50E-2F5141ACA048}" type="pres">
      <dgm:prSet presAssocID="{A40110D9-DEC1-4927-A0E8-FA61E6A3ECFD}" presName="rootText3" presStyleLbl="asst1" presStyleIdx="3" presStyleCnt="4" custLinFactNeighborX="-19194" custLinFactNeighborY="-8029">
        <dgm:presLayoutVars>
          <dgm:chPref val="3"/>
        </dgm:presLayoutVars>
      </dgm:prSet>
      <dgm:spPr/>
      <dgm:t>
        <a:bodyPr/>
        <a:lstStyle/>
        <a:p>
          <a:endParaRPr lang="bg-BG"/>
        </a:p>
      </dgm:t>
    </dgm:pt>
    <dgm:pt modelId="{FA7D36C2-0EBF-43F4-ADD1-4220D749FE4C}" type="pres">
      <dgm:prSet presAssocID="{A40110D9-DEC1-4927-A0E8-FA61E6A3ECFD}" presName="rootConnector3" presStyleLbl="asst1" presStyleIdx="3" presStyleCnt="4"/>
      <dgm:spPr/>
      <dgm:t>
        <a:bodyPr/>
        <a:lstStyle/>
        <a:p>
          <a:endParaRPr lang="bg-BG"/>
        </a:p>
      </dgm:t>
    </dgm:pt>
    <dgm:pt modelId="{51E51B25-86AC-4BE6-84EA-BF7F736710B9}" type="pres">
      <dgm:prSet presAssocID="{A40110D9-DEC1-4927-A0E8-FA61E6A3ECFD}" presName="hierChild6" presStyleCnt="0"/>
      <dgm:spPr/>
      <dgm:t>
        <a:bodyPr/>
        <a:lstStyle/>
        <a:p>
          <a:endParaRPr lang="bg-BG"/>
        </a:p>
      </dgm:t>
    </dgm:pt>
    <dgm:pt modelId="{E33B9545-0835-4CAA-90A6-225ECD6CA83A}" type="pres">
      <dgm:prSet presAssocID="{A40110D9-DEC1-4927-A0E8-FA61E6A3ECFD}" presName="hierChild7" presStyleCnt="0"/>
      <dgm:spPr/>
      <dgm:t>
        <a:bodyPr/>
        <a:lstStyle/>
        <a:p>
          <a:endParaRPr lang="bg-BG"/>
        </a:p>
      </dgm:t>
    </dgm:pt>
  </dgm:ptLst>
  <dgm:cxnLst>
    <dgm:cxn modelId="{C3FD15A5-09DC-49CF-8A78-7F072628C6D6}" type="presOf" srcId="{C8A3695D-9510-4D39-872F-9FF332505380}" destId="{BCEFA340-CAC2-44CC-B8C3-4BDC4362E95A}" srcOrd="1" destOrd="0" presId="urn:microsoft.com/office/officeart/2005/8/layout/orgChart1"/>
    <dgm:cxn modelId="{917616EC-C780-4DE7-A26A-D25F663F9927}" srcId="{0DA31C31-D8E7-4367-8E62-3EF146D02551}" destId="{A40110D9-DEC1-4927-A0E8-FA61E6A3ECFD}" srcOrd="0" destOrd="0" parTransId="{CBE32FA9-5112-48FE-B8D8-1DFFB3234EBA}" sibTransId="{307AE74F-D3B4-4952-87F3-FFB43EC448D0}"/>
    <dgm:cxn modelId="{A5A2398C-EA2C-4A04-A0CC-BB4F342627AA}" srcId="{2EAEB09A-D61D-43E8-AF1E-74C82D36F6CD}" destId="{0DA31C31-D8E7-4367-8E62-3EF146D02551}" srcOrd="1" destOrd="0" parTransId="{8F8A7F3E-F2B8-4C2A-A9E6-23E390589462}" sibTransId="{D05834AC-3A66-4C28-A135-67E4721F0C95}"/>
    <dgm:cxn modelId="{F051E1AF-31FB-4A9B-B1B8-3381CB86C34C}" type="presOf" srcId="{0DA31C31-D8E7-4367-8E62-3EF146D02551}" destId="{E9F7D8A9-6D4D-4760-98EA-6347417A0C74}" srcOrd="1" destOrd="0" presId="urn:microsoft.com/office/officeart/2005/8/layout/orgChart1"/>
    <dgm:cxn modelId="{CBEEB579-E714-480D-9992-41F847142FDC}" srcId="{356F2771-5387-420E-A61D-1923D48A7C5A}" destId="{2EAEB09A-D61D-43E8-AF1E-74C82D36F6CD}" srcOrd="0" destOrd="0" parTransId="{532241B9-0737-4056-ACA8-191047264404}" sibTransId="{9F535197-1383-4506-9484-4DF2485E7DAE}"/>
    <dgm:cxn modelId="{1A887AED-6C4E-4ADD-85BE-CC450C81BCE8}" type="presOf" srcId="{2EAEB09A-D61D-43E8-AF1E-74C82D36F6CD}" destId="{FABBF046-4EEB-47CB-BE3B-5FD519FE34B3}" srcOrd="1" destOrd="0" presId="urn:microsoft.com/office/officeart/2005/8/layout/orgChart1"/>
    <dgm:cxn modelId="{0F4A4F01-DED2-49C2-8A24-A79360CD638B}" type="presOf" srcId="{C8A3695D-9510-4D39-872F-9FF332505380}" destId="{E88C7D92-E618-4B1B-B29E-19F3DBCC3A22}" srcOrd="0" destOrd="0" presId="urn:microsoft.com/office/officeart/2005/8/layout/orgChart1"/>
    <dgm:cxn modelId="{E56A3BD3-E5CE-4A1D-B496-1CECFA94BE11}" srcId="{1670CADF-406E-48DE-B9CC-62E838AEDB27}" destId="{C8A3695D-9510-4D39-872F-9FF332505380}" srcOrd="0" destOrd="0" parTransId="{49501E86-7D38-4A94-A257-CBDFC61ECD3F}" sibTransId="{C980708F-FFEA-40D4-A406-D31192927732}"/>
    <dgm:cxn modelId="{25050D9B-E6C1-4BBD-91D0-3DD2E47C816F}" type="presOf" srcId="{A40110D9-DEC1-4927-A0E8-FA61E6A3ECFD}" destId="{FA7D36C2-0EBF-43F4-ADD1-4220D749FE4C}" srcOrd="1" destOrd="0" presId="urn:microsoft.com/office/officeart/2005/8/layout/orgChart1"/>
    <dgm:cxn modelId="{FB72ACF7-7FBE-48C0-8566-3DCD4AA8DD28}" type="presOf" srcId="{CBE32FA9-5112-48FE-B8D8-1DFFB3234EBA}" destId="{BB8BE6D0-1D1F-44A4-9050-A58A53514579}" srcOrd="0" destOrd="0" presId="urn:microsoft.com/office/officeart/2005/8/layout/orgChart1"/>
    <dgm:cxn modelId="{55D97ADA-8CBE-4860-BB97-5E5677D508F5}" type="presOf" srcId="{A40110D9-DEC1-4927-A0E8-FA61E6A3ECFD}" destId="{B818DCD8-5B4A-41DB-A50E-2F5141ACA048}" srcOrd="0" destOrd="0" presId="urn:microsoft.com/office/officeart/2005/8/layout/orgChart1"/>
    <dgm:cxn modelId="{96FD7E4A-6DA7-4D62-806A-1848A97EAA97}" type="presOf" srcId="{047D6450-1C89-48A7-9D74-25DB3D39F43E}" destId="{43DCCB3C-0A0B-4DF1-B2AE-CA4798FB0197}" srcOrd="0" destOrd="0" presId="urn:microsoft.com/office/officeart/2005/8/layout/orgChart1"/>
    <dgm:cxn modelId="{193954CD-5D19-4289-9960-01693BCB737B}" type="presOf" srcId="{1670CADF-406E-48DE-B9CC-62E838AEDB27}" destId="{92A83981-11F3-41A0-BBFD-C4809526ED15}" srcOrd="0" destOrd="0" presId="urn:microsoft.com/office/officeart/2005/8/layout/orgChart1"/>
    <dgm:cxn modelId="{84D9E73D-F5D8-4642-B432-BF5FE1826EC7}" type="presOf" srcId="{8F8A7F3E-F2B8-4C2A-A9E6-23E390589462}" destId="{0F0FB104-3C5F-44C4-B8B9-70BDC7DFBCE2}" srcOrd="0" destOrd="0" presId="urn:microsoft.com/office/officeart/2005/8/layout/orgChart1"/>
    <dgm:cxn modelId="{B810CA21-56F9-4F6B-AB33-289B370E02A3}" srcId="{2EAEB09A-D61D-43E8-AF1E-74C82D36F6CD}" destId="{1670CADF-406E-48DE-B9CC-62E838AEDB27}" srcOrd="0" destOrd="0" parTransId="{047D6450-1C89-48A7-9D74-25DB3D39F43E}" sibTransId="{974B4199-B6AD-4E22-85E8-E674256421F7}"/>
    <dgm:cxn modelId="{4E19330A-0529-4AA8-BF12-90B2E1796131}" type="presOf" srcId="{1670CADF-406E-48DE-B9CC-62E838AEDB27}" destId="{9BEBFD61-71F7-482B-AAA7-6E59BF0FFA63}" srcOrd="1" destOrd="0" presId="urn:microsoft.com/office/officeart/2005/8/layout/orgChart1"/>
    <dgm:cxn modelId="{826E011A-3858-48C1-A8B2-55D72D927565}" type="presOf" srcId="{49501E86-7D38-4A94-A257-CBDFC61ECD3F}" destId="{1A543F11-94BA-4DD0-A740-7998962D7237}" srcOrd="0" destOrd="0" presId="urn:microsoft.com/office/officeart/2005/8/layout/orgChart1"/>
    <dgm:cxn modelId="{BBB054C8-0EBE-49B4-BA76-949230EC54E8}" type="presOf" srcId="{0DA31C31-D8E7-4367-8E62-3EF146D02551}" destId="{FF00E875-B9B5-431B-9603-3C8528B9DD7B}" srcOrd="0" destOrd="0" presId="urn:microsoft.com/office/officeart/2005/8/layout/orgChart1"/>
    <dgm:cxn modelId="{A1377EC5-9EED-4912-877B-0E62D1B65D24}" type="presOf" srcId="{2EAEB09A-D61D-43E8-AF1E-74C82D36F6CD}" destId="{A5478BEF-2966-45A7-BD38-7B23E2CA6C2A}" srcOrd="0" destOrd="0" presId="urn:microsoft.com/office/officeart/2005/8/layout/orgChart1"/>
    <dgm:cxn modelId="{170CCAEA-6FE3-466C-8D95-49E57738686A}" type="presOf" srcId="{356F2771-5387-420E-A61D-1923D48A7C5A}" destId="{4FCC0B66-854A-4C33-8A07-A56FA766017D}" srcOrd="0" destOrd="0" presId="urn:microsoft.com/office/officeart/2005/8/layout/orgChart1"/>
    <dgm:cxn modelId="{C24097A6-3B62-4AA7-981F-7F896FD4AEB8}" type="presParOf" srcId="{4FCC0B66-854A-4C33-8A07-A56FA766017D}" destId="{7CA4E860-03F1-4C2B-8AD9-704F81ABFCBF}" srcOrd="0" destOrd="0" presId="urn:microsoft.com/office/officeart/2005/8/layout/orgChart1"/>
    <dgm:cxn modelId="{09607FCF-5442-4814-AF5A-CF8FCA4A36A9}" type="presParOf" srcId="{7CA4E860-03F1-4C2B-8AD9-704F81ABFCBF}" destId="{9259A7F9-9846-443A-BCDC-9ACF5DAC983C}" srcOrd="0" destOrd="0" presId="urn:microsoft.com/office/officeart/2005/8/layout/orgChart1"/>
    <dgm:cxn modelId="{63C8436A-D1E1-4BD8-BBBB-EE8A8498C51C}" type="presParOf" srcId="{9259A7F9-9846-443A-BCDC-9ACF5DAC983C}" destId="{A5478BEF-2966-45A7-BD38-7B23E2CA6C2A}" srcOrd="0" destOrd="0" presId="urn:microsoft.com/office/officeart/2005/8/layout/orgChart1"/>
    <dgm:cxn modelId="{9B94FF00-1D3A-4050-BD0D-6E1B9FFA4BED}" type="presParOf" srcId="{9259A7F9-9846-443A-BCDC-9ACF5DAC983C}" destId="{FABBF046-4EEB-47CB-BE3B-5FD519FE34B3}" srcOrd="1" destOrd="0" presId="urn:microsoft.com/office/officeart/2005/8/layout/orgChart1"/>
    <dgm:cxn modelId="{033EDF88-5594-42AF-9DD2-CF08F5ACCD21}" type="presParOf" srcId="{7CA4E860-03F1-4C2B-8AD9-704F81ABFCBF}" destId="{0F1C2577-B7B5-4D5F-8CCC-6AF541CED544}" srcOrd="1" destOrd="0" presId="urn:microsoft.com/office/officeart/2005/8/layout/orgChart1"/>
    <dgm:cxn modelId="{B9DBA8E6-2DB8-406F-B99B-B306E2D18A85}" type="presParOf" srcId="{7CA4E860-03F1-4C2B-8AD9-704F81ABFCBF}" destId="{2B1DFC13-51D4-4A5D-84A2-51F951C2D874}" srcOrd="2" destOrd="0" presId="urn:microsoft.com/office/officeart/2005/8/layout/orgChart1"/>
    <dgm:cxn modelId="{F6905D7D-5287-416A-AF50-7F623F3176F4}" type="presParOf" srcId="{2B1DFC13-51D4-4A5D-84A2-51F951C2D874}" destId="{43DCCB3C-0A0B-4DF1-B2AE-CA4798FB0197}" srcOrd="0" destOrd="0" presId="urn:microsoft.com/office/officeart/2005/8/layout/orgChart1"/>
    <dgm:cxn modelId="{063305F8-8A90-4B7D-BAA5-CA0ECB33F25E}" type="presParOf" srcId="{2B1DFC13-51D4-4A5D-84A2-51F951C2D874}" destId="{0D077E34-518B-4235-B954-FD02A2ADF5F8}" srcOrd="1" destOrd="0" presId="urn:microsoft.com/office/officeart/2005/8/layout/orgChart1"/>
    <dgm:cxn modelId="{4C56990F-FAA2-42DE-98BD-65226176CEC1}" type="presParOf" srcId="{0D077E34-518B-4235-B954-FD02A2ADF5F8}" destId="{1ADCABBE-EA67-4DAE-8A29-0E2C5106A8F4}" srcOrd="0" destOrd="0" presId="urn:microsoft.com/office/officeart/2005/8/layout/orgChart1"/>
    <dgm:cxn modelId="{901A3C19-8EFE-4E38-B4D1-BEBBA1A2A879}" type="presParOf" srcId="{1ADCABBE-EA67-4DAE-8A29-0E2C5106A8F4}" destId="{92A83981-11F3-41A0-BBFD-C4809526ED15}" srcOrd="0" destOrd="0" presId="urn:microsoft.com/office/officeart/2005/8/layout/orgChart1"/>
    <dgm:cxn modelId="{AC7C47C9-4982-4EFC-82CA-E0E4A9187E37}" type="presParOf" srcId="{1ADCABBE-EA67-4DAE-8A29-0E2C5106A8F4}" destId="{9BEBFD61-71F7-482B-AAA7-6E59BF0FFA63}" srcOrd="1" destOrd="0" presId="urn:microsoft.com/office/officeart/2005/8/layout/orgChart1"/>
    <dgm:cxn modelId="{203FD511-BA94-4602-AA68-53B25F6F623D}" type="presParOf" srcId="{0D077E34-518B-4235-B954-FD02A2ADF5F8}" destId="{B9F93ECE-1FF9-4CC4-95BC-6AD7E1CCF0DC}" srcOrd="1" destOrd="0" presId="urn:microsoft.com/office/officeart/2005/8/layout/orgChart1"/>
    <dgm:cxn modelId="{7DC034B3-53B7-4FD0-8BAA-731F878EFEC6}" type="presParOf" srcId="{0D077E34-518B-4235-B954-FD02A2ADF5F8}" destId="{223175AF-F3E4-4117-856A-DBA50CB6F10E}" srcOrd="2" destOrd="0" presId="urn:microsoft.com/office/officeart/2005/8/layout/orgChart1"/>
    <dgm:cxn modelId="{F1561329-3EA4-4AF8-8281-92645675CA7A}" type="presParOf" srcId="{223175AF-F3E4-4117-856A-DBA50CB6F10E}" destId="{1A543F11-94BA-4DD0-A740-7998962D7237}" srcOrd="0" destOrd="0" presId="urn:microsoft.com/office/officeart/2005/8/layout/orgChart1"/>
    <dgm:cxn modelId="{F6394C7C-D1CF-4AC7-9C5C-03CC0419E48C}" type="presParOf" srcId="{223175AF-F3E4-4117-856A-DBA50CB6F10E}" destId="{5AA680C5-AC59-4636-B1AD-C2A65EBD6B9E}" srcOrd="1" destOrd="0" presId="urn:microsoft.com/office/officeart/2005/8/layout/orgChart1"/>
    <dgm:cxn modelId="{589D8C9B-EA3A-46EA-BA35-A11169CD07E0}" type="presParOf" srcId="{5AA680C5-AC59-4636-B1AD-C2A65EBD6B9E}" destId="{411DF6E8-E338-432A-B75C-304461FD9B92}" srcOrd="0" destOrd="0" presId="urn:microsoft.com/office/officeart/2005/8/layout/orgChart1"/>
    <dgm:cxn modelId="{976FEAA5-5194-431E-993A-289CB243DAC0}" type="presParOf" srcId="{411DF6E8-E338-432A-B75C-304461FD9B92}" destId="{E88C7D92-E618-4B1B-B29E-19F3DBCC3A22}" srcOrd="0" destOrd="0" presId="urn:microsoft.com/office/officeart/2005/8/layout/orgChart1"/>
    <dgm:cxn modelId="{C99209CB-5772-4D14-B88D-C62DF2AA4FB1}" type="presParOf" srcId="{411DF6E8-E338-432A-B75C-304461FD9B92}" destId="{BCEFA340-CAC2-44CC-B8C3-4BDC4362E95A}" srcOrd="1" destOrd="0" presId="urn:microsoft.com/office/officeart/2005/8/layout/orgChart1"/>
    <dgm:cxn modelId="{289E859A-44F5-41BC-8344-FC01ADC29CD8}" type="presParOf" srcId="{5AA680C5-AC59-4636-B1AD-C2A65EBD6B9E}" destId="{FB551E0C-01F9-4C4B-AD6D-660778791B0F}" srcOrd="1" destOrd="0" presId="urn:microsoft.com/office/officeart/2005/8/layout/orgChart1"/>
    <dgm:cxn modelId="{C3523776-9961-44D8-9D2A-5B2841269780}" type="presParOf" srcId="{5AA680C5-AC59-4636-B1AD-C2A65EBD6B9E}" destId="{703817EE-E846-44FB-8945-64A2E9C8C28F}" srcOrd="2" destOrd="0" presId="urn:microsoft.com/office/officeart/2005/8/layout/orgChart1"/>
    <dgm:cxn modelId="{D304CD16-BBD7-4712-8947-B4C452D2DAA8}" type="presParOf" srcId="{2B1DFC13-51D4-4A5D-84A2-51F951C2D874}" destId="{0F0FB104-3C5F-44C4-B8B9-70BDC7DFBCE2}" srcOrd="2" destOrd="0" presId="urn:microsoft.com/office/officeart/2005/8/layout/orgChart1"/>
    <dgm:cxn modelId="{2C8FE059-B9C1-4471-BA6F-0679C4BD1BBF}" type="presParOf" srcId="{2B1DFC13-51D4-4A5D-84A2-51F951C2D874}" destId="{1DE160B6-76F9-4A88-80CC-3AAD7A0F6D68}" srcOrd="3" destOrd="0" presId="urn:microsoft.com/office/officeart/2005/8/layout/orgChart1"/>
    <dgm:cxn modelId="{70068FA9-1D47-4532-AD94-1E9BE4C92BA1}" type="presParOf" srcId="{1DE160B6-76F9-4A88-80CC-3AAD7A0F6D68}" destId="{ED0E066A-260F-44E2-AA0A-BB9DBE471ED1}" srcOrd="0" destOrd="0" presId="urn:microsoft.com/office/officeart/2005/8/layout/orgChart1"/>
    <dgm:cxn modelId="{8B077C60-27B4-4BE5-818B-2BB41F10E9EB}" type="presParOf" srcId="{ED0E066A-260F-44E2-AA0A-BB9DBE471ED1}" destId="{FF00E875-B9B5-431B-9603-3C8528B9DD7B}" srcOrd="0" destOrd="0" presId="urn:microsoft.com/office/officeart/2005/8/layout/orgChart1"/>
    <dgm:cxn modelId="{0CF9A7D5-BD3D-42E3-A9FC-93BF440075DE}" type="presParOf" srcId="{ED0E066A-260F-44E2-AA0A-BB9DBE471ED1}" destId="{E9F7D8A9-6D4D-4760-98EA-6347417A0C74}" srcOrd="1" destOrd="0" presId="urn:microsoft.com/office/officeart/2005/8/layout/orgChart1"/>
    <dgm:cxn modelId="{F19006F4-F51C-43F5-A50A-03492781110A}" type="presParOf" srcId="{1DE160B6-76F9-4A88-80CC-3AAD7A0F6D68}" destId="{63F289BE-7B67-4702-95F7-D4765BA166C2}" srcOrd="1" destOrd="0" presId="urn:microsoft.com/office/officeart/2005/8/layout/orgChart1"/>
    <dgm:cxn modelId="{BE897155-F404-4943-B9FD-2918F927A65A}" type="presParOf" srcId="{1DE160B6-76F9-4A88-80CC-3AAD7A0F6D68}" destId="{F7934AF4-816A-44CD-8859-847DCF580A23}" srcOrd="2" destOrd="0" presId="urn:microsoft.com/office/officeart/2005/8/layout/orgChart1"/>
    <dgm:cxn modelId="{60E9155B-D3F8-4C26-8BC7-D08281EEB91D}" type="presParOf" srcId="{F7934AF4-816A-44CD-8859-847DCF580A23}" destId="{BB8BE6D0-1D1F-44A4-9050-A58A53514579}" srcOrd="0" destOrd="0" presId="urn:microsoft.com/office/officeart/2005/8/layout/orgChart1"/>
    <dgm:cxn modelId="{1F5D815A-D5D2-4569-905D-A34551B1A5CA}" type="presParOf" srcId="{F7934AF4-816A-44CD-8859-847DCF580A23}" destId="{3B8CAD39-D90C-41A6-97BB-E9DF84A5BA73}" srcOrd="1" destOrd="0" presId="urn:microsoft.com/office/officeart/2005/8/layout/orgChart1"/>
    <dgm:cxn modelId="{9D30C784-B698-4502-BF76-DCEFA7D126E1}" type="presParOf" srcId="{3B8CAD39-D90C-41A6-97BB-E9DF84A5BA73}" destId="{F6BD4B96-AF6C-423D-8935-D46521DF65D6}" srcOrd="0" destOrd="0" presId="urn:microsoft.com/office/officeart/2005/8/layout/orgChart1"/>
    <dgm:cxn modelId="{E29BB31B-1992-4DF9-A856-13EB720B7DE7}" type="presParOf" srcId="{F6BD4B96-AF6C-423D-8935-D46521DF65D6}" destId="{B818DCD8-5B4A-41DB-A50E-2F5141ACA048}" srcOrd="0" destOrd="0" presId="urn:microsoft.com/office/officeart/2005/8/layout/orgChart1"/>
    <dgm:cxn modelId="{FA67A54B-6581-451E-9BBD-CE1B4FF10031}" type="presParOf" srcId="{F6BD4B96-AF6C-423D-8935-D46521DF65D6}" destId="{FA7D36C2-0EBF-43F4-ADD1-4220D749FE4C}" srcOrd="1" destOrd="0" presId="urn:microsoft.com/office/officeart/2005/8/layout/orgChart1"/>
    <dgm:cxn modelId="{535ABD20-7876-42C9-A1C2-9CFB6BFDFCB1}" type="presParOf" srcId="{3B8CAD39-D90C-41A6-97BB-E9DF84A5BA73}" destId="{51E51B25-86AC-4BE6-84EA-BF7F736710B9}" srcOrd="1" destOrd="0" presId="urn:microsoft.com/office/officeart/2005/8/layout/orgChart1"/>
    <dgm:cxn modelId="{9DFB3157-9A5F-4AB9-8724-3A88E4F4EDF1}" type="presParOf" srcId="{3B8CAD39-D90C-41A6-97BB-E9DF84A5BA73}" destId="{E33B9545-0835-4CAA-90A6-225ECD6CA83A}" srcOrd="2" destOrd="0" presId="urn:microsoft.com/office/officeart/2005/8/layout/orgChart1"/>
  </dgm:cxnLst>
  <dgm:bg/>
  <dgm:whole/>
  <dgm:extLst>
    <a:ext uri="http://schemas.microsoft.com/office/drawing/2008/diagram">
      <dsp:dataModelExt xmlns:dsp="http://schemas.microsoft.com/office/drawing/2008/diagram" relId="rId175"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05F6B969-8AEC-4E1D-BC7F-B93769C8B69E}" type="doc">
      <dgm:prSet loTypeId="urn:microsoft.com/office/officeart/2005/8/layout/hList9" loCatId="list" qsTypeId="urn:microsoft.com/office/officeart/2005/8/quickstyle/3d2" qsCatId="3D" csTypeId="urn:microsoft.com/office/officeart/2005/8/colors/accent6_3" csCatId="accent6" phldr="1"/>
      <dgm:spPr/>
      <dgm:t>
        <a:bodyPr/>
        <a:lstStyle/>
        <a:p>
          <a:endParaRPr lang="bg-BG"/>
        </a:p>
      </dgm:t>
    </dgm:pt>
    <dgm:pt modelId="{DDF11C44-B03A-4DE1-89A1-489FE24C6ABE}">
      <dgm:prSet phldrT="[Text]"/>
      <dgm:spPr>
        <a:xfrm>
          <a:off x="167533" y="46"/>
          <a:ext cx="753709" cy="753709"/>
        </a:xfrm>
      </dgm:spPr>
      <dgm:t>
        <a:bodyPr/>
        <a:lstStyle/>
        <a:p>
          <a:pPr algn="ctr"/>
          <a:r>
            <a:rPr lang="bg-BG">
              <a:latin typeface="Calibri"/>
              <a:ea typeface="+mn-ea"/>
              <a:cs typeface="+mn-cs"/>
            </a:rPr>
            <a:t>ЕФРР</a:t>
          </a:r>
        </a:p>
      </dgm:t>
    </dgm:pt>
    <dgm:pt modelId="{0705CEA0-96D2-49BB-A66C-DBE1BC3F54A7}" type="parTrans" cxnId="{960B760E-6197-4E41-B68B-389A8146FFC7}">
      <dgm:prSet/>
      <dgm:spPr/>
      <dgm:t>
        <a:bodyPr/>
        <a:lstStyle/>
        <a:p>
          <a:pPr algn="ctr"/>
          <a:endParaRPr lang="bg-BG"/>
        </a:p>
      </dgm:t>
    </dgm:pt>
    <dgm:pt modelId="{47532267-98A4-4109-857A-26777FDBEE09}" type="sibTrans" cxnId="{960B760E-6197-4E41-B68B-389A8146FFC7}">
      <dgm:prSet/>
      <dgm:spPr/>
      <dgm:t>
        <a:bodyPr/>
        <a:lstStyle/>
        <a:p>
          <a:pPr algn="ctr"/>
          <a:endParaRPr lang="bg-BG"/>
        </a:p>
      </dgm:t>
    </dgm:pt>
    <dgm:pt modelId="{02D9600E-3EDE-4B0C-9C6A-D7A5B5746B19}">
      <dgm:prSet phldrT="[Text]"/>
      <dgm:spPr>
        <a:xfrm>
          <a:off x="770501" y="301530"/>
          <a:ext cx="1130564" cy="754086"/>
        </a:xfrm>
      </dgm:spPr>
      <dgm:t>
        <a:bodyPr/>
        <a:lstStyle/>
        <a:p>
          <a:pPr algn="ctr"/>
          <a:r>
            <a:rPr lang="bg-BG">
              <a:latin typeface="Calibri"/>
              <a:ea typeface="+mn-ea"/>
              <a:cs typeface="+mn-cs"/>
            </a:rPr>
            <a:t>ОПОС 2014-2020  г.</a:t>
          </a:r>
        </a:p>
      </dgm:t>
    </dgm:pt>
    <dgm:pt modelId="{ABDB9440-8781-4FF9-84EC-F9F2DEB23CB4}" type="parTrans" cxnId="{4363765D-3E5B-4864-B52D-ED2E88652A73}">
      <dgm:prSet/>
      <dgm:spPr/>
      <dgm:t>
        <a:bodyPr/>
        <a:lstStyle/>
        <a:p>
          <a:pPr algn="ctr"/>
          <a:endParaRPr lang="bg-BG"/>
        </a:p>
      </dgm:t>
    </dgm:pt>
    <dgm:pt modelId="{C6DA94D9-93AE-4A42-94F4-15B5D768BCE5}" type="sibTrans" cxnId="{4363765D-3E5B-4864-B52D-ED2E88652A73}">
      <dgm:prSet/>
      <dgm:spPr/>
      <dgm:t>
        <a:bodyPr/>
        <a:lstStyle/>
        <a:p>
          <a:pPr algn="ctr"/>
          <a:endParaRPr lang="bg-BG"/>
        </a:p>
      </dgm:t>
    </dgm:pt>
    <dgm:pt modelId="{9772790B-0262-4DFE-A5DE-38A8470EF69A}">
      <dgm:prSet phldrT="[Text]"/>
      <dgm:spPr>
        <a:xfrm>
          <a:off x="2051808" y="46"/>
          <a:ext cx="753709" cy="753709"/>
        </a:xfrm>
      </dgm:spPr>
      <dgm:t>
        <a:bodyPr/>
        <a:lstStyle/>
        <a:p>
          <a:pPr algn="ctr"/>
          <a:r>
            <a:rPr lang="bg-BG">
              <a:latin typeface="Calibri"/>
              <a:ea typeface="+mn-ea"/>
              <a:cs typeface="+mn-cs"/>
            </a:rPr>
            <a:t>ФИ</a:t>
          </a:r>
        </a:p>
      </dgm:t>
    </dgm:pt>
    <dgm:pt modelId="{9147D602-3E19-4088-A2FD-027AD0B61E41}" type="parTrans" cxnId="{E13ED72C-796C-4551-9623-24853A475CDA}">
      <dgm:prSet/>
      <dgm:spPr/>
      <dgm:t>
        <a:bodyPr/>
        <a:lstStyle/>
        <a:p>
          <a:pPr algn="ctr"/>
          <a:endParaRPr lang="bg-BG"/>
        </a:p>
      </dgm:t>
    </dgm:pt>
    <dgm:pt modelId="{BC801DFB-EF48-49FD-B010-98C093C553C1}" type="sibTrans" cxnId="{E13ED72C-796C-4551-9623-24853A475CDA}">
      <dgm:prSet/>
      <dgm:spPr/>
      <dgm:t>
        <a:bodyPr/>
        <a:lstStyle/>
        <a:p>
          <a:pPr algn="ctr"/>
          <a:endParaRPr lang="bg-BG"/>
        </a:p>
      </dgm:t>
    </dgm:pt>
    <dgm:pt modelId="{802DE616-5132-45A9-9482-5CBBF7F9E574}">
      <dgm:prSet phldrT="[Text]"/>
      <dgm:spPr>
        <a:xfrm>
          <a:off x="2654776" y="1055616"/>
          <a:ext cx="1130564" cy="754086"/>
        </a:xfrm>
      </dgm:spPr>
      <dgm:t>
        <a:bodyPr/>
        <a:lstStyle/>
        <a:p>
          <a:pPr algn="ctr"/>
          <a:r>
            <a:rPr lang="bg-BG">
              <a:latin typeface="Calibri"/>
              <a:ea typeface="+mn-ea"/>
              <a:cs typeface="+mn-cs"/>
            </a:rPr>
            <a:t>Основен капитал</a:t>
          </a:r>
        </a:p>
      </dgm:t>
    </dgm:pt>
    <dgm:pt modelId="{80CE270B-3796-4B45-B815-16F346223A99}" type="parTrans" cxnId="{30AECC69-5DC2-4A53-8E8A-0A9FB9FE7D36}">
      <dgm:prSet/>
      <dgm:spPr/>
      <dgm:t>
        <a:bodyPr/>
        <a:lstStyle/>
        <a:p>
          <a:pPr algn="ctr"/>
          <a:endParaRPr lang="bg-BG"/>
        </a:p>
      </dgm:t>
    </dgm:pt>
    <dgm:pt modelId="{497C30C3-0931-4D68-892C-0685310C9002}" type="sibTrans" cxnId="{30AECC69-5DC2-4A53-8E8A-0A9FB9FE7D36}">
      <dgm:prSet/>
      <dgm:spPr/>
      <dgm:t>
        <a:bodyPr/>
        <a:lstStyle/>
        <a:p>
          <a:pPr algn="ctr"/>
          <a:endParaRPr lang="bg-BG"/>
        </a:p>
      </dgm:t>
    </dgm:pt>
    <dgm:pt modelId="{F57DB2DF-9C8C-473E-AD4C-6CDF94371C22}">
      <dgm:prSet phldrT="[Text]"/>
      <dgm:spPr>
        <a:xfrm>
          <a:off x="2654776" y="301530"/>
          <a:ext cx="1130564" cy="754086"/>
        </a:xfrm>
      </dgm:spPr>
      <dgm:t>
        <a:bodyPr/>
        <a:lstStyle/>
        <a:p>
          <a:pPr algn="ctr"/>
          <a:r>
            <a:rPr lang="bg-BG">
              <a:latin typeface="Calibri"/>
              <a:ea typeface="+mn-ea"/>
              <a:cs typeface="+mn-cs"/>
            </a:rPr>
            <a:t>Международни финансови институции</a:t>
          </a:r>
        </a:p>
      </dgm:t>
    </dgm:pt>
    <dgm:pt modelId="{EB3FC3D1-C7C6-4902-963C-593B05008729}" type="parTrans" cxnId="{F6F91D32-4FDE-4BC1-8F50-9DF87785CB6F}">
      <dgm:prSet/>
      <dgm:spPr/>
      <dgm:t>
        <a:bodyPr/>
        <a:lstStyle/>
        <a:p>
          <a:pPr algn="ctr"/>
          <a:endParaRPr lang="bg-BG"/>
        </a:p>
      </dgm:t>
    </dgm:pt>
    <dgm:pt modelId="{8D4EB801-F6D0-4352-B53F-2C91D448C6D6}" type="sibTrans" cxnId="{F6F91D32-4FDE-4BC1-8F50-9DF87785CB6F}">
      <dgm:prSet/>
      <dgm:spPr/>
      <dgm:t>
        <a:bodyPr/>
        <a:lstStyle/>
        <a:p>
          <a:pPr algn="ctr"/>
          <a:endParaRPr lang="bg-BG"/>
        </a:p>
      </dgm:t>
    </dgm:pt>
    <dgm:pt modelId="{F9068301-E816-4E0B-844F-458E13AB2617}">
      <dgm:prSet phldrT="[Text]"/>
      <dgm:spPr>
        <a:xfrm>
          <a:off x="770501" y="1055616"/>
          <a:ext cx="1130564" cy="754086"/>
        </a:xfrm>
      </dgm:spPr>
      <dgm:t>
        <a:bodyPr/>
        <a:lstStyle/>
        <a:p>
          <a:pPr algn="ctr"/>
          <a:r>
            <a:rPr lang="bg-BG">
              <a:latin typeface="Calibri"/>
              <a:ea typeface="+mn-ea"/>
              <a:cs typeface="+mn-cs"/>
            </a:rPr>
            <a:t>Подчинен капитал </a:t>
          </a:r>
        </a:p>
      </dgm:t>
    </dgm:pt>
    <dgm:pt modelId="{6E69BACD-03FC-4679-A76D-1047C37BDD4F}" type="parTrans" cxnId="{999A493A-5E13-4AF6-AC57-BD1CE0B50D57}">
      <dgm:prSet/>
      <dgm:spPr/>
      <dgm:t>
        <a:bodyPr/>
        <a:lstStyle/>
        <a:p>
          <a:pPr algn="ctr"/>
          <a:endParaRPr lang="bg-BG"/>
        </a:p>
      </dgm:t>
    </dgm:pt>
    <dgm:pt modelId="{7786C584-5240-452E-BC91-258767DCAC07}" type="sibTrans" cxnId="{999A493A-5E13-4AF6-AC57-BD1CE0B50D57}">
      <dgm:prSet/>
      <dgm:spPr/>
      <dgm:t>
        <a:bodyPr/>
        <a:lstStyle/>
        <a:p>
          <a:pPr algn="ctr"/>
          <a:endParaRPr lang="bg-BG"/>
        </a:p>
      </dgm:t>
    </dgm:pt>
    <dgm:pt modelId="{12D6F020-808D-4D4B-A934-61566F5107A2}" type="pres">
      <dgm:prSet presAssocID="{05F6B969-8AEC-4E1D-BC7F-B93769C8B69E}" presName="list" presStyleCnt="0">
        <dgm:presLayoutVars>
          <dgm:dir/>
          <dgm:animLvl val="lvl"/>
        </dgm:presLayoutVars>
      </dgm:prSet>
      <dgm:spPr/>
      <dgm:t>
        <a:bodyPr/>
        <a:lstStyle/>
        <a:p>
          <a:endParaRPr lang="bg-BG"/>
        </a:p>
      </dgm:t>
    </dgm:pt>
    <dgm:pt modelId="{5F8A0274-6388-44F7-AA5F-EA995CF3E838}" type="pres">
      <dgm:prSet presAssocID="{DDF11C44-B03A-4DE1-89A1-489FE24C6ABE}" presName="posSpace" presStyleCnt="0"/>
      <dgm:spPr/>
      <dgm:t>
        <a:bodyPr/>
        <a:lstStyle/>
        <a:p>
          <a:endParaRPr lang="bg-BG"/>
        </a:p>
      </dgm:t>
    </dgm:pt>
    <dgm:pt modelId="{D3183CED-FA6A-4FF8-AA84-49F45EAA2959}" type="pres">
      <dgm:prSet presAssocID="{DDF11C44-B03A-4DE1-89A1-489FE24C6ABE}" presName="vertFlow" presStyleCnt="0"/>
      <dgm:spPr/>
      <dgm:t>
        <a:bodyPr/>
        <a:lstStyle/>
        <a:p>
          <a:endParaRPr lang="bg-BG"/>
        </a:p>
      </dgm:t>
    </dgm:pt>
    <dgm:pt modelId="{87C3D89F-EC1F-4A6A-84FF-D29DA86C0D90}" type="pres">
      <dgm:prSet presAssocID="{DDF11C44-B03A-4DE1-89A1-489FE24C6ABE}" presName="topSpace" presStyleCnt="0"/>
      <dgm:spPr/>
      <dgm:t>
        <a:bodyPr/>
        <a:lstStyle/>
        <a:p>
          <a:endParaRPr lang="bg-BG"/>
        </a:p>
      </dgm:t>
    </dgm:pt>
    <dgm:pt modelId="{8F4D68C8-B5E7-4A71-AEA1-5F0043225AD4}" type="pres">
      <dgm:prSet presAssocID="{DDF11C44-B03A-4DE1-89A1-489FE24C6ABE}" presName="firstComp" presStyleCnt="0"/>
      <dgm:spPr/>
      <dgm:t>
        <a:bodyPr/>
        <a:lstStyle/>
        <a:p>
          <a:endParaRPr lang="bg-BG"/>
        </a:p>
      </dgm:t>
    </dgm:pt>
    <dgm:pt modelId="{29268762-CF50-4335-9C9D-F40307B26A50}" type="pres">
      <dgm:prSet presAssocID="{DDF11C44-B03A-4DE1-89A1-489FE24C6ABE}" presName="firstChild" presStyleLbl="bgAccFollowNode1" presStyleIdx="0" presStyleCnt="4"/>
      <dgm:spPr>
        <a:prstGeom prst="rect">
          <a:avLst/>
        </a:prstGeom>
      </dgm:spPr>
      <dgm:t>
        <a:bodyPr/>
        <a:lstStyle/>
        <a:p>
          <a:endParaRPr lang="bg-BG"/>
        </a:p>
      </dgm:t>
    </dgm:pt>
    <dgm:pt modelId="{46700B89-BCA4-4888-8B86-EB4FD1198F8D}" type="pres">
      <dgm:prSet presAssocID="{DDF11C44-B03A-4DE1-89A1-489FE24C6ABE}" presName="firstChildTx" presStyleLbl="bgAccFollowNode1" presStyleIdx="0" presStyleCnt="4">
        <dgm:presLayoutVars>
          <dgm:bulletEnabled val="1"/>
        </dgm:presLayoutVars>
      </dgm:prSet>
      <dgm:spPr/>
      <dgm:t>
        <a:bodyPr/>
        <a:lstStyle/>
        <a:p>
          <a:endParaRPr lang="bg-BG"/>
        </a:p>
      </dgm:t>
    </dgm:pt>
    <dgm:pt modelId="{81F90AAF-26E4-49FB-8202-34AB4D90963F}" type="pres">
      <dgm:prSet presAssocID="{F9068301-E816-4E0B-844F-458E13AB2617}" presName="comp" presStyleCnt="0"/>
      <dgm:spPr/>
      <dgm:t>
        <a:bodyPr/>
        <a:lstStyle/>
        <a:p>
          <a:endParaRPr lang="bg-BG"/>
        </a:p>
      </dgm:t>
    </dgm:pt>
    <dgm:pt modelId="{057955A9-9622-4B7C-ABF0-340D6D8DC0DE}" type="pres">
      <dgm:prSet presAssocID="{F9068301-E816-4E0B-844F-458E13AB2617}" presName="child" presStyleLbl="bgAccFollowNode1" presStyleIdx="1" presStyleCnt="4"/>
      <dgm:spPr>
        <a:prstGeom prst="rect">
          <a:avLst/>
        </a:prstGeom>
      </dgm:spPr>
      <dgm:t>
        <a:bodyPr/>
        <a:lstStyle/>
        <a:p>
          <a:endParaRPr lang="bg-BG"/>
        </a:p>
      </dgm:t>
    </dgm:pt>
    <dgm:pt modelId="{3FDCC83A-A0D1-45E7-B3FF-EB443DF04D67}" type="pres">
      <dgm:prSet presAssocID="{F9068301-E816-4E0B-844F-458E13AB2617}" presName="childTx" presStyleLbl="bgAccFollowNode1" presStyleIdx="1" presStyleCnt="4">
        <dgm:presLayoutVars>
          <dgm:bulletEnabled val="1"/>
        </dgm:presLayoutVars>
      </dgm:prSet>
      <dgm:spPr/>
      <dgm:t>
        <a:bodyPr/>
        <a:lstStyle/>
        <a:p>
          <a:endParaRPr lang="bg-BG"/>
        </a:p>
      </dgm:t>
    </dgm:pt>
    <dgm:pt modelId="{44805F49-6A96-4EBB-893D-994A8B4B432A}" type="pres">
      <dgm:prSet presAssocID="{DDF11C44-B03A-4DE1-89A1-489FE24C6ABE}" presName="negSpace" presStyleCnt="0"/>
      <dgm:spPr/>
      <dgm:t>
        <a:bodyPr/>
        <a:lstStyle/>
        <a:p>
          <a:endParaRPr lang="bg-BG"/>
        </a:p>
      </dgm:t>
    </dgm:pt>
    <dgm:pt modelId="{24E05DCC-03AF-4C64-8C6E-F9F09DF86CA6}" type="pres">
      <dgm:prSet presAssocID="{DDF11C44-B03A-4DE1-89A1-489FE24C6ABE}" presName="circle" presStyleLbl="node1" presStyleIdx="0" presStyleCnt="2"/>
      <dgm:spPr>
        <a:prstGeom prst="ellipse">
          <a:avLst/>
        </a:prstGeom>
      </dgm:spPr>
      <dgm:t>
        <a:bodyPr/>
        <a:lstStyle/>
        <a:p>
          <a:endParaRPr lang="bg-BG"/>
        </a:p>
      </dgm:t>
    </dgm:pt>
    <dgm:pt modelId="{1EA86B03-9BD8-4A61-AF38-AE0C521019C2}" type="pres">
      <dgm:prSet presAssocID="{47532267-98A4-4109-857A-26777FDBEE09}" presName="transSpace" presStyleCnt="0"/>
      <dgm:spPr/>
      <dgm:t>
        <a:bodyPr/>
        <a:lstStyle/>
        <a:p>
          <a:endParaRPr lang="bg-BG"/>
        </a:p>
      </dgm:t>
    </dgm:pt>
    <dgm:pt modelId="{CB2E456A-F147-4EC2-BF26-E476969CD200}" type="pres">
      <dgm:prSet presAssocID="{9772790B-0262-4DFE-A5DE-38A8470EF69A}" presName="posSpace" presStyleCnt="0"/>
      <dgm:spPr/>
      <dgm:t>
        <a:bodyPr/>
        <a:lstStyle/>
        <a:p>
          <a:endParaRPr lang="bg-BG"/>
        </a:p>
      </dgm:t>
    </dgm:pt>
    <dgm:pt modelId="{B6F50A71-D9F4-415B-A5CC-A40D31BBD42C}" type="pres">
      <dgm:prSet presAssocID="{9772790B-0262-4DFE-A5DE-38A8470EF69A}" presName="vertFlow" presStyleCnt="0"/>
      <dgm:spPr/>
      <dgm:t>
        <a:bodyPr/>
        <a:lstStyle/>
        <a:p>
          <a:endParaRPr lang="bg-BG"/>
        </a:p>
      </dgm:t>
    </dgm:pt>
    <dgm:pt modelId="{8AA031E1-9753-44F8-B08D-4CA961C10700}" type="pres">
      <dgm:prSet presAssocID="{9772790B-0262-4DFE-A5DE-38A8470EF69A}" presName="topSpace" presStyleCnt="0"/>
      <dgm:spPr/>
      <dgm:t>
        <a:bodyPr/>
        <a:lstStyle/>
        <a:p>
          <a:endParaRPr lang="bg-BG"/>
        </a:p>
      </dgm:t>
    </dgm:pt>
    <dgm:pt modelId="{8A137D88-B0D0-48B5-96EA-FE177922FCC9}" type="pres">
      <dgm:prSet presAssocID="{9772790B-0262-4DFE-A5DE-38A8470EF69A}" presName="firstComp" presStyleCnt="0"/>
      <dgm:spPr/>
      <dgm:t>
        <a:bodyPr/>
        <a:lstStyle/>
        <a:p>
          <a:endParaRPr lang="bg-BG"/>
        </a:p>
      </dgm:t>
    </dgm:pt>
    <dgm:pt modelId="{DF6C0483-70DC-4C50-A871-4025E8247335}" type="pres">
      <dgm:prSet presAssocID="{9772790B-0262-4DFE-A5DE-38A8470EF69A}" presName="firstChild" presStyleLbl="bgAccFollowNode1" presStyleIdx="2" presStyleCnt="4"/>
      <dgm:spPr>
        <a:prstGeom prst="rect">
          <a:avLst/>
        </a:prstGeom>
      </dgm:spPr>
      <dgm:t>
        <a:bodyPr/>
        <a:lstStyle/>
        <a:p>
          <a:endParaRPr lang="bg-BG"/>
        </a:p>
      </dgm:t>
    </dgm:pt>
    <dgm:pt modelId="{37168DCC-9728-4B58-B79E-B0CD3C82BCFF}" type="pres">
      <dgm:prSet presAssocID="{9772790B-0262-4DFE-A5DE-38A8470EF69A}" presName="firstChildTx" presStyleLbl="bgAccFollowNode1" presStyleIdx="2" presStyleCnt="4">
        <dgm:presLayoutVars>
          <dgm:bulletEnabled val="1"/>
        </dgm:presLayoutVars>
      </dgm:prSet>
      <dgm:spPr/>
      <dgm:t>
        <a:bodyPr/>
        <a:lstStyle/>
        <a:p>
          <a:endParaRPr lang="bg-BG"/>
        </a:p>
      </dgm:t>
    </dgm:pt>
    <dgm:pt modelId="{06C78AE7-5313-40D4-9E7B-5C5B0488D60B}" type="pres">
      <dgm:prSet presAssocID="{802DE616-5132-45A9-9482-5CBBF7F9E574}" presName="comp" presStyleCnt="0"/>
      <dgm:spPr/>
      <dgm:t>
        <a:bodyPr/>
        <a:lstStyle/>
        <a:p>
          <a:endParaRPr lang="bg-BG"/>
        </a:p>
      </dgm:t>
    </dgm:pt>
    <dgm:pt modelId="{CDE9EBED-1844-4499-9007-5BB5618E49E8}" type="pres">
      <dgm:prSet presAssocID="{802DE616-5132-45A9-9482-5CBBF7F9E574}" presName="child" presStyleLbl="bgAccFollowNode1" presStyleIdx="3" presStyleCnt="4"/>
      <dgm:spPr>
        <a:prstGeom prst="rect">
          <a:avLst/>
        </a:prstGeom>
      </dgm:spPr>
      <dgm:t>
        <a:bodyPr/>
        <a:lstStyle/>
        <a:p>
          <a:endParaRPr lang="bg-BG"/>
        </a:p>
      </dgm:t>
    </dgm:pt>
    <dgm:pt modelId="{761391F2-6AFA-4C32-BCE8-3E02208B832A}" type="pres">
      <dgm:prSet presAssocID="{802DE616-5132-45A9-9482-5CBBF7F9E574}" presName="childTx" presStyleLbl="bgAccFollowNode1" presStyleIdx="3" presStyleCnt="4">
        <dgm:presLayoutVars>
          <dgm:bulletEnabled val="1"/>
        </dgm:presLayoutVars>
      </dgm:prSet>
      <dgm:spPr/>
      <dgm:t>
        <a:bodyPr/>
        <a:lstStyle/>
        <a:p>
          <a:endParaRPr lang="bg-BG"/>
        </a:p>
      </dgm:t>
    </dgm:pt>
    <dgm:pt modelId="{16120DF7-5C0C-475B-9CD4-B1024253E23D}" type="pres">
      <dgm:prSet presAssocID="{9772790B-0262-4DFE-A5DE-38A8470EF69A}" presName="negSpace" presStyleCnt="0"/>
      <dgm:spPr/>
      <dgm:t>
        <a:bodyPr/>
        <a:lstStyle/>
        <a:p>
          <a:endParaRPr lang="bg-BG"/>
        </a:p>
      </dgm:t>
    </dgm:pt>
    <dgm:pt modelId="{8E47FB41-B1F1-4A02-9286-689CDEA6B390}" type="pres">
      <dgm:prSet presAssocID="{9772790B-0262-4DFE-A5DE-38A8470EF69A}" presName="circle" presStyleLbl="node1" presStyleIdx="1" presStyleCnt="2"/>
      <dgm:spPr>
        <a:prstGeom prst="ellipse">
          <a:avLst/>
        </a:prstGeom>
      </dgm:spPr>
      <dgm:t>
        <a:bodyPr/>
        <a:lstStyle/>
        <a:p>
          <a:endParaRPr lang="bg-BG"/>
        </a:p>
      </dgm:t>
    </dgm:pt>
  </dgm:ptLst>
  <dgm:cxnLst>
    <dgm:cxn modelId="{0B06CDDE-05F1-4B3B-943A-7855BC21C520}" type="presOf" srcId="{802DE616-5132-45A9-9482-5CBBF7F9E574}" destId="{CDE9EBED-1844-4499-9007-5BB5618E49E8}" srcOrd="0" destOrd="0" presId="urn:microsoft.com/office/officeart/2005/8/layout/hList9"/>
    <dgm:cxn modelId="{4A6BD802-2284-40CD-BFD6-8CD3C730C365}" type="presOf" srcId="{F57DB2DF-9C8C-473E-AD4C-6CDF94371C22}" destId="{DF6C0483-70DC-4C50-A871-4025E8247335}" srcOrd="0" destOrd="0" presId="urn:microsoft.com/office/officeart/2005/8/layout/hList9"/>
    <dgm:cxn modelId="{A64E54CB-4C3C-4602-A79A-FF92995347A2}" type="presOf" srcId="{802DE616-5132-45A9-9482-5CBBF7F9E574}" destId="{761391F2-6AFA-4C32-BCE8-3E02208B832A}" srcOrd="1" destOrd="0" presId="urn:microsoft.com/office/officeart/2005/8/layout/hList9"/>
    <dgm:cxn modelId="{F6F91D32-4FDE-4BC1-8F50-9DF87785CB6F}" srcId="{9772790B-0262-4DFE-A5DE-38A8470EF69A}" destId="{F57DB2DF-9C8C-473E-AD4C-6CDF94371C22}" srcOrd="0" destOrd="0" parTransId="{EB3FC3D1-C7C6-4902-963C-593B05008729}" sibTransId="{8D4EB801-F6D0-4352-B53F-2C91D448C6D6}"/>
    <dgm:cxn modelId="{30AECC69-5DC2-4A53-8E8A-0A9FB9FE7D36}" srcId="{9772790B-0262-4DFE-A5DE-38A8470EF69A}" destId="{802DE616-5132-45A9-9482-5CBBF7F9E574}" srcOrd="1" destOrd="0" parTransId="{80CE270B-3796-4B45-B815-16F346223A99}" sibTransId="{497C30C3-0931-4D68-892C-0685310C9002}"/>
    <dgm:cxn modelId="{59EB63C6-7775-4E54-8857-DA0B4D8F0DAB}" type="presOf" srcId="{05F6B969-8AEC-4E1D-BC7F-B93769C8B69E}" destId="{12D6F020-808D-4D4B-A934-61566F5107A2}" srcOrd="0" destOrd="0" presId="urn:microsoft.com/office/officeart/2005/8/layout/hList9"/>
    <dgm:cxn modelId="{D016E0BE-52F8-446B-B3C5-F9EDD128282F}" type="presOf" srcId="{F9068301-E816-4E0B-844F-458E13AB2617}" destId="{057955A9-9622-4B7C-ABF0-340D6D8DC0DE}" srcOrd="0" destOrd="0" presId="urn:microsoft.com/office/officeart/2005/8/layout/hList9"/>
    <dgm:cxn modelId="{4363765D-3E5B-4864-B52D-ED2E88652A73}" srcId="{DDF11C44-B03A-4DE1-89A1-489FE24C6ABE}" destId="{02D9600E-3EDE-4B0C-9C6A-D7A5B5746B19}" srcOrd="0" destOrd="0" parTransId="{ABDB9440-8781-4FF9-84EC-F9F2DEB23CB4}" sibTransId="{C6DA94D9-93AE-4A42-94F4-15B5D768BCE5}"/>
    <dgm:cxn modelId="{050CAD66-2F1C-46D6-9837-78C16251D5EC}" type="presOf" srcId="{F9068301-E816-4E0B-844F-458E13AB2617}" destId="{3FDCC83A-A0D1-45E7-B3FF-EB443DF04D67}" srcOrd="1" destOrd="0" presId="urn:microsoft.com/office/officeart/2005/8/layout/hList9"/>
    <dgm:cxn modelId="{DA6BA77D-68E1-4410-853B-9CBDDE272C26}" type="presOf" srcId="{F57DB2DF-9C8C-473E-AD4C-6CDF94371C22}" destId="{37168DCC-9728-4B58-B79E-B0CD3C82BCFF}" srcOrd="1" destOrd="0" presId="urn:microsoft.com/office/officeart/2005/8/layout/hList9"/>
    <dgm:cxn modelId="{AF329D7B-FBAC-4327-ACE1-2DE086B79344}" type="presOf" srcId="{DDF11C44-B03A-4DE1-89A1-489FE24C6ABE}" destId="{24E05DCC-03AF-4C64-8C6E-F9F09DF86CA6}" srcOrd="0" destOrd="0" presId="urn:microsoft.com/office/officeart/2005/8/layout/hList9"/>
    <dgm:cxn modelId="{086D2A2F-8A8E-44C2-9282-822A6861C36A}" type="presOf" srcId="{02D9600E-3EDE-4B0C-9C6A-D7A5B5746B19}" destId="{46700B89-BCA4-4888-8B86-EB4FD1198F8D}" srcOrd="1" destOrd="0" presId="urn:microsoft.com/office/officeart/2005/8/layout/hList9"/>
    <dgm:cxn modelId="{999A493A-5E13-4AF6-AC57-BD1CE0B50D57}" srcId="{DDF11C44-B03A-4DE1-89A1-489FE24C6ABE}" destId="{F9068301-E816-4E0B-844F-458E13AB2617}" srcOrd="1" destOrd="0" parTransId="{6E69BACD-03FC-4679-A76D-1047C37BDD4F}" sibTransId="{7786C584-5240-452E-BC91-258767DCAC07}"/>
    <dgm:cxn modelId="{E13ED72C-796C-4551-9623-24853A475CDA}" srcId="{05F6B969-8AEC-4E1D-BC7F-B93769C8B69E}" destId="{9772790B-0262-4DFE-A5DE-38A8470EF69A}" srcOrd="1" destOrd="0" parTransId="{9147D602-3E19-4088-A2FD-027AD0B61E41}" sibTransId="{BC801DFB-EF48-49FD-B010-98C093C553C1}"/>
    <dgm:cxn modelId="{E579A702-B994-4812-BFC5-03FA8B887A22}" type="presOf" srcId="{9772790B-0262-4DFE-A5DE-38A8470EF69A}" destId="{8E47FB41-B1F1-4A02-9286-689CDEA6B390}" srcOrd="0" destOrd="0" presId="urn:microsoft.com/office/officeart/2005/8/layout/hList9"/>
    <dgm:cxn modelId="{960B760E-6197-4E41-B68B-389A8146FFC7}" srcId="{05F6B969-8AEC-4E1D-BC7F-B93769C8B69E}" destId="{DDF11C44-B03A-4DE1-89A1-489FE24C6ABE}" srcOrd="0" destOrd="0" parTransId="{0705CEA0-96D2-49BB-A66C-DBE1BC3F54A7}" sibTransId="{47532267-98A4-4109-857A-26777FDBEE09}"/>
    <dgm:cxn modelId="{B0898964-DCDB-4404-9065-E1A324105C60}" type="presOf" srcId="{02D9600E-3EDE-4B0C-9C6A-D7A5B5746B19}" destId="{29268762-CF50-4335-9C9D-F40307B26A50}" srcOrd="0" destOrd="0" presId="urn:microsoft.com/office/officeart/2005/8/layout/hList9"/>
    <dgm:cxn modelId="{B63FD529-D7EB-4E4E-B9D8-5D4D46DEE5D2}" type="presParOf" srcId="{12D6F020-808D-4D4B-A934-61566F5107A2}" destId="{5F8A0274-6388-44F7-AA5F-EA995CF3E838}" srcOrd="0" destOrd="0" presId="urn:microsoft.com/office/officeart/2005/8/layout/hList9"/>
    <dgm:cxn modelId="{51B784C0-865C-4B13-A548-EC773C117E82}" type="presParOf" srcId="{12D6F020-808D-4D4B-A934-61566F5107A2}" destId="{D3183CED-FA6A-4FF8-AA84-49F45EAA2959}" srcOrd="1" destOrd="0" presId="urn:microsoft.com/office/officeart/2005/8/layout/hList9"/>
    <dgm:cxn modelId="{89D0629E-BC92-41DA-9E34-CD0B2089994A}" type="presParOf" srcId="{D3183CED-FA6A-4FF8-AA84-49F45EAA2959}" destId="{87C3D89F-EC1F-4A6A-84FF-D29DA86C0D90}" srcOrd="0" destOrd="0" presId="urn:microsoft.com/office/officeart/2005/8/layout/hList9"/>
    <dgm:cxn modelId="{9117D4A6-502A-43A6-BB81-7DB6AADB703F}" type="presParOf" srcId="{D3183CED-FA6A-4FF8-AA84-49F45EAA2959}" destId="{8F4D68C8-B5E7-4A71-AEA1-5F0043225AD4}" srcOrd="1" destOrd="0" presId="urn:microsoft.com/office/officeart/2005/8/layout/hList9"/>
    <dgm:cxn modelId="{00B89B8F-1D61-4212-B81A-83856DD50B22}" type="presParOf" srcId="{8F4D68C8-B5E7-4A71-AEA1-5F0043225AD4}" destId="{29268762-CF50-4335-9C9D-F40307B26A50}" srcOrd="0" destOrd="0" presId="urn:microsoft.com/office/officeart/2005/8/layout/hList9"/>
    <dgm:cxn modelId="{56A231FB-6378-4A18-892A-E3F71210CB7D}" type="presParOf" srcId="{8F4D68C8-B5E7-4A71-AEA1-5F0043225AD4}" destId="{46700B89-BCA4-4888-8B86-EB4FD1198F8D}" srcOrd="1" destOrd="0" presId="urn:microsoft.com/office/officeart/2005/8/layout/hList9"/>
    <dgm:cxn modelId="{1B28FF42-5F8E-4543-9754-73D6B9127A13}" type="presParOf" srcId="{D3183CED-FA6A-4FF8-AA84-49F45EAA2959}" destId="{81F90AAF-26E4-49FB-8202-34AB4D90963F}" srcOrd="2" destOrd="0" presId="urn:microsoft.com/office/officeart/2005/8/layout/hList9"/>
    <dgm:cxn modelId="{F6252B83-47C2-4844-842C-B2114C44E791}" type="presParOf" srcId="{81F90AAF-26E4-49FB-8202-34AB4D90963F}" destId="{057955A9-9622-4B7C-ABF0-340D6D8DC0DE}" srcOrd="0" destOrd="0" presId="urn:microsoft.com/office/officeart/2005/8/layout/hList9"/>
    <dgm:cxn modelId="{32AFAD83-C855-473A-BD37-F0CDC193C86D}" type="presParOf" srcId="{81F90AAF-26E4-49FB-8202-34AB4D90963F}" destId="{3FDCC83A-A0D1-45E7-B3FF-EB443DF04D67}" srcOrd="1" destOrd="0" presId="urn:microsoft.com/office/officeart/2005/8/layout/hList9"/>
    <dgm:cxn modelId="{9DF7187F-2EDB-48E4-BEA8-CDC76C7DF126}" type="presParOf" srcId="{12D6F020-808D-4D4B-A934-61566F5107A2}" destId="{44805F49-6A96-4EBB-893D-994A8B4B432A}" srcOrd="2" destOrd="0" presId="urn:microsoft.com/office/officeart/2005/8/layout/hList9"/>
    <dgm:cxn modelId="{1FEDF243-C0B5-4F84-A15E-1AF595D69752}" type="presParOf" srcId="{12D6F020-808D-4D4B-A934-61566F5107A2}" destId="{24E05DCC-03AF-4C64-8C6E-F9F09DF86CA6}" srcOrd="3" destOrd="0" presId="urn:microsoft.com/office/officeart/2005/8/layout/hList9"/>
    <dgm:cxn modelId="{E6221712-1B0E-43FB-B72C-844D2FF7F966}" type="presParOf" srcId="{12D6F020-808D-4D4B-A934-61566F5107A2}" destId="{1EA86B03-9BD8-4A61-AF38-AE0C521019C2}" srcOrd="4" destOrd="0" presId="urn:microsoft.com/office/officeart/2005/8/layout/hList9"/>
    <dgm:cxn modelId="{09A583F4-626A-42A8-A154-BE432AF0CCC6}" type="presParOf" srcId="{12D6F020-808D-4D4B-A934-61566F5107A2}" destId="{CB2E456A-F147-4EC2-BF26-E476969CD200}" srcOrd="5" destOrd="0" presId="urn:microsoft.com/office/officeart/2005/8/layout/hList9"/>
    <dgm:cxn modelId="{42297332-EDA3-4760-8318-39DFDD125BF5}" type="presParOf" srcId="{12D6F020-808D-4D4B-A934-61566F5107A2}" destId="{B6F50A71-D9F4-415B-A5CC-A40D31BBD42C}" srcOrd="6" destOrd="0" presId="urn:microsoft.com/office/officeart/2005/8/layout/hList9"/>
    <dgm:cxn modelId="{5BB21EE4-D6A7-494B-961E-DB2BD38E29AC}" type="presParOf" srcId="{B6F50A71-D9F4-415B-A5CC-A40D31BBD42C}" destId="{8AA031E1-9753-44F8-B08D-4CA961C10700}" srcOrd="0" destOrd="0" presId="urn:microsoft.com/office/officeart/2005/8/layout/hList9"/>
    <dgm:cxn modelId="{4BCE3820-A32B-4818-8B3F-211A701C6028}" type="presParOf" srcId="{B6F50A71-D9F4-415B-A5CC-A40D31BBD42C}" destId="{8A137D88-B0D0-48B5-96EA-FE177922FCC9}" srcOrd="1" destOrd="0" presId="urn:microsoft.com/office/officeart/2005/8/layout/hList9"/>
    <dgm:cxn modelId="{3A74F5EC-F0C2-452D-9AB9-23BD137F7F62}" type="presParOf" srcId="{8A137D88-B0D0-48B5-96EA-FE177922FCC9}" destId="{DF6C0483-70DC-4C50-A871-4025E8247335}" srcOrd="0" destOrd="0" presId="urn:microsoft.com/office/officeart/2005/8/layout/hList9"/>
    <dgm:cxn modelId="{5FC31742-F737-463A-A4AC-502BB51666D7}" type="presParOf" srcId="{8A137D88-B0D0-48B5-96EA-FE177922FCC9}" destId="{37168DCC-9728-4B58-B79E-B0CD3C82BCFF}" srcOrd="1" destOrd="0" presId="urn:microsoft.com/office/officeart/2005/8/layout/hList9"/>
    <dgm:cxn modelId="{4A56F82A-A3CD-4874-A7DC-F9DA94BEF4CE}" type="presParOf" srcId="{B6F50A71-D9F4-415B-A5CC-A40D31BBD42C}" destId="{06C78AE7-5313-40D4-9E7B-5C5B0488D60B}" srcOrd="2" destOrd="0" presId="urn:microsoft.com/office/officeart/2005/8/layout/hList9"/>
    <dgm:cxn modelId="{FE057EBB-6CE8-46D4-B1F8-BF082BEDA520}" type="presParOf" srcId="{06C78AE7-5313-40D4-9E7B-5C5B0488D60B}" destId="{CDE9EBED-1844-4499-9007-5BB5618E49E8}" srcOrd="0" destOrd="0" presId="urn:microsoft.com/office/officeart/2005/8/layout/hList9"/>
    <dgm:cxn modelId="{74D0C70C-EE30-4716-9B9B-EFFFD5988777}" type="presParOf" srcId="{06C78AE7-5313-40D4-9E7B-5C5B0488D60B}" destId="{761391F2-6AFA-4C32-BCE8-3E02208B832A}" srcOrd="1" destOrd="0" presId="urn:microsoft.com/office/officeart/2005/8/layout/hList9"/>
    <dgm:cxn modelId="{97C9B292-2B5D-4933-A597-61CF21A381A3}" type="presParOf" srcId="{12D6F020-808D-4D4B-A934-61566F5107A2}" destId="{16120DF7-5C0C-475B-9CD4-B1024253E23D}" srcOrd="7" destOrd="0" presId="urn:microsoft.com/office/officeart/2005/8/layout/hList9"/>
    <dgm:cxn modelId="{E7CDCE72-1D0A-46AE-82C6-F5CD3732E037}" type="presParOf" srcId="{12D6F020-808D-4D4B-A934-61566F5107A2}" destId="{8E47FB41-B1F1-4A02-9286-689CDEA6B390}" srcOrd="8" destOrd="0" presId="urn:microsoft.com/office/officeart/2005/8/layout/hList9"/>
  </dgm:cxnLst>
  <dgm:bg/>
  <dgm:whole/>
  <dgm:extLst>
    <a:ext uri="http://schemas.microsoft.com/office/drawing/2008/diagram">
      <dsp:dataModelExt xmlns:dsp="http://schemas.microsoft.com/office/drawing/2008/diagram" relId="rId180"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F2022979-4934-43A6-AF47-21636D575112}" type="doc">
      <dgm:prSet loTypeId="urn:microsoft.com/office/officeart/2005/8/layout/hierarchy1" loCatId="hierarchy" qsTypeId="urn:microsoft.com/office/officeart/2005/8/quickstyle/3d3" qsCatId="3D" csTypeId="urn:microsoft.com/office/officeart/2005/8/colors/accent6_2" csCatId="accent6" phldr="1"/>
      <dgm:spPr/>
      <dgm:t>
        <a:bodyPr/>
        <a:lstStyle/>
        <a:p>
          <a:endParaRPr lang="bg-BG"/>
        </a:p>
      </dgm:t>
    </dgm:pt>
    <dgm:pt modelId="{0B405FED-D0AF-4CF3-9C6D-62B4003973A7}">
      <dgm:prSet phldrT="[Text]"/>
      <dgm:spPr/>
      <dgm:t>
        <a:bodyPr/>
        <a:lstStyle/>
        <a:p>
          <a:r>
            <a:rPr lang="bg-BG"/>
            <a:t>Гаранционен фонд за проекти в сектор Отпадъци</a:t>
          </a:r>
        </a:p>
      </dgm:t>
    </dgm:pt>
    <dgm:pt modelId="{AE22947A-5555-4885-ACDF-EBC732663C87}" type="parTrans" cxnId="{EC254023-3B30-4E9F-AEC0-4B1F7691FC9A}">
      <dgm:prSet/>
      <dgm:spPr/>
      <dgm:t>
        <a:bodyPr/>
        <a:lstStyle/>
        <a:p>
          <a:endParaRPr lang="bg-BG"/>
        </a:p>
      </dgm:t>
    </dgm:pt>
    <dgm:pt modelId="{EF3C4199-2B85-4DC6-BC42-66C71F0D2E68}" type="sibTrans" cxnId="{EC254023-3B30-4E9F-AEC0-4B1F7691FC9A}">
      <dgm:prSet/>
      <dgm:spPr/>
      <dgm:t>
        <a:bodyPr/>
        <a:lstStyle/>
        <a:p>
          <a:endParaRPr lang="bg-BG"/>
        </a:p>
      </dgm:t>
    </dgm:pt>
    <dgm:pt modelId="{18F57702-12FD-420C-BEA3-62A17466B1A9}" type="asst">
      <dgm:prSet phldrT="[Text]"/>
      <dgm:spPr/>
      <dgm:t>
        <a:bodyPr/>
        <a:lstStyle/>
        <a:p>
          <a:r>
            <a:rPr lang="bg-BG"/>
            <a:t>Гаранции за поемане на 80% от кредитния риск</a:t>
          </a:r>
        </a:p>
      </dgm:t>
    </dgm:pt>
    <dgm:pt modelId="{8884273F-FA64-4A05-8DA2-42A2EAC214D0}" type="parTrans" cxnId="{CECCDA81-07D2-4358-B212-154C499CA953}">
      <dgm:prSet/>
      <dgm:spPr/>
      <dgm:t>
        <a:bodyPr/>
        <a:lstStyle/>
        <a:p>
          <a:endParaRPr lang="bg-BG"/>
        </a:p>
      </dgm:t>
    </dgm:pt>
    <dgm:pt modelId="{50C64C81-BA1E-49D9-9C65-0377552AE6EA}" type="sibTrans" cxnId="{CECCDA81-07D2-4358-B212-154C499CA953}">
      <dgm:prSet/>
      <dgm:spPr/>
      <dgm:t>
        <a:bodyPr/>
        <a:lstStyle/>
        <a:p>
          <a:endParaRPr lang="bg-BG"/>
        </a:p>
      </dgm:t>
    </dgm:pt>
    <dgm:pt modelId="{F91BA75B-E1FE-4E78-8C34-A0D28EB51790}" type="asst">
      <dgm:prSet phldrT="[Text]"/>
      <dgm:spPr/>
      <dgm:t>
        <a:bodyPr/>
        <a:lstStyle/>
        <a:p>
          <a:r>
            <a:rPr lang="bg-BG"/>
            <a:t>Заеми от търговски банки</a:t>
          </a:r>
        </a:p>
      </dgm:t>
    </dgm:pt>
    <dgm:pt modelId="{2A0AA8B8-BFE6-4FDD-A884-5D2964A9F7E6}" type="parTrans" cxnId="{45A76577-3D36-4392-A962-BA01B53AB0E0}">
      <dgm:prSet/>
      <dgm:spPr/>
      <dgm:t>
        <a:bodyPr/>
        <a:lstStyle/>
        <a:p>
          <a:endParaRPr lang="bg-BG"/>
        </a:p>
      </dgm:t>
    </dgm:pt>
    <dgm:pt modelId="{FDD22748-318F-482B-BCB1-1E9784111F61}" type="sibTrans" cxnId="{45A76577-3D36-4392-A962-BA01B53AB0E0}">
      <dgm:prSet/>
      <dgm:spPr/>
      <dgm:t>
        <a:bodyPr/>
        <a:lstStyle/>
        <a:p>
          <a:endParaRPr lang="bg-BG"/>
        </a:p>
      </dgm:t>
    </dgm:pt>
    <dgm:pt modelId="{6AE660C3-E370-4151-BDF6-D976225A5038}" type="asst">
      <dgm:prSet phldrT="[Text]"/>
      <dgm:spPr/>
      <dgm:t>
        <a:bodyPr/>
        <a:lstStyle/>
        <a:p>
          <a:r>
            <a:rPr lang="bg-BG"/>
            <a:t>Бенефициенти в сектор Отпадъци</a:t>
          </a:r>
        </a:p>
      </dgm:t>
    </dgm:pt>
    <dgm:pt modelId="{62D74CBF-F3B4-4AFF-8978-160F58259C4A}" type="parTrans" cxnId="{85655614-DFA4-44A3-AAA9-829CDE252F37}">
      <dgm:prSet/>
      <dgm:spPr/>
      <dgm:t>
        <a:bodyPr/>
        <a:lstStyle/>
        <a:p>
          <a:endParaRPr lang="bg-BG"/>
        </a:p>
      </dgm:t>
    </dgm:pt>
    <dgm:pt modelId="{F809D9B5-A60F-4E47-AC43-A6F02367F63E}" type="sibTrans" cxnId="{85655614-DFA4-44A3-AAA9-829CDE252F37}">
      <dgm:prSet/>
      <dgm:spPr/>
      <dgm:t>
        <a:bodyPr/>
        <a:lstStyle/>
        <a:p>
          <a:endParaRPr lang="bg-BG"/>
        </a:p>
      </dgm:t>
    </dgm:pt>
    <dgm:pt modelId="{864A7ABD-4E7E-4D52-87B7-A7FBBC4293DC}" type="pres">
      <dgm:prSet presAssocID="{F2022979-4934-43A6-AF47-21636D575112}" presName="hierChild1" presStyleCnt="0">
        <dgm:presLayoutVars>
          <dgm:chPref val="1"/>
          <dgm:dir/>
          <dgm:animOne val="branch"/>
          <dgm:animLvl val="lvl"/>
          <dgm:resizeHandles/>
        </dgm:presLayoutVars>
      </dgm:prSet>
      <dgm:spPr/>
      <dgm:t>
        <a:bodyPr/>
        <a:lstStyle/>
        <a:p>
          <a:endParaRPr lang="bg-BG"/>
        </a:p>
      </dgm:t>
    </dgm:pt>
    <dgm:pt modelId="{A3BF4082-F488-448B-8B13-35851E07F4C2}" type="pres">
      <dgm:prSet presAssocID="{0B405FED-D0AF-4CF3-9C6D-62B4003973A7}" presName="hierRoot1" presStyleCnt="0"/>
      <dgm:spPr/>
    </dgm:pt>
    <dgm:pt modelId="{807A2F18-4D9F-47AF-B498-F009EA8CA7C9}" type="pres">
      <dgm:prSet presAssocID="{0B405FED-D0AF-4CF3-9C6D-62B4003973A7}" presName="composite" presStyleCnt="0"/>
      <dgm:spPr/>
    </dgm:pt>
    <dgm:pt modelId="{AAA32717-F3B7-49BA-A651-35952E408DA3}" type="pres">
      <dgm:prSet presAssocID="{0B405FED-D0AF-4CF3-9C6D-62B4003973A7}" presName="background" presStyleLbl="node0" presStyleIdx="0" presStyleCnt="1"/>
      <dgm:spPr/>
    </dgm:pt>
    <dgm:pt modelId="{755D597D-6769-41AA-BF1F-C2BE5C6C908B}" type="pres">
      <dgm:prSet presAssocID="{0B405FED-D0AF-4CF3-9C6D-62B4003973A7}" presName="text" presStyleLbl="fgAcc0" presStyleIdx="0" presStyleCnt="1">
        <dgm:presLayoutVars>
          <dgm:chPref val="3"/>
        </dgm:presLayoutVars>
      </dgm:prSet>
      <dgm:spPr/>
      <dgm:t>
        <a:bodyPr/>
        <a:lstStyle/>
        <a:p>
          <a:endParaRPr lang="bg-BG"/>
        </a:p>
      </dgm:t>
    </dgm:pt>
    <dgm:pt modelId="{755A4573-B893-4E41-AB97-C487F11D2611}" type="pres">
      <dgm:prSet presAssocID="{0B405FED-D0AF-4CF3-9C6D-62B4003973A7}" presName="hierChild2" presStyleCnt="0"/>
      <dgm:spPr/>
    </dgm:pt>
    <dgm:pt modelId="{D4066C18-CF3A-4538-9884-A71F6FF29C9A}" type="pres">
      <dgm:prSet presAssocID="{8884273F-FA64-4A05-8DA2-42A2EAC214D0}" presName="Name10" presStyleLbl="parChTrans1D2" presStyleIdx="0" presStyleCnt="1"/>
      <dgm:spPr/>
      <dgm:t>
        <a:bodyPr/>
        <a:lstStyle/>
        <a:p>
          <a:endParaRPr lang="bg-BG"/>
        </a:p>
      </dgm:t>
    </dgm:pt>
    <dgm:pt modelId="{A57C93C9-5FD8-42E7-989B-EB2F3384AE50}" type="pres">
      <dgm:prSet presAssocID="{18F57702-12FD-420C-BEA3-62A17466B1A9}" presName="hierRoot2" presStyleCnt="0"/>
      <dgm:spPr/>
    </dgm:pt>
    <dgm:pt modelId="{955EAA0B-A69A-4F26-A87B-F970B7FF6F34}" type="pres">
      <dgm:prSet presAssocID="{18F57702-12FD-420C-BEA3-62A17466B1A9}" presName="composite2" presStyleCnt="0"/>
      <dgm:spPr/>
    </dgm:pt>
    <dgm:pt modelId="{18897E06-8868-44B7-A723-FA98782204E1}" type="pres">
      <dgm:prSet presAssocID="{18F57702-12FD-420C-BEA3-62A17466B1A9}" presName="background2" presStyleLbl="asst1" presStyleIdx="0" presStyleCnt="3"/>
      <dgm:spPr/>
    </dgm:pt>
    <dgm:pt modelId="{980902E6-9E50-40FA-9C63-0AE43A2F4B91}" type="pres">
      <dgm:prSet presAssocID="{18F57702-12FD-420C-BEA3-62A17466B1A9}" presName="text2" presStyleLbl="fgAcc2" presStyleIdx="0" presStyleCnt="1">
        <dgm:presLayoutVars>
          <dgm:chPref val="3"/>
        </dgm:presLayoutVars>
      </dgm:prSet>
      <dgm:spPr/>
      <dgm:t>
        <a:bodyPr/>
        <a:lstStyle/>
        <a:p>
          <a:endParaRPr lang="bg-BG"/>
        </a:p>
      </dgm:t>
    </dgm:pt>
    <dgm:pt modelId="{694D0C2B-F74E-4240-8EC2-EB83651C1652}" type="pres">
      <dgm:prSet presAssocID="{18F57702-12FD-420C-BEA3-62A17466B1A9}" presName="hierChild3" presStyleCnt="0"/>
      <dgm:spPr/>
    </dgm:pt>
    <dgm:pt modelId="{9CE9D7FD-1CB9-4D29-9FCF-20CB9680DF5E}" type="pres">
      <dgm:prSet presAssocID="{2A0AA8B8-BFE6-4FDD-A884-5D2964A9F7E6}" presName="Name17" presStyleLbl="parChTrans1D3" presStyleIdx="0" presStyleCnt="1"/>
      <dgm:spPr/>
      <dgm:t>
        <a:bodyPr/>
        <a:lstStyle/>
        <a:p>
          <a:endParaRPr lang="bg-BG"/>
        </a:p>
      </dgm:t>
    </dgm:pt>
    <dgm:pt modelId="{23784380-1279-47EA-91B6-18E0FB18736A}" type="pres">
      <dgm:prSet presAssocID="{F91BA75B-E1FE-4E78-8C34-A0D28EB51790}" presName="hierRoot3" presStyleCnt="0"/>
      <dgm:spPr/>
    </dgm:pt>
    <dgm:pt modelId="{5BAC4DEB-E559-4052-BF4A-BB69346BD542}" type="pres">
      <dgm:prSet presAssocID="{F91BA75B-E1FE-4E78-8C34-A0D28EB51790}" presName="composite3" presStyleCnt="0"/>
      <dgm:spPr/>
    </dgm:pt>
    <dgm:pt modelId="{7B6704DE-A514-4413-B2FE-F08E1ED738FA}" type="pres">
      <dgm:prSet presAssocID="{F91BA75B-E1FE-4E78-8C34-A0D28EB51790}" presName="background3" presStyleLbl="asst1" presStyleIdx="1" presStyleCnt="3"/>
      <dgm:spPr/>
    </dgm:pt>
    <dgm:pt modelId="{7268C5AF-3990-4C2F-823C-DB43BB8CCB37}" type="pres">
      <dgm:prSet presAssocID="{F91BA75B-E1FE-4E78-8C34-A0D28EB51790}" presName="text3" presStyleLbl="fgAcc3" presStyleIdx="0" presStyleCnt="1">
        <dgm:presLayoutVars>
          <dgm:chPref val="3"/>
        </dgm:presLayoutVars>
      </dgm:prSet>
      <dgm:spPr/>
      <dgm:t>
        <a:bodyPr/>
        <a:lstStyle/>
        <a:p>
          <a:endParaRPr lang="bg-BG"/>
        </a:p>
      </dgm:t>
    </dgm:pt>
    <dgm:pt modelId="{D82BC583-481E-4368-9D45-BD43F016E477}" type="pres">
      <dgm:prSet presAssocID="{F91BA75B-E1FE-4E78-8C34-A0D28EB51790}" presName="hierChild4" presStyleCnt="0"/>
      <dgm:spPr/>
    </dgm:pt>
    <dgm:pt modelId="{C6E80A7A-7795-4F5F-AE6A-D6D4ADDFDA94}" type="pres">
      <dgm:prSet presAssocID="{62D74CBF-F3B4-4AFF-8978-160F58259C4A}" presName="Name23" presStyleLbl="parChTrans1D4" presStyleIdx="0" presStyleCnt="1"/>
      <dgm:spPr/>
      <dgm:t>
        <a:bodyPr/>
        <a:lstStyle/>
        <a:p>
          <a:endParaRPr lang="bg-BG"/>
        </a:p>
      </dgm:t>
    </dgm:pt>
    <dgm:pt modelId="{4AB23B17-1A59-4DCF-A54B-3A8ACB98BA55}" type="pres">
      <dgm:prSet presAssocID="{6AE660C3-E370-4151-BDF6-D976225A5038}" presName="hierRoot4" presStyleCnt="0"/>
      <dgm:spPr/>
    </dgm:pt>
    <dgm:pt modelId="{09D7D0B5-A870-4599-B90B-562DD311ED59}" type="pres">
      <dgm:prSet presAssocID="{6AE660C3-E370-4151-BDF6-D976225A5038}" presName="composite4" presStyleCnt="0"/>
      <dgm:spPr/>
    </dgm:pt>
    <dgm:pt modelId="{6F0BD6E6-9FDD-4563-87F4-553586407D4D}" type="pres">
      <dgm:prSet presAssocID="{6AE660C3-E370-4151-BDF6-D976225A5038}" presName="background4" presStyleLbl="asst1" presStyleIdx="2" presStyleCnt="3"/>
      <dgm:spPr/>
    </dgm:pt>
    <dgm:pt modelId="{93CF7AAA-E153-4612-8704-523593D1360D}" type="pres">
      <dgm:prSet presAssocID="{6AE660C3-E370-4151-BDF6-D976225A5038}" presName="text4" presStyleLbl="fgAcc4" presStyleIdx="0" presStyleCnt="1">
        <dgm:presLayoutVars>
          <dgm:chPref val="3"/>
        </dgm:presLayoutVars>
      </dgm:prSet>
      <dgm:spPr/>
      <dgm:t>
        <a:bodyPr/>
        <a:lstStyle/>
        <a:p>
          <a:endParaRPr lang="bg-BG"/>
        </a:p>
      </dgm:t>
    </dgm:pt>
    <dgm:pt modelId="{47F23579-DD41-4B63-877F-54A4DAAC4DCD}" type="pres">
      <dgm:prSet presAssocID="{6AE660C3-E370-4151-BDF6-D976225A5038}" presName="hierChild5" presStyleCnt="0"/>
      <dgm:spPr/>
    </dgm:pt>
  </dgm:ptLst>
  <dgm:cxnLst>
    <dgm:cxn modelId="{192C390D-B23E-458E-881F-FD424F332FEB}" type="presOf" srcId="{F91BA75B-E1FE-4E78-8C34-A0D28EB51790}" destId="{7268C5AF-3990-4C2F-823C-DB43BB8CCB37}" srcOrd="0" destOrd="0" presId="urn:microsoft.com/office/officeart/2005/8/layout/hierarchy1"/>
    <dgm:cxn modelId="{85655614-DFA4-44A3-AAA9-829CDE252F37}" srcId="{F91BA75B-E1FE-4E78-8C34-A0D28EB51790}" destId="{6AE660C3-E370-4151-BDF6-D976225A5038}" srcOrd="0" destOrd="0" parTransId="{62D74CBF-F3B4-4AFF-8978-160F58259C4A}" sibTransId="{F809D9B5-A60F-4E47-AC43-A6F02367F63E}"/>
    <dgm:cxn modelId="{AB011B32-5D2A-4A71-81FF-95D56FFD6BB7}" type="presOf" srcId="{6AE660C3-E370-4151-BDF6-D976225A5038}" destId="{93CF7AAA-E153-4612-8704-523593D1360D}" srcOrd="0" destOrd="0" presId="urn:microsoft.com/office/officeart/2005/8/layout/hierarchy1"/>
    <dgm:cxn modelId="{F282EFBA-B6EF-49C3-9377-2C89EB917BF0}" type="presOf" srcId="{18F57702-12FD-420C-BEA3-62A17466B1A9}" destId="{980902E6-9E50-40FA-9C63-0AE43A2F4B91}" srcOrd="0" destOrd="0" presId="urn:microsoft.com/office/officeart/2005/8/layout/hierarchy1"/>
    <dgm:cxn modelId="{65951A6A-4FB0-42FC-A160-4CC5D2E989FA}" type="presOf" srcId="{F2022979-4934-43A6-AF47-21636D575112}" destId="{864A7ABD-4E7E-4D52-87B7-A7FBBC4293DC}" srcOrd="0" destOrd="0" presId="urn:microsoft.com/office/officeart/2005/8/layout/hierarchy1"/>
    <dgm:cxn modelId="{EC254023-3B30-4E9F-AEC0-4B1F7691FC9A}" srcId="{F2022979-4934-43A6-AF47-21636D575112}" destId="{0B405FED-D0AF-4CF3-9C6D-62B4003973A7}" srcOrd="0" destOrd="0" parTransId="{AE22947A-5555-4885-ACDF-EBC732663C87}" sibTransId="{EF3C4199-2B85-4DC6-BC42-66C71F0D2E68}"/>
    <dgm:cxn modelId="{390814E3-0686-4A79-9954-7AB36EE51904}" type="presOf" srcId="{8884273F-FA64-4A05-8DA2-42A2EAC214D0}" destId="{D4066C18-CF3A-4538-9884-A71F6FF29C9A}" srcOrd="0" destOrd="0" presId="urn:microsoft.com/office/officeart/2005/8/layout/hierarchy1"/>
    <dgm:cxn modelId="{CECCDA81-07D2-4358-B212-154C499CA953}" srcId="{0B405FED-D0AF-4CF3-9C6D-62B4003973A7}" destId="{18F57702-12FD-420C-BEA3-62A17466B1A9}" srcOrd="0" destOrd="0" parTransId="{8884273F-FA64-4A05-8DA2-42A2EAC214D0}" sibTransId="{50C64C81-BA1E-49D9-9C65-0377552AE6EA}"/>
    <dgm:cxn modelId="{E5F291C4-9DA8-44B1-BA1F-7E08AB991756}" type="presOf" srcId="{62D74CBF-F3B4-4AFF-8978-160F58259C4A}" destId="{C6E80A7A-7795-4F5F-AE6A-D6D4ADDFDA94}" srcOrd="0" destOrd="0" presId="urn:microsoft.com/office/officeart/2005/8/layout/hierarchy1"/>
    <dgm:cxn modelId="{45A76577-3D36-4392-A962-BA01B53AB0E0}" srcId="{18F57702-12FD-420C-BEA3-62A17466B1A9}" destId="{F91BA75B-E1FE-4E78-8C34-A0D28EB51790}" srcOrd="0" destOrd="0" parTransId="{2A0AA8B8-BFE6-4FDD-A884-5D2964A9F7E6}" sibTransId="{FDD22748-318F-482B-BCB1-1E9784111F61}"/>
    <dgm:cxn modelId="{FAD193A5-609E-4276-84C1-5C56CC0BD0D5}" type="presOf" srcId="{2A0AA8B8-BFE6-4FDD-A884-5D2964A9F7E6}" destId="{9CE9D7FD-1CB9-4D29-9FCF-20CB9680DF5E}" srcOrd="0" destOrd="0" presId="urn:microsoft.com/office/officeart/2005/8/layout/hierarchy1"/>
    <dgm:cxn modelId="{B6DB44C7-25AE-4208-A621-4479423FB5CC}" type="presOf" srcId="{0B405FED-D0AF-4CF3-9C6D-62B4003973A7}" destId="{755D597D-6769-41AA-BF1F-C2BE5C6C908B}" srcOrd="0" destOrd="0" presId="urn:microsoft.com/office/officeart/2005/8/layout/hierarchy1"/>
    <dgm:cxn modelId="{B16EB143-F56C-454C-8370-33D1158FBF48}" type="presParOf" srcId="{864A7ABD-4E7E-4D52-87B7-A7FBBC4293DC}" destId="{A3BF4082-F488-448B-8B13-35851E07F4C2}" srcOrd="0" destOrd="0" presId="urn:microsoft.com/office/officeart/2005/8/layout/hierarchy1"/>
    <dgm:cxn modelId="{B096763C-A012-466B-8C3F-DB8BC39C8A3B}" type="presParOf" srcId="{A3BF4082-F488-448B-8B13-35851E07F4C2}" destId="{807A2F18-4D9F-47AF-B498-F009EA8CA7C9}" srcOrd="0" destOrd="0" presId="urn:microsoft.com/office/officeart/2005/8/layout/hierarchy1"/>
    <dgm:cxn modelId="{8DA983DC-8D76-44DD-8287-6F48E5E3B425}" type="presParOf" srcId="{807A2F18-4D9F-47AF-B498-F009EA8CA7C9}" destId="{AAA32717-F3B7-49BA-A651-35952E408DA3}" srcOrd="0" destOrd="0" presId="urn:microsoft.com/office/officeart/2005/8/layout/hierarchy1"/>
    <dgm:cxn modelId="{0C36A37C-9A15-40EB-8AD4-69FA6BD5A040}" type="presParOf" srcId="{807A2F18-4D9F-47AF-B498-F009EA8CA7C9}" destId="{755D597D-6769-41AA-BF1F-C2BE5C6C908B}" srcOrd="1" destOrd="0" presId="urn:microsoft.com/office/officeart/2005/8/layout/hierarchy1"/>
    <dgm:cxn modelId="{4FF8864A-32C5-47CF-B4AD-B4C5F84B1372}" type="presParOf" srcId="{A3BF4082-F488-448B-8B13-35851E07F4C2}" destId="{755A4573-B893-4E41-AB97-C487F11D2611}" srcOrd="1" destOrd="0" presId="urn:microsoft.com/office/officeart/2005/8/layout/hierarchy1"/>
    <dgm:cxn modelId="{A54F08DA-E73F-47A4-A1C4-777263BEF2F4}" type="presParOf" srcId="{755A4573-B893-4E41-AB97-C487F11D2611}" destId="{D4066C18-CF3A-4538-9884-A71F6FF29C9A}" srcOrd="0" destOrd="0" presId="urn:microsoft.com/office/officeart/2005/8/layout/hierarchy1"/>
    <dgm:cxn modelId="{5C4B7365-42DD-4BB4-83E7-EC766139333D}" type="presParOf" srcId="{755A4573-B893-4E41-AB97-C487F11D2611}" destId="{A57C93C9-5FD8-42E7-989B-EB2F3384AE50}" srcOrd="1" destOrd="0" presId="urn:microsoft.com/office/officeart/2005/8/layout/hierarchy1"/>
    <dgm:cxn modelId="{F1D951EB-2C4D-416F-A5A4-F59B1B3454DB}" type="presParOf" srcId="{A57C93C9-5FD8-42E7-989B-EB2F3384AE50}" destId="{955EAA0B-A69A-4F26-A87B-F970B7FF6F34}" srcOrd="0" destOrd="0" presId="urn:microsoft.com/office/officeart/2005/8/layout/hierarchy1"/>
    <dgm:cxn modelId="{E5080715-7771-4EFF-B837-3420D1CA99CC}" type="presParOf" srcId="{955EAA0B-A69A-4F26-A87B-F970B7FF6F34}" destId="{18897E06-8868-44B7-A723-FA98782204E1}" srcOrd="0" destOrd="0" presId="urn:microsoft.com/office/officeart/2005/8/layout/hierarchy1"/>
    <dgm:cxn modelId="{C3CC2248-DB5D-4B11-AC29-3298A0B5380B}" type="presParOf" srcId="{955EAA0B-A69A-4F26-A87B-F970B7FF6F34}" destId="{980902E6-9E50-40FA-9C63-0AE43A2F4B91}" srcOrd="1" destOrd="0" presId="urn:microsoft.com/office/officeart/2005/8/layout/hierarchy1"/>
    <dgm:cxn modelId="{0FC19E0E-7D29-4B4F-9D49-061FC3A2044E}" type="presParOf" srcId="{A57C93C9-5FD8-42E7-989B-EB2F3384AE50}" destId="{694D0C2B-F74E-4240-8EC2-EB83651C1652}" srcOrd="1" destOrd="0" presId="urn:microsoft.com/office/officeart/2005/8/layout/hierarchy1"/>
    <dgm:cxn modelId="{0157AA58-432A-4714-87BD-DB88057FF588}" type="presParOf" srcId="{694D0C2B-F74E-4240-8EC2-EB83651C1652}" destId="{9CE9D7FD-1CB9-4D29-9FCF-20CB9680DF5E}" srcOrd="0" destOrd="0" presId="urn:microsoft.com/office/officeart/2005/8/layout/hierarchy1"/>
    <dgm:cxn modelId="{B95E528A-DD74-48AD-975E-84757DD8E081}" type="presParOf" srcId="{694D0C2B-F74E-4240-8EC2-EB83651C1652}" destId="{23784380-1279-47EA-91B6-18E0FB18736A}" srcOrd="1" destOrd="0" presId="urn:microsoft.com/office/officeart/2005/8/layout/hierarchy1"/>
    <dgm:cxn modelId="{5CC93A47-6055-498B-99D6-929919D5A2EB}" type="presParOf" srcId="{23784380-1279-47EA-91B6-18E0FB18736A}" destId="{5BAC4DEB-E559-4052-BF4A-BB69346BD542}" srcOrd="0" destOrd="0" presId="urn:microsoft.com/office/officeart/2005/8/layout/hierarchy1"/>
    <dgm:cxn modelId="{DCC4E365-690C-4D42-A28B-4CCE2ADDAAAC}" type="presParOf" srcId="{5BAC4DEB-E559-4052-BF4A-BB69346BD542}" destId="{7B6704DE-A514-4413-B2FE-F08E1ED738FA}" srcOrd="0" destOrd="0" presId="urn:microsoft.com/office/officeart/2005/8/layout/hierarchy1"/>
    <dgm:cxn modelId="{FF04A2A8-42D8-4AE1-9E47-B5FC02D1EE25}" type="presParOf" srcId="{5BAC4DEB-E559-4052-BF4A-BB69346BD542}" destId="{7268C5AF-3990-4C2F-823C-DB43BB8CCB37}" srcOrd="1" destOrd="0" presId="urn:microsoft.com/office/officeart/2005/8/layout/hierarchy1"/>
    <dgm:cxn modelId="{2203779A-0F61-4B3F-8BF6-1A5D7F0A2C31}" type="presParOf" srcId="{23784380-1279-47EA-91B6-18E0FB18736A}" destId="{D82BC583-481E-4368-9D45-BD43F016E477}" srcOrd="1" destOrd="0" presId="urn:microsoft.com/office/officeart/2005/8/layout/hierarchy1"/>
    <dgm:cxn modelId="{07ACD32A-0320-4254-BEAC-30C39BB8E8D6}" type="presParOf" srcId="{D82BC583-481E-4368-9D45-BD43F016E477}" destId="{C6E80A7A-7795-4F5F-AE6A-D6D4ADDFDA94}" srcOrd="0" destOrd="0" presId="urn:microsoft.com/office/officeart/2005/8/layout/hierarchy1"/>
    <dgm:cxn modelId="{892AA78B-EFD7-4917-B6B5-01BEA58F4504}" type="presParOf" srcId="{D82BC583-481E-4368-9D45-BD43F016E477}" destId="{4AB23B17-1A59-4DCF-A54B-3A8ACB98BA55}" srcOrd="1" destOrd="0" presId="urn:microsoft.com/office/officeart/2005/8/layout/hierarchy1"/>
    <dgm:cxn modelId="{B4C0B418-7D75-457C-AC4E-F8B9598FCE20}" type="presParOf" srcId="{4AB23B17-1A59-4DCF-A54B-3A8ACB98BA55}" destId="{09D7D0B5-A870-4599-B90B-562DD311ED59}" srcOrd="0" destOrd="0" presId="urn:microsoft.com/office/officeart/2005/8/layout/hierarchy1"/>
    <dgm:cxn modelId="{B28E169B-30CD-4700-9E13-99626BA0CB04}" type="presParOf" srcId="{09D7D0B5-A870-4599-B90B-562DD311ED59}" destId="{6F0BD6E6-9FDD-4563-87F4-553586407D4D}" srcOrd="0" destOrd="0" presId="urn:microsoft.com/office/officeart/2005/8/layout/hierarchy1"/>
    <dgm:cxn modelId="{070C05F2-06D6-4316-A042-6A0995F9FDBD}" type="presParOf" srcId="{09D7D0B5-A870-4599-B90B-562DD311ED59}" destId="{93CF7AAA-E153-4612-8704-523593D1360D}" srcOrd="1" destOrd="0" presId="urn:microsoft.com/office/officeart/2005/8/layout/hierarchy1"/>
    <dgm:cxn modelId="{7FA9D633-F0DE-4B81-843F-3D930B6DA2A2}" type="presParOf" srcId="{4AB23B17-1A59-4DCF-A54B-3A8ACB98BA55}" destId="{47F23579-DD41-4B63-877F-54A4DAAC4DCD}" srcOrd="1" destOrd="0" presId="urn:microsoft.com/office/officeart/2005/8/layout/hierarchy1"/>
  </dgm:cxnLst>
  <dgm:bg/>
  <dgm:whole/>
  <dgm:extLst>
    <a:ext uri="http://schemas.microsoft.com/office/drawing/2008/diagram">
      <dsp:dataModelExt xmlns:dsp="http://schemas.microsoft.com/office/drawing/2008/diagram" relId="rId185"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DA0F393C-88AB-4D34-AF34-25069345706F}" type="doc">
      <dgm:prSet loTypeId="urn:microsoft.com/office/officeart/2005/8/layout/hProcess9" loCatId="process" qsTypeId="urn:microsoft.com/office/officeart/2005/8/quickstyle/simple1" qsCatId="simple" csTypeId="urn:microsoft.com/office/officeart/2005/8/colors/colorful5" csCatId="colorful" phldr="1"/>
      <dgm:spPr/>
    </dgm:pt>
    <dgm:pt modelId="{1EC7D3A8-D191-4887-B9E7-76EF56EDA64F}">
      <dgm:prSet phldrT="[Text]" custT="1"/>
      <dgm:spPr/>
      <dgm:t>
        <a:bodyPr/>
        <a:lstStyle/>
        <a:p>
          <a:r>
            <a:rPr lang="bg-BG" sz="1000"/>
            <a:t>Проследяване на стойностите на индикаторите</a:t>
          </a:r>
          <a:endParaRPr lang="en-US" sz="1000"/>
        </a:p>
        <a:p>
          <a:r>
            <a:rPr lang="bg-BG" sz="1000"/>
            <a:t>Друга информация и данни</a:t>
          </a:r>
          <a:endParaRPr lang="en-US" sz="1000"/>
        </a:p>
        <a:p>
          <a:r>
            <a:rPr lang="bg-BG" sz="1000"/>
            <a:t>Доклади от оценки</a:t>
          </a:r>
          <a:endParaRPr lang="bg-BG" sz="900"/>
        </a:p>
      </dgm:t>
    </dgm:pt>
    <dgm:pt modelId="{553B8AA1-4B4A-4CAE-BC54-D686691FC123}" type="parTrans" cxnId="{49AF6980-B5B4-41A8-A293-E8D11C714C3D}">
      <dgm:prSet/>
      <dgm:spPr/>
      <dgm:t>
        <a:bodyPr/>
        <a:lstStyle/>
        <a:p>
          <a:endParaRPr lang="bg-BG"/>
        </a:p>
      </dgm:t>
    </dgm:pt>
    <dgm:pt modelId="{64BEDFCB-5685-4D41-ADCF-9D32CC4B67B3}" type="sibTrans" cxnId="{49AF6980-B5B4-41A8-A293-E8D11C714C3D}">
      <dgm:prSet/>
      <dgm:spPr/>
      <dgm:t>
        <a:bodyPr/>
        <a:lstStyle/>
        <a:p>
          <a:endParaRPr lang="bg-BG"/>
        </a:p>
      </dgm:t>
    </dgm:pt>
    <dgm:pt modelId="{A073603D-3186-46D5-8A4A-E5DDB38173F3}">
      <dgm:prSet phldrT="[Text]" custT="1"/>
      <dgm:spPr/>
      <dgm:t>
        <a:bodyPr/>
        <a:lstStyle/>
        <a:p>
          <a:r>
            <a:rPr lang="bg-BG" sz="1000" b="1"/>
            <a:t>МОНИТОРИНГ</a:t>
          </a:r>
          <a:endParaRPr lang="en-US" sz="1000"/>
        </a:p>
        <a:p>
          <a:endParaRPr lang="en-US" sz="1000"/>
        </a:p>
        <a:p>
          <a:r>
            <a:rPr lang="bg-BG" sz="1000"/>
            <a:t>Анализ и вземане на решения</a:t>
          </a:r>
          <a:endParaRPr lang="bg-BG" sz="900"/>
        </a:p>
      </dgm:t>
    </dgm:pt>
    <dgm:pt modelId="{AC34448B-46ED-449E-8BD7-9C252C046F75}" type="parTrans" cxnId="{FED1FE91-F09F-4C7D-9993-99190BD75B75}">
      <dgm:prSet/>
      <dgm:spPr/>
      <dgm:t>
        <a:bodyPr/>
        <a:lstStyle/>
        <a:p>
          <a:endParaRPr lang="bg-BG"/>
        </a:p>
      </dgm:t>
    </dgm:pt>
    <dgm:pt modelId="{49FBF185-5C72-4518-B854-7901DE48F043}" type="sibTrans" cxnId="{FED1FE91-F09F-4C7D-9993-99190BD75B75}">
      <dgm:prSet/>
      <dgm:spPr/>
      <dgm:t>
        <a:bodyPr/>
        <a:lstStyle/>
        <a:p>
          <a:endParaRPr lang="bg-BG"/>
        </a:p>
      </dgm:t>
    </dgm:pt>
    <dgm:pt modelId="{AF964D53-DB4B-4F5F-BE1A-44B506266878}">
      <dgm:prSet phldrT="[Text]" custT="1"/>
      <dgm:spPr/>
      <dgm:t>
        <a:bodyPr/>
        <a:lstStyle/>
        <a:p>
          <a:r>
            <a:rPr lang="bg-BG" sz="1000"/>
            <a:t>Докладване</a:t>
          </a:r>
          <a:endParaRPr lang="en-US" sz="1000"/>
        </a:p>
        <a:p>
          <a:r>
            <a:rPr lang="bg-BG" sz="1000"/>
            <a:t>Разпространяване на резултатите</a:t>
          </a:r>
          <a:endParaRPr lang="en-US" sz="1000"/>
        </a:p>
        <a:p>
          <a:r>
            <a:rPr lang="bg-BG" sz="1000"/>
            <a:t>Кореткивни/превантивни действия и мерки, ако е необходимо</a:t>
          </a:r>
          <a:endParaRPr lang="bg-BG" sz="900"/>
        </a:p>
      </dgm:t>
    </dgm:pt>
    <dgm:pt modelId="{E8C0AAAE-0F36-4CCF-A469-1698B329DC1E}" type="parTrans" cxnId="{8BA1F713-9452-47D8-930F-8E141FC0A33D}">
      <dgm:prSet/>
      <dgm:spPr/>
      <dgm:t>
        <a:bodyPr/>
        <a:lstStyle/>
        <a:p>
          <a:endParaRPr lang="bg-BG"/>
        </a:p>
      </dgm:t>
    </dgm:pt>
    <dgm:pt modelId="{C3B37C40-F70A-4FFB-95EC-BC12FE3D15CA}" type="sibTrans" cxnId="{8BA1F713-9452-47D8-930F-8E141FC0A33D}">
      <dgm:prSet/>
      <dgm:spPr/>
      <dgm:t>
        <a:bodyPr/>
        <a:lstStyle/>
        <a:p>
          <a:endParaRPr lang="bg-BG"/>
        </a:p>
      </dgm:t>
    </dgm:pt>
    <dgm:pt modelId="{F9A4C55D-5326-4536-82E6-EA7ABFA9351C}" type="pres">
      <dgm:prSet presAssocID="{DA0F393C-88AB-4D34-AF34-25069345706F}" presName="CompostProcess" presStyleCnt="0">
        <dgm:presLayoutVars>
          <dgm:dir/>
          <dgm:resizeHandles val="exact"/>
        </dgm:presLayoutVars>
      </dgm:prSet>
      <dgm:spPr/>
    </dgm:pt>
    <dgm:pt modelId="{0B9216B3-4C6E-4757-8534-247C13254924}" type="pres">
      <dgm:prSet presAssocID="{DA0F393C-88AB-4D34-AF34-25069345706F}" presName="arrow" presStyleLbl="bgShp" presStyleIdx="0" presStyleCnt="1"/>
      <dgm:spPr/>
    </dgm:pt>
    <dgm:pt modelId="{3DC7DE7E-8422-4ECF-80B6-A7CF557EDE1E}" type="pres">
      <dgm:prSet presAssocID="{DA0F393C-88AB-4D34-AF34-25069345706F}" presName="linearProcess" presStyleCnt="0"/>
      <dgm:spPr/>
    </dgm:pt>
    <dgm:pt modelId="{42F0F914-887C-4202-B7A3-21B829219031}" type="pres">
      <dgm:prSet presAssocID="{1EC7D3A8-D191-4887-B9E7-76EF56EDA64F}" presName="textNode" presStyleLbl="node1" presStyleIdx="0" presStyleCnt="3">
        <dgm:presLayoutVars>
          <dgm:bulletEnabled val="1"/>
        </dgm:presLayoutVars>
      </dgm:prSet>
      <dgm:spPr/>
      <dgm:t>
        <a:bodyPr/>
        <a:lstStyle/>
        <a:p>
          <a:endParaRPr lang="bg-BG"/>
        </a:p>
      </dgm:t>
    </dgm:pt>
    <dgm:pt modelId="{47BE56A8-A62F-4A03-B533-77EDD0D60D2E}" type="pres">
      <dgm:prSet presAssocID="{64BEDFCB-5685-4D41-ADCF-9D32CC4B67B3}" presName="sibTrans" presStyleCnt="0"/>
      <dgm:spPr/>
    </dgm:pt>
    <dgm:pt modelId="{068D350F-0274-41F5-9604-0C7C645A20AD}" type="pres">
      <dgm:prSet presAssocID="{A073603D-3186-46D5-8A4A-E5DDB38173F3}" presName="textNode" presStyleLbl="node1" presStyleIdx="1" presStyleCnt="3">
        <dgm:presLayoutVars>
          <dgm:bulletEnabled val="1"/>
        </dgm:presLayoutVars>
      </dgm:prSet>
      <dgm:spPr/>
      <dgm:t>
        <a:bodyPr/>
        <a:lstStyle/>
        <a:p>
          <a:endParaRPr lang="bg-BG"/>
        </a:p>
      </dgm:t>
    </dgm:pt>
    <dgm:pt modelId="{C4E3A0F9-5ADA-4C95-B0E9-A7ACD08B2188}" type="pres">
      <dgm:prSet presAssocID="{49FBF185-5C72-4518-B854-7901DE48F043}" presName="sibTrans" presStyleCnt="0"/>
      <dgm:spPr/>
    </dgm:pt>
    <dgm:pt modelId="{8C342B56-B3E8-46EF-833A-8516AE3E8739}" type="pres">
      <dgm:prSet presAssocID="{AF964D53-DB4B-4F5F-BE1A-44B506266878}" presName="textNode" presStyleLbl="node1" presStyleIdx="2" presStyleCnt="3">
        <dgm:presLayoutVars>
          <dgm:bulletEnabled val="1"/>
        </dgm:presLayoutVars>
      </dgm:prSet>
      <dgm:spPr/>
      <dgm:t>
        <a:bodyPr/>
        <a:lstStyle/>
        <a:p>
          <a:endParaRPr lang="bg-BG"/>
        </a:p>
      </dgm:t>
    </dgm:pt>
  </dgm:ptLst>
  <dgm:cxnLst>
    <dgm:cxn modelId="{23C0A6B0-D328-47E6-BBFC-9E65C34CC3DD}" type="presOf" srcId="{DA0F393C-88AB-4D34-AF34-25069345706F}" destId="{F9A4C55D-5326-4536-82E6-EA7ABFA9351C}" srcOrd="0" destOrd="0" presId="urn:microsoft.com/office/officeart/2005/8/layout/hProcess9"/>
    <dgm:cxn modelId="{49AF6980-B5B4-41A8-A293-E8D11C714C3D}" srcId="{DA0F393C-88AB-4D34-AF34-25069345706F}" destId="{1EC7D3A8-D191-4887-B9E7-76EF56EDA64F}" srcOrd="0" destOrd="0" parTransId="{553B8AA1-4B4A-4CAE-BC54-D686691FC123}" sibTransId="{64BEDFCB-5685-4D41-ADCF-9D32CC4B67B3}"/>
    <dgm:cxn modelId="{FED1FE91-F09F-4C7D-9993-99190BD75B75}" srcId="{DA0F393C-88AB-4D34-AF34-25069345706F}" destId="{A073603D-3186-46D5-8A4A-E5DDB38173F3}" srcOrd="1" destOrd="0" parTransId="{AC34448B-46ED-449E-8BD7-9C252C046F75}" sibTransId="{49FBF185-5C72-4518-B854-7901DE48F043}"/>
    <dgm:cxn modelId="{8BA1F713-9452-47D8-930F-8E141FC0A33D}" srcId="{DA0F393C-88AB-4D34-AF34-25069345706F}" destId="{AF964D53-DB4B-4F5F-BE1A-44B506266878}" srcOrd="2" destOrd="0" parTransId="{E8C0AAAE-0F36-4CCF-A469-1698B329DC1E}" sibTransId="{C3B37C40-F70A-4FFB-95EC-BC12FE3D15CA}"/>
    <dgm:cxn modelId="{250DD6E9-DAE1-417D-8386-3D9AE2A5453A}" type="presOf" srcId="{A073603D-3186-46D5-8A4A-E5DDB38173F3}" destId="{068D350F-0274-41F5-9604-0C7C645A20AD}" srcOrd="0" destOrd="0" presId="urn:microsoft.com/office/officeart/2005/8/layout/hProcess9"/>
    <dgm:cxn modelId="{ED406ADD-4AAB-4A79-8798-D8323DD5B5E9}" type="presOf" srcId="{1EC7D3A8-D191-4887-B9E7-76EF56EDA64F}" destId="{42F0F914-887C-4202-B7A3-21B829219031}" srcOrd="0" destOrd="0" presId="urn:microsoft.com/office/officeart/2005/8/layout/hProcess9"/>
    <dgm:cxn modelId="{ECD112EC-FA6A-4B83-B240-5943408268BE}" type="presOf" srcId="{AF964D53-DB4B-4F5F-BE1A-44B506266878}" destId="{8C342B56-B3E8-46EF-833A-8516AE3E8739}" srcOrd="0" destOrd="0" presId="urn:microsoft.com/office/officeart/2005/8/layout/hProcess9"/>
    <dgm:cxn modelId="{421F4F69-FCD1-41B0-9130-80CCDB05D2E1}" type="presParOf" srcId="{F9A4C55D-5326-4536-82E6-EA7ABFA9351C}" destId="{0B9216B3-4C6E-4757-8534-247C13254924}" srcOrd="0" destOrd="0" presId="urn:microsoft.com/office/officeart/2005/8/layout/hProcess9"/>
    <dgm:cxn modelId="{C87F897E-C6BD-483F-912D-7A9A3FA4F36B}" type="presParOf" srcId="{F9A4C55D-5326-4536-82E6-EA7ABFA9351C}" destId="{3DC7DE7E-8422-4ECF-80B6-A7CF557EDE1E}" srcOrd="1" destOrd="0" presId="urn:microsoft.com/office/officeart/2005/8/layout/hProcess9"/>
    <dgm:cxn modelId="{72A640F3-AD9E-4584-8E1C-1CA358A14063}" type="presParOf" srcId="{3DC7DE7E-8422-4ECF-80B6-A7CF557EDE1E}" destId="{42F0F914-887C-4202-B7A3-21B829219031}" srcOrd="0" destOrd="0" presId="urn:microsoft.com/office/officeart/2005/8/layout/hProcess9"/>
    <dgm:cxn modelId="{8BBEF32A-D982-4A4E-97CF-A99DB44BFB20}" type="presParOf" srcId="{3DC7DE7E-8422-4ECF-80B6-A7CF557EDE1E}" destId="{47BE56A8-A62F-4A03-B533-77EDD0D60D2E}" srcOrd="1" destOrd="0" presId="urn:microsoft.com/office/officeart/2005/8/layout/hProcess9"/>
    <dgm:cxn modelId="{E590577D-DD6E-4B07-9C10-2A8488224C70}" type="presParOf" srcId="{3DC7DE7E-8422-4ECF-80B6-A7CF557EDE1E}" destId="{068D350F-0274-41F5-9604-0C7C645A20AD}" srcOrd="2" destOrd="0" presId="urn:microsoft.com/office/officeart/2005/8/layout/hProcess9"/>
    <dgm:cxn modelId="{2464AEC2-4336-4F93-9DE8-47D293C6E44F}" type="presParOf" srcId="{3DC7DE7E-8422-4ECF-80B6-A7CF557EDE1E}" destId="{C4E3A0F9-5ADA-4C95-B0E9-A7ACD08B2188}" srcOrd="3" destOrd="0" presId="urn:microsoft.com/office/officeart/2005/8/layout/hProcess9"/>
    <dgm:cxn modelId="{CF4A45D5-BD68-4C08-B0F5-E131231A2A6E}" type="presParOf" srcId="{3DC7DE7E-8422-4ECF-80B6-A7CF557EDE1E}" destId="{8C342B56-B3E8-46EF-833A-8516AE3E8739}" srcOrd="4" destOrd="0" presId="urn:microsoft.com/office/officeart/2005/8/layout/hProcess9"/>
  </dgm:cxnLst>
  <dgm:bg/>
  <dgm:whole/>
  <dgm:extLst>
    <a:ext uri="http://schemas.microsoft.com/office/drawing/2008/diagram">
      <dsp:dataModelExt xmlns:dsp="http://schemas.microsoft.com/office/drawing/2008/diagram" relId="rId192"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B434811-C0E7-487B-947B-8AEC881867CF}" type="doc">
      <dgm:prSet loTypeId="urn:microsoft.com/office/officeart/2005/8/layout/hProcess9" loCatId="process" qsTypeId="urn:microsoft.com/office/officeart/2005/8/quickstyle/simple1" qsCatId="simple" csTypeId="urn:microsoft.com/office/officeart/2005/8/colors/colorful5" csCatId="colorful" phldr="1"/>
      <dgm:spPr/>
    </dgm:pt>
    <dgm:pt modelId="{EF080DF2-FAEF-48CC-AE36-0D0C6BCE3810}">
      <dgm:prSet phldrT="[Text]" custT="1"/>
      <dgm:spPr/>
      <dgm:t>
        <a:bodyPr/>
        <a:lstStyle/>
        <a:p>
          <a:r>
            <a:rPr lang="bg-BG" sz="900" b="1"/>
            <a:t>Събиране на информация/данни</a:t>
          </a:r>
        </a:p>
      </dgm:t>
    </dgm:pt>
    <dgm:pt modelId="{AD288BD3-E73F-43AE-ACB1-C4BA541C3D76}" type="parTrans" cxnId="{EE12155E-03C0-4696-BBE7-E6BEC589E7D4}">
      <dgm:prSet/>
      <dgm:spPr/>
      <dgm:t>
        <a:bodyPr/>
        <a:lstStyle/>
        <a:p>
          <a:endParaRPr lang="bg-BG"/>
        </a:p>
      </dgm:t>
    </dgm:pt>
    <dgm:pt modelId="{C1BF347B-CFC5-4700-84A7-FE5499864AA6}" type="sibTrans" cxnId="{EE12155E-03C0-4696-BBE7-E6BEC589E7D4}">
      <dgm:prSet/>
      <dgm:spPr/>
      <dgm:t>
        <a:bodyPr/>
        <a:lstStyle/>
        <a:p>
          <a:endParaRPr lang="bg-BG"/>
        </a:p>
      </dgm:t>
    </dgm:pt>
    <dgm:pt modelId="{B25517BD-3255-4A8B-A5EA-D16D80B3AD3A}">
      <dgm:prSet phldrT="[Text]" custT="1"/>
      <dgm:spPr/>
      <dgm:t>
        <a:bodyPr/>
        <a:lstStyle/>
        <a:p>
          <a:r>
            <a:rPr lang="bg-BG" sz="900" b="1"/>
            <a:t>Оперативни доклади</a:t>
          </a:r>
        </a:p>
      </dgm:t>
    </dgm:pt>
    <dgm:pt modelId="{3BD2759B-23B1-4702-88B8-585DD45C808A}" type="parTrans" cxnId="{0286BC50-D1F7-4A74-88A3-44DD4287625B}">
      <dgm:prSet/>
      <dgm:spPr/>
      <dgm:t>
        <a:bodyPr/>
        <a:lstStyle/>
        <a:p>
          <a:endParaRPr lang="bg-BG"/>
        </a:p>
      </dgm:t>
    </dgm:pt>
    <dgm:pt modelId="{97E246C9-DA17-4C42-BEF1-A489C3F1C3F9}" type="sibTrans" cxnId="{0286BC50-D1F7-4A74-88A3-44DD4287625B}">
      <dgm:prSet/>
      <dgm:spPr/>
      <dgm:t>
        <a:bodyPr/>
        <a:lstStyle/>
        <a:p>
          <a:endParaRPr lang="bg-BG"/>
        </a:p>
      </dgm:t>
    </dgm:pt>
    <dgm:pt modelId="{2C5F94BE-D8A7-480A-B40D-CF01C93449E9}">
      <dgm:prSet phldrT="[Text]" custT="1"/>
      <dgm:spPr/>
      <dgm:t>
        <a:bodyPr/>
        <a:lstStyle/>
        <a:p>
          <a:r>
            <a:rPr lang="bg-BG" sz="1000" b="1"/>
            <a:t>Финансови доклади</a:t>
          </a:r>
          <a:endParaRPr lang="bg-BG" sz="900"/>
        </a:p>
      </dgm:t>
    </dgm:pt>
    <dgm:pt modelId="{A2E13A8C-3777-4C10-8BB8-3E96716D78B2}" type="parTrans" cxnId="{2E36DD8F-CABD-4F92-8820-CAF23BD45B5D}">
      <dgm:prSet/>
      <dgm:spPr/>
      <dgm:t>
        <a:bodyPr/>
        <a:lstStyle/>
        <a:p>
          <a:endParaRPr lang="bg-BG"/>
        </a:p>
      </dgm:t>
    </dgm:pt>
    <dgm:pt modelId="{DA190408-8757-4047-B97C-EA64C6FB5E63}" type="sibTrans" cxnId="{2E36DD8F-CABD-4F92-8820-CAF23BD45B5D}">
      <dgm:prSet/>
      <dgm:spPr/>
      <dgm:t>
        <a:bodyPr/>
        <a:lstStyle/>
        <a:p>
          <a:endParaRPr lang="bg-BG"/>
        </a:p>
      </dgm:t>
    </dgm:pt>
    <dgm:pt modelId="{E121E833-7307-476E-BD9A-82EEF63C94C9}" type="pres">
      <dgm:prSet presAssocID="{2B434811-C0E7-487B-947B-8AEC881867CF}" presName="CompostProcess" presStyleCnt="0">
        <dgm:presLayoutVars>
          <dgm:dir/>
          <dgm:resizeHandles val="exact"/>
        </dgm:presLayoutVars>
      </dgm:prSet>
      <dgm:spPr/>
    </dgm:pt>
    <dgm:pt modelId="{EDE13976-F18C-49E8-B55E-24094087063C}" type="pres">
      <dgm:prSet presAssocID="{2B434811-C0E7-487B-947B-8AEC881867CF}" presName="arrow" presStyleLbl="bgShp" presStyleIdx="0" presStyleCnt="1"/>
      <dgm:spPr/>
    </dgm:pt>
    <dgm:pt modelId="{ADAD4119-E893-4454-BDC7-C70880BE2754}" type="pres">
      <dgm:prSet presAssocID="{2B434811-C0E7-487B-947B-8AEC881867CF}" presName="linearProcess" presStyleCnt="0"/>
      <dgm:spPr/>
    </dgm:pt>
    <dgm:pt modelId="{D33A933A-96EB-4505-8627-9C132E723BB9}" type="pres">
      <dgm:prSet presAssocID="{EF080DF2-FAEF-48CC-AE36-0D0C6BCE3810}" presName="textNode" presStyleLbl="node1" presStyleIdx="0" presStyleCnt="3">
        <dgm:presLayoutVars>
          <dgm:bulletEnabled val="1"/>
        </dgm:presLayoutVars>
      </dgm:prSet>
      <dgm:spPr/>
      <dgm:t>
        <a:bodyPr/>
        <a:lstStyle/>
        <a:p>
          <a:endParaRPr lang="bg-BG"/>
        </a:p>
      </dgm:t>
    </dgm:pt>
    <dgm:pt modelId="{EDA2746D-5F75-4D99-AAF5-DE59AB6E2A7E}" type="pres">
      <dgm:prSet presAssocID="{C1BF347B-CFC5-4700-84A7-FE5499864AA6}" presName="sibTrans" presStyleCnt="0"/>
      <dgm:spPr/>
    </dgm:pt>
    <dgm:pt modelId="{D54808D9-8115-4A48-80B2-6222E4C95943}" type="pres">
      <dgm:prSet presAssocID="{B25517BD-3255-4A8B-A5EA-D16D80B3AD3A}" presName="textNode" presStyleLbl="node1" presStyleIdx="1" presStyleCnt="3">
        <dgm:presLayoutVars>
          <dgm:bulletEnabled val="1"/>
        </dgm:presLayoutVars>
      </dgm:prSet>
      <dgm:spPr/>
      <dgm:t>
        <a:bodyPr/>
        <a:lstStyle/>
        <a:p>
          <a:endParaRPr lang="bg-BG"/>
        </a:p>
      </dgm:t>
    </dgm:pt>
    <dgm:pt modelId="{446FB42D-8F43-4829-BF32-D2565AED594E}" type="pres">
      <dgm:prSet presAssocID="{97E246C9-DA17-4C42-BEF1-A489C3F1C3F9}" presName="sibTrans" presStyleCnt="0"/>
      <dgm:spPr/>
    </dgm:pt>
    <dgm:pt modelId="{65666B9C-E1D6-40D2-A9D9-FE690C028560}" type="pres">
      <dgm:prSet presAssocID="{2C5F94BE-D8A7-480A-B40D-CF01C93449E9}" presName="textNode" presStyleLbl="node1" presStyleIdx="2" presStyleCnt="3">
        <dgm:presLayoutVars>
          <dgm:bulletEnabled val="1"/>
        </dgm:presLayoutVars>
      </dgm:prSet>
      <dgm:spPr/>
      <dgm:t>
        <a:bodyPr/>
        <a:lstStyle/>
        <a:p>
          <a:endParaRPr lang="bg-BG"/>
        </a:p>
      </dgm:t>
    </dgm:pt>
  </dgm:ptLst>
  <dgm:cxnLst>
    <dgm:cxn modelId="{0286BC50-D1F7-4A74-88A3-44DD4287625B}" srcId="{2B434811-C0E7-487B-947B-8AEC881867CF}" destId="{B25517BD-3255-4A8B-A5EA-D16D80B3AD3A}" srcOrd="1" destOrd="0" parTransId="{3BD2759B-23B1-4702-88B8-585DD45C808A}" sibTransId="{97E246C9-DA17-4C42-BEF1-A489C3F1C3F9}"/>
    <dgm:cxn modelId="{1A9FD70D-AB00-4187-86C4-E0F75E5E97F4}" type="presOf" srcId="{EF080DF2-FAEF-48CC-AE36-0D0C6BCE3810}" destId="{D33A933A-96EB-4505-8627-9C132E723BB9}" srcOrd="0" destOrd="0" presId="urn:microsoft.com/office/officeart/2005/8/layout/hProcess9"/>
    <dgm:cxn modelId="{2E36DD8F-CABD-4F92-8820-CAF23BD45B5D}" srcId="{2B434811-C0E7-487B-947B-8AEC881867CF}" destId="{2C5F94BE-D8A7-480A-B40D-CF01C93449E9}" srcOrd="2" destOrd="0" parTransId="{A2E13A8C-3777-4C10-8BB8-3E96716D78B2}" sibTransId="{DA190408-8757-4047-B97C-EA64C6FB5E63}"/>
    <dgm:cxn modelId="{EE12155E-03C0-4696-BBE7-E6BEC589E7D4}" srcId="{2B434811-C0E7-487B-947B-8AEC881867CF}" destId="{EF080DF2-FAEF-48CC-AE36-0D0C6BCE3810}" srcOrd="0" destOrd="0" parTransId="{AD288BD3-E73F-43AE-ACB1-C4BA541C3D76}" sibTransId="{C1BF347B-CFC5-4700-84A7-FE5499864AA6}"/>
    <dgm:cxn modelId="{9862B209-876A-42EF-82DB-48D84CDB0C49}" type="presOf" srcId="{2C5F94BE-D8A7-480A-B40D-CF01C93449E9}" destId="{65666B9C-E1D6-40D2-A9D9-FE690C028560}" srcOrd="0" destOrd="0" presId="urn:microsoft.com/office/officeart/2005/8/layout/hProcess9"/>
    <dgm:cxn modelId="{C6422C6C-D4F4-46AF-9196-1389B4A58C83}" type="presOf" srcId="{2B434811-C0E7-487B-947B-8AEC881867CF}" destId="{E121E833-7307-476E-BD9A-82EEF63C94C9}" srcOrd="0" destOrd="0" presId="urn:microsoft.com/office/officeart/2005/8/layout/hProcess9"/>
    <dgm:cxn modelId="{71624175-2E2A-41E8-93FE-2CDF1A752DD6}" type="presOf" srcId="{B25517BD-3255-4A8B-A5EA-D16D80B3AD3A}" destId="{D54808D9-8115-4A48-80B2-6222E4C95943}" srcOrd="0" destOrd="0" presId="urn:microsoft.com/office/officeart/2005/8/layout/hProcess9"/>
    <dgm:cxn modelId="{1EC41140-A496-4C4D-AE32-28C094D155C2}" type="presParOf" srcId="{E121E833-7307-476E-BD9A-82EEF63C94C9}" destId="{EDE13976-F18C-49E8-B55E-24094087063C}" srcOrd="0" destOrd="0" presId="urn:microsoft.com/office/officeart/2005/8/layout/hProcess9"/>
    <dgm:cxn modelId="{497B0E2F-1E1B-4AA0-B67F-9F494B8EABF0}" type="presParOf" srcId="{E121E833-7307-476E-BD9A-82EEF63C94C9}" destId="{ADAD4119-E893-4454-BDC7-C70880BE2754}" srcOrd="1" destOrd="0" presId="urn:microsoft.com/office/officeart/2005/8/layout/hProcess9"/>
    <dgm:cxn modelId="{31CBC529-C35B-4611-982B-96795F18964E}" type="presParOf" srcId="{ADAD4119-E893-4454-BDC7-C70880BE2754}" destId="{D33A933A-96EB-4505-8627-9C132E723BB9}" srcOrd="0" destOrd="0" presId="urn:microsoft.com/office/officeart/2005/8/layout/hProcess9"/>
    <dgm:cxn modelId="{93962375-82ED-4628-A93C-7252980758FA}" type="presParOf" srcId="{ADAD4119-E893-4454-BDC7-C70880BE2754}" destId="{EDA2746D-5F75-4D99-AAF5-DE59AB6E2A7E}" srcOrd="1" destOrd="0" presId="urn:microsoft.com/office/officeart/2005/8/layout/hProcess9"/>
    <dgm:cxn modelId="{868478F1-717B-4958-9112-D45D18AD7151}" type="presParOf" srcId="{ADAD4119-E893-4454-BDC7-C70880BE2754}" destId="{D54808D9-8115-4A48-80B2-6222E4C95943}" srcOrd="2" destOrd="0" presId="urn:microsoft.com/office/officeart/2005/8/layout/hProcess9"/>
    <dgm:cxn modelId="{31F05546-40B3-4582-8F85-35FBB1C73423}" type="presParOf" srcId="{ADAD4119-E893-4454-BDC7-C70880BE2754}" destId="{446FB42D-8F43-4829-BF32-D2565AED594E}" srcOrd="3" destOrd="0" presId="urn:microsoft.com/office/officeart/2005/8/layout/hProcess9"/>
    <dgm:cxn modelId="{EF631165-FC70-4A1A-BC6C-DB70D7E62A25}" type="presParOf" srcId="{ADAD4119-E893-4454-BDC7-C70880BE2754}" destId="{65666B9C-E1D6-40D2-A9D9-FE690C028560}" srcOrd="4" destOrd="0" presId="urn:microsoft.com/office/officeart/2005/8/layout/hProcess9"/>
  </dgm:cxnLst>
  <dgm:bg/>
  <dgm:whole/>
  <dgm:extLst>
    <a:ext uri="http://schemas.microsoft.com/office/drawing/2008/diagram">
      <dsp:dataModelExt xmlns:dsp="http://schemas.microsoft.com/office/drawing/2008/diagram" relId="rId197"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2B434811-C0E7-487B-947B-8AEC881867CF}" type="doc">
      <dgm:prSet loTypeId="urn:microsoft.com/office/officeart/2005/8/layout/hProcess9" loCatId="process" qsTypeId="urn:microsoft.com/office/officeart/2005/8/quickstyle/simple1" qsCatId="simple" csTypeId="urn:microsoft.com/office/officeart/2005/8/colors/colorful5" csCatId="colorful" phldr="1"/>
      <dgm:spPr/>
    </dgm:pt>
    <dgm:pt modelId="{EF080DF2-FAEF-48CC-AE36-0D0C6BCE3810}">
      <dgm:prSet phldrT="[Text]" custT="1"/>
      <dgm:spPr>
        <a:xfrm>
          <a:off x="2804" y="885825"/>
          <a:ext cx="1733168" cy="1181099"/>
        </a:xfr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bg-BG" sz="1000" b="1">
              <a:solidFill>
                <a:sysClr val="window" lastClr="FFFFFF"/>
              </a:solidFill>
              <a:latin typeface="Calibri"/>
              <a:ea typeface="+mn-ea"/>
              <a:cs typeface="+mn-cs"/>
            </a:rPr>
            <a:t>Очаквани резултати</a:t>
          </a:r>
        </a:p>
        <a:p>
          <a:r>
            <a:rPr lang="bg-BG" sz="900">
              <a:solidFill>
                <a:sysClr val="window" lastClr="FFFFFF"/>
              </a:solidFill>
              <a:latin typeface="Calibri"/>
              <a:ea typeface="+mn-ea"/>
              <a:cs typeface="+mn-cs"/>
            </a:rPr>
            <a:t>Идентифициране и остойностяване на очакваните резултати от ФИ чрез индикатори за резултат, индикатори за продукт и индикатори за изпълнение на ФИ</a:t>
          </a:r>
        </a:p>
      </dgm:t>
    </dgm:pt>
    <dgm:pt modelId="{AD288BD3-E73F-43AE-ACB1-C4BA541C3D76}" type="parTrans" cxnId="{EE12155E-03C0-4696-BBE7-E6BEC589E7D4}">
      <dgm:prSet/>
      <dgm:spPr/>
      <dgm:t>
        <a:bodyPr/>
        <a:lstStyle/>
        <a:p>
          <a:endParaRPr lang="bg-BG"/>
        </a:p>
      </dgm:t>
    </dgm:pt>
    <dgm:pt modelId="{C1BF347B-CFC5-4700-84A7-FE5499864AA6}" type="sibTrans" cxnId="{EE12155E-03C0-4696-BBE7-E6BEC589E7D4}">
      <dgm:prSet/>
      <dgm:spPr/>
      <dgm:t>
        <a:bodyPr/>
        <a:lstStyle/>
        <a:p>
          <a:endParaRPr lang="bg-BG"/>
        </a:p>
      </dgm:t>
    </dgm:pt>
    <dgm:pt modelId="{B25517BD-3255-4A8B-A5EA-D16D80B3AD3A}">
      <dgm:prSet phldrT="[Text]" custT="1"/>
      <dgm:spPr>
        <a:xfrm>
          <a:off x="2005203" y="885825"/>
          <a:ext cx="1733168" cy="1181099"/>
        </a:xfrm>
        <a:solidFill>
          <a:srgbClr val="4472C4">
            <a:hueOff val="-3676672"/>
            <a:satOff val="-5114"/>
            <a:lumOff val="-1961"/>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bg-BG" sz="1000" b="1">
              <a:solidFill>
                <a:sysClr val="window" lastClr="FFFFFF"/>
              </a:solidFill>
              <a:latin typeface="Calibri"/>
              <a:ea typeface="+mn-ea"/>
              <a:cs typeface="+mn-cs"/>
            </a:rPr>
            <a:t>Стратегически цели</a:t>
          </a:r>
        </a:p>
        <a:p>
          <a:r>
            <a:rPr lang="bg-BG" sz="900">
              <a:solidFill>
                <a:sysClr val="window" lastClr="FFFFFF"/>
              </a:solidFill>
              <a:latin typeface="Calibri"/>
              <a:ea typeface="+mn-ea"/>
              <a:cs typeface="+mn-cs"/>
            </a:rPr>
            <a:t>Определяне начинът по който ФИ ще изпълни стратегическите цели, за които е разработен</a:t>
          </a:r>
        </a:p>
      </dgm:t>
    </dgm:pt>
    <dgm:pt modelId="{3BD2759B-23B1-4702-88B8-585DD45C808A}" type="parTrans" cxnId="{0286BC50-D1F7-4A74-88A3-44DD4287625B}">
      <dgm:prSet/>
      <dgm:spPr/>
      <dgm:t>
        <a:bodyPr/>
        <a:lstStyle/>
        <a:p>
          <a:endParaRPr lang="bg-BG"/>
        </a:p>
      </dgm:t>
    </dgm:pt>
    <dgm:pt modelId="{97E246C9-DA17-4C42-BEF1-A489C3F1C3F9}" type="sibTrans" cxnId="{0286BC50-D1F7-4A74-88A3-44DD4287625B}">
      <dgm:prSet/>
      <dgm:spPr/>
      <dgm:t>
        <a:bodyPr/>
        <a:lstStyle/>
        <a:p>
          <a:endParaRPr lang="bg-BG"/>
        </a:p>
      </dgm:t>
    </dgm:pt>
    <dgm:pt modelId="{2C5F94BE-D8A7-480A-B40D-CF01C93449E9}">
      <dgm:prSet phldrT="[Text]" custT="1"/>
      <dgm:spPr>
        <a:xfrm>
          <a:off x="4007601" y="885825"/>
          <a:ext cx="1733168" cy="1181099"/>
        </a:xfrm>
        <a:solidFill>
          <a:srgbClr val="4472C4">
            <a:hueOff val="-7353344"/>
            <a:satOff val="-10228"/>
            <a:lumOff val="-3922"/>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bg-BG" sz="1000" b="1">
              <a:solidFill>
                <a:sysClr val="window" lastClr="FFFFFF"/>
              </a:solidFill>
              <a:latin typeface="Calibri"/>
              <a:ea typeface="+mn-ea"/>
              <a:cs typeface="+mn-cs"/>
            </a:rPr>
            <a:t>Система за мониторинг</a:t>
          </a:r>
        </a:p>
        <a:p>
          <a:r>
            <a:rPr lang="bg-BG" sz="900">
              <a:solidFill>
                <a:sysClr val="window" lastClr="FFFFFF"/>
              </a:solidFill>
              <a:latin typeface="Calibri"/>
              <a:ea typeface="+mn-ea"/>
              <a:cs typeface="+mn-cs"/>
            </a:rPr>
            <a:t>Определяне на система за мониторинг за ефективно наблюдение на ФИ, улесняване процеса на докладване и идентифициране на сферите за подобрение </a:t>
          </a:r>
        </a:p>
      </dgm:t>
    </dgm:pt>
    <dgm:pt modelId="{A2E13A8C-3777-4C10-8BB8-3E96716D78B2}" type="parTrans" cxnId="{2E36DD8F-CABD-4F92-8820-CAF23BD45B5D}">
      <dgm:prSet/>
      <dgm:spPr/>
      <dgm:t>
        <a:bodyPr/>
        <a:lstStyle/>
        <a:p>
          <a:endParaRPr lang="bg-BG"/>
        </a:p>
      </dgm:t>
    </dgm:pt>
    <dgm:pt modelId="{DA190408-8757-4047-B97C-EA64C6FB5E63}" type="sibTrans" cxnId="{2E36DD8F-CABD-4F92-8820-CAF23BD45B5D}">
      <dgm:prSet/>
      <dgm:spPr/>
      <dgm:t>
        <a:bodyPr/>
        <a:lstStyle/>
        <a:p>
          <a:endParaRPr lang="bg-BG"/>
        </a:p>
      </dgm:t>
    </dgm:pt>
    <dgm:pt modelId="{E121E833-7307-476E-BD9A-82EEF63C94C9}" type="pres">
      <dgm:prSet presAssocID="{2B434811-C0E7-487B-947B-8AEC881867CF}" presName="CompostProcess" presStyleCnt="0">
        <dgm:presLayoutVars>
          <dgm:dir/>
          <dgm:resizeHandles val="exact"/>
        </dgm:presLayoutVars>
      </dgm:prSet>
      <dgm:spPr/>
    </dgm:pt>
    <dgm:pt modelId="{EDE13976-F18C-49E8-B55E-24094087063C}" type="pres">
      <dgm:prSet presAssocID="{2B434811-C0E7-487B-947B-8AEC881867CF}" presName="arrow" presStyleLbl="bgShp" presStyleIdx="0" presStyleCnt="1"/>
      <dgm:spPr>
        <a:xfrm>
          <a:off x="430768" y="0"/>
          <a:ext cx="4882038" cy="2952750"/>
        </a:xfrm>
        <a:prstGeom prst="rightArrow">
          <a:avLst/>
        </a:prstGeom>
        <a:solidFill>
          <a:srgbClr val="4472C4">
            <a:tint val="40000"/>
            <a:hueOff val="0"/>
            <a:satOff val="0"/>
            <a:lumOff val="0"/>
            <a:alphaOff val="0"/>
          </a:srgbClr>
        </a:solidFill>
        <a:ln>
          <a:noFill/>
        </a:ln>
        <a:effectLst/>
      </dgm:spPr>
    </dgm:pt>
    <dgm:pt modelId="{ADAD4119-E893-4454-BDC7-C70880BE2754}" type="pres">
      <dgm:prSet presAssocID="{2B434811-C0E7-487B-947B-8AEC881867CF}" presName="linearProcess" presStyleCnt="0"/>
      <dgm:spPr/>
    </dgm:pt>
    <dgm:pt modelId="{D33A933A-96EB-4505-8627-9C132E723BB9}" type="pres">
      <dgm:prSet presAssocID="{EF080DF2-FAEF-48CC-AE36-0D0C6BCE3810}" presName="textNode" presStyleLbl="node1" presStyleIdx="0" presStyleCnt="3">
        <dgm:presLayoutVars>
          <dgm:bulletEnabled val="1"/>
        </dgm:presLayoutVars>
      </dgm:prSet>
      <dgm:spPr>
        <a:prstGeom prst="roundRect">
          <a:avLst/>
        </a:prstGeom>
      </dgm:spPr>
      <dgm:t>
        <a:bodyPr/>
        <a:lstStyle/>
        <a:p>
          <a:endParaRPr lang="bg-BG"/>
        </a:p>
      </dgm:t>
    </dgm:pt>
    <dgm:pt modelId="{EDA2746D-5F75-4D99-AAF5-DE59AB6E2A7E}" type="pres">
      <dgm:prSet presAssocID="{C1BF347B-CFC5-4700-84A7-FE5499864AA6}" presName="sibTrans" presStyleCnt="0"/>
      <dgm:spPr/>
    </dgm:pt>
    <dgm:pt modelId="{D54808D9-8115-4A48-80B2-6222E4C95943}" type="pres">
      <dgm:prSet presAssocID="{B25517BD-3255-4A8B-A5EA-D16D80B3AD3A}" presName="textNode" presStyleLbl="node1" presStyleIdx="1" presStyleCnt="3">
        <dgm:presLayoutVars>
          <dgm:bulletEnabled val="1"/>
        </dgm:presLayoutVars>
      </dgm:prSet>
      <dgm:spPr>
        <a:prstGeom prst="roundRect">
          <a:avLst/>
        </a:prstGeom>
      </dgm:spPr>
      <dgm:t>
        <a:bodyPr/>
        <a:lstStyle/>
        <a:p>
          <a:endParaRPr lang="bg-BG"/>
        </a:p>
      </dgm:t>
    </dgm:pt>
    <dgm:pt modelId="{446FB42D-8F43-4829-BF32-D2565AED594E}" type="pres">
      <dgm:prSet presAssocID="{97E246C9-DA17-4C42-BEF1-A489C3F1C3F9}" presName="sibTrans" presStyleCnt="0"/>
      <dgm:spPr/>
    </dgm:pt>
    <dgm:pt modelId="{65666B9C-E1D6-40D2-A9D9-FE690C028560}" type="pres">
      <dgm:prSet presAssocID="{2C5F94BE-D8A7-480A-B40D-CF01C93449E9}" presName="textNode" presStyleLbl="node1" presStyleIdx="2" presStyleCnt="3">
        <dgm:presLayoutVars>
          <dgm:bulletEnabled val="1"/>
        </dgm:presLayoutVars>
      </dgm:prSet>
      <dgm:spPr>
        <a:prstGeom prst="roundRect">
          <a:avLst/>
        </a:prstGeom>
      </dgm:spPr>
      <dgm:t>
        <a:bodyPr/>
        <a:lstStyle/>
        <a:p>
          <a:endParaRPr lang="bg-BG"/>
        </a:p>
      </dgm:t>
    </dgm:pt>
  </dgm:ptLst>
  <dgm:cxnLst>
    <dgm:cxn modelId="{2E36DD8F-CABD-4F92-8820-CAF23BD45B5D}" srcId="{2B434811-C0E7-487B-947B-8AEC881867CF}" destId="{2C5F94BE-D8A7-480A-B40D-CF01C93449E9}" srcOrd="2" destOrd="0" parTransId="{A2E13A8C-3777-4C10-8BB8-3E96716D78B2}" sibTransId="{DA190408-8757-4047-B97C-EA64C6FB5E63}"/>
    <dgm:cxn modelId="{F29EC078-9F6D-4960-B42A-69331765FBA4}" type="presOf" srcId="{EF080DF2-FAEF-48CC-AE36-0D0C6BCE3810}" destId="{D33A933A-96EB-4505-8627-9C132E723BB9}" srcOrd="0" destOrd="0" presId="urn:microsoft.com/office/officeart/2005/8/layout/hProcess9"/>
    <dgm:cxn modelId="{4F4F3F65-CB0B-4091-869A-66798B65C4E6}" type="presOf" srcId="{B25517BD-3255-4A8B-A5EA-D16D80B3AD3A}" destId="{D54808D9-8115-4A48-80B2-6222E4C95943}" srcOrd="0" destOrd="0" presId="urn:microsoft.com/office/officeart/2005/8/layout/hProcess9"/>
    <dgm:cxn modelId="{05E65D83-7356-47C4-A381-E6E09E22AD44}" type="presOf" srcId="{2B434811-C0E7-487B-947B-8AEC881867CF}" destId="{E121E833-7307-476E-BD9A-82EEF63C94C9}" srcOrd="0" destOrd="0" presId="urn:microsoft.com/office/officeart/2005/8/layout/hProcess9"/>
    <dgm:cxn modelId="{0286BC50-D1F7-4A74-88A3-44DD4287625B}" srcId="{2B434811-C0E7-487B-947B-8AEC881867CF}" destId="{B25517BD-3255-4A8B-A5EA-D16D80B3AD3A}" srcOrd="1" destOrd="0" parTransId="{3BD2759B-23B1-4702-88B8-585DD45C808A}" sibTransId="{97E246C9-DA17-4C42-BEF1-A489C3F1C3F9}"/>
    <dgm:cxn modelId="{A06F8D66-7106-4479-B054-FDF7B6F3FA21}" type="presOf" srcId="{2C5F94BE-D8A7-480A-B40D-CF01C93449E9}" destId="{65666B9C-E1D6-40D2-A9D9-FE690C028560}" srcOrd="0" destOrd="0" presId="urn:microsoft.com/office/officeart/2005/8/layout/hProcess9"/>
    <dgm:cxn modelId="{EE12155E-03C0-4696-BBE7-E6BEC589E7D4}" srcId="{2B434811-C0E7-487B-947B-8AEC881867CF}" destId="{EF080DF2-FAEF-48CC-AE36-0D0C6BCE3810}" srcOrd="0" destOrd="0" parTransId="{AD288BD3-E73F-43AE-ACB1-C4BA541C3D76}" sibTransId="{C1BF347B-CFC5-4700-84A7-FE5499864AA6}"/>
    <dgm:cxn modelId="{861C15BE-6D91-4471-8467-9362D8779864}" type="presParOf" srcId="{E121E833-7307-476E-BD9A-82EEF63C94C9}" destId="{EDE13976-F18C-49E8-B55E-24094087063C}" srcOrd="0" destOrd="0" presId="urn:microsoft.com/office/officeart/2005/8/layout/hProcess9"/>
    <dgm:cxn modelId="{3FB96F6E-97ED-4412-87ED-C48A15354BDC}" type="presParOf" srcId="{E121E833-7307-476E-BD9A-82EEF63C94C9}" destId="{ADAD4119-E893-4454-BDC7-C70880BE2754}" srcOrd="1" destOrd="0" presId="urn:microsoft.com/office/officeart/2005/8/layout/hProcess9"/>
    <dgm:cxn modelId="{07A1BF78-3587-435D-9F6D-E4BEC9565B19}" type="presParOf" srcId="{ADAD4119-E893-4454-BDC7-C70880BE2754}" destId="{D33A933A-96EB-4505-8627-9C132E723BB9}" srcOrd="0" destOrd="0" presId="urn:microsoft.com/office/officeart/2005/8/layout/hProcess9"/>
    <dgm:cxn modelId="{F159E59A-176C-441B-8315-B8FDB8A1AA4D}" type="presParOf" srcId="{ADAD4119-E893-4454-BDC7-C70880BE2754}" destId="{EDA2746D-5F75-4D99-AAF5-DE59AB6E2A7E}" srcOrd="1" destOrd="0" presId="urn:microsoft.com/office/officeart/2005/8/layout/hProcess9"/>
    <dgm:cxn modelId="{2101CF41-B994-4511-8A02-C5AE855EAB3F}" type="presParOf" srcId="{ADAD4119-E893-4454-BDC7-C70880BE2754}" destId="{D54808D9-8115-4A48-80B2-6222E4C95943}" srcOrd="2" destOrd="0" presId="urn:microsoft.com/office/officeart/2005/8/layout/hProcess9"/>
    <dgm:cxn modelId="{07B01E4B-430C-4A9F-9325-510FB2229FB9}" type="presParOf" srcId="{ADAD4119-E893-4454-BDC7-C70880BE2754}" destId="{446FB42D-8F43-4829-BF32-D2565AED594E}" srcOrd="3" destOrd="0" presId="urn:microsoft.com/office/officeart/2005/8/layout/hProcess9"/>
    <dgm:cxn modelId="{758DA42C-1D81-4399-B7DF-7CFF303A3654}" type="presParOf" srcId="{ADAD4119-E893-4454-BDC7-C70880BE2754}" destId="{65666B9C-E1D6-40D2-A9D9-FE690C028560}" srcOrd="4" destOrd="0" presId="urn:microsoft.com/office/officeart/2005/8/layout/hProcess9"/>
  </dgm:cxnLst>
  <dgm:bg/>
  <dgm:whole/>
  <dgm:extLst>
    <a:ext uri="http://schemas.microsoft.com/office/drawing/2008/diagram">
      <dsp:dataModelExt xmlns:dsp="http://schemas.microsoft.com/office/drawing/2008/diagram" relId="rId202"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A771CF24-6B31-4449-A3F0-B9A84C2FFE31}" type="doc">
      <dgm:prSet loTypeId="urn:microsoft.com/office/officeart/2005/8/layout/hProcess9" loCatId="process" qsTypeId="urn:microsoft.com/office/officeart/2005/8/quickstyle/simple1" qsCatId="simple" csTypeId="urn:microsoft.com/office/officeart/2005/8/colors/colorful5" csCatId="colorful" phldr="1"/>
      <dgm:spPr/>
    </dgm:pt>
    <dgm:pt modelId="{8FE05A73-C959-48ED-9893-D09218959711}">
      <dgm:prSet phldrT="[Text]" custT="1"/>
      <dgm:spPr/>
      <dgm:t>
        <a:bodyPr/>
        <a:lstStyle/>
        <a:p>
          <a:r>
            <a:rPr lang="bg-BG" sz="1200" b="1"/>
            <a:t>Начални стойности</a:t>
          </a:r>
        </a:p>
        <a:p>
          <a:r>
            <a:rPr lang="bg-BG" sz="1050"/>
            <a:t>Определяне на условията и/или графика за преглед и актуализиране на предварителната оценка при необходимост</a:t>
          </a:r>
        </a:p>
      </dgm:t>
    </dgm:pt>
    <dgm:pt modelId="{3F8072B6-2D1B-4C19-8AA9-1208A510840E}" type="parTrans" cxnId="{F8D23659-2284-4786-BD6C-51614F65E5B2}">
      <dgm:prSet/>
      <dgm:spPr/>
      <dgm:t>
        <a:bodyPr/>
        <a:lstStyle/>
        <a:p>
          <a:endParaRPr lang="bg-BG"/>
        </a:p>
      </dgm:t>
    </dgm:pt>
    <dgm:pt modelId="{C9509204-D74A-4657-8A0D-81CEB10CEC93}" type="sibTrans" cxnId="{F8D23659-2284-4786-BD6C-51614F65E5B2}">
      <dgm:prSet/>
      <dgm:spPr/>
      <dgm:t>
        <a:bodyPr/>
        <a:lstStyle/>
        <a:p>
          <a:endParaRPr lang="bg-BG"/>
        </a:p>
      </dgm:t>
    </dgm:pt>
    <dgm:pt modelId="{906B5ADF-1FA2-48D8-AD0F-5FF71CBC50C6}">
      <dgm:prSet phldrT="[Text]" custT="1"/>
      <dgm:spPr/>
      <dgm:t>
        <a:bodyPr/>
        <a:lstStyle/>
        <a:p>
          <a:r>
            <a:rPr lang="bg-BG" sz="1100" b="1"/>
            <a:t>Документиране на данни</a:t>
          </a:r>
        </a:p>
        <a:p>
          <a:r>
            <a:rPr lang="bg-BG" sz="1050"/>
            <a:t>Документиране на информацията в системата за мониторинг и докладване</a:t>
          </a:r>
        </a:p>
        <a:p>
          <a:endParaRPr lang="bg-BG" sz="1300"/>
        </a:p>
      </dgm:t>
    </dgm:pt>
    <dgm:pt modelId="{127EF0E3-D7FD-4213-B7D5-436DD687FAC8}" type="parTrans" cxnId="{4280F6F3-4AFE-4BEB-ABEE-E5F7386CF3C5}">
      <dgm:prSet/>
      <dgm:spPr/>
      <dgm:t>
        <a:bodyPr/>
        <a:lstStyle/>
        <a:p>
          <a:endParaRPr lang="bg-BG"/>
        </a:p>
      </dgm:t>
    </dgm:pt>
    <dgm:pt modelId="{65648B48-940E-4708-A314-9E07D12B6939}" type="sibTrans" cxnId="{4280F6F3-4AFE-4BEB-ABEE-E5F7386CF3C5}">
      <dgm:prSet/>
      <dgm:spPr/>
      <dgm:t>
        <a:bodyPr/>
        <a:lstStyle/>
        <a:p>
          <a:endParaRPr lang="bg-BG"/>
        </a:p>
      </dgm:t>
    </dgm:pt>
    <dgm:pt modelId="{6FC782BB-E60A-45CE-A26F-6C4DE5C3AE31}" type="pres">
      <dgm:prSet presAssocID="{A771CF24-6B31-4449-A3F0-B9A84C2FFE31}" presName="CompostProcess" presStyleCnt="0">
        <dgm:presLayoutVars>
          <dgm:dir/>
          <dgm:resizeHandles val="exact"/>
        </dgm:presLayoutVars>
      </dgm:prSet>
      <dgm:spPr/>
    </dgm:pt>
    <dgm:pt modelId="{290AC3D9-7A2F-4E6B-9ED8-38335B1D571D}" type="pres">
      <dgm:prSet presAssocID="{A771CF24-6B31-4449-A3F0-B9A84C2FFE31}" presName="arrow" presStyleLbl="bgShp" presStyleIdx="0" presStyleCnt="1"/>
      <dgm:spPr/>
    </dgm:pt>
    <dgm:pt modelId="{EDEF7A0F-887F-4BA6-98AA-1C4ECA763089}" type="pres">
      <dgm:prSet presAssocID="{A771CF24-6B31-4449-A3F0-B9A84C2FFE31}" presName="linearProcess" presStyleCnt="0"/>
      <dgm:spPr/>
    </dgm:pt>
    <dgm:pt modelId="{6DA8D908-1F62-44F2-A38D-0DFA08599991}" type="pres">
      <dgm:prSet presAssocID="{8FE05A73-C959-48ED-9893-D09218959711}" presName="textNode" presStyleLbl="node1" presStyleIdx="0" presStyleCnt="2">
        <dgm:presLayoutVars>
          <dgm:bulletEnabled val="1"/>
        </dgm:presLayoutVars>
      </dgm:prSet>
      <dgm:spPr/>
      <dgm:t>
        <a:bodyPr/>
        <a:lstStyle/>
        <a:p>
          <a:endParaRPr lang="bg-BG"/>
        </a:p>
      </dgm:t>
    </dgm:pt>
    <dgm:pt modelId="{BE28469C-5E02-4CB4-9AE8-AC6DA4026757}" type="pres">
      <dgm:prSet presAssocID="{C9509204-D74A-4657-8A0D-81CEB10CEC93}" presName="sibTrans" presStyleCnt="0"/>
      <dgm:spPr/>
    </dgm:pt>
    <dgm:pt modelId="{45B7213F-AE17-4674-8A07-D5E6F3300242}" type="pres">
      <dgm:prSet presAssocID="{906B5ADF-1FA2-48D8-AD0F-5FF71CBC50C6}" presName="textNode" presStyleLbl="node1" presStyleIdx="1" presStyleCnt="2">
        <dgm:presLayoutVars>
          <dgm:bulletEnabled val="1"/>
        </dgm:presLayoutVars>
      </dgm:prSet>
      <dgm:spPr/>
      <dgm:t>
        <a:bodyPr/>
        <a:lstStyle/>
        <a:p>
          <a:endParaRPr lang="bg-BG"/>
        </a:p>
      </dgm:t>
    </dgm:pt>
  </dgm:ptLst>
  <dgm:cxnLst>
    <dgm:cxn modelId="{F8D23659-2284-4786-BD6C-51614F65E5B2}" srcId="{A771CF24-6B31-4449-A3F0-B9A84C2FFE31}" destId="{8FE05A73-C959-48ED-9893-D09218959711}" srcOrd="0" destOrd="0" parTransId="{3F8072B6-2D1B-4C19-8AA9-1208A510840E}" sibTransId="{C9509204-D74A-4657-8A0D-81CEB10CEC93}"/>
    <dgm:cxn modelId="{2B536702-FE23-4F07-82E3-93165C2D5134}" type="presOf" srcId="{906B5ADF-1FA2-48D8-AD0F-5FF71CBC50C6}" destId="{45B7213F-AE17-4674-8A07-D5E6F3300242}" srcOrd="0" destOrd="0" presId="urn:microsoft.com/office/officeart/2005/8/layout/hProcess9"/>
    <dgm:cxn modelId="{4280F6F3-4AFE-4BEB-ABEE-E5F7386CF3C5}" srcId="{A771CF24-6B31-4449-A3F0-B9A84C2FFE31}" destId="{906B5ADF-1FA2-48D8-AD0F-5FF71CBC50C6}" srcOrd="1" destOrd="0" parTransId="{127EF0E3-D7FD-4213-B7D5-436DD687FAC8}" sibTransId="{65648B48-940E-4708-A314-9E07D12B6939}"/>
    <dgm:cxn modelId="{46C3EEC1-9636-4FB0-901A-446AA5AFB863}" type="presOf" srcId="{8FE05A73-C959-48ED-9893-D09218959711}" destId="{6DA8D908-1F62-44F2-A38D-0DFA08599991}" srcOrd="0" destOrd="0" presId="urn:microsoft.com/office/officeart/2005/8/layout/hProcess9"/>
    <dgm:cxn modelId="{0F13426C-A0C4-4259-863E-B5DD0406B892}" type="presOf" srcId="{A771CF24-6B31-4449-A3F0-B9A84C2FFE31}" destId="{6FC782BB-E60A-45CE-A26F-6C4DE5C3AE31}" srcOrd="0" destOrd="0" presId="urn:microsoft.com/office/officeart/2005/8/layout/hProcess9"/>
    <dgm:cxn modelId="{46802C2A-E6DE-4728-ABA2-F6C684FD06ED}" type="presParOf" srcId="{6FC782BB-E60A-45CE-A26F-6C4DE5C3AE31}" destId="{290AC3D9-7A2F-4E6B-9ED8-38335B1D571D}" srcOrd="0" destOrd="0" presId="urn:microsoft.com/office/officeart/2005/8/layout/hProcess9"/>
    <dgm:cxn modelId="{31056E16-6212-4D9E-BAB2-1BF857FAF7B4}" type="presParOf" srcId="{6FC782BB-E60A-45CE-A26F-6C4DE5C3AE31}" destId="{EDEF7A0F-887F-4BA6-98AA-1C4ECA763089}" srcOrd="1" destOrd="0" presId="urn:microsoft.com/office/officeart/2005/8/layout/hProcess9"/>
    <dgm:cxn modelId="{06CE8537-3E77-4866-97D3-C2FAEAB115F9}" type="presParOf" srcId="{EDEF7A0F-887F-4BA6-98AA-1C4ECA763089}" destId="{6DA8D908-1F62-44F2-A38D-0DFA08599991}" srcOrd="0" destOrd="0" presId="urn:microsoft.com/office/officeart/2005/8/layout/hProcess9"/>
    <dgm:cxn modelId="{42E17EF0-1DA3-48FF-B626-850E3611F0DE}" type="presParOf" srcId="{EDEF7A0F-887F-4BA6-98AA-1C4ECA763089}" destId="{BE28469C-5E02-4CB4-9AE8-AC6DA4026757}" srcOrd="1" destOrd="0" presId="urn:microsoft.com/office/officeart/2005/8/layout/hProcess9"/>
    <dgm:cxn modelId="{07DD7C25-3358-4AB3-9359-A705A84CE2C2}" type="presParOf" srcId="{EDEF7A0F-887F-4BA6-98AA-1C4ECA763089}" destId="{45B7213F-AE17-4674-8A07-D5E6F3300242}" srcOrd="2" destOrd="0" presId="urn:microsoft.com/office/officeart/2005/8/layout/hProcess9"/>
  </dgm:cxnLst>
  <dgm:bg/>
  <dgm:whole/>
  <dgm:extLst>
    <a:ext uri="http://schemas.microsoft.com/office/drawing/2008/diagram">
      <dsp:dataModelExt xmlns:dsp="http://schemas.microsoft.com/office/drawing/2008/diagram" relId="rId20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58AD71-991A-489A-8642-7DEECC7BB175}">
      <dsp:nvSpPr>
        <dsp:cNvPr id="0" name=""/>
        <dsp:cNvSpPr/>
      </dsp:nvSpPr>
      <dsp:spPr>
        <a:xfrm>
          <a:off x="411479" y="0"/>
          <a:ext cx="4663440" cy="3200400"/>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A15AF902-CDB9-4A39-9342-B908D94E2DA9}">
      <dsp:nvSpPr>
        <dsp:cNvPr id="0" name=""/>
        <dsp:cNvSpPr/>
      </dsp:nvSpPr>
      <dsp:spPr>
        <a:xfrm>
          <a:off x="185916" y="960120"/>
          <a:ext cx="1645920" cy="128016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Стъпка 1</a:t>
          </a:r>
        </a:p>
        <a:p>
          <a:pPr lvl="0" algn="ctr" defTabSz="444500">
            <a:lnSpc>
              <a:spcPct val="90000"/>
            </a:lnSpc>
            <a:spcBef>
              <a:spcPct val="0"/>
            </a:spcBef>
            <a:spcAft>
              <a:spcPct val="35000"/>
            </a:spcAft>
          </a:pPr>
          <a:r>
            <a:rPr lang="bg-BG" sz="1000" kern="1200"/>
            <a:t>Идентифициране на съществуващите проблеми на пазара</a:t>
          </a:r>
        </a:p>
      </dsp:txBody>
      <dsp:txXfrm>
        <a:off x="248408" y="1022612"/>
        <a:ext cx="1520936" cy="1155176"/>
      </dsp:txXfrm>
    </dsp:sp>
    <dsp:sp modelId="{0CAB4FDE-56A1-46B4-8D05-72E79C3D35B9}">
      <dsp:nvSpPr>
        <dsp:cNvPr id="0" name=""/>
        <dsp:cNvSpPr/>
      </dsp:nvSpPr>
      <dsp:spPr>
        <a:xfrm>
          <a:off x="1920240" y="960120"/>
          <a:ext cx="1645920" cy="1280160"/>
        </a:xfrm>
        <a:prstGeom prst="roundRec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Стъпка 2</a:t>
          </a:r>
        </a:p>
        <a:p>
          <a:pPr lvl="0" algn="ctr" defTabSz="444500">
            <a:lnSpc>
              <a:spcPct val="90000"/>
            </a:lnSpc>
            <a:spcBef>
              <a:spcPct val="0"/>
            </a:spcBef>
            <a:spcAft>
              <a:spcPct val="35000"/>
            </a:spcAft>
          </a:pPr>
          <a:r>
            <a:rPr lang="bg-BG" sz="1000" kern="1200"/>
            <a:t>Анализиране на недостига между търсене и предлагане и идентифициране на неоптимални инвестиционни ситуации</a:t>
          </a:r>
        </a:p>
      </dsp:txBody>
      <dsp:txXfrm>
        <a:off x="1982732" y="1022612"/>
        <a:ext cx="1520936" cy="1155176"/>
      </dsp:txXfrm>
    </dsp:sp>
    <dsp:sp modelId="{9F73F49A-C065-4BAB-ACCF-C653DC8365DB}">
      <dsp:nvSpPr>
        <dsp:cNvPr id="0" name=""/>
        <dsp:cNvSpPr/>
      </dsp:nvSpPr>
      <dsp:spPr>
        <a:xfrm>
          <a:off x="3654563" y="960120"/>
          <a:ext cx="1645920" cy="1280160"/>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Стъпка 3</a:t>
          </a:r>
        </a:p>
        <a:p>
          <a:pPr lvl="0" algn="ctr" defTabSz="444500">
            <a:lnSpc>
              <a:spcPct val="90000"/>
            </a:lnSpc>
            <a:spcBef>
              <a:spcPct val="0"/>
            </a:spcBef>
            <a:spcAft>
              <a:spcPct val="35000"/>
            </a:spcAft>
          </a:pPr>
          <a:r>
            <a:rPr lang="bg-BG" sz="1000" kern="1200"/>
            <a:t>Остойностяване на инвестиционния недостиг доколкото това е възможно</a:t>
          </a:r>
        </a:p>
      </dsp:txBody>
      <dsp:txXfrm>
        <a:off x="3717055" y="1022612"/>
        <a:ext cx="1520936" cy="115517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9DD7BF-75FD-40D4-9014-42F8D09A0CD1}">
      <dsp:nvSpPr>
        <dsp:cNvPr id="0" name=""/>
        <dsp:cNvSpPr/>
      </dsp:nvSpPr>
      <dsp:spPr>
        <a:xfrm>
          <a:off x="0" y="4777472"/>
          <a:ext cx="5784591" cy="1045194"/>
        </a:xfrm>
        <a:prstGeom prst="rect">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bg-BG" sz="1400" b="1" kern="1200">
              <a:solidFill>
                <a:sysClr val="window" lastClr="FFFFFF"/>
              </a:solidFill>
              <a:latin typeface="Calibri"/>
              <a:ea typeface="+mn-ea"/>
              <a:cs typeface="+mn-cs"/>
            </a:rPr>
            <a:t>Пазарен неуспех и неоптимална инвестиционна ситуация</a:t>
          </a:r>
        </a:p>
      </dsp:txBody>
      <dsp:txXfrm>
        <a:off x="0" y="4777472"/>
        <a:ext cx="5784591" cy="1045194"/>
      </dsp:txXfrm>
    </dsp:sp>
    <dsp:sp modelId="{44553E6B-8AD2-46BC-9BE6-B66976392FD9}">
      <dsp:nvSpPr>
        <dsp:cNvPr id="0" name=""/>
        <dsp:cNvSpPr/>
      </dsp:nvSpPr>
      <dsp:spPr>
        <a:xfrm rot="10800000">
          <a:off x="0" y="3185641"/>
          <a:ext cx="5784591" cy="1607508"/>
        </a:xfrm>
        <a:prstGeom prst="upArrowCallout">
          <a:avLst/>
        </a:prstGeom>
        <a:solidFill>
          <a:srgbClr val="8064A2">
            <a:hueOff val="-1488257"/>
            <a:satOff val="8966"/>
            <a:lumOff val="719"/>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bg-BG" sz="1400" b="1" kern="1200">
              <a:solidFill>
                <a:sysClr val="window" lastClr="FFFFFF"/>
              </a:solidFill>
              <a:latin typeface="Calibri"/>
              <a:ea typeface="+mn-ea"/>
              <a:cs typeface="+mn-cs"/>
            </a:rPr>
            <a:t>Причини</a:t>
          </a:r>
        </a:p>
      </dsp:txBody>
      <dsp:txXfrm rot="-10800000">
        <a:off x="0" y="3383253"/>
        <a:ext cx="5784591" cy="366623"/>
      </dsp:txXfrm>
    </dsp:sp>
    <dsp:sp modelId="{2A144D04-B277-47AF-BCC5-C0E7523254BF}">
      <dsp:nvSpPr>
        <dsp:cNvPr id="0" name=""/>
        <dsp:cNvSpPr/>
      </dsp:nvSpPr>
      <dsp:spPr>
        <a:xfrm>
          <a:off x="0" y="3749877"/>
          <a:ext cx="1446147" cy="480645"/>
        </a:xfrm>
        <a:prstGeom prst="rect">
          <a:avLst/>
        </a:prstGeom>
        <a:solidFill>
          <a:srgbClr val="8064A2">
            <a:tint val="40000"/>
            <a:alpha val="90000"/>
            <a:hueOff val="0"/>
            <a:satOff val="0"/>
            <a:lumOff val="0"/>
            <a:alphaOff val="0"/>
          </a:srgbClr>
        </a:solidFill>
        <a:ln w="25400" cap="flat" cmpd="sng" algn="ctr">
          <a:solidFill>
            <a:srgbClr val="8064A2">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Неефективно регулиране на ВиК сектора</a:t>
          </a:r>
        </a:p>
      </dsp:txBody>
      <dsp:txXfrm>
        <a:off x="0" y="3749877"/>
        <a:ext cx="1446147" cy="480645"/>
      </dsp:txXfrm>
    </dsp:sp>
    <dsp:sp modelId="{50EC5608-D5C1-4313-81C2-26E0FFD6064F}">
      <dsp:nvSpPr>
        <dsp:cNvPr id="0" name=""/>
        <dsp:cNvSpPr/>
      </dsp:nvSpPr>
      <dsp:spPr>
        <a:xfrm>
          <a:off x="1446147" y="3749877"/>
          <a:ext cx="1446147" cy="480645"/>
        </a:xfrm>
        <a:prstGeom prst="rect">
          <a:avLst/>
        </a:prstGeom>
        <a:solidFill>
          <a:srgbClr val="8064A2">
            <a:tint val="40000"/>
            <a:alpha val="90000"/>
            <a:hueOff val="-328809"/>
            <a:satOff val="1846"/>
            <a:lumOff val="117"/>
            <a:alphaOff val="0"/>
          </a:srgbClr>
        </a:solidFill>
        <a:ln w="25400" cap="flat" cmpd="sng" algn="ctr">
          <a:solidFill>
            <a:srgbClr val="8064A2">
              <a:tint val="40000"/>
              <a:alpha val="90000"/>
              <a:hueOff val="-328809"/>
              <a:satOff val="1846"/>
              <a:lumOff val="117"/>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Бавен процес на реформиране на ВиК сектора </a:t>
          </a:r>
        </a:p>
      </dsp:txBody>
      <dsp:txXfrm>
        <a:off x="1446147" y="3749877"/>
        <a:ext cx="1446147" cy="480645"/>
      </dsp:txXfrm>
    </dsp:sp>
    <dsp:sp modelId="{6001BEED-1C08-43C4-AFE3-9330D26A6EB9}">
      <dsp:nvSpPr>
        <dsp:cNvPr id="0" name=""/>
        <dsp:cNvSpPr/>
      </dsp:nvSpPr>
      <dsp:spPr>
        <a:xfrm>
          <a:off x="2892295" y="3749877"/>
          <a:ext cx="1446147" cy="480645"/>
        </a:xfrm>
        <a:prstGeom prst="rect">
          <a:avLst/>
        </a:prstGeom>
        <a:solidFill>
          <a:srgbClr val="8064A2">
            <a:tint val="40000"/>
            <a:alpha val="90000"/>
            <a:hueOff val="-657618"/>
            <a:satOff val="3693"/>
            <a:lumOff val="235"/>
            <a:alphaOff val="0"/>
          </a:srgbClr>
        </a:solidFill>
        <a:ln w="25400" cap="flat" cmpd="sng" algn="ctr">
          <a:solidFill>
            <a:srgbClr val="8064A2">
              <a:tint val="40000"/>
              <a:alpha val="90000"/>
              <a:hueOff val="-657618"/>
              <a:satOff val="3693"/>
              <a:lumOff val="235"/>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Липса на опит в прилагането на ФИ</a:t>
          </a:r>
        </a:p>
      </dsp:txBody>
      <dsp:txXfrm>
        <a:off x="2892295" y="3749877"/>
        <a:ext cx="1446147" cy="480645"/>
      </dsp:txXfrm>
    </dsp:sp>
    <dsp:sp modelId="{DEF3529B-8B25-4E49-8ACC-3C475A80A60A}">
      <dsp:nvSpPr>
        <dsp:cNvPr id="0" name=""/>
        <dsp:cNvSpPr/>
      </dsp:nvSpPr>
      <dsp:spPr>
        <a:xfrm>
          <a:off x="4338443" y="3749877"/>
          <a:ext cx="1446147" cy="480645"/>
        </a:xfrm>
        <a:prstGeom prst="rect">
          <a:avLst/>
        </a:prstGeom>
        <a:solidFill>
          <a:srgbClr val="8064A2">
            <a:tint val="40000"/>
            <a:alpha val="90000"/>
            <a:hueOff val="-986426"/>
            <a:satOff val="5539"/>
            <a:lumOff val="352"/>
            <a:alphaOff val="0"/>
          </a:srgbClr>
        </a:solidFill>
        <a:ln w="25400" cap="flat" cmpd="sng" algn="ctr">
          <a:solidFill>
            <a:srgbClr val="8064A2">
              <a:tint val="40000"/>
              <a:alpha val="90000"/>
              <a:hueOff val="-986426"/>
              <a:satOff val="5539"/>
              <a:lumOff val="352"/>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Публични услуги с голям размер на първоначалните инвестиции и дълъг период на изплащане</a:t>
          </a:r>
        </a:p>
      </dsp:txBody>
      <dsp:txXfrm>
        <a:off x="4338443" y="3749877"/>
        <a:ext cx="1446147" cy="480645"/>
      </dsp:txXfrm>
    </dsp:sp>
    <dsp:sp modelId="{F78E0E7F-9B97-4A03-873E-DFA13145B11B}">
      <dsp:nvSpPr>
        <dsp:cNvPr id="0" name=""/>
        <dsp:cNvSpPr/>
      </dsp:nvSpPr>
      <dsp:spPr>
        <a:xfrm rot="10800000">
          <a:off x="0" y="1593810"/>
          <a:ext cx="5784591" cy="1607508"/>
        </a:xfrm>
        <a:prstGeom prst="upArrowCallout">
          <a:avLst/>
        </a:prstGeom>
        <a:solidFill>
          <a:srgbClr val="8064A2">
            <a:hueOff val="-2976513"/>
            <a:satOff val="17933"/>
            <a:lumOff val="1437"/>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bg-BG" sz="1400" b="1" kern="1200">
              <a:solidFill>
                <a:sysClr val="window" lastClr="FFFFFF"/>
              </a:solidFill>
              <a:latin typeface="Calibri"/>
              <a:ea typeface="+mn-ea"/>
              <a:cs typeface="+mn-cs"/>
            </a:rPr>
            <a:t>Незадоволено търсене</a:t>
          </a:r>
        </a:p>
      </dsp:txBody>
      <dsp:txXfrm rot="-10800000">
        <a:off x="0" y="1791422"/>
        <a:ext cx="5784591" cy="366623"/>
      </dsp:txXfrm>
    </dsp:sp>
    <dsp:sp modelId="{C745B4F3-18AD-4736-882D-1E5484DDD628}">
      <dsp:nvSpPr>
        <dsp:cNvPr id="0" name=""/>
        <dsp:cNvSpPr/>
      </dsp:nvSpPr>
      <dsp:spPr>
        <a:xfrm>
          <a:off x="0" y="2158046"/>
          <a:ext cx="1446147" cy="480645"/>
        </a:xfrm>
        <a:prstGeom prst="rect">
          <a:avLst/>
        </a:prstGeom>
        <a:solidFill>
          <a:srgbClr val="8064A2">
            <a:tint val="40000"/>
            <a:alpha val="90000"/>
            <a:hueOff val="-1315235"/>
            <a:satOff val="7386"/>
            <a:lumOff val="469"/>
            <a:alphaOff val="0"/>
          </a:srgbClr>
        </a:solidFill>
        <a:ln w="25400" cap="flat" cmpd="sng" algn="ctr">
          <a:solidFill>
            <a:srgbClr val="8064A2">
              <a:tint val="40000"/>
              <a:alpha val="90000"/>
              <a:hueOff val="-1315235"/>
              <a:satOff val="7386"/>
              <a:lumOff val="469"/>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Различни стимули за ползвателите на ВиК услуги</a:t>
          </a:r>
        </a:p>
      </dsp:txBody>
      <dsp:txXfrm>
        <a:off x="0" y="2158046"/>
        <a:ext cx="1446147" cy="480645"/>
      </dsp:txXfrm>
    </dsp:sp>
    <dsp:sp modelId="{BFEE3ADB-D684-4D64-A1A1-693C7A2C3CA9}">
      <dsp:nvSpPr>
        <dsp:cNvPr id="0" name=""/>
        <dsp:cNvSpPr/>
      </dsp:nvSpPr>
      <dsp:spPr>
        <a:xfrm>
          <a:off x="1446147" y="2158046"/>
          <a:ext cx="1446147" cy="480645"/>
        </a:xfrm>
        <a:prstGeom prst="rect">
          <a:avLst/>
        </a:prstGeom>
        <a:solidFill>
          <a:srgbClr val="8064A2">
            <a:tint val="40000"/>
            <a:alpha val="90000"/>
            <a:hueOff val="-1644044"/>
            <a:satOff val="9232"/>
            <a:lumOff val="587"/>
            <a:alphaOff val="0"/>
          </a:srgbClr>
        </a:solidFill>
        <a:ln w="25400" cap="flat" cmpd="sng" algn="ctr">
          <a:solidFill>
            <a:srgbClr val="8064A2">
              <a:tint val="40000"/>
              <a:alpha val="90000"/>
              <a:hueOff val="-1644044"/>
              <a:satOff val="9232"/>
              <a:lumOff val="587"/>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Недостатъчно готови инвестиционни проекти</a:t>
          </a:r>
        </a:p>
      </dsp:txBody>
      <dsp:txXfrm>
        <a:off x="1446147" y="2158046"/>
        <a:ext cx="1446147" cy="480645"/>
      </dsp:txXfrm>
    </dsp:sp>
    <dsp:sp modelId="{63A88AF5-EDCF-430E-AFC2-FE938F4E30A1}">
      <dsp:nvSpPr>
        <dsp:cNvPr id="0" name=""/>
        <dsp:cNvSpPr/>
      </dsp:nvSpPr>
      <dsp:spPr>
        <a:xfrm>
          <a:off x="2892295" y="2158046"/>
          <a:ext cx="1446147" cy="480645"/>
        </a:xfrm>
        <a:prstGeom prst="rect">
          <a:avLst/>
        </a:prstGeom>
        <a:solidFill>
          <a:srgbClr val="8064A2">
            <a:tint val="40000"/>
            <a:alpha val="90000"/>
            <a:hueOff val="-1972853"/>
            <a:satOff val="11079"/>
            <a:lumOff val="704"/>
            <a:alphaOff val="0"/>
          </a:srgbClr>
        </a:solidFill>
        <a:ln w="25400" cap="flat" cmpd="sng" algn="ctr">
          <a:solidFill>
            <a:srgbClr val="8064A2">
              <a:tint val="40000"/>
              <a:alpha val="90000"/>
              <a:hueOff val="-1972853"/>
              <a:satOff val="11079"/>
              <a:lumOff val="704"/>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Ограничен достъп до подходящо финансиране</a:t>
          </a:r>
        </a:p>
      </dsp:txBody>
      <dsp:txXfrm>
        <a:off x="2892295" y="2158046"/>
        <a:ext cx="1446147" cy="480645"/>
      </dsp:txXfrm>
    </dsp:sp>
    <dsp:sp modelId="{ABEF8898-CB6C-4DA6-A2BC-5D3584AECE7B}">
      <dsp:nvSpPr>
        <dsp:cNvPr id="0" name=""/>
        <dsp:cNvSpPr/>
      </dsp:nvSpPr>
      <dsp:spPr>
        <a:xfrm>
          <a:off x="4338443" y="2158046"/>
          <a:ext cx="1446147" cy="480645"/>
        </a:xfrm>
        <a:prstGeom prst="rect">
          <a:avLst/>
        </a:prstGeom>
        <a:solidFill>
          <a:srgbClr val="8064A2">
            <a:tint val="40000"/>
            <a:alpha val="90000"/>
            <a:hueOff val="-2301662"/>
            <a:satOff val="12925"/>
            <a:lumOff val="821"/>
            <a:alphaOff val="0"/>
          </a:srgbClr>
        </a:solidFill>
        <a:ln w="25400" cap="flat" cmpd="sng" algn="ctr">
          <a:solidFill>
            <a:srgbClr val="8064A2">
              <a:tint val="40000"/>
              <a:alpha val="90000"/>
              <a:hueOff val="-2301662"/>
              <a:satOff val="12925"/>
              <a:lumOff val="821"/>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Липса на капацитет или недостатъчно опит при управление на проектно финансиране</a:t>
          </a:r>
        </a:p>
      </dsp:txBody>
      <dsp:txXfrm>
        <a:off x="4338443" y="2158046"/>
        <a:ext cx="1446147" cy="480645"/>
      </dsp:txXfrm>
    </dsp:sp>
    <dsp:sp modelId="{5F4753C0-B7AC-487A-AD1F-2B864BEF95FD}">
      <dsp:nvSpPr>
        <dsp:cNvPr id="0" name=""/>
        <dsp:cNvSpPr/>
      </dsp:nvSpPr>
      <dsp:spPr>
        <a:xfrm rot="10800000">
          <a:off x="0" y="1980"/>
          <a:ext cx="5784591" cy="1607508"/>
        </a:xfrm>
        <a:prstGeom prst="upArrowCallout">
          <a:avLst/>
        </a:prstGeom>
        <a:solidFill>
          <a:srgbClr val="8064A2">
            <a:hueOff val="-4464770"/>
            <a:satOff val="26899"/>
            <a:lumOff val="2156"/>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bg-BG" sz="1400" b="1" kern="1200">
              <a:solidFill>
                <a:sysClr val="window" lastClr="FFFFFF"/>
              </a:solidFill>
              <a:latin typeface="Calibri"/>
              <a:ea typeface="+mn-ea"/>
              <a:cs typeface="+mn-cs"/>
            </a:rPr>
            <a:t>Пазарно предлагане</a:t>
          </a:r>
        </a:p>
      </dsp:txBody>
      <dsp:txXfrm rot="-10800000">
        <a:off x="0" y="199592"/>
        <a:ext cx="5784591" cy="366623"/>
      </dsp:txXfrm>
    </dsp:sp>
    <dsp:sp modelId="{9EC0C046-E1CB-4877-A7A6-8DE8909C9D01}">
      <dsp:nvSpPr>
        <dsp:cNvPr id="0" name=""/>
        <dsp:cNvSpPr/>
      </dsp:nvSpPr>
      <dsp:spPr>
        <a:xfrm>
          <a:off x="706" y="566215"/>
          <a:ext cx="1156635" cy="480645"/>
        </a:xfrm>
        <a:prstGeom prst="rect">
          <a:avLst/>
        </a:prstGeom>
        <a:solidFill>
          <a:srgbClr val="8064A2">
            <a:tint val="40000"/>
            <a:alpha val="90000"/>
            <a:hueOff val="-2630471"/>
            <a:satOff val="14771"/>
            <a:lumOff val="939"/>
            <a:alphaOff val="0"/>
          </a:srgbClr>
        </a:solidFill>
        <a:ln w="25400" cap="flat" cmpd="sng" algn="ctr">
          <a:solidFill>
            <a:srgbClr val="8064A2">
              <a:tint val="40000"/>
              <a:alpha val="90000"/>
              <a:hueOff val="-2630471"/>
              <a:satOff val="14771"/>
              <a:lumOff val="939"/>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Безвъзмездна финансова помощ от ЕС</a:t>
          </a:r>
        </a:p>
      </dsp:txBody>
      <dsp:txXfrm>
        <a:off x="706" y="566215"/>
        <a:ext cx="1156635" cy="480645"/>
      </dsp:txXfrm>
    </dsp:sp>
    <dsp:sp modelId="{CE17F1D6-06C4-4C72-8F8B-690B8FC6B71F}">
      <dsp:nvSpPr>
        <dsp:cNvPr id="0" name=""/>
        <dsp:cNvSpPr/>
      </dsp:nvSpPr>
      <dsp:spPr>
        <a:xfrm>
          <a:off x="1157341" y="566215"/>
          <a:ext cx="1156635" cy="480645"/>
        </a:xfrm>
        <a:prstGeom prst="rect">
          <a:avLst/>
        </a:prstGeom>
        <a:solidFill>
          <a:srgbClr val="8064A2">
            <a:tint val="40000"/>
            <a:alpha val="90000"/>
            <a:hueOff val="-2959279"/>
            <a:satOff val="16618"/>
            <a:lumOff val="1056"/>
            <a:alphaOff val="0"/>
          </a:srgbClr>
        </a:solidFill>
        <a:ln w="25400" cap="flat" cmpd="sng" algn="ctr">
          <a:solidFill>
            <a:srgbClr val="8064A2">
              <a:tint val="40000"/>
              <a:alpha val="90000"/>
              <a:hueOff val="-2959279"/>
              <a:satOff val="16618"/>
              <a:lumOff val="1056"/>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ЕИБ - държавно гарантирани заеми</a:t>
          </a:r>
        </a:p>
      </dsp:txBody>
      <dsp:txXfrm>
        <a:off x="1157341" y="566215"/>
        <a:ext cx="1156635" cy="480645"/>
      </dsp:txXfrm>
    </dsp:sp>
    <dsp:sp modelId="{065C51F8-87B6-453B-89D5-BFE5B24E3623}">
      <dsp:nvSpPr>
        <dsp:cNvPr id="0" name=""/>
        <dsp:cNvSpPr/>
      </dsp:nvSpPr>
      <dsp:spPr>
        <a:xfrm>
          <a:off x="2313977" y="566215"/>
          <a:ext cx="1156635" cy="480645"/>
        </a:xfrm>
        <a:prstGeom prst="rect">
          <a:avLst/>
        </a:prstGeom>
        <a:solidFill>
          <a:srgbClr val="8064A2">
            <a:tint val="40000"/>
            <a:alpha val="90000"/>
            <a:hueOff val="-3288088"/>
            <a:satOff val="18464"/>
            <a:lumOff val="1173"/>
            <a:alphaOff val="0"/>
          </a:srgbClr>
        </a:solidFill>
        <a:ln w="25400" cap="flat" cmpd="sng" algn="ctr">
          <a:solidFill>
            <a:srgbClr val="8064A2">
              <a:tint val="40000"/>
              <a:alpha val="90000"/>
              <a:hueOff val="-3288088"/>
              <a:satOff val="18464"/>
              <a:lumOff val="1173"/>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ЕБВР - директни заеми за  ВиК дружествата, които пряко събират таксите от ВиК услугите</a:t>
          </a:r>
        </a:p>
      </dsp:txBody>
      <dsp:txXfrm>
        <a:off x="2313977" y="566215"/>
        <a:ext cx="1156635" cy="480645"/>
      </dsp:txXfrm>
    </dsp:sp>
    <dsp:sp modelId="{EFAFC93D-85F6-4346-9494-229C444B322C}">
      <dsp:nvSpPr>
        <dsp:cNvPr id="0" name=""/>
        <dsp:cNvSpPr/>
      </dsp:nvSpPr>
      <dsp:spPr>
        <a:xfrm>
          <a:off x="3470613" y="566215"/>
          <a:ext cx="1156635" cy="480645"/>
        </a:xfrm>
        <a:prstGeom prst="rect">
          <a:avLst/>
        </a:prstGeom>
        <a:solidFill>
          <a:srgbClr val="8064A2">
            <a:tint val="40000"/>
            <a:alpha val="90000"/>
            <a:hueOff val="-3616897"/>
            <a:satOff val="20311"/>
            <a:lumOff val="1291"/>
            <a:alphaOff val="0"/>
          </a:srgbClr>
        </a:solidFill>
        <a:ln w="25400" cap="flat" cmpd="sng" algn="ctr">
          <a:solidFill>
            <a:srgbClr val="8064A2">
              <a:tint val="40000"/>
              <a:alpha val="90000"/>
              <a:hueOff val="-3616897"/>
              <a:satOff val="20311"/>
              <a:lumOff val="1291"/>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Фонд ФЛАГ  - заеми за съфинансиране и мостово финансиране</a:t>
          </a:r>
        </a:p>
      </dsp:txBody>
      <dsp:txXfrm>
        <a:off x="3470613" y="566215"/>
        <a:ext cx="1156635" cy="480645"/>
      </dsp:txXfrm>
    </dsp:sp>
    <dsp:sp modelId="{E5645726-787A-4B70-8D41-52FDFB21DE7F}">
      <dsp:nvSpPr>
        <dsp:cNvPr id="0" name=""/>
        <dsp:cNvSpPr/>
      </dsp:nvSpPr>
      <dsp:spPr>
        <a:xfrm>
          <a:off x="4627249" y="566215"/>
          <a:ext cx="1156635" cy="480645"/>
        </a:xfrm>
        <a:prstGeom prst="rect">
          <a:avLst/>
        </a:prstGeom>
        <a:solidFill>
          <a:srgbClr val="8064A2">
            <a:tint val="40000"/>
            <a:alpha val="90000"/>
            <a:hueOff val="-3945706"/>
            <a:satOff val="22157"/>
            <a:lumOff val="1408"/>
            <a:alphaOff val="0"/>
          </a:srgbClr>
        </a:solidFill>
        <a:ln w="25400" cap="flat" cmpd="sng" algn="ctr">
          <a:solidFill>
            <a:srgbClr val="8064A2">
              <a:tint val="40000"/>
              <a:alpha val="90000"/>
              <a:hueOff val="-3945706"/>
              <a:satOff val="22157"/>
              <a:lumOff val="1408"/>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ПУДООС - безлихвени заеми за мостово финансиране</a:t>
          </a:r>
        </a:p>
      </dsp:txBody>
      <dsp:txXfrm>
        <a:off x="4627249" y="566215"/>
        <a:ext cx="1156635" cy="48064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9DD7BF-75FD-40D4-9014-42F8D09A0CD1}">
      <dsp:nvSpPr>
        <dsp:cNvPr id="0" name=""/>
        <dsp:cNvSpPr/>
      </dsp:nvSpPr>
      <dsp:spPr>
        <a:xfrm>
          <a:off x="0" y="4777472"/>
          <a:ext cx="5784591" cy="1045194"/>
        </a:xfrm>
        <a:prstGeom prst="rect">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bg-BG" sz="1400" b="1" kern="1200">
              <a:solidFill>
                <a:sysClr val="window" lastClr="FFFFFF"/>
              </a:solidFill>
              <a:latin typeface="Calibri"/>
              <a:ea typeface="+mn-ea"/>
              <a:cs typeface="+mn-cs"/>
            </a:rPr>
            <a:t>Пазарен неуспех и неоптимална инвестиционна ситуация</a:t>
          </a:r>
        </a:p>
      </dsp:txBody>
      <dsp:txXfrm>
        <a:off x="0" y="4777472"/>
        <a:ext cx="5784591" cy="1045194"/>
      </dsp:txXfrm>
    </dsp:sp>
    <dsp:sp modelId="{44553E6B-8AD2-46BC-9BE6-B66976392FD9}">
      <dsp:nvSpPr>
        <dsp:cNvPr id="0" name=""/>
        <dsp:cNvSpPr/>
      </dsp:nvSpPr>
      <dsp:spPr>
        <a:xfrm rot="10800000">
          <a:off x="0" y="3185641"/>
          <a:ext cx="5784591" cy="1607508"/>
        </a:xfrm>
        <a:prstGeom prst="upArrowCallout">
          <a:avLst/>
        </a:prstGeom>
        <a:solidFill>
          <a:srgbClr val="9BBB59">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bg-BG" sz="1400" b="1" kern="1200">
              <a:solidFill>
                <a:sysClr val="window" lastClr="FFFFFF"/>
              </a:solidFill>
              <a:latin typeface="Calibri"/>
              <a:ea typeface="+mn-ea"/>
              <a:cs typeface="+mn-cs"/>
            </a:rPr>
            <a:t>Причини</a:t>
          </a:r>
        </a:p>
      </dsp:txBody>
      <dsp:txXfrm rot="-10800000">
        <a:off x="0" y="3383253"/>
        <a:ext cx="5784591" cy="366623"/>
      </dsp:txXfrm>
    </dsp:sp>
    <dsp:sp modelId="{2A144D04-B277-47AF-BCC5-C0E7523254BF}">
      <dsp:nvSpPr>
        <dsp:cNvPr id="0" name=""/>
        <dsp:cNvSpPr/>
      </dsp:nvSpPr>
      <dsp:spPr>
        <a:xfrm>
          <a:off x="0" y="3749877"/>
          <a:ext cx="1446147" cy="480645"/>
        </a:xfrm>
        <a:prstGeom prst="rect">
          <a:avLst/>
        </a:prstGeom>
        <a:solidFill>
          <a:srgbClr val="C0504D">
            <a:tint val="40000"/>
            <a:alpha val="90000"/>
            <a:hueOff val="0"/>
            <a:satOff val="0"/>
            <a:lumOff val="0"/>
            <a:alphaOff val="0"/>
          </a:srgbClr>
        </a:solidFill>
        <a:ln w="25400" cap="flat" cmpd="sng" algn="ctr">
          <a:solidFill>
            <a:srgbClr val="C0504D">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Неефективно регулиране на пазара в сектор Отпадъци</a:t>
          </a:r>
        </a:p>
      </dsp:txBody>
      <dsp:txXfrm>
        <a:off x="0" y="3749877"/>
        <a:ext cx="1446147" cy="480645"/>
      </dsp:txXfrm>
    </dsp:sp>
    <dsp:sp modelId="{50EC5608-D5C1-4313-81C2-26E0FFD6064F}">
      <dsp:nvSpPr>
        <dsp:cNvPr id="0" name=""/>
        <dsp:cNvSpPr/>
      </dsp:nvSpPr>
      <dsp:spPr>
        <a:xfrm>
          <a:off x="1446147" y="3749877"/>
          <a:ext cx="1446147" cy="480645"/>
        </a:xfrm>
        <a:prstGeom prst="rect">
          <a:avLst/>
        </a:prstGeom>
        <a:solidFill>
          <a:srgbClr val="9BBB59">
            <a:tint val="40000"/>
            <a:alpha val="90000"/>
            <a:hueOff val="0"/>
            <a:satOff val="0"/>
            <a:lumOff val="0"/>
            <a:alphaOff val="0"/>
          </a:srgbClr>
        </a:solidFill>
        <a:ln w="25400" cap="flat" cmpd="sng" algn="ctr">
          <a:solidFill>
            <a:srgbClr val="9BBB59">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Публични услуги с незадоволително участие на частния сектор</a:t>
          </a:r>
        </a:p>
      </dsp:txBody>
      <dsp:txXfrm>
        <a:off x="1446147" y="3749877"/>
        <a:ext cx="1446147" cy="480645"/>
      </dsp:txXfrm>
    </dsp:sp>
    <dsp:sp modelId="{6001BEED-1C08-43C4-AFE3-9330D26A6EB9}">
      <dsp:nvSpPr>
        <dsp:cNvPr id="0" name=""/>
        <dsp:cNvSpPr/>
      </dsp:nvSpPr>
      <dsp:spPr>
        <a:xfrm>
          <a:off x="2892295" y="3749877"/>
          <a:ext cx="1446147" cy="480645"/>
        </a:xfrm>
        <a:prstGeom prst="rect">
          <a:avLst/>
        </a:prstGeom>
        <a:solidFill>
          <a:srgbClr val="8064A2">
            <a:tint val="40000"/>
            <a:alpha val="90000"/>
            <a:hueOff val="0"/>
            <a:satOff val="0"/>
            <a:lumOff val="0"/>
            <a:alphaOff val="0"/>
          </a:srgbClr>
        </a:solidFill>
        <a:ln w="25400" cap="flat" cmpd="sng" algn="ctr">
          <a:solidFill>
            <a:srgbClr val="8064A2">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Липса на опит в прилагането на ФИ</a:t>
          </a:r>
        </a:p>
      </dsp:txBody>
      <dsp:txXfrm>
        <a:off x="2892295" y="3749877"/>
        <a:ext cx="1446147" cy="480645"/>
      </dsp:txXfrm>
    </dsp:sp>
    <dsp:sp modelId="{DEF3529B-8B25-4E49-8ACC-3C475A80A60A}">
      <dsp:nvSpPr>
        <dsp:cNvPr id="0" name=""/>
        <dsp:cNvSpPr/>
      </dsp:nvSpPr>
      <dsp:spPr>
        <a:xfrm>
          <a:off x="4338443" y="3749877"/>
          <a:ext cx="1446147" cy="480645"/>
        </a:xfrm>
        <a:prstGeom prst="rect">
          <a:avLst/>
        </a:prstGeom>
        <a:solidFill>
          <a:srgbClr val="4BACC6">
            <a:tint val="40000"/>
            <a:alpha val="90000"/>
            <a:hueOff val="0"/>
            <a:satOff val="0"/>
            <a:lumOff val="0"/>
            <a:alphaOff val="0"/>
          </a:srgbClr>
        </a:solidFill>
        <a:ln w="25400" cap="flat" cmpd="sng" algn="ctr">
          <a:solidFill>
            <a:srgbClr val="4BACC6">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Публични услуги с голям размер на първоначалните инвестиции и дълъг период на изплащане</a:t>
          </a:r>
        </a:p>
      </dsp:txBody>
      <dsp:txXfrm>
        <a:off x="4338443" y="3749877"/>
        <a:ext cx="1446147" cy="480645"/>
      </dsp:txXfrm>
    </dsp:sp>
    <dsp:sp modelId="{F78E0E7F-9B97-4A03-873E-DFA13145B11B}">
      <dsp:nvSpPr>
        <dsp:cNvPr id="0" name=""/>
        <dsp:cNvSpPr/>
      </dsp:nvSpPr>
      <dsp:spPr>
        <a:xfrm rot="10800000">
          <a:off x="0" y="1593810"/>
          <a:ext cx="5784591" cy="1607508"/>
        </a:xfrm>
        <a:prstGeom prst="upArrowCallout">
          <a:avLst/>
        </a:prstGeom>
        <a:solidFill>
          <a:srgbClr val="8064A2">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bg-BG" sz="1400" b="1" kern="1200">
              <a:solidFill>
                <a:sysClr val="window" lastClr="FFFFFF"/>
              </a:solidFill>
              <a:latin typeface="Calibri"/>
              <a:ea typeface="+mn-ea"/>
              <a:cs typeface="+mn-cs"/>
            </a:rPr>
            <a:t>Незадоволено търсене</a:t>
          </a:r>
        </a:p>
      </dsp:txBody>
      <dsp:txXfrm rot="-10800000">
        <a:off x="0" y="1791422"/>
        <a:ext cx="5784591" cy="366623"/>
      </dsp:txXfrm>
    </dsp:sp>
    <dsp:sp modelId="{C745B4F3-18AD-4736-882D-1E5484DDD628}">
      <dsp:nvSpPr>
        <dsp:cNvPr id="0" name=""/>
        <dsp:cNvSpPr/>
      </dsp:nvSpPr>
      <dsp:spPr>
        <a:xfrm>
          <a:off x="0" y="2158046"/>
          <a:ext cx="1446147" cy="480645"/>
        </a:xfrm>
        <a:prstGeom prst="rect">
          <a:avLst/>
        </a:prstGeom>
        <a:solidFill>
          <a:srgbClr val="F79646">
            <a:tint val="40000"/>
            <a:alpha val="90000"/>
            <a:hueOff val="0"/>
            <a:satOff val="0"/>
            <a:lumOff val="0"/>
            <a:alphaOff val="0"/>
          </a:srgbClr>
        </a:solidFill>
        <a:ln w="25400" cap="flat" cmpd="sng" algn="ctr">
          <a:solidFill>
            <a:srgbClr val="F79646">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Различни стимули за ползвателите на услуги в сектор Отпадъци</a:t>
          </a:r>
        </a:p>
      </dsp:txBody>
      <dsp:txXfrm>
        <a:off x="0" y="2158046"/>
        <a:ext cx="1446147" cy="480645"/>
      </dsp:txXfrm>
    </dsp:sp>
    <dsp:sp modelId="{BFEE3ADB-D684-4D64-A1A1-693C7A2C3CA9}">
      <dsp:nvSpPr>
        <dsp:cNvPr id="0" name=""/>
        <dsp:cNvSpPr/>
      </dsp:nvSpPr>
      <dsp:spPr>
        <a:xfrm>
          <a:off x="1446147" y="2158046"/>
          <a:ext cx="1446147" cy="480645"/>
        </a:xfrm>
        <a:prstGeom prst="rect">
          <a:avLst/>
        </a:prstGeom>
        <a:solidFill>
          <a:srgbClr val="C0504D">
            <a:tint val="40000"/>
            <a:alpha val="90000"/>
            <a:hueOff val="0"/>
            <a:satOff val="0"/>
            <a:lumOff val="0"/>
            <a:alphaOff val="0"/>
          </a:srgbClr>
        </a:solidFill>
        <a:ln w="25400" cap="flat" cmpd="sng" algn="ctr">
          <a:solidFill>
            <a:srgbClr val="C0504D">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Недостатъчно готови инвестиционни проекти</a:t>
          </a:r>
        </a:p>
      </dsp:txBody>
      <dsp:txXfrm>
        <a:off x="1446147" y="2158046"/>
        <a:ext cx="1446147" cy="480645"/>
      </dsp:txXfrm>
    </dsp:sp>
    <dsp:sp modelId="{63A88AF5-EDCF-430E-AFC2-FE938F4E30A1}">
      <dsp:nvSpPr>
        <dsp:cNvPr id="0" name=""/>
        <dsp:cNvSpPr/>
      </dsp:nvSpPr>
      <dsp:spPr>
        <a:xfrm>
          <a:off x="2892295" y="2158046"/>
          <a:ext cx="1446147" cy="480645"/>
        </a:xfrm>
        <a:prstGeom prst="rect">
          <a:avLst/>
        </a:prstGeom>
        <a:solidFill>
          <a:srgbClr val="9BBB59">
            <a:tint val="40000"/>
            <a:alpha val="90000"/>
            <a:hueOff val="0"/>
            <a:satOff val="0"/>
            <a:lumOff val="0"/>
            <a:alphaOff val="0"/>
          </a:srgbClr>
        </a:solidFill>
        <a:ln w="25400" cap="flat" cmpd="sng" algn="ctr">
          <a:solidFill>
            <a:srgbClr val="9BBB59">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Ограничен достъп до подходящо финансиране</a:t>
          </a:r>
        </a:p>
      </dsp:txBody>
      <dsp:txXfrm>
        <a:off x="2892295" y="2158046"/>
        <a:ext cx="1446147" cy="480645"/>
      </dsp:txXfrm>
    </dsp:sp>
    <dsp:sp modelId="{ABEF8898-CB6C-4DA6-A2BC-5D3584AECE7B}">
      <dsp:nvSpPr>
        <dsp:cNvPr id="0" name=""/>
        <dsp:cNvSpPr/>
      </dsp:nvSpPr>
      <dsp:spPr>
        <a:xfrm>
          <a:off x="4338443" y="2158046"/>
          <a:ext cx="1446147" cy="480645"/>
        </a:xfrm>
        <a:prstGeom prst="rect">
          <a:avLst/>
        </a:prstGeom>
        <a:solidFill>
          <a:srgbClr val="8064A2">
            <a:tint val="40000"/>
            <a:alpha val="90000"/>
            <a:hueOff val="0"/>
            <a:satOff val="0"/>
            <a:lumOff val="0"/>
            <a:alphaOff val="0"/>
          </a:srgbClr>
        </a:solidFill>
        <a:ln w="25400" cap="flat" cmpd="sng" algn="ctr">
          <a:solidFill>
            <a:srgbClr val="8064A2">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Липса на капацитет или недостатъчно опит при управление на проектно финансиране</a:t>
          </a:r>
        </a:p>
      </dsp:txBody>
      <dsp:txXfrm>
        <a:off x="4338443" y="2158046"/>
        <a:ext cx="1446147" cy="480645"/>
      </dsp:txXfrm>
    </dsp:sp>
    <dsp:sp modelId="{5F4753C0-B7AC-487A-AD1F-2B864BEF95FD}">
      <dsp:nvSpPr>
        <dsp:cNvPr id="0" name=""/>
        <dsp:cNvSpPr/>
      </dsp:nvSpPr>
      <dsp:spPr>
        <a:xfrm rot="10800000">
          <a:off x="0" y="1980"/>
          <a:ext cx="5784591" cy="1607508"/>
        </a:xfrm>
        <a:prstGeom prst="upArrowCallout">
          <a:avLst/>
        </a:prstGeom>
        <a:solidFill>
          <a:srgbClr val="4BACC6">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bg-BG" sz="1400" b="1" kern="1200">
              <a:solidFill>
                <a:sysClr val="window" lastClr="FFFFFF"/>
              </a:solidFill>
              <a:latin typeface="Calibri"/>
              <a:ea typeface="+mn-ea"/>
              <a:cs typeface="+mn-cs"/>
            </a:rPr>
            <a:t>Пазарно предлагане</a:t>
          </a:r>
        </a:p>
      </dsp:txBody>
      <dsp:txXfrm rot="-10800000">
        <a:off x="0" y="199592"/>
        <a:ext cx="5784591" cy="366623"/>
      </dsp:txXfrm>
    </dsp:sp>
    <dsp:sp modelId="{9EC0C046-E1CB-4877-A7A6-8DE8909C9D01}">
      <dsp:nvSpPr>
        <dsp:cNvPr id="0" name=""/>
        <dsp:cNvSpPr/>
      </dsp:nvSpPr>
      <dsp:spPr>
        <a:xfrm>
          <a:off x="706" y="566215"/>
          <a:ext cx="1156635" cy="480645"/>
        </a:xfrm>
        <a:prstGeom prst="rect">
          <a:avLst/>
        </a:prstGeom>
        <a:solidFill>
          <a:srgbClr val="4BACC6">
            <a:tint val="40000"/>
            <a:alpha val="90000"/>
            <a:hueOff val="0"/>
            <a:satOff val="0"/>
            <a:lumOff val="0"/>
            <a:alphaOff val="0"/>
          </a:srgbClr>
        </a:solidFill>
        <a:ln w="25400" cap="flat" cmpd="sng" algn="ctr">
          <a:solidFill>
            <a:srgbClr val="4BACC6">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Безвъзмездна финансова помощ от ЕС</a:t>
          </a:r>
        </a:p>
      </dsp:txBody>
      <dsp:txXfrm>
        <a:off x="706" y="566215"/>
        <a:ext cx="1156635" cy="480645"/>
      </dsp:txXfrm>
    </dsp:sp>
    <dsp:sp modelId="{CE17F1D6-06C4-4C72-8F8B-690B8FC6B71F}">
      <dsp:nvSpPr>
        <dsp:cNvPr id="0" name=""/>
        <dsp:cNvSpPr/>
      </dsp:nvSpPr>
      <dsp:spPr>
        <a:xfrm>
          <a:off x="1157341" y="566215"/>
          <a:ext cx="1156635" cy="480645"/>
        </a:xfrm>
        <a:prstGeom prst="rect">
          <a:avLst/>
        </a:prstGeom>
        <a:solidFill>
          <a:srgbClr val="F79646">
            <a:tint val="40000"/>
            <a:alpha val="90000"/>
            <a:hueOff val="0"/>
            <a:satOff val="0"/>
            <a:lumOff val="0"/>
            <a:alphaOff val="0"/>
          </a:srgbClr>
        </a:solidFill>
        <a:ln w="25400" cap="flat" cmpd="sng" algn="ctr">
          <a:solidFill>
            <a:srgbClr val="F79646">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Такса БО</a:t>
          </a:r>
        </a:p>
      </dsp:txBody>
      <dsp:txXfrm>
        <a:off x="1157341" y="566215"/>
        <a:ext cx="1156635" cy="480645"/>
      </dsp:txXfrm>
    </dsp:sp>
    <dsp:sp modelId="{065C51F8-87B6-453B-89D5-BFE5B24E3623}">
      <dsp:nvSpPr>
        <dsp:cNvPr id="0" name=""/>
        <dsp:cNvSpPr/>
      </dsp:nvSpPr>
      <dsp:spPr>
        <a:xfrm>
          <a:off x="2313977" y="566215"/>
          <a:ext cx="1156635" cy="480645"/>
        </a:xfrm>
        <a:prstGeom prst="rect">
          <a:avLst/>
        </a:prstGeom>
        <a:solidFill>
          <a:srgbClr val="C0504D">
            <a:tint val="40000"/>
            <a:alpha val="90000"/>
            <a:hueOff val="0"/>
            <a:satOff val="0"/>
            <a:lumOff val="0"/>
            <a:alphaOff val="0"/>
          </a:srgbClr>
        </a:solidFill>
        <a:ln w="25400" cap="flat" cmpd="sng" algn="ctr">
          <a:solidFill>
            <a:srgbClr val="C0504D">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Отчисления по чл. 60 и чл. 64 от ЗУО</a:t>
          </a:r>
        </a:p>
      </dsp:txBody>
      <dsp:txXfrm>
        <a:off x="2313977" y="566215"/>
        <a:ext cx="1156635" cy="480645"/>
      </dsp:txXfrm>
    </dsp:sp>
    <dsp:sp modelId="{EFAFC93D-85F6-4346-9494-229C444B322C}">
      <dsp:nvSpPr>
        <dsp:cNvPr id="0" name=""/>
        <dsp:cNvSpPr/>
      </dsp:nvSpPr>
      <dsp:spPr>
        <a:xfrm>
          <a:off x="3470613" y="566215"/>
          <a:ext cx="1156635" cy="480645"/>
        </a:xfrm>
        <a:prstGeom prst="rect">
          <a:avLst/>
        </a:prstGeom>
        <a:solidFill>
          <a:srgbClr val="9BBB59">
            <a:tint val="40000"/>
            <a:alpha val="90000"/>
            <a:hueOff val="0"/>
            <a:satOff val="0"/>
            <a:lumOff val="0"/>
            <a:alphaOff val="0"/>
          </a:srgbClr>
        </a:solidFill>
        <a:ln w="25400" cap="flat" cmpd="sng" algn="ctr">
          <a:solidFill>
            <a:srgbClr val="9BBB59">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Фонд ФЛАГ  - заеми за съфинансиране и мостово финансиране</a:t>
          </a:r>
        </a:p>
      </dsp:txBody>
      <dsp:txXfrm>
        <a:off x="3470613" y="566215"/>
        <a:ext cx="1156635" cy="480645"/>
      </dsp:txXfrm>
    </dsp:sp>
    <dsp:sp modelId="{E5645726-787A-4B70-8D41-52FDFB21DE7F}">
      <dsp:nvSpPr>
        <dsp:cNvPr id="0" name=""/>
        <dsp:cNvSpPr/>
      </dsp:nvSpPr>
      <dsp:spPr>
        <a:xfrm>
          <a:off x="4627249" y="566215"/>
          <a:ext cx="1156635" cy="480645"/>
        </a:xfrm>
        <a:prstGeom prst="rect">
          <a:avLst/>
        </a:prstGeom>
        <a:solidFill>
          <a:srgbClr val="8064A2">
            <a:tint val="40000"/>
            <a:alpha val="90000"/>
            <a:hueOff val="0"/>
            <a:satOff val="0"/>
            <a:lumOff val="0"/>
            <a:alphaOff val="0"/>
          </a:srgbClr>
        </a:solidFill>
        <a:ln w="25400" cap="flat" cmpd="sng" algn="ctr">
          <a:solidFill>
            <a:srgbClr val="8064A2">
              <a:tint val="40000"/>
              <a:alpha val="9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6896" tIns="10160" rIns="56896" bIns="10160" numCol="1" spcCol="1270" anchor="ctr" anchorCtr="0">
          <a:noAutofit/>
        </a:bodyPr>
        <a:lstStyle/>
        <a:p>
          <a:pPr lvl="0" algn="ctr" defTabSz="355600">
            <a:lnSpc>
              <a:spcPct val="90000"/>
            </a:lnSpc>
            <a:spcBef>
              <a:spcPct val="0"/>
            </a:spcBef>
            <a:spcAft>
              <a:spcPct val="35000"/>
            </a:spcAft>
          </a:pPr>
          <a:r>
            <a:rPr lang="bg-BG" sz="800" kern="1200">
              <a:solidFill>
                <a:sysClr val="windowText" lastClr="000000">
                  <a:hueOff val="0"/>
                  <a:satOff val="0"/>
                  <a:lumOff val="0"/>
                  <a:alphaOff val="0"/>
                </a:sysClr>
              </a:solidFill>
              <a:latin typeface="Calibri"/>
              <a:ea typeface="+mn-ea"/>
              <a:cs typeface="+mn-cs"/>
            </a:rPr>
            <a:t>ПУДООС - безлихвени заеми за мостово финансиране</a:t>
          </a:r>
        </a:p>
      </dsp:txBody>
      <dsp:txXfrm>
        <a:off x="4627249" y="566215"/>
        <a:ext cx="1156635" cy="480645"/>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E2B9C90-53AE-4821-ACFE-706F396A960C}">
      <dsp:nvSpPr>
        <dsp:cNvPr id="0" name=""/>
        <dsp:cNvSpPr/>
      </dsp:nvSpPr>
      <dsp:spPr>
        <a:xfrm>
          <a:off x="425767" y="0"/>
          <a:ext cx="4825365" cy="3200400"/>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A9C6AA2-B0AB-4666-A9C3-076302387CD2}">
      <dsp:nvSpPr>
        <dsp:cNvPr id="0" name=""/>
        <dsp:cNvSpPr/>
      </dsp:nvSpPr>
      <dsp:spPr>
        <a:xfrm>
          <a:off x="606" y="960120"/>
          <a:ext cx="1724656" cy="128016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Стъпка 1</a:t>
          </a:r>
        </a:p>
        <a:p>
          <a:pPr lvl="0" algn="ctr" defTabSz="444500">
            <a:lnSpc>
              <a:spcPct val="90000"/>
            </a:lnSpc>
            <a:spcBef>
              <a:spcPct val="0"/>
            </a:spcBef>
            <a:spcAft>
              <a:spcPct val="35000"/>
            </a:spcAft>
          </a:pPr>
          <a:r>
            <a:rPr lang="bg-BG" sz="900" kern="1200"/>
            <a:t>Идентифициране на количественото и качествено измерение на добавената стойност на предвидените финансови инструменти и сравнение с добавената стойност на алтернативни подходи</a:t>
          </a:r>
        </a:p>
      </dsp:txBody>
      <dsp:txXfrm>
        <a:off x="63098" y="1022612"/>
        <a:ext cx="1599672" cy="1155176"/>
      </dsp:txXfrm>
    </dsp:sp>
    <dsp:sp modelId="{DB12272A-5DA0-4EBC-941F-002C85A4BBB0}">
      <dsp:nvSpPr>
        <dsp:cNvPr id="0" name=""/>
        <dsp:cNvSpPr/>
      </dsp:nvSpPr>
      <dsp:spPr>
        <a:xfrm>
          <a:off x="1976121" y="960120"/>
          <a:ext cx="1724656" cy="1280160"/>
        </a:xfrm>
        <a:prstGeom prst="roundRec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b="1" kern="1200"/>
            <a:t>Стъпка 2</a:t>
          </a:r>
        </a:p>
        <a:p>
          <a:pPr lvl="0" algn="ctr" defTabSz="488950">
            <a:lnSpc>
              <a:spcPct val="90000"/>
            </a:lnSpc>
            <a:spcBef>
              <a:spcPct val="0"/>
            </a:spcBef>
            <a:spcAft>
              <a:spcPct val="35000"/>
            </a:spcAft>
          </a:pPr>
          <a:r>
            <a:rPr lang="bg-BG" sz="1000" kern="1200"/>
            <a:t>Оценка на съответствието на предвидените финансови инструменти с други форми на публична интервенция </a:t>
          </a:r>
        </a:p>
      </dsp:txBody>
      <dsp:txXfrm>
        <a:off x="2038613" y="1022612"/>
        <a:ext cx="1599672" cy="1155176"/>
      </dsp:txXfrm>
    </dsp:sp>
    <dsp:sp modelId="{6A448DA2-1DEC-4DC6-BB6E-5E76A077A6B3}">
      <dsp:nvSpPr>
        <dsp:cNvPr id="0" name=""/>
        <dsp:cNvSpPr/>
      </dsp:nvSpPr>
      <dsp:spPr>
        <a:xfrm>
          <a:off x="3951637" y="960120"/>
          <a:ext cx="1724656" cy="1280160"/>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b="1" kern="1200"/>
            <a:t>Стъпка 3</a:t>
          </a:r>
        </a:p>
        <a:p>
          <a:pPr lvl="0" algn="ctr" defTabSz="488950">
            <a:lnSpc>
              <a:spcPct val="90000"/>
            </a:lnSpc>
            <a:spcBef>
              <a:spcPct val="0"/>
            </a:spcBef>
            <a:spcAft>
              <a:spcPct val="35000"/>
            </a:spcAft>
          </a:pPr>
          <a:r>
            <a:rPr lang="bg-BG" sz="1000" kern="1200"/>
            <a:t>Съответствие с приложимостта на държавните помощи към предвидените финансови инструменти</a:t>
          </a:r>
        </a:p>
      </dsp:txBody>
      <dsp:txXfrm>
        <a:off x="4014129" y="1022612"/>
        <a:ext cx="1599672" cy="115517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4BC6984-54D5-4765-9A0C-A3BCFECCB242}">
      <dsp:nvSpPr>
        <dsp:cNvPr id="0" name=""/>
        <dsp:cNvSpPr/>
      </dsp:nvSpPr>
      <dsp:spPr>
        <a:xfrm>
          <a:off x="725" y="18297"/>
          <a:ext cx="2642461" cy="948881"/>
        </a:xfrm>
        <a:prstGeom prst="roundRect">
          <a:avLst>
            <a:gd name="adj" fmla="val 1000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5245" tIns="36830" rIns="55245" bIns="36830" numCol="1" spcCol="1270" anchor="ctr" anchorCtr="0">
          <a:noAutofit/>
        </a:bodyPr>
        <a:lstStyle/>
        <a:p>
          <a:pPr lvl="0" algn="ctr" defTabSz="1289050">
            <a:lnSpc>
              <a:spcPct val="90000"/>
            </a:lnSpc>
            <a:spcBef>
              <a:spcPct val="0"/>
            </a:spcBef>
            <a:spcAft>
              <a:spcPct val="35000"/>
            </a:spcAft>
          </a:pPr>
          <a:r>
            <a:rPr lang="bg-BG" sz="2900" kern="1200"/>
            <a:t>Капиталово финансиране</a:t>
          </a:r>
        </a:p>
      </dsp:txBody>
      <dsp:txXfrm>
        <a:off x="28517" y="46089"/>
        <a:ext cx="2586877" cy="893297"/>
      </dsp:txXfrm>
    </dsp:sp>
    <dsp:sp modelId="{429FC650-BA01-4A8E-B85C-1752EA630EBA}">
      <dsp:nvSpPr>
        <dsp:cNvPr id="0" name=""/>
        <dsp:cNvSpPr/>
      </dsp:nvSpPr>
      <dsp:spPr>
        <a:xfrm>
          <a:off x="264972" y="967178"/>
          <a:ext cx="264246" cy="990923"/>
        </a:xfrm>
        <a:custGeom>
          <a:avLst/>
          <a:gdLst/>
          <a:ahLst/>
          <a:cxnLst/>
          <a:rect l="0" t="0" r="0" b="0"/>
          <a:pathLst>
            <a:path>
              <a:moveTo>
                <a:pt x="0" y="0"/>
              </a:moveTo>
              <a:lnTo>
                <a:pt x="0" y="990923"/>
              </a:lnTo>
              <a:lnTo>
                <a:pt x="264246" y="990923"/>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4C90E6A-34C8-4758-BFF7-83EE74D76F41}">
      <dsp:nvSpPr>
        <dsp:cNvPr id="0" name=""/>
        <dsp:cNvSpPr/>
      </dsp:nvSpPr>
      <dsp:spPr>
        <a:xfrm>
          <a:off x="529218" y="1297486"/>
          <a:ext cx="2113969" cy="1321230"/>
        </a:xfrm>
        <a:prstGeom prst="roundRect">
          <a:avLst>
            <a:gd name="adj" fmla="val 10000"/>
          </a:avLst>
        </a:prstGeom>
        <a:solidFill>
          <a:schemeClr val="lt1">
            <a:alpha val="90000"/>
            <a:hueOff val="0"/>
            <a:satOff val="0"/>
            <a:lumOff val="0"/>
            <a:alphaOff val="0"/>
          </a:schemeClr>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bg-BG" sz="800" kern="1200"/>
            <a:t>- Стартово финансиране</a:t>
          </a:r>
        </a:p>
        <a:p>
          <a:pPr lvl="0" algn="ctr" defTabSz="355600">
            <a:lnSpc>
              <a:spcPct val="90000"/>
            </a:lnSpc>
            <a:spcBef>
              <a:spcPct val="0"/>
            </a:spcBef>
            <a:spcAft>
              <a:spcPct val="35000"/>
            </a:spcAft>
          </a:pPr>
          <a:r>
            <a:rPr lang="bg-BG" sz="800" kern="1200"/>
            <a:t>- Рисков капитал</a:t>
          </a:r>
        </a:p>
        <a:p>
          <a:pPr lvl="0" algn="ctr" defTabSz="355600">
            <a:lnSpc>
              <a:spcPct val="90000"/>
            </a:lnSpc>
            <a:spcBef>
              <a:spcPct val="0"/>
            </a:spcBef>
            <a:spcAft>
              <a:spcPct val="35000"/>
            </a:spcAft>
          </a:pPr>
          <a:r>
            <a:rPr lang="bg-BG" sz="800" kern="1200"/>
            <a:t>- Мецанин капитал</a:t>
          </a:r>
        </a:p>
        <a:p>
          <a:pPr lvl="0" algn="ctr" defTabSz="355600">
            <a:lnSpc>
              <a:spcPct val="90000"/>
            </a:lnSpc>
            <a:spcBef>
              <a:spcPct val="0"/>
            </a:spcBef>
            <a:spcAft>
              <a:spcPct val="35000"/>
            </a:spcAft>
          </a:pPr>
          <a:r>
            <a:rPr lang="bg-BG" sz="800" kern="1200"/>
            <a:t>- Грантове</a:t>
          </a:r>
        </a:p>
        <a:p>
          <a:pPr lvl="0" algn="ctr" defTabSz="355600">
            <a:lnSpc>
              <a:spcPct val="90000"/>
            </a:lnSpc>
            <a:spcBef>
              <a:spcPct val="0"/>
            </a:spcBef>
            <a:spcAft>
              <a:spcPct val="35000"/>
            </a:spcAft>
          </a:pPr>
          <a:r>
            <a:rPr lang="bg-BG" sz="800" kern="1200"/>
            <a:t>- Директен капитал</a:t>
          </a:r>
        </a:p>
        <a:p>
          <a:pPr lvl="0" algn="ctr" defTabSz="355600">
            <a:lnSpc>
              <a:spcPct val="90000"/>
            </a:lnSpc>
            <a:spcBef>
              <a:spcPct val="0"/>
            </a:spcBef>
            <a:spcAft>
              <a:spcPct val="35000"/>
            </a:spcAft>
          </a:pPr>
          <a:r>
            <a:rPr lang="bg-BG" sz="800" kern="1200"/>
            <a:t> - Конвертируем капитал</a:t>
          </a:r>
        </a:p>
        <a:p>
          <a:pPr lvl="0" algn="ctr" defTabSz="355600">
            <a:lnSpc>
              <a:spcPct val="90000"/>
            </a:lnSpc>
            <a:spcBef>
              <a:spcPct val="0"/>
            </a:spcBef>
            <a:spcAft>
              <a:spcPct val="35000"/>
            </a:spcAft>
          </a:pPr>
          <a:r>
            <a:rPr lang="bg-BG" sz="800" kern="1200"/>
            <a:t>(чрез фондове или директно, в зависимост от размера и/или достъпа до финансиране)</a:t>
          </a:r>
        </a:p>
      </dsp:txBody>
      <dsp:txXfrm>
        <a:off x="567916" y="1336184"/>
        <a:ext cx="2036573" cy="1243834"/>
      </dsp:txXfrm>
    </dsp:sp>
    <dsp:sp modelId="{0EC7A4F2-76D6-4245-9D71-43FCBF7E23DE}">
      <dsp:nvSpPr>
        <dsp:cNvPr id="0" name=""/>
        <dsp:cNvSpPr/>
      </dsp:nvSpPr>
      <dsp:spPr>
        <a:xfrm>
          <a:off x="264972" y="967178"/>
          <a:ext cx="264246" cy="2887702"/>
        </a:xfrm>
        <a:custGeom>
          <a:avLst/>
          <a:gdLst/>
          <a:ahLst/>
          <a:cxnLst/>
          <a:rect l="0" t="0" r="0" b="0"/>
          <a:pathLst>
            <a:path>
              <a:moveTo>
                <a:pt x="0" y="0"/>
              </a:moveTo>
              <a:lnTo>
                <a:pt x="0" y="2887702"/>
              </a:lnTo>
              <a:lnTo>
                <a:pt x="264246" y="2887702"/>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8A09A1C-CDB4-4200-8DE8-D7DDB0AB2CA6}">
      <dsp:nvSpPr>
        <dsp:cNvPr id="0" name=""/>
        <dsp:cNvSpPr/>
      </dsp:nvSpPr>
      <dsp:spPr>
        <a:xfrm>
          <a:off x="529218" y="2949025"/>
          <a:ext cx="2113969" cy="1811711"/>
        </a:xfrm>
        <a:prstGeom prst="roundRect">
          <a:avLst>
            <a:gd name="adj" fmla="val 10000"/>
          </a:avLst>
        </a:prstGeom>
        <a:solidFill>
          <a:schemeClr val="lt1">
            <a:alpha val="90000"/>
            <a:hueOff val="0"/>
            <a:satOff val="0"/>
            <a:lumOff val="0"/>
            <a:alphaOff val="0"/>
          </a:schemeClr>
        </a:solidFill>
        <a:ln w="12700" cap="flat" cmpd="sng" algn="ctr">
          <a:solidFill>
            <a:schemeClr val="accent5">
              <a:hueOff val="-2451115"/>
              <a:satOff val="-3409"/>
              <a:lumOff val="-1307"/>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bg-BG" sz="800" b="1" kern="1200"/>
            <a:t>Характеристики</a:t>
          </a:r>
        </a:p>
        <a:p>
          <a:pPr lvl="0" algn="ctr" defTabSz="355600">
            <a:lnSpc>
              <a:spcPct val="90000"/>
            </a:lnSpc>
            <a:spcBef>
              <a:spcPct val="0"/>
            </a:spcBef>
            <a:spcAft>
              <a:spcPct val="35000"/>
            </a:spcAft>
          </a:pPr>
          <a:endParaRPr lang="bg-BG" sz="600" b="1" kern="1200"/>
        </a:p>
        <a:p>
          <a:pPr lvl="0" algn="ctr" defTabSz="355600">
            <a:lnSpc>
              <a:spcPct val="90000"/>
            </a:lnSpc>
            <a:spcBef>
              <a:spcPct val="0"/>
            </a:spcBef>
            <a:spcAft>
              <a:spcPct val="35000"/>
            </a:spcAft>
          </a:pPr>
          <a:r>
            <a:rPr lang="bg-BG" sz="800" b="0" kern="1200"/>
            <a:t>1) Право на собственост и управление</a:t>
          </a:r>
        </a:p>
        <a:p>
          <a:pPr lvl="0" algn="ctr" defTabSz="355600">
            <a:lnSpc>
              <a:spcPct val="90000"/>
            </a:lnSpc>
            <a:spcBef>
              <a:spcPct val="0"/>
            </a:spcBef>
            <a:spcAft>
              <a:spcPct val="35000"/>
            </a:spcAft>
          </a:pPr>
          <a:r>
            <a:rPr lang="bg-BG" sz="800" b="0" kern="1200"/>
            <a:t>2) Риск за инвестирания капитал</a:t>
          </a:r>
        </a:p>
        <a:p>
          <a:pPr lvl="0" algn="ctr" defTabSz="355600">
            <a:lnSpc>
              <a:spcPct val="90000"/>
            </a:lnSpc>
            <a:spcBef>
              <a:spcPct val="0"/>
            </a:spcBef>
            <a:spcAft>
              <a:spcPct val="35000"/>
            </a:spcAft>
          </a:pPr>
          <a:r>
            <a:rPr lang="bg-BG" sz="800" b="0" kern="1200"/>
            <a:t>3) Прехвърлянето и постъпленията са условни по отношение на сумите и не зависят от времеви периоди</a:t>
          </a:r>
        </a:p>
        <a:p>
          <a:pPr lvl="0" algn="ctr" defTabSz="355600">
            <a:lnSpc>
              <a:spcPct val="90000"/>
            </a:lnSpc>
            <a:spcBef>
              <a:spcPct val="0"/>
            </a:spcBef>
            <a:spcAft>
              <a:spcPct val="35000"/>
            </a:spcAft>
          </a:pPr>
          <a:r>
            <a:rPr lang="bg-BG" sz="800" b="0" kern="1200"/>
            <a:t>4) Рискът се намалява чрез инвестиционно портфолио и съ-финансиране от частния сектор</a:t>
          </a:r>
        </a:p>
        <a:p>
          <a:pPr lvl="0" algn="ctr" defTabSz="355600">
            <a:lnSpc>
              <a:spcPct val="90000"/>
            </a:lnSpc>
            <a:spcBef>
              <a:spcPct val="0"/>
            </a:spcBef>
            <a:spcAft>
              <a:spcPct val="35000"/>
            </a:spcAft>
          </a:pPr>
          <a:r>
            <a:rPr lang="bg-BG" sz="800" b="0" kern="1200"/>
            <a:t>5) Възвращаемостта на капитала може да бъде висока</a:t>
          </a:r>
        </a:p>
      </dsp:txBody>
      <dsp:txXfrm>
        <a:off x="582281" y="3002088"/>
        <a:ext cx="2007843" cy="1705585"/>
      </dsp:txXfrm>
    </dsp:sp>
    <dsp:sp modelId="{2DAA0F60-8B32-414E-8E61-75E427E1B9E2}">
      <dsp:nvSpPr>
        <dsp:cNvPr id="0" name=""/>
        <dsp:cNvSpPr/>
      </dsp:nvSpPr>
      <dsp:spPr>
        <a:xfrm>
          <a:off x="3303803" y="18297"/>
          <a:ext cx="2642461" cy="953796"/>
        </a:xfrm>
        <a:prstGeom prst="roundRect">
          <a:avLst>
            <a:gd name="adj" fmla="val 10000"/>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5245" tIns="36830" rIns="55245" bIns="36830" numCol="1" spcCol="1270" anchor="ctr" anchorCtr="0">
          <a:noAutofit/>
        </a:bodyPr>
        <a:lstStyle/>
        <a:p>
          <a:pPr lvl="0" algn="ctr" defTabSz="1289050">
            <a:lnSpc>
              <a:spcPct val="90000"/>
            </a:lnSpc>
            <a:spcBef>
              <a:spcPct val="0"/>
            </a:spcBef>
            <a:spcAft>
              <a:spcPct val="35000"/>
            </a:spcAft>
          </a:pPr>
          <a:r>
            <a:rPr lang="bg-BG" sz="2900" kern="1200"/>
            <a:t>Дългово финансиране</a:t>
          </a:r>
        </a:p>
      </dsp:txBody>
      <dsp:txXfrm>
        <a:off x="3331739" y="46233"/>
        <a:ext cx="2586589" cy="897924"/>
      </dsp:txXfrm>
    </dsp:sp>
    <dsp:sp modelId="{0525C172-EC85-44A2-8908-60633F7645D5}">
      <dsp:nvSpPr>
        <dsp:cNvPr id="0" name=""/>
        <dsp:cNvSpPr/>
      </dsp:nvSpPr>
      <dsp:spPr>
        <a:xfrm>
          <a:off x="3568049" y="972093"/>
          <a:ext cx="264246" cy="990923"/>
        </a:xfrm>
        <a:custGeom>
          <a:avLst/>
          <a:gdLst/>
          <a:ahLst/>
          <a:cxnLst/>
          <a:rect l="0" t="0" r="0" b="0"/>
          <a:pathLst>
            <a:path>
              <a:moveTo>
                <a:pt x="0" y="0"/>
              </a:moveTo>
              <a:lnTo>
                <a:pt x="0" y="990923"/>
              </a:lnTo>
              <a:lnTo>
                <a:pt x="264246" y="990923"/>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9015659-D6C8-4193-BE45-55DCA033691A}">
      <dsp:nvSpPr>
        <dsp:cNvPr id="0" name=""/>
        <dsp:cNvSpPr/>
      </dsp:nvSpPr>
      <dsp:spPr>
        <a:xfrm>
          <a:off x="3832295" y="1302401"/>
          <a:ext cx="2113969" cy="1321230"/>
        </a:xfrm>
        <a:prstGeom prst="roundRect">
          <a:avLst>
            <a:gd name="adj" fmla="val 10000"/>
          </a:avLst>
        </a:prstGeom>
        <a:solidFill>
          <a:schemeClr val="lt1">
            <a:alpha val="90000"/>
            <a:hueOff val="0"/>
            <a:satOff val="0"/>
            <a:lumOff val="0"/>
            <a:alphaOff val="0"/>
          </a:schemeClr>
        </a:solidFill>
        <a:ln w="12700" cap="flat" cmpd="sng" algn="ctr">
          <a:solidFill>
            <a:schemeClr val="accent5">
              <a:hueOff val="-4902230"/>
              <a:satOff val="-6819"/>
              <a:lumOff val="-2615"/>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bg-BG" sz="800" kern="1200"/>
            <a:t>- Микро кредити</a:t>
          </a:r>
        </a:p>
        <a:p>
          <a:pPr lvl="0" algn="ctr" defTabSz="355600">
            <a:lnSpc>
              <a:spcPct val="90000"/>
            </a:lnSpc>
            <a:spcBef>
              <a:spcPct val="0"/>
            </a:spcBef>
            <a:spcAft>
              <a:spcPct val="35000"/>
            </a:spcAft>
          </a:pPr>
          <a:r>
            <a:rPr lang="bg-BG" sz="800" kern="1200"/>
            <a:t>- Облигации</a:t>
          </a:r>
        </a:p>
        <a:p>
          <a:pPr lvl="0" algn="ctr" defTabSz="355600">
            <a:lnSpc>
              <a:spcPct val="90000"/>
            </a:lnSpc>
            <a:spcBef>
              <a:spcPct val="0"/>
            </a:spcBef>
            <a:spcAft>
              <a:spcPct val="35000"/>
            </a:spcAft>
          </a:pPr>
          <a:r>
            <a:rPr lang="bg-BG" sz="800" kern="1200"/>
            <a:t>- Старши облигации</a:t>
          </a:r>
        </a:p>
        <a:p>
          <a:pPr lvl="0" algn="ctr" defTabSz="355600">
            <a:lnSpc>
              <a:spcPct val="90000"/>
            </a:lnSpc>
            <a:spcBef>
              <a:spcPct val="0"/>
            </a:spcBef>
            <a:spcAft>
              <a:spcPct val="35000"/>
            </a:spcAft>
          </a:pPr>
          <a:r>
            <a:rPr lang="bg-BG" sz="800" kern="1200"/>
            <a:t>- Подчинен дълг</a:t>
          </a:r>
        </a:p>
        <a:p>
          <a:pPr lvl="0" algn="ctr" defTabSz="355600">
            <a:lnSpc>
              <a:spcPct val="90000"/>
            </a:lnSpc>
            <a:spcBef>
              <a:spcPct val="0"/>
            </a:spcBef>
            <a:spcAft>
              <a:spcPct val="35000"/>
            </a:spcAft>
          </a:pPr>
          <a:r>
            <a:rPr lang="bg-BG" sz="800" kern="1200"/>
            <a:t>- Заеми</a:t>
          </a:r>
        </a:p>
        <a:p>
          <a:pPr lvl="0" algn="ctr" defTabSz="355600">
            <a:lnSpc>
              <a:spcPct val="90000"/>
            </a:lnSpc>
            <a:spcBef>
              <a:spcPct val="0"/>
            </a:spcBef>
            <a:spcAft>
              <a:spcPct val="35000"/>
            </a:spcAft>
          </a:pPr>
          <a:r>
            <a:rPr lang="bg-BG" sz="800" kern="1200"/>
            <a:t>- Гаранции</a:t>
          </a:r>
        </a:p>
        <a:p>
          <a:pPr lvl="0" algn="ctr" defTabSz="355600">
            <a:lnSpc>
              <a:spcPct val="90000"/>
            </a:lnSpc>
            <a:spcBef>
              <a:spcPct val="0"/>
            </a:spcBef>
            <a:spcAft>
              <a:spcPct val="35000"/>
            </a:spcAft>
          </a:pPr>
          <a:r>
            <a:rPr lang="bg-BG" sz="800" kern="1200"/>
            <a:t>(чрез фондове или директно, в зависимост от размера и/или достъпа до финансиране)</a:t>
          </a:r>
        </a:p>
      </dsp:txBody>
      <dsp:txXfrm>
        <a:off x="3870993" y="1341099"/>
        <a:ext cx="2036573" cy="1243834"/>
      </dsp:txXfrm>
    </dsp:sp>
    <dsp:sp modelId="{AE72FB59-C85D-4905-9047-4FAF7FE085F8}">
      <dsp:nvSpPr>
        <dsp:cNvPr id="0" name=""/>
        <dsp:cNvSpPr/>
      </dsp:nvSpPr>
      <dsp:spPr>
        <a:xfrm>
          <a:off x="3568049" y="972093"/>
          <a:ext cx="264246" cy="2885244"/>
        </a:xfrm>
        <a:custGeom>
          <a:avLst/>
          <a:gdLst/>
          <a:ahLst/>
          <a:cxnLst/>
          <a:rect l="0" t="0" r="0" b="0"/>
          <a:pathLst>
            <a:path>
              <a:moveTo>
                <a:pt x="0" y="0"/>
              </a:moveTo>
              <a:lnTo>
                <a:pt x="0" y="2885244"/>
              </a:lnTo>
              <a:lnTo>
                <a:pt x="264246" y="2885244"/>
              </a:lnTo>
            </a:path>
          </a:pathLst>
        </a:cu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9FE494E-1093-4638-836D-EF25360E0D95}">
      <dsp:nvSpPr>
        <dsp:cNvPr id="0" name=""/>
        <dsp:cNvSpPr/>
      </dsp:nvSpPr>
      <dsp:spPr>
        <a:xfrm>
          <a:off x="3832295" y="2953940"/>
          <a:ext cx="2113969" cy="1806796"/>
        </a:xfrm>
        <a:prstGeom prst="roundRect">
          <a:avLst>
            <a:gd name="adj" fmla="val 10000"/>
          </a:avLst>
        </a:prstGeom>
        <a:solidFill>
          <a:schemeClr val="lt1">
            <a:alpha val="90000"/>
            <a:hueOff val="0"/>
            <a:satOff val="0"/>
            <a:lumOff val="0"/>
            <a:alphaOff val="0"/>
          </a:schemeClr>
        </a:solidFill>
        <a:ln w="12700" cap="flat" cmpd="sng" algn="ctr">
          <a:solidFill>
            <a:schemeClr val="accent5">
              <a:hueOff val="-7353344"/>
              <a:satOff val="-10228"/>
              <a:lumOff val="-3922"/>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bg-BG" sz="800" b="1" kern="1200"/>
            <a:t>Характеристики</a:t>
          </a:r>
        </a:p>
        <a:p>
          <a:pPr lvl="0" algn="ctr" defTabSz="355600">
            <a:lnSpc>
              <a:spcPct val="90000"/>
            </a:lnSpc>
            <a:spcBef>
              <a:spcPct val="0"/>
            </a:spcBef>
            <a:spcAft>
              <a:spcPct val="35000"/>
            </a:spcAft>
          </a:pPr>
          <a:endParaRPr lang="bg-BG" sz="600" kern="1200"/>
        </a:p>
        <a:p>
          <a:pPr lvl="0" algn="ctr" defTabSz="355600">
            <a:lnSpc>
              <a:spcPct val="90000"/>
            </a:lnSpc>
            <a:spcBef>
              <a:spcPct val="0"/>
            </a:spcBef>
            <a:spcAft>
              <a:spcPct val="35000"/>
            </a:spcAft>
          </a:pPr>
          <a:r>
            <a:rPr lang="bg-BG" sz="800" kern="1200"/>
            <a:t>1) Предоставя се погасителен план</a:t>
          </a:r>
        </a:p>
        <a:p>
          <a:pPr lvl="0" algn="ctr" defTabSz="355600">
            <a:lnSpc>
              <a:spcPct val="90000"/>
            </a:lnSpc>
            <a:spcBef>
              <a:spcPct val="0"/>
            </a:spcBef>
            <a:spcAft>
              <a:spcPct val="35000"/>
            </a:spcAft>
          </a:pPr>
          <a:r>
            <a:rPr lang="bg-BG" sz="800" kern="1200"/>
            <a:t>2)Риск и възвращаемостта  за капитала и погасителните вноски</a:t>
          </a:r>
        </a:p>
        <a:p>
          <a:pPr lvl="0" algn="ctr" defTabSz="355600">
            <a:lnSpc>
              <a:spcPct val="90000"/>
            </a:lnSpc>
            <a:spcBef>
              <a:spcPct val="0"/>
            </a:spcBef>
            <a:spcAft>
              <a:spcPct val="35000"/>
            </a:spcAft>
          </a:pPr>
          <a:r>
            <a:rPr lang="bg-BG" sz="800" kern="1200"/>
            <a:t>3) В повечето случаи облигациите и заемите имат справедлива ликвидност</a:t>
          </a:r>
        </a:p>
        <a:p>
          <a:pPr lvl="0" algn="ctr" defTabSz="355600">
            <a:lnSpc>
              <a:spcPct val="90000"/>
            </a:lnSpc>
            <a:spcBef>
              <a:spcPct val="0"/>
            </a:spcBef>
            <a:spcAft>
              <a:spcPct val="35000"/>
            </a:spcAft>
          </a:pPr>
          <a:r>
            <a:rPr lang="bg-BG" sz="800" kern="1200"/>
            <a:t>4)Рискът се намалява чрез инвестиционно портфолио с други ФИ</a:t>
          </a:r>
        </a:p>
        <a:p>
          <a:pPr lvl="0" algn="ctr" defTabSz="355600">
            <a:lnSpc>
              <a:spcPct val="90000"/>
            </a:lnSpc>
            <a:spcBef>
              <a:spcPct val="0"/>
            </a:spcBef>
            <a:spcAft>
              <a:spcPct val="35000"/>
            </a:spcAft>
          </a:pPr>
          <a:r>
            <a:rPr lang="bg-BG" sz="800" kern="1200"/>
            <a:t>5) Управлението и информацията се осъществяват от трети страни, освен ако не е предвидено друго</a:t>
          </a:r>
        </a:p>
      </dsp:txBody>
      <dsp:txXfrm>
        <a:off x="3885214" y="3006859"/>
        <a:ext cx="2008131" cy="1700958"/>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AFB34E-A494-4BBF-953C-CC998C41C450}">
      <dsp:nvSpPr>
        <dsp:cNvPr id="0" name=""/>
        <dsp:cNvSpPr/>
      </dsp:nvSpPr>
      <dsp:spPr>
        <a:xfrm>
          <a:off x="460771" y="0"/>
          <a:ext cx="5222081" cy="4219575"/>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93159BA-6E69-4F9E-958C-30158FDCBD68}">
      <dsp:nvSpPr>
        <dsp:cNvPr id="0" name=""/>
        <dsp:cNvSpPr/>
      </dsp:nvSpPr>
      <dsp:spPr>
        <a:xfrm>
          <a:off x="1799" y="1265872"/>
          <a:ext cx="1083533" cy="168783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b="1" kern="1200"/>
            <a:t>Съответствие с пазара  </a:t>
          </a:r>
        </a:p>
        <a:p>
          <a:pPr lvl="0" algn="ctr" defTabSz="400050">
            <a:lnSpc>
              <a:spcPct val="90000"/>
            </a:lnSpc>
            <a:spcBef>
              <a:spcPct val="0"/>
            </a:spcBef>
            <a:spcAft>
              <a:spcPct val="35000"/>
            </a:spcAft>
          </a:pPr>
          <a:r>
            <a:rPr lang="bg-BG" sz="800" kern="1200"/>
            <a:t>Ако съответният ФИ е структуриран в съответствие с пазара, не се счита за държавна помощ и не са необходими последващи действия</a:t>
          </a:r>
        </a:p>
      </dsp:txBody>
      <dsp:txXfrm>
        <a:off x="54693" y="1318766"/>
        <a:ext cx="977745" cy="1582042"/>
      </dsp:txXfrm>
    </dsp:sp>
    <dsp:sp modelId="{C2AAF5B5-EBAC-45E2-AF2E-13DFBCDBCD79}">
      <dsp:nvSpPr>
        <dsp:cNvPr id="0" name=""/>
        <dsp:cNvSpPr/>
      </dsp:nvSpPr>
      <dsp:spPr>
        <a:xfrm>
          <a:off x="1265922" y="1265872"/>
          <a:ext cx="1083533" cy="1687830"/>
        </a:xfrm>
        <a:prstGeom prst="roundRect">
          <a:avLst/>
        </a:prstGeom>
        <a:solidFill>
          <a:schemeClr val="accent5">
            <a:hueOff val="-1838336"/>
            <a:satOff val="-2557"/>
            <a:lumOff val="-98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b="1" kern="1200"/>
            <a:t>Режим </a:t>
          </a:r>
          <a:r>
            <a:rPr lang="en-US" sz="900" b="1" kern="1200"/>
            <a:t>De minimis</a:t>
          </a:r>
        </a:p>
        <a:p>
          <a:pPr lvl="0" algn="ctr" defTabSz="400050">
            <a:lnSpc>
              <a:spcPct val="90000"/>
            </a:lnSpc>
            <a:spcBef>
              <a:spcPct val="0"/>
            </a:spcBef>
            <a:spcAft>
              <a:spcPct val="35000"/>
            </a:spcAft>
          </a:pPr>
          <a:r>
            <a:rPr lang="bg-BG" sz="800" kern="1200"/>
            <a:t>В случай, че съответния инструмент попада в режим </a:t>
          </a:r>
          <a:r>
            <a:rPr lang="en-US" sz="800" kern="1200"/>
            <a:t>de minimis</a:t>
          </a:r>
          <a:r>
            <a:rPr lang="bg-BG" sz="800" kern="1200"/>
            <a:t> не се извършва нотификация</a:t>
          </a:r>
        </a:p>
      </dsp:txBody>
      <dsp:txXfrm>
        <a:off x="1318816" y="1318766"/>
        <a:ext cx="977745" cy="1582042"/>
      </dsp:txXfrm>
    </dsp:sp>
    <dsp:sp modelId="{F94A6F46-3C62-452F-A7B5-D34CF239EF2B}">
      <dsp:nvSpPr>
        <dsp:cNvPr id="0" name=""/>
        <dsp:cNvSpPr/>
      </dsp:nvSpPr>
      <dsp:spPr>
        <a:xfrm>
          <a:off x="2530045" y="1265872"/>
          <a:ext cx="1083533" cy="1687830"/>
        </a:xfrm>
        <a:prstGeom prst="roundRec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b="1" kern="1200"/>
            <a:t>Режим Групово освобождаване</a:t>
          </a:r>
        </a:p>
        <a:p>
          <a:pPr lvl="0" algn="ctr" defTabSz="400050">
            <a:lnSpc>
              <a:spcPct val="90000"/>
            </a:lnSpc>
            <a:spcBef>
              <a:spcPct val="0"/>
            </a:spcBef>
            <a:spcAft>
              <a:spcPct val="35000"/>
            </a:spcAft>
          </a:pPr>
          <a:r>
            <a:rPr lang="bg-BG" sz="800" kern="1200"/>
            <a:t>В свучай, че ФИ попада в режим а за групово освобождаване </a:t>
          </a:r>
          <a:r>
            <a:rPr lang="en-US" sz="800" kern="1200"/>
            <a:t>(GBER, ABER)</a:t>
          </a:r>
          <a:r>
            <a:rPr lang="bg-BG" sz="800" kern="1200"/>
            <a:t> не се изисква нотификация, но това следва да бъде документирано</a:t>
          </a:r>
        </a:p>
      </dsp:txBody>
      <dsp:txXfrm>
        <a:off x="2582939" y="1318766"/>
        <a:ext cx="977745" cy="1582042"/>
      </dsp:txXfrm>
    </dsp:sp>
    <dsp:sp modelId="{70FCBAA0-5E72-4FF3-A6AE-7749F5730A66}">
      <dsp:nvSpPr>
        <dsp:cNvPr id="0" name=""/>
        <dsp:cNvSpPr/>
      </dsp:nvSpPr>
      <dsp:spPr>
        <a:xfrm>
          <a:off x="3794168" y="1265872"/>
          <a:ext cx="1083533" cy="1687830"/>
        </a:xfrm>
        <a:prstGeom prst="roundRect">
          <a:avLst/>
        </a:prstGeom>
        <a:solidFill>
          <a:schemeClr val="accent5">
            <a:hueOff val="-5515009"/>
            <a:satOff val="-7671"/>
            <a:lumOff val="-294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b="1" kern="1200"/>
            <a:t>Инструменти </a:t>
          </a:r>
          <a:r>
            <a:rPr lang="en-US" sz="900" b="1" kern="1200"/>
            <a:t>Off-the-shelf</a:t>
          </a:r>
        </a:p>
        <a:p>
          <a:pPr lvl="0" algn="ctr" defTabSz="400050">
            <a:lnSpc>
              <a:spcPct val="90000"/>
            </a:lnSpc>
            <a:spcBef>
              <a:spcPct val="0"/>
            </a:spcBef>
            <a:spcAft>
              <a:spcPct val="35000"/>
            </a:spcAft>
          </a:pPr>
          <a:r>
            <a:rPr lang="bg-BG" sz="800" kern="1200"/>
            <a:t>Ако ФИ е о</a:t>
          </a:r>
          <a:r>
            <a:rPr lang="en-US" sz="800" kern="1200"/>
            <a:t>ff-the-shelf</a:t>
          </a:r>
          <a:r>
            <a:rPr lang="bg-BG" sz="800" kern="1200"/>
            <a:t>, не се изисква нотификация, но това следва да бъде документирано</a:t>
          </a:r>
        </a:p>
      </dsp:txBody>
      <dsp:txXfrm>
        <a:off x="3847062" y="1318766"/>
        <a:ext cx="977745" cy="1582042"/>
      </dsp:txXfrm>
    </dsp:sp>
    <dsp:sp modelId="{495DEEB8-2D87-4779-903A-83091A8A914A}">
      <dsp:nvSpPr>
        <dsp:cNvPr id="0" name=""/>
        <dsp:cNvSpPr/>
      </dsp:nvSpPr>
      <dsp:spPr>
        <a:xfrm>
          <a:off x="5058291" y="1265872"/>
          <a:ext cx="1083533" cy="1687830"/>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b="1" kern="1200"/>
            <a:t>Последващи действия</a:t>
          </a:r>
        </a:p>
        <a:p>
          <a:pPr lvl="0" algn="ctr" defTabSz="400050">
            <a:lnSpc>
              <a:spcPct val="90000"/>
            </a:lnSpc>
            <a:spcBef>
              <a:spcPct val="0"/>
            </a:spcBef>
            <a:spcAft>
              <a:spcPct val="35000"/>
            </a:spcAft>
          </a:pPr>
          <a:r>
            <a:rPr lang="bg-BG" sz="800" kern="1200"/>
            <a:t>Ако оценката покаже, че ФИ подлежи на нотификация, е необходимо да се предприемат съответните действия</a:t>
          </a:r>
        </a:p>
      </dsp:txBody>
      <dsp:txXfrm>
        <a:off x="5111185" y="1318766"/>
        <a:ext cx="977745" cy="1582042"/>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21618D-9FF0-44AF-A749-3097B469B225}">
      <dsp:nvSpPr>
        <dsp:cNvPr id="0" name=""/>
        <dsp:cNvSpPr/>
      </dsp:nvSpPr>
      <dsp:spPr>
        <a:xfrm rot="5400000">
          <a:off x="5043115" y="-2119098"/>
          <a:ext cx="647363" cy="5051103"/>
        </a:xfrm>
        <a:prstGeom prst="round2Same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20955" rIns="41910" bIns="20955" numCol="1" spcCol="1270" anchor="ctr" anchorCtr="0">
          <a:noAutofit/>
        </a:bodyPr>
        <a:lstStyle/>
        <a:p>
          <a:pPr marL="57150" lvl="1" indent="-57150" algn="l" defTabSz="488950">
            <a:lnSpc>
              <a:spcPct val="90000"/>
            </a:lnSpc>
            <a:spcBef>
              <a:spcPct val="0"/>
            </a:spcBef>
            <a:spcAft>
              <a:spcPct val="15000"/>
            </a:spcAft>
            <a:buChar char="••"/>
          </a:pPr>
          <a:r>
            <a:rPr lang="bg-BG" sz="1100" kern="1200" dirty="0" smtClean="0"/>
            <a:t>Ако  предвиденият ФИ, работи на пазарни принципи, то  държавна помощ няма.</a:t>
          </a:r>
          <a:endParaRPr lang="en-US" sz="1100" kern="1200" dirty="0"/>
        </a:p>
        <a:p>
          <a:pPr marL="57150" lvl="1" indent="-57150" algn="l" defTabSz="488950">
            <a:lnSpc>
              <a:spcPct val="90000"/>
            </a:lnSpc>
            <a:spcBef>
              <a:spcPct val="0"/>
            </a:spcBef>
            <a:spcAft>
              <a:spcPct val="15000"/>
            </a:spcAft>
            <a:buChar char="••"/>
          </a:pPr>
          <a:r>
            <a:rPr lang="bg-BG" sz="1100" b="1" u="sng" kern="1200" dirty="0" smtClean="0"/>
            <a:t>Не се предприемат следващи стъпки</a:t>
          </a:r>
          <a:endParaRPr lang="en-US" sz="1100" b="1" u="sng" kern="1200" dirty="0"/>
        </a:p>
      </dsp:txBody>
      <dsp:txXfrm rot="-5400000">
        <a:off x="2841245" y="114374"/>
        <a:ext cx="5019501" cy="584159"/>
      </dsp:txXfrm>
    </dsp:sp>
    <dsp:sp modelId="{D74AE6FD-80DC-4C9C-9BE8-628B2AC30592}">
      <dsp:nvSpPr>
        <dsp:cNvPr id="0" name=""/>
        <dsp:cNvSpPr/>
      </dsp:nvSpPr>
      <dsp:spPr>
        <a:xfrm>
          <a:off x="0" y="1850"/>
          <a:ext cx="2841245" cy="80920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bg-BG" sz="1600" kern="1200" dirty="0" smtClean="0"/>
            <a:t>Пазарно съответствие</a:t>
          </a:r>
          <a:endParaRPr lang="en-US" sz="1600" kern="1200" dirty="0"/>
        </a:p>
      </dsp:txBody>
      <dsp:txXfrm>
        <a:off x="39502" y="41352"/>
        <a:ext cx="2762241" cy="730199"/>
      </dsp:txXfrm>
    </dsp:sp>
    <dsp:sp modelId="{E588A11E-4405-4260-9845-417ACDC7D33D}">
      <dsp:nvSpPr>
        <dsp:cNvPr id="0" name=""/>
        <dsp:cNvSpPr/>
      </dsp:nvSpPr>
      <dsp:spPr>
        <a:xfrm rot="5400000">
          <a:off x="5029307" y="-1290053"/>
          <a:ext cx="647363" cy="5051103"/>
        </a:xfrm>
        <a:prstGeom prst="round2Same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20955" rIns="41910" bIns="20955" numCol="1" spcCol="1270" anchor="ctr" anchorCtr="0">
          <a:noAutofit/>
        </a:bodyPr>
        <a:lstStyle/>
        <a:p>
          <a:pPr marL="57150" lvl="1" indent="-57150" algn="l" defTabSz="488950">
            <a:lnSpc>
              <a:spcPct val="90000"/>
            </a:lnSpc>
            <a:spcBef>
              <a:spcPct val="0"/>
            </a:spcBef>
            <a:spcAft>
              <a:spcPct val="15000"/>
            </a:spcAft>
            <a:buChar char="••"/>
          </a:pPr>
          <a:r>
            <a:rPr lang="bg-BG" sz="1100" kern="1200" dirty="0" smtClean="0"/>
            <a:t> Помощта</a:t>
          </a:r>
          <a:r>
            <a:rPr lang="en-US" sz="1100" kern="1200" dirty="0" smtClean="0"/>
            <a:t> e</a:t>
          </a:r>
          <a:r>
            <a:rPr lang="bg-BG" sz="1100" kern="1200" dirty="0" smtClean="0"/>
            <a:t>  предоставяна с ФИ  в обхвата на Регламент </a:t>
          </a:r>
          <a:r>
            <a:rPr lang="en-US" sz="1100" kern="1200" dirty="0" smtClean="0"/>
            <a:t>de </a:t>
          </a:r>
          <a:r>
            <a:rPr lang="en-US" sz="1100" kern="1200" dirty="0" err="1" smtClean="0"/>
            <a:t>minimis</a:t>
          </a:r>
          <a:r>
            <a:rPr lang="en-US" sz="1100" kern="1200" dirty="0" smtClean="0"/>
            <a:t>    </a:t>
          </a:r>
          <a:endParaRPr lang="en-US" sz="1100" kern="1200" dirty="0"/>
        </a:p>
        <a:p>
          <a:pPr marL="57150" lvl="1" indent="-57150" algn="l" defTabSz="488950">
            <a:lnSpc>
              <a:spcPct val="90000"/>
            </a:lnSpc>
            <a:spcBef>
              <a:spcPct val="0"/>
            </a:spcBef>
            <a:spcAft>
              <a:spcPct val="15000"/>
            </a:spcAft>
            <a:buChar char="••"/>
          </a:pPr>
          <a:r>
            <a:rPr lang="bg-BG" sz="1100" b="1" u="sng" kern="1200" dirty="0" smtClean="0"/>
            <a:t>Няма нотификация</a:t>
          </a:r>
          <a:endParaRPr lang="en-US" sz="1100" b="1" u="sng" kern="1200" dirty="0"/>
        </a:p>
        <a:p>
          <a:pPr marL="57150" lvl="1" indent="-57150" algn="l" defTabSz="488950">
            <a:lnSpc>
              <a:spcPct val="90000"/>
            </a:lnSpc>
            <a:spcBef>
              <a:spcPct val="0"/>
            </a:spcBef>
            <a:spcAft>
              <a:spcPct val="15000"/>
            </a:spcAft>
            <a:buChar char="••"/>
          </a:pPr>
          <a:r>
            <a:rPr lang="bg-BG" sz="1100" b="1" u="sng" kern="1200" dirty="0" smtClean="0"/>
            <a:t>Администраторът на помощта  я вписва в регистъра </a:t>
          </a:r>
          <a:r>
            <a:rPr lang="en-US" sz="1100" b="1" i="1" u="sng" kern="1200" dirty="0" smtClean="0"/>
            <a:t>de</a:t>
          </a:r>
          <a:r>
            <a:rPr lang="en-US" sz="1100" i="1" u="sng" kern="1200" dirty="0" smtClean="0"/>
            <a:t> </a:t>
          </a:r>
          <a:r>
            <a:rPr lang="en-US" sz="1100" b="1" i="1" u="sng" kern="1200" dirty="0" err="1" smtClean="0"/>
            <a:t>minimis</a:t>
          </a:r>
          <a:r>
            <a:rPr lang="en-US" sz="1100" i="1" u="sng" kern="1200" dirty="0" smtClean="0"/>
            <a:t>    </a:t>
          </a:r>
          <a:endParaRPr lang="en-US" sz="1100" b="1" i="1" u="sng" kern="1200" dirty="0"/>
        </a:p>
      </dsp:txBody>
      <dsp:txXfrm rot="-5400000">
        <a:off x="2827437" y="943419"/>
        <a:ext cx="5019501" cy="584159"/>
      </dsp:txXfrm>
    </dsp:sp>
    <dsp:sp modelId="{938BFA0E-7C8A-461A-86B5-79A4F70F278E}">
      <dsp:nvSpPr>
        <dsp:cNvPr id="0" name=""/>
        <dsp:cNvSpPr/>
      </dsp:nvSpPr>
      <dsp:spPr>
        <a:xfrm>
          <a:off x="0" y="851514"/>
          <a:ext cx="2841245" cy="80920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bg-BG" sz="1600" kern="1200" dirty="0" smtClean="0"/>
            <a:t>Регламент </a:t>
          </a:r>
          <a:br>
            <a:rPr lang="bg-BG" sz="1600" kern="1200" dirty="0" smtClean="0"/>
          </a:br>
          <a:r>
            <a:rPr lang="en-US" sz="1600" kern="1200" dirty="0" smtClean="0"/>
            <a:t>de </a:t>
          </a:r>
          <a:r>
            <a:rPr lang="en-US" sz="1600" kern="1200" dirty="0" err="1" smtClean="0"/>
            <a:t>minimis</a:t>
          </a:r>
          <a:r>
            <a:rPr lang="en-US" sz="1600" kern="1200" dirty="0" smtClean="0"/>
            <a:t>    </a:t>
          </a:r>
        </a:p>
      </dsp:txBody>
      <dsp:txXfrm>
        <a:off x="39502" y="891016"/>
        <a:ext cx="2762241" cy="730199"/>
      </dsp:txXfrm>
    </dsp:sp>
    <dsp:sp modelId="{85F77215-F923-4155-99B2-3EB377A37BEC}">
      <dsp:nvSpPr>
        <dsp:cNvPr id="0" name=""/>
        <dsp:cNvSpPr/>
      </dsp:nvSpPr>
      <dsp:spPr>
        <a:xfrm rot="5400000">
          <a:off x="5043115" y="-419770"/>
          <a:ext cx="647363" cy="5051103"/>
        </a:xfrm>
        <a:prstGeom prst="round2Same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20955" rIns="41910" bIns="20955" numCol="1" spcCol="1270" anchor="ctr" anchorCtr="0">
          <a:noAutofit/>
        </a:bodyPr>
        <a:lstStyle/>
        <a:p>
          <a:pPr marL="57150" lvl="1" indent="-57150" algn="l" defTabSz="488950">
            <a:lnSpc>
              <a:spcPct val="90000"/>
            </a:lnSpc>
            <a:spcBef>
              <a:spcPct val="0"/>
            </a:spcBef>
            <a:spcAft>
              <a:spcPct val="15000"/>
            </a:spcAft>
            <a:buChar char="••"/>
          </a:pPr>
          <a:r>
            <a:rPr lang="bg-BG" sz="1100" kern="1200" dirty="0" smtClean="0"/>
            <a:t>Помощта</a:t>
          </a:r>
          <a:r>
            <a:rPr lang="en-US" sz="1100" kern="1200" dirty="0" smtClean="0"/>
            <a:t> e </a:t>
          </a:r>
          <a:r>
            <a:rPr lang="bg-BG" sz="1100" kern="1200" dirty="0" smtClean="0"/>
            <a:t>предоставяна с ФИ в обхвата на </a:t>
          </a:r>
          <a:r>
            <a:rPr lang="en-US" sz="1100" kern="1200" dirty="0" smtClean="0"/>
            <a:t>GBER</a:t>
          </a:r>
          <a:r>
            <a:rPr lang="bg-BG" sz="1100" kern="1200" dirty="0" smtClean="0"/>
            <a:t>/А</a:t>
          </a:r>
          <a:r>
            <a:rPr lang="en-US" sz="1100" kern="1200" dirty="0" smtClean="0"/>
            <a:t>BER</a:t>
          </a:r>
          <a:endParaRPr lang="en-US" sz="1100" kern="1200" dirty="0"/>
        </a:p>
        <a:p>
          <a:pPr marL="57150" lvl="1" indent="-57150" algn="l" defTabSz="488950">
            <a:lnSpc>
              <a:spcPct val="90000"/>
            </a:lnSpc>
            <a:spcBef>
              <a:spcPct val="0"/>
            </a:spcBef>
            <a:spcAft>
              <a:spcPct val="15000"/>
            </a:spcAft>
            <a:buChar char="••"/>
          </a:pPr>
          <a:r>
            <a:rPr lang="bg-BG" sz="1100" b="1" u="sng" kern="1200" dirty="0" smtClean="0"/>
            <a:t>Няма нотификация</a:t>
          </a:r>
          <a:endParaRPr lang="en-US" sz="1100" kern="1200" dirty="0"/>
        </a:p>
        <a:p>
          <a:pPr marL="57150" lvl="1" indent="-57150" algn="l" defTabSz="488950">
            <a:lnSpc>
              <a:spcPct val="90000"/>
            </a:lnSpc>
            <a:spcBef>
              <a:spcPct val="0"/>
            </a:spcBef>
            <a:spcAft>
              <a:spcPct val="15000"/>
            </a:spcAft>
            <a:buChar char="••"/>
          </a:pPr>
          <a:r>
            <a:rPr lang="bg-BG" sz="1100" b="1" u="sng" kern="1200" dirty="0" smtClean="0"/>
            <a:t>Документира се. Уведомяване на ЕК след отпускане на помощта</a:t>
          </a:r>
          <a:endParaRPr lang="en-US" sz="1100" b="1" u="sng" kern="1200" dirty="0"/>
        </a:p>
      </dsp:txBody>
      <dsp:txXfrm rot="-5400000">
        <a:off x="2841245" y="1813702"/>
        <a:ext cx="5019501" cy="584159"/>
      </dsp:txXfrm>
    </dsp:sp>
    <dsp:sp modelId="{8A4978E4-6797-4525-B1FD-C8F8C4937FBD}">
      <dsp:nvSpPr>
        <dsp:cNvPr id="0" name=""/>
        <dsp:cNvSpPr/>
      </dsp:nvSpPr>
      <dsp:spPr>
        <a:xfrm>
          <a:off x="0" y="1701179"/>
          <a:ext cx="2841245" cy="80920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en-US" sz="1600" kern="1200" dirty="0" smtClean="0"/>
            <a:t>GBER</a:t>
          </a:r>
          <a:r>
            <a:rPr lang="bg-BG" sz="1600" kern="1200" dirty="0" smtClean="0"/>
            <a:t>/А</a:t>
          </a:r>
          <a:r>
            <a:rPr lang="en-US" sz="1600" kern="1200" dirty="0" smtClean="0"/>
            <a:t>BER</a:t>
          </a:r>
        </a:p>
      </dsp:txBody>
      <dsp:txXfrm>
        <a:off x="39502" y="1740681"/>
        <a:ext cx="2762241" cy="730199"/>
      </dsp:txXfrm>
    </dsp:sp>
    <dsp:sp modelId="{0F4CC6F3-3BE5-4803-9B8C-AD2CC7093BD5}">
      <dsp:nvSpPr>
        <dsp:cNvPr id="0" name=""/>
        <dsp:cNvSpPr/>
      </dsp:nvSpPr>
      <dsp:spPr>
        <a:xfrm rot="5400000">
          <a:off x="5043115" y="426268"/>
          <a:ext cx="647363" cy="5051103"/>
        </a:xfrm>
        <a:prstGeom prst="round2Same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20955" rIns="41910" bIns="20955" numCol="1" spcCol="1270" anchor="ctr" anchorCtr="0">
          <a:noAutofit/>
        </a:bodyPr>
        <a:lstStyle/>
        <a:p>
          <a:pPr marL="57150" lvl="1" indent="-57150" algn="l" defTabSz="488950">
            <a:lnSpc>
              <a:spcPct val="90000"/>
            </a:lnSpc>
            <a:spcBef>
              <a:spcPct val="0"/>
            </a:spcBef>
            <a:spcAft>
              <a:spcPct val="15000"/>
            </a:spcAft>
            <a:buChar char="••"/>
          </a:pPr>
          <a:r>
            <a:rPr lang="bg-BG" sz="1100" kern="1200" dirty="0" smtClean="0"/>
            <a:t>Помощта е  предоставяна със стандартизиран  ФИ</a:t>
          </a:r>
          <a:r>
            <a:rPr lang="en-US" sz="1100" kern="1200" dirty="0" smtClean="0"/>
            <a:t> (off-the –shelf) </a:t>
          </a:r>
          <a:r>
            <a:rPr lang="bg-BG" sz="1100" kern="1200" dirty="0" smtClean="0"/>
            <a:t> </a:t>
          </a:r>
          <a:endParaRPr lang="en-US" sz="1100" kern="1200" dirty="0"/>
        </a:p>
        <a:p>
          <a:pPr marL="57150" lvl="1" indent="-57150" algn="l" defTabSz="488950">
            <a:lnSpc>
              <a:spcPct val="90000"/>
            </a:lnSpc>
            <a:spcBef>
              <a:spcPct val="0"/>
            </a:spcBef>
            <a:spcAft>
              <a:spcPct val="15000"/>
            </a:spcAft>
            <a:buChar char="••"/>
          </a:pPr>
          <a:r>
            <a:rPr lang="bg-BG" sz="1100" b="1" u="sng" kern="1200" dirty="0" smtClean="0"/>
            <a:t>Няма нотификация</a:t>
          </a:r>
          <a:endParaRPr lang="en-US" sz="1100" b="1" kern="1200" dirty="0"/>
        </a:p>
        <a:p>
          <a:pPr marL="57150" lvl="1" indent="-57150" algn="l" defTabSz="488950">
            <a:lnSpc>
              <a:spcPct val="90000"/>
            </a:lnSpc>
            <a:spcBef>
              <a:spcPct val="0"/>
            </a:spcBef>
            <a:spcAft>
              <a:spcPct val="15000"/>
            </a:spcAft>
            <a:buChar char="••"/>
          </a:pPr>
          <a:r>
            <a:rPr lang="bg-BG" sz="1100" b="1" u="sng" kern="1200" dirty="0" smtClean="0"/>
            <a:t>Документира се. Уведомяване на ЕК след отпускане на помощта</a:t>
          </a:r>
          <a:endParaRPr lang="en-US" sz="1100" kern="1200" dirty="0"/>
        </a:p>
      </dsp:txBody>
      <dsp:txXfrm rot="-5400000">
        <a:off x="2841245" y="2659740"/>
        <a:ext cx="5019501" cy="584159"/>
      </dsp:txXfrm>
    </dsp:sp>
    <dsp:sp modelId="{76114A65-9316-440C-93B3-658D29EBD15B}">
      <dsp:nvSpPr>
        <dsp:cNvPr id="0" name=""/>
        <dsp:cNvSpPr/>
      </dsp:nvSpPr>
      <dsp:spPr>
        <a:xfrm>
          <a:off x="0" y="2550843"/>
          <a:ext cx="2841245" cy="80920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bg-BG" sz="1600" kern="1200" dirty="0" smtClean="0"/>
            <a:t>Стандартизирани ФИ (</a:t>
          </a:r>
          <a:r>
            <a:rPr lang="en-US" sz="1600" kern="1200" dirty="0" smtClean="0"/>
            <a:t>off-the shelf)</a:t>
          </a:r>
        </a:p>
      </dsp:txBody>
      <dsp:txXfrm>
        <a:off x="39502" y="2590345"/>
        <a:ext cx="2762241" cy="730199"/>
      </dsp:txXfrm>
    </dsp:sp>
    <dsp:sp modelId="{7C879E88-EA9C-4123-880A-6C465B235E90}">
      <dsp:nvSpPr>
        <dsp:cNvPr id="0" name=""/>
        <dsp:cNvSpPr/>
      </dsp:nvSpPr>
      <dsp:spPr>
        <a:xfrm rot="5400000">
          <a:off x="5043115" y="1279557"/>
          <a:ext cx="647363" cy="5051103"/>
        </a:xfrm>
        <a:prstGeom prst="round2Same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20955" rIns="41910" bIns="20955" numCol="1" spcCol="1270" anchor="ctr" anchorCtr="0">
          <a:noAutofit/>
        </a:bodyPr>
        <a:lstStyle/>
        <a:p>
          <a:pPr marL="57150" lvl="1" indent="-57150" algn="l" defTabSz="488950">
            <a:lnSpc>
              <a:spcPct val="90000"/>
            </a:lnSpc>
            <a:spcBef>
              <a:spcPct val="0"/>
            </a:spcBef>
            <a:spcAft>
              <a:spcPct val="15000"/>
            </a:spcAft>
            <a:buChar char="••"/>
          </a:pPr>
          <a:r>
            <a:rPr lang="bg-BG" sz="1100" kern="1200" dirty="0" smtClean="0"/>
            <a:t>Ако предоставената помощ е извън случаите по-горе</a:t>
          </a:r>
          <a:endParaRPr lang="en-US" sz="1100" kern="1200" dirty="0"/>
        </a:p>
        <a:p>
          <a:pPr marL="57150" lvl="1" indent="-57150" algn="l" defTabSz="488950">
            <a:lnSpc>
              <a:spcPct val="90000"/>
            </a:lnSpc>
            <a:spcBef>
              <a:spcPct val="0"/>
            </a:spcBef>
            <a:spcAft>
              <a:spcPct val="15000"/>
            </a:spcAft>
            <a:buChar char="••"/>
          </a:pPr>
          <a:r>
            <a:rPr lang="bg-BG" sz="1100" b="1" u="sng" kern="1200" dirty="0" smtClean="0"/>
            <a:t>Предприемат се следващи стъпки за нотификация</a:t>
          </a:r>
          <a:endParaRPr lang="en-US" sz="1100" b="1" u="sng" kern="1200" dirty="0"/>
        </a:p>
        <a:p>
          <a:pPr marL="57150" lvl="1" indent="-57150" algn="l" defTabSz="488950">
            <a:lnSpc>
              <a:spcPct val="90000"/>
            </a:lnSpc>
            <a:spcBef>
              <a:spcPct val="0"/>
            </a:spcBef>
            <a:spcAft>
              <a:spcPct val="15000"/>
            </a:spcAft>
            <a:buChar char="••"/>
          </a:pPr>
          <a:r>
            <a:rPr lang="bg-BG" sz="1100" b="1" u="sng" kern="1200" dirty="0" smtClean="0"/>
            <a:t> Изчаква се решение на ЕК за съвместимост с вътрешния пазар</a:t>
          </a:r>
          <a:endParaRPr lang="en-US" sz="1100" b="1" u="sng" kern="1200" dirty="0"/>
        </a:p>
      </dsp:txBody>
      <dsp:txXfrm rot="-5400000">
        <a:off x="2841245" y="3513029"/>
        <a:ext cx="5019501" cy="584159"/>
      </dsp:txXfrm>
    </dsp:sp>
    <dsp:sp modelId="{DCC6AEEA-7C5D-4E57-B50A-8E255E95EB4B}">
      <dsp:nvSpPr>
        <dsp:cNvPr id="0" name=""/>
        <dsp:cNvSpPr/>
      </dsp:nvSpPr>
      <dsp:spPr>
        <a:xfrm>
          <a:off x="0" y="3400507"/>
          <a:ext cx="2841245" cy="809203"/>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lvl="0" algn="ctr" defTabSz="711200">
            <a:lnSpc>
              <a:spcPct val="90000"/>
            </a:lnSpc>
            <a:spcBef>
              <a:spcPct val="0"/>
            </a:spcBef>
            <a:spcAft>
              <a:spcPct val="35000"/>
            </a:spcAft>
          </a:pPr>
          <a:r>
            <a:rPr lang="bg-BG" sz="1600" kern="1200" dirty="0" smtClean="0"/>
            <a:t>Друга помощ</a:t>
          </a:r>
          <a:endParaRPr lang="en-US" sz="1600" kern="1200" dirty="0" smtClean="0"/>
        </a:p>
      </dsp:txBody>
      <dsp:txXfrm>
        <a:off x="39502" y="3440009"/>
        <a:ext cx="2762241" cy="7301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AD16BE1-75BF-4D0C-A32E-06B6CF28FB67}">
      <dsp:nvSpPr>
        <dsp:cNvPr id="0" name=""/>
        <dsp:cNvSpPr/>
      </dsp:nvSpPr>
      <dsp:spPr>
        <a:xfrm>
          <a:off x="411479" y="0"/>
          <a:ext cx="4663440" cy="3476625"/>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AFF0489E-59E1-4BA4-A3CB-B9CD48590C86}">
      <dsp:nvSpPr>
        <dsp:cNvPr id="0" name=""/>
        <dsp:cNvSpPr/>
      </dsp:nvSpPr>
      <dsp:spPr>
        <a:xfrm>
          <a:off x="2678" y="1042987"/>
          <a:ext cx="1655564" cy="139065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b="1" kern="1200"/>
            <a:t>Идентифициране на допълнителни източници</a:t>
          </a:r>
        </a:p>
        <a:p>
          <a:pPr lvl="0" algn="ctr" defTabSz="400050">
            <a:lnSpc>
              <a:spcPct val="90000"/>
            </a:lnSpc>
            <a:spcBef>
              <a:spcPct val="0"/>
            </a:spcBef>
            <a:spcAft>
              <a:spcPct val="35000"/>
            </a:spcAft>
          </a:pPr>
          <a:r>
            <a:rPr lang="bg-BG" sz="800" kern="1200"/>
            <a:t>Идентифициране на допълнителни публични и частни източници, които потенциално могат да бъда привлечени чрез ФИ и оценка на индикативния график на националното съ-финансиране и допълнителния частен принос</a:t>
          </a:r>
        </a:p>
      </dsp:txBody>
      <dsp:txXfrm>
        <a:off x="70564" y="1110873"/>
        <a:ext cx="1519792" cy="1254878"/>
      </dsp:txXfrm>
    </dsp:sp>
    <dsp:sp modelId="{9A8BC369-10C1-4F00-A680-16AE17CD380B}">
      <dsp:nvSpPr>
        <dsp:cNvPr id="0" name=""/>
        <dsp:cNvSpPr/>
      </dsp:nvSpPr>
      <dsp:spPr>
        <a:xfrm>
          <a:off x="1915417" y="1042987"/>
          <a:ext cx="1655564" cy="1390650"/>
        </a:xfrm>
        <a:prstGeom prst="roundRec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Ефект на лоста на ФИ</a:t>
          </a:r>
        </a:p>
        <a:p>
          <a:pPr lvl="0" algn="ctr" defTabSz="444500">
            <a:lnSpc>
              <a:spcPct val="90000"/>
            </a:lnSpc>
            <a:spcBef>
              <a:spcPct val="0"/>
            </a:spcBef>
            <a:spcAft>
              <a:spcPct val="35000"/>
            </a:spcAft>
          </a:pPr>
          <a:r>
            <a:rPr lang="bg-BG" sz="900" kern="1200"/>
            <a:t>Оценка на лоста на предвидените финансови инструменти</a:t>
          </a:r>
        </a:p>
      </dsp:txBody>
      <dsp:txXfrm>
        <a:off x="1983303" y="1110873"/>
        <a:ext cx="1519792" cy="1254878"/>
      </dsp:txXfrm>
    </dsp:sp>
    <dsp:sp modelId="{A37964B7-EDB0-4232-AEE0-BEEBD542F306}">
      <dsp:nvSpPr>
        <dsp:cNvPr id="0" name=""/>
        <dsp:cNvSpPr/>
      </dsp:nvSpPr>
      <dsp:spPr>
        <a:xfrm>
          <a:off x="3828157" y="1042987"/>
          <a:ext cx="1655564" cy="1390650"/>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Преференциално възнаграждение</a:t>
          </a:r>
        </a:p>
        <a:p>
          <a:pPr lvl="0" algn="ctr" defTabSz="444500">
            <a:lnSpc>
              <a:spcPct val="90000"/>
            </a:lnSpc>
            <a:spcBef>
              <a:spcPct val="0"/>
            </a:spcBef>
            <a:spcAft>
              <a:spcPct val="35000"/>
            </a:spcAft>
          </a:pPr>
          <a:r>
            <a:rPr lang="bg-BG" sz="900" kern="1200"/>
            <a:t>Оценка на нуждите и нивото на преференциално възнаграждение на база опита на съответния пазар</a:t>
          </a:r>
        </a:p>
      </dsp:txBody>
      <dsp:txXfrm>
        <a:off x="3896043" y="1110873"/>
        <a:ext cx="1519792" cy="125487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5208A41-F22E-44A6-8302-0C92F54A873B}">
      <dsp:nvSpPr>
        <dsp:cNvPr id="0" name=""/>
        <dsp:cNvSpPr/>
      </dsp:nvSpPr>
      <dsp:spPr>
        <a:xfrm>
          <a:off x="1495525" y="3651342"/>
          <a:ext cx="822705" cy="696567"/>
        </a:xfrm>
        <a:custGeom>
          <a:avLst/>
          <a:gdLst/>
          <a:ahLst/>
          <a:cxnLst/>
          <a:rect l="0" t="0" r="0" b="0"/>
          <a:pathLst>
            <a:path>
              <a:moveTo>
                <a:pt x="0" y="0"/>
              </a:moveTo>
              <a:lnTo>
                <a:pt x="0" y="571910"/>
              </a:lnTo>
              <a:lnTo>
                <a:pt x="822705" y="571910"/>
              </a:lnTo>
              <a:lnTo>
                <a:pt x="822705" y="69656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866D969-6BB5-41F3-A012-E2C14E28DC50}">
      <dsp:nvSpPr>
        <dsp:cNvPr id="0" name=""/>
        <dsp:cNvSpPr/>
      </dsp:nvSpPr>
      <dsp:spPr>
        <a:xfrm>
          <a:off x="523299" y="3651342"/>
          <a:ext cx="972225" cy="696567"/>
        </a:xfrm>
        <a:custGeom>
          <a:avLst/>
          <a:gdLst/>
          <a:ahLst/>
          <a:cxnLst/>
          <a:rect l="0" t="0" r="0" b="0"/>
          <a:pathLst>
            <a:path>
              <a:moveTo>
                <a:pt x="972225" y="0"/>
              </a:moveTo>
              <a:lnTo>
                <a:pt x="972225" y="571910"/>
              </a:lnTo>
              <a:lnTo>
                <a:pt x="0" y="571910"/>
              </a:lnTo>
              <a:lnTo>
                <a:pt x="0" y="69656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E3D0F2A-721A-47D8-B566-813966A213D0}">
      <dsp:nvSpPr>
        <dsp:cNvPr id="0" name=""/>
        <dsp:cNvSpPr/>
      </dsp:nvSpPr>
      <dsp:spPr>
        <a:xfrm>
          <a:off x="1449805" y="2144208"/>
          <a:ext cx="91440" cy="652660"/>
        </a:xfrm>
        <a:custGeom>
          <a:avLst/>
          <a:gdLst/>
          <a:ahLst/>
          <a:cxnLst/>
          <a:rect l="0" t="0" r="0" b="0"/>
          <a:pathLst>
            <a:path>
              <a:moveTo>
                <a:pt x="45720" y="0"/>
              </a:moveTo>
              <a:lnTo>
                <a:pt x="45720" y="65266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79CA63B-FD8D-4F84-BD04-B32F70C5ACF0}">
      <dsp:nvSpPr>
        <dsp:cNvPr id="0" name=""/>
        <dsp:cNvSpPr/>
      </dsp:nvSpPr>
      <dsp:spPr>
        <a:xfrm>
          <a:off x="1449805" y="712435"/>
          <a:ext cx="91440" cy="577299"/>
        </a:xfrm>
        <a:custGeom>
          <a:avLst/>
          <a:gdLst/>
          <a:ahLst/>
          <a:cxnLst/>
          <a:rect l="0" t="0" r="0" b="0"/>
          <a:pathLst>
            <a:path>
              <a:moveTo>
                <a:pt x="45720" y="0"/>
              </a:moveTo>
              <a:lnTo>
                <a:pt x="45720" y="57729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77AF472-57B9-463C-A259-E7203160867B}">
      <dsp:nvSpPr>
        <dsp:cNvPr id="0" name=""/>
        <dsp:cNvSpPr/>
      </dsp:nvSpPr>
      <dsp:spPr>
        <a:xfrm>
          <a:off x="822711" y="-142038"/>
          <a:ext cx="1345628" cy="85447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2763386-5CE9-465C-9D56-CDE9827FF92E}">
      <dsp:nvSpPr>
        <dsp:cNvPr id="0" name=""/>
        <dsp:cNvSpPr/>
      </dsp:nvSpPr>
      <dsp:spPr>
        <a:xfrm>
          <a:off x="972225" y="0"/>
          <a:ext cx="1345628" cy="85447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УО на ОПОС 2014-2020</a:t>
          </a:r>
        </a:p>
      </dsp:txBody>
      <dsp:txXfrm>
        <a:off x="997252" y="25027"/>
        <a:ext cx="1295574" cy="804419"/>
      </dsp:txXfrm>
    </dsp:sp>
    <dsp:sp modelId="{B11ADDB9-6979-465C-A5E3-5129845A4C00}">
      <dsp:nvSpPr>
        <dsp:cNvPr id="0" name=""/>
        <dsp:cNvSpPr/>
      </dsp:nvSpPr>
      <dsp:spPr>
        <a:xfrm>
          <a:off x="822711" y="1289734"/>
          <a:ext cx="1345628" cy="85447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5B06F5F-7F48-4411-8BFC-DB73E93BDA2B}">
      <dsp:nvSpPr>
        <dsp:cNvPr id="0" name=""/>
        <dsp:cNvSpPr/>
      </dsp:nvSpPr>
      <dsp:spPr>
        <a:xfrm>
          <a:off x="972225" y="1431773"/>
          <a:ext cx="1345628" cy="85447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Фонд на фондове</a:t>
          </a:r>
        </a:p>
      </dsp:txBody>
      <dsp:txXfrm>
        <a:off x="997252" y="1456800"/>
        <a:ext cx="1295574" cy="804419"/>
      </dsp:txXfrm>
    </dsp:sp>
    <dsp:sp modelId="{D8422716-B14C-4740-B07D-D9DA52DD99E5}">
      <dsp:nvSpPr>
        <dsp:cNvPr id="0" name=""/>
        <dsp:cNvSpPr/>
      </dsp:nvSpPr>
      <dsp:spPr>
        <a:xfrm>
          <a:off x="822711" y="2796869"/>
          <a:ext cx="1345628" cy="85447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9C748C0-B497-4E17-90E5-10C474CC4FC0}">
      <dsp:nvSpPr>
        <dsp:cNvPr id="0" name=""/>
        <dsp:cNvSpPr/>
      </dsp:nvSpPr>
      <dsp:spPr>
        <a:xfrm>
          <a:off x="972225" y="2938907"/>
          <a:ext cx="1345628" cy="85447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Финансов посредник</a:t>
          </a:r>
        </a:p>
      </dsp:txBody>
      <dsp:txXfrm>
        <a:off x="997252" y="2963934"/>
        <a:ext cx="1295574" cy="804419"/>
      </dsp:txXfrm>
    </dsp:sp>
    <dsp:sp modelId="{A7763E9B-5265-47C6-911D-03ABAAF28DFC}">
      <dsp:nvSpPr>
        <dsp:cNvPr id="0" name=""/>
        <dsp:cNvSpPr/>
      </dsp:nvSpPr>
      <dsp:spPr>
        <a:xfrm>
          <a:off x="-149514" y="4347910"/>
          <a:ext cx="1345628" cy="85447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EB5EC69-8505-4AC8-BCC1-BF0057D02D05}">
      <dsp:nvSpPr>
        <dsp:cNvPr id="0" name=""/>
        <dsp:cNvSpPr/>
      </dsp:nvSpPr>
      <dsp:spPr>
        <a:xfrm>
          <a:off x="0" y="4489949"/>
          <a:ext cx="1345628" cy="85447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Заеми</a:t>
          </a:r>
        </a:p>
      </dsp:txBody>
      <dsp:txXfrm>
        <a:off x="25027" y="4514976"/>
        <a:ext cx="1295574" cy="804419"/>
      </dsp:txXfrm>
    </dsp:sp>
    <dsp:sp modelId="{7CBE8B88-D93E-478D-AFC1-5E6C395FF09F}">
      <dsp:nvSpPr>
        <dsp:cNvPr id="0" name=""/>
        <dsp:cNvSpPr/>
      </dsp:nvSpPr>
      <dsp:spPr>
        <a:xfrm>
          <a:off x="1645416" y="4347910"/>
          <a:ext cx="1345628" cy="85447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77224B0-4A87-4BB8-BD52-E8B7DDCA8A0D}">
      <dsp:nvSpPr>
        <dsp:cNvPr id="0" name=""/>
        <dsp:cNvSpPr/>
      </dsp:nvSpPr>
      <dsp:spPr>
        <a:xfrm>
          <a:off x="1794931" y="4489949"/>
          <a:ext cx="1345628" cy="85447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Гаранции</a:t>
          </a:r>
        </a:p>
      </dsp:txBody>
      <dsp:txXfrm>
        <a:off x="1819958" y="4514976"/>
        <a:ext cx="1295574" cy="804419"/>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F7267FE-B404-46D9-826F-F5DAEB954767}">
      <dsp:nvSpPr>
        <dsp:cNvPr id="0" name=""/>
        <dsp:cNvSpPr/>
      </dsp:nvSpPr>
      <dsp:spPr>
        <a:xfrm>
          <a:off x="1438653" y="3725908"/>
          <a:ext cx="91440" cy="470189"/>
        </a:xfrm>
        <a:custGeom>
          <a:avLst/>
          <a:gdLst/>
          <a:ahLst/>
          <a:cxnLst/>
          <a:rect l="0" t="0" r="0" b="0"/>
          <a:pathLst>
            <a:path>
              <a:moveTo>
                <a:pt x="45720" y="0"/>
              </a:moveTo>
              <a:lnTo>
                <a:pt x="45720" y="470189"/>
              </a:lnTo>
            </a:path>
          </a:pathLst>
        </a:custGeom>
        <a:noFill/>
        <a:ln w="12700" cap="flat" cmpd="sng" algn="ctr">
          <a:solidFill>
            <a:schemeClr val="accent6">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8B641D3-B646-494B-BFD4-8E54EAC1CF00}">
      <dsp:nvSpPr>
        <dsp:cNvPr id="0" name=""/>
        <dsp:cNvSpPr/>
      </dsp:nvSpPr>
      <dsp:spPr>
        <a:xfrm>
          <a:off x="1438653" y="2270273"/>
          <a:ext cx="91440" cy="496330"/>
        </a:xfrm>
        <a:custGeom>
          <a:avLst/>
          <a:gdLst/>
          <a:ahLst/>
          <a:cxnLst/>
          <a:rect l="0" t="0" r="0" b="0"/>
          <a:pathLst>
            <a:path>
              <a:moveTo>
                <a:pt x="45720" y="0"/>
              </a:moveTo>
              <a:lnTo>
                <a:pt x="45720" y="496330"/>
              </a:lnTo>
            </a:path>
          </a:pathLst>
        </a:custGeom>
        <a:noFill/>
        <a:ln w="12700" cap="flat" cmpd="sng" algn="ctr">
          <a:solidFill>
            <a:schemeClr val="accent6">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215ED3-8E9F-4015-99E0-70B4C8A55F77}">
      <dsp:nvSpPr>
        <dsp:cNvPr id="0" name=""/>
        <dsp:cNvSpPr/>
      </dsp:nvSpPr>
      <dsp:spPr>
        <a:xfrm>
          <a:off x="1438653" y="799840"/>
          <a:ext cx="91440" cy="511128"/>
        </a:xfrm>
        <a:custGeom>
          <a:avLst/>
          <a:gdLst/>
          <a:ahLst/>
          <a:cxnLst/>
          <a:rect l="0" t="0" r="0" b="0"/>
          <a:pathLst>
            <a:path>
              <a:moveTo>
                <a:pt x="45720" y="0"/>
              </a:moveTo>
              <a:lnTo>
                <a:pt x="45720" y="511128"/>
              </a:lnTo>
            </a:path>
          </a:pathLst>
        </a:custGeom>
        <a:noFill/>
        <a:ln w="12700" cap="flat" cmpd="sng" algn="ctr">
          <a:solidFill>
            <a:schemeClr val="accent6">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77AF472-57B9-463C-A259-E7203160867B}">
      <dsp:nvSpPr>
        <dsp:cNvPr id="0" name=""/>
        <dsp:cNvSpPr/>
      </dsp:nvSpPr>
      <dsp:spPr>
        <a:xfrm>
          <a:off x="729015" y="-159464"/>
          <a:ext cx="1510715" cy="959304"/>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2763386-5CE9-465C-9D56-CDE9827FF92E}">
      <dsp:nvSpPr>
        <dsp:cNvPr id="0" name=""/>
        <dsp:cNvSpPr/>
      </dsp:nvSpPr>
      <dsp:spPr>
        <a:xfrm>
          <a:off x="896872" y="0"/>
          <a:ext cx="1510715" cy="959304"/>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УО на ОПОС 2014-2020</a:t>
          </a:r>
        </a:p>
      </dsp:txBody>
      <dsp:txXfrm>
        <a:off x="924969" y="28097"/>
        <a:ext cx="1454521" cy="903110"/>
      </dsp:txXfrm>
    </dsp:sp>
    <dsp:sp modelId="{97B1EC78-0037-4DEA-96D1-C6B8D56BE9C9}">
      <dsp:nvSpPr>
        <dsp:cNvPr id="0" name=""/>
        <dsp:cNvSpPr/>
      </dsp:nvSpPr>
      <dsp:spPr>
        <a:xfrm>
          <a:off x="729015" y="1310968"/>
          <a:ext cx="1510715" cy="959304"/>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5858EC8-49FD-4DA5-A896-A1E15DEEE0F7}">
      <dsp:nvSpPr>
        <dsp:cNvPr id="0" name=""/>
        <dsp:cNvSpPr/>
      </dsp:nvSpPr>
      <dsp:spPr>
        <a:xfrm>
          <a:off x="896872" y="1470433"/>
          <a:ext cx="1510715" cy="959304"/>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Финансов посредник</a:t>
          </a:r>
        </a:p>
      </dsp:txBody>
      <dsp:txXfrm>
        <a:off x="924969" y="1498530"/>
        <a:ext cx="1454521" cy="903110"/>
      </dsp:txXfrm>
    </dsp:sp>
    <dsp:sp modelId="{97E0A53A-D289-45CF-AA46-493001FD6EE8}">
      <dsp:nvSpPr>
        <dsp:cNvPr id="0" name=""/>
        <dsp:cNvSpPr/>
      </dsp:nvSpPr>
      <dsp:spPr>
        <a:xfrm>
          <a:off x="729015" y="2766603"/>
          <a:ext cx="1510715" cy="959304"/>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40C4D0E-4840-4734-BCAF-6799E45DB0EB}">
      <dsp:nvSpPr>
        <dsp:cNvPr id="0" name=""/>
        <dsp:cNvSpPr/>
      </dsp:nvSpPr>
      <dsp:spPr>
        <a:xfrm>
          <a:off x="896872" y="2926068"/>
          <a:ext cx="1510715" cy="959304"/>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Гаранции</a:t>
          </a:r>
        </a:p>
      </dsp:txBody>
      <dsp:txXfrm>
        <a:off x="924969" y="2954165"/>
        <a:ext cx="1454521" cy="903110"/>
      </dsp:txXfrm>
    </dsp:sp>
    <dsp:sp modelId="{6DFD699B-2BE0-4ED4-B9B5-60643E81DE3A}">
      <dsp:nvSpPr>
        <dsp:cNvPr id="0" name=""/>
        <dsp:cNvSpPr/>
      </dsp:nvSpPr>
      <dsp:spPr>
        <a:xfrm>
          <a:off x="729015" y="4196097"/>
          <a:ext cx="1510715" cy="959304"/>
        </a:xfrm>
        <a:prstGeom prst="roundRect">
          <a:avLst>
            <a:gd name="adj" fmla="val 10000"/>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90BBF5B-BD7B-4840-87C9-ACE4CD309814}">
      <dsp:nvSpPr>
        <dsp:cNvPr id="0" name=""/>
        <dsp:cNvSpPr/>
      </dsp:nvSpPr>
      <dsp:spPr>
        <a:xfrm>
          <a:off x="896872" y="4355561"/>
          <a:ext cx="1510715" cy="959304"/>
        </a:xfrm>
        <a:prstGeom prst="roundRect">
          <a:avLst>
            <a:gd name="adj" fmla="val 10000"/>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kern="1200"/>
            <a:t>МФИ чрез търговски банки</a:t>
          </a:r>
        </a:p>
        <a:p>
          <a:pPr lvl="0" algn="ctr" defTabSz="488950">
            <a:lnSpc>
              <a:spcPct val="90000"/>
            </a:lnSpc>
            <a:spcBef>
              <a:spcPct val="0"/>
            </a:spcBef>
            <a:spcAft>
              <a:spcPct val="35000"/>
            </a:spcAft>
          </a:pPr>
          <a:r>
            <a:rPr lang="bg-BG" sz="1100" kern="1200"/>
            <a:t>Търговски банки</a:t>
          </a:r>
        </a:p>
      </dsp:txBody>
      <dsp:txXfrm>
        <a:off x="924969" y="4383658"/>
        <a:ext cx="1454521" cy="903110"/>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9A048EA-013C-4B38-A7E3-976549FA5852}">
      <dsp:nvSpPr>
        <dsp:cNvPr id="0" name=""/>
        <dsp:cNvSpPr/>
      </dsp:nvSpPr>
      <dsp:spPr>
        <a:xfrm>
          <a:off x="411479" y="0"/>
          <a:ext cx="4663440" cy="3200400"/>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31D9A46-2C88-44AF-A09D-739E8672297F}">
      <dsp:nvSpPr>
        <dsp:cNvPr id="0" name=""/>
        <dsp:cNvSpPr/>
      </dsp:nvSpPr>
      <dsp:spPr>
        <a:xfrm>
          <a:off x="185916" y="960120"/>
          <a:ext cx="1645920" cy="128016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Събиране на информация</a:t>
          </a:r>
        </a:p>
        <a:p>
          <a:pPr lvl="0" algn="ctr" defTabSz="444500">
            <a:lnSpc>
              <a:spcPct val="90000"/>
            </a:lnSpc>
            <a:spcBef>
              <a:spcPct val="0"/>
            </a:spcBef>
            <a:spcAft>
              <a:spcPct val="35000"/>
            </a:spcAft>
          </a:pPr>
          <a:r>
            <a:rPr lang="bg-BG" sz="1000" kern="1200"/>
            <a:t>Събиране на налична информация за предишен опит от вече разработени и внедрени финансови инструменти</a:t>
          </a:r>
        </a:p>
      </dsp:txBody>
      <dsp:txXfrm>
        <a:off x="248408" y="1022612"/>
        <a:ext cx="1520936" cy="1155176"/>
      </dsp:txXfrm>
    </dsp:sp>
    <dsp:sp modelId="{0D9F8E2E-6957-41C8-A455-85B17F554EE2}">
      <dsp:nvSpPr>
        <dsp:cNvPr id="0" name=""/>
        <dsp:cNvSpPr/>
      </dsp:nvSpPr>
      <dsp:spPr>
        <a:xfrm>
          <a:off x="1920240" y="960120"/>
          <a:ext cx="1645920" cy="1280160"/>
        </a:xfrm>
        <a:prstGeom prst="roundRec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Фктори за успех</a:t>
          </a:r>
        </a:p>
        <a:p>
          <a:pPr lvl="0" algn="ctr" defTabSz="444500">
            <a:lnSpc>
              <a:spcPct val="90000"/>
            </a:lnSpc>
            <a:spcBef>
              <a:spcPct val="0"/>
            </a:spcBef>
            <a:spcAft>
              <a:spcPct val="35000"/>
            </a:spcAft>
          </a:pPr>
          <a:r>
            <a:rPr lang="bg-BG" sz="1000" kern="1200"/>
            <a:t>Идентифициране на основните фактори за успех и предивзикателства на база предишен опит </a:t>
          </a:r>
        </a:p>
      </dsp:txBody>
      <dsp:txXfrm>
        <a:off x="1982732" y="1022612"/>
        <a:ext cx="1520936" cy="1155176"/>
      </dsp:txXfrm>
    </dsp:sp>
    <dsp:sp modelId="{86405E34-4AF0-4532-B2C8-C5E8BA5F9239}">
      <dsp:nvSpPr>
        <dsp:cNvPr id="0" name=""/>
        <dsp:cNvSpPr/>
      </dsp:nvSpPr>
      <dsp:spPr>
        <a:xfrm>
          <a:off x="3654563" y="960120"/>
          <a:ext cx="1645920" cy="1280160"/>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Подобряване на изпълнението</a:t>
          </a:r>
        </a:p>
        <a:p>
          <a:pPr lvl="0" algn="ctr" defTabSz="444500">
            <a:lnSpc>
              <a:spcPct val="90000"/>
            </a:lnSpc>
            <a:spcBef>
              <a:spcPct val="0"/>
            </a:spcBef>
            <a:spcAft>
              <a:spcPct val="35000"/>
            </a:spcAft>
          </a:pPr>
          <a:r>
            <a:rPr lang="bg-BG" sz="1000" kern="1200"/>
            <a:t>Използване на събраната информация за подобряване изпълнението на предвидените ФИ</a:t>
          </a:r>
        </a:p>
      </dsp:txBody>
      <dsp:txXfrm>
        <a:off x="3717055" y="1022612"/>
        <a:ext cx="1520936" cy="1155176"/>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9216B3-4C6E-4757-8534-247C13254924}">
      <dsp:nvSpPr>
        <dsp:cNvPr id="0" name=""/>
        <dsp:cNvSpPr/>
      </dsp:nvSpPr>
      <dsp:spPr>
        <a:xfrm>
          <a:off x="425767" y="0"/>
          <a:ext cx="4825365" cy="3667125"/>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42F0F914-887C-4202-B7A3-21B829219031}">
      <dsp:nvSpPr>
        <dsp:cNvPr id="0" name=""/>
        <dsp:cNvSpPr/>
      </dsp:nvSpPr>
      <dsp:spPr>
        <a:xfrm>
          <a:off x="2771" y="1100137"/>
          <a:ext cx="1713048" cy="146685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Ниво на дейтализиране</a:t>
          </a:r>
        </a:p>
        <a:p>
          <a:pPr lvl="0" algn="ctr" defTabSz="444500">
            <a:lnSpc>
              <a:spcPct val="90000"/>
            </a:lnSpc>
            <a:spcBef>
              <a:spcPct val="0"/>
            </a:spcBef>
            <a:spcAft>
              <a:spcPct val="35000"/>
            </a:spcAft>
          </a:pPr>
          <a:r>
            <a:rPr lang="bg-BG" sz="900" kern="1200"/>
            <a:t>Определяне нивото на детайлизиране на предложената инвестицонна стратегия чрез поддържане на определена гъвкавост</a:t>
          </a:r>
        </a:p>
      </dsp:txBody>
      <dsp:txXfrm>
        <a:off x="74377" y="1171743"/>
        <a:ext cx="1569836" cy="1323638"/>
      </dsp:txXfrm>
    </dsp:sp>
    <dsp:sp modelId="{068D350F-0274-41F5-9604-0C7C645A20AD}">
      <dsp:nvSpPr>
        <dsp:cNvPr id="0" name=""/>
        <dsp:cNvSpPr/>
      </dsp:nvSpPr>
      <dsp:spPr>
        <a:xfrm>
          <a:off x="1981925" y="1100137"/>
          <a:ext cx="1713048" cy="1466850"/>
        </a:xfrm>
        <a:prstGeom prst="roundRec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Мащаб и фокус на ФИ</a:t>
          </a:r>
        </a:p>
        <a:p>
          <a:pPr lvl="0" algn="ctr" defTabSz="444500">
            <a:lnSpc>
              <a:spcPct val="90000"/>
            </a:lnSpc>
            <a:spcBef>
              <a:spcPct val="0"/>
            </a:spcBef>
            <a:spcAft>
              <a:spcPct val="35000"/>
            </a:spcAft>
          </a:pPr>
          <a:r>
            <a:rPr lang="bg-BG" sz="900" kern="1200"/>
            <a:t>Определяне мащабът и фокусът на ФИ в съответствие с резултатите от анализа на пазара и оценката на добавената стойност чрез избор на финансов продукт, който да се предложи на целевите крайни бенефициенти</a:t>
          </a:r>
        </a:p>
      </dsp:txBody>
      <dsp:txXfrm>
        <a:off x="2053531" y="1171743"/>
        <a:ext cx="1569836" cy="1323638"/>
      </dsp:txXfrm>
    </dsp:sp>
    <dsp:sp modelId="{8C342B56-B3E8-46EF-833A-8516AE3E8739}">
      <dsp:nvSpPr>
        <dsp:cNvPr id="0" name=""/>
        <dsp:cNvSpPr/>
      </dsp:nvSpPr>
      <dsp:spPr>
        <a:xfrm>
          <a:off x="3961079" y="1100137"/>
          <a:ext cx="1713048" cy="1466850"/>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Допълнителен анализ</a:t>
          </a:r>
        </a:p>
        <a:p>
          <a:pPr lvl="0" algn="ctr" defTabSz="444500">
            <a:lnSpc>
              <a:spcPct val="90000"/>
            </a:lnSpc>
            <a:spcBef>
              <a:spcPct val="0"/>
            </a:spcBef>
            <a:spcAft>
              <a:spcPct val="35000"/>
            </a:spcAft>
          </a:pPr>
          <a:r>
            <a:rPr lang="bg-BG" sz="900" kern="1200"/>
            <a:t>Определяне структурата на управление на ФИ чрез избор на най-подходящите договорености и комбинация с БФП </a:t>
          </a:r>
        </a:p>
      </dsp:txBody>
      <dsp:txXfrm>
        <a:off x="4032685" y="1171743"/>
        <a:ext cx="1569836" cy="1323638"/>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9268762-CF50-4335-9C9D-F40307B26A50}">
      <dsp:nvSpPr>
        <dsp:cNvPr id="0" name=""/>
        <dsp:cNvSpPr/>
      </dsp:nvSpPr>
      <dsp:spPr>
        <a:xfrm>
          <a:off x="759402" y="303122"/>
          <a:ext cx="1136505" cy="758048"/>
        </a:xfrm>
        <a:prstGeom prst="rect">
          <a:avLst/>
        </a:prstGeom>
        <a:solidFill>
          <a:schemeClr val="accent5">
            <a:alpha val="90000"/>
            <a:tint val="55000"/>
            <a:hueOff val="0"/>
            <a:satOff val="0"/>
            <a:lumOff val="0"/>
            <a:alphaOff val="0"/>
          </a:schemeClr>
        </a:solidFill>
        <a:ln w="6350" cap="flat" cmpd="sng" algn="ctr">
          <a:solidFill>
            <a:schemeClr val="l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4445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0" tIns="64008" rIns="64008" bIns="64008" numCol="1" spcCol="1270" anchor="ctr" anchorCtr="0">
          <a:noAutofit/>
        </a:bodyPr>
        <a:lstStyle/>
        <a:p>
          <a:pPr lvl="0" algn="ctr" defTabSz="400050">
            <a:lnSpc>
              <a:spcPct val="90000"/>
            </a:lnSpc>
            <a:spcBef>
              <a:spcPct val="0"/>
            </a:spcBef>
            <a:spcAft>
              <a:spcPct val="35000"/>
            </a:spcAft>
          </a:pPr>
          <a:r>
            <a:rPr lang="bg-BG" sz="900" kern="1200">
              <a:latin typeface="Calibri"/>
              <a:ea typeface="+mn-ea"/>
              <a:cs typeface="+mn-cs"/>
            </a:rPr>
            <a:t>ОПОС </a:t>
          </a:r>
        </a:p>
        <a:p>
          <a:pPr lvl="0" algn="ctr" defTabSz="400050">
            <a:lnSpc>
              <a:spcPct val="90000"/>
            </a:lnSpc>
            <a:spcBef>
              <a:spcPct val="0"/>
            </a:spcBef>
            <a:spcAft>
              <a:spcPct val="35000"/>
            </a:spcAft>
          </a:pPr>
          <a:r>
            <a:rPr lang="bg-BG" sz="900" kern="1200">
              <a:latin typeface="Calibri"/>
              <a:ea typeface="+mn-ea"/>
              <a:cs typeface="+mn-cs"/>
            </a:rPr>
            <a:t>2014-2020  г.</a:t>
          </a:r>
        </a:p>
      </dsp:txBody>
      <dsp:txXfrm>
        <a:off x="941243" y="303122"/>
        <a:ext cx="954664" cy="758048"/>
      </dsp:txXfrm>
    </dsp:sp>
    <dsp:sp modelId="{057955A9-9622-4B7C-ABF0-340D6D8DC0DE}">
      <dsp:nvSpPr>
        <dsp:cNvPr id="0" name=""/>
        <dsp:cNvSpPr/>
      </dsp:nvSpPr>
      <dsp:spPr>
        <a:xfrm>
          <a:off x="759402" y="1061171"/>
          <a:ext cx="1136505" cy="758048"/>
        </a:xfrm>
        <a:prstGeom prst="rect">
          <a:avLst/>
        </a:prstGeom>
        <a:solidFill>
          <a:schemeClr val="accent5">
            <a:alpha val="90000"/>
            <a:tint val="55000"/>
            <a:hueOff val="0"/>
            <a:satOff val="0"/>
            <a:lumOff val="0"/>
            <a:alphaOff val="0"/>
          </a:schemeClr>
        </a:solidFill>
        <a:ln w="6350" cap="flat" cmpd="sng" algn="ctr">
          <a:solidFill>
            <a:schemeClr val="l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4445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0" tIns="64008" rIns="64008" bIns="64008" numCol="1" spcCol="1270" anchor="ctr" anchorCtr="0">
          <a:noAutofit/>
        </a:bodyPr>
        <a:lstStyle/>
        <a:p>
          <a:pPr lvl="0" algn="ctr" defTabSz="400050">
            <a:lnSpc>
              <a:spcPct val="90000"/>
            </a:lnSpc>
            <a:spcBef>
              <a:spcPct val="0"/>
            </a:spcBef>
            <a:spcAft>
              <a:spcPct val="35000"/>
            </a:spcAft>
          </a:pPr>
          <a:r>
            <a:rPr lang="bg-BG" sz="900" kern="1200">
              <a:latin typeface="Calibri"/>
              <a:ea typeface="+mn-ea"/>
              <a:cs typeface="+mn-cs"/>
            </a:rPr>
            <a:t>Подчинен капитал </a:t>
          </a:r>
        </a:p>
      </dsp:txBody>
      <dsp:txXfrm>
        <a:off x="941243" y="1061171"/>
        <a:ext cx="954664" cy="758048"/>
      </dsp:txXfrm>
    </dsp:sp>
    <dsp:sp modelId="{24E05DCC-03AF-4C64-8C6E-F9F09DF86CA6}">
      <dsp:nvSpPr>
        <dsp:cNvPr id="0" name=""/>
        <dsp:cNvSpPr/>
      </dsp:nvSpPr>
      <dsp:spPr>
        <a:xfrm>
          <a:off x="153266" y="54"/>
          <a:ext cx="757670" cy="757670"/>
        </a:xfrm>
        <a:prstGeom prst="ellipse">
          <a:avLst/>
        </a:prstGeom>
        <a:gradFill rotWithShape="0">
          <a:gsLst>
            <a:gs pos="0">
              <a:schemeClr val="accent5">
                <a:shade val="50000"/>
                <a:hueOff val="0"/>
                <a:satOff val="0"/>
                <a:lumOff val="0"/>
                <a:alphaOff val="0"/>
                <a:satMod val="103000"/>
                <a:lumMod val="102000"/>
                <a:tint val="94000"/>
              </a:schemeClr>
            </a:gs>
            <a:gs pos="50000">
              <a:schemeClr val="accent5">
                <a:shade val="50000"/>
                <a:hueOff val="0"/>
                <a:satOff val="0"/>
                <a:lumOff val="0"/>
                <a:alphaOff val="0"/>
                <a:satMod val="110000"/>
                <a:lumMod val="100000"/>
                <a:shade val="100000"/>
              </a:schemeClr>
            </a:gs>
            <a:gs pos="100000">
              <a:schemeClr val="accent5">
                <a:shade val="50000"/>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1377950">
            <a:lnSpc>
              <a:spcPct val="90000"/>
            </a:lnSpc>
            <a:spcBef>
              <a:spcPct val="0"/>
            </a:spcBef>
            <a:spcAft>
              <a:spcPct val="35000"/>
            </a:spcAft>
          </a:pPr>
          <a:r>
            <a:rPr lang="bg-BG" sz="3100" kern="1200">
              <a:latin typeface="Calibri"/>
              <a:ea typeface="+mn-ea"/>
              <a:cs typeface="+mn-cs"/>
            </a:rPr>
            <a:t>КФ</a:t>
          </a:r>
        </a:p>
      </dsp:txBody>
      <dsp:txXfrm>
        <a:off x="264224" y="111012"/>
        <a:ext cx="535754" cy="535754"/>
      </dsp:txXfrm>
    </dsp:sp>
    <dsp:sp modelId="{DF6C0483-70DC-4C50-A871-4025E8247335}">
      <dsp:nvSpPr>
        <dsp:cNvPr id="0" name=""/>
        <dsp:cNvSpPr/>
      </dsp:nvSpPr>
      <dsp:spPr>
        <a:xfrm>
          <a:off x="2653578" y="303122"/>
          <a:ext cx="1136505" cy="758048"/>
        </a:xfrm>
        <a:prstGeom prst="rect">
          <a:avLst/>
        </a:prstGeom>
        <a:solidFill>
          <a:schemeClr val="accent5">
            <a:alpha val="90000"/>
            <a:tint val="55000"/>
            <a:hueOff val="0"/>
            <a:satOff val="0"/>
            <a:lumOff val="0"/>
            <a:alphaOff val="0"/>
          </a:schemeClr>
        </a:solidFill>
        <a:ln w="6350" cap="flat" cmpd="sng" algn="ctr">
          <a:solidFill>
            <a:schemeClr val="l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4445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0" tIns="64008" rIns="64008" bIns="64008" numCol="1" spcCol="1270" anchor="ctr" anchorCtr="0">
          <a:noAutofit/>
        </a:bodyPr>
        <a:lstStyle/>
        <a:p>
          <a:pPr lvl="0" algn="ctr" defTabSz="400050">
            <a:lnSpc>
              <a:spcPct val="90000"/>
            </a:lnSpc>
            <a:spcBef>
              <a:spcPct val="0"/>
            </a:spcBef>
            <a:spcAft>
              <a:spcPct val="35000"/>
            </a:spcAft>
          </a:pPr>
          <a:r>
            <a:rPr lang="bg-BG" sz="900" kern="1200">
              <a:latin typeface="Calibri"/>
              <a:ea typeface="+mn-ea"/>
              <a:cs typeface="+mn-cs"/>
            </a:rPr>
            <a:t>Международни финансови институции (ЕИБ, ЕБВР, Световна банка и др.)</a:t>
          </a:r>
        </a:p>
      </dsp:txBody>
      <dsp:txXfrm>
        <a:off x="2835418" y="303122"/>
        <a:ext cx="954664" cy="758048"/>
      </dsp:txXfrm>
    </dsp:sp>
    <dsp:sp modelId="{CDE9EBED-1844-4499-9007-5BB5618E49E8}">
      <dsp:nvSpPr>
        <dsp:cNvPr id="0" name=""/>
        <dsp:cNvSpPr/>
      </dsp:nvSpPr>
      <dsp:spPr>
        <a:xfrm>
          <a:off x="2653578" y="1061171"/>
          <a:ext cx="1136505" cy="758048"/>
        </a:xfrm>
        <a:prstGeom prst="rect">
          <a:avLst/>
        </a:prstGeom>
        <a:solidFill>
          <a:schemeClr val="accent5">
            <a:alpha val="90000"/>
            <a:tint val="55000"/>
            <a:hueOff val="0"/>
            <a:satOff val="0"/>
            <a:lumOff val="0"/>
            <a:alphaOff val="0"/>
          </a:schemeClr>
        </a:solidFill>
        <a:ln w="6350" cap="flat" cmpd="sng" algn="ctr">
          <a:solidFill>
            <a:schemeClr val="l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4445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0" tIns="64008" rIns="64008" bIns="64008" numCol="1" spcCol="1270" anchor="ctr" anchorCtr="0">
          <a:noAutofit/>
        </a:bodyPr>
        <a:lstStyle/>
        <a:p>
          <a:pPr lvl="0" algn="ctr" defTabSz="400050">
            <a:lnSpc>
              <a:spcPct val="90000"/>
            </a:lnSpc>
            <a:spcBef>
              <a:spcPct val="0"/>
            </a:spcBef>
            <a:spcAft>
              <a:spcPct val="35000"/>
            </a:spcAft>
          </a:pPr>
          <a:r>
            <a:rPr lang="bg-BG" sz="900" kern="1200">
              <a:latin typeface="Calibri"/>
              <a:ea typeface="+mn-ea"/>
              <a:cs typeface="+mn-cs"/>
            </a:rPr>
            <a:t>Основен капитал </a:t>
          </a:r>
        </a:p>
      </dsp:txBody>
      <dsp:txXfrm>
        <a:off x="2835418" y="1061171"/>
        <a:ext cx="954664" cy="758048"/>
      </dsp:txXfrm>
    </dsp:sp>
    <dsp:sp modelId="{8E47FB41-B1F1-4A02-9286-689CDEA6B390}">
      <dsp:nvSpPr>
        <dsp:cNvPr id="0" name=""/>
        <dsp:cNvSpPr/>
      </dsp:nvSpPr>
      <dsp:spPr>
        <a:xfrm>
          <a:off x="2047442" y="54"/>
          <a:ext cx="757670" cy="757670"/>
        </a:xfrm>
        <a:prstGeom prst="ellipse">
          <a:avLst/>
        </a:prstGeom>
        <a:gradFill rotWithShape="0">
          <a:gsLst>
            <a:gs pos="0">
              <a:schemeClr val="accent5">
                <a:shade val="50000"/>
                <a:hueOff val="402493"/>
                <a:satOff val="-9802"/>
                <a:lumOff val="42896"/>
                <a:alphaOff val="0"/>
                <a:satMod val="103000"/>
                <a:lumMod val="102000"/>
                <a:tint val="94000"/>
              </a:schemeClr>
            </a:gs>
            <a:gs pos="50000">
              <a:schemeClr val="accent5">
                <a:shade val="50000"/>
                <a:hueOff val="402493"/>
                <a:satOff val="-9802"/>
                <a:lumOff val="42896"/>
                <a:alphaOff val="0"/>
                <a:satMod val="110000"/>
                <a:lumMod val="100000"/>
                <a:shade val="100000"/>
              </a:schemeClr>
            </a:gs>
            <a:gs pos="100000">
              <a:schemeClr val="accent5">
                <a:shade val="50000"/>
                <a:hueOff val="402493"/>
                <a:satOff val="-9802"/>
                <a:lumOff val="42896"/>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1377950">
            <a:lnSpc>
              <a:spcPct val="90000"/>
            </a:lnSpc>
            <a:spcBef>
              <a:spcPct val="0"/>
            </a:spcBef>
            <a:spcAft>
              <a:spcPct val="35000"/>
            </a:spcAft>
          </a:pPr>
          <a:r>
            <a:rPr lang="bg-BG" sz="3100" kern="1200">
              <a:latin typeface="Calibri"/>
              <a:ea typeface="+mn-ea"/>
              <a:cs typeface="+mn-cs"/>
            </a:rPr>
            <a:t>ФИ</a:t>
          </a:r>
        </a:p>
      </dsp:txBody>
      <dsp:txXfrm>
        <a:off x="2158400" y="111012"/>
        <a:ext cx="535754" cy="53575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B8BE6D0-1D1F-44A4-9050-A58A53514579}">
      <dsp:nvSpPr>
        <dsp:cNvPr id="0" name=""/>
        <dsp:cNvSpPr/>
      </dsp:nvSpPr>
      <dsp:spPr>
        <a:xfrm>
          <a:off x="3781150" y="2418938"/>
          <a:ext cx="112357" cy="594738"/>
        </a:xfrm>
        <a:custGeom>
          <a:avLst/>
          <a:gdLst/>
          <a:ahLst/>
          <a:cxnLst/>
          <a:rect l="0" t="0" r="0" b="0"/>
          <a:pathLst>
            <a:path>
              <a:moveTo>
                <a:pt x="112357" y="0"/>
              </a:moveTo>
              <a:lnTo>
                <a:pt x="112357" y="594738"/>
              </a:lnTo>
              <a:lnTo>
                <a:pt x="0" y="594738"/>
              </a:lnTo>
            </a:path>
          </a:pathLst>
        </a:custGeom>
        <a:noFill/>
        <a:ln w="12700" cap="flat" cmpd="sng" algn="ctr">
          <a:solidFill>
            <a:schemeClr val="accent1">
              <a:shade val="8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F0FB104-3C5F-44C4-B8B9-70BDC7DFBCE2}">
      <dsp:nvSpPr>
        <dsp:cNvPr id="0" name=""/>
        <dsp:cNvSpPr/>
      </dsp:nvSpPr>
      <dsp:spPr>
        <a:xfrm>
          <a:off x="2514737" y="1192448"/>
          <a:ext cx="498182" cy="750362"/>
        </a:xfrm>
        <a:custGeom>
          <a:avLst/>
          <a:gdLst/>
          <a:ahLst/>
          <a:cxnLst/>
          <a:rect l="0" t="0" r="0" b="0"/>
          <a:pathLst>
            <a:path>
              <a:moveTo>
                <a:pt x="0" y="0"/>
              </a:moveTo>
              <a:lnTo>
                <a:pt x="0" y="750362"/>
              </a:lnTo>
              <a:lnTo>
                <a:pt x="498182" y="750362"/>
              </a:lnTo>
            </a:path>
          </a:pathLst>
        </a:custGeom>
        <a:noFill/>
        <a:ln w="12700" cap="flat" cmpd="sng" algn="ctr">
          <a:solidFill>
            <a:schemeClr val="accent1">
              <a:shade val="6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1A543F11-94BA-4DD0-A740-7998962D7237}">
      <dsp:nvSpPr>
        <dsp:cNvPr id="0" name=""/>
        <dsp:cNvSpPr/>
      </dsp:nvSpPr>
      <dsp:spPr>
        <a:xfrm>
          <a:off x="1138001" y="2421241"/>
          <a:ext cx="189596" cy="636970"/>
        </a:xfrm>
        <a:custGeom>
          <a:avLst/>
          <a:gdLst/>
          <a:ahLst/>
          <a:cxnLst/>
          <a:rect l="0" t="0" r="0" b="0"/>
          <a:pathLst>
            <a:path>
              <a:moveTo>
                <a:pt x="189596" y="0"/>
              </a:moveTo>
              <a:lnTo>
                <a:pt x="189596" y="636970"/>
              </a:lnTo>
              <a:lnTo>
                <a:pt x="0" y="636970"/>
              </a:lnTo>
            </a:path>
          </a:pathLst>
        </a:custGeom>
        <a:noFill/>
        <a:ln w="12700" cap="flat" cmpd="sng" algn="ctr">
          <a:solidFill>
            <a:schemeClr val="accent1">
              <a:shade val="8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43DCCB3C-0A0B-4DF1-B2AE-CA4798FB0197}">
      <dsp:nvSpPr>
        <dsp:cNvPr id="0" name=""/>
        <dsp:cNvSpPr/>
      </dsp:nvSpPr>
      <dsp:spPr>
        <a:xfrm>
          <a:off x="2208606" y="1192448"/>
          <a:ext cx="306131" cy="752664"/>
        </a:xfrm>
        <a:custGeom>
          <a:avLst/>
          <a:gdLst/>
          <a:ahLst/>
          <a:cxnLst/>
          <a:rect l="0" t="0" r="0" b="0"/>
          <a:pathLst>
            <a:path>
              <a:moveTo>
                <a:pt x="306131" y="0"/>
              </a:moveTo>
              <a:lnTo>
                <a:pt x="306131" y="752664"/>
              </a:lnTo>
              <a:lnTo>
                <a:pt x="0" y="752664"/>
              </a:lnTo>
            </a:path>
          </a:pathLst>
        </a:custGeom>
        <a:noFill/>
        <a:ln w="12700" cap="flat" cmpd="sng" algn="ctr">
          <a:solidFill>
            <a:schemeClr val="accent1">
              <a:shade val="6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5478BEF-2966-45A7-BD38-7B23E2CA6C2A}">
      <dsp:nvSpPr>
        <dsp:cNvPr id="0" name=""/>
        <dsp:cNvSpPr/>
      </dsp:nvSpPr>
      <dsp:spPr>
        <a:xfrm>
          <a:off x="1478098" y="0"/>
          <a:ext cx="2073277" cy="1192448"/>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pPr>
          <a:r>
            <a:rPr lang="bg-BG" sz="1400" b="1" kern="1200"/>
            <a:t>Фонд за устойчиви </a:t>
          </a:r>
        </a:p>
        <a:p>
          <a:pPr lvl="0" algn="ctr" defTabSz="622300">
            <a:lnSpc>
              <a:spcPct val="90000"/>
            </a:lnSpc>
            <a:spcBef>
              <a:spcPct val="0"/>
            </a:spcBef>
            <a:spcAft>
              <a:spcPct val="35000"/>
            </a:spcAft>
          </a:pPr>
          <a:r>
            <a:rPr lang="bg-BG" sz="1400" b="1" kern="1200"/>
            <a:t>инвестиции във  ВиК  </a:t>
          </a:r>
        </a:p>
        <a:p>
          <a:pPr lvl="0" algn="ctr" defTabSz="622300">
            <a:lnSpc>
              <a:spcPct val="90000"/>
            </a:lnSpc>
            <a:spcBef>
              <a:spcPct val="0"/>
            </a:spcBef>
            <a:spcAft>
              <a:spcPct val="35000"/>
            </a:spcAft>
          </a:pPr>
          <a:r>
            <a:rPr lang="bg-BG" sz="1400" b="1" kern="1200"/>
            <a:t>сектора</a:t>
          </a:r>
        </a:p>
      </dsp:txBody>
      <dsp:txXfrm>
        <a:off x="1478098" y="0"/>
        <a:ext cx="2073277" cy="1192448"/>
      </dsp:txXfrm>
    </dsp:sp>
    <dsp:sp modelId="{92A83981-11F3-41A0-BBFD-C4809526ED15}">
      <dsp:nvSpPr>
        <dsp:cNvPr id="0" name=""/>
        <dsp:cNvSpPr/>
      </dsp:nvSpPr>
      <dsp:spPr>
        <a:xfrm>
          <a:off x="446589" y="1468984"/>
          <a:ext cx="1762016" cy="952257"/>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bg-BG" sz="1200" kern="1200"/>
            <a:t>Гаранции за поемане на част   от кредитния риск за паралелно финансиране до 80%</a:t>
          </a:r>
        </a:p>
      </dsp:txBody>
      <dsp:txXfrm>
        <a:off x="446589" y="1468984"/>
        <a:ext cx="1762016" cy="952257"/>
      </dsp:txXfrm>
    </dsp:sp>
    <dsp:sp modelId="{E88C7D92-E618-4B1B-B29E-19F3DBCC3A22}">
      <dsp:nvSpPr>
        <dsp:cNvPr id="0" name=""/>
        <dsp:cNvSpPr/>
      </dsp:nvSpPr>
      <dsp:spPr>
        <a:xfrm>
          <a:off x="57310" y="2713516"/>
          <a:ext cx="1080690" cy="689391"/>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bg-BG" sz="1200" kern="1200"/>
            <a:t>Паралелни кредити от търговски банки </a:t>
          </a:r>
        </a:p>
      </dsp:txBody>
      <dsp:txXfrm>
        <a:off x="57310" y="2713516"/>
        <a:ext cx="1080690" cy="689391"/>
      </dsp:txXfrm>
    </dsp:sp>
    <dsp:sp modelId="{FF00E875-B9B5-431B-9603-3C8528B9DD7B}">
      <dsp:nvSpPr>
        <dsp:cNvPr id="0" name=""/>
        <dsp:cNvSpPr/>
      </dsp:nvSpPr>
      <dsp:spPr>
        <a:xfrm>
          <a:off x="3012919" y="1466681"/>
          <a:ext cx="1761175" cy="952257"/>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bg-BG" sz="1200" kern="1200"/>
            <a:t>Директни  кредити за проекти във ВиК сектора</a:t>
          </a:r>
        </a:p>
      </dsp:txBody>
      <dsp:txXfrm>
        <a:off x="3012919" y="1466681"/>
        <a:ext cx="1761175" cy="952257"/>
      </dsp:txXfrm>
    </dsp:sp>
    <dsp:sp modelId="{B818DCD8-5B4A-41DB-A50E-2F5141ACA048}">
      <dsp:nvSpPr>
        <dsp:cNvPr id="0" name=""/>
        <dsp:cNvSpPr/>
      </dsp:nvSpPr>
      <dsp:spPr>
        <a:xfrm>
          <a:off x="2402366" y="2668981"/>
          <a:ext cx="1378783" cy="689391"/>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bg-BG" sz="1200" kern="1200"/>
            <a:t>ВиК дружества</a:t>
          </a:r>
        </a:p>
      </dsp:txBody>
      <dsp:txXfrm>
        <a:off x="2402366" y="2668981"/>
        <a:ext cx="1378783" cy="68939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9268762-CF50-4335-9C9D-F40307B26A50}">
      <dsp:nvSpPr>
        <dsp:cNvPr id="0" name=""/>
        <dsp:cNvSpPr/>
      </dsp:nvSpPr>
      <dsp:spPr>
        <a:xfrm>
          <a:off x="1332506" y="296788"/>
          <a:ext cx="1112677" cy="742155"/>
        </a:xfrm>
        <a:prstGeom prst="rect">
          <a:avLst/>
        </a:prstGeom>
        <a:solidFill>
          <a:schemeClr val="accent6">
            <a:alpha val="90000"/>
            <a:tint val="40000"/>
            <a:hueOff val="0"/>
            <a:satOff val="0"/>
            <a:lumOff val="0"/>
            <a:alphaOff val="0"/>
          </a:schemeClr>
        </a:solidFill>
        <a:ln w="6350" cap="flat" cmpd="sng" algn="ctr">
          <a:solidFill>
            <a:schemeClr val="l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4445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0" tIns="71120" rIns="71120" bIns="71120" numCol="1" spcCol="1270" anchor="ctr" anchorCtr="0">
          <a:noAutofit/>
        </a:bodyPr>
        <a:lstStyle/>
        <a:p>
          <a:pPr lvl="0" algn="ctr" defTabSz="444500">
            <a:lnSpc>
              <a:spcPct val="90000"/>
            </a:lnSpc>
            <a:spcBef>
              <a:spcPct val="0"/>
            </a:spcBef>
            <a:spcAft>
              <a:spcPct val="35000"/>
            </a:spcAft>
          </a:pPr>
          <a:r>
            <a:rPr lang="bg-BG" sz="1000" kern="1200">
              <a:latin typeface="Calibri"/>
              <a:ea typeface="+mn-ea"/>
              <a:cs typeface="+mn-cs"/>
            </a:rPr>
            <a:t>ОПОС 2014-2020  г.</a:t>
          </a:r>
        </a:p>
      </dsp:txBody>
      <dsp:txXfrm>
        <a:off x="1510534" y="296788"/>
        <a:ext cx="934649" cy="742155"/>
      </dsp:txXfrm>
    </dsp:sp>
    <dsp:sp modelId="{057955A9-9622-4B7C-ABF0-340D6D8DC0DE}">
      <dsp:nvSpPr>
        <dsp:cNvPr id="0" name=""/>
        <dsp:cNvSpPr/>
      </dsp:nvSpPr>
      <dsp:spPr>
        <a:xfrm>
          <a:off x="1332506" y="1038944"/>
          <a:ext cx="1112677" cy="742155"/>
        </a:xfrm>
        <a:prstGeom prst="rect">
          <a:avLst/>
        </a:prstGeom>
        <a:solidFill>
          <a:schemeClr val="accent6">
            <a:alpha val="90000"/>
            <a:tint val="40000"/>
            <a:hueOff val="0"/>
            <a:satOff val="0"/>
            <a:lumOff val="0"/>
            <a:alphaOff val="0"/>
          </a:schemeClr>
        </a:solidFill>
        <a:ln w="6350" cap="flat" cmpd="sng" algn="ctr">
          <a:solidFill>
            <a:schemeClr val="l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4445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0" tIns="71120" rIns="71120" bIns="71120" numCol="1" spcCol="1270" anchor="ctr" anchorCtr="0">
          <a:noAutofit/>
        </a:bodyPr>
        <a:lstStyle/>
        <a:p>
          <a:pPr lvl="0" algn="ctr" defTabSz="444500">
            <a:lnSpc>
              <a:spcPct val="90000"/>
            </a:lnSpc>
            <a:spcBef>
              <a:spcPct val="0"/>
            </a:spcBef>
            <a:spcAft>
              <a:spcPct val="35000"/>
            </a:spcAft>
          </a:pPr>
          <a:r>
            <a:rPr lang="bg-BG" sz="1000" kern="1200">
              <a:latin typeface="Calibri"/>
              <a:ea typeface="+mn-ea"/>
              <a:cs typeface="+mn-cs"/>
            </a:rPr>
            <a:t>Подчинен капитал </a:t>
          </a:r>
        </a:p>
      </dsp:txBody>
      <dsp:txXfrm>
        <a:off x="1510534" y="1038944"/>
        <a:ext cx="934649" cy="742155"/>
      </dsp:txXfrm>
    </dsp:sp>
    <dsp:sp modelId="{24E05DCC-03AF-4C64-8C6E-F9F09DF86CA6}">
      <dsp:nvSpPr>
        <dsp:cNvPr id="0" name=""/>
        <dsp:cNvSpPr/>
      </dsp:nvSpPr>
      <dsp:spPr>
        <a:xfrm>
          <a:off x="739078" y="74"/>
          <a:ext cx="741784" cy="741784"/>
        </a:xfrm>
        <a:prstGeom prst="ellipse">
          <a:avLst/>
        </a:prstGeom>
        <a:gradFill rotWithShape="0">
          <a:gsLst>
            <a:gs pos="0">
              <a:schemeClr val="accent6">
                <a:shade val="80000"/>
                <a:hueOff val="0"/>
                <a:satOff val="0"/>
                <a:lumOff val="0"/>
                <a:alphaOff val="0"/>
                <a:satMod val="103000"/>
                <a:lumMod val="102000"/>
                <a:tint val="94000"/>
              </a:schemeClr>
            </a:gs>
            <a:gs pos="50000">
              <a:schemeClr val="accent6">
                <a:shade val="80000"/>
                <a:hueOff val="0"/>
                <a:satOff val="0"/>
                <a:lumOff val="0"/>
                <a:alphaOff val="0"/>
                <a:satMod val="110000"/>
                <a:lumMod val="100000"/>
                <a:shade val="100000"/>
              </a:schemeClr>
            </a:gs>
            <a:gs pos="100000">
              <a:schemeClr val="accent6">
                <a:shade val="80000"/>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bg-BG" sz="1800" kern="1200">
              <a:latin typeface="Calibri"/>
              <a:ea typeface="+mn-ea"/>
              <a:cs typeface="+mn-cs"/>
            </a:rPr>
            <a:t>ЕФРР</a:t>
          </a:r>
        </a:p>
      </dsp:txBody>
      <dsp:txXfrm>
        <a:off x="847710" y="108706"/>
        <a:ext cx="524520" cy="524520"/>
      </dsp:txXfrm>
    </dsp:sp>
    <dsp:sp modelId="{DF6C0483-70DC-4C50-A871-4025E8247335}">
      <dsp:nvSpPr>
        <dsp:cNvPr id="0" name=""/>
        <dsp:cNvSpPr/>
      </dsp:nvSpPr>
      <dsp:spPr>
        <a:xfrm>
          <a:off x="3186968" y="296788"/>
          <a:ext cx="1112677" cy="742155"/>
        </a:xfrm>
        <a:prstGeom prst="rect">
          <a:avLst/>
        </a:prstGeom>
        <a:solidFill>
          <a:schemeClr val="accent6">
            <a:alpha val="90000"/>
            <a:tint val="40000"/>
            <a:hueOff val="0"/>
            <a:satOff val="0"/>
            <a:lumOff val="0"/>
            <a:alphaOff val="0"/>
          </a:schemeClr>
        </a:solidFill>
        <a:ln w="6350" cap="flat" cmpd="sng" algn="ctr">
          <a:solidFill>
            <a:schemeClr val="l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4445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0" tIns="71120" rIns="71120" bIns="71120" numCol="1" spcCol="1270" anchor="ctr" anchorCtr="0">
          <a:noAutofit/>
        </a:bodyPr>
        <a:lstStyle/>
        <a:p>
          <a:pPr lvl="0" algn="ctr" defTabSz="444500">
            <a:lnSpc>
              <a:spcPct val="90000"/>
            </a:lnSpc>
            <a:spcBef>
              <a:spcPct val="0"/>
            </a:spcBef>
            <a:spcAft>
              <a:spcPct val="35000"/>
            </a:spcAft>
          </a:pPr>
          <a:r>
            <a:rPr lang="bg-BG" sz="1000" kern="1200">
              <a:latin typeface="Calibri"/>
              <a:ea typeface="+mn-ea"/>
              <a:cs typeface="+mn-cs"/>
            </a:rPr>
            <a:t>Международни финансови институции</a:t>
          </a:r>
        </a:p>
      </dsp:txBody>
      <dsp:txXfrm>
        <a:off x="3364997" y="296788"/>
        <a:ext cx="934649" cy="742155"/>
      </dsp:txXfrm>
    </dsp:sp>
    <dsp:sp modelId="{CDE9EBED-1844-4499-9007-5BB5618E49E8}">
      <dsp:nvSpPr>
        <dsp:cNvPr id="0" name=""/>
        <dsp:cNvSpPr/>
      </dsp:nvSpPr>
      <dsp:spPr>
        <a:xfrm>
          <a:off x="3186968" y="1038944"/>
          <a:ext cx="1112677" cy="742155"/>
        </a:xfrm>
        <a:prstGeom prst="rect">
          <a:avLst/>
        </a:prstGeom>
        <a:solidFill>
          <a:schemeClr val="accent6">
            <a:alpha val="90000"/>
            <a:tint val="40000"/>
            <a:hueOff val="0"/>
            <a:satOff val="0"/>
            <a:lumOff val="0"/>
            <a:alphaOff val="0"/>
          </a:schemeClr>
        </a:solidFill>
        <a:ln w="6350" cap="flat" cmpd="sng" algn="ctr">
          <a:solidFill>
            <a:schemeClr val="l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4445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0" tIns="71120" rIns="71120" bIns="71120" numCol="1" spcCol="1270" anchor="ctr" anchorCtr="0">
          <a:noAutofit/>
        </a:bodyPr>
        <a:lstStyle/>
        <a:p>
          <a:pPr lvl="0" algn="ctr" defTabSz="444500">
            <a:lnSpc>
              <a:spcPct val="90000"/>
            </a:lnSpc>
            <a:spcBef>
              <a:spcPct val="0"/>
            </a:spcBef>
            <a:spcAft>
              <a:spcPct val="35000"/>
            </a:spcAft>
          </a:pPr>
          <a:r>
            <a:rPr lang="bg-BG" sz="1000" kern="1200">
              <a:latin typeface="Calibri"/>
              <a:ea typeface="+mn-ea"/>
              <a:cs typeface="+mn-cs"/>
            </a:rPr>
            <a:t>Основен капитал</a:t>
          </a:r>
        </a:p>
      </dsp:txBody>
      <dsp:txXfrm>
        <a:off x="3364997" y="1038944"/>
        <a:ext cx="934649" cy="742155"/>
      </dsp:txXfrm>
    </dsp:sp>
    <dsp:sp modelId="{8E47FB41-B1F1-4A02-9286-689CDEA6B390}">
      <dsp:nvSpPr>
        <dsp:cNvPr id="0" name=""/>
        <dsp:cNvSpPr/>
      </dsp:nvSpPr>
      <dsp:spPr>
        <a:xfrm>
          <a:off x="2593540" y="74"/>
          <a:ext cx="741784" cy="741784"/>
        </a:xfrm>
        <a:prstGeom prst="ellipse">
          <a:avLst/>
        </a:prstGeom>
        <a:gradFill rotWithShape="0">
          <a:gsLst>
            <a:gs pos="0">
              <a:schemeClr val="accent6">
                <a:shade val="80000"/>
                <a:hueOff val="321280"/>
                <a:satOff val="-12909"/>
                <a:lumOff val="27628"/>
                <a:alphaOff val="0"/>
                <a:satMod val="103000"/>
                <a:lumMod val="102000"/>
                <a:tint val="94000"/>
              </a:schemeClr>
            </a:gs>
            <a:gs pos="50000">
              <a:schemeClr val="accent6">
                <a:shade val="80000"/>
                <a:hueOff val="321280"/>
                <a:satOff val="-12909"/>
                <a:lumOff val="27628"/>
                <a:alphaOff val="0"/>
                <a:satMod val="110000"/>
                <a:lumMod val="100000"/>
                <a:shade val="100000"/>
              </a:schemeClr>
            </a:gs>
            <a:gs pos="100000">
              <a:schemeClr val="accent6">
                <a:shade val="80000"/>
                <a:hueOff val="321280"/>
                <a:satOff val="-12909"/>
                <a:lumOff val="27628"/>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bg-BG" sz="1800" kern="1200">
              <a:latin typeface="Calibri"/>
              <a:ea typeface="+mn-ea"/>
              <a:cs typeface="+mn-cs"/>
            </a:rPr>
            <a:t>ФИ</a:t>
          </a:r>
        </a:p>
      </dsp:txBody>
      <dsp:txXfrm>
        <a:off x="2702172" y="108706"/>
        <a:ext cx="524520" cy="524520"/>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6E80A7A-7795-4F5F-AE6A-D6D4ADDFDA94}">
      <dsp:nvSpPr>
        <dsp:cNvPr id="0" name=""/>
        <dsp:cNvSpPr/>
      </dsp:nvSpPr>
      <dsp:spPr>
        <a:xfrm>
          <a:off x="2812299" y="2778261"/>
          <a:ext cx="91440" cy="324687"/>
        </a:xfrm>
        <a:custGeom>
          <a:avLst/>
          <a:gdLst/>
          <a:ahLst/>
          <a:cxnLst/>
          <a:rect l="0" t="0" r="0" b="0"/>
          <a:pathLst>
            <a:path>
              <a:moveTo>
                <a:pt x="45720" y="0"/>
              </a:moveTo>
              <a:lnTo>
                <a:pt x="45720" y="324687"/>
              </a:lnTo>
            </a:path>
          </a:pathLst>
        </a:custGeom>
        <a:noFill/>
        <a:ln w="12700" cap="flat" cmpd="sng" algn="ctr">
          <a:solidFill>
            <a:schemeClr val="accent6">
              <a:shade val="8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9CE9D7FD-1CB9-4D29-9FCF-20CB9680DF5E}">
      <dsp:nvSpPr>
        <dsp:cNvPr id="0" name=""/>
        <dsp:cNvSpPr/>
      </dsp:nvSpPr>
      <dsp:spPr>
        <a:xfrm>
          <a:off x="2812299" y="1744659"/>
          <a:ext cx="91440" cy="324687"/>
        </a:xfrm>
        <a:custGeom>
          <a:avLst/>
          <a:gdLst/>
          <a:ahLst/>
          <a:cxnLst/>
          <a:rect l="0" t="0" r="0" b="0"/>
          <a:pathLst>
            <a:path>
              <a:moveTo>
                <a:pt x="45720" y="0"/>
              </a:moveTo>
              <a:lnTo>
                <a:pt x="45720" y="324687"/>
              </a:lnTo>
            </a:path>
          </a:pathLst>
        </a:custGeom>
        <a:noFill/>
        <a:ln w="12700" cap="flat" cmpd="sng" algn="ctr">
          <a:solidFill>
            <a:schemeClr val="accent6">
              <a:shade val="8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D4066C18-CF3A-4538-9884-A71F6FF29C9A}">
      <dsp:nvSpPr>
        <dsp:cNvPr id="0" name=""/>
        <dsp:cNvSpPr/>
      </dsp:nvSpPr>
      <dsp:spPr>
        <a:xfrm>
          <a:off x="2812299" y="711056"/>
          <a:ext cx="91440" cy="324687"/>
        </a:xfrm>
        <a:custGeom>
          <a:avLst/>
          <a:gdLst/>
          <a:ahLst/>
          <a:cxnLst/>
          <a:rect l="0" t="0" r="0" b="0"/>
          <a:pathLst>
            <a:path>
              <a:moveTo>
                <a:pt x="45720" y="0"/>
              </a:moveTo>
              <a:lnTo>
                <a:pt x="45720" y="324687"/>
              </a:lnTo>
            </a:path>
          </a:pathLst>
        </a:custGeom>
        <a:noFill/>
        <a:ln w="12700" cap="flat" cmpd="sng" algn="ctr">
          <a:solidFill>
            <a:schemeClr val="accent6">
              <a:shade val="60000"/>
              <a:hueOff val="0"/>
              <a:satOff val="0"/>
              <a:lumOff val="0"/>
              <a:alphaOff val="0"/>
            </a:schemeClr>
          </a:solidFill>
          <a:prstDash val="solid"/>
          <a:miter lim="800000"/>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AA32717-F3B7-49BA-A651-35952E408DA3}">
      <dsp:nvSpPr>
        <dsp:cNvPr id="0" name=""/>
        <dsp:cNvSpPr/>
      </dsp:nvSpPr>
      <dsp:spPr>
        <a:xfrm>
          <a:off x="2299817" y="2140"/>
          <a:ext cx="1116402" cy="708915"/>
        </a:xfrm>
        <a:prstGeom prst="roundRect">
          <a:avLst>
            <a:gd name="adj" fmla="val 10000"/>
          </a:avLst>
        </a:prstGeom>
        <a:solidFill>
          <a:schemeClr val="accent6">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sp>
    <dsp:sp modelId="{755D597D-6769-41AA-BF1F-C2BE5C6C908B}">
      <dsp:nvSpPr>
        <dsp:cNvPr id="0" name=""/>
        <dsp:cNvSpPr/>
      </dsp:nvSpPr>
      <dsp:spPr>
        <a:xfrm>
          <a:off x="2423862" y="119983"/>
          <a:ext cx="1116402" cy="708915"/>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kern="1200"/>
            <a:t>Гаранционен фонд за проекти в сектор Отпадъци</a:t>
          </a:r>
        </a:p>
      </dsp:txBody>
      <dsp:txXfrm>
        <a:off x="2444625" y="140746"/>
        <a:ext cx="1074876" cy="667389"/>
      </dsp:txXfrm>
    </dsp:sp>
    <dsp:sp modelId="{18897E06-8868-44B7-A723-FA98782204E1}">
      <dsp:nvSpPr>
        <dsp:cNvPr id="0" name=""/>
        <dsp:cNvSpPr/>
      </dsp:nvSpPr>
      <dsp:spPr>
        <a:xfrm>
          <a:off x="2299817" y="1035743"/>
          <a:ext cx="1116402" cy="708915"/>
        </a:xfrm>
        <a:prstGeom prst="roundRect">
          <a:avLst>
            <a:gd name="adj" fmla="val 10000"/>
          </a:avLst>
        </a:prstGeom>
        <a:solidFill>
          <a:schemeClr val="accent6">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sp>
    <dsp:sp modelId="{980902E6-9E50-40FA-9C63-0AE43A2F4B91}">
      <dsp:nvSpPr>
        <dsp:cNvPr id="0" name=""/>
        <dsp:cNvSpPr/>
      </dsp:nvSpPr>
      <dsp:spPr>
        <a:xfrm>
          <a:off x="2423862" y="1153586"/>
          <a:ext cx="1116402" cy="708915"/>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kern="1200"/>
            <a:t>Гаранции за поемане на 80% от кредитния риск</a:t>
          </a:r>
        </a:p>
      </dsp:txBody>
      <dsp:txXfrm>
        <a:off x="2444625" y="1174349"/>
        <a:ext cx="1074876" cy="667389"/>
      </dsp:txXfrm>
    </dsp:sp>
    <dsp:sp modelId="{7B6704DE-A514-4413-B2FE-F08E1ED738FA}">
      <dsp:nvSpPr>
        <dsp:cNvPr id="0" name=""/>
        <dsp:cNvSpPr/>
      </dsp:nvSpPr>
      <dsp:spPr>
        <a:xfrm>
          <a:off x="2299817" y="2069346"/>
          <a:ext cx="1116402" cy="708915"/>
        </a:xfrm>
        <a:prstGeom prst="roundRect">
          <a:avLst>
            <a:gd name="adj" fmla="val 10000"/>
          </a:avLst>
        </a:prstGeom>
        <a:solidFill>
          <a:schemeClr val="accent6">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sp>
    <dsp:sp modelId="{7268C5AF-3990-4C2F-823C-DB43BB8CCB37}">
      <dsp:nvSpPr>
        <dsp:cNvPr id="0" name=""/>
        <dsp:cNvSpPr/>
      </dsp:nvSpPr>
      <dsp:spPr>
        <a:xfrm>
          <a:off x="2423862" y="2187188"/>
          <a:ext cx="1116402" cy="708915"/>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kern="1200"/>
            <a:t>Заеми от търговски банки</a:t>
          </a:r>
        </a:p>
      </dsp:txBody>
      <dsp:txXfrm>
        <a:off x="2444625" y="2207951"/>
        <a:ext cx="1074876" cy="667389"/>
      </dsp:txXfrm>
    </dsp:sp>
    <dsp:sp modelId="{6F0BD6E6-9FDD-4563-87F4-553586407D4D}">
      <dsp:nvSpPr>
        <dsp:cNvPr id="0" name=""/>
        <dsp:cNvSpPr/>
      </dsp:nvSpPr>
      <dsp:spPr>
        <a:xfrm>
          <a:off x="2299817" y="3102949"/>
          <a:ext cx="1116402" cy="708915"/>
        </a:xfrm>
        <a:prstGeom prst="roundRect">
          <a:avLst>
            <a:gd name="adj" fmla="val 10000"/>
          </a:avLst>
        </a:prstGeom>
        <a:solidFill>
          <a:schemeClr val="accent6">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sp>
    <dsp:sp modelId="{93CF7AAA-E153-4612-8704-523593D1360D}">
      <dsp:nvSpPr>
        <dsp:cNvPr id="0" name=""/>
        <dsp:cNvSpPr/>
      </dsp:nvSpPr>
      <dsp:spPr>
        <a:xfrm>
          <a:off x="2423862" y="3220791"/>
          <a:ext cx="1116402" cy="708915"/>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kern="1200"/>
            <a:t>Бенефициенти в сектор Отпадъци</a:t>
          </a:r>
        </a:p>
      </dsp:txBody>
      <dsp:txXfrm>
        <a:off x="2444625" y="3241554"/>
        <a:ext cx="1074876" cy="667389"/>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9216B3-4C6E-4757-8534-247C13254924}">
      <dsp:nvSpPr>
        <dsp:cNvPr id="0" name=""/>
        <dsp:cNvSpPr/>
      </dsp:nvSpPr>
      <dsp:spPr>
        <a:xfrm>
          <a:off x="402656" y="0"/>
          <a:ext cx="4563443" cy="2700068"/>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42F0F914-887C-4202-B7A3-21B829219031}">
      <dsp:nvSpPr>
        <dsp:cNvPr id="0" name=""/>
        <dsp:cNvSpPr/>
      </dsp:nvSpPr>
      <dsp:spPr>
        <a:xfrm>
          <a:off x="200" y="810020"/>
          <a:ext cx="1647018" cy="1080027"/>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kern="1200"/>
            <a:t>Проследяване на стойностите на индикаторите</a:t>
          </a:r>
          <a:endParaRPr lang="en-US" sz="1000" kern="1200"/>
        </a:p>
        <a:p>
          <a:pPr lvl="0" algn="ctr" defTabSz="444500">
            <a:lnSpc>
              <a:spcPct val="90000"/>
            </a:lnSpc>
            <a:spcBef>
              <a:spcPct val="0"/>
            </a:spcBef>
            <a:spcAft>
              <a:spcPct val="35000"/>
            </a:spcAft>
          </a:pPr>
          <a:r>
            <a:rPr lang="bg-BG" sz="1000" kern="1200"/>
            <a:t>Друга информация и данни</a:t>
          </a:r>
          <a:endParaRPr lang="en-US" sz="1000" kern="1200"/>
        </a:p>
        <a:p>
          <a:pPr lvl="0" algn="ctr" defTabSz="444500">
            <a:lnSpc>
              <a:spcPct val="90000"/>
            </a:lnSpc>
            <a:spcBef>
              <a:spcPct val="0"/>
            </a:spcBef>
            <a:spcAft>
              <a:spcPct val="35000"/>
            </a:spcAft>
          </a:pPr>
          <a:r>
            <a:rPr lang="bg-BG" sz="1000" kern="1200"/>
            <a:t>Доклади от оценки</a:t>
          </a:r>
          <a:endParaRPr lang="bg-BG" sz="900" kern="1200"/>
        </a:p>
      </dsp:txBody>
      <dsp:txXfrm>
        <a:off x="52923" y="862743"/>
        <a:ext cx="1541572" cy="974581"/>
      </dsp:txXfrm>
    </dsp:sp>
    <dsp:sp modelId="{068D350F-0274-41F5-9604-0C7C645A20AD}">
      <dsp:nvSpPr>
        <dsp:cNvPr id="0" name=""/>
        <dsp:cNvSpPr/>
      </dsp:nvSpPr>
      <dsp:spPr>
        <a:xfrm>
          <a:off x="1860869" y="810020"/>
          <a:ext cx="1647018" cy="1080027"/>
        </a:xfrm>
        <a:prstGeom prst="roundRec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МОНИТОРИНГ</a:t>
          </a:r>
          <a:endParaRPr lang="en-US" sz="1000" kern="1200"/>
        </a:p>
        <a:p>
          <a:pPr lvl="0" algn="ctr" defTabSz="444500">
            <a:lnSpc>
              <a:spcPct val="90000"/>
            </a:lnSpc>
            <a:spcBef>
              <a:spcPct val="0"/>
            </a:spcBef>
            <a:spcAft>
              <a:spcPct val="35000"/>
            </a:spcAft>
          </a:pPr>
          <a:endParaRPr lang="en-US" sz="1000" kern="1200"/>
        </a:p>
        <a:p>
          <a:pPr lvl="0" algn="ctr" defTabSz="444500">
            <a:lnSpc>
              <a:spcPct val="90000"/>
            </a:lnSpc>
            <a:spcBef>
              <a:spcPct val="0"/>
            </a:spcBef>
            <a:spcAft>
              <a:spcPct val="35000"/>
            </a:spcAft>
          </a:pPr>
          <a:r>
            <a:rPr lang="bg-BG" sz="1000" kern="1200"/>
            <a:t>Анализ и вземане на решения</a:t>
          </a:r>
          <a:endParaRPr lang="bg-BG" sz="900" kern="1200"/>
        </a:p>
      </dsp:txBody>
      <dsp:txXfrm>
        <a:off x="1913592" y="862743"/>
        <a:ext cx="1541572" cy="974581"/>
      </dsp:txXfrm>
    </dsp:sp>
    <dsp:sp modelId="{8C342B56-B3E8-46EF-833A-8516AE3E8739}">
      <dsp:nvSpPr>
        <dsp:cNvPr id="0" name=""/>
        <dsp:cNvSpPr/>
      </dsp:nvSpPr>
      <dsp:spPr>
        <a:xfrm>
          <a:off x="3721537" y="810020"/>
          <a:ext cx="1647018" cy="1080027"/>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kern="1200"/>
            <a:t>Докладване</a:t>
          </a:r>
          <a:endParaRPr lang="en-US" sz="1000" kern="1200"/>
        </a:p>
        <a:p>
          <a:pPr lvl="0" algn="ctr" defTabSz="444500">
            <a:lnSpc>
              <a:spcPct val="90000"/>
            </a:lnSpc>
            <a:spcBef>
              <a:spcPct val="0"/>
            </a:spcBef>
            <a:spcAft>
              <a:spcPct val="35000"/>
            </a:spcAft>
          </a:pPr>
          <a:r>
            <a:rPr lang="bg-BG" sz="1000" kern="1200"/>
            <a:t>Разпространяване на резултатите</a:t>
          </a:r>
          <a:endParaRPr lang="en-US" sz="1000" kern="1200"/>
        </a:p>
        <a:p>
          <a:pPr lvl="0" algn="ctr" defTabSz="444500">
            <a:lnSpc>
              <a:spcPct val="90000"/>
            </a:lnSpc>
            <a:spcBef>
              <a:spcPct val="0"/>
            </a:spcBef>
            <a:spcAft>
              <a:spcPct val="35000"/>
            </a:spcAft>
          </a:pPr>
          <a:r>
            <a:rPr lang="bg-BG" sz="1000" kern="1200"/>
            <a:t>Кореткивни/превантивни действия и мерки, ако е необходимо</a:t>
          </a:r>
          <a:endParaRPr lang="bg-BG" sz="900" kern="1200"/>
        </a:p>
      </dsp:txBody>
      <dsp:txXfrm>
        <a:off x="3774260" y="862743"/>
        <a:ext cx="1541572" cy="97458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DE13976-F18C-49E8-B55E-24094087063C}">
      <dsp:nvSpPr>
        <dsp:cNvPr id="0" name=""/>
        <dsp:cNvSpPr/>
      </dsp:nvSpPr>
      <dsp:spPr>
        <a:xfrm>
          <a:off x="430768" y="0"/>
          <a:ext cx="4882038" cy="2762250"/>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33A933A-96EB-4505-8627-9C132E723BB9}">
      <dsp:nvSpPr>
        <dsp:cNvPr id="0" name=""/>
        <dsp:cNvSpPr/>
      </dsp:nvSpPr>
      <dsp:spPr>
        <a:xfrm>
          <a:off x="0" y="828675"/>
          <a:ext cx="1723072" cy="110490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b="1" kern="1200"/>
            <a:t>Събиране на информация/данни</a:t>
          </a:r>
        </a:p>
      </dsp:txBody>
      <dsp:txXfrm>
        <a:off x="53937" y="882612"/>
        <a:ext cx="1615198" cy="997026"/>
      </dsp:txXfrm>
    </dsp:sp>
    <dsp:sp modelId="{D54808D9-8115-4A48-80B2-6222E4C95943}">
      <dsp:nvSpPr>
        <dsp:cNvPr id="0" name=""/>
        <dsp:cNvSpPr/>
      </dsp:nvSpPr>
      <dsp:spPr>
        <a:xfrm>
          <a:off x="2010251" y="828675"/>
          <a:ext cx="1723072" cy="1104900"/>
        </a:xfrm>
        <a:prstGeom prst="roundRect">
          <a:avLst/>
        </a:prstGeom>
        <a:solidFill>
          <a:schemeClr val="accent5">
            <a:hueOff val="-3676672"/>
            <a:satOff val="-5114"/>
            <a:lumOff val="-196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b="1" kern="1200"/>
            <a:t>Оперативни доклади</a:t>
          </a:r>
        </a:p>
      </dsp:txBody>
      <dsp:txXfrm>
        <a:off x="2064188" y="882612"/>
        <a:ext cx="1615198" cy="997026"/>
      </dsp:txXfrm>
    </dsp:sp>
    <dsp:sp modelId="{65666B9C-E1D6-40D2-A9D9-FE690C028560}">
      <dsp:nvSpPr>
        <dsp:cNvPr id="0" name=""/>
        <dsp:cNvSpPr/>
      </dsp:nvSpPr>
      <dsp:spPr>
        <a:xfrm>
          <a:off x="4020502" y="828675"/>
          <a:ext cx="1723072" cy="1104900"/>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t>Финансови доклади</a:t>
          </a:r>
          <a:endParaRPr lang="bg-BG" sz="900" kern="1200"/>
        </a:p>
      </dsp:txBody>
      <dsp:txXfrm>
        <a:off x="4074439" y="882612"/>
        <a:ext cx="1615198" cy="997026"/>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DE13976-F18C-49E8-B55E-24094087063C}">
      <dsp:nvSpPr>
        <dsp:cNvPr id="0" name=""/>
        <dsp:cNvSpPr/>
      </dsp:nvSpPr>
      <dsp:spPr>
        <a:xfrm>
          <a:off x="430768" y="0"/>
          <a:ext cx="4882038" cy="2952750"/>
        </a:xfrm>
        <a:prstGeom prst="rightArrow">
          <a:avLst/>
        </a:prstGeom>
        <a:solidFill>
          <a:srgbClr val="4472C4">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sp>
    <dsp:sp modelId="{D33A933A-96EB-4505-8627-9C132E723BB9}">
      <dsp:nvSpPr>
        <dsp:cNvPr id="0" name=""/>
        <dsp:cNvSpPr/>
      </dsp:nvSpPr>
      <dsp:spPr>
        <a:xfrm>
          <a:off x="2804" y="885825"/>
          <a:ext cx="1733168" cy="1181099"/>
        </a:xfrm>
        <a:prstGeom prst="roundRect">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solidFill>
                <a:sysClr val="window" lastClr="FFFFFF"/>
              </a:solidFill>
              <a:latin typeface="Calibri"/>
              <a:ea typeface="+mn-ea"/>
              <a:cs typeface="+mn-cs"/>
            </a:rPr>
            <a:t>Очаквани резултати</a:t>
          </a:r>
        </a:p>
        <a:p>
          <a:pPr lvl="0" algn="ctr" defTabSz="444500">
            <a:lnSpc>
              <a:spcPct val="90000"/>
            </a:lnSpc>
            <a:spcBef>
              <a:spcPct val="0"/>
            </a:spcBef>
            <a:spcAft>
              <a:spcPct val="35000"/>
            </a:spcAft>
          </a:pPr>
          <a:r>
            <a:rPr lang="bg-BG" sz="900" kern="1200">
              <a:solidFill>
                <a:sysClr val="window" lastClr="FFFFFF"/>
              </a:solidFill>
              <a:latin typeface="Calibri"/>
              <a:ea typeface="+mn-ea"/>
              <a:cs typeface="+mn-cs"/>
            </a:rPr>
            <a:t>Идентифициране и остойностяване на очакваните резултати от ФИ чрез индикатори за резултат, индикатори за продукт и индикатори за изпълнение на ФИ</a:t>
          </a:r>
        </a:p>
      </dsp:txBody>
      <dsp:txXfrm>
        <a:off x="60461" y="943482"/>
        <a:ext cx="1617854" cy="1065785"/>
      </dsp:txXfrm>
    </dsp:sp>
    <dsp:sp modelId="{D54808D9-8115-4A48-80B2-6222E4C95943}">
      <dsp:nvSpPr>
        <dsp:cNvPr id="0" name=""/>
        <dsp:cNvSpPr/>
      </dsp:nvSpPr>
      <dsp:spPr>
        <a:xfrm>
          <a:off x="2005203" y="885825"/>
          <a:ext cx="1733168" cy="1181099"/>
        </a:xfrm>
        <a:prstGeom prst="roundRect">
          <a:avLst/>
        </a:prstGeom>
        <a:solidFill>
          <a:srgbClr val="4472C4">
            <a:hueOff val="-3676672"/>
            <a:satOff val="-5114"/>
            <a:lumOff val="-1961"/>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solidFill>
                <a:sysClr val="window" lastClr="FFFFFF"/>
              </a:solidFill>
              <a:latin typeface="Calibri"/>
              <a:ea typeface="+mn-ea"/>
              <a:cs typeface="+mn-cs"/>
            </a:rPr>
            <a:t>Стратегически цели</a:t>
          </a:r>
        </a:p>
        <a:p>
          <a:pPr lvl="0" algn="ctr" defTabSz="444500">
            <a:lnSpc>
              <a:spcPct val="90000"/>
            </a:lnSpc>
            <a:spcBef>
              <a:spcPct val="0"/>
            </a:spcBef>
            <a:spcAft>
              <a:spcPct val="35000"/>
            </a:spcAft>
          </a:pPr>
          <a:r>
            <a:rPr lang="bg-BG" sz="900" kern="1200">
              <a:solidFill>
                <a:sysClr val="window" lastClr="FFFFFF"/>
              </a:solidFill>
              <a:latin typeface="Calibri"/>
              <a:ea typeface="+mn-ea"/>
              <a:cs typeface="+mn-cs"/>
            </a:rPr>
            <a:t>Определяне начинът по който ФИ ще изпълни стратегическите цели, за които е разработен</a:t>
          </a:r>
        </a:p>
      </dsp:txBody>
      <dsp:txXfrm>
        <a:off x="2062860" y="943482"/>
        <a:ext cx="1617854" cy="1065785"/>
      </dsp:txXfrm>
    </dsp:sp>
    <dsp:sp modelId="{65666B9C-E1D6-40D2-A9D9-FE690C028560}">
      <dsp:nvSpPr>
        <dsp:cNvPr id="0" name=""/>
        <dsp:cNvSpPr/>
      </dsp:nvSpPr>
      <dsp:spPr>
        <a:xfrm>
          <a:off x="4007601" y="885825"/>
          <a:ext cx="1733168" cy="1181099"/>
        </a:xfrm>
        <a:prstGeom prst="roundRect">
          <a:avLst/>
        </a:prstGeom>
        <a:solidFill>
          <a:srgbClr val="4472C4">
            <a:hueOff val="-7353344"/>
            <a:satOff val="-10228"/>
            <a:lumOff val="-3922"/>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b="1" kern="1200">
              <a:solidFill>
                <a:sysClr val="window" lastClr="FFFFFF"/>
              </a:solidFill>
              <a:latin typeface="Calibri"/>
              <a:ea typeface="+mn-ea"/>
              <a:cs typeface="+mn-cs"/>
            </a:rPr>
            <a:t>Система за мониторинг</a:t>
          </a:r>
        </a:p>
        <a:p>
          <a:pPr lvl="0" algn="ctr" defTabSz="444500">
            <a:lnSpc>
              <a:spcPct val="90000"/>
            </a:lnSpc>
            <a:spcBef>
              <a:spcPct val="0"/>
            </a:spcBef>
            <a:spcAft>
              <a:spcPct val="35000"/>
            </a:spcAft>
          </a:pPr>
          <a:r>
            <a:rPr lang="bg-BG" sz="900" kern="1200">
              <a:solidFill>
                <a:sysClr val="window" lastClr="FFFFFF"/>
              </a:solidFill>
              <a:latin typeface="Calibri"/>
              <a:ea typeface="+mn-ea"/>
              <a:cs typeface="+mn-cs"/>
            </a:rPr>
            <a:t>Определяне на система за мониторинг за ефективно наблюдение на ФИ, улесняване процеса на докладване и идентифициране на сферите за подобрение </a:t>
          </a:r>
        </a:p>
      </dsp:txBody>
      <dsp:txXfrm>
        <a:off x="4065258" y="943482"/>
        <a:ext cx="1617854" cy="106578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90AC3D9-7A2F-4E6B-9ED8-38335B1D571D}">
      <dsp:nvSpPr>
        <dsp:cNvPr id="0" name=""/>
        <dsp:cNvSpPr/>
      </dsp:nvSpPr>
      <dsp:spPr>
        <a:xfrm>
          <a:off x="411479" y="0"/>
          <a:ext cx="4663440" cy="3200400"/>
        </a:xfrm>
        <a:prstGeom prst="rightArrow">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6DA8D908-1F62-44F2-A38D-0DFA08599991}">
      <dsp:nvSpPr>
        <dsp:cNvPr id="0" name=""/>
        <dsp:cNvSpPr/>
      </dsp:nvSpPr>
      <dsp:spPr>
        <a:xfrm>
          <a:off x="723840" y="960120"/>
          <a:ext cx="1882199" cy="128016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bg-BG" sz="1200" b="1" kern="1200"/>
            <a:t>Начални стойности</a:t>
          </a:r>
        </a:p>
        <a:p>
          <a:pPr lvl="0" algn="ctr" defTabSz="533400">
            <a:lnSpc>
              <a:spcPct val="90000"/>
            </a:lnSpc>
            <a:spcBef>
              <a:spcPct val="0"/>
            </a:spcBef>
            <a:spcAft>
              <a:spcPct val="35000"/>
            </a:spcAft>
          </a:pPr>
          <a:r>
            <a:rPr lang="bg-BG" sz="1050" kern="1200"/>
            <a:t>Определяне на условията и/или графика за преглед и актуализиране на предварителната оценка при необходимост</a:t>
          </a:r>
        </a:p>
      </dsp:txBody>
      <dsp:txXfrm>
        <a:off x="786332" y="1022612"/>
        <a:ext cx="1757215" cy="1155176"/>
      </dsp:txXfrm>
    </dsp:sp>
    <dsp:sp modelId="{45B7213F-AE17-4674-8A07-D5E6F3300242}">
      <dsp:nvSpPr>
        <dsp:cNvPr id="0" name=""/>
        <dsp:cNvSpPr/>
      </dsp:nvSpPr>
      <dsp:spPr>
        <a:xfrm>
          <a:off x="2880360" y="960120"/>
          <a:ext cx="1882199" cy="1280160"/>
        </a:xfrm>
        <a:prstGeom prst="roundRect">
          <a:avLst/>
        </a:prstGeom>
        <a:solidFill>
          <a:schemeClr val="accent5">
            <a:hueOff val="-7353344"/>
            <a:satOff val="-10228"/>
            <a:lumOff val="-392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bg-BG" sz="1100" b="1" kern="1200"/>
            <a:t>Документиране на данни</a:t>
          </a:r>
        </a:p>
        <a:p>
          <a:pPr lvl="0" algn="ctr" defTabSz="488950">
            <a:lnSpc>
              <a:spcPct val="90000"/>
            </a:lnSpc>
            <a:spcBef>
              <a:spcPct val="0"/>
            </a:spcBef>
            <a:spcAft>
              <a:spcPct val="35000"/>
            </a:spcAft>
          </a:pPr>
          <a:r>
            <a:rPr lang="bg-BG" sz="1050" kern="1200"/>
            <a:t>Документиране на информацията в системата за мониторинг и докладване</a:t>
          </a:r>
        </a:p>
        <a:p>
          <a:pPr lvl="0" algn="ctr" defTabSz="488950">
            <a:lnSpc>
              <a:spcPct val="90000"/>
            </a:lnSpc>
            <a:spcBef>
              <a:spcPct val="0"/>
            </a:spcBef>
            <a:spcAft>
              <a:spcPct val="35000"/>
            </a:spcAft>
          </a:pPr>
          <a:endParaRPr lang="bg-BG" sz="1300" kern="1200"/>
        </a:p>
      </dsp:txBody>
      <dsp:txXfrm>
        <a:off x="2942852" y="1022612"/>
        <a:ext cx="1757215" cy="1155176"/>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7.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9.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3.xml><?xml version="1.0" encoding="utf-8"?>
<dgm:layoutDef xmlns:dgm="http://schemas.openxmlformats.org/drawingml/2006/diagram" xmlns:a="http://schemas.openxmlformats.org/drawingml/2006/main" uniqueId="urn:microsoft.com/office/officeart/2005/8/layout/hList9">
  <dgm:title val=""/>
  <dgm:desc val=""/>
  <dgm:catLst>
    <dgm:cat type="list" pri="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3" srcId="0" destId="1" srcOrd="0" destOrd="0"/>
        <dgm:cxn modelId="4"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1" destId="2" srcOrd="0" destOrd="0"/>
      </dgm:cxnLst>
      <dgm:bg/>
      <dgm:whole/>
    </dgm:dataModel>
  </dgm:styleData>
  <dgm:clrData>
    <dgm:dataModel>
      <dgm:ptLst>
        <dgm:pt modelId="0" type="doc"/>
        <dgm:pt modelId="1"/>
        <dgm:pt modelId="11"/>
        <dgm:pt modelId="12"/>
        <dgm:pt modelId="13"/>
        <dgm:pt modelId="14"/>
        <dgm:pt modelId="2"/>
        <dgm:pt modelId="21"/>
        <dgm:pt modelId="22"/>
        <dgm:pt modelId="23"/>
        <dgm:pt modelId="24"/>
        <dgm:pt modelId="3"/>
        <dgm:pt modelId="31"/>
        <dgm:pt modelId="32"/>
        <dgm:pt modelId="33"/>
        <dgm:pt modelId="34"/>
      </dgm:ptLst>
      <dgm:cxnLst>
        <dgm:cxn modelId="4" srcId="0" destId="1" srcOrd="0" destOrd="0"/>
        <dgm:cxn modelId="5" srcId="0" destId="2" srcOrd="1" destOrd="0"/>
        <dgm:cxn modelId="6" srcId="0" destId="3" srcOrd="1" destOrd="0"/>
        <dgm:cxn modelId="15" srcId="1" destId="11" srcOrd="0" destOrd="0"/>
        <dgm:cxn modelId="16" srcId="1" destId="12" srcOrd="0" destOrd="0"/>
        <dgm:cxn modelId="17" srcId="1" destId="13" srcOrd="0" destOrd="0"/>
        <dgm:cxn modelId="18" srcId="1" destId="14" srcOrd="0" destOrd="0"/>
        <dgm:cxn modelId="25" srcId="2" destId="21" srcOrd="0" destOrd="0"/>
        <dgm:cxn modelId="26" srcId="2" destId="22" srcOrd="0" destOrd="0"/>
        <dgm:cxn modelId="27" srcId="2" destId="23" srcOrd="0" destOrd="0"/>
        <dgm:cxn modelId="28" srcId="2" destId="24" srcOrd="0" destOrd="0"/>
        <dgm:cxn modelId="35" srcId="3" destId="31" srcOrd="0" destOrd="0"/>
        <dgm:cxn modelId="36" srcId="3" destId="32" srcOrd="0" destOrd="0"/>
        <dgm:cxn modelId="37" srcId="3" destId="33" srcOrd="0" destOrd="0"/>
        <dgm:cxn modelId="38" srcId="3" destId="34" srcOrd="0" destOrd="0"/>
      </dgm:cxnLst>
      <dgm:bg/>
      <dgm:whole/>
    </dgm:dataModel>
  </dgm:clrData>
  <dgm:layoutNode name="list">
    <dgm:varLst>
      <dgm:dir/>
      <dgm:animLvl val="lvl"/>
    </dgm:varLst>
    <dgm:choose name="Name0">
      <dgm:if name="Name1" func="var" arg="dir" op="equ" val="norm">
        <dgm:alg type="lin">
          <dgm:param type="linDir" val="fromL"/>
          <dgm:param type="fallback" val="2D"/>
          <dgm:param type="nodeVertAlign" val="t"/>
        </dgm:alg>
      </dgm:if>
      <dgm:else name="Name2">
        <dgm:alg type="lin">
          <dgm:param type="linDir" val="fromR"/>
          <dgm:param type="fallback" val="2D"/>
          <dgm:param type="nodeVertAlign" val="t"/>
        </dgm:alg>
      </dgm:else>
    </dgm:choose>
    <dgm:shape xmlns:r="http://schemas.openxmlformats.org/officeDocument/2006/relationships" r:blip="">
      <dgm:adjLst/>
    </dgm:shape>
    <dgm:presOf/>
    <dgm:constrLst>
      <dgm:constr type="w" for="ch" forName="circle" refType="w" fact="0.5"/>
      <dgm:constr type="w" for="ch" forName="vertFlow" refType="w" fact="0.75"/>
      <dgm:constr type="h" for="des" forName="firstComp" refType="w" refFor="ch" refForName="vertFlow" fact="0.667"/>
      <dgm:constr type="h" for="des" forName="comp" refType="h" refFor="des" refForName="firstComp" op="equ"/>
      <dgm:constr type="h" for="des" forName="topSpace" refType="w" refFor="ch" refForName="circle" op="equ" fact="0.4"/>
      <dgm:constr type="w" for="ch" forName="posSpace" refType="w" fact="0.4"/>
      <dgm:constr type="w" for="ch" forName="negSpace" refType="w" fact="-1.15"/>
      <dgm:constr type="w" for="ch" forName="transSpace" refType="w" fact="0.75"/>
      <dgm:constr type="primFontSz" for="ch" forName="circle" op="equ" val="65"/>
      <dgm:constr type="primFontSz" for="des" forName="firstChildTx" val="65"/>
      <dgm:constr type="primFontSz" for="des" forName="childTx" refType="primFontSz" refFor="des" refForName="firstChildTx" op="equ"/>
    </dgm:constrLst>
    <dgm:ruleLst/>
    <dgm:forEach name="Name3" axis="ch" ptType="node">
      <dgm:layoutNode name="posSpace">
        <dgm:alg type="sp"/>
        <dgm:shape xmlns:r="http://schemas.openxmlformats.org/officeDocument/2006/relationships" r:blip="">
          <dgm:adjLst/>
        </dgm:shape>
        <dgm:presOf/>
        <dgm:constrLst/>
        <dgm:ruleLst/>
      </dgm:layoutNode>
      <dgm:layoutNode name="vertFlow">
        <dgm:alg type="lin">
          <dgm:param type="linDir" val="fromT"/>
        </dgm:alg>
        <dgm:shape xmlns:r="http://schemas.openxmlformats.org/officeDocument/2006/relationships" r:blip="">
          <dgm:adjLst/>
        </dgm:shape>
        <dgm:presOf/>
        <dgm:constrLst>
          <dgm:constr type="w" for="ch" forName="firstComp" refType="w"/>
          <dgm:constr type="w" for="ch" forName="comp" refType="w"/>
        </dgm:constrLst>
        <dgm:ruleLst/>
        <dgm:layoutNode name="topSpace">
          <dgm:alg type="sp"/>
          <dgm:shape xmlns:r="http://schemas.openxmlformats.org/officeDocument/2006/relationships" r:blip="">
            <dgm:adjLst/>
          </dgm:shape>
          <dgm:presOf/>
          <dgm:constrLst/>
          <dgm:ruleLst/>
        </dgm:layoutNode>
        <dgm:layoutNode name="firstComp">
          <dgm:alg type="composite"/>
          <dgm:shape xmlns:r="http://schemas.openxmlformats.org/officeDocument/2006/relationships" r:blip="">
            <dgm:adjLst/>
          </dgm:shape>
          <dgm:presOf/>
          <dgm:choose name="Name4">
            <dgm:if name="Name5" func="var" arg="dir" op="equ" val="norm">
              <dgm:constrLst>
                <dgm:constr type="l" for="ch" forName="firstChild"/>
                <dgm:constr type="t" for="ch" forName="firstChild"/>
                <dgm:constr type="w" for="ch" forName="firstChild" refType="w"/>
                <dgm:constr type="h" for="ch" forName="firstChild" refType="h"/>
                <dgm:constr type="l" for="ch" forName="firstChildTx" refType="w" fact="0.16"/>
                <dgm:constr type="r" for="ch" forName="firstChildTx" refType="w"/>
                <dgm:constr type="h" for="ch" forName="firstChildTx" refFor="ch" refForName="firstChild" op="equ"/>
              </dgm:constrLst>
            </dgm:if>
            <dgm:else name="Name6">
              <dgm:constrLst>
                <dgm:constr type="l" for="ch" forName="firstChild"/>
                <dgm:constr type="t" for="ch" forName="firstChild"/>
                <dgm:constr type="w" for="ch" forName="firstChild" refType="w"/>
                <dgm:constr type="h" for="ch" forName="firstChild" refType="h"/>
                <dgm:constr type="l" for="ch" forName="firstChildTx"/>
                <dgm:constr type="r" for="ch" forName="firstChildTx" refType="w" fact="0.825"/>
                <dgm:constr type="h" for="ch" forName="firstChildTx" refFor="ch" refForName="firstChild" op="equ"/>
              </dgm:constrLst>
            </dgm:else>
          </dgm:choose>
          <dgm:ruleLst/>
          <dgm:layoutNode name="firstChild" styleLbl="bgAccFollowNode1">
            <dgm:alg type="sp"/>
            <dgm:shape xmlns:r="http://schemas.openxmlformats.org/officeDocument/2006/relationships" type="rect" r:blip="">
              <dgm:adjLst/>
            </dgm:shape>
            <dgm:presOf axis="ch desOrSelf" ptType="node node" cnt="1 0"/>
            <dgm:constrLst/>
            <dgm:ruleLst/>
          </dgm:layoutNode>
          <dgm:layoutNode name="firstChildTx" styleLbl="bgAccFollowNode1">
            <dgm:varLst>
              <dgm:bulletEnabled val="1"/>
            </dgm:varLst>
            <dgm:alg type="tx">
              <dgm:param type="parTxLTRAlign" val="l"/>
            </dgm:alg>
            <dgm:shape xmlns:r="http://schemas.openxmlformats.org/officeDocument/2006/relationships" type="rect" r:blip="" hideGeom="1">
              <dgm:adjLst/>
            </dgm:shape>
            <dgm:presOf axis="ch desOrSelf" ptType="node node" cnt="1 0"/>
            <dgm:choose name="Name7">
              <dgm:if name="Name8" func="var" arg="dir" op="equ" val="norm">
                <dgm:constrLst>
                  <dgm:constr type="primFontSz" val="65"/>
                  <dgm:constr type="lMarg"/>
                </dgm:constrLst>
              </dgm:if>
              <dgm:else name="Name9">
                <dgm:constrLst>
                  <dgm:constr type="primFontSz" val="65"/>
                  <dgm:constr type="rMarg"/>
                </dgm:constrLst>
              </dgm:else>
            </dgm:choose>
            <dgm:ruleLst>
              <dgm:rule type="primFontSz" val="5" fact="NaN" max="NaN"/>
            </dgm:ruleLst>
          </dgm:layoutNode>
        </dgm:layoutNode>
        <dgm:forEach name="Name10" axis="ch" ptType="node" st="2">
          <dgm:layoutNode name="comp">
            <dgm:alg type="composite"/>
            <dgm:shape xmlns:r="http://schemas.openxmlformats.org/officeDocument/2006/relationships" r:blip="">
              <dgm:adjLst/>
            </dgm:shape>
            <dgm:presOf/>
            <dgm:choose name="Name11">
              <dgm:if name="Name12" func="var" arg="dir" op="equ" val="norm">
                <dgm:constrLst>
                  <dgm:constr type="l" for="ch" forName="child"/>
                  <dgm:constr type="t" for="ch" forName="child"/>
                  <dgm:constr type="w" for="ch" forName="child" refType="w"/>
                  <dgm:constr type="h" for="ch" forName="child" refType="h"/>
                  <dgm:constr type="l" for="ch" forName="childTx" refType="w" fact="0.16"/>
                  <dgm:constr type="r" for="ch" forName="childTx" refType="w"/>
                  <dgm:constr type="h" for="ch" forName="childTx" refFor="ch" refForName="child" op="equ"/>
                </dgm:constrLst>
              </dgm:if>
              <dgm:else name="Name13">
                <dgm:constrLst>
                  <dgm:constr type="l" for="ch" forName="child"/>
                  <dgm:constr type="t" for="ch" forName="child"/>
                  <dgm:constr type="w" for="ch" forName="child" refType="w"/>
                  <dgm:constr type="h" for="ch" forName="child" refType="h"/>
                  <dgm:constr type="l" for="ch" forName="childTx"/>
                  <dgm:constr type="r" for="ch" forName="childTx" refType="w" fact="0.825"/>
                  <dgm:constr type="h" for="ch" forName="childTx" refFor="ch" refForName="child" op="equ"/>
                </dgm:constrLst>
              </dgm:else>
            </dgm:choose>
            <dgm:ruleLst/>
            <dgm:layoutNode name="child" styleLbl="bgAccFollowNode1">
              <dgm:alg type="sp"/>
              <dgm:shape xmlns:r="http://schemas.openxmlformats.org/officeDocument/2006/relationships" type="rect" r:blip="">
                <dgm:adjLst/>
              </dgm:shape>
              <dgm:presOf axis="desOrSelf" ptType="node"/>
              <dgm:constrLst/>
              <dgm:ruleLst/>
            </dgm:layoutNode>
            <dgm:layoutNode name="childTx" styleLbl="bgAccFollowNode1">
              <dgm:varLst>
                <dgm:bulletEnabled val="1"/>
              </dgm:varLst>
              <dgm:alg type="tx">
                <dgm:param type="parTxLTRAlign" val="l"/>
              </dgm:alg>
              <dgm:shape xmlns:r="http://schemas.openxmlformats.org/officeDocument/2006/relationships" type="rect" r:blip="" hideGeom="1">
                <dgm:adjLst/>
              </dgm:shape>
              <dgm:presOf axis="desOrSelf" ptType="node"/>
              <dgm:choose name="Name14">
                <dgm:if name="Name15" func="var" arg="dir" op="equ" val="norm">
                  <dgm:constrLst>
                    <dgm:constr type="primFontSz" val="65"/>
                    <dgm:constr type="lMarg"/>
                  </dgm:constrLst>
                </dgm:if>
                <dgm:else name="Name16">
                  <dgm:constrLst>
                    <dgm:constr type="primFontSz" val="65"/>
                    <dgm:constr type="rMarg"/>
                  </dgm:constrLst>
                </dgm:else>
              </dgm:choose>
              <dgm:ruleLst>
                <dgm:rule type="primFontSz" val="5" fact="NaN" max="NaN"/>
              </dgm:ruleLst>
            </dgm:layoutNode>
          </dgm:layoutNode>
        </dgm:forEach>
      </dgm:layoutNode>
      <dgm:layoutNode name="negSpace">
        <dgm:alg type="sp"/>
        <dgm:shape xmlns:r="http://schemas.openxmlformats.org/officeDocument/2006/relationships" r:blip="">
          <dgm:adjLst/>
        </dgm:shape>
        <dgm:presOf/>
        <dgm:constrLst/>
        <dgm:ruleLst/>
      </dgm:layoutNode>
      <dgm:layoutNode name="circle" styleLbl="node1">
        <dgm:alg type="tx"/>
        <dgm:shape xmlns:r="http://schemas.openxmlformats.org/officeDocument/2006/relationships" type="ellipse" r:blip="">
          <dgm:adjLst/>
        </dgm:shape>
        <dgm:presOf axis="self"/>
        <dgm:constrLst>
          <dgm:constr type="lMarg"/>
          <dgm:constr type="rMarg"/>
          <dgm:constr type="tMarg"/>
          <dgm:constr type="bMarg"/>
          <dgm:constr type="h" refType="w"/>
        </dgm:constrLst>
        <dgm:ruleLst>
          <dgm:rule type="primFontSz" val="5" fact="NaN" max="NaN"/>
        </dgm:ruleLst>
      </dgm:layoutNode>
      <dgm:forEach name="Name17" axis="followSib" ptType="sibTrans" cnt="1">
        <dgm:layoutNode name="transSpace">
          <dgm:alg type="sp"/>
          <dgm:shape xmlns:r="http://schemas.openxmlformats.org/officeDocument/2006/relationships" r:blip="">
            <dgm:adjLst/>
          </dgm:shape>
          <dgm:presOf/>
          <dgm:constrLst/>
          <dgm:ruleLst/>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List9">
  <dgm:title val=""/>
  <dgm:desc val=""/>
  <dgm:catLst>
    <dgm:cat type="list" pri="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3" srcId="0" destId="1" srcOrd="0" destOrd="0"/>
        <dgm:cxn modelId="4"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1" destId="2" srcOrd="0" destOrd="0"/>
      </dgm:cxnLst>
      <dgm:bg/>
      <dgm:whole/>
    </dgm:dataModel>
  </dgm:styleData>
  <dgm:clrData>
    <dgm:dataModel>
      <dgm:ptLst>
        <dgm:pt modelId="0" type="doc"/>
        <dgm:pt modelId="1"/>
        <dgm:pt modelId="11"/>
        <dgm:pt modelId="12"/>
        <dgm:pt modelId="13"/>
        <dgm:pt modelId="14"/>
        <dgm:pt modelId="2"/>
        <dgm:pt modelId="21"/>
        <dgm:pt modelId="22"/>
        <dgm:pt modelId="23"/>
        <dgm:pt modelId="24"/>
        <dgm:pt modelId="3"/>
        <dgm:pt modelId="31"/>
        <dgm:pt modelId="32"/>
        <dgm:pt modelId="33"/>
        <dgm:pt modelId="34"/>
      </dgm:ptLst>
      <dgm:cxnLst>
        <dgm:cxn modelId="4" srcId="0" destId="1" srcOrd="0" destOrd="0"/>
        <dgm:cxn modelId="5" srcId="0" destId="2" srcOrd="1" destOrd="0"/>
        <dgm:cxn modelId="6" srcId="0" destId="3" srcOrd="1" destOrd="0"/>
        <dgm:cxn modelId="15" srcId="1" destId="11" srcOrd="0" destOrd="0"/>
        <dgm:cxn modelId="16" srcId="1" destId="12" srcOrd="0" destOrd="0"/>
        <dgm:cxn modelId="17" srcId="1" destId="13" srcOrd="0" destOrd="0"/>
        <dgm:cxn modelId="18" srcId="1" destId="14" srcOrd="0" destOrd="0"/>
        <dgm:cxn modelId="25" srcId="2" destId="21" srcOrd="0" destOrd="0"/>
        <dgm:cxn modelId="26" srcId="2" destId="22" srcOrd="0" destOrd="0"/>
        <dgm:cxn modelId="27" srcId="2" destId="23" srcOrd="0" destOrd="0"/>
        <dgm:cxn modelId="28" srcId="2" destId="24" srcOrd="0" destOrd="0"/>
        <dgm:cxn modelId="35" srcId="3" destId="31" srcOrd="0" destOrd="0"/>
        <dgm:cxn modelId="36" srcId="3" destId="32" srcOrd="0" destOrd="0"/>
        <dgm:cxn modelId="37" srcId="3" destId="33" srcOrd="0" destOrd="0"/>
        <dgm:cxn modelId="38" srcId="3" destId="34" srcOrd="0" destOrd="0"/>
      </dgm:cxnLst>
      <dgm:bg/>
      <dgm:whole/>
    </dgm:dataModel>
  </dgm:clrData>
  <dgm:layoutNode name="list">
    <dgm:varLst>
      <dgm:dir/>
      <dgm:animLvl val="lvl"/>
    </dgm:varLst>
    <dgm:choose name="Name0">
      <dgm:if name="Name1" func="var" arg="dir" op="equ" val="norm">
        <dgm:alg type="lin">
          <dgm:param type="linDir" val="fromL"/>
          <dgm:param type="fallback" val="2D"/>
          <dgm:param type="nodeVertAlign" val="t"/>
        </dgm:alg>
      </dgm:if>
      <dgm:else name="Name2">
        <dgm:alg type="lin">
          <dgm:param type="linDir" val="fromR"/>
          <dgm:param type="fallback" val="2D"/>
          <dgm:param type="nodeVertAlign" val="t"/>
        </dgm:alg>
      </dgm:else>
    </dgm:choose>
    <dgm:shape xmlns:r="http://schemas.openxmlformats.org/officeDocument/2006/relationships" r:blip="">
      <dgm:adjLst/>
    </dgm:shape>
    <dgm:presOf/>
    <dgm:constrLst>
      <dgm:constr type="w" for="ch" forName="circle" refType="w" fact="0.5"/>
      <dgm:constr type="w" for="ch" forName="vertFlow" refType="w" fact="0.75"/>
      <dgm:constr type="h" for="des" forName="firstComp" refType="w" refFor="ch" refForName="vertFlow" fact="0.667"/>
      <dgm:constr type="h" for="des" forName="comp" refType="h" refFor="des" refForName="firstComp" op="equ"/>
      <dgm:constr type="h" for="des" forName="topSpace" refType="w" refFor="ch" refForName="circle" op="equ" fact="0.4"/>
      <dgm:constr type="w" for="ch" forName="posSpace" refType="w" fact="0.4"/>
      <dgm:constr type="w" for="ch" forName="negSpace" refType="w" fact="-1.15"/>
      <dgm:constr type="w" for="ch" forName="transSpace" refType="w" fact="0.75"/>
      <dgm:constr type="primFontSz" for="ch" forName="circle" op="equ" val="65"/>
      <dgm:constr type="primFontSz" for="des" forName="firstChildTx" val="65"/>
      <dgm:constr type="primFontSz" for="des" forName="childTx" refType="primFontSz" refFor="des" refForName="firstChildTx" op="equ"/>
    </dgm:constrLst>
    <dgm:ruleLst/>
    <dgm:forEach name="Name3" axis="ch" ptType="node">
      <dgm:layoutNode name="posSpace">
        <dgm:alg type="sp"/>
        <dgm:shape xmlns:r="http://schemas.openxmlformats.org/officeDocument/2006/relationships" r:blip="">
          <dgm:adjLst/>
        </dgm:shape>
        <dgm:presOf/>
        <dgm:constrLst/>
        <dgm:ruleLst/>
      </dgm:layoutNode>
      <dgm:layoutNode name="vertFlow">
        <dgm:alg type="lin">
          <dgm:param type="linDir" val="fromT"/>
        </dgm:alg>
        <dgm:shape xmlns:r="http://schemas.openxmlformats.org/officeDocument/2006/relationships" r:blip="">
          <dgm:adjLst/>
        </dgm:shape>
        <dgm:presOf/>
        <dgm:constrLst>
          <dgm:constr type="w" for="ch" forName="firstComp" refType="w"/>
          <dgm:constr type="w" for="ch" forName="comp" refType="w"/>
        </dgm:constrLst>
        <dgm:ruleLst/>
        <dgm:layoutNode name="topSpace">
          <dgm:alg type="sp"/>
          <dgm:shape xmlns:r="http://schemas.openxmlformats.org/officeDocument/2006/relationships" r:blip="">
            <dgm:adjLst/>
          </dgm:shape>
          <dgm:presOf/>
          <dgm:constrLst/>
          <dgm:ruleLst/>
        </dgm:layoutNode>
        <dgm:layoutNode name="firstComp">
          <dgm:alg type="composite"/>
          <dgm:shape xmlns:r="http://schemas.openxmlformats.org/officeDocument/2006/relationships" r:blip="">
            <dgm:adjLst/>
          </dgm:shape>
          <dgm:presOf/>
          <dgm:choose name="Name4">
            <dgm:if name="Name5" func="var" arg="dir" op="equ" val="norm">
              <dgm:constrLst>
                <dgm:constr type="l" for="ch" forName="firstChild"/>
                <dgm:constr type="t" for="ch" forName="firstChild"/>
                <dgm:constr type="w" for="ch" forName="firstChild" refType="w"/>
                <dgm:constr type="h" for="ch" forName="firstChild" refType="h"/>
                <dgm:constr type="l" for="ch" forName="firstChildTx" refType="w" fact="0.16"/>
                <dgm:constr type="r" for="ch" forName="firstChildTx" refType="w"/>
                <dgm:constr type="h" for="ch" forName="firstChildTx" refFor="ch" refForName="firstChild" op="equ"/>
              </dgm:constrLst>
            </dgm:if>
            <dgm:else name="Name6">
              <dgm:constrLst>
                <dgm:constr type="l" for="ch" forName="firstChild"/>
                <dgm:constr type="t" for="ch" forName="firstChild"/>
                <dgm:constr type="w" for="ch" forName="firstChild" refType="w"/>
                <dgm:constr type="h" for="ch" forName="firstChild" refType="h"/>
                <dgm:constr type="l" for="ch" forName="firstChildTx"/>
                <dgm:constr type="r" for="ch" forName="firstChildTx" refType="w" fact="0.825"/>
                <dgm:constr type="h" for="ch" forName="firstChildTx" refFor="ch" refForName="firstChild" op="equ"/>
              </dgm:constrLst>
            </dgm:else>
          </dgm:choose>
          <dgm:ruleLst/>
          <dgm:layoutNode name="firstChild" styleLbl="bgAccFollowNode1">
            <dgm:alg type="sp"/>
            <dgm:shape xmlns:r="http://schemas.openxmlformats.org/officeDocument/2006/relationships" type="rect" r:blip="">
              <dgm:adjLst/>
            </dgm:shape>
            <dgm:presOf axis="ch desOrSelf" ptType="node node" cnt="1 0"/>
            <dgm:constrLst/>
            <dgm:ruleLst/>
          </dgm:layoutNode>
          <dgm:layoutNode name="firstChildTx" styleLbl="bgAccFollowNode1">
            <dgm:varLst>
              <dgm:bulletEnabled val="1"/>
            </dgm:varLst>
            <dgm:alg type="tx">
              <dgm:param type="parTxLTRAlign" val="l"/>
            </dgm:alg>
            <dgm:shape xmlns:r="http://schemas.openxmlformats.org/officeDocument/2006/relationships" type="rect" r:blip="" hideGeom="1">
              <dgm:adjLst/>
            </dgm:shape>
            <dgm:presOf axis="ch desOrSelf" ptType="node node" cnt="1 0"/>
            <dgm:choose name="Name7">
              <dgm:if name="Name8" func="var" arg="dir" op="equ" val="norm">
                <dgm:constrLst>
                  <dgm:constr type="primFontSz" val="65"/>
                  <dgm:constr type="lMarg"/>
                </dgm:constrLst>
              </dgm:if>
              <dgm:else name="Name9">
                <dgm:constrLst>
                  <dgm:constr type="primFontSz" val="65"/>
                  <dgm:constr type="rMarg"/>
                </dgm:constrLst>
              </dgm:else>
            </dgm:choose>
            <dgm:ruleLst>
              <dgm:rule type="primFontSz" val="5" fact="NaN" max="NaN"/>
            </dgm:ruleLst>
          </dgm:layoutNode>
        </dgm:layoutNode>
        <dgm:forEach name="Name10" axis="ch" ptType="node" st="2">
          <dgm:layoutNode name="comp">
            <dgm:alg type="composite"/>
            <dgm:shape xmlns:r="http://schemas.openxmlformats.org/officeDocument/2006/relationships" r:blip="">
              <dgm:adjLst/>
            </dgm:shape>
            <dgm:presOf/>
            <dgm:choose name="Name11">
              <dgm:if name="Name12" func="var" arg="dir" op="equ" val="norm">
                <dgm:constrLst>
                  <dgm:constr type="l" for="ch" forName="child"/>
                  <dgm:constr type="t" for="ch" forName="child"/>
                  <dgm:constr type="w" for="ch" forName="child" refType="w"/>
                  <dgm:constr type="h" for="ch" forName="child" refType="h"/>
                  <dgm:constr type="l" for="ch" forName="childTx" refType="w" fact="0.16"/>
                  <dgm:constr type="r" for="ch" forName="childTx" refType="w"/>
                  <dgm:constr type="h" for="ch" forName="childTx" refFor="ch" refForName="child" op="equ"/>
                </dgm:constrLst>
              </dgm:if>
              <dgm:else name="Name13">
                <dgm:constrLst>
                  <dgm:constr type="l" for="ch" forName="child"/>
                  <dgm:constr type="t" for="ch" forName="child"/>
                  <dgm:constr type="w" for="ch" forName="child" refType="w"/>
                  <dgm:constr type="h" for="ch" forName="child" refType="h"/>
                  <dgm:constr type="l" for="ch" forName="childTx"/>
                  <dgm:constr type="r" for="ch" forName="childTx" refType="w" fact="0.825"/>
                  <dgm:constr type="h" for="ch" forName="childTx" refFor="ch" refForName="child" op="equ"/>
                </dgm:constrLst>
              </dgm:else>
            </dgm:choose>
            <dgm:ruleLst/>
            <dgm:layoutNode name="child" styleLbl="bgAccFollowNode1">
              <dgm:alg type="sp"/>
              <dgm:shape xmlns:r="http://schemas.openxmlformats.org/officeDocument/2006/relationships" type="rect" r:blip="">
                <dgm:adjLst/>
              </dgm:shape>
              <dgm:presOf axis="desOrSelf" ptType="node"/>
              <dgm:constrLst/>
              <dgm:ruleLst/>
            </dgm:layoutNode>
            <dgm:layoutNode name="childTx" styleLbl="bgAccFollowNode1">
              <dgm:varLst>
                <dgm:bulletEnabled val="1"/>
              </dgm:varLst>
              <dgm:alg type="tx">
                <dgm:param type="parTxLTRAlign" val="l"/>
              </dgm:alg>
              <dgm:shape xmlns:r="http://schemas.openxmlformats.org/officeDocument/2006/relationships" type="rect" r:blip="" hideGeom="1">
                <dgm:adjLst/>
              </dgm:shape>
              <dgm:presOf axis="desOrSelf" ptType="node"/>
              <dgm:choose name="Name14">
                <dgm:if name="Name15" func="var" arg="dir" op="equ" val="norm">
                  <dgm:constrLst>
                    <dgm:constr type="primFontSz" val="65"/>
                    <dgm:constr type="lMarg"/>
                  </dgm:constrLst>
                </dgm:if>
                <dgm:else name="Name16">
                  <dgm:constrLst>
                    <dgm:constr type="primFontSz" val="65"/>
                    <dgm:constr type="rMarg"/>
                  </dgm:constrLst>
                </dgm:else>
              </dgm:choose>
              <dgm:ruleLst>
                <dgm:rule type="primFontSz" val="5" fact="NaN" max="NaN"/>
              </dgm:ruleLst>
            </dgm:layoutNode>
          </dgm:layoutNode>
        </dgm:forEach>
      </dgm:layoutNode>
      <dgm:layoutNode name="negSpace">
        <dgm:alg type="sp"/>
        <dgm:shape xmlns:r="http://schemas.openxmlformats.org/officeDocument/2006/relationships" r:blip="">
          <dgm:adjLst/>
        </dgm:shape>
        <dgm:presOf/>
        <dgm:constrLst/>
        <dgm:ruleLst/>
      </dgm:layoutNode>
      <dgm:layoutNode name="circle" styleLbl="node1">
        <dgm:alg type="tx"/>
        <dgm:shape xmlns:r="http://schemas.openxmlformats.org/officeDocument/2006/relationships" type="ellipse" r:blip="">
          <dgm:adjLst/>
        </dgm:shape>
        <dgm:presOf axis="self"/>
        <dgm:constrLst>
          <dgm:constr type="lMarg"/>
          <dgm:constr type="rMarg"/>
          <dgm:constr type="tMarg"/>
          <dgm:constr type="bMarg"/>
          <dgm:constr type="h" refType="w"/>
        </dgm:constrLst>
        <dgm:ruleLst>
          <dgm:rule type="primFontSz" val="5" fact="NaN" max="NaN"/>
        </dgm:ruleLst>
      </dgm:layoutNode>
      <dgm:forEach name="Name17" axis="followSib" ptType="sibTrans" cnt="1">
        <dgm:layoutNode name="transSpace">
          <dgm:alg type="sp"/>
          <dgm:shape xmlns:r="http://schemas.openxmlformats.org/officeDocument/2006/relationships" r:blip="">
            <dgm:adjLst/>
          </dgm:shape>
          <dgm:presOf/>
          <dgm:constrLst/>
          <dgm:ruleLst/>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8.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9.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F58E91-A51B-4041-AA5F-018C7EB84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80274</Words>
  <Characters>457564</Characters>
  <Application>Microsoft Office Word</Application>
  <DocSecurity>0</DocSecurity>
  <Lines>3813</Lines>
  <Paragraphs>1073</Paragraphs>
  <ScaleCrop>false</ScaleCrop>
  <HeadingPairs>
    <vt:vector size="2" baseType="variant">
      <vt:variant>
        <vt:lpstr>Title</vt:lpstr>
      </vt:variant>
      <vt:variant>
        <vt:i4>1</vt:i4>
      </vt:variant>
    </vt:vector>
  </HeadingPairs>
  <TitlesOfParts>
    <vt:vector size="1" baseType="lpstr">
      <vt:lpstr>ПРЕДВАРИТЕЛНА ОЦЕНКА НА ФИНАНСОВИ ИНСТРУМЕНТИ ПО ОП ОКОЛНА СРЕДА 2014-2020г.</vt:lpstr>
    </vt:vector>
  </TitlesOfParts>
  <Company>Grizli777</Company>
  <LinksUpToDate>false</LinksUpToDate>
  <CharactersWithSpaces>536765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ПРЕДВАРИТЕЛНА ОЦЕНКА НА ФИНАНСОВИ ИНСТРУМЕНТИ ПО ОП ОКОЛНА СРЕДА 2014-2020г.</dc:title>
  <dc:subject>Доклад</dc:subject>
  <dc:creator>Dessislava Kotcheva</dc:creator>
  <cp:lastModifiedBy>User</cp:lastModifiedBy>
  <cp:revision>6</cp:revision>
  <cp:lastPrinted>2014-07-28T10:32:00Z</cp:lastPrinted>
  <dcterms:created xsi:type="dcterms:W3CDTF">2014-09-26T10:33:00Z</dcterms:created>
  <dcterms:modified xsi:type="dcterms:W3CDTF">2014-09-26T10:37:00Z</dcterms:modified>
</cp:coreProperties>
</file>