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79B" w:rsidRDefault="0073126C" w:rsidP="0073126C">
      <w:pPr>
        <w:jc w:val="center"/>
        <w:rPr>
          <w:b/>
          <w:color w:val="365F91" w:themeColor="accent1" w:themeShade="BF"/>
        </w:rPr>
      </w:pPr>
      <w:r w:rsidRPr="0073126C">
        <w:rPr>
          <w:b/>
          <w:color w:val="365F91" w:themeColor="accent1" w:themeShade="BF"/>
        </w:rPr>
        <w:t xml:space="preserve">Препоръчителен размер на средствата от ОС І на ОПОС за финансови </w:t>
      </w:r>
      <w:proofErr w:type="gramStart"/>
      <w:r w:rsidRPr="0073126C">
        <w:rPr>
          <w:b/>
          <w:color w:val="365F91" w:themeColor="accent1" w:themeShade="BF"/>
        </w:rPr>
        <w:t>инструменти</w:t>
      </w:r>
      <w:proofErr w:type="gramEnd"/>
    </w:p>
    <w:p w:rsidR="0073126C" w:rsidRDefault="0073126C" w:rsidP="0073126C">
      <w:pPr>
        <w:jc w:val="center"/>
        <w:rPr>
          <w:b/>
          <w:color w:val="365F91" w:themeColor="accent1" w:themeShade="BF"/>
        </w:rPr>
      </w:pPr>
    </w:p>
    <w:p w:rsidR="0073126C" w:rsidRDefault="0073126C" w:rsidP="0073126C">
      <w:pPr>
        <w:jc w:val="both"/>
      </w:pPr>
      <w:r>
        <w:t xml:space="preserve">Във връзка с коментарите на Европейската комисия по ОПОС 2014-2020 от м. юни 2014 г., а </w:t>
      </w:r>
      <w:proofErr w:type="gramStart"/>
      <w:r>
        <w:t xml:space="preserve">именно: </w:t>
      </w:r>
      <w:proofErr w:type="gramEnd"/>
    </w:p>
    <w:p w:rsidR="0073126C" w:rsidRDefault="002F19C5" w:rsidP="0073126C">
      <w:pPr>
        <w:autoSpaceDE w:val="0"/>
        <w:autoSpaceDN w:val="0"/>
        <w:adjustRightInd w:val="0"/>
        <w:spacing w:after="0" w:line="240" w:lineRule="auto"/>
        <w:jc w:val="both"/>
      </w:pPr>
      <w:r>
        <w:t>„</w:t>
      </w:r>
      <w:r w:rsidR="0073126C">
        <w:t xml:space="preserve">ОПОС следва да финансира инвестиции </w:t>
      </w:r>
      <w:proofErr w:type="gramStart"/>
      <w:r w:rsidR="0073126C">
        <w:t>само в консолидирана област, т.е. където има вече само</w:t>
      </w:r>
      <w:proofErr w:type="gramEnd"/>
      <w:r w:rsidR="0073126C">
        <w:t xml:space="preserve"> едно регионално ВиК дружество, опериращо с инфраструктурата за цялата област.</w:t>
      </w:r>
    </w:p>
    <w:p w:rsidR="0073126C" w:rsidRPr="0073126C" w:rsidRDefault="0073126C" w:rsidP="0073126C">
      <w:pPr>
        <w:autoSpaceDE w:val="0"/>
        <w:autoSpaceDN w:val="0"/>
        <w:adjustRightInd w:val="0"/>
        <w:spacing w:after="0" w:line="240" w:lineRule="auto"/>
        <w:jc w:val="both"/>
      </w:pPr>
    </w:p>
    <w:p w:rsidR="0073126C" w:rsidRDefault="0073126C" w:rsidP="0073126C">
      <w:pPr>
        <w:autoSpaceDE w:val="0"/>
        <w:autoSpaceDN w:val="0"/>
        <w:adjustRightInd w:val="0"/>
        <w:spacing w:after="0" w:line="240" w:lineRule="auto"/>
        <w:jc w:val="both"/>
      </w:pPr>
      <w:r>
        <w:t>Инвестиционният избор с</w:t>
      </w:r>
      <w:r w:rsidR="002F19C5">
        <w:t>ледва да бъде направен на база</w:t>
      </w:r>
      <w:r>
        <w:t xml:space="preserve"> на икономическа оценка и </w:t>
      </w:r>
      <w:proofErr w:type="gramStart"/>
      <w:r>
        <w:t xml:space="preserve">регионално пред-проектно проучване в съответствие с </w:t>
      </w:r>
      <w:r w:rsidR="002F19C5">
        <w:t>Плановете за управление на речните басейни (</w:t>
      </w:r>
      <w:r>
        <w:t>ПУРБ</w:t>
      </w:r>
      <w:r w:rsidR="002F19C5">
        <w:t>)</w:t>
      </w:r>
      <w:r>
        <w:t xml:space="preserve"> и Регионалните</w:t>
      </w:r>
      <w:proofErr w:type="gramEnd"/>
      <w:r>
        <w:t xml:space="preserve"> генерални планове, </w:t>
      </w:r>
      <w:r w:rsidR="002F19C5">
        <w:t>както</w:t>
      </w:r>
      <w:r>
        <w:t xml:space="preserve"> и въз основа на оценка на всяка област</w:t>
      </w:r>
      <w:r w:rsidR="002F19C5">
        <w:t xml:space="preserve">, в която съответното ВиК дружество оперира. </w:t>
      </w:r>
      <w:proofErr w:type="gramStart"/>
      <w:r w:rsidR="002F19C5">
        <w:t>Регионалните пред-проектни проучвания следва да анализират техническите и икономически инвестиционни нужди на регионалните</w:t>
      </w:r>
      <w:proofErr w:type="gramEnd"/>
      <w:r w:rsidR="002F19C5">
        <w:t xml:space="preserve"> ВиК дружества с цел ефективно постигане на съответствие с нормите на водоснабдяване и пречистване на отпадъчни води, а анализът на вариантите трябва да идентифицира проектите с най-ниските очаквани разходи за техния жизнен цикъл</w:t>
      </w:r>
      <w:r w:rsidRPr="0073126C">
        <w:t>.</w:t>
      </w:r>
    </w:p>
    <w:p w:rsidR="0073126C" w:rsidRPr="0073126C" w:rsidRDefault="0073126C" w:rsidP="0073126C">
      <w:pPr>
        <w:autoSpaceDE w:val="0"/>
        <w:autoSpaceDN w:val="0"/>
        <w:adjustRightInd w:val="0"/>
        <w:spacing w:after="0" w:line="240" w:lineRule="auto"/>
        <w:jc w:val="both"/>
      </w:pPr>
    </w:p>
    <w:p w:rsidR="0073126C" w:rsidRDefault="002F19C5" w:rsidP="0073126C">
      <w:pPr>
        <w:autoSpaceDE w:val="0"/>
        <w:autoSpaceDN w:val="0"/>
        <w:adjustRightInd w:val="0"/>
        <w:spacing w:after="0" w:line="240" w:lineRule="auto"/>
        <w:jc w:val="both"/>
      </w:pPr>
      <w:r>
        <w:t xml:space="preserve">Този анализ трябва следва да осигури съответствие с принципа „замърсителят плаща” и възвращаемостта на разходите за </w:t>
      </w:r>
      <w:proofErr w:type="gramStart"/>
      <w:r>
        <w:t>инвестициите, както и да представлява база за дългосрочни инвестиции</w:t>
      </w:r>
      <w:proofErr w:type="gramEnd"/>
      <w:r>
        <w:t xml:space="preserve"> от страна на Асоциациите по ВиК и ДКЕВР. Тъй като тези инвестиции са икономически и технически свързани, регионалните пред-проектни проучвания следва да предложат </w:t>
      </w:r>
      <w:r w:rsidRPr="002F19C5">
        <w:rPr>
          <w:u w:val="single"/>
        </w:rPr>
        <w:t>не повече от един проект</w:t>
      </w:r>
      <w:r>
        <w:t xml:space="preserve"> на консолидирана област, който да бъде финансиран от ОПОС.”,</w:t>
      </w:r>
    </w:p>
    <w:p w:rsidR="002F19C5" w:rsidRDefault="002F19C5" w:rsidP="0073126C">
      <w:pPr>
        <w:autoSpaceDE w:val="0"/>
        <w:autoSpaceDN w:val="0"/>
        <w:adjustRightInd w:val="0"/>
        <w:spacing w:after="0" w:line="240" w:lineRule="auto"/>
        <w:jc w:val="both"/>
      </w:pPr>
    </w:p>
    <w:p w:rsidR="002F19C5" w:rsidRDefault="002F19C5" w:rsidP="0073126C">
      <w:pPr>
        <w:autoSpaceDE w:val="0"/>
        <w:autoSpaceDN w:val="0"/>
        <w:adjustRightInd w:val="0"/>
        <w:spacing w:after="0" w:line="240" w:lineRule="auto"/>
        <w:jc w:val="both"/>
      </w:pPr>
      <w:proofErr w:type="gramStart"/>
      <w:r>
        <w:t>както</w:t>
      </w:r>
      <w:proofErr w:type="gramEnd"/>
      <w:r>
        <w:t xml:space="preserve"> и на база очакваният среден размер на проектите във ВиК сектора от 50 млн. евро, отчитайки същевременно броят на областите в страната – 28 и средния размер на разходите за инвестиции, който би могъл да се понесе от регионално консолидирано ВиК дружество, изчисленията относно необходимия ресурс, който следва да бъде заделен за финансови инструменти по ОС І Води на ОПОС е както следва:</w:t>
      </w:r>
    </w:p>
    <w:p w:rsidR="002F19C5" w:rsidRDefault="002F19C5" w:rsidP="0073126C">
      <w:pPr>
        <w:autoSpaceDE w:val="0"/>
        <w:autoSpaceDN w:val="0"/>
        <w:adjustRightInd w:val="0"/>
        <w:spacing w:after="0" w:line="240" w:lineRule="auto"/>
        <w:jc w:val="both"/>
      </w:pPr>
    </w:p>
    <w:p w:rsidR="00DC3DB1" w:rsidRDefault="00DC3DB1" w:rsidP="0073126C">
      <w:pPr>
        <w:autoSpaceDE w:val="0"/>
        <w:autoSpaceDN w:val="0"/>
        <w:adjustRightInd w:val="0"/>
        <w:spacing w:after="0" w:line="240" w:lineRule="auto"/>
        <w:jc w:val="both"/>
      </w:pPr>
      <w:r>
        <w:t xml:space="preserve">28 регионални проекти за ВиК инфраструктура х 50 млн. евро средна стойност на проект = 1,4 млрд. </w:t>
      </w:r>
      <w:proofErr w:type="gramStart"/>
      <w:r>
        <w:t>евро</w:t>
      </w:r>
      <w:proofErr w:type="gramEnd"/>
    </w:p>
    <w:p w:rsidR="00DC3DB1" w:rsidRDefault="00DC3DB1" w:rsidP="0073126C">
      <w:pPr>
        <w:autoSpaceDE w:val="0"/>
        <w:autoSpaceDN w:val="0"/>
        <w:adjustRightInd w:val="0"/>
        <w:spacing w:after="0" w:line="240" w:lineRule="auto"/>
        <w:jc w:val="both"/>
      </w:pPr>
    </w:p>
    <w:p w:rsidR="00DC3DB1" w:rsidRDefault="00DC3DB1" w:rsidP="0073126C">
      <w:pPr>
        <w:autoSpaceDE w:val="0"/>
        <w:autoSpaceDN w:val="0"/>
        <w:adjustRightInd w:val="0"/>
        <w:spacing w:after="0" w:line="240" w:lineRule="auto"/>
        <w:jc w:val="both"/>
      </w:pPr>
      <w:r>
        <w:t xml:space="preserve">Максималният размер на </w:t>
      </w:r>
      <w:proofErr w:type="spellStart"/>
      <w:r>
        <w:t>съ-финансирането</w:t>
      </w:r>
      <w:proofErr w:type="spellEnd"/>
      <w:r w:rsidRPr="00DC3DB1">
        <w:t xml:space="preserve"> </w:t>
      </w:r>
      <w:r>
        <w:t xml:space="preserve">за проектите, което би могло да бъде осигурено от страна на ВиК дружествата (предвид тяхното финансово състояние) = </w:t>
      </w:r>
      <w:r w:rsidR="009A5C71">
        <w:t>~</w:t>
      </w:r>
      <w:r>
        <w:t>25% или 350 млн. евро за цялата приоритетна ос</w:t>
      </w:r>
      <w:r w:rsidR="009A5C71">
        <w:t>.</w:t>
      </w:r>
    </w:p>
    <w:p w:rsidR="00DC3DB1" w:rsidRDefault="00DC3DB1" w:rsidP="0073126C">
      <w:pPr>
        <w:autoSpaceDE w:val="0"/>
        <w:autoSpaceDN w:val="0"/>
        <w:adjustRightInd w:val="0"/>
        <w:spacing w:after="0" w:line="240" w:lineRule="auto"/>
        <w:jc w:val="both"/>
      </w:pPr>
    </w:p>
    <w:p w:rsidR="00DC3DB1" w:rsidRDefault="00DC3DB1" w:rsidP="0073126C">
      <w:pPr>
        <w:autoSpaceDE w:val="0"/>
        <w:autoSpaceDN w:val="0"/>
        <w:adjustRightInd w:val="0"/>
        <w:spacing w:after="0" w:line="240" w:lineRule="auto"/>
        <w:jc w:val="both"/>
      </w:pPr>
      <w:r>
        <w:t xml:space="preserve">При ефект на лоста от 1:3, при заделяне на около 100 млн. евро от приоритетната ос за </w:t>
      </w:r>
      <w:proofErr w:type="gramStart"/>
      <w:r>
        <w:t>финансови инструменти ще бъдат мобилизирани допълнително около 300 млн. евро от международни и национални финансови</w:t>
      </w:r>
      <w:proofErr w:type="gramEnd"/>
      <w:r>
        <w:t xml:space="preserve"> институции, което означава, че Фондът за инвестиции във ВиК сектора ще разполага с ресурс от </w:t>
      </w:r>
      <w:r w:rsidR="00C17936">
        <w:t>400 млн. евро, което ще осигури необходимия допълнителен финансов ресурс за реализирането на 28-те регионални проекти в сектора.</w:t>
      </w:r>
    </w:p>
    <w:p w:rsidR="00C17936" w:rsidRDefault="00C17936" w:rsidP="0073126C">
      <w:pPr>
        <w:autoSpaceDE w:val="0"/>
        <w:autoSpaceDN w:val="0"/>
        <w:adjustRightInd w:val="0"/>
        <w:spacing w:after="0" w:line="240" w:lineRule="auto"/>
        <w:jc w:val="both"/>
      </w:pPr>
    </w:p>
    <w:p w:rsidR="00C17936" w:rsidRDefault="00C17936" w:rsidP="0073126C">
      <w:pPr>
        <w:autoSpaceDE w:val="0"/>
        <w:autoSpaceDN w:val="0"/>
        <w:adjustRightInd w:val="0"/>
        <w:spacing w:after="0" w:line="240" w:lineRule="auto"/>
        <w:jc w:val="both"/>
      </w:pPr>
      <w:r>
        <w:t xml:space="preserve">При определяне на окончателния размер на средствата от ПОІ на ОПОС за финансови инструменти, </w:t>
      </w:r>
      <w:r w:rsidR="0024311F">
        <w:t>следва да се вземат предвид и следните фактори:</w:t>
      </w:r>
    </w:p>
    <w:p w:rsidR="0024311F" w:rsidRDefault="0024311F" w:rsidP="0073126C">
      <w:pPr>
        <w:autoSpaceDE w:val="0"/>
        <w:autoSpaceDN w:val="0"/>
        <w:adjustRightInd w:val="0"/>
        <w:spacing w:after="0" w:line="240" w:lineRule="auto"/>
        <w:jc w:val="both"/>
      </w:pPr>
    </w:p>
    <w:p w:rsidR="0024311F" w:rsidRDefault="0024311F" w:rsidP="0024311F">
      <w:pPr>
        <w:numPr>
          <w:ilvl w:val="0"/>
          <w:numId w:val="1"/>
        </w:numPr>
        <w:autoSpaceDE w:val="0"/>
        <w:autoSpaceDN w:val="0"/>
        <w:adjustRightInd w:val="0"/>
        <w:spacing w:after="0" w:line="240" w:lineRule="auto"/>
        <w:jc w:val="both"/>
      </w:pPr>
      <w:r>
        <w:t xml:space="preserve">След консултации със заинтересованите страни, е констатирано, че максималният среден размер на </w:t>
      </w:r>
      <w:proofErr w:type="spellStart"/>
      <w:r>
        <w:t>съ-финансиране</w:t>
      </w:r>
      <w:proofErr w:type="spellEnd"/>
      <w:r>
        <w:t xml:space="preserve">, който би могъл да бъде осигурен от едно регионално </w:t>
      </w:r>
      <w:proofErr w:type="gramStart"/>
      <w:r>
        <w:t>ВиК дружество е ~10 млн. евро (с изключение на няколкото големи ВиК</w:t>
      </w:r>
      <w:proofErr w:type="gramEnd"/>
      <w:r>
        <w:t xml:space="preserve"> оператори, които биха могли да мобилизират повече средства за </w:t>
      </w:r>
      <w:proofErr w:type="spellStart"/>
      <w:r>
        <w:t>съ-финансиране</w:t>
      </w:r>
      <w:proofErr w:type="spellEnd"/>
      <w:r>
        <w:t>)</w:t>
      </w:r>
    </w:p>
    <w:p w:rsidR="0024311F" w:rsidRDefault="0024311F" w:rsidP="0024311F">
      <w:pPr>
        <w:numPr>
          <w:ilvl w:val="0"/>
          <w:numId w:val="1"/>
        </w:numPr>
        <w:autoSpaceDE w:val="0"/>
        <w:autoSpaceDN w:val="0"/>
        <w:adjustRightInd w:val="0"/>
        <w:spacing w:after="0" w:line="240" w:lineRule="auto"/>
        <w:jc w:val="both"/>
      </w:pPr>
      <w:r>
        <w:lastRenderedPageBreak/>
        <w:t xml:space="preserve">Точният размер на </w:t>
      </w:r>
      <w:proofErr w:type="spellStart"/>
      <w:r>
        <w:t>съ-финансиране</w:t>
      </w:r>
      <w:proofErr w:type="spellEnd"/>
      <w:r>
        <w:t xml:space="preserve"> за всеки проект следва да бъде определен на база </w:t>
      </w:r>
      <w:r w:rsidRPr="0024311F">
        <w:rPr>
          <w:u w:val="single"/>
        </w:rPr>
        <w:t>реалистичен</w:t>
      </w:r>
      <w:r>
        <w:t xml:space="preserve"> анализ разходи-ползи за всеки конкретен случай при отчитане на финансовото състояние на съответния </w:t>
      </w:r>
      <w:proofErr w:type="gramStart"/>
      <w:r>
        <w:t>ВиК оператор, както и поносимостта на тарифите за ВиК</w:t>
      </w:r>
      <w:proofErr w:type="gramEnd"/>
      <w:r>
        <w:t xml:space="preserve"> услуги</w:t>
      </w:r>
    </w:p>
    <w:p w:rsidR="0024311F" w:rsidRDefault="0024311F" w:rsidP="0024311F">
      <w:pPr>
        <w:numPr>
          <w:ilvl w:val="0"/>
          <w:numId w:val="1"/>
        </w:numPr>
        <w:autoSpaceDE w:val="0"/>
        <w:autoSpaceDN w:val="0"/>
        <w:adjustRightInd w:val="0"/>
        <w:spacing w:after="0" w:line="240" w:lineRule="auto"/>
        <w:jc w:val="both"/>
      </w:pPr>
      <w:r>
        <w:t xml:space="preserve">Към настоящия момент </w:t>
      </w:r>
      <w:proofErr w:type="gramStart"/>
      <w:r>
        <w:t>финансови инструменти по смисъла на Регламент 1303/2013 не са прилагани в сектор Околна среда в България, респективно е препоръчително да се стартира с по-малък размер на средствата от ОПОС за финансови</w:t>
      </w:r>
      <w:proofErr w:type="gramEnd"/>
      <w:r>
        <w:t xml:space="preserve"> инструменти, за да се избегне риска от </w:t>
      </w:r>
      <w:proofErr w:type="spellStart"/>
      <w:r>
        <w:t>неусвояване</w:t>
      </w:r>
      <w:proofErr w:type="spellEnd"/>
      <w:r>
        <w:t xml:space="preserve"> на тези средства</w:t>
      </w:r>
    </w:p>
    <w:p w:rsidR="0024311F" w:rsidRPr="0073126C" w:rsidRDefault="0024311F" w:rsidP="0024311F">
      <w:pPr>
        <w:numPr>
          <w:ilvl w:val="0"/>
          <w:numId w:val="1"/>
        </w:numPr>
        <w:autoSpaceDE w:val="0"/>
        <w:autoSpaceDN w:val="0"/>
        <w:adjustRightInd w:val="0"/>
        <w:spacing w:after="0" w:line="240" w:lineRule="auto"/>
        <w:jc w:val="both"/>
      </w:pPr>
      <w:proofErr w:type="gramStart"/>
      <w:r>
        <w:t>В случай, че</w:t>
      </w:r>
      <w:proofErr w:type="gramEnd"/>
      <w:r>
        <w:t xml:space="preserve"> на по-късен етап се окаже, че прилаганите финан</w:t>
      </w:r>
      <w:r w:rsidR="009A5C71">
        <w:t xml:space="preserve">сови инструменти са работещи и </w:t>
      </w:r>
      <w:r>
        <w:t xml:space="preserve">има интерес към тях, предварителната оценка </w:t>
      </w:r>
      <w:r w:rsidR="009A5C71">
        <w:t>може</w:t>
      </w:r>
      <w:r>
        <w:t xml:space="preserve"> да се преразгледа и да се увеличи делът на средствата от програмата за целите на Ф</w:t>
      </w:r>
      <w:r w:rsidR="009A5C71">
        <w:t>И</w:t>
      </w:r>
    </w:p>
    <w:sectPr w:rsidR="0024311F" w:rsidRPr="0073126C" w:rsidSect="00FE57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F5DF7"/>
    <w:multiLevelType w:val="hybridMultilevel"/>
    <w:tmpl w:val="4F9A364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73126C"/>
    <w:rsid w:val="001B18D9"/>
    <w:rsid w:val="0024311F"/>
    <w:rsid w:val="002F19C5"/>
    <w:rsid w:val="0044465A"/>
    <w:rsid w:val="0073126C"/>
    <w:rsid w:val="007A281E"/>
    <w:rsid w:val="00923D1C"/>
    <w:rsid w:val="009A5C71"/>
    <w:rsid w:val="00A16CF8"/>
    <w:rsid w:val="00C17936"/>
    <w:rsid w:val="00DC3DB1"/>
    <w:rsid w:val="00E03DC0"/>
    <w:rsid w:val="00E630F7"/>
    <w:rsid w:val="00F85DE1"/>
    <w:rsid w:val="00FE579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7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Vesselina Georgieva</dc:creator>
  <cp:lastModifiedBy>Vesselina Georgieva</cp:lastModifiedBy>
  <cp:revision>1</cp:revision>
  <dcterms:created xsi:type="dcterms:W3CDTF">2014-09-26T09:06:00Z</dcterms:created>
  <dcterms:modified xsi:type="dcterms:W3CDTF">2014-09-26T09:59:00Z</dcterms:modified>
</cp:coreProperties>
</file>