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3BCE" w14:textId="6616D972" w:rsidR="002B7BE9" w:rsidRPr="00D3726A" w:rsidRDefault="00B6103B" w:rsidP="007C235E">
      <w:pPr>
        <w:jc w:val="center"/>
        <w:rPr>
          <w:rFonts w:ascii="Times New Roman" w:hAnsi="Times New Roman" w:cs="Times New Roman"/>
          <w:bCs/>
          <w:sz w:val="24"/>
          <w:szCs w:val="24"/>
        </w:rPr>
      </w:pPr>
      <w:r>
        <w:rPr>
          <w:rFonts w:ascii="Times New Roman" w:hAnsi="Times New Roman" w:cs="Times New Roman"/>
          <w:bCs/>
          <w:sz w:val="24"/>
          <w:szCs w:val="24"/>
        </w:rPr>
        <w:t>КОНСУЛТАЦИИ С ОБЩЕСТВЕНОСТТА (чл. 20 от Наредбата за ЕО) И</w:t>
      </w:r>
      <w:r w:rsidR="00614A9E">
        <w:rPr>
          <w:rFonts w:ascii="Times New Roman" w:hAnsi="Times New Roman" w:cs="Times New Roman"/>
          <w:bCs/>
          <w:sz w:val="24"/>
          <w:szCs w:val="24"/>
        </w:rPr>
        <w:t xml:space="preserve"> </w:t>
      </w:r>
      <w:r w:rsidR="00356889">
        <w:rPr>
          <w:rFonts w:ascii="Times New Roman" w:hAnsi="Times New Roman" w:cs="Times New Roman"/>
          <w:bCs/>
          <w:sz w:val="24"/>
          <w:szCs w:val="24"/>
        </w:rPr>
        <w:t>ОБЩЕСТВЕНО ОБСЪЖДАНЕ</w:t>
      </w:r>
      <w:r>
        <w:rPr>
          <w:rFonts w:ascii="Times New Roman" w:hAnsi="Times New Roman" w:cs="Times New Roman"/>
          <w:bCs/>
          <w:sz w:val="24"/>
          <w:szCs w:val="24"/>
        </w:rPr>
        <w:t xml:space="preserve"> (</w:t>
      </w:r>
      <w:r w:rsidRPr="00B6103B">
        <w:rPr>
          <w:rFonts w:ascii="Times New Roman" w:hAnsi="Times New Roman" w:cs="Times New Roman"/>
          <w:bCs/>
          <w:sz w:val="24"/>
          <w:szCs w:val="24"/>
        </w:rPr>
        <w:t xml:space="preserve">чл. 14, ал. 2 </w:t>
      </w:r>
      <w:r>
        <w:rPr>
          <w:rFonts w:ascii="Times New Roman" w:hAnsi="Times New Roman" w:cs="Times New Roman"/>
          <w:bCs/>
          <w:sz w:val="24"/>
          <w:szCs w:val="24"/>
        </w:rPr>
        <w:t xml:space="preserve">от </w:t>
      </w:r>
      <w:r w:rsidRPr="00B6103B">
        <w:rPr>
          <w:rFonts w:ascii="Times New Roman" w:hAnsi="Times New Roman" w:cs="Times New Roman"/>
          <w:bCs/>
          <w:sz w:val="24"/>
          <w:szCs w:val="24"/>
        </w:rPr>
        <w:t>ПМС № 142/2019 г.</w:t>
      </w:r>
      <w:r>
        <w:rPr>
          <w:rFonts w:ascii="Times New Roman" w:hAnsi="Times New Roman" w:cs="Times New Roman"/>
          <w:bCs/>
          <w:sz w:val="24"/>
          <w:szCs w:val="24"/>
        </w:rPr>
        <w:t>)</w:t>
      </w:r>
      <w:r w:rsidR="00356889">
        <w:rPr>
          <w:rFonts w:ascii="Times New Roman" w:hAnsi="Times New Roman" w:cs="Times New Roman"/>
          <w:bCs/>
          <w:sz w:val="24"/>
          <w:szCs w:val="24"/>
        </w:rPr>
        <w:t xml:space="preserve"> НА</w:t>
      </w:r>
      <w:r>
        <w:rPr>
          <w:rFonts w:ascii="Times New Roman" w:hAnsi="Times New Roman" w:cs="Times New Roman"/>
          <w:bCs/>
          <w:sz w:val="24"/>
          <w:szCs w:val="24"/>
        </w:rPr>
        <w:t xml:space="preserve"> </w:t>
      </w:r>
      <w:r w:rsidR="00D95D8A" w:rsidRPr="00D3726A">
        <w:rPr>
          <w:rFonts w:ascii="Times New Roman" w:hAnsi="Times New Roman" w:cs="Times New Roman"/>
          <w:bCs/>
          <w:sz w:val="24"/>
          <w:szCs w:val="24"/>
        </w:rPr>
        <w:t>ТРЕТИ</w:t>
      </w:r>
      <w:r w:rsidR="00E1093C" w:rsidRPr="00D3726A">
        <w:rPr>
          <w:rFonts w:ascii="Times New Roman" w:hAnsi="Times New Roman" w:cs="Times New Roman"/>
          <w:bCs/>
          <w:sz w:val="24"/>
          <w:szCs w:val="24"/>
        </w:rPr>
        <w:t xml:space="preserve"> РАБОТЕН ПРОЕКТ НА ПРОГРАМА „ОКОЛНА СРЕДА“ 2021-2027 г.</w:t>
      </w:r>
    </w:p>
    <w:p w14:paraId="5CAFF646" w14:textId="552DF0EB" w:rsidR="00D95D8A" w:rsidRPr="00D3726A" w:rsidRDefault="004E146B" w:rsidP="004E146B">
      <w:pPr>
        <w:jc w:val="center"/>
        <w:rPr>
          <w:rFonts w:ascii="Times New Roman" w:hAnsi="Times New Roman" w:cs="Times New Roman"/>
          <w:bCs/>
          <w:sz w:val="24"/>
          <w:szCs w:val="24"/>
        </w:rPr>
      </w:pPr>
      <w:r>
        <w:rPr>
          <w:rFonts w:ascii="Times New Roman" w:hAnsi="Times New Roman" w:cs="Times New Roman"/>
          <w:bCs/>
          <w:sz w:val="24"/>
          <w:szCs w:val="24"/>
        </w:rPr>
        <w:t xml:space="preserve">9.2.2021 – </w:t>
      </w:r>
      <w:r w:rsidR="00356889">
        <w:rPr>
          <w:rFonts w:ascii="Times New Roman" w:hAnsi="Times New Roman" w:cs="Times New Roman"/>
          <w:bCs/>
          <w:sz w:val="24"/>
          <w:szCs w:val="24"/>
        </w:rPr>
        <w:t>1</w:t>
      </w:r>
      <w:r w:rsidR="00B6103B">
        <w:rPr>
          <w:rFonts w:ascii="Times New Roman" w:hAnsi="Times New Roman" w:cs="Times New Roman"/>
          <w:bCs/>
          <w:sz w:val="24"/>
          <w:szCs w:val="24"/>
        </w:rPr>
        <w:t>2</w:t>
      </w:r>
      <w:r w:rsidR="00356889">
        <w:rPr>
          <w:rFonts w:ascii="Times New Roman" w:hAnsi="Times New Roman" w:cs="Times New Roman"/>
          <w:bCs/>
          <w:sz w:val="24"/>
          <w:szCs w:val="24"/>
        </w:rPr>
        <w:t>.3</w:t>
      </w:r>
      <w:r w:rsidR="00C9657E" w:rsidRPr="00D3726A">
        <w:rPr>
          <w:rFonts w:ascii="Times New Roman" w:hAnsi="Times New Roman" w:cs="Times New Roman"/>
          <w:bCs/>
          <w:sz w:val="24"/>
          <w:szCs w:val="24"/>
        </w:rPr>
        <w:t xml:space="preserve">.1.2021 г. </w:t>
      </w:r>
    </w:p>
    <w:tbl>
      <w:tblPr>
        <w:tblStyle w:val="TableGrid"/>
        <w:tblW w:w="15331" w:type="dxa"/>
        <w:tblInd w:w="-572" w:type="dxa"/>
        <w:tblLayout w:type="fixed"/>
        <w:tblLook w:val="04A0" w:firstRow="1" w:lastRow="0" w:firstColumn="1" w:lastColumn="0" w:noHBand="0" w:noVBand="1"/>
      </w:tblPr>
      <w:tblGrid>
        <w:gridCol w:w="709"/>
        <w:gridCol w:w="2268"/>
        <w:gridCol w:w="7960"/>
        <w:gridCol w:w="4394"/>
      </w:tblGrid>
      <w:tr w:rsidR="00081A0C" w:rsidRPr="00D3726A" w14:paraId="75933097" w14:textId="77777777" w:rsidTr="000B581F">
        <w:tc>
          <w:tcPr>
            <w:tcW w:w="709" w:type="dxa"/>
            <w:shd w:val="clear" w:color="auto" w:fill="D9D9D9" w:themeFill="background1" w:themeFillShade="D9"/>
          </w:tcPr>
          <w:p w14:paraId="3FE607FB" w14:textId="77777777" w:rsidR="00F03FB1" w:rsidRPr="00D3726A" w:rsidRDefault="00F03FB1" w:rsidP="007C235E">
            <w:pPr>
              <w:spacing w:before="240"/>
              <w:jc w:val="both"/>
              <w:rPr>
                <w:rFonts w:ascii="Times New Roman" w:hAnsi="Times New Roman" w:cs="Times New Roman"/>
                <w:bCs/>
                <w:sz w:val="24"/>
                <w:szCs w:val="24"/>
              </w:rPr>
            </w:pPr>
            <w:r w:rsidRPr="00D3726A">
              <w:rPr>
                <w:rFonts w:ascii="Times New Roman" w:hAnsi="Times New Roman" w:cs="Times New Roman"/>
                <w:bCs/>
                <w:sz w:val="24"/>
                <w:szCs w:val="24"/>
              </w:rPr>
              <w:t>№</w:t>
            </w:r>
          </w:p>
        </w:tc>
        <w:tc>
          <w:tcPr>
            <w:tcW w:w="2268" w:type="dxa"/>
            <w:shd w:val="clear" w:color="auto" w:fill="D9D9D9" w:themeFill="background1" w:themeFillShade="D9"/>
          </w:tcPr>
          <w:p w14:paraId="76CD0039" w14:textId="1E1DD865" w:rsidR="00F03FB1" w:rsidRPr="00D3726A" w:rsidRDefault="00DE7ED4" w:rsidP="007C235E">
            <w:pPr>
              <w:spacing w:before="240"/>
              <w:jc w:val="center"/>
              <w:rPr>
                <w:rFonts w:ascii="Times New Roman" w:hAnsi="Times New Roman" w:cs="Times New Roman"/>
                <w:b/>
                <w:sz w:val="24"/>
                <w:szCs w:val="24"/>
              </w:rPr>
            </w:pPr>
            <w:r w:rsidRPr="00D3726A">
              <w:rPr>
                <w:rFonts w:ascii="Times New Roman" w:hAnsi="Times New Roman" w:cs="Times New Roman"/>
                <w:b/>
                <w:sz w:val="24"/>
                <w:szCs w:val="24"/>
              </w:rPr>
              <w:t>Представител на Институция/</w:t>
            </w:r>
            <w:r w:rsidR="00081A0C" w:rsidRPr="00D3726A">
              <w:rPr>
                <w:rFonts w:ascii="Times New Roman" w:hAnsi="Times New Roman" w:cs="Times New Roman"/>
                <w:b/>
                <w:sz w:val="24"/>
                <w:szCs w:val="24"/>
              </w:rPr>
              <w:t xml:space="preserve"> </w:t>
            </w:r>
            <w:r w:rsidRPr="00D3726A">
              <w:rPr>
                <w:rFonts w:ascii="Times New Roman" w:hAnsi="Times New Roman" w:cs="Times New Roman"/>
                <w:b/>
                <w:sz w:val="24"/>
                <w:szCs w:val="24"/>
              </w:rPr>
              <w:t>Организация</w:t>
            </w:r>
          </w:p>
        </w:tc>
        <w:tc>
          <w:tcPr>
            <w:tcW w:w="7960" w:type="dxa"/>
            <w:shd w:val="clear" w:color="auto" w:fill="D9D9D9" w:themeFill="background1" w:themeFillShade="D9"/>
          </w:tcPr>
          <w:p w14:paraId="318E74F5" w14:textId="77777777" w:rsidR="00F03FB1" w:rsidRPr="00D3726A" w:rsidRDefault="00F03FB1" w:rsidP="007C235E">
            <w:pPr>
              <w:spacing w:before="240"/>
              <w:jc w:val="center"/>
              <w:rPr>
                <w:rFonts w:ascii="Times New Roman" w:hAnsi="Times New Roman" w:cs="Times New Roman"/>
                <w:b/>
                <w:sz w:val="24"/>
                <w:szCs w:val="24"/>
              </w:rPr>
            </w:pPr>
            <w:r w:rsidRPr="00D3726A">
              <w:rPr>
                <w:rFonts w:ascii="Times New Roman" w:hAnsi="Times New Roman" w:cs="Times New Roman"/>
                <w:b/>
                <w:sz w:val="24"/>
                <w:szCs w:val="24"/>
              </w:rPr>
              <w:t>Коментар</w:t>
            </w:r>
          </w:p>
        </w:tc>
        <w:tc>
          <w:tcPr>
            <w:tcW w:w="4394" w:type="dxa"/>
            <w:shd w:val="clear" w:color="auto" w:fill="D9D9D9" w:themeFill="background1" w:themeFillShade="D9"/>
          </w:tcPr>
          <w:p w14:paraId="4129A45C" w14:textId="14907202" w:rsidR="00F03FB1" w:rsidRPr="00D3726A" w:rsidRDefault="00F03FB1" w:rsidP="007C235E">
            <w:pPr>
              <w:spacing w:before="240"/>
              <w:jc w:val="center"/>
              <w:rPr>
                <w:rFonts w:ascii="Times New Roman" w:hAnsi="Times New Roman" w:cs="Times New Roman"/>
                <w:b/>
                <w:sz w:val="24"/>
                <w:szCs w:val="24"/>
              </w:rPr>
            </w:pPr>
            <w:r w:rsidRPr="00D3726A">
              <w:rPr>
                <w:rFonts w:ascii="Times New Roman" w:hAnsi="Times New Roman" w:cs="Times New Roman"/>
                <w:b/>
                <w:sz w:val="24"/>
                <w:szCs w:val="24"/>
              </w:rPr>
              <w:t xml:space="preserve">Становище на УО на </w:t>
            </w:r>
            <w:r w:rsidR="00DE7ED4" w:rsidRPr="00D3726A">
              <w:rPr>
                <w:rFonts w:ascii="Times New Roman" w:hAnsi="Times New Roman" w:cs="Times New Roman"/>
                <w:b/>
                <w:sz w:val="24"/>
                <w:szCs w:val="24"/>
              </w:rPr>
              <w:t>ОПОС</w:t>
            </w:r>
          </w:p>
        </w:tc>
      </w:tr>
      <w:tr w:rsidR="0011614A" w:rsidRPr="00D3726A" w14:paraId="475492F9" w14:textId="77777777" w:rsidTr="000B581F">
        <w:trPr>
          <w:trHeight w:val="1833"/>
        </w:trPr>
        <w:tc>
          <w:tcPr>
            <w:tcW w:w="709" w:type="dxa"/>
          </w:tcPr>
          <w:p w14:paraId="3DF15623" w14:textId="70021F1D" w:rsidR="0011614A" w:rsidRPr="00D3726A" w:rsidRDefault="004A50BE" w:rsidP="004A50BE">
            <w:pPr>
              <w:ind w:left="142"/>
              <w:jc w:val="both"/>
              <w:rPr>
                <w:rFonts w:ascii="Times New Roman" w:hAnsi="Times New Roman" w:cs="Times New Roman"/>
                <w:b/>
                <w:sz w:val="20"/>
                <w:szCs w:val="20"/>
              </w:rPr>
            </w:pPr>
            <w:r w:rsidRPr="00D3726A">
              <w:rPr>
                <w:rFonts w:ascii="Times New Roman" w:hAnsi="Times New Roman" w:cs="Times New Roman"/>
                <w:b/>
                <w:sz w:val="24"/>
                <w:szCs w:val="24"/>
              </w:rPr>
              <w:t>1</w:t>
            </w:r>
            <w:r w:rsidRPr="00D3726A">
              <w:rPr>
                <w:rFonts w:ascii="Times New Roman" w:hAnsi="Times New Roman" w:cs="Times New Roman"/>
                <w:b/>
                <w:sz w:val="20"/>
                <w:szCs w:val="20"/>
              </w:rPr>
              <w:t>.</w:t>
            </w:r>
          </w:p>
        </w:tc>
        <w:tc>
          <w:tcPr>
            <w:tcW w:w="2268" w:type="dxa"/>
            <w:shd w:val="clear" w:color="auto" w:fill="auto"/>
          </w:tcPr>
          <w:p w14:paraId="0E856DD7" w14:textId="28FE1D44" w:rsidR="00A43F57" w:rsidRDefault="00CB1D57" w:rsidP="00D95D8A">
            <w:pPr>
              <w:jc w:val="both"/>
              <w:rPr>
                <w:rFonts w:ascii="Times New Roman" w:hAnsi="Times New Roman" w:cs="Times New Roman"/>
                <w:bCs/>
                <w:sz w:val="24"/>
                <w:szCs w:val="24"/>
              </w:rPr>
            </w:pPr>
            <w:r>
              <w:rPr>
                <w:rFonts w:ascii="Times New Roman" w:hAnsi="Times New Roman" w:cs="Times New Roman"/>
                <w:bCs/>
                <w:sz w:val="24"/>
                <w:szCs w:val="24"/>
              </w:rPr>
              <w:t>Силвия Георгиева</w:t>
            </w:r>
          </w:p>
          <w:p w14:paraId="37B57D11" w14:textId="51CA8438" w:rsidR="00CB1D57" w:rsidRPr="00CD31B9" w:rsidRDefault="00CB1D57" w:rsidP="00D95D8A">
            <w:pPr>
              <w:jc w:val="both"/>
              <w:rPr>
                <w:rFonts w:ascii="Times New Roman" w:hAnsi="Times New Roman" w:cs="Times New Roman"/>
                <w:bCs/>
                <w:sz w:val="24"/>
                <w:szCs w:val="24"/>
              </w:rPr>
            </w:pPr>
            <w:r>
              <w:rPr>
                <w:rFonts w:ascii="Times New Roman" w:hAnsi="Times New Roman" w:cs="Times New Roman"/>
                <w:bCs/>
                <w:sz w:val="24"/>
                <w:szCs w:val="24"/>
              </w:rPr>
              <w:t>Изп. директор</w:t>
            </w:r>
          </w:p>
          <w:p w14:paraId="3867AFAE" w14:textId="77777777" w:rsidR="0011614A" w:rsidRPr="00562F5C" w:rsidRDefault="00CB7E4E" w:rsidP="00CF587B">
            <w:pPr>
              <w:rPr>
                <w:rFonts w:ascii="Times New Roman" w:hAnsi="Times New Roman" w:cs="Times New Roman"/>
                <w:bCs/>
                <w:sz w:val="24"/>
                <w:szCs w:val="24"/>
              </w:rPr>
            </w:pPr>
            <w:r w:rsidRPr="00CD31B9">
              <w:rPr>
                <w:rFonts w:ascii="Times New Roman" w:hAnsi="Times New Roman" w:cs="Times New Roman"/>
                <w:bCs/>
                <w:sz w:val="24"/>
                <w:szCs w:val="24"/>
              </w:rPr>
              <w:t>НСОРБ</w:t>
            </w:r>
          </w:p>
          <w:p w14:paraId="6E8264DD" w14:textId="25C1EBCB" w:rsidR="00CD31B9" w:rsidRPr="00CD31B9" w:rsidRDefault="00831D1B" w:rsidP="00CF587B">
            <w:pPr>
              <w:rPr>
                <w:rFonts w:ascii="Times New Roman" w:hAnsi="Times New Roman" w:cs="Times New Roman"/>
                <w:bCs/>
                <w:sz w:val="24"/>
                <w:szCs w:val="24"/>
              </w:rPr>
            </w:pPr>
            <w:hyperlink r:id="rId8" w:history="1">
              <w:r w:rsidR="00CD31B9" w:rsidRPr="00562F5C">
                <w:rPr>
                  <w:rFonts w:ascii="Times New Roman" w:hAnsi="Times New Roman" w:cs="Times New Roman"/>
                  <w:color w:val="0563C1"/>
                  <w:sz w:val="24"/>
                  <w:szCs w:val="24"/>
                  <w:u w:val="single"/>
                </w:rPr>
                <w:t>namrb@namrb.org</w:t>
              </w:r>
            </w:hyperlink>
          </w:p>
        </w:tc>
        <w:tc>
          <w:tcPr>
            <w:tcW w:w="7960" w:type="dxa"/>
            <w:shd w:val="clear" w:color="auto" w:fill="auto"/>
          </w:tcPr>
          <w:p w14:paraId="71B5D947" w14:textId="4ABF00A6" w:rsidR="00011DA2" w:rsidRPr="00011DA2" w:rsidRDefault="00011DA2" w:rsidP="00011DA2">
            <w:pPr>
              <w:pStyle w:val="ListParagraph"/>
              <w:tabs>
                <w:tab w:val="left" w:pos="325"/>
              </w:tabs>
              <w:spacing w:after="240"/>
              <w:ind w:left="0"/>
              <w:rPr>
                <w:rFonts w:ascii="Times New Roman" w:eastAsia="Times New Roman" w:hAnsi="Times New Roman" w:cs="Times New Roman"/>
                <w:b/>
                <w:iCs/>
                <w:noProof/>
                <w:sz w:val="24"/>
                <w:szCs w:val="24"/>
                <w:lang w:eastAsia="bg-BG" w:bidi="bg-BG"/>
              </w:rPr>
            </w:pPr>
            <w:r w:rsidRPr="00011DA2">
              <w:rPr>
                <w:rFonts w:ascii="Times New Roman" w:eastAsia="Times New Roman" w:hAnsi="Times New Roman" w:cs="Times New Roman"/>
                <w:b/>
                <w:iCs/>
                <w:noProof/>
                <w:sz w:val="24"/>
                <w:szCs w:val="24"/>
                <w:lang w:eastAsia="bg-BG" w:bidi="bg-BG"/>
              </w:rPr>
              <w:t>По приоритетна ос 2 „Отпадъци“</w:t>
            </w:r>
          </w:p>
          <w:p w14:paraId="685D6A28" w14:textId="77777777" w:rsidR="00011DA2" w:rsidRPr="00011DA2" w:rsidRDefault="00011DA2" w:rsidP="00011DA2">
            <w:pPr>
              <w:pStyle w:val="ListParagraph"/>
              <w:tabs>
                <w:tab w:val="left" w:pos="325"/>
              </w:tabs>
              <w:spacing w:after="240"/>
              <w:ind w:left="0"/>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Мерките в Приоритетна ос 2 подчертават усилията за засилване на ефекта на заложената в ПОС специфична цел за “Насърчаване на прехода към кръгова и ресурсно ефективна икономика”, което от своя страна осигурява необходимите стимули за постигане на стратегическите цели на ЕС, за преминаване от линейна към кръгова икономика и ресурсна ефективност. Те са насочени към реализацията на проекти, свързани с: намаляване на количествата генерирани отпадъци; създаване на условия за повторна употреба; увеличаване на дела на разделното събиране и рециклиране, за сметка намаляване на депонирането; повишаване на осведомеността на жителите и генераторите на отпадъци в съответните населени места; пилотно обследване на системите за управление на отпадъците и набелязване на мерки за оптимизирането им.</w:t>
            </w:r>
          </w:p>
          <w:p w14:paraId="62BE79FD" w14:textId="77777777" w:rsidR="00011DA2" w:rsidRPr="00011DA2" w:rsidRDefault="00011DA2" w:rsidP="00011DA2">
            <w:pPr>
              <w:pStyle w:val="ListParagraph"/>
              <w:tabs>
                <w:tab w:val="left" w:pos="325"/>
              </w:tabs>
              <w:spacing w:after="240"/>
              <w:ind w:left="0"/>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 xml:space="preserve">В същото време се констатира, че спрямо вторият вариант на ПОС е отпаднала мярката за „ </w:t>
            </w:r>
            <w:r w:rsidRPr="00011DA2">
              <w:rPr>
                <w:rFonts w:ascii="Times New Roman" w:eastAsia="Times New Roman" w:hAnsi="Times New Roman" w:cs="Times New Roman"/>
                <w:bCs/>
                <w:i/>
                <w:iCs/>
                <w:noProof/>
                <w:sz w:val="24"/>
                <w:szCs w:val="24"/>
                <w:lang w:eastAsia="bg-BG" w:bidi="bg-BG"/>
              </w:rPr>
              <w:t>извършване на рекултивация и укрепване на съществуващи клетки и депа с възможност за удължаване на експлоатационния им период, без</w:t>
            </w:r>
            <w:r w:rsidRPr="00011DA2">
              <w:rPr>
                <w:rFonts w:ascii="Times New Roman" w:eastAsia="Times New Roman" w:hAnsi="Times New Roman" w:cs="Times New Roman"/>
                <w:bCs/>
                <w:i/>
                <w:iCs/>
                <w:noProof/>
                <w:sz w:val="24"/>
                <w:szCs w:val="24"/>
                <w:lang w:eastAsia="bg-BG" w:bidi="bg-BG"/>
              </w:rPr>
              <w:br w:type="page"/>
              <w:t>увеличаване на капацитета им“,</w:t>
            </w:r>
            <w:r w:rsidRPr="00011DA2">
              <w:rPr>
                <w:rFonts w:ascii="Times New Roman" w:eastAsia="Times New Roman" w:hAnsi="Times New Roman" w:cs="Times New Roman"/>
                <w:bCs/>
                <w:iCs/>
                <w:noProof/>
                <w:sz w:val="24"/>
                <w:szCs w:val="24"/>
                <w:lang w:eastAsia="bg-BG" w:bidi="bg-BG"/>
              </w:rPr>
              <w:t xml:space="preserve"> която </w:t>
            </w:r>
            <w:r w:rsidRPr="00011DA2">
              <w:rPr>
                <w:rFonts w:ascii="Times New Roman" w:eastAsia="Times New Roman" w:hAnsi="Times New Roman" w:cs="Times New Roman"/>
                <w:bCs/>
                <w:iCs/>
                <w:noProof/>
                <w:sz w:val="24"/>
                <w:szCs w:val="24"/>
                <w:lang w:eastAsia="bg-BG" w:bidi="bg-BG"/>
              </w:rPr>
              <w:lastRenderedPageBreak/>
              <w:t>пряко касае общините, тъй като дава възможност за предоставяне на финансов ресурс, при спазване на всички изисквания и приоритети на политиките за управление на отпадъците.</w:t>
            </w:r>
          </w:p>
          <w:p w14:paraId="405AC99C" w14:textId="77777777" w:rsidR="00011DA2" w:rsidRPr="00011DA2" w:rsidRDefault="00011DA2" w:rsidP="00011DA2">
            <w:pPr>
              <w:pStyle w:val="ListParagraph"/>
              <w:tabs>
                <w:tab w:val="left" w:pos="325"/>
              </w:tabs>
              <w:spacing w:after="240"/>
              <w:ind w:left="0"/>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Не без значение е и факта, че наличието на подобна мярка е напълно съобразено с текстовете на Регламента за ЕФРР и КФ и принципите за опазване на околната среда.</w:t>
            </w:r>
          </w:p>
          <w:p w14:paraId="1B645E8F" w14:textId="75F53252" w:rsidR="00A43F57" w:rsidRPr="00D3726A" w:rsidRDefault="00011DA2" w:rsidP="00011DA2">
            <w:pPr>
              <w:pStyle w:val="ListParagraph"/>
              <w:widowControl w:val="0"/>
              <w:tabs>
                <w:tab w:val="left" w:pos="325"/>
              </w:tabs>
              <w:spacing w:after="240"/>
              <w:ind w:left="0"/>
              <w:jc w:val="both"/>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В тази връзка, с настоящото становище предлагаме възстановяване на мярката в окончателния вариант на ПОС 2021-2027, тъй като отпадането й би лишило общините от една възможност за осигуряването на средства за тези толкова необходими и важни рекултивационни дейности, без допълнително финансово натоварване на местните жители и стопанските субекти.</w:t>
            </w:r>
          </w:p>
        </w:tc>
        <w:tc>
          <w:tcPr>
            <w:tcW w:w="4394" w:type="dxa"/>
          </w:tcPr>
          <w:p w14:paraId="4C5B38F3" w14:textId="52B6FD4E" w:rsidR="00F347D5" w:rsidRPr="00F347D5" w:rsidRDefault="00F347D5" w:rsidP="00F347D5">
            <w:pPr>
              <w:jc w:val="both"/>
              <w:rPr>
                <w:rFonts w:ascii="Times New Roman" w:hAnsi="Times New Roman" w:cs="Times New Roman"/>
                <w:bCs/>
                <w:sz w:val="24"/>
                <w:szCs w:val="24"/>
              </w:rPr>
            </w:pPr>
            <w:r w:rsidRPr="00F347D5">
              <w:rPr>
                <w:rFonts w:ascii="Times New Roman" w:hAnsi="Times New Roman" w:cs="Times New Roman"/>
                <w:bCs/>
                <w:sz w:val="24"/>
                <w:szCs w:val="24"/>
              </w:rPr>
              <w:lastRenderedPageBreak/>
              <w:t xml:space="preserve">Предложението на НСОРБ е консултирано с компетентната дирекция в МОСВ, тъй като мярката е извадена от обхвата на ПОС 2021-2027 въз основа на становище на представителя на дирекция „Управление на отпадъците и опазване на почвите“ (УООП) в рамките на Тематичната работна група за разработване на програмата. В предоставеното становище дирекция УООП подкрепя отпадането на мярката за рекултивация на депа със следните мотиви: Европейското и национално законодателство изисква финансови гаранции от собствениците на депата по отношение закриването и </w:t>
            </w:r>
            <w:r w:rsidRPr="00F347D5">
              <w:rPr>
                <w:rFonts w:ascii="Times New Roman" w:hAnsi="Times New Roman" w:cs="Times New Roman"/>
                <w:bCs/>
                <w:sz w:val="24"/>
                <w:szCs w:val="24"/>
              </w:rPr>
              <w:lastRenderedPageBreak/>
              <w:t>следексплоатационните грижи на площадките на депа. Цената на депониране на отпадъците се определя с план-сметки за вс</w:t>
            </w:r>
            <w:r w:rsidR="00563446">
              <w:rPr>
                <w:rFonts w:ascii="Times New Roman" w:hAnsi="Times New Roman" w:cs="Times New Roman"/>
                <w:bCs/>
                <w:sz w:val="24"/>
                <w:szCs w:val="24"/>
              </w:rPr>
              <w:t>я</w:t>
            </w:r>
            <w:r w:rsidRPr="00F347D5">
              <w:rPr>
                <w:rFonts w:ascii="Times New Roman" w:hAnsi="Times New Roman" w:cs="Times New Roman"/>
                <w:bCs/>
                <w:sz w:val="24"/>
                <w:szCs w:val="24"/>
              </w:rPr>
              <w:t>ка от дейностите по изграждане, експлоатация, мониторинг, закриване и следексплоатационни грижи за депото при отчитане на очаквания годишен обем на постъпващите отпадъци за целия период на експлоатация на депото и трябва да възстановява разходите за изграждане на депото и да покрива разходите за експлоатация, мониторинг, закриване (вкл. рекултивация) и след експлоатацационни грижи за площадката на депото за период не по-кр</w:t>
            </w:r>
            <w:r w:rsidR="00563446">
              <w:rPr>
                <w:rFonts w:ascii="Times New Roman" w:hAnsi="Times New Roman" w:cs="Times New Roman"/>
                <w:bCs/>
                <w:sz w:val="24"/>
                <w:szCs w:val="24"/>
              </w:rPr>
              <w:t>а</w:t>
            </w:r>
            <w:r w:rsidRPr="00F347D5">
              <w:rPr>
                <w:rFonts w:ascii="Times New Roman" w:hAnsi="Times New Roman" w:cs="Times New Roman"/>
                <w:bCs/>
                <w:sz w:val="24"/>
                <w:szCs w:val="24"/>
              </w:rPr>
              <w:t>тъ</w:t>
            </w:r>
            <w:r w:rsidR="00563446">
              <w:rPr>
                <w:rFonts w:ascii="Times New Roman" w:hAnsi="Times New Roman" w:cs="Times New Roman"/>
                <w:bCs/>
                <w:sz w:val="24"/>
                <w:szCs w:val="24"/>
              </w:rPr>
              <w:t>к</w:t>
            </w:r>
            <w:r w:rsidRPr="00F347D5">
              <w:rPr>
                <w:rFonts w:ascii="Times New Roman" w:hAnsi="Times New Roman" w:cs="Times New Roman"/>
                <w:bCs/>
                <w:sz w:val="24"/>
                <w:szCs w:val="24"/>
              </w:rPr>
              <w:t xml:space="preserve"> от 30 години, както е заложено в чл. 14, ал. 5 и 6 от Наредба № 6/2013 г. за условията и изискванията за изграждане и експлоатация на депа и на други съоръжения и инсталации за оползотворяване и обезвреждане на отпадъци. Въз основа на проекта на рекултивация на депото се определя размера на обезпеченията, изисквани при депониране на отпадъци, с които трябва да се изпълнят заложените изисквания на чл. 60 от Закона за управление на отпадъците (ЗУО) и чл. 3 от Наредба № 7/2013 г. за реда и начина на изчисляване и определяне размера на обезпеченията и отчисленията, изисквани при депониране на отпадъци. Целта на въведения финансов инструмент по чл. 60 (обезпечения) от ЗУО е осигуряване на необходимите </w:t>
            </w:r>
            <w:r w:rsidRPr="00F347D5">
              <w:rPr>
                <w:rFonts w:ascii="Times New Roman" w:hAnsi="Times New Roman" w:cs="Times New Roman"/>
                <w:bCs/>
                <w:sz w:val="24"/>
                <w:szCs w:val="24"/>
              </w:rPr>
              <w:lastRenderedPageBreak/>
              <w:t>средства за рекултивация и следексплоатационни грижи на депата. Стойността на месечните отчисления се определят от всеки собственик на депото. Натрупаните средства от обезпеченията по чл. 60 от ЗУО са целеви и те не могат да се изразходват за други цели освен за закриване и следексплоатационни грижи за депата. Конкретно по отношение на дейността „повторно преработване на депонирани отпадъци“ считаме, че визираните количества отпадъци вече са били отчетени за съответната година, като обезвредени и последващи дейности с тях не биха повишили резултатите за изпълнението на целите по чл. 31, ал. 1, ал. 3, ал. 4 и ал. 5 от ЗУО.</w:t>
            </w:r>
          </w:p>
          <w:p w14:paraId="748C598E" w14:textId="62A4A555" w:rsidR="0009243D" w:rsidRPr="00D3726A" w:rsidRDefault="00F347D5" w:rsidP="00F347D5">
            <w:pPr>
              <w:jc w:val="both"/>
              <w:rPr>
                <w:rFonts w:ascii="Times New Roman" w:hAnsi="Times New Roman" w:cs="Times New Roman"/>
                <w:bCs/>
                <w:sz w:val="24"/>
                <w:szCs w:val="24"/>
              </w:rPr>
            </w:pPr>
            <w:r w:rsidRPr="00F347D5">
              <w:rPr>
                <w:rFonts w:ascii="Times New Roman" w:hAnsi="Times New Roman" w:cs="Times New Roman"/>
                <w:bCs/>
                <w:sz w:val="24"/>
                <w:szCs w:val="24"/>
              </w:rPr>
              <w:t>Съобразено с компетенциите на дирекция УООП на МОСВ по политиката по управление на отпадъците и изразеното от тях становище, предложението за възстановяването на мярката за рекултивация на депа в проекта на ПОС 2021-2027 г. не може да бъде прието.</w:t>
            </w:r>
          </w:p>
        </w:tc>
      </w:tr>
      <w:tr w:rsidR="00CD31B9" w:rsidRPr="00D3726A" w14:paraId="4B82F7D9" w14:textId="77777777" w:rsidTr="000B581F">
        <w:trPr>
          <w:trHeight w:val="781"/>
        </w:trPr>
        <w:tc>
          <w:tcPr>
            <w:tcW w:w="709" w:type="dxa"/>
            <w:vMerge w:val="restart"/>
          </w:tcPr>
          <w:p w14:paraId="6BC326F2" w14:textId="7164A337" w:rsidR="00CD31B9" w:rsidRPr="00D3726A" w:rsidRDefault="00CD31B9" w:rsidP="0040317E">
            <w:pPr>
              <w:ind w:left="142"/>
              <w:jc w:val="both"/>
              <w:rPr>
                <w:rFonts w:ascii="Times New Roman" w:hAnsi="Times New Roman" w:cs="Times New Roman"/>
                <w:b/>
                <w:sz w:val="24"/>
                <w:szCs w:val="24"/>
              </w:rPr>
            </w:pPr>
            <w:r w:rsidRPr="00D3726A">
              <w:rPr>
                <w:rFonts w:ascii="Times New Roman" w:hAnsi="Times New Roman" w:cs="Times New Roman"/>
                <w:b/>
                <w:sz w:val="24"/>
                <w:szCs w:val="24"/>
              </w:rPr>
              <w:lastRenderedPageBreak/>
              <w:t>2.</w:t>
            </w:r>
          </w:p>
        </w:tc>
        <w:tc>
          <w:tcPr>
            <w:tcW w:w="2268" w:type="dxa"/>
            <w:vMerge w:val="restart"/>
          </w:tcPr>
          <w:p w14:paraId="418227DF" w14:textId="77777777" w:rsidR="00CD31B9" w:rsidRDefault="00CD31B9"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r w:rsidRPr="00CB7E4E">
              <w:rPr>
                <w:rFonts w:ascii="Times New Roman" w:eastAsia="Times New Roman" w:hAnsi="Times New Roman" w:cs="Times New Roman"/>
                <w:color w:val="000000"/>
                <w:sz w:val="24"/>
                <w:szCs w:val="24"/>
                <w:lang w:eastAsia="bg-BG"/>
              </w:rPr>
              <w:t>Андрей Ковачев, член на УС на</w:t>
            </w:r>
          </w:p>
          <w:p w14:paraId="7D7B456B" w14:textId="0849EA3F" w:rsidR="00CD31B9" w:rsidRDefault="00CD31B9"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r w:rsidRPr="00CB7E4E">
              <w:rPr>
                <w:rFonts w:ascii="Times New Roman" w:eastAsia="Times New Roman" w:hAnsi="Times New Roman" w:cs="Times New Roman"/>
                <w:color w:val="000000"/>
                <w:sz w:val="24"/>
                <w:szCs w:val="24"/>
                <w:lang w:eastAsia="bg-BG"/>
              </w:rPr>
              <w:t xml:space="preserve">СДП </w:t>
            </w:r>
            <w:r>
              <w:rPr>
                <w:rFonts w:ascii="Times New Roman" w:eastAsia="Times New Roman" w:hAnsi="Times New Roman" w:cs="Times New Roman"/>
                <w:color w:val="000000"/>
                <w:sz w:val="24"/>
                <w:szCs w:val="24"/>
                <w:lang w:eastAsia="bg-BG"/>
              </w:rPr>
              <w:t>„</w:t>
            </w:r>
            <w:r w:rsidRPr="00CB7E4E">
              <w:rPr>
                <w:rFonts w:ascii="Times New Roman" w:eastAsia="Times New Roman" w:hAnsi="Times New Roman" w:cs="Times New Roman"/>
                <w:color w:val="000000"/>
                <w:sz w:val="24"/>
                <w:szCs w:val="24"/>
                <w:lang w:eastAsia="bg-BG"/>
              </w:rPr>
              <w:t>БАЛКАНИ</w:t>
            </w:r>
            <w:r>
              <w:rPr>
                <w:rFonts w:ascii="Times New Roman" w:eastAsia="Times New Roman" w:hAnsi="Times New Roman" w:cs="Times New Roman"/>
                <w:color w:val="000000"/>
                <w:sz w:val="24"/>
                <w:szCs w:val="24"/>
                <w:lang w:eastAsia="bg-BG"/>
              </w:rPr>
              <w:t>“</w:t>
            </w:r>
          </w:p>
          <w:p w14:paraId="16AC22D8" w14:textId="219679F6" w:rsidR="00011DA2" w:rsidRPr="00CB7E4E" w:rsidRDefault="00831D1B"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hyperlink r:id="rId9" w:history="1">
              <w:r w:rsidR="00011DA2">
                <w:rPr>
                  <w:rStyle w:val="Hyperlink"/>
                </w:rPr>
                <w:t>office@balkani.org</w:t>
              </w:r>
            </w:hyperlink>
          </w:p>
          <w:p w14:paraId="38B9F3C5" w14:textId="6BD24A5A" w:rsidR="00CD31B9" w:rsidRPr="00D3726A" w:rsidRDefault="00CD31B9" w:rsidP="00CF587B">
            <w:pPr>
              <w:rPr>
                <w:rFonts w:ascii="Times New Roman" w:hAnsi="Times New Roman" w:cs="Times New Roman"/>
                <w:bCs/>
                <w:i/>
                <w:iCs/>
                <w:sz w:val="24"/>
                <w:szCs w:val="24"/>
              </w:rPr>
            </w:pPr>
          </w:p>
        </w:tc>
        <w:tc>
          <w:tcPr>
            <w:tcW w:w="7960" w:type="dxa"/>
            <w:shd w:val="clear" w:color="auto" w:fill="auto"/>
          </w:tcPr>
          <w:p w14:paraId="60E14E7D"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b/>
                <w:color w:val="000000"/>
                <w:sz w:val="24"/>
                <w:szCs w:val="24"/>
                <w:lang w:eastAsia="bg-BG"/>
              </w:rPr>
              <w:t>По приоритет 1 “Води“</w:t>
            </w:r>
          </w:p>
          <w:p w14:paraId="3E8CF43E" w14:textId="77777777" w:rsidR="00CD31B9" w:rsidRPr="00CD31B9" w:rsidRDefault="00CD31B9" w:rsidP="00CD31B9">
            <w:pPr>
              <w:autoSpaceDE w:val="0"/>
              <w:autoSpaceDN w:val="0"/>
              <w:adjustRightInd w:val="0"/>
              <w:jc w:val="both"/>
              <w:rPr>
                <w:rFonts w:ascii="Times New Roman" w:eastAsia="Times New Roman" w:hAnsi="Times New Roman" w:cs="Times New Roman"/>
                <w:color w:val="000000"/>
                <w:sz w:val="24"/>
                <w:szCs w:val="24"/>
                <w:lang w:eastAsia="bg-BG"/>
              </w:rPr>
            </w:pPr>
          </w:p>
          <w:p w14:paraId="4082B867"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color w:val="000000"/>
                <w:sz w:val="24"/>
                <w:szCs w:val="24"/>
                <w:lang w:eastAsia="bg-BG"/>
              </w:rPr>
              <w:t>Вече трето поред становище от името на СДП „Балкани“ се обръщаме към Вас с една и съща молба – в програма „Околна среда“ да се включат индикатори за процентите, с които ще се намалят загубите на вода от водоснабдителната мрежа в резултат</w:t>
            </w:r>
          </w:p>
          <w:p w14:paraId="71E92500"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color w:val="000000"/>
                <w:sz w:val="24"/>
                <w:szCs w:val="24"/>
                <w:lang w:eastAsia="bg-BG"/>
              </w:rPr>
              <w:t xml:space="preserve">от интервенциите по програмата. В Справката за проведените консултации по I-ви вариант на ПОС 2021-2027 г ни казвате: </w:t>
            </w:r>
            <w:r w:rsidRPr="00064753">
              <w:rPr>
                <w:rFonts w:ascii="Times New Roman" w:eastAsia="Times New Roman" w:hAnsi="Times New Roman" w:cs="Times New Roman"/>
                <w:i/>
                <w:iCs/>
                <w:color w:val="404040"/>
                <w:sz w:val="20"/>
                <w:szCs w:val="20"/>
                <w:lang w:eastAsia="bg-BG"/>
              </w:rPr>
              <w:t>„</w:t>
            </w:r>
            <w:r w:rsidRPr="00064753">
              <w:rPr>
                <w:rFonts w:ascii="Times New Roman" w:eastAsia="Calibri" w:hAnsi="Times New Roman" w:cs="Times New Roman"/>
                <w:i/>
                <w:iCs/>
                <w:color w:val="404040"/>
                <w:sz w:val="20"/>
                <w:szCs w:val="20"/>
                <w:lang w:eastAsia="bg-BG"/>
              </w:rPr>
              <w:t xml:space="preserve">Предвижда се след изясняване на тази конкретика по бъдещата процедура за строителство да бъдат изисквани и </w:t>
            </w:r>
            <w:r w:rsidRPr="00064753">
              <w:rPr>
                <w:rFonts w:ascii="Times New Roman" w:eastAsia="Calibri" w:hAnsi="Times New Roman" w:cs="Times New Roman"/>
                <w:i/>
                <w:iCs/>
                <w:color w:val="404040"/>
                <w:sz w:val="20"/>
                <w:szCs w:val="20"/>
                <w:lang w:eastAsia="bg-BG"/>
              </w:rPr>
              <w:lastRenderedPageBreak/>
              <w:t>допълнителни индикатори, както „%“ на намаляване на загубите на вода, в унисон с направеното и по ОПОС 2014-2020 г.“.</w:t>
            </w:r>
            <w:r w:rsidRPr="00CD31B9">
              <w:rPr>
                <w:rFonts w:ascii="Times New Roman" w:eastAsia="Calibri" w:hAnsi="Times New Roman" w:cs="Times New Roman"/>
                <w:color w:val="000000"/>
                <w:sz w:val="24"/>
                <w:szCs w:val="24"/>
                <w:lang w:eastAsia="bg-BG"/>
              </w:rPr>
              <w:t xml:space="preserve"> Вече навлизаме в последната фаза на изпълнение на ОПОС 2014 – 2020, а такава информация не е налична публично за финансираните проекти по ос 1, свързани с рехабилитация на водопреносна мрежа.</w:t>
            </w:r>
          </w:p>
          <w:p w14:paraId="183D6C2F"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p>
          <w:p w14:paraId="076C123B"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color w:val="000000"/>
                <w:sz w:val="24"/>
                <w:szCs w:val="24"/>
                <w:lang w:eastAsia="bg-BG"/>
              </w:rPr>
              <w:t>Версия 3 на ПОС отново няма измерими индикатори в тази връзка. Докладът по ЕО констатира, че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 и „Изпълнението на мярката има положително въздействие върху състоянието на подземните води чрез намаляване загубите на вода.“ Не става ясно как се е стигнало до това заключение без каквато и да било параметри.</w:t>
            </w:r>
          </w:p>
          <w:p w14:paraId="58041C07"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p>
          <w:p w14:paraId="30B41408"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b/>
                <w:i/>
                <w:color w:val="000000"/>
                <w:sz w:val="24"/>
                <w:szCs w:val="24"/>
                <w:lang w:eastAsia="bg-BG"/>
              </w:rPr>
              <w:t>Препоръката</w:t>
            </w:r>
            <w:r w:rsidRPr="00CD31B9">
              <w:rPr>
                <w:rFonts w:ascii="Times New Roman" w:eastAsia="Times New Roman" w:hAnsi="Times New Roman" w:cs="Times New Roman"/>
                <w:color w:val="000000"/>
                <w:sz w:val="24"/>
                <w:szCs w:val="24"/>
                <w:lang w:eastAsia="bg-BG"/>
              </w:rPr>
              <w:t xml:space="preserve"> ни, отново, е с цел да се осигури прозрачност на данъкоплатците (българските граждани осигуряват националното съфинансиране на мерките по програмата) да има ясно поставени цели и индикатори за намаляването на загубите на вода по мрежата.</w:t>
            </w:r>
          </w:p>
          <w:p w14:paraId="50C9AF19" w14:textId="2BD9A92F" w:rsidR="00CD31B9" w:rsidRPr="00D3726A" w:rsidRDefault="00CD31B9" w:rsidP="00BA3AD4">
            <w:pPr>
              <w:pStyle w:val="ListParagraph"/>
              <w:widowControl w:val="0"/>
              <w:tabs>
                <w:tab w:val="left" w:pos="325"/>
              </w:tabs>
              <w:spacing w:after="240"/>
              <w:ind w:left="0"/>
              <w:jc w:val="both"/>
              <w:rPr>
                <w:rFonts w:ascii="Times New Roman" w:eastAsia="Times New Roman" w:hAnsi="Times New Roman" w:cs="Times New Roman"/>
                <w:bCs/>
                <w:iCs/>
                <w:noProof/>
                <w:sz w:val="24"/>
                <w:szCs w:val="24"/>
                <w:lang w:eastAsia="bg-BG" w:bidi="bg-BG"/>
              </w:rPr>
            </w:pPr>
          </w:p>
        </w:tc>
        <w:tc>
          <w:tcPr>
            <w:tcW w:w="4394" w:type="dxa"/>
            <w:tcBorders>
              <w:top w:val="single" w:sz="4" w:space="0" w:color="auto"/>
            </w:tcBorders>
          </w:tcPr>
          <w:p w14:paraId="4588525F" w14:textId="77777777" w:rsidR="00CD31B9" w:rsidRDefault="00CD31B9" w:rsidP="00D758A4">
            <w:pPr>
              <w:jc w:val="both"/>
              <w:rPr>
                <w:rFonts w:ascii="Times New Roman" w:hAnsi="Times New Roman" w:cs="Times New Roman"/>
                <w:bCs/>
                <w:sz w:val="24"/>
                <w:szCs w:val="24"/>
              </w:rPr>
            </w:pPr>
          </w:p>
          <w:p w14:paraId="39CC1F96" w14:textId="77777777" w:rsidR="00610F9E" w:rsidRPr="00610F9E" w:rsidRDefault="00610F9E" w:rsidP="00610F9E">
            <w:pPr>
              <w:jc w:val="both"/>
              <w:rPr>
                <w:rFonts w:ascii="Times New Roman" w:hAnsi="Times New Roman" w:cs="Times New Roman"/>
                <w:bCs/>
                <w:sz w:val="24"/>
                <w:szCs w:val="24"/>
              </w:rPr>
            </w:pPr>
          </w:p>
          <w:p w14:paraId="3EE502A0"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 xml:space="preserve">Отчитаме съществеността на отправената препоръка, тъй като намаляването на загубите на вода е една от значимите теми както за опазването на природния ресурс, така и за осигуряване достъпността му за населението на социално поносима цена. </w:t>
            </w:r>
          </w:p>
          <w:p w14:paraId="72A27E87"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lastRenderedPageBreak/>
              <w:t xml:space="preserve">Конкретни показатели за изходни и целеви стойности за намаляване загубите на вода ще бъдат установени след конкретното обследване на обхвата на инвестициите в рамките на регионалните прединвестиционни проучвания (РПИП) за 6-те новоконсолидирани района, разработването на които е в процес на възлагане от страна Министерство на регионалното развитие и благоустройството. В този смисъл залагане на процент за намаляване на загубите на вода като индикатор на ниво програма на този етап не може да бъде обосновано. Следва да се има предвид, че същият ще продължи да бъде залаган като индикатор за изпълнение за проектните предложения по предстоящите процедури за изграждане на ВиК инфраструктура в продължение на практиката от програмен период 2014-2020 г. </w:t>
            </w:r>
          </w:p>
          <w:p w14:paraId="644F2673" w14:textId="5EDCE90B" w:rsidR="00060862" w:rsidRPr="00064753"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Проблемът със загубите на водата е с обществена значимост и в тази връзка информация и доклади по този въпрос са публично достъпни, като например докладите на Комисията за енергийно и водно регулиране и годишните доклади за изпълнение на ОПОС, които се публикуват на интернет страницата на програмата: https://www.eufunds.bg/bg/opos/term/413</w:t>
            </w:r>
          </w:p>
        </w:tc>
      </w:tr>
      <w:tr w:rsidR="00B84155" w:rsidRPr="00D3726A" w14:paraId="63491B07" w14:textId="77777777" w:rsidTr="000B581F">
        <w:trPr>
          <w:trHeight w:val="781"/>
        </w:trPr>
        <w:tc>
          <w:tcPr>
            <w:tcW w:w="709" w:type="dxa"/>
            <w:vMerge/>
          </w:tcPr>
          <w:p w14:paraId="6672AF35" w14:textId="77777777" w:rsidR="00B84155" w:rsidRPr="00D3726A" w:rsidRDefault="00B84155" w:rsidP="0040317E">
            <w:pPr>
              <w:ind w:left="142"/>
              <w:jc w:val="both"/>
              <w:rPr>
                <w:rFonts w:ascii="Times New Roman" w:hAnsi="Times New Roman" w:cs="Times New Roman"/>
                <w:b/>
                <w:sz w:val="24"/>
                <w:szCs w:val="24"/>
              </w:rPr>
            </w:pPr>
          </w:p>
        </w:tc>
        <w:tc>
          <w:tcPr>
            <w:tcW w:w="2268" w:type="dxa"/>
            <w:vMerge/>
          </w:tcPr>
          <w:p w14:paraId="58B86D3A" w14:textId="77777777" w:rsidR="00B84155" w:rsidRPr="00CB7E4E" w:rsidRDefault="00B84155"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p>
        </w:tc>
        <w:tc>
          <w:tcPr>
            <w:tcW w:w="7960" w:type="dxa"/>
            <w:shd w:val="clear" w:color="auto" w:fill="auto"/>
          </w:tcPr>
          <w:p w14:paraId="153ED894" w14:textId="77777777" w:rsidR="00B84155" w:rsidRPr="00CD31B9" w:rsidRDefault="00B84155" w:rsidP="00B84155">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b/>
                <w:color w:val="000000"/>
                <w:sz w:val="24"/>
                <w:szCs w:val="24"/>
                <w:lang w:eastAsia="bg-BG"/>
              </w:rPr>
              <w:t xml:space="preserve">По приоритет 3 </w:t>
            </w:r>
            <w:r w:rsidRPr="00CD31B9">
              <w:rPr>
                <w:rFonts w:ascii="Times New Roman" w:eastAsia="Times New Roman" w:hAnsi="Times New Roman" w:cs="Times New Roman"/>
                <w:b/>
                <w:bCs/>
                <w:color w:val="000000"/>
                <w:sz w:val="24"/>
                <w:szCs w:val="24"/>
                <w:lang w:eastAsia="bg-BG"/>
              </w:rPr>
              <w:t>„Биологично разнообразие“</w:t>
            </w:r>
          </w:p>
          <w:p w14:paraId="270756FF" w14:textId="77777777" w:rsidR="00B84155" w:rsidRPr="00CD31B9" w:rsidRDefault="00B84155" w:rsidP="00B84155">
            <w:pPr>
              <w:autoSpaceDE w:val="0"/>
              <w:autoSpaceDN w:val="0"/>
              <w:adjustRightInd w:val="0"/>
              <w:spacing w:before="120" w:line="276" w:lineRule="auto"/>
              <w:jc w:val="both"/>
              <w:rPr>
                <w:rFonts w:ascii="Times New Roman" w:eastAsia="Times New Roman" w:hAnsi="Times New Roman" w:cs="Times New Roman"/>
                <w:b/>
                <w:color w:val="000000"/>
                <w:sz w:val="24"/>
                <w:szCs w:val="24"/>
                <w:lang w:eastAsia="bg-BG"/>
              </w:rPr>
            </w:pPr>
            <w:r w:rsidRPr="00CD31B9">
              <w:rPr>
                <w:rFonts w:ascii="Times New Roman" w:eastAsia="Calibri" w:hAnsi="Times New Roman" w:cs="Times New Roman"/>
                <w:iCs/>
                <w:noProof/>
                <w:color w:val="000000"/>
                <w:sz w:val="24"/>
                <w:szCs w:val="20"/>
                <w:lang w:eastAsia="bg-BG" w:bidi="bg-BG"/>
              </w:rPr>
              <w:t xml:space="preserve">Във верися 3 на програмата са заложени „консервационни мерки, </w:t>
            </w:r>
            <w:r w:rsidRPr="00CD31B9">
              <w:rPr>
                <w:rFonts w:ascii="Times New Roman" w:eastAsia="Calibri" w:hAnsi="Times New Roman" w:cs="Times New Roman"/>
                <w:iCs/>
                <w:noProof/>
                <w:color w:val="000000"/>
                <w:sz w:val="24"/>
                <w:szCs w:val="20"/>
                <w:lang w:eastAsia="bg-BG" w:bidi="bg-BG"/>
              </w:rPr>
              <w:lastRenderedPageBreak/>
              <w:t>изискващи изграждане на инфраструктура и съоръжения, в това число съоръжения за обществен достъп“ по подхода ИТИ. Докладът по ЕО никъде на разглежда въздейстивето на въпросната инфрастуктура върху защитените зони и предмета на опазване там.</w:t>
            </w:r>
          </w:p>
          <w:p w14:paraId="5FA13513" w14:textId="77777777" w:rsidR="00B84155" w:rsidRPr="00CD31B9" w:rsidRDefault="00B84155" w:rsidP="00B84155">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b/>
                <w:i/>
                <w:color w:val="000000"/>
                <w:sz w:val="24"/>
                <w:szCs w:val="24"/>
                <w:lang w:eastAsia="bg-BG"/>
              </w:rPr>
              <w:t>Препоръката</w:t>
            </w:r>
            <w:r w:rsidRPr="00CD31B9">
              <w:rPr>
                <w:rFonts w:ascii="Times New Roman" w:eastAsia="Times New Roman" w:hAnsi="Times New Roman" w:cs="Times New Roman"/>
                <w:color w:val="000000"/>
                <w:sz w:val="24"/>
                <w:szCs w:val="24"/>
                <w:lang w:eastAsia="bg-BG"/>
              </w:rPr>
              <w:t xml:space="preserve"> е да се оцени въздействието на предвидената инфраструктура.</w:t>
            </w:r>
          </w:p>
          <w:p w14:paraId="36433645" w14:textId="77777777" w:rsidR="00B84155" w:rsidRPr="00CD31B9" w:rsidRDefault="00B84155" w:rsidP="00CD31B9">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p>
        </w:tc>
        <w:tc>
          <w:tcPr>
            <w:tcW w:w="4394" w:type="dxa"/>
            <w:tcBorders>
              <w:top w:val="single" w:sz="4" w:space="0" w:color="auto"/>
            </w:tcBorders>
          </w:tcPr>
          <w:p w14:paraId="1EC2BB60"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lastRenderedPageBreak/>
              <w:t xml:space="preserve">Докладът за екологична оценка (ДЕО) разглежда и анализира предвидените мерки за подкрепа чрез ПОС 2021-2027 </w:t>
            </w:r>
            <w:r w:rsidRPr="00ED538C">
              <w:rPr>
                <w:rFonts w:ascii="Times New Roman" w:hAnsi="Times New Roman" w:cs="Times New Roman"/>
                <w:bCs/>
                <w:sz w:val="24"/>
                <w:szCs w:val="24"/>
              </w:rPr>
              <w:lastRenderedPageBreak/>
              <w:t>г. Трябва да се има предвид, че въпросните  „консервационни мерки, изискващи изграждане на инфраструктура и съоръжения, в това число съоръжения за обществен достъп” са залегнали в проекта на Национална рамка за приоритетни действия за Натура 2000. Последната е благоприятстващо условие за държавата членка, което подлежи на съгласуване с ЕК.</w:t>
            </w:r>
          </w:p>
          <w:p w14:paraId="2F9B0E45"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Подходът за интегрирани териториални инвестиции (ИТИ) представя начина, по който ще бъдат избирани операциите за подкрепа и не предвижда мерки, различни от хоризонтално заложените в приоритета.</w:t>
            </w:r>
          </w:p>
          <w:p w14:paraId="4B85B3A2" w14:textId="6A7F2FFA" w:rsidR="00B84155" w:rsidRPr="00D3726A"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Изрично обследване на въздействието на предвидената инфраструктура би могло да бъде направено на последващ етап, когато има по-голяма конкретика по отношение на детайлните параметри – тип на инфраструктурата, конкретно място, където ще бъде изградена, предвидени методи, периоди на работа и т.н. Към настоящия момент подобна детайлизация е технически невъзможна, което не позволява извършване на подобна оценка. В този смисъл, отделно разглеждане на въздействието на тези мерки в рамките на ДЕО не е обосновано към настоящия момент.</w:t>
            </w:r>
          </w:p>
        </w:tc>
      </w:tr>
      <w:tr w:rsidR="00CD31B9" w:rsidRPr="00D3726A" w14:paraId="73482ED9" w14:textId="77777777" w:rsidTr="000B581F">
        <w:trPr>
          <w:trHeight w:val="781"/>
        </w:trPr>
        <w:tc>
          <w:tcPr>
            <w:tcW w:w="709" w:type="dxa"/>
            <w:vMerge/>
          </w:tcPr>
          <w:p w14:paraId="2F0133A5" w14:textId="77777777" w:rsidR="00CD31B9" w:rsidRPr="00D3726A" w:rsidRDefault="00CD31B9" w:rsidP="0040317E">
            <w:pPr>
              <w:ind w:left="142"/>
              <w:jc w:val="both"/>
              <w:rPr>
                <w:rFonts w:ascii="Times New Roman" w:hAnsi="Times New Roman" w:cs="Times New Roman"/>
                <w:b/>
                <w:sz w:val="24"/>
                <w:szCs w:val="24"/>
              </w:rPr>
            </w:pPr>
          </w:p>
        </w:tc>
        <w:tc>
          <w:tcPr>
            <w:tcW w:w="2268" w:type="dxa"/>
            <w:vMerge/>
          </w:tcPr>
          <w:p w14:paraId="5C2713E3" w14:textId="77777777" w:rsidR="00CD31B9" w:rsidRPr="00CB7E4E" w:rsidRDefault="00CD31B9"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p>
        </w:tc>
        <w:tc>
          <w:tcPr>
            <w:tcW w:w="7960" w:type="dxa"/>
            <w:shd w:val="clear" w:color="auto" w:fill="auto"/>
          </w:tcPr>
          <w:p w14:paraId="5F5DE75A" w14:textId="77777777" w:rsidR="00CD31B9" w:rsidRPr="00CD31B9" w:rsidRDefault="00CD31B9" w:rsidP="00CD31B9">
            <w:pPr>
              <w:autoSpaceDE w:val="0"/>
              <w:autoSpaceDN w:val="0"/>
              <w:adjustRightInd w:val="0"/>
              <w:spacing w:before="120"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b/>
                <w:color w:val="000000"/>
                <w:sz w:val="24"/>
                <w:szCs w:val="24"/>
                <w:lang w:eastAsia="bg-BG"/>
              </w:rPr>
              <w:t>По отношение на процеса на разработване на ПОС 2021 - 2027</w:t>
            </w:r>
          </w:p>
          <w:p w14:paraId="30815458" w14:textId="77777777" w:rsidR="00CD31B9" w:rsidRPr="00CD31B9" w:rsidRDefault="00CD31B9" w:rsidP="00CD31B9">
            <w:pPr>
              <w:autoSpaceDE w:val="0"/>
              <w:autoSpaceDN w:val="0"/>
              <w:adjustRightInd w:val="0"/>
              <w:spacing w:before="120"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color w:val="000000"/>
                <w:sz w:val="24"/>
                <w:szCs w:val="24"/>
                <w:lang w:eastAsia="bg-BG"/>
              </w:rPr>
              <w:t xml:space="preserve">В справката за проведените консултации по I-ви вариант на програмата ни информирате за процеса на сформиране на </w:t>
            </w:r>
            <w:r w:rsidRPr="00CD31B9">
              <w:rPr>
                <w:rFonts w:ascii="Times New Roman" w:eastAsia="Calibri" w:hAnsi="Times New Roman" w:cs="Times New Roman"/>
                <w:color w:val="000000"/>
                <w:sz w:val="24"/>
                <w:szCs w:val="24"/>
                <w:lang w:eastAsia="bg-BG"/>
              </w:rPr>
              <w:t xml:space="preserve">тематичната работна група за </w:t>
            </w:r>
            <w:r w:rsidRPr="00CD31B9">
              <w:rPr>
                <w:rFonts w:ascii="Times New Roman" w:eastAsia="Calibri" w:hAnsi="Times New Roman" w:cs="Times New Roman"/>
                <w:color w:val="000000"/>
                <w:sz w:val="24"/>
                <w:szCs w:val="24"/>
                <w:lang w:eastAsia="bg-BG"/>
              </w:rPr>
              <w:lastRenderedPageBreak/>
              <w:t>разработване на Програма „Околна среда за програмен период 2021-2027 г. Моля, да имате предвид, че там представител на екологичните организации, който да разпраща материали и да събира обратна връзка няма, такива изисквания не са били поставяни на никой член на работната група нито от секретариата на ТРГ, нито от нормативната уредба.  ТРГ вероятно, на хартия може би отчита, че има, но такъв представител на практика няма. Това е важен пункт за следващи стъпки за подобряване на уредбата регламентираща участието на заинтересованата общественост, а именно – към представителите на юридическите лица да има изисквания за реално представителство с разпращане на информация и събиране на обратна връзка, което да може да бъде доказано.</w:t>
            </w:r>
          </w:p>
          <w:p w14:paraId="6232C839"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p>
        </w:tc>
        <w:tc>
          <w:tcPr>
            <w:tcW w:w="4394" w:type="dxa"/>
            <w:tcBorders>
              <w:top w:val="single" w:sz="4" w:space="0" w:color="auto"/>
            </w:tcBorders>
          </w:tcPr>
          <w:p w14:paraId="431F57CA" w14:textId="77777777" w:rsidR="00B84155" w:rsidRPr="00D758A4" w:rsidRDefault="00B84155" w:rsidP="00B84155">
            <w:pPr>
              <w:jc w:val="both"/>
              <w:rPr>
                <w:rFonts w:ascii="Times New Roman" w:hAnsi="Times New Roman" w:cs="Times New Roman"/>
                <w:bCs/>
                <w:sz w:val="24"/>
                <w:szCs w:val="24"/>
              </w:rPr>
            </w:pPr>
            <w:r w:rsidRPr="00D758A4">
              <w:rPr>
                <w:rFonts w:ascii="Times New Roman" w:hAnsi="Times New Roman" w:cs="Times New Roman"/>
                <w:bCs/>
                <w:sz w:val="24"/>
                <w:szCs w:val="24"/>
              </w:rPr>
              <w:lastRenderedPageBreak/>
              <w:t xml:space="preserve">Съгласно т. 1 от Приложение № 2 към чл. 9, ал. 4 от ПМС № 142 от 7 юни 2019 г. за разработване на стратегическите и програмните документи на Република </w:t>
            </w:r>
            <w:r w:rsidRPr="00D758A4">
              <w:rPr>
                <w:rFonts w:ascii="Times New Roman" w:hAnsi="Times New Roman" w:cs="Times New Roman"/>
                <w:bCs/>
                <w:sz w:val="24"/>
                <w:szCs w:val="24"/>
              </w:rPr>
              <w:lastRenderedPageBreak/>
              <w:t>България за управление на средствата от фондовете на ЕС за програмния период 2021-2027 г. /ПМС № 142/2019 г./, Министерството на околната среда и водите стартира процедура за избор на ЮЛНЦ за общественополезна дейност, чиито представители да участват в състава на ТРГ за разработване на оперативна програма „Околна среда“ за програмен период 2021-2027 г., като покани за участие ЮЛНЦ за общественополезна дейност, работещи в сферата на: равенството между мъжете и жените, недискриминацията и равните възможности; социалното включване и интегрирането на маргинализираните групи; на екологични организации; образованието, науката и културата и 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2477BFD8" w14:textId="77777777" w:rsidR="00B84155" w:rsidRPr="00D758A4" w:rsidRDefault="00B84155" w:rsidP="00B84155">
            <w:pPr>
              <w:jc w:val="both"/>
              <w:rPr>
                <w:rFonts w:ascii="Times New Roman" w:hAnsi="Times New Roman" w:cs="Times New Roman"/>
                <w:bCs/>
                <w:sz w:val="24"/>
                <w:szCs w:val="24"/>
              </w:rPr>
            </w:pPr>
            <w:r w:rsidRPr="00D758A4">
              <w:rPr>
                <w:rFonts w:ascii="Times New Roman" w:hAnsi="Times New Roman" w:cs="Times New Roman"/>
                <w:bCs/>
                <w:sz w:val="24"/>
                <w:szCs w:val="24"/>
              </w:rPr>
              <w:t xml:space="preserve">Във връзка с гореизложеното и след оценка на получените писмени заявления за избор на ЮЛНЦ, в съответствие с т. 6 и т. 11 от Приложение № 2 към чл. 9, ал. 4 от ПМС № 142/2019 г., УО на програмата е уведомила лицата, отговарящи на критериите по чл. 9, ал. 1 и 3 от ПМС № 142/2019 г., като същите са поканени да излъчат един общ представител на съответната група ЮЛНЦ за основен член и до трима представители за </w:t>
            </w:r>
            <w:r w:rsidRPr="00D758A4">
              <w:rPr>
                <w:rFonts w:ascii="Times New Roman" w:hAnsi="Times New Roman" w:cs="Times New Roman"/>
                <w:bCs/>
                <w:sz w:val="24"/>
                <w:szCs w:val="24"/>
              </w:rPr>
              <w:lastRenderedPageBreak/>
              <w:t>резервни членове.</w:t>
            </w:r>
          </w:p>
          <w:p w14:paraId="51382DF7" w14:textId="210784AF" w:rsidR="00CD31B9" w:rsidRPr="00D3726A" w:rsidRDefault="00B84155" w:rsidP="00B84155">
            <w:pPr>
              <w:jc w:val="both"/>
              <w:rPr>
                <w:rFonts w:ascii="Times New Roman" w:hAnsi="Times New Roman" w:cs="Times New Roman"/>
                <w:bCs/>
                <w:sz w:val="24"/>
                <w:szCs w:val="24"/>
              </w:rPr>
            </w:pPr>
            <w:r w:rsidRPr="00D758A4">
              <w:rPr>
                <w:rFonts w:ascii="Times New Roman" w:hAnsi="Times New Roman" w:cs="Times New Roman"/>
                <w:bCs/>
                <w:sz w:val="24"/>
                <w:szCs w:val="24"/>
              </w:rPr>
              <w:t>В допълнение, следва да имате предвид и нормативното изискване, посочено в чл. 7, ал. 9 от ПМС № 142/2019 г., според която „членовете на групите юридически лица с нестопанска цел, работещи в обществена полза, представят информация относно дейността на съответната работна група на организациите, които са ги излъчили.</w:t>
            </w:r>
          </w:p>
        </w:tc>
      </w:tr>
      <w:tr w:rsidR="004F7490" w:rsidRPr="00D3726A" w14:paraId="6418D109" w14:textId="77777777" w:rsidTr="00C66416">
        <w:trPr>
          <w:trHeight w:val="841"/>
        </w:trPr>
        <w:tc>
          <w:tcPr>
            <w:tcW w:w="709" w:type="dxa"/>
            <w:vMerge w:val="restart"/>
          </w:tcPr>
          <w:p w14:paraId="72972533" w14:textId="473AD4E7" w:rsidR="004F7490" w:rsidRPr="00D3726A" w:rsidRDefault="004A50BE" w:rsidP="0040317E">
            <w:pPr>
              <w:ind w:left="142"/>
              <w:jc w:val="both"/>
              <w:rPr>
                <w:rFonts w:ascii="Times New Roman" w:hAnsi="Times New Roman" w:cs="Times New Roman"/>
                <w:b/>
                <w:sz w:val="24"/>
                <w:szCs w:val="24"/>
              </w:rPr>
            </w:pPr>
            <w:r w:rsidRPr="00D3726A">
              <w:rPr>
                <w:rFonts w:ascii="Times New Roman" w:hAnsi="Times New Roman" w:cs="Times New Roman"/>
                <w:b/>
                <w:sz w:val="24"/>
                <w:szCs w:val="24"/>
              </w:rPr>
              <w:lastRenderedPageBreak/>
              <w:t>3.</w:t>
            </w:r>
          </w:p>
        </w:tc>
        <w:tc>
          <w:tcPr>
            <w:tcW w:w="2268" w:type="dxa"/>
            <w:vMerge w:val="restart"/>
          </w:tcPr>
          <w:p w14:paraId="6A719CAE" w14:textId="4436AE18" w:rsidR="00B10671" w:rsidRPr="00C03473" w:rsidRDefault="00E32CFA" w:rsidP="00E32CFA">
            <w:pPr>
              <w:rPr>
                <w:rFonts w:ascii="Times New Roman" w:hAnsi="Times New Roman" w:cs="Times New Roman"/>
                <w:bCs/>
                <w:sz w:val="24"/>
                <w:szCs w:val="24"/>
              </w:rPr>
            </w:pPr>
            <w:r w:rsidRPr="00C03473">
              <w:rPr>
                <w:rFonts w:ascii="Times New Roman" w:hAnsi="Times New Roman" w:cs="Times New Roman"/>
                <w:bCs/>
                <w:sz w:val="24"/>
                <w:szCs w:val="24"/>
              </w:rPr>
              <w:t>доц. д-р Николай Вълчев</w:t>
            </w:r>
            <w:r w:rsidR="00B10671" w:rsidRPr="00C03473">
              <w:rPr>
                <w:rFonts w:ascii="Times New Roman" w:hAnsi="Times New Roman" w:cs="Times New Roman"/>
                <w:bCs/>
                <w:sz w:val="24"/>
                <w:szCs w:val="24"/>
              </w:rPr>
              <w:t xml:space="preserve"> -</w:t>
            </w:r>
          </w:p>
          <w:p w14:paraId="41FCD41A" w14:textId="77777777" w:rsidR="00B10671" w:rsidRPr="00C03473" w:rsidRDefault="00E32CFA" w:rsidP="00E32CFA">
            <w:pPr>
              <w:rPr>
                <w:rFonts w:ascii="Times New Roman" w:hAnsi="Times New Roman" w:cs="Times New Roman"/>
                <w:bCs/>
                <w:sz w:val="24"/>
                <w:szCs w:val="24"/>
              </w:rPr>
            </w:pPr>
            <w:r w:rsidRPr="00C03473">
              <w:rPr>
                <w:rFonts w:ascii="Times New Roman" w:hAnsi="Times New Roman" w:cs="Times New Roman"/>
                <w:bCs/>
                <w:sz w:val="24"/>
                <w:szCs w:val="24"/>
              </w:rPr>
              <w:t>Директор</w:t>
            </w:r>
          </w:p>
          <w:p w14:paraId="112D220E" w14:textId="77777777" w:rsidR="00B10671" w:rsidRPr="00C03473" w:rsidRDefault="00B10671" w:rsidP="00E32CFA">
            <w:pPr>
              <w:rPr>
                <w:rFonts w:ascii="Times New Roman" w:hAnsi="Times New Roman" w:cs="Times New Roman"/>
                <w:bCs/>
                <w:sz w:val="24"/>
                <w:szCs w:val="24"/>
              </w:rPr>
            </w:pPr>
          </w:p>
          <w:p w14:paraId="262CBAB1" w14:textId="1B61C772" w:rsidR="00E32CFA" w:rsidRPr="00C03473" w:rsidRDefault="00E32CFA" w:rsidP="00E32CFA">
            <w:pPr>
              <w:rPr>
                <w:rFonts w:ascii="Times New Roman" w:hAnsi="Times New Roman" w:cs="Times New Roman"/>
                <w:bCs/>
                <w:sz w:val="24"/>
                <w:szCs w:val="24"/>
              </w:rPr>
            </w:pPr>
            <w:r w:rsidRPr="00C03473">
              <w:rPr>
                <w:rFonts w:ascii="Times New Roman" w:hAnsi="Times New Roman" w:cs="Times New Roman"/>
                <w:bCs/>
                <w:sz w:val="24"/>
                <w:szCs w:val="24"/>
              </w:rPr>
              <w:t>Институт по океанология „Фритьоф Нансен“ - БАН</w:t>
            </w:r>
          </w:p>
          <w:p w14:paraId="2D794212" w14:textId="77777777" w:rsidR="004F7490" w:rsidRDefault="00831D1B" w:rsidP="00E32CFA">
            <w:pPr>
              <w:rPr>
                <w:rFonts w:ascii="Times New Roman" w:hAnsi="Times New Roman" w:cs="Times New Roman"/>
                <w:bCs/>
                <w:sz w:val="24"/>
                <w:szCs w:val="24"/>
              </w:rPr>
            </w:pPr>
            <w:hyperlink r:id="rId10" w:history="1">
              <w:r w:rsidR="00C03473" w:rsidRPr="00F356D0">
                <w:rPr>
                  <w:rStyle w:val="Hyperlink"/>
                  <w:rFonts w:ascii="Times New Roman" w:hAnsi="Times New Roman" w:cs="Times New Roman"/>
                  <w:bCs/>
                  <w:sz w:val="24"/>
                  <w:szCs w:val="24"/>
                </w:rPr>
                <w:t>office@io-bas.bg</w:t>
              </w:r>
            </w:hyperlink>
            <w:r w:rsidR="00C03473">
              <w:rPr>
                <w:rFonts w:ascii="Times New Roman" w:hAnsi="Times New Roman" w:cs="Times New Roman"/>
                <w:bCs/>
                <w:sz w:val="24"/>
                <w:szCs w:val="24"/>
              </w:rPr>
              <w:t xml:space="preserve"> </w:t>
            </w:r>
          </w:p>
          <w:p w14:paraId="33A0C9A1" w14:textId="77777777" w:rsidR="007439E5" w:rsidRDefault="007439E5" w:rsidP="00E32CFA">
            <w:pPr>
              <w:rPr>
                <w:rFonts w:ascii="Times New Roman" w:hAnsi="Times New Roman" w:cs="Times New Roman"/>
                <w:bCs/>
                <w:sz w:val="24"/>
                <w:szCs w:val="24"/>
              </w:rPr>
            </w:pPr>
          </w:p>
          <w:p w14:paraId="2B7B1847" w14:textId="3A6405B2" w:rsidR="007439E5" w:rsidRPr="00C03473" w:rsidRDefault="007439E5" w:rsidP="00E32CFA">
            <w:pPr>
              <w:rPr>
                <w:rFonts w:ascii="Times New Roman" w:hAnsi="Times New Roman" w:cs="Times New Roman"/>
                <w:bCs/>
                <w:sz w:val="24"/>
                <w:szCs w:val="24"/>
              </w:rPr>
            </w:pPr>
            <w:r>
              <w:rPr>
                <w:rFonts w:ascii="Times New Roman" w:hAnsi="Times New Roman" w:cs="Times New Roman"/>
                <w:bCs/>
                <w:sz w:val="24"/>
                <w:szCs w:val="24"/>
              </w:rPr>
              <w:t>*След срок</w:t>
            </w:r>
          </w:p>
        </w:tc>
        <w:tc>
          <w:tcPr>
            <w:tcW w:w="7960" w:type="dxa"/>
            <w:tcBorders>
              <w:bottom w:val="single" w:sz="4" w:space="0" w:color="auto"/>
            </w:tcBorders>
            <w:shd w:val="clear" w:color="auto" w:fill="auto"/>
          </w:tcPr>
          <w:p w14:paraId="322D9AE0" w14:textId="0FB97507" w:rsidR="00C03473" w:rsidRPr="00C03473" w:rsidRDefault="00C03473" w:rsidP="00C03473">
            <w:pPr>
              <w:jc w:val="both"/>
              <w:rPr>
                <w:rFonts w:ascii="Times New Roman" w:eastAsia="Times New Roman" w:hAnsi="Times New Roman" w:cs="Times New Roman"/>
                <w:b/>
                <w:iCs/>
                <w:sz w:val="24"/>
                <w:szCs w:val="24"/>
              </w:rPr>
            </w:pPr>
            <w:r w:rsidRPr="00C03473">
              <w:rPr>
                <w:rFonts w:ascii="Times New Roman" w:eastAsia="Times New Roman" w:hAnsi="Times New Roman" w:cs="Times New Roman"/>
                <w:b/>
                <w:iCs/>
                <w:sz w:val="24"/>
                <w:szCs w:val="24"/>
              </w:rPr>
              <w:t>Общи впечатления</w:t>
            </w:r>
          </w:p>
          <w:p w14:paraId="58CB4C42" w14:textId="77777777" w:rsidR="00C03473" w:rsidRPr="00C03473" w:rsidRDefault="00C03473" w:rsidP="00C03473">
            <w:pPr>
              <w:jc w:val="both"/>
              <w:rPr>
                <w:rFonts w:ascii="Times New Roman" w:eastAsia="Times New Roman" w:hAnsi="Times New Roman" w:cs="Times New Roman"/>
                <w:bCs/>
                <w:iCs/>
                <w:sz w:val="24"/>
                <w:szCs w:val="24"/>
              </w:rPr>
            </w:pPr>
          </w:p>
          <w:p w14:paraId="1A9B54D3" w14:textId="77777777" w:rsidR="00C03473" w:rsidRPr="00C03473"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В работния вариант на програмата за околна среда (ПОС) за периода 2021-2027 г. са идентифицирани някои от най-сериозните съвременни предизвикателства в областта на водите, биоразнообразието и риска от екстремни климатични явления, които изискват навременни, дори спешни мерки.</w:t>
            </w:r>
          </w:p>
          <w:p w14:paraId="5411E723" w14:textId="77777777" w:rsidR="00C03473" w:rsidRPr="00C03473"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Безспорно планираните дейности по изграждане и осъвременяване на инфраструктурата, свързана с пречистване и пренос на води, е важна стъпка към подобряването на екологичното състояние на водите тела и постигане на по-високо качество на живот на засегнатите общности по устойчив начин. Много добро впечатление прави планираният набор от дейности по отношение на приоритет „Биоразнообразие“, които включват както административни, така и проучвателни мерки.</w:t>
            </w:r>
          </w:p>
          <w:p w14:paraId="4DDD044D" w14:textId="77777777" w:rsidR="00C03473" w:rsidRPr="00C03473"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Разпознаването на превенцията от настъпване на негативни (опасни) явления като ключов процес в управлението на риска, с което е възможно да не се допуснат или да се намалят загубите, причинени от настъпването на такива събития, заслужава изключително висока оценка. Фокусирането на усилията на МОСВ върху превенцията, чрез инвестиции в изграждане на съвременни системи за ранно предупреждение, показва задълбочено познаване на проблема и отразява намерението на министерството да се потърсят решения на добро съвременно ниво.</w:t>
            </w:r>
          </w:p>
          <w:p w14:paraId="2C5F3449" w14:textId="32FAEEF7" w:rsidR="004F7490" w:rsidRPr="00D3726A"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Наред с положителна оценка, които проекта на ПОС (2021-2027г.) безспорно заслужава, намираме, че определени приоритети изискват доразвиване и допълване.</w:t>
            </w:r>
          </w:p>
        </w:tc>
        <w:tc>
          <w:tcPr>
            <w:tcW w:w="4394" w:type="dxa"/>
          </w:tcPr>
          <w:p w14:paraId="104138D1" w14:textId="77777777" w:rsidR="004F7490" w:rsidRDefault="004F7490" w:rsidP="007C235E">
            <w:pPr>
              <w:jc w:val="both"/>
              <w:rPr>
                <w:rFonts w:ascii="Times New Roman" w:hAnsi="Times New Roman" w:cs="Times New Roman"/>
                <w:bCs/>
                <w:sz w:val="24"/>
                <w:szCs w:val="24"/>
              </w:rPr>
            </w:pPr>
          </w:p>
          <w:p w14:paraId="33AA327F" w14:textId="77777777" w:rsidR="00FE653D" w:rsidRDefault="00FE653D" w:rsidP="007C235E">
            <w:pPr>
              <w:jc w:val="both"/>
              <w:rPr>
                <w:rFonts w:ascii="Times New Roman" w:hAnsi="Times New Roman" w:cs="Times New Roman"/>
                <w:bCs/>
                <w:sz w:val="24"/>
                <w:szCs w:val="24"/>
              </w:rPr>
            </w:pPr>
          </w:p>
          <w:p w14:paraId="368D296F" w14:textId="77777777" w:rsidR="00FE653D" w:rsidRDefault="00FE653D" w:rsidP="007C235E">
            <w:pPr>
              <w:jc w:val="both"/>
              <w:rPr>
                <w:rFonts w:ascii="Times New Roman" w:hAnsi="Times New Roman" w:cs="Times New Roman"/>
                <w:bCs/>
                <w:sz w:val="24"/>
                <w:szCs w:val="24"/>
              </w:rPr>
            </w:pPr>
          </w:p>
          <w:p w14:paraId="75FE1470" w14:textId="77777777" w:rsidR="00FE653D" w:rsidRDefault="00FE653D" w:rsidP="007C235E">
            <w:pPr>
              <w:jc w:val="both"/>
              <w:rPr>
                <w:rFonts w:ascii="Times New Roman" w:hAnsi="Times New Roman" w:cs="Times New Roman"/>
                <w:bCs/>
                <w:sz w:val="24"/>
                <w:szCs w:val="24"/>
              </w:rPr>
            </w:pPr>
          </w:p>
          <w:p w14:paraId="0600B7DB" w14:textId="77777777" w:rsidR="00FE653D" w:rsidRDefault="00FE653D" w:rsidP="007C235E">
            <w:pPr>
              <w:jc w:val="both"/>
              <w:rPr>
                <w:rFonts w:ascii="Times New Roman" w:hAnsi="Times New Roman" w:cs="Times New Roman"/>
                <w:bCs/>
                <w:sz w:val="24"/>
                <w:szCs w:val="24"/>
              </w:rPr>
            </w:pPr>
          </w:p>
          <w:p w14:paraId="05982D12" w14:textId="77777777" w:rsidR="00FE653D" w:rsidRDefault="00FE653D" w:rsidP="007C235E">
            <w:pPr>
              <w:jc w:val="both"/>
              <w:rPr>
                <w:rFonts w:ascii="Times New Roman" w:hAnsi="Times New Roman" w:cs="Times New Roman"/>
                <w:bCs/>
                <w:sz w:val="24"/>
                <w:szCs w:val="24"/>
              </w:rPr>
            </w:pPr>
          </w:p>
          <w:p w14:paraId="0A7DA29E" w14:textId="77777777" w:rsidR="00FE653D" w:rsidRDefault="00FE653D" w:rsidP="007C235E">
            <w:pPr>
              <w:jc w:val="both"/>
              <w:rPr>
                <w:rFonts w:ascii="Times New Roman" w:hAnsi="Times New Roman" w:cs="Times New Roman"/>
                <w:bCs/>
                <w:sz w:val="24"/>
                <w:szCs w:val="24"/>
              </w:rPr>
            </w:pPr>
          </w:p>
          <w:p w14:paraId="3B58F8BA" w14:textId="77777777" w:rsidR="00FE653D" w:rsidRDefault="00FE653D" w:rsidP="007C235E">
            <w:pPr>
              <w:jc w:val="both"/>
              <w:rPr>
                <w:rFonts w:ascii="Times New Roman" w:hAnsi="Times New Roman" w:cs="Times New Roman"/>
                <w:bCs/>
                <w:sz w:val="24"/>
                <w:szCs w:val="24"/>
              </w:rPr>
            </w:pPr>
          </w:p>
          <w:p w14:paraId="5139FE61" w14:textId="77777777" w:rsidR="00FE653D" w:rsidRDefault="00FE653D" w:rsidP="007C235E">
            <w:pPr>
              <w:jc w:val="both"/>
              <w:rPr>
                <w:rFonts w:ascii="Times New Roman" w:hAnsi="Times New Roman" w:cs="Times New Roman"/>
                <w:bCs/>
                <w:sz w:val="24"/>
                <w:szCs w:val="24"/>
              </w:rPr>
            </w:pPr>
          </w:p>
          <w:p w14:paraId="20CE32E4" w14:textId="77777777" w:rsidR="00FE653D" w:rsidRDefault="00FE653D" w:rsidP="007C235E">
            <w:pPr>
              <w:jc w:val="both"/>
              <w:rPr>
                <w:rFonts w:ascii="Times New Roman" w:hAnsi="Times New Roman" w:cs="Times New Roman"/>
                <w:bCs/>
                <w:sz w:val="24"/>
                <w:szCs w:val="24"/>
              </w:rPr>
            </w:pPr>
          </w:p>
          <w:p w14:paraId="3FED0FF1" w14:textId="77777777" w:rsidR="00FE653D" w:rsidRDefault="00FE653D" w:rsidP="007C235E">
            <w:pPr>
              <w:jc w:val="both"/>
              <w:rPr>
                <w:rFonts w:ascii="Times New Roman" w:hAnsi="Times New Roman" w:cs="Times New Roman"/>
                <w:bCs/>
                <w:sz w:val="24"/>
                <w:szCs w:val="24"/>
              </w:rPr>
            </w:pPr>
          </w:p>
          <w:p w14:paraId="255C002B" w14:textId="77777777" w:rsidR="00FE653D" w:rsidRDefault="00FE653D" w:rsidP="007C235E">
            <w:pPr>
              <w:jc w:val="both"/>
              <w:rPr>
                <w:rFonts w:ascii="Times New Roman" w:hAnsi="Times New Roman" w:cs="Times New Roman"/>
                <w:bCs/>
                <w:sz w:val="24"/>
                <w:szCs w:val="24"/>
              </w:rPr>
            </w:pPr>
          </w:p>
          <w:p w14:paraId="0C234636" w14:textId="77777777" w:rsidR="00FE653D" w:rsidRDefault="00FE653D" w:rsidP="007C235E">
            <w:pPr>
              <w:jc w:val="both"/>
              <w:rPr>
                <w:rFonts w:ascii="Times New Roman" w:hAnsi="Times New Roman" w:cs="Times New Roman"/>
                <w:bCs/>
                <w:sz w:val="24"/>
                <w:szCs w:val="24"/>
              </w:rPr>
            </w:pPr>
          </w:p>
          <w:p w14:paraId="54BE3847" w14:textId="77777777" w:rsidR="00FE653D" w:rsidRDefault="00FE653D" w:rsidP="007C235E">
            <w:pPr>
              <w:jc w:val="both"/>
              <w:rPr>
                <w:rFonts w:ascii="Times New Roman" w:hAnsi="Times New Roman" w:cs="Times New Roman"/>
                <w:bCs/>
                <w:sz w:val="24"/>
                <w:szCs w:val="24"/>
              </w:rPr>
            </w:pPr>
          </w:p>
          <w:p w14:paraId="30635439" w14:textId="77777777" w:rsidR="00FE653D" w:rsidRDefault="00FE653D" w:rsidP="007C235E">
            <w:pPr>
              <w:jc w:val="both"/>
              <w:rPr>
                <w:rFonts w:ascii="Times New Roman" w:hAnsi="Times New Roman" w:cs="Times New Roman"/>
                <w:bCs/>
                <w:sz w:val="24"/>
                <w:szCs w:val="24"/>
              </w:rPr>
            </w:pPr>
          </w:p>
          <w:p w14:paraId="1B5BD015" w14:textId="77777777" w:rsidR="00FE653D" w:rsidRDefault="00FE653D" w:rsidP="007C235E">
            <w:pPr>
              <w:jc w:val="both"/>
              <w:rPr>
                <w:rFonts w:ascii="Times New Roman" w:hAnsi="Times New Roman" w:cs="Times New Roman"/>
                <w:bCs/>
                <w:sz w:val="24"/>
                <w:szCs w:val="24"/>
              </w:rPr>
            </w:pPr>
          </w:p>
          <w:p w14:paraId="3CF14B04" w14:textId="77777777" w:rsidR="00FE653D" w:rsidRDefault="00FE653D" w:rsidP="007C235E">
            <w:pPr>
              <w:jc w:val="both"/>
              <w:rPr>
                <w:rFonts w:ascii="Times New Roman" w:hAnsi="Times New Roman" w:cs="Times New Roman"/>
                <w:bCs/>
                <w:sz w:val="24"/>
                <w:szCs w:val="24"/>
              </w:rPr>
            </w:pPr>
          </w:p>
          <w:p w14:paraId="6152B3BE" w14:textId="77777777" w:rsidR="00FE653D" w:rsidRDefault="00FE653D" w:rsidP="007C235E">
            <w:pPr>
              <w:jc w:val="both"/>
              <w:rPr>
                <w:rFonts w:ascii="Times New Roman" w:hAnsi="Times New Roman" w:cs="Times New Roman"/>
                <w:bCs/>
                <w:sz w:val="24"/>
                <w:szCs w:val="24"/>
              </w:rPr>
            </w:pPr>
          </w:p>
          <w:p w14:paraId="246BD72D" w14:textId="77777777" w:rsidR="00FE653D" w:rsidRDefault="00FE653D" w:rsidP="007C235E">
            <w:pPr>
              <w:jc w:val="both"/>
              <w:rPr>
                <w:rFonts w:ascii="Times New Roman" w:hAnsi="Times New Roman" w:cs="Times New Roman"/>
                <w:bCs/>
                <w:sz w:val="24"/>
                <w:szCs w:val="24"/>
              </w:rPr>
            </w:pPr>
          </w:p>
          <w:p w14:paraId="78EF8CB1" w14:textId="77777777" w:rsidR="00FE653D" w:rsidRDefault="00FE653D" w:rsidP="007C235E">
            <w:pPr>
              <w:jc w:val="both"/>
              <w:rPr>
                <w:rFonts w:ascii="Times New Roman" w:hAnsi="Times New Roman" w:cs="Times New Roman"/>
                <w:bCs/>
                <w:sz w:val="24"/>
                <w:szCs w:val="24"/>
              </w:rPr>
            </w:pPr>
          </w:p>
          <w:p w14:paraId="1999F78F" w14:textId="77777777" w:rsidR="00FE653D" w:rsidRDefault="00FE653D" w:rsidP="007C235E">
            <w:pPr>
              <w:jc w:val="both"/>
              <w:rPr>
                <w:rFonts w:ascii="Times New Roman" w:hAnsi="Times New Roman" w:cs="Times New Roman"/>
                <w:bCs/>
                <w:sz w:val="24"/>
                <w:szCs w:val="24"/>
              </w:rPr>
            </w:pPr>
          </w:p>
          <w:p w14:paraId="19644835" w14:textId="77777777" w:rsidR="00FE653D" w:rsidRDefault="00FE653D" w:rsidP="007C235E">
            <w:pPr>
              <w:jc w:val="both"/>
              <w:rPr>
                <w:rFonts w:ascii="Times New Roman" w:hAnsi="Times New Roman" w:cs="Times New Roman"/>
                <w:bCs/>
                <w:sz w:val="24"/>
                <w:szCs w:val="24"/>
              </w:rPr>
            </w:pPr>
          </w:p>
          <w:p w14:paraId="5B659BDA" w14:textId="3EC12BD0" w:rsidR="00C66416" w:rsidRPr="00D3726A" w:rsidRDefault="00C66416" w:rsidP="007C235E">
            <w:pPr>
              <w:jc w:val="both"/>
              <w:rPr>
                <w:rFonts w:ascii="Times New Roman" w:hAnsi="Times New Roman" w:cs="Times New Roman"/>
                <w:bCs/>
                <w:sz w:val="24"/>
                <w:szCs w:val="24"/>
              </w:rPr>
            </w:pPr>
          </w:p>
        </w:tc>
      </w:tr>
      <w:tr w:rsidR="008C3B13" w:rsidRPr="00D3726A" w14:paraId="565C1D6D" w14:textId="77777777" w:rsidTr="003E697F">
        <w:tc>
          <w:tcPr>
            <w:tcW w:w="709" w:type="dxa"/>
            <w:vMerge/>
          </w:tcPr>
          <w:p w14:paraId="23586A28" w14:textId="77777777" w:rsidR="008C3B13" w:rsidRPr="00D3726A" w:rsidRDefault="008C3B13" w:rsidP="008C3B13">
            <w:pPr>
              <w:pStyle w:val="ListParagraph"/>
              <w:numPr>
                <w:ilvl w:val="0"/>
                <w:numId w:val="6"/>
              </w:numPr>
              <w:jc w:val="both"/>
              <w:rPr>
                <w:rFonts w:ascii="Times New Roman" w:hAnsi="Times New Roman" w:cs="Times New Roman"/>
                <w:bCs/>
                <w:sz w:val="24"/>
                <w:szCs w:val="24"/>
              </w:rPr>
            </w:pPr>
          </w:p>
        </w:tc>
        <w:tc>
          <w:tcPr>
            <w:tcW w:w="2268" w:type="dxa"/>
            <w:vMerge/>
          </w:tcPr>
          <w:p w14:paraId="11ED391B" w14:textId="77777777" w:rsidR="008C3B13" w:rsidRPr="00D3726A" w:rsidRDefault="008C3B13" w:rsidP="008C3B13">
            <w:pPr>
              <w:jc w:val="both"/>
              <w:rPr>
                <w:rFonts w:ascii="Times New Roman" w:hAnsi="Times New Roman" w:cs="Times New Roman"/>
                <w:bCs/>
                <w:i/>
                <w:iCs/>
                <w:sz w:val="24"/>
                <w:szCs w:val="24"/>
              </w:rPr>
            </w:pPr>
          </w:p>
        </w:tc>
        <w:tc>
          <w:tcPr>
            <w:tcW w:w="7960" w:type="dxa"/>
            <w:tcBorders>
              <w:top w:val="single" w:sz="4" w:space="0" w:color="auto"/>
            </w:tcBorders>
            <w:shd w:val="clear" w:color="auto" w:fill="auto"/>
          </w:tcPr>
          <w:p w14:paraId="7F58A50A" w14:textId="77777777" w:rsidR="00C03473" w:rsidRPr="002F497D" w:rsidRDefault="00C03473" w:rsidP="00C03473">
            <w:pPr>
              <w:keepNext/>
              <w:keepLines/>
              <w:widowControl w:val="0"/>
              <w:tabs>
                <w:tab w:val="left" w:pos="724"/>
              </w:tabs>
              <w:spacing w:after="100" w:line="276" w:lineRule="auto"/>
              <w:jc w:val="both"/>
              <w:outlineLvl w:val="1"/>
              <w:rPr>
                <w:rFonts w:ascii="Times New Roman" w:eastAsia="Times New Roman" w:hAnsi="Times New Roman" w:cs="Times New Roman"/>
                <w:b/>
                <w:bCs/>
                <w:sz w:val="24"/>
                <w:szCs w:val="24"/>
                <w:lang w:eastAsia="bg-BG" w:bidi="bg-BG"/>
              </w:rPr>
            </w:pPr>
            <w:bookmarkStart w:id="0" w:name="bookmark8"/>
            <w:bookmarkStart w:id="1" w:name="bookmark9"/>
            <w:r w:rsidRPr="002F497D">
              <w:rPr>
                <w:rFonts w:ascii="Times New Roman" w:eastAsia="Times New Roman" w:hAnsi="Times New Roman" w:cs="Times New Roman"/>
                <w:b/>
                <w:bCs/>
                <w:sz w:val="24"/>
                <w:szCs w:val="24"/>
                <w:lang w:eastAsia="bg-BG" w:bidi="bg-BG"/>
              </w:rPr>
              <w:t>Конкретни бележки, препоръки и предложения</w:t>
            </w:r>
            <w:bookmarkEnd w:id="0"/>
            <w:bookmarkEnd w:id="1"/>
          </w:p>
          <w:p w14:paraId="05E5FC56" w14:textId="25E26787" w:rsidR="00F41EBE" w:rsidRPr="002F497D" w:rsidRDefault="00C03473" w:rsidP="002F497D">
            <w:pPr>
              <w:widowControl w:val="0"/>
              <w:numPr>
                <w:ilvl w:val="1"/>
                <w:numId w:val="24"/>
              </w:numPr>
              <w:tabs>
                <w:tab w:val="left" w:pos="724"/>
              </w:tabs>
              <w:ind w:firstLine="318"/>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bCs/>
                <w:iCs/>
                <w:sz w:val="24"/>
                <w:szCs w:val="24"/>
              </w:rPr>
              <w:lastRenderedPageBreak/>
              <w:t>Идентифицираните предизвикателства и част от мерките са с твърде общ характер. По отношение на приоритет „Води“, например, програмата залага на финансиране на мерките от ПУРБ и ПУРН, но няма яснота относно това кои от тях са приоритетни за МОСВ за този програмен период. Би било добре да се постави акцент върху някои важни предизвикателства - разширяване на възможностите за оценка и моделиране на замърсяването</w:t>
            </w:r>
            <w:r w:rsidRPr="002F497D">
              <w:rPr>
                <w:rFonts w:ascii="Times New Roman" w:eastAsia="Times New Roman" w:hAnsi="Times New Roman" w:cs="Times New Roman"/>
                <w:sz w:val="24"/>
                <w:szCs w:val="24"/>
                <w:lang w:eastAsia="bg-BG" w:bidi="bg-BG"/>
              </w:rPr>
              <w:t xml:space="preserve"> от </w:t>
            </w:r>
            <w:r w:rsidRPr="002F497D">
              <w:rPr>
                <w:rFonts w:ascii="Times New Roman" w:eastAsia="Times New Roman" w:hAnsi="Times New Roman" w:cs="Times New Roman"/>
                <w:b/>
                <w:bCs/>
                <w:sz w:val="24"/>
                <w:szCs w:val="24"/>
                <w:lang w:eastAsia="bg-BG" w:bidi="bg-BG"/>
              </w:rPr>
              <w:t xml:space="preserve">дифузни източници, </w:t>
            </w:r>
            <w:r w:rsidRPr="002F497D">
              <w:rPr>
                <w:rFonts w:ascii="Times New Roman" w:eastAsia="Times New Roman" w:hAnsi="Times New Roman" w:cs="Times New Roman"/>
                <w:sz w:val="24"/>
                <w:szCs w:val="24"/>
                <w:lang w:eastAsia="bg-BG" w:bidi="bg-BG"/>
              </w:rPr>
              <w:t xml:space="preserve">изучаване на адаптацията на водните и социално-икономическите системи към </w:t>
            </w:r>
            <w:r w:rsidRPr="002F497D">
              <w:rPr>
                <w:rFonts w:ascii="Times New Roman" w:eastAsia="Times New Roman" w:hAnsi="Times New Roman" w:cs="Times New Roman"/>
                <w:b/>
                <w:bCs/>
                <w:sz w:val="24"/>
                <w:szCs w:val="24"/>
                <w:lang w:eastAsia="bg-BG" w:bidi="bg-BG"/>
              </w:rPr>
              <w:t xml:space="preserve">измененията в климата, количествена оценка на екосистемните услуги </w:t>
            </w:r>
            <w:r w:rsidRPr="002F497D">
              <w:rPr>
                <w:rFonts w:ascii="Times New Roman" w:eastAsia="Times New Roman" w:hAnsi="Times New Roman" w:cs="Times New Roman"/>
                <w:sz w:val="24"/>
                <w:szCs w:val="24"/>
                <w:lang w:eastAsia="bg-BG" w:bidi="bg-BG"/>
              </w:rPr>
              <w:t xml:space="preserve">на водните екосистеми, разработване на прагове за </w:t>
            </w:r>
            <w:r w:rsidRPr="002F497D">
              <w:rPr>
                <w:rFonts w:ascii="Times New Roman" w:eastAsia="Times New Roman" w:hAnsi="Times New Roman" w:cs="Times New Roman"/>
                <w:b/>
                <w:bCs/>
                <w:sz w:val="24"/>
                <w:szCs w:val="24"/>
                <w:lang w:eastAsia="bg-BG" w:bidi="bg-BG"/>
              </w:rPr>
              <w:t xml:space="preserve">допустимо съдържание на замърсители в живите </w:t>
            </w:r>
            <w:r w:rsidRPr="002F497D">
              <w:rPr>
                <w:rFonts w:ascii="Times New Roman" w:eastAsia="Times New Roman" w:hAnsi="Times New Roman" w:cs="Times New Roman"/>
                <w:sz w:val="24"/>
                <w:szCs w:val="24"/>
                <w:lang w:eastAsia="bg-BG" w:bidi="bg-BG"/>
              </w:rPr>
              <w:t>организми. Всички тези дейности биха подпомогнали подготовката на следващите ПУРБ, като предоставят научна обосновка на планираните мерки, поставените екологични цели и сроковете за постигането им.</w:t>
            </w:r>
          </w:p>
          <w:p w14:paraId="2EDB4F97" w14:textId="50EFA3E3" w:rsidR="00F41EBE" w:rsidRPr="002F497D" w:rsidRDefault="00F41EBE"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146F25B7" w14:textId="0706A6B0"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2535732C" w14:textId="0E903288"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4CEF5330" w14:textId="145732BB"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041DEB0" w14:textId="2A08ECF7"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33779048" w14:textId="0CE6D7C0"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EEFA011" w14:textId="19DC7250"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391A1B23" w14:textId="398FF0C5"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62149459" w14:textId="4A8C11EB"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A983A50" w14:textId="3D01F604"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F47C11C" w14:textId="79AA7C35" w:rsidR="00E777D0"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1C6BF91D" w14:textId="75408AC0" w:rsidR="002F497D" w:rsidRDefault="002F497D"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4817D0F3" w14:textId="77777777" w:rsidR="002F497D" w:rsidRPr="002F497D" w:rsidRDefault="002F497D"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6C06C32" w14:textId="630E18D3" w:rsidR="00C03473" w:rsidRPr="002F497D" w:rsidRDefault="00C03473"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По отношение на ресор „Биоразнообразие“ липсва яснота по какъв начин ще се избират приоритетните защитени зони по НАТУРА 2000, за които е </w:t>
            </w:r>
            <w:r w:rsidRPr="002F497D">
              <w:rPr>
                <w:rFonts w:ascii="Times New Roman" w:eastAsia="Times New Roman" w:hAnsi="Times New Roman" w:cs="Times New Roman"/>
                <w:sz w:val="24"/>
                <w:szCs w:val="24"/>
                <w:lang w:eastAsia="bg-BG" w:bidi="bg-BG"/>
              </w:rPr>
              <w:lastRenderedPageBreak/>
              <w:t xml:space="preserve">предвидена подготовката на първите планове за управление, както и типовете мерки за опазване на видове и местообитания, които ще се финансират. По отношение на приоритет „Риск и изменение на климата“ бихме искали да подчертаем, че инвестицията в проучване на възможностите на </w:t>
            </w:r>
            <w:r w:rsidRPr="002F497D">
              <w:rPr>
                <w:rFonts w:ascii="Times New Roman" w:eastAsia="Times New Roman" w:hAnsi="Times New Roman" w:cs="Times New Roman"/>
                <w:b/>
                <w:bCs/>
                <w:sz w:val="24"/>
                <w:szCs w:val="24"/>
                <w:lang w:eastAsia="bg-BG" w:bidi="bg-BG"/>
              </w:rPr>
              <w:t xml:space="preserve">„зелената инфраструктура“ като алтернатива на „сивите“ решения, </w:t>
            </w:r>
            <w:r w:rsidRPr="002F497D">
              <w:rPr>
                <w:rFonts w:ascii="Times New Roman" w:eastAsia="Times New Roman" w:hAnsi="Times New Roman" w:cs="Times New Roman"/>
                <w:sz w:val="24"/>
                <w:szCs w:val="24"/>
                <w:lang w:eastAsia="bg-BG" w:bidi="bg-BG"/>
              </w:rPr>
              <w:t>би могла да се приложи не само за градските зони и републиканската пътна мрежа, но и за морската среда, поради което се препоръчваме това да бъде отразено програмата за настоящия програмен период.</w:t>
            </w:r>
          </w:p>
          <w:p w14:paraId="0A3D35E3" w14:textId="5860B5D3" w:rsidR="00851D37" w:rsidRPr="002F497D" w:rsidRDefault="00851D37" w:rsidP="00851D37">
            <w:pPr>
              <w:widowControl w:val="0"/>
              <w:tabs>
                <w:tab w:val="left" w:pos="724"/>
              </w:tabs>
              <w:spacing w:after="100" w:line="276" w:lineRule="auto"/>
              <w:ind w:left="320"/>
              <w:jc w:val="both"/>
              <w:rPr>
                <w:rFonts w:ascii="Times New Roman" w:eastAsia="Times New Roman" w:hAnsi="Times New Roman" w:cs="Times New Roman"/>
                <w:sz w:val="24"/>
                <w:szCs w:val="24"/>
                <w:lang w:eastAsia="bg-BG" w:bidi="bg-BG"/>
              </w:rPr>
            </w:pPr>
          </w:p>
          <w:p w14:paraId="112C5418" w14:textId="77777777" w:rsidR="00FE1A7D" w:rsidRPr="002F497D" w:rsidRDefault="00FE1A7D" w:rsidP="00851D37">
            <w:pPr>
              <w:widowControl w:val="0"/>
              <w:tabs>
                <w:tab w:val="left" w:pos="724"/>
              </w:tabs>
              <w:spacing w:after="100" w:line="276" w:lineRule="auto"/>
              <w:ind w:left="320"/>
              <w:jc w:val="both"/>
              <w:rPr>
                <w:rFonts w:ascii="Times New Roman" w:eastAsia="Times New Roman" w:hAnsi="Times New Roman" w:cs="Times New Roman"/>
                <w:sz w:val="24"/>
                <w:szCs w:val="24"/>
                <w:lang w:eastAsia="bg-BG" w:bidi="bg-BG"/>
              </w:rPr>
            </w:pPr>
          </w:p>
          <w:p w14:paraId="1F035B82" w14:textId="07ADF45F" w:rsidR="00C03473" w:rsidRPr="002F497D" w:rsidRDefault="00C03473" w:rsidP="00C03473">
            <w:pPr>
              <w:widowControl w:val="0"/>
              <w:numPr>
                <w:ilvl w:val="1"/>
                <w:numId w:val="24"/>
              </w:numPr>
              <w:tabs>
                <w:tab w:val="left" w:pos="724"/>
              </w:tabs>
              <w:spacing w:after="100" w:line="276" w:lineRule="auto"/>
              <w:ind w:firstLine="32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Представената програма оставя впечатление, че като цяло </w:t>
            </w:r>
            <w:r w:rsidRPr="002F497D">
              <w:rPr>
                <w:rFonts w:ascii="Times New Roman" w:eastAsia="Times New Roman" w:hAnsi="Times New Roman" w:cs="Times New Roman"/>
                <w:b/>
                <w:bCs/>
                <w:sz w:val="24"/>
                <w:szCs w:val="24"/>
                <w:lang w:eastAsia="bg-BG" w:bidi="bg-BG"/>
              </w:rPr>
              <w:t xml:space="preserve">липсва фокус върху морската околна среда. </w:t>
            </w:r>
            <w:r w:rsidRPr="002F497D">
              <w:rPr>
                <w:rFonts w:ascii="Times New Roman" w:eastAsia="Times New Roman" w:hAnsi="Times New Roman" w:cs="Times New Roman"/>
                <w:sz w:val="24"/>
                <w:szCs w:val="24"/>
                <w:lang w:eastAsia="bg-BG" w:bidi="bg-BG"/>
              </w:rPr>
              <w:t>Въпреки че част от планираните мерки предполагат принос към подобряване на състоянието на морската среда (ВиК, биоразнообразие, ПУРБ и ПУРН), считаме, че в планираните мерки липсва конкретен акцент върху морските води. По такъв начин, за нас остава неясно дали МОСВ разпознава морската околна среда като приоритетна област на интервенция през настоящия програмен период и дали планираните мерки ще отговорят на предизвикателствата, свързани с управлението на морските води. В тази връзка бихме препоръчали намеренията на МОСВ по отношение морската околна среда да бъдат по-ясно дефинирани.</w:t>
            </w:r>
          </w:p>
          <w:p w14:paraId="37848DD8" w14:textId="1512274F"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47ACCED" w14:textId="26148806"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CB3259E" w14:textId="7FB71DA0"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2EF86D73" w14:textId="0B8BA507"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746C5A1" w14:textId="41185AED"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5E64FABB" w14:textId="62F3C075"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3C2B3141" w14:textId="600D61E7"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C71CC35" w14:textId="77777777"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54B4799A" w14:textId="33E6615D" w:rsidR="008A57EE" w:rsidRPr="002F497D" w:rsidRDefault="00C03473" w:rsidP="00B6103B">
            <w:pPr>
              <w:widowControl w:val="0"/>
              <w:numPr>
                <w:ilvl w:val="1"/>
                <w:numId w:val="24"/>
              </w:numPr>
              <w:tabs>
                <w:tab w:val="left" w:pos="724"/>
              </w:tabs>
              <w:spacing w:after="100" w:line="276" w:lineRule="auto"/>
              <w:ind w:firstLine="32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Считаме, че би било добре да се акцентира, където е възможно, върху </w:t>
            </w:r>
            <w:r w:rsidRPr="002F497D">
              <w:rPr>
                <w:rFonts w:ascii="Times New Roman" w:eastAsia="Times New Roman" w:hAnsi="Times New Roman" w:cs="Times New Roman"/>
                <w:b/>
                <w:bCs/>
                <w:sz w:val="24"/>
                <w:szCs w:val="24"/>
                <w:lang w:eastAsia="bg-BG" w:bidi="bg-BG"/>
              </w:rPr>
              <w:t xml:space="preserve">научно- приложните мерки. </w:t>
            </w:r>
            <w:r w:rsidRPr="002F497D">
              <w:rPr>
                <w:rFonts w:ascii="Times New Roman" w:eastAsia="Times New Roman" w:hAnsi="Times New Roman" w:cs="Times New Roman"/>
                <w:sz w:val="24"/>
                <w:szCs w:val="24"/>
                <w:lang w:eastAsia="bg-BG" w:bidi="bg-BG"/>
              </w:rPr>
              <w:t>Участието на академичната общност не бива да се ограничава само до приоритет „Биоразнообразие“ както става ясно от програмата, а следва да се търси активно и в другите области, тъй като редица предизвикателства нямат готови решения, а изискват предварително проучване и подготовка на мерки, специфични за конкретния проблем и/или географски район. Смятаме, че решаването на проблемите в направленията „Води“, „Биоразнообразие“ и „Адаптация към климатичните изменения“ е възможно само при наличието на добра научна обосновка, която изисква широк набор от предварителни изследвания.</w:t>
            </w:r>
          </w:p>
        </w:tc>
        <w:tc>
          <w:tcPr>
            <w:tcW w:w="4394" w:type="dxa"/>
          </w:tcPr>
          <w:p w14:paraId="79EE1C50" w14:textId="77777777" w:rsidR="00C66416" w:rsidRDefault="00C66416" w:rsidP="00851D37">
            <w:pPr>
              <w:jc w:val="both"/>
              <w:rPr>
                <w:rFonts w:ascii="Times New Roman" w:hAnsi="Times New Roman" w:cs="Times New Roman"/>
                <w:bCs/>
                <w:sz w:val="24"/>
                <w:szCs w:val="24"/>
              </w:rPr>
            </w:pPr>
          </w:p>
          <w:p w14:paraId="60C06BAD" w14:textId="77777777" w:rsidR="00E777D0" w:rsidRDefault="00851D37" w:rsidP="00E777D0">
            <w:pPr>
              <w:jc w:val="both"/>
              <w:rPr>
                <w:rFonts w:ascii="Times New Roman" w:hAnsi="Times New Roman" w:cs="Times New Roman"/>
                <w:bCs/>
                <w:sz w:val="24"/>
                <w:szCs w:val="24"/>
              </w:rPr>
            </w:pPr>
            <w:r w:rsidRPr="00851D37">
              <w:rPr>
                <w:rFonts w:ascii="Times New Roman" w:hAnsi="Times New Roman" w:cs="Times New Roman"/>
                <w:bCs/>
                <w:sz w:val="24"/>
                <w:szCs w:val="24"/>
              </w:rPr>
              <w:lastRenderedPageBreak/>
              <w:t>Третият цикъл от ПУРБ и ПУРН се финализират с финансиране от ОПОС 2014-202 г.  В рамките на съгласувателните процедури за одобрението на тези документи, може да се получи поглед за приоритетите в тях. Тъй като обаче, така както и във ВиК отрасъла, мерките в ПУРБ надвишават възможностите за финансиране чрез ПОС 2021-2027 г. се очаква ПОС да финансира чрез интегрираните териториални инвестиции санитарно охранителни зони на водоизточниците, предвид значимостта им, в случай че регионалните партньори на ниво регион за планиране се обединят около подобно искане за финансиране.</w:t>
            </w:r>
          </w:p>
          <w:p w14:paraId="179C30E2" w14:textId="75C34F26" w:rsidR="00E777D0" w:rsidRDefault="00E777D0" w:rsidP="00E777D0">
            <w:pPr>
              <w:jc w:val="both"/>
              <w:rPr>
                <w:rFonts w:ascii="Times New Roman" w:hAnsi="Times New Roman" w:cs="Times New Roman"/>
                <w:bCs/>
                <w:sz w:val="24"/>
                <w:szCs w:val="24"/>
              </w:rPr>
            </w:pPr>
            <w:r w:rsidRPr="00560F72">
              <w:rPr>
                <w:rFonts w:ascii="Times New Roman" w:hAnsi="Times New Roman" w:cs="Times New Roman"/>
                <w:bCs/>
                <w:sz w:val="24"/>
                <w:szCs w:val="24"/>
              </w:rPr>
              <w:t>В допълнение, следва да се отчете факт</w:t>
            </w:r>
            <w:r>
              <w:rPr>
                <w:rFonts w:ascii="Times New Roman" w:hAnsi="Times New Roman" w:cs="Times New Roman"/>
                <w:bCs/>
                <w:sz w:val="24"/>
                <w:szCs w:val="24"/>
              </w:rPr>
              <w:t>ът</w:t>
            </w:r>
            <w:r w:rsidRPr="00560F72">
              <w:rPr>
                <w:rFonts w:ascii="Times New Roman" w:hAnsi="Times New Roman" w:cs="Times New Roman"/>
                <w:bCs/>
                <w:sz w:val="24"/>
                <w:szCs w:val="24"/>
              </w:rPr>
              <w:t>,  че през програмния период 2014-202</w:t>
            </w:r>
            <w:r>
              <w:rPr>
                <w:rFonts w:ascii="Times New Roman" w:hAnsi="Times New Roman" w:cs="Times New Roman"/>
                <w:bCs/>
                <w:sz w:val="24"/>
                <w:szCs w:val="24"/>
                <w:lang w:val="en-US"/>
              </w:rPr>
              <w:t>0</w:t>
            </w:r>
            <w:r w:rsidRPr="00560F72">
              <w:rPr>
                <w:rFonts w:ascii="Times New Roman" w:hAnsi="Times New Roman" w:cs="Times New Roman"/>
                <w:bCs/>
                <w:sz w:val="24"/>
                <w:szCs w:val="24"/>
              </w:rPr>
              <w:t xml:space="preserve"> г. ОПОС финансира 3 проекта с отношение към мониторинга на водите и изграждането на мрежите за мониторинг на количеството и качеството на водите. Детайлна  информацията в тази връзка, от която Институтът по океанология би могъл да се възползва, би могла да бъде получена от ИАОС или от компетентната дирекция Управление на водите в МОСВ.  </w:t>
            </w:r>
          </w:p>
          <w:p w14:paraId="19B68BE3" w14:textId="5E0C1C40" w:rsidR="00851D37" w:rsidRDefault="00851D37" w:rsidP="00851D37">
            <w:pPr>
              <w:jc w:val="both"/>
              <w:rPr>
                <w:rFonts w:ascii="Times New Roman" w:hAnsi="Times New Roman" w:cs="Times New Roman"/>
                <w:bCs/>
                <w:sz w:val="24"/>
                <w:szCs w:val="24"/>
              </w:rPr>
            </w:pPr>
          </w:p>
          <w:p w14:paraId="4A3FB634" w14:textId="77777777" w:rsidR="00F41EBE" w:rsidRDefault="00F41EBE" w:rsidP="00851D37">
            <w:pPr>
              <w:jc w:val="both"/>
              <w:rPr>
                <w:rFonts w:ascii="Times New Roman" w:hAnsi="Times New Roman" w:cs="Times New Roman"/>
                <w:bCs/>
                <w:sz w:val="24"/>
                <w:szCs w:val="24"/>
              </w:rPr>
            </w:pPr>
          </w:p>
          <w:p w14:paraId="20ABCC28" w14:textId="6CA2DA88" w:rsidR="00560F72" w:rsidRDefault="00560F72" w:rsidP="008C3B13">
            <w:pPr>
              <w:jc w:val="both"/>
              <w:rPr>
                <w:rFonts w:ascii="Times New Roman" w:hAnsi="Times New Roman" w:cs="Times New Roman"/>
                <w:bCs/>
                <w:sz w:val="24"/>
                <w:szCs w:val="24"/>
                <w:lang w:bidi="bg-BG"/>
              </w:rPr>
            </w:pPr>
            <w:r w:rsidRPr="00560F72">
              <w:rPr>
                <w:rFonts w:ascii="Times New Roman" w:hAnsi="Times New Roman" w:cs="Times New Roman"/>
                <w:bCs/>
                <w:sz w:val="24"/>
                <w:szCs w:val="24"/>
                <w:lang w:bidi="bg-BG"/>
              </w:rPr>
              <w:t xml:space="preserve">Що се отнася до мерките в ресор „Биоразнообразие“, следва да се има предвид, че планове за управление няма </w:t>
            </w:r>
            <w:r w:rsidRPr="00560F72">
              <w:rPr>
                <w:rFonts w:ascii="Times New Roman" w:hAnsi="Times New Roman" w:cs="Times New Roman"/>
                <w:bCs/>
                <w:sz w:val="24"/>
                <w:szCs w:val="24"/>
                <w:lang w:bidi="bg-BG"/>
              </w:rPr>
              <w:lastRenderedPageBreak/>
              <w:t>да бъдат разработвани на база приоритетност на защитени зони, а се планира хоризонталното им разработване за всички зони. Типовете мерки ще бъдат детайлно дефинирани в плановете въз основа на анализите и изводите, залегнали в Националната рамка за приоритетни действия за Натура 2000, който документ е благоприятстващо условие за държавата-членка за периода 2021-2027 г.</w:t>
            </w:r>
          </w:p>
          <w:p w14:paraId="3EA68DFD" w14:textId="77777777" w:rsidR="00FE1A7D" w:rsidRDefault="00FE1A7D" w:rsidP="008C3B13">
            <w:pPr>
              <w:jc w:val="both"/>
              <w:rPr>
                <w:rFonts w:ascii="Times New Roman" w:hAnsi="Times New Roman" w:cs="Times New Roman"/>
                <w:bCs/>
                <w:sz w:val="24"/>
                <w:szCs w:val="24"/>
                <w:lang w:bidi="bg-BG"/>
              </w:rPr>
            </w:pPr>
          </w:p>
          <w:p w14:paraId="78642B0B" w14:textId="7305B5D3" w:rsidR="00064753" w:rsidRDefault="00560F72" w:rsidP="008C3B13">
            <w:pPr>
              <w:jc w:val="both"/>
              <w:rPr>
                <w:rFonts w:ascii="Times New Roman" w:hAnsi="Times New Roman" w:cs="Times New Roman"/>
                <w:bCs/>
                <w:sz w:val="24"/>
                <w:szCs w:val="24"/>
                <w:lang w:bidi="bg-BG"/>
              </w:rPr>
            </w:pPr>
            <w:r w:rsidRPr="00560F72">
              <w:rPr>
                <w:rFonts w:ascii="Times New Roman" w:hAnsi="Times New Roman" w:cs="Times New Roman"/>
                <w:bCs/>
                <w:sz w:val="24"/>
                <w:szCs w:val="24"/>
                <w:lang w:bidi="bg-BG"/>
              </w:rPr>
              <w:t xml:space="preserve">Следва да се има предвид също така, че МОСВ ясно отчита необходимостта от защита на морската околна среда. Прекият принос на ПОС 2021-2027 г.  е за изпълнение на ПУРБ, като следва да се има предвид приносът по отношение на крайбрежните води. По този начин мерките по приоритет „Води“ имат принос и по отношение на Морската стратегия. Пряк принос към Морската стратегия имат и мерките по приоритет „Биоразнообразие“ във връзка с планираните дейности за морските защитени зони по Натура 2000. Относно мерките по „Биоразнообразие“ някои от тях са от значение за и за Рамковата Директива за Водите – свързани с влажни зони и защитени зони от мрежата „Натура 2000“. В допълнение, дейности в изпълнение на морската стратегия се предвижда да бъдат изпълнявани и чрез Норвежкия финансов механизъм и средства от </w:t>
            </w:r>
            <w:r w:rsidRPr="00560F72">
              <w:rPr>
                <w:rFonts w:ascii="Times New Roman" w:hAnsi="Times New Roman" w:cs="Times New Roman"/>
                <w:bCs/>
                <w:sz w:val="24"/>
                <w:szCs w:val="24"/>
                <w:lang w:bidi="bg-BG"/>
              </w:rPr>
              <w:lastRenderedPageBreak/>
              <w:t>държавния бюджет.</w:t>
            </w:r>
          </w:p>
          <w:p w14:paraId="7809A79A" w14:textId="77777777" w:rsidR="00F41EBE" w:rsidRDefault="00F41EBE" w:rsidP="008C3B13">
            <w:pPr>
              <w:jc w:val="both"/>
              <w:rPr>
                <w:rFonts w:ascii="Times New Roman" w:hAnsi="Times New Roman" w:cs="Times New Roman"/>
                <w:bCs/>
                <w:sz w:val="24"/>
                <w:szCs w:val="24"/>
              </w:rPr>
            </w:pPr>
          </w:p>
          <w:p w14:paraId="55E5A48A" w14:textId="77777777" w:rsidR="00FC0ACE" w:rsidRPr="00FC0ACE" w:rsidRDefault="00FC0ACE" w:rsidP="00FC0ACE">
            <w:pPr>
              <w:jc w:val="both"/>
              <w:rPr>
                <w:rFonts w:ascii="Times New Roman" w:hAnsi="Times New Roman" w:cs="Times New Roman"/>
                <w:bCs/>
                <w:sz w:val="24"/>
                <w:szCs w:val="24"/>
              </w:rPr>
            </w:pPr>
            <w:r w:rsidRPr="00FC0ACE">
              <w:rPr>
                <w:rFonts w:ascii="Times New Roman" w:hAnsi="Times New Roman" w:cs="Times New Roman"/>
                <w:bCs/>
                <w:sz w:val="24"/>
                <w:szCs w:val="24"/>
              </w:rPr>
              <w:t xml:space="preserve">В заключение, УО оценява високо работата и постиженията в научно-изследователската и приложна дейност в областта на приложимите сфери в сектор околна среда. Спецификата на програма „Околна среда“ е прилагането на практика на утвърдените и влезли на пазара научни технологии.  </w:t>
            </w:r>
          </w:p>
          <w:p w14:paraId="2AA9FD03" w14:textId="65E626C2" w:rsidR="00FC0ACE" w:rsidRPr="00D3726A" w:rsidRDefault="00FC0ACE" w:rsidP="00FC0ACE">
            <w:pPr>
              <w:jc w:val="both"/>
              <w:rPr>
                <w:rFonts w:ascii="Times New Roman" w:hAnsi="Times New Roman" w:cs="Times New Roman"/>
                <w:bCs/>
                <w:sz w:val="24"/>
                <w:szCs w:val="24"/>
              </w:rPr>
            </w:pPr>
            <w:r w:rsidRPr="00FC0ACE">
              <w:rPr>
                <w:rFonts w:ascii="Times New Roman" w:hAnsi="Times New Roman" w:cs="Times New Roman"/>
                <w:bCs/>
                <w:sz w:val="24"/>
                <w:szCs w:val="24"/>
              </w:rPr>
              <w:t>По отношение на финансирането на същинската дейност на Института и ремонтните работи препоръчваме да се проучат възможностите по Програмата за научни изследвания, иновации и дигитализация за интелигентна трансформация 2021-2027 г., която е в процес на разработване и съгласуване със службите на ЕК.</w:t>
            </w:r>
          </w:p>
        </w:tc>
      </w:tr>
      <w:tr w:rsidR="007A46AB" w:rsidRPr="00D3726A" w14:paraId="5F32F7A3" w14:textId="77777777" w:rsidTr="003E697F">
        <w:tc>
          <w:tcPr>
            <w:tcW w:w="709" w:type="dxa"/>
            <w:vMerge/>
          </w:tcPr>
          <w:p w14:paraId="20F9B5DA" w14:textId="77777777" w:rsidR="007A46AB" w:rsidRPr="00D3726A" w:rsidRDefault="007A46AB" w:rsidP="008C3B13">
            <w:pPr>
              <w:pStyle w:val="ListParagraph"/>
              <w:numPr>
                <w:ilvl w:val="0"/>
                <w:numId w:val="6"/>
              </w:numPr>
              <w:jc w:val="both"/>
              <w:rPr>
                <w:rFonts w:ascii="Times New Roman" w:hAnsi="Times New Roman" w:cs="Times New Roman"/>
                <w:bCs/>
                <w:sz w:val="24"/>
                <w:szCs w:val="24"/>
              </w:rPr>
            </w:pPr>
          </w:p>
        </w:tc>
        <w:tc>
          <w:tcPr>
            <w:tcW w:w="2268" w:type="dxa"/>
            <w:vMerge/>
          </w:tcPr>
          <w:p w14:paraId="26C2424A" w14:textId="77777777" w:rsidR="007A46AB" w:rsidRPr="00D3726A" w:rsidRDefault="007A46AB" w:rsidP="008C3B13">
            <w:pPr>
              <w:jc w:val="both"/>
              <w:rPr>
                <w:rFonts w:ascii="Times New Roman" w:hAnsi="Times New Roman" w:cs="Times New Roman"/>
                <w:bCs/>
                <w:i/>
                <w:iCs/>
                <w:sz w:val="24"/>
                <w:szCs w:val="24"/>
              </w:rPr>
            </w:pPr>
          </w:p>
        </w:tc>
        <w:tc>
          <w:tcPr>
            <w:tcW w:w="7960" w:type="dxa"/>
            <w:tcBorders>
              <w:top w:val="single" w:sz="4" w:space="0" w:color="auto"/>
            </w:tcBorders>
            <w:shd w:val="clear" w:color="auto" w:fill="auto"/>
          </w:tcPr>
          <w:p w14:paraId="474FD9BD" w14:textId="77777777" w:rsidR="007A46AB" w:rsidRPr="002F497D" w:rsidRDefault="007A46AB" w:rsidP="002F497D">
            <w:pPr>
              <w:keepNext/>
              <w:keepLines/>
              <w:widowControl w:val="0"/>
              <w:tabs>
                <w:tab w:val="left" w:pos="724"/>
              </w:tabs>
              <w:jc w:val="both"/>
              <w:outlineLvl w:val="1"/>
              <w:rPr>
                <w:rFonts w:ascii="Times New Roman" w:eastAsia="Times New Roman" w:hAnsi="Times New Roman" w:cs="Times New Roman"/>
                <w:b/>
                <w:bCs/>
                <w:sz w:val="24"/>
                <w:szCs w:val="24"/>
                <w:lang w:eastAsia="bg-BG" w:bidi="bg-BG"/>
              </w:rPr>
            </w:pPr>
            <w:bookmarkStart w:id="2" w:name="bookmark10"/>
            <w:bookmarkStart w:id="3" w:name="bookmark11"/>
            <w:r w:rsidRPr="002F497D">
              <w:rPr>
                <w:rFonts w:ascii="Times New Roman" w:eastAsia="Times New Roman" w:hAnsi="Times New Roman" w:cs="Times New Roman"/>
                <w:b/>
                <w:bCs/>
                <w:sz w:val="24"/>
                <w:szCs w:val="24"/>
                <w:lang w:eastAsia="bg-BG" w:bidi="bg-BG"/>
              </w:rPr>
              <w:t>Финансова рамка</w:t>
            </w:r>
            <w:bookmarkEnd w:id="2"/>
            <w:bookmarkEnd w:id="3"/>
          </w:p>
          <w:p w14:paraId="5D60F044" w14:textId="77777777" w:rsidR="007A46AB" w:rsidRPr="002F497D" w:rsidRDefault="007A46AB" w:rsidP="002F497D">
            <w:pPr>
              <w:widowControl w:val="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ОПОС е един от основните финансови инструменти на МОСВ, чрез който в дадения програмен период се финансират дейности по политики свързани с водите, морската среда и защитата от наводнения. Поради това, програмата представлява интерес за секцията, като потенциална възможност за финансиране на научно-приложени изследвания в помощ на управлението на ресор „Води“. Документът представя намеренията на МОСВ да финансира дейности по определени приоритети.</w:t>
            </w:r>
          </w:p>
          <w:p w14:paraId="6AEE3AEA" w14:textId="77777777" w:rsidR="007A46AB" w:rsidRPr="002F497D" w:rsidRDefault="007A46AB" w:rsidP="002F497D">
            <w:pPr>
              <w:widowControl w:val="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Институтът по океанология - БАН е водещият морски изследователски център в България. Съгласно чл. 171, алинея 2, т. 3 от Закона за водите и чл. 3, алинея 11 от Наредбата за опазване на околната среда в морските води Институт по океанология провежда мониторинга, свързан с прилагането на РДВ и РДМС.</w:t>
            </w:r>
          </w:p>
          <w:p w14:paraId="50571785" w14:textId="77777777" w:rsidR="007A46AB" w:rsidRPr="002F497D" w:rsidRDefault="007A46AB" w:rsidP="002F497D">
            <w:pPr>
              <w:widowControl w:val="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Във връзка с изготвянето на национална стратегия за Черно море от предходната програма, която все още не е финализирана, и е цел доизграждане на системите за мониторинг на водите предлагаме новата оперативна програма да подпомогне Института в следните направления:</w:t>
            </w:r>
          </w:p>
          <w:p w14:paraId="382E348A" w14:textId="77777777" w:rsidR="007A46AB" w:rsidRPr="002F497D" w:rsidRDefault="007A46AB" w:rsidP="002F497D">
            <w:pPr>
              <w:widowControl w:val="0"/>
              <w:numPr>
                <w:ilvl w:val="0"/>
                <w:numId w:val="25"/>
              </w:numPr>
              <w:tabs>
                <w:tab w:val="left" w:pos="742"/>
              </w:tabs>
              <w:ind w:left="742" w:hanging="284"/>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lastRenderedPageBreak/>
              <w:t>Подпомагане на предстоящия през 2022 г. класов ремонт на НИК „Академик“, като основно средство за изпълнение на мониторинга, което ще осигури провеждането му в периода до 2027 г.</w:t>
            </w:r>
          </w:p>
          <w:p w14:paraId="5FA26933" w14:textId="7E0245EB" w:rsidR="007A46AB" w:rsidRPr="002F497D" w:rsidRDefault="007A46AB" w:rsidP="002F497D">
            <w:pPr>
              <w:widowControl w:val="0"/>
              <w:numPr>
                <w:ilvl w:val="0"/>
                <w:numId w:val="25"/>
              </w:numPr>
              <w:tabs>
                <w:tab w:val="left" w:pos="742"/>
              </w:tabs>
              <w:ind w:left="742" w:hanging="284"/>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В случай, че структурите на МОСВ разполагат с високо технологична апаратура за изследване на приоритетни вещества и специфични замърсители в морска вода, седименти и биота - Масспектрометър с индуктивно свързана плазма </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ICP</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 xml:space="preserve">Газов хроматограф е масдетектор и хедспейс </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GC</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HS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 xml:space="preserve">Течен хроматограф е масдетектор </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LC</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която не използват, предлагаме да обсъдим вариант за преотстъпване за ползване от ИО-БАН.</w:t>
            </w:r>
          </w:p>
          <w:p w14:paraId="74AAA5E9" w14:textId="77777777" w:rsidR="007A46AB" w:rsidRPr="002F497D" w:rsidRDefault="007A46AB" w:rsidP="002F497D">
            <w:pPr>
              <w:widowControl w:val="0"/>
              <w:numPr>
                <w:ilvl w:val="0"/>
                <w:numId w:val="25"/>
              </w:numPr>
              <w:tabs>
                <w:tab w:val="left" w:pos="742"/>
              </w:tabs>
              <w:ind w:left="742" w:hanging="284"/>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Монтиране на буйкови станции с датчици за наблюдение на набор от параметри в антропогенно натоварени водни тела, включително параметри, свързани с климатични изменения, като </w:t>
            </w:r>
            <w:r w:rsidRPr="002F497D">
              <w:rPr>
                <w:rFonts w:ascii="Times New Roman" w:eastAsia="Times New Roman" w:hAnsi="Times New Roman" w:cs="Times New Roman"/>
                <w:sz w:val="24"/>
                <w:szCs w:val="24"/>
                <w:lang w:val="en-US" w:bidi="en-US"/>
              </w:rPr>
              <w:t>pH</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и парциално налягане на въглероден диоксид.</w:t>
            </w:r>
          </w:p>
          <w:p w14:paraId="51ABDA6C" w14:textId="77777777" w:rsidR="007A46AB" w:rsidRPr="002F497D" w:rsidRDefault="007A46AB" w:rsidP="002F497D">
            <w:pPr>
              <w:widowControl w:val="0"/>
              <w:ind w:firstLine="58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Всичко това ще спомогне доизграждането на национален капацитет за изпълнението на Рамкова Директива за Водите и Рамкова Директива за Морска Стратегия, чиито цели са постигане на Добро Екологично Състояние на морската среда.</w:t>
            </w:r>
          </w:p>
          <w:p w14:paraId="0575DF69" w14:textId="072BC437" w:rsidR="00B6103B" w:rsidRPr="002F497D" w:rsidRDefault="007A46AB" w:rsidP="002F497D">
            <w:pPr>
              <w:widowControl w:val="0"/>
              <w:ind w:firstLine="72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Надяваме се, че МОСВ традиционно разпознава в БАН, и в частност в Института по океанология, партньор в усилията да се отговори на съвременните предизвикателства, свързани с управлението на околната среда по устойчив начин, и бихме искали да Ви уверим, че нашите експерти с готовност биха помогнали на МОСВ в процеса на идентифициране на проблеми , намиране на решения и формулиране на политики.</w:t>
            </w:r>
            <w:r w:rsidR="00B6103B" w:rsidRPr="002F497D">
              <w:rPr>
                <w:rFonts w:ascii="Times New Roman" w:eastAsia="Times New Roman" w:hAnsi="Times New Roman" w:cs="Times New Roman"/>
                <w:sz w:val="24"/>
                <w:szCs w:val="24"/>
                <w:lang w:eastAsia="bg-BG" w:bidi="bg-BG"/>
              </w:rPr>
              <w:tab/>
            </w:r>
          </w:p>
        </w:tc>
        <w:tc>
          <w:tcPr>
            <w:tcW w:w="4394" w:type="dxa"/>
          </w:tcPr>
          <w:p w14:paraId="7588AB9A" w14:textId="77777777" w:rsidR="00851D37" w:rsidRDefault="00851D37" w:rsidP="00851D37">
            <w:pPr>
              <w:spacing w:line="256" w:lineRule="auto"/>
              <w:jc w:val="both"/>
              <w:rPr>
                <w:rFonts w:ascii="Times New Roman" w:eastAsia="Calibri" w:hAnsi="Times New Roman" w:cs="Times New Roman"/>
                <w:bCs/>
                <w:sz w:val="24"/>
                <w:szCs w:val="24"/>
                <w:highlight w:val="yellow"/>
              </w:rPr>
            </w:pPr>
          </w:p>
          <w:p w14:paraId="1EFACA73" w14:textId="77777777" w:rsidR="00610F9E" w:rsidRPr="00610F9E" w:rsidRDefault="00610F9E" w:rsidP="00610F9E">
            <w:pPr>
              <w:spacing w:line="256" w:lineRule="auto"/>
              <w:jc w:val="both"/>
              <w:rPr>
                <w:rFonts w:ascii="Times New Roman" w:eastAsia="Calibri" w:hAnsi="Times New Roman" w:cs="Times New Roman"/>
                <w:bCs/>
                <w:sz w:val="24"/>
                <w:szCs w:val="24"/>
              </w:rPr>
            </w:pPr>
            <w:r w:rsidRPr="00610F9E">
              <w:rPr>
                <w:rFonts w:ascii="Times New Roman" w:eastAsia="Calibri" w:hAnsi="Times New Roman" w:cs="Times New Roman"/>
                <w:bCs/>
                <w:sz w:val="24"/>
                <w:szCs w:val="24"/>
              </w:rPr>
              <w:t xml:space="preserve">Във връзка с отправените от Вас предложения препоръчваме да се установи контакт с бенефициентите по ОПОС 2014-2020 г. по процедура BG16M1OP002-1.004 - Разработване и въвеждане на методи за анализ на води, седименти и биота и дооборудване на лаборатории на Изпълнителната агенция по околна среда   (https://eumis2020.government.bg/bg/s/Procedure/InfoEnded/b0c495b9-c864-4e05-ab7b-93556a3edbed), чрез която са оборудвани ИАОС и 8 лаборатории в страната. Също така е подходящо да се установи контакт с дирекция УВ в </w:t>
            </w:r>
            <w:r w:rsidRPr="00610F9E">
              <w:rPr>
                <w:rFonts w:ascii="Times New Roman" w:eastAsia="Calibri" w:hAnsi="Times New Roman" w:cs="Times New Roman"/>
                <w:bCs/>
                <w:sz w:val="24"/>
                <w:szCs w:val="24"/>
              </w:rPr>
              <w:lastRenderedPageBreak/>
              <w:t xml:space="preserve">МОСВ и ИАОС, които са бенефициенти по процедури </w:t>
            </w:r>
          </w:p>
          <w:p w14:paraId="163573A6" w14:textId="77777777" w:rsidR="00610F9E" w:rsidRPr="00610F9E" w:rsidRDefault="00610F9E" w:rsidP="00610F9E">
            <w:pPr>
              <w:spacing w:line="256" w:lineRule="auto"/>
              <w:jc w:val="both"/>
              <w:rPr>
                <w:rFonts w:ascii="Times New Roman" w:eastAsia="Calibri" w:hAnsi="Times New Roman" w:cs="Times New Roman"/>
                <w:bCs/>
                <w:sz w:val="24"/>
                <w:szCs w:val="24"/>
              </w:rPr>
            </w:pPr>
            <w:r w:rsidRPr="00610F9E">
              <w:rPr>
                <w:rFonts w:ascii="Times New Roman" w:eastAsia="Calibri" w:hAnsi="Times New Roman" w:cs="Times New Roman"/>
                <w:bCs/>
                <w:sz w:val="24"/>
                <w:szCs w:val="24"/>
              </w:rPr>
              <w:t xml:space="preserve">„BG16M1OP002-1.013 - Доизграждане на мрежите за мониторинг на количеството на водите“  и </w:t>
            </w:r>
          </w:p>
          <w:p w14:paraId="16088069" w14:textId="1BA260ED" w:rsidR="00851D37" w:rsidRPr="00D3726A" w:rsidRDefault="00610F9E" w:rsidP="00610F9E">
            <w:pPr>
              <w:jc w:val="both"/>
              <w:rPr>
                <w:rFonts w:ascii="Times New Roman" w:hAnsi="Times New Roman" w:cs="Times New Roman"/>
                <w:bCs/>
                <w:sz w:val="24"/>
                <w:szCs w:val="24"/>
              </w:rPr>
            </w:pPr>
            <w:r w:rsidRPr="00610F9E">
              <w:rPr>
                <w:rFonts w:ascii="Times New Roman" w:eastAsia="Calibri" w:hAnsi="Times New Roman" w:cs="Times New Roman"/>
                <w:bCs/>
                <w:sz w:val="24"/>
                <w:szCs w:val="24"/>
              </w:rPr>
              <w:t>„BG16M1OP002-1.019 - Доизграждане и оборудване на мрежите за контролен и оперативен мониторинг на химичното състояние на подземните води“. По този начин Институтът по океанология би могъл както да съдейства с капацитет, така и да се ползва от (бъдещите) резултати по проектите.</w:t>
            </w:r>
          </w:p>
        </w:tc>
      </w:tr>
      <w:tr w:rsidR="007A46AB" w:rsidRPr="00D3726A" w14:paraId="41E921AB" w14:textId="77777777" w:rsidTr="003E697F">
        <w:tc>
          <w:tcPr>
            <w:tcW w:w="709" w:type="dxa"/>
          </w:tcPr>
          <w:p w14:paraId="7FABF75E" w14:textId="0C904CA1" w:rsidR="007A46AB" w:rsidRPr="00D3726A" w:rsidRDefault="007A46AB" w:rsidP="002B060C">
            <w:pPr>
              <w:ind w:left="142"/>
              <w:jc w:val="both"/>
              <w:rPr>
                <w:rFonts w:ascii="Times New Roman" w:hAnsi="Times New Roman" w:cs="Times New Roman"/>
                <w:b/>
                <w:sz w:val="24"/>
                <w:szCs w:val="24"/>
              </w:rPr>
            </w:pPr>
            <w:r w:rsidRPr="00D3726A">
              <w:rPr>
                <w:rFonts w:ascii="Times New Roman" w:hAnsi="Times New Roman" w:cs="Times New Roman"/>
                <w:b/>
                <w:sz w:val="24"/>
                <w:szCs w:val="24"/>
              </w:rPr>
              <w:lastRenderedPageBreak/>
              <w:t>4.</w:t>
            </w:r>
          </w:p>
        </w:tc>
        <w:tc>
          <w:tcPr>
            <w:tcW w:w="2268" w:type="dxa"/>
          </w:tcPr>
          <w:p w14:paraId="0C7E3FDA" w14:textId="689BAE77" w:rsidR="007A46AB" w:rsidRPr="006B2467" w:rsidRDefault="007A46AB" w:rsidP="006B2467">
            <w:pPr>
              <w:rPr>
                <w:rFonts w:ascii="Times New Roman" w:hAnsi="Times New Roman" w:cs="Times New Roman"/>
                <w:bCs/>
                <w:sz w:val="24"/>
                <w:szCs w:val="24"/>
              </w:rPr>
            </w:pPr>
            <w:r w:rsidRPr="006B2467">
              <w:rPr>
                <w:rFonts w:ascii="Times New Roman" w:hAnsi="Times New Roman" w:cs="Times New Roman"/>
                <w:bCs/>
                <w:sz w:val="24"/>
                <w:szCs w:val="24"/>
              </w:rPr>
              <w:t xml:space="preserve">Марта Георгиева </w:t>
            </w:r>
          </w:p>
          <w:p w14:paraId="626439BA" w14:textId="77777777" w:rsidR="007A46AB" w:rsidRPr="006B2467" w:rsidRDefault="007A46AB" w:rsidP="006B2467">
            <w:pPr>
              <w:rPr>
                <w:rFonts w:ascii="Times New Roman" w:hAnsi="Times New Roman" w:cs="Times New Roman"/>
                <w:bCs/>
                <w:sz w:val="24"/>
                <w:szCs w:val="24"/>
              </w:rPr>
            </w:pPr>
            <w:r w:rsidRPr="006B2467">
              <w:rPr>
                <w:rFonts w:ascii="Times New Roman" w:hAnsi="Times New Roman" w:cs="Times New Roman"/>
                <w:bCs/>
                <w:sz w:val="24"/>
                <w:szCs w:val="24"/>
              </w:rPr>
              <w:t>Тома Белев</w:t>
            </w:r>
          </w:p>
          <w:p w14:paraId="3A0782DE" w14:textId="77777777" w:rsidR="007A46AB" w:rsidRPr="006B2467" w:rsidRDefault="007A46AB" w:rsidP="006B2467">
            <w:pPr>
              <w:rPr>
                <w:rFonts w:ascii="Times New Roman" w:hAnsi="Times New Roman" w:cs="Times New Roman"/>
                <w:bCs/>
                <w:sz w:val="24"/>
                <w:szCs w:val="24"/>
              </w:rPr>
            </w:pPr>
          </w:p>
          <w:p w14:paraId="3A53EB75" w14:textId="1B054BA6" w:rsidR="007A46AB" w:rsidRDefault="007A46AB" w:rsidP="006B2467">
            <w:pPr>
              <w:rPr>
                <w:rFonts w:ascii="Times New Roman" w:hAnsi="Times New Roman" w:cs="Times New Roman"/>
                <w:bCs/>
                <w:sz w:val="24"/>
                <w:szCs w:val="24"/>
              </w:rPr>
            </w:pPr>
            <w:r w:rsidRPr="006B2467">
              <w:rPr>
                <w:rFonts w:ascii="Times New Roman" w:hAnsi="Times New Roman" w:cs="Times New Roman"/>
                <w:bCs/>
                <w:sz w:val="24"/>
                <w:szCs w:val="24"/>
              </w:rPr>
              <w:t xml:space="preserve">Общински съветници в Столичен общински съвет, членове на Постоянната комисия по </w:t>
            </w:r>
            <w:r w:rsidRPr="006B2467">
              <w:rPr>
                <w:rFonts w:ascii="Times New Roman" w:hAnsi="Times New Roman" w:cs="Times New Roman"/>
                <w:bCs/>
                <w:sz w:val="24"/>
                <w:szCs w:val="24"/>
              </w:rPr>
              <w:lastRenderedPageBreak/>
              <w:t>опазване на околната среда, земеделие и гори</w:t>
            </w:r>
          </w:p>
          <w:p w14:paraId="3533DBC6" w14:textId="77777777" w:rsidR="007A46AB" w:rsidRDefault="007A46AB" w:rsidP="006B2467">
            <w:pPr>
              <w:rPr>
                <w:rFonts w:ascii="Times New Roman" w:hAnsi="Times New Roman" w:cs="Times New Roman"/>
                <w:bCs/>
                <w:sz w:val="24"/>
                <w:szCs w:val="24"/>
              </w:rPr>
            </w:pPr>
          </w:p>
          <w:p w14:paraId="51935419" w14:textId="67D6B49B" w:rsidR="007A46AB" w:rsidRDefault="00831D1B" w:rsidP="006B2467">
            <w:pPr>
              <w:rPr>
                <w:rFonts w:ascii="Times New Roman" w:hAnsi="Times New Roman" w:cs="Times New Roman"/>
                <w:bCs/>
                <w:sz w:val="24"/>
                <w:szCs w:val="24"/>
              </w:rPr>
            </w:pPr>
            <w:hyperlink r:id="rId11" w:history="1">
              <w:r w:rsidR="007A46AB" w:rsidRPr="00F356D0">
                <w:rPr>
                  <w:rStyle w:val="Hyperlink"/>
                  <w:rFonts w:ascii="Times New Roman" w:hAnsi="Times New Roman" w:cs="Times New Roman"/>
                  <w:bCs/>
                  <w:sz w:val="24"/>
                  <w:szCs w:val="24"/>
                </w:rPr>
                <w:t>marta.geo@gmail.com</w:t>
              </w:r>
            </w:hyperlink>
            <w:r w:rsidR="007A46AB">
              <w:rPr>
                <w:rFonts w:ascii="Times New Roman" w:hAnsi="Times New Roman" w:cs="Times New Roman"/>
                <w:bCs/>
                <w:sz w:val="24"/>
                <w:szCs w:val="24"/>
              </w:rPr>
              <w:t xml:space="preserve"> </w:t>
            </w:r>
          </w:p>
          <w:p w14:paraId="32DB955F" w14:textId="77777777" w:rsidR="007439E5" w:rsidRDefault="007439E5" w:rsidP="006B2467">
            <w:pPr>
              <w:rPr>
                <w:rFonts w:ascii="Times New Roman" w:hAnsi="Times New Roman" w:cs="Times New Roman"/>
                <w:bCs/>
                <w:sz w:val="24"/>
                <w:szCs w:val="24"/>
              </w:rPr>
            </w:pPr>
          </w:p>
          <w:p w14:paraId="033DC4EB" w14:textId="1C0E3367" w:rsidR="007439E5" w:rsidRPr="00D3726A" w:rsidRDefault="007439E5" w:rsidP="006B2467">
            <w:pPr>
              <w:rPr>
                <w:rFonts w:ascii="Times New Roman" w:hAnsi="Times New Roman" w:cs="Times New Roman"/>
                <w:bCs/>
                <w:sz w:val="24"/>
                <w:szCs w:val="24"/>
              </w:rPr>
            </w:pPr>
            <w:r>
              <w:rPr>
                <w:rFonts w:ascii="Times New Roman" w:hAnsi="Times New Roman" w:cs="Times New Roman"/>
                <w:bCs/>
                <w:sz w:val="24"/>
                <w:szCs w:val="24"/>
              </w:rPr>
              <w:t>*След срок</w:t>
            </w:r>
          </w:p>
        </w:tc>
        <w:tc>
          <w:tcPr>
            <w:tcW w:w="7960" w:type="dxa"/>
            <w:shd w:val="clear" w:color="auto" w:fill="auto"/>
          </w:tcPr>
          <w:p w14:paraId="3523A367" w14:textId="6041F198" w:rsidR="007A46AB" w:rsidRPr="007A46AB" w:rsidRDefault="007A46AB" w:rsidP="007A46AB">
            <w:pPr>
              <w:pStyle w:val="BodyText"/>
              <w:tabs>
                <w:tab w:val="left" w:pos="1033"/>
              </w:tabs>
              <w:spacing w:line="240" w:lineRule="auto"/>
              <w:jc w:val="both"/>
              <w:rPr>
                <w:bCs/>
                <w:iCs/>
                <w:sz w:val="24"/>
                <w:szCs w:val="24"/>
              </w:rPr>
            </w:pPr>
            <w:r>
              <w:rPr>
                <w:bCs/>
                <w:iCs/>
                <w:sz w:val="24"/>
                <w:szCs w:val="24"/>
              </w:rPr>
              <w:lastRenderedPageBreak/>
              <w:t>П</w:t>
            </w:r>
            <w:r w:rsidRPr="007A46AB">
              <w:rPr>
                <w:bCs/>
                <w:iCs/>
                <w:sz w:val="24"/>
                <w:szCs w:val="24"/>
              </w:rPr>
              <w:t xml:space="preserve">редлагаме към </w:t>
            </w:r>
            <w:r w:rsidRPr="000828FE">
              <w:rPr>
                <w:b/>
                <w:iCs/>
                <w:sz w:val="24"/>
                <w:szCs w:val="24"/>
              </w:rPr>
              <w:t>Приоритет 5</w:t>
            </w:r>
            <w:r w:rsidRPr="007A46AB">
              <w:rPr>
                <w:bCs/>
                <w:iCs/>
                <w:sz w:val="24"/>
                <w:szCs w:val="24"/>
              </w:rPr>
              <w:t xml:space="preserve"> „Въздух“  СЦ 1  „Засилване на биоразнообразието, “зелената” инфраструктура в градската среда, както и намаляване на замърсяването“ 048 “Мерки за намаляване на шума и за качеството на въздуха” да бъдат включени и мерки за намаляване на запрашаването на въздуха чрез отчуждаване и залесяване  на частни терени, създаване и поддържане на зелени площи и улично озеленяване в София и други големи населени места в България. Необходимо е в зелената инфраструктура да се посочат изрично паркове, градини и улично озеленяване, които съгласно чл. 61 ал. 2 на ЗУТ са основа на зелената система, като озеленените площи за широко обществено ползване, </w:t>
            </w:r>
            <w:r w:rsidRPr="007A46AB">
              <w:rPr>
                <w:bCs/>
                <w:iCs/>
                <w:sz w:val="24"/>
                <w:szCs w:val="24"/>
              </w:rPr>
              <w:lastRenderedPageBreak/>
              <w:t xml:space="preserve">предназначени за трайно задоволяване на обществени потребности от национално или общинско значение. </w:t>
            </w:r>
          </w:p>
          <w:p w14:paraId="33406C8D" w14:textId="77777777" w:rsidR="007A46AB" w:rsidRPr="007A46AB" w:rsidRDefault="007A46AB" w:rsidP="007A46AB">
            <w:pPr>
              <w:pStyle w:val="BodyText"/>
              <w:tabs>
                <w:tab w:val="left" w:pos="1033"/>
              </w:tabs>
              <w:spacing w:line="240" w:lineRule="auto"/>
              <w:jc w:val="both"/>
              <w:rPr>
                <w:bCs/>
                <w:iCs/>
                <w:sz w:val="24"/>
                <w:szCs w:val="24"/>
              </w:rPr>
            </w:pPr>
          </w:p>
          <w:p w14:paraId="499137A9"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Също така предлагаме в допустимите бенефициенти, освен общини да се включат и районите от населените места с районно деление, като администрации най-близки до хората и отговорни за поддържането на зелените системи в районите си на действие.</w:t>
            </w:r>
          </w:p>
          <w:p w14:paraId="63113173" w14:textId="77777777" w:rsidR="007A46AB" w:rsidRPr="007A46AB" w:rsidRDefault="007A46AB" w:rsidP="007A46AB">
            <w:pPr>
              <w:pStyle w:val="BodyText"/>
              <w:tabs>
                <w:tab w:val="left" w:pos="1033"/>
              </w:tabs>
              <w:spacing w:line="240" w:lineRule="auto"/>
              <w:jc w:val="both"/>
              <w:rPr>
                <w:bCs/>
                <w:iCs/>
                <w:sz w:val="24"/>
                <w:szCs w:val="24"/>
              </w:rPr>
            </w:pPr>
          </w:p>
          <w:p w14:paraId="25A2E790"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 xml:space="preserve">С ОУП на  София бяха устроени много паркове и градини, голяма част от които са частна собственост и с отпадане на  мораториума върху тяхното застрояване ще бъдат унищожени в случай, че не бъдат отчуждени и управлявани като паркове. Тяхното наличие, обаче бе в основата на положителното становище по екологична оценка за изменението на ОУП през 2009г. </w:t>
            </w:r>
          </w:p>
          <w:p w14:paraId="759A5088" w14:textId="77777777" w:rsidR="007A46AB" w:rsidRPr="007A46AB" w:rsidRDefault="007A46AB" w:rsidP="007A46AB">
            <w:pPr>
              <w:pStyle w:val="BodyText"/>
              <w:tabs>
                <w:tab w:val="left" w:pos="1033"/>
              </w:tabs>
              <w:spacing w:line="240" w:lineRule="auto"/>
              <w:jc w:val="both"/>
              <w:rPr>
                <w:bCs/>
                <w:iCs/>
                <w:sz w:val="24"/>
                <w:szCs w:val="24"/>
              </w:rPr>
            </w:pPr>
          </w:p>
          <w:p w14:paraId="3C106DB6"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Предложените мерки са за справяне с вторичното разпрашаване – зелена инфраструктура в градските зони, вкл. създаване/разширяване на „зелени пояси/зони“</w:t>
            </w:r>
          </w:p>
          <w:p w14:paraId="5D4DC624"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/намаляване на запрашаването на въздуха чрез създаване и поддържане на зелени площи/ следва да включва и отчуждаване от съответната община на частните терени в парковете и други подходящи за превръщане в паркове частни територии, както и тяхното последващо залесяване с дървесни видове, задържащи прах. Отчуждените терени ще бъдат обявени за общинска публична собственост с НТП Обществен селищен парк, градина.</w:t>
            </w:r>
          </w:p>
          <w:p w14:paraId="0BB749EB" w14:textId="77777777" w:rsidR="007A46AB" w:rsidRPr="007A46AB" w:rsidRDefault="007A46AB" w:rsidP="007A46AB">
            <w:pPr>
              <w:pStyle w:val="BodyText"/>
              <w:tabs>
                <w:tab w:val="left" w:pos="1033"/>
              </w:tabs>
              <w:spacing w:line="240" w:lineRule="auto"/>
              <w:jc w:val="both"/>
              <w:rPr>
                <w:bCs/>
                <w:iCs/>
                <w:sz w:val="24"/>
                <w:szCs w:val="24"/>
              </w:rPr>
            </w:pPr>
          </w:p>
          <w:p w14:paraId="119B72FF"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Придобиване на собственост от общините, които са посочени като потенциалните допустими  бенефициенти по тези мерки е в съответствие с чл. 58, б.) от Предложение за РЕГЛАМЕНТ НА ЕВРОПЕЙСКИЯ ПАРЛАМЕНТ И НА СЪВЕТА за определяне на общоприложими разпоредби и ал. 2, съгласно която: За буква б) границите не се прилагат по отношение на операции, свързани с опазването на околната среда.</w:t>
            </w:r>
          </w:p>
          <w:p w14:paraId="13976413" w14:textId="77777777" w:rsidR="007A46AB" w:rsidRPr="007A46AB" w:rsidRDefault="007A46AB" w:rsidP="007A46AB">
            <w:pPr>
              <w:pStyle w:val="BodyText"/>
              <w:tabs>
                <w:tab w:val="left" w:pos="1033"/>
              </w:tabs>
              <w:spacing w:line="240" w:lineRule="auto"/>
              <w:jc w:val="both"/>
              <w:rPr>
                <w:bCs/>
                <w:iCs/>
                <w:sz w:val="24"/>
                <w:szCs w:val="24"/>
              </w:rPr>
            </w:pPr>
          </w:p>
          <w:p w14:paraId="31E6F2A9"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 xml:space="preserve">Съгласно предварителна информация само в София има нужда от отчуждаване на 800 декара частни терени в досегашните паркове, които са заплашени от постепенно застрояване. Съгласно отговор на Столична община на журналистически въпрос: от 2007 до 2020 год. за изграждане на </w:t>
            </w:r>
            <w:r w:rsidRPr="007A46AB">
              <w:rPr>
                <w:bCs/>
                <w:iCs/>
                <w:sz w:val="24"/>
                <w:szCs w:val="24"/>
              </w:rPr>
              <w:lastRenderedPageBreak/>
              <w:t>зелената система на София Столична община е отчуждила 100 частни имота с обща площ 299,275 декара за 18 107 146,00 лева (средна стойност 60 лв./м2).</w:t>
            </w:r>
          </w:p>
          <w:p w14:paraId="03F81B5C" w14:textId="77777777" w:rsidR="007A46AB" w:rsidRPr="007A46AB" w:rsidRDefault="007A46AB" w:rsidP="007A46AB">
            <w:pPr>
              <w:pStyle w:val="BodyText"/>
              <w:tabs>
                <w:tab w:val="left" w:pos="1033"/>
              </w:tabs>
              <w:spacing w:line="240" w:lineRule="auto"/>
              <w:jc w:val="both"/>
              <w:rPr>
                <w:bCs/>
                <w:iCs/>
                <w:sz w:val="24"/>
                <w:szCs w:val="24"/>
              </w:rPr>
            </w:pPr>
          </w:p>
          <w:p w14:paraId="603E435B"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Според изявления по медиите има нужда да бъдат отчуждени още поне 800 декара за зелената система на София, което при тези разценки прави сума от 48 000 000 лева.</w:t>
            </w:r>
          </w:p>
          <w:p w14:paraId="4FAAD6F8" w14:textId="77777777" w:rsidR="007A46AB" w:rsidRPr="007A46AB" w:rsidRDefault="007A46AB" w:rsidP="007A46AB">
            <w:pPr>
              <w:pStyle w:val="BodyText"/>
              <w:tabs>
                <w:tab w:val="left" w:pos="1033"/>
              </w:tabs>
              <w:spacing w:line="240" w:lineRule="auto"/>
              <w:jc w:val="both"/>
              <w:rPr>
                <w:bCs/>
                <w:iCs/>
                <w:sz w:val="24"/>
                <w:szCs w:val="24"/>
              </w:rPr>
            </w:pPr>
          </w:p>
          <w:p w14:paraId="6805CAEC"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Подобни проблеми с поддръжката на зелената система на градовете има в гр. Стара Загора.</w:t>
            </w:r>
          </w:p>
          <w:p w14:paraId="4146AFFA" w14:textId="77777777" w:rsidR="007A46AB" w:rsidRPr="007A46AB" w:rsidRDefault="007A46AB" w:rsidP="007A46AB">
            <w:pPr>
              <w:pStyle w:val="BodyText"/>
              <w:tabs>
                <w:tab w:val="left" w:pos="1033"/>
              </w:tabs>
              <w:spacing w:line="240" w:lineRule="auto"/>
              <w:jc w:val="both"/>
              <w:rPr>
                <w:bCs/>
                <w:iCs/>
                <w:sz w:val="24"/>
                <w:szCs w:val="24"/>
              </w:rPr>
            </w:pPr>
          </w:p>
          <w:p w14:paraId="4FD9E768"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В тази връзка ние предлагаме в приоритет “Въздух” да бъдат планирани мерки за намаляване на запрашаването на въздуха чрез отчуждаване на частни терени, създаване и поддържане на зелени площи и улично озеленяване в София и други големи населени места в България на обща стойност 50 000 000 лева, като звеното към ОПОС с помощта на СОС (и други общини обект на наказателната процедура за КАВ), направи максимално детайлна обосновка и планиране на гореспоменатите мерки. Изключително важно е да се направи цялостен, задълбочен анализ, като могат да се използват данните от изпълнени научно-изследователски и др. проекти за урбанизирани територии.</w:t>
            </w:r>
          </w:p>
          <w:p w14:paraId="758F5599" w14:textId="77777777" w:rsidR="007A46AB" w:rsidRPr="007A46AB" w:rsidRDefault="007A46AB" w:rsidP="007A46AB">
            <w:pPr>
              <w:pStyle w:val="BodyText"/>
              <w:tabs>
                <w:tab w:val="left" w:pos="1033"/>
              </w:tabs>
              <w:spacing w:line="240" w:lineRule="auto"/>
              <w:jc w:val="both"/>
              <w:rPr>
                <w:bCs/>
                <w:iCs/>
                <w:sz w:val="24"/>
                <w:szCs w:val="24"/>
              </w:rPr>
            </w:pPr>
          </w:p>
          <w:p w14:paraId="16D3C01A"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Ако средствата в тази ос не достигат, предлагаме да се ограничи мярката за извеждането на дизелови автомобили PRE-EURO и EURO 1 и подмяната им с незамърсяващи с ФПЧ МПС, които ще окаже много по-малък ефект върху чистотата на въздуха от запазването и създаването на нови паркове, градини и улично озеленяване.</w:t>
            </w:r>
          </w:p>
          <w:p w14:paraId="547D601D" w14:textId="77777777" w:rsidR="007A46AB" w:rsidRPr="007A46AB" w:rsidRDefault="007A46AB" w:rsidP="007A46AB">
            <w:pPr>
              <w:pStyle w:val="BodyText"/>
              <w:tabs>
                <w:tab w:val="left" w:pos="1033"/>
              </w:tabs>
              <w:spacing w:line="240" w:lineRule="auto"/>
              <w:jc w:val="both"/>
              <w:rPr>
                <w:bCs/>
                <w:iCs/>
                <w:sz w:val="24"/>
                <w:szCs w:val="24"/>
              </w:rPr>
            </w:pPr>
          </w:p>
          <w:p w14:paraId="68DD1AFD"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 xml:space="preserve">Мярката е в изпълнение на приоритетно направление от програмите за КАВ, които предвиждат създаване на зелени пояси, създаване, възстановяване и поддържане на зелени площи, извършване на залесителни мероприятия. Обръщаме внимание, че мярката е необходима не просто за подобряване качеството на въздуха в градовете със завишени емисии на ФПЧ10, обект на наказателна процедура в съдебна фаза срещу Р България. Мярката е необходима, за да се предотврати влошаване на настоящата ситуация и увеличаване на емисиите на ФПЧ10 и ФПЧ2.5. </w:t>
            </w:r>
            <w:r w:rsidRPr="007A46AB">
              <w:rPr>
                <w:bCs/>
                <w:iCs/>
                <w:sz w:val="24"/>
                <w:szCs w:val="24"/>
              </w:rPr>
              <w:lastRenderedPageBreak/>
              <w:t>Констатираната към момента невъзможност за изкупуване от общини на частни терени на територията на градски паркове крие сериозни рискове от загуба на залени площи, което от своя страна ще окаже непосредствено отрицателно въздействие върху КАВ. Още повече, има риск да се компрометират последователните усилия, които от няколко години централната и общинска администрации полагат за постигане на съответствие с нормите за ФПЧ10, както и предстоящия мониторинг и постигане на норми за ФПЧ2.5.</w:t>
            </w:r>
          </w:p>
          <w:p w14:paraId="05614FAE" w14:textId="77777777" w:rsidR="007A46AB" w:rsidRPr="007A46AB" w:rsidRDefault="007A46AB" w:rsidP="007A46AB">
            <w:pPr>
              <w:pStyle w:val="BodyText"/>
              <w:tabs>
                <w:tab w:val="left" w:pos="1033"/>
              </w:tabs>
              <w:spacing w:line="240" w:lineRule="auto"/>
              <w:jc w:val="both"/>
              <w:rPr>
                <w:bCs/>
                <w:iCs/>
                <w:sz w:val="24"/>
                <w:szCs w:val="24"/>
              </w:rPr>
            </w:pPr>
          </w:p>
          <w:p w14:paraId="013A6BAE"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Качеството на въздуха е комплексен проблем, за решаване на който следва да се възприеме цялостен, стратегически подход. Освен подмяната на отоплителни уреди от домакинства, засилване контрола върху използваните отоплителни уреди и горива, намаляване на транспортните емисии, от изключително значение е общините като минимум да запазят, а за препоръчване да разширяват и развиват зелените зони в урбанизираните територии със завишени прахови емисии.</w:t>
            </w:r>
          </w:p>
          <w:p w14:paraId="39419ECB" w14:textId="77777777" w:rsidR="007A46AB" w:rsidRPr="007A46AB" w:rsidRDefault="007A46AB" w:rsidP="007A46AB">
            <w:pPr>
              <w:pStyle w:val="BodyText"/>
              <w:tabs>
                <w:tab w:val="left" w:pos="1033"/>
              </w:tabs>
              <w:spacing w:line="240" w:lineRule="auto"/>
              <w:jc w:val="both"/>
              <w:rPr>
                <w:bCs/>
                <w:iCs/>
                <w:sz w:val="24"/>
                <w:szCs w:val="24"/>
              </w:rPr>
            </w:pPr>
          </w:p>
          <w:p w14:paraId="73B810E8" w14:textId="2575AE83" w:rsidR="007A46AB" w:rsidRPr="00D3726A" w:rsidRDefault="007A46AB" w:rsidP="007A46AB">
            <w:pPr>
              <w:pStyle w:val="BodyText"/>
              <w:tabs>
                <w:tab w:val="left" w:pos="1033"/>
              </w:tabs>
              <w:spacing w:line="240" w:lineRule="auto"/>
              <w:jc w:val="both"/>
              <w:rPr>
                <w:bCs/>
                <w:iCs/>
                <w:sz w:val="24"/>
                <w:szCs w:val="24"/>
              </w:rPr>
            </w:pPr>
            <w:r w:rsidRPr="007A46AB">
              <w:rPr>
                <w:bCs/>
                <w:iCs/>
                <w:sz w:val="24"/>
                <w:szCs w:val="24"/>
              </w:rPr>
              <w:t>Считаме, че Р България следва да използва възможността и да планира в ОПОС 2021-2027 г. всички допустими за финансиране приоритетни мерки със стратегическо значение.</w:t>
            </w:r>
          </w:p>
        </w:tc>
        <w:tc>
          <w:tcPr>
            <w:tcW w:w="4394" w:type="dxa"/>
          </w:tcPr>
          <w:p w14:paraId="58393D1C" w14:textId="05002E87" w:rsidR="00610F9E" w:rsidRPr="00610F9E"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lastRenderedPageBreak/>
              <w:t xml:space="preserve">При планиране на средствата по Програмата се прилагат критериите за ефективност и ефикасност на вложените средства въз основа на принципа за „добро финансово управление“ В противен случай съществува риск да бъдат изразходвани значителни средства без да бъде постигнат очакваният резултат. Това е необходимо за целите на изпълнението както на </w:t>
            </w:r>
            <w:r w:rsidRPr="00610F9E">
              <w:rPr>
                <w:rFonts w:ascii="Times New Roman" w:hAnsi="Times New Roman" w:cs="Times New Roman"/>
                <w:bCs/>
                <w:sz w:val="24"/>
                <w:szCs w:val="24"/>
              </w:rPr>
              <w:lastRenderedPageBreak/>
              <w:t>Националната програма за подобряване качеството на атмосферния въздух 2018-2024г., така и на Националната програма за контрол на замърсяването на въздуха 2020-2030г. (в изпълнение на международните ангажименти и национални цели по отношение на емисиите на замърсители – съгласно изискванията на Директива (ЕС) 2016/2284). Следва да се има предвид, че основната цел на мярката за залесяване е намаляване на вторичното разпрашаване, като индикаторът за краен продук</w:t>
            </w:r>
            <w:r w:rsidR="00FE1A7D">
              <w:rPr>
                <w:rFonts w:ascii="Times New Roman" w:hAnsi="Times New Roman" w:cs="Times New Roman"/>
                <w:bCs/>
                <w:sz w:val="24"/>
                <w:szCs w:val="24"/>
              </w:rPr>
              <w:t>т</w:t>
            </w:r>
            <w:r w:rsidRPr="00610F9E">
              <w:rPr>
                <w:rFonts w:ascii="Times New Roman" w:hAnsi="Times New Roman" w:cs="Times New Roman"/>
                <w:bCs/>
                <w:sz w:val="24"/>
                <w:szCs w:val="24"/>
              </w:rPr>
              <w:t xml:space="preserve"> е „Хектари зелена инфраструктура, подкрепена за други нужди извън изменение на климата“. Мярката е допълваща и подкрепяща основните инвестиции, адресиращи двата главни източника на замърсяване – битовото отопление и транспорта. В този смисъл ресурсът за зелени мерки в градска среда е силно ограничен и ще се разпределя чрез прилагане на подхода за интегрирани териториални инвестиции, като</w:t>
            </w:r>
            <w:r w:rsidR="009B547D">
              <w:rPr>
                <w:rFonts w:ascii="Times New Roman" w:hAnsi="Times New Roman" w:cs="Times New Roman"/>
                <w:bCs/>
                <w:sz w:val="24"/>
                <w:szCs w:val="24"/>
              </w:rPr>
              <w:t xml:space="preserve"> </w:t>
            </w:r>
            <w:r w:rsidRPr="00610F9E">
              <w:rPr>
                <w:rFonts w:ascii="Times New Roman" w:hAnsi="Times New Roman" w:cs="Times New Roman"/>
                <w:bCs/>
                <w:sz w:val="24"/>
                <w:szCs w:val="24"/>
              </w:rPr>
              <w:t xml:space="preserve">по мярката няма да е допустимо финансиране на елементи на паркова среда, включително изграждане на велоалеи, детски площадки и др. </w:t>
            </w:r>
          </w:p>
          <w:p w14:paraId="26EA44BF" w14:textId="77777777" w:rsidR="00610F9E" w:rsidRPr="00610F9E" w:rsidRDefault="00610F9E" w:rsidP="00610F9E">
            <w:pPr>
              <w:jc w:val="both"/>
              <w:rPr>
                <w:rFonts w:ascii="Times New Roman" w:hAnsi="Times New Roman" w:cs="Times New Roman"/>
                <w:bCs/>
                <w:sz w:val="24"/>
                <w:szCs w:val="24"/>
              </w:rPr>
            </w:pPr>
          </w:p>
          <w:p w14:paraId="5B9686AF" w14:textId="77777777" w:rsidR="00E777D0"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t>В тази връзка, отчитайки ограничения финансов ресурс, необходимостта от постигане на макс</w:t>
            </w:r>
            <w:r>
              <w:rPr>
                <w:rFonts w:ascii="Times New Roman" w:hAnsi="Times New Roman" w:cs="Times New Roman"/>
                <w:bCs/>
                <w:sz w:val="24"/>
                <w:szCs w:val="24"/>
              </w:rPr>
              <w:t>и</w:t>
            </w:r>
            <w:r w:rsidRPr="00610F9E">
              <w:rPr>
                <w:rFonts w:ascii="Times New Roman" w:hAnsi="Times New Roman" w:cs="Times New Roman"/>
                <w:bCs/>
                <w:sz w:val="24"/>
                <w:szCs w:val="24"/>
              </w:rPr>
              <w:t>мална озеленена площ срещу инвестирания бюджет, целта на интервенциите и съотв</w:t>
            </w:r>
            <w:r>
              <w:rPr>
                <w:rFonts w:ascii="Times New Roman" w:hAnsi="Times New Roman" w:cs="Times New Roman"/>
                <w:bCs/>
                <w:sz w:val="24"/>
                <w:szCs w:val="24"/>
              </w:rPr>
              <w:t>етно</w:t>
            </w:r>
            <w:r w:rsidRPr="00610F9E">
              <w:rPr>
                <w:rFonts w:ascii="Times New Roman" w:hAnsi="Times New Roman" w:cs="Times New Roman"/>
                <w:bCs/>
                <w:sz w:val="24"/>
                <w:szCs w:val="24"/>
              </w:rPr>
              <w:t xml:space="preserve"> приложимия за тях индикатор, на този етап от преговорния процес </w:t>
            </w:r>
            <w:r w:rsidRPr="00610F9E">
              <w:rPr>
                <w:rFonts w:ascii="Times New Roman" w:hAnsi="Times New Roman" w:cs="Times New Roman"/>
                <w:bCs/>
                <w:sz w:val="24"/>
                <w:szCs w:val="24"/>
              </w:rPr>
              <w:lastRenderedPageBreak/>
              <w:t>целесъобразността на разходи за отчуждителни процедури не може да бъде обоснована.</w:t>
            </w:r>
          </w:p>
          <w:p w14:paraId="045C2A9B" w14:textId="10E5D12E" w:rsidR="00610F9E" w:rsidRPr="00610F9E"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t xml:space="preserve">В заключение, УО на ОПОС обръща внимание, че на територията на СО, както и на другите общини с нарушено КАВ - потенциални бенефициенти, има регистриран значителен брой „кални петна“ в междублоковите пространства, свободни и пустеещи общински терени, които могат да се залесят и облагородят. </w:t>
            </w:r>
          </w:p>
          <w:p w14:paraId="776D948F" w14:textId="5EDB4044" w:rsidR="007A46AB" w:rsidRPr="00D3726A"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t>Изграждането на храстови пояси по протежение на натоварените пътни артерии също не налага отчуждаване на земи. В този смисъл за изпълнението на целите на един потенциален проект по тази мярка не се налагат отчуждителни процедури.</w:t>
            </w:r>
          </w:p>
        </w:tc>
      </w:tr>
      <w:tr w:rsidR="002E607C" w:rsidRPr="00D3726A" w14:paraId="54843FAA" w14:textId="77777777" w:rsidTr="003E697F">
        <w:tc>
          <w:tcPr>
            <w:tcW w:w="709" w:type="dxa"/>
          </w:tcPr>
          <w:p w14:paraId="1B6463DD" w14:textId="17E4AA64" w:rsidR="002E607C" w:rsidRPr="008A6022" w:rsidRDefault="002E607C" w:rsidP="002B060C">
            <w:pPr>
              <w:ind w:left="142"/>
              <w:rPr>
                <w:rFonts w:ascii="Times New Roman" w:hAnsi="Times New Roman" w:cs="Times New Roman"/>
                <w:b/>
                <w:sz w:val="24"/>
                <w:szCs w:val="24"/>
              </w:rPr>
            </w:pPr>
            <w:r w:rsidRPr="008A6022">
              <w:rPr>
                <w:rFonts w:ascii="Times New Roman" w:hAnsi="Times New Roman" w:cs="Times New Roman"/>
                <w:b/>
                <w:sz w:val="24"/>
                <w:szCs w:val="24"/>
              </w:rPr>
              <w:lastRenderedPageBreak/>
              <w:t>5.</w:t>
            </w:r>
          </w:p>
        </w:tc>
        <w:tc>
          <w:tcPr>
            <w:tcW w:w="2268" w:type="dxa"/>
          </w:tcPr>
          <w:p w14:paraId="045EB8A6" w14:textId="798D99BC" w:rsidR="002E607C" w:rsidRDefault="002E607C" w:rsidP="002B060C">
            <w:pPr>
              <w:rPr>
                <w:rFonts w:ascii="Times New Roman" w:hAnsi="Times New Roman" w:cs="Times New Roman"/>
                <w:color w:val="000000"/>
                <w:sz w:val="24"/>
                <w:szCs w:val="24"/>
              </w:rPr>
            </w:pPr>
            <w:r>
              <w:rPr>
                <w:rFonts w:ascii="Times New Roman" w:hAnsi="Times New Roman" w:cs="Times New Roman"/>
                <w:color w:val="000000"/>
                <w:sz w:val="24"/>
                <w:szCs w:val="24"/>
              </w:rPr>
              <w:t>Генади Кондарев</w:t>
            </w:r>
          </w:p>
          <w:p w14:paraId="29A48B79" w14:textId="3BF6C1EE" w:rsidR="002E607C" w:rsidRDefault="007439E5" w:rsidP="002B060C">
            <w:pPr>
              <w:rPr>
                <w:rFonts w:ascii="Times New Roman" w:hAnsi="Times New Roman" w:cs="Times New Roman"/>
                <w:color w:val="000000"/>
                <w:sz w:val="24"/>
                <w:szCs w:val="24"/>
              </w:rPr>
            </w:pPr>
            <w:r w:rsidRPr="007439E5">
              <w:rPr>
                <w:rFonts w:ascii="Times New Roman" w:hAnsi="Times New Roman" w:cs="Times New Roman"/>
                <w:color w:val="000000"/>
                <w:sz w:val="24"/>
                <w:szCs w:val="24"/>
              </w:rPr>
              <w:t>Сдружение</w:t>
            </w:r>
            <w:r>
              <w:rPr>
                <w:rFonts w:ascii="Times New Roman" w:hAnsi="Times New Roman" w:cs="Times New Roman"/>
                <w:color w:val="000000"/>
                <w:sz w:val="24"/>
                <w:szCs w:val="24"/>
              </w:rPr>
              <w:t xml:space="preserve"> </w:t>
            </w:r>
            <w:r w:rsidR="002E607C" w:rsidRPr="008A6022">
              <w:rPr>
                <w:rFonts w:ascii="Times New Roman" w:hAnsi="Times New Roman" w:cs="Times New Roman"/>
                <w:color w:val="000000"/>
                <w:sz w:val="24"/>
                <w:szCs w:val="24"/>
              </w:rPr>
              <w:t>“За Земята”</w:t>
            </w:r>
          </w:p>
          <w:p w14:paraId="4826A615" w14:textId="77777777" w:rsidR="002E607C" w:rsidRPr="008A6022" w:rsidRDefault="002E607C" w:rsidP="002B060C">
            <w:pPr>
              <w:rPr>
                <w:rFonts w:ascii="Times New Roman" w:hAnsi="Times New Roman" w:cs="Times New Roman"/>
                <w:color w:val="000000"/>
                <w:sz w:val="24"/>
                <w:szCs w:val="24"/>
              </w:rPr>
            </w:pPr>
          </w:p>
          <w:p w14:paraId="6EAAA2BB" w14:textId="77777777" w:rsidR="002E607C" w:rsidRDefault="00831D1B" w:rsidP="002B060C">
            <w:pPr>
              <w:rPr>
                <w:rFonts w:ascii="Times New Roman" w:hAnsi="Times New Roman" w:cs="Times New Roman"/>
                <w:bCs/>
                <w:sz w:val="24"/>
                <w:szCs w:val="24"/>
              </w:rPr>
            </w:pPr>
            <w:hyperlink r:id="rId12" w:history="1">
              <w:r w:rsidR="002E607C" w:rsidRPr="00F356D0">
                <w:rPr>
                  <w:rStyle w:val="Hyperlink"/>
                  <w:rFonts w:ascii="Times New Roman" w:hAnsi="Times New Roman" w:cs="Times New Roman"/>
                  <w:bCs/>
                  <w:sz w:val="24"/>
                  <w:szCs w:val="24"/>
                </w:rPr>
                <w:t>genady.kondarev@zazemiata.org</w:t>
              </w:r>
            </w:hyperlink>
            <w:r w:rsidR="002E607C">
              <w:rPr>
                <w:rFonts w:ascii="Times New Roman" w:hAnsi="Times New Roman" w:cs="Times New Roman"/>
                <w:bCs/>
                <w:sz w:val="24"/>
                <w:szCs w:val="24"/>
              </w:rPr>
              <w:t xml:space="preserve"> </w:t>
            </w:r>
          </w:p>
          <w:p w14:paraId="47CD1A5D" w14:textId="77777777" w:rsidR="007439E5" w:rsidRDefault="007439E5" w:rsidP="002B060C">
            <w:pPr>
              <w:rPr>
                <w:rFonts w:ascii="Times New Roman" w:hAnsi="Times New Roman" w:cs="Times New Roman"/>
                <w:bCs/>
                <w:sz w:val="24"/>
                <w:szCs w:val="24"/>
              </w:rPr>
            </w:pPr>
          </w:p>
          <w:p w14:paraId="7557C2FD" w14:textId="636CF2EE" w:rsidR="007439E5" w:rsidRPr="008A6022" w:rsidRDefault="007439E5" w:rsidP="002B060C">
            <w:pPr>
              <w:rPr>
                <w:rFonts w:ascii="Times New Roman" w:hAnsi="Times New Roman" w:cs="Times New Roman"/>
                <w:bCs/>
                <w:sz w:val="24"/>
                <w:szCs w:val="24"/>
              </w:rPr>
            </w:pPr>
            <w:r>
              <w:rPr>
                <w:rFonts w:ascii="Times New Roman" w:hAnsi="Times New Roman" w:cs="Times New Roman"/>
                <w:bCs/>
                <w:sz w:val="24"/>
                <w:szCs w:val="24"/>
              </w:rPr>
              <w:t>*След срок</w:t>
            </w:r>
          </w:p>
        </w:tc>
        <w:tc>
          <w:tcPr>
            <w:tcW w:w="7960" w:type="dxa"/>
            <w:shd w:val="clear" w:color="auto" w:fill="auto"/>
          </w:tcPr>
          <w:p w14:paraId="6117F548"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Програмата започва с описание на различни проблеми в постигането на целите на България в различни области на опазване и поддържане на състоянието на околната среда. Независимо, че има добре описани проблеми спрямо европейските политики и средните индикатори за съюза, програмата не предвижда мерки, които покриват всички изтъкнати проблеми. </w:t>
            </w:r>
          </w:p>
          <w:p w14:paraId="6F29C31D"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302F2852"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Така например в областта на </w:t>
            </w:r>
            <w:r w:rsidRPr="000828FE">
              <w:rPr>
                <w:b/>
                <w:color w:val="000000"/>
                <w:sz w:val="24"/>
                <w:szCs w:val="24"/>
                <w:lang w:eastAsia="bg-BG" w:bidi="bg-BG"/>
              </w:rPr>
              <w:t>управлението на отпадъците</w:t>
            </w:r>
            <w:r w:rsidRPr="002E607C">
              <w:rPr>
                <w:bCs/>
                <w:color w:val="000000"/>
                <w:sz w:val="24"/>
                <w:szCs w:val="24"/>
                <w:lang w:eastAsia="bg-BG" w:bidi="bg-BG"/>
              </w:rPr>
              <w:t xml:space="preserve"> става ясно, че страната не се е справила с европейската цел за минимум 50% рециклиране на битовите отпадъци към 2020 г. и е пълно фиаско с целта за рециклиране на строителни отпадъци от 70% към 2020 г., където става ясно, че дори не са известни цифрите свързани със сектора на строителството. </w:t>
            </w:r>
          </w:p>
          <w:p w14:paraId="1C2AA423"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2AE79E18"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Много от мерките за управление на отпадъци са разписани пожелателно и без конкретика. Фокусът остава изключително върху управление на </w:t>
            </w:r>
            <w:r w:rsidRPr="002E607C">
              <w:rPr>
                <w:bCs/>
                <w:color w:val="000000"/>
                <w:sz w:val="24"/>
                <w:szCs w:val="24"/>
                <w:lang w:eastAsia="bg-BG" w:bidi="bg-BG"/>
              </w:rPr>
              <w:lastRenderedPageBreak/>
              <w:t xml:space="preserve">битовите отпадъци. Загатва се за управление на индустриални отпадъци - може би защото езикът е едно към едно от  използваните образци от ЕК или се очакват мерки по линия на приемната програма на ОПИК. Макар да е изтъкнато, че строителните отпадъци не се рециклират, няма никакви мерки за преодоляване на този пропуск и не се предлагат стимули за повторна употреба на материали от строителството. Това ни кара да отправим остра критика и да се запитаме защо правителството така подминава вменяването на ангажименти на строителния сектор, който сякаш винаги се ползва с прекомерни привилегии. Покрай строителството на нови сгради, покрай огромните програми за реновиране в страната се депонират безусловно хиляди тонове бетон, мазилки, плоско стъкло и раздробени изолации, за повечето от които може да се осигури нов живот. С огорчение установяваме, че темата за строителните отпадъци, за която сме отправят въпроси към госпожа Малина Крумова още при предходното програмиране, не е разпозната и не е мръднала и на йота към намиране на решение. </w:t>
            </w:r>
          </w:p>
          <w:p w14:paraId="16C574C7" w14:textId="77777777" w:rsidR="0001124C" w:rsidRPr="002E607C" w:rsidRDefault="0001124C" w:rsidP="0001124C">
            <w:pPr>
              <w:pStyle w:val="BodyText"/>
              <w:tabs>
                <w:tab w:val="left" w:pos="1033"/>
              </w:tabs>
              <w:spacing w:line="240" w:lineRule="auto"/>
              <w:ind w:firstLine="0"/>
              <w:jc w:val="both"/>
              <w:rPr>
                <w:bCs/>
                <w:color w:val="000000"/>
                <w:sz w:val="24"/>
                <w:szCs w:val="24"/>
                <w:lang w:eastAsia="bg-BG" w:bidi="bg-BG"/>
              </w:rPr>
            </w:pPr>
          </w:p>
          <w:p w14:paraId="70FC0977"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В документът се срещат и неволни неточности. Цитираме: “Приносът на страната ни към общоевропейската мрежа се изразява в защитени зони (ЗЗ) с обща площ 41,5 млн.км2 (38,7 млн.км2 разположени на сушата, а 2,8 млн.км2 - морска територия).” - Очевидно има грешка в площта и става дума за хил кв м - предвид, че цялата ни територия е около 111 хил кв км.</w:t>
            </w:r>
          </w:p>
          <w:p w14:paraId="1004133E"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0762F27D"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В </w:t>
            </w:r>
            <w:r w:rsidRPr="000828FE">
              <w:rPr>
                <w:b/>
                <w:color w:val="000000"/>
                <w:sz w:val="24"/>
                <w:szCs w:val="24"/>
                <w:lang w:eastAsia="bg-BG" w:bidi="bg-BG"/>
              </w:rPr>
              <w:t>разделът/оста за Чистота на въздуха</w:t>
            </w:r>
            <w:r w:rsidRPr="002E607C">
              <w:rPr>
                <w:bCs/>
                <w:color w:val="000000"/>
                <w:sz w:val="24"/>
                <w:szCs w:val="24"/>
                <w:lang w:eastAsia="bg-BG" w:bidi="bg-BG"/>
              </w:rPr>
              <w:t xml:space="preserve"> са и така болезнено необходимите програми за подмяна на неефективното отопление в бита: </w:t>
            </w:r>
          </w:p>
          <w:p w14:paraId="79FD6B64"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0A0DCE32" w14:textId="387AE164"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Оста смесва зелена инфраструктура и програми за отопление без ясна демаркация между двете области. Добре е да се заложи демаркация, за да знаят общините на какъв ресурс ще могат да разчитат за програмите си. </w:t>
            </w:r>
          </w:p>
          <w:p w14:paraId="4EAC192C" w14:textId="46FAE156" w:rsidR="002E607C" w:rsidRDefault="002E607C" w:rsidP="002E607C">
            <w:pPr>
              <w:pStyle w:val="BodyText"/>
              <w:tabs>
                <w:tab w:val="left" w:pos="1033"/>
              </w:tabs>
              <w:spacing w:line="240" w:lineRule="auto"/>
              <w:jc w:val="both"/>
              <w:rPr>
                <w:bCs/>
                <w:color w:val="000000"/>
                <w:sz w:val="24"/>
                <w:szCs w:val="24"/>
                <w:lang w:eastAsia="bg-BG" w:bidi="bg-BG"/>
              </w:rPr>
            </w:pPr>
          </w:p>
          <w:p w14:paraId="21A37DD4" w14:textId="181F02D6" w:rsidR="006E658E" w:rsidRDefault="006E658E" w:rsidP="002E607C">
            <w:pPr>
              <w:pStyle w:val="BodyText"/>
              <w:tabs>
                <w:tab w:val="left" w:pos="1033"/>
              </w:tabs>
              <w:spacing w:line="240" w:lineRule="auto"/>
              <w:jc w:val="both"/>
              <w:rPr>
                <w:bCs/>
                <w:color w:val="000000"/>
                <w:sz w:val="24"/>
                <w:szCs w:val="24"/>
                <w:lang w:eastAsia="bg-BG" w:bidi="bg-BG"/>
              </w:rPr>
            </w:pPr>
          </w:p>
          <w:p w14:paraId="78BC96E4" w14:textId="77777777" w:rsidR="006E658E" w:rsidRPr="002E607C" w:rsidRDefault="006E658E" w:rsidP="002E607C">
            <w:pPr>
              <w:pStyle w:val="BodyText"/>
              <w:tabs>
                <w:tab w:val="left" w:pos="1033"/>
              </w:tabs>
              <w:spacing w:line="240" w:lineRule="auto"/>
              <w:jc w:val="both"/>
              <w:rPr>
                <w:bCs/>
                <w:color w:val="000000"/>
                <w:sz w:val="24"/>
                <w:szCs w:val="24"/>
                <w:lang w:eastAsia="bg-BG" w:bidi="bg-BG"/>
              </w:rPr>
            </w:pPr>
          </w:p>
          <w:p w14:paraId="3B4E91FD" w14:textId="75F5B025"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Пак се предвижда 100% грант и няма финансови инструменти за отоплението - освен за крайно енергийно бедни домакинства, ние категорично не ободряваме даването на 100% грант и смятаме, че трябва да има самоучастие. </w:t>
            </w:r>
          </w:p>
          <w:p w14:paraId="6D737D71" w14:textId="02A03797" w:rsidR="006E658E" w:rsidRDefault="006E658E" w:rsidP="002E607C">
            <w:pPr>
              <w:pStyle w:val="BodyText"/>
              <w:tabs>
                <w:tab w:val="left" w:pos="1033"/>
              </w:tabs>
              <w:spacing w:line="240" w:lineRule="auto"/>
              <w:jc w:val="both"/>
              <w:rPr>
                <w:bCs/>
                <w:color w:val="000000"/>
                <w:sz w:val="24"/>
                <w:szCs w:val="24"/>
                <w:lang w:eastAsia="bg-BG" w:bidi="bg-BG"/>
              </w:rPr>
            </w:pPr>
          </w:p>
          <w:p w14:paraId="57813FBF" w14:textId="14775C75" w:rsidR="006E658E" w:rsidRDefault="006E658E" w:rsidP="002E607C">
            <w:pPr>
              <w:pStyle w:val="BodyText"/>
              <w:tabs>
                <w:tab w:val="left" w:pos="1033"/>
              </w:tabs>
              <w:spacing w:line="240" w:lineRule="auto"/>
              <w:jc w:val="both"/>
              <w:rPr>
                <w:bCs/>
                <w:color w:val="000000"/>
                <w:sz w:val="24"/>
                <w:szCs w:val="24"/>
                <w:lang w:eastAsia="bg-BG" w:bidi="bg-BG"/>
              </w:rPr>
            </w:pPr>
          </w:p>
          <w:p w14:paraId="4222A55B" w14:textId="462E7E62" w:rsidR="006E658E" w:rsidRDefault="006E658E" w:rsidP="002E607C">
            <w:pPr>
              <w:pStyle w:val="BodyText"/>
              <w:tabs>
                <w:tab w:val="left" w:pos="1033"/>
              </w:tabs>
              <w:spacing w:line="240" w:lineRule="auto"/>
              <w:jc w:val="both"/>
              <w:rPr>
                <w:bCs/>
                <w:color w:val="000000"/>
                <w:sz w:val="24"/>
                <w:szCs w:val="24"/>
                <w:lang w:eastAsia="bg-BG" w:bidi="bg-BG"/>
              </w:rPr>
            </w:pPr>
          </w:p>
          <w:p w14:paraId="00B345C7" w14:textId="7888A467" w:rsidR="006E658E" w:rsidRDefault="006E658E" w:rsidP="002E607C">
            <w:pPr>
              <w:pStyle w:val="BodyText"/>
              <w:tabs>
                <w:tab w:val="left" w:pos="1033"/>
              </w:tabs>
              <w:spacing w:line="240" w:lineRule="auto"/>
              <w:jc w:val="both"/>
              <w:rPr>
                <w:bCs/>
                <w:color w:val="000000"/>
                <w:sz w:val="24"/>
                <w:szCs w:val="24"/>
                <w:lang w:eastAsia="bg-BG" w:bidi="bg-BG"/>
              </w:rPr>
            </w:pPr>
          </w:p>
          <w:p w14:paraId="2D17FDB4" w14:textId="0C6CB231" w:rsidR="006E658E" w:rsidRDefault="006E658E" w:rsidP="002E607C">
            <w:pPr>
              <w:pStyle w:val="BodyText"/>
              <w:tabs>
                <w:tab w:val="left" w:pos="1033"/>
              </w:tabs>
              <w:spacing w:line="240" w:lineRule="auto"/>
              <w:jc w:val="both"/>
              <w:rPr>
                <w:bCs/>
                <w:color w:val="000000"/>
                <w:sz w:val="24"/>
                <w:szCs w:val="24"/>
                <w:lang w:eastAsia="bg-BG" w:bidi="bg-BG"/>
              </w:rPr>
            </w:pPr>
          </w:p>
          <w:p w14:paraId="40FCC66F" w14:textId="3C5578DA" w:rsidR="006E658E" w:rsidRDefault="006E658E" w:rsidP="002E607C">
            <w:pPr>
              <w:pStyle w:val="BodyText"/>
              <w:tabs>
                <w:tab w:val="left" w:pos="1033"/>
              </w:tabs>
              <w:spacing w:line="240" w:lineRule="auto"/>
              <w:jc w:val="both"/>
              <w:rPr>
                <w:bCs/>
                <w:color w:val="000000"/>
                <w:sz w:val="24"/>
                <w:szCs w:val="24"/>
                <w:lang w:eastAsia="bg-BG" w:bidi="bg-BG"/>
              </w:rPr>
            </w:pPr>
          </w:p>
          <w:p w14:paraId="360A0595" w14:textId="3984FC6C" w:rsidR="006E658E" w:rsidRDefault="006E658E" w:rsidP="002E607C">
            <w:pPr>
              <w:pStyle w:val="BodyText"/>
              <w:tabs>
                <w:tab w:val="left" w:pos="1033"/>
              </w:tabs>
              <w:spacing w:line="240" w:lineRule="auto"/>
              <w:jc w:val="both"/>
              <w:rPr>
                <w:bCs/>
                <w:color w:val="000000"/>
                <w:sz w:val="24"/>
                <w:szCs w:val="24"/>
                <w:lang w:eastAsia="bg-BG" w:bidi="bg-BG"/>
              </w:rPr>
            </w:pPr>
          </w:p>
          <w:p w14:paraId="3DD4862A" w14:textId="1D2BC550" w:rsidR="006E658E" w:rsidRDefault="006E658E" w:rsidP="002E607C">
            <w:pPr>
              <w:pStyle w:val="BodyText"/>
              <w:tabs>
                <w:tab w:val="left" w:pos="1033"/>
              </w:tabs>
              <w:spacing w:line="240" w:lineRule="auto"/>
              <w:jc w:val="both"/>
              <w:rPr>
                <w:bCs/>
                <w:color w:val="000000"/>
                <w:sz w:val="24"/>
                <w:szCs w:val="24"/>
                <w:lang w:eastAsia="bg-BG" w:bidi="bg-BG"/>
              </w:rPr>
            </w:pPr>
          </w:p>
          <w:p w14:paraId="333D4F8D" w14:textId="5221A49F" w:rsidR="006E658E" w:rsidRDefault="006E658E" w:rsidP="002E607C">
            <w:pPr>
              <w:pStyle w:val="BodyText"/>
              <w:tabs>
                <w:tab w:val="left" w:pos="1033"/>
              </w:tabs>
              <w:spacing w:line="240" w:lineRule="auto"/>
              <w:jc w:val="both"/>
              <w:rPr>
                <w:bCs/>
                <w:color w:val="000000"/>
                <w:sz w:val="24"/>
                <w:szCs w:val="24"/>
                <w:lang w:eastAsia="bg-BG" w:bidi="bg-BG"/>
              </w:rPr>
            </w:pPr>
          </w:p>
          <w:p w14:paraId="6FB53DC7" w14:textId="170FE937" w:rsidR="006E658E" w:rsidRDefault="006E658E" w:rsidP="002E607C">
            <w:pPr>
              <w:pStyle w:val="BodyText"/>
              <w:tabs>
                <w:tab w:val="left" w:pos="1033"/>
              </w:tabs>
              <w:spacing w:line="240" w:lineRule="auto"/>
              <w:jc w:val="both"/>
              <w:rPr>
                <w:bCs/>
                <w:color w:val="000000"/>
                <w:sz w:val="24"/>
                <w:szCs w:val="24"/>
                <w:lang w:eastAsia="bg-BG" w:bidi="bg-BG"/>
              </w:rPr>
            </w:pPr>
          </w:p>
          <w:p w14:paraId="5872A870" w14:textId="41B4B923" w:rsidR="006E658E" w:rsidRDefault="006E658E" w:rsidP="002E607C">
            <w:pPr>
              <w:pStyle w:val="BodyText"/>
              <w:tabs>
                <w:tab w:val="left" w:pos="1033"/>
              </w:tabs>
              <w:spacing w:line="240" w:lineRule="auto"/>
              <w:jc w:val="both"/>
              <w:rPr>
                <w:bCs/>
                <w:color w:val="000000"/>
                <w:sz w:val="24"/>
                <w:szCs w:val="24"/>
                <w:lang w:eastAsia="bg-BG" w:bidi="bg-BG"/>
              </w:rPr>
            </w:pPr>
          </w:p>
          <w:p w14:paraId="4D2F557F" w14:textId="2BEFC48D" w:rsidR="006E658E" w:rsidRDefault="006E658E" w:rsidP="002E607C">
            <w:pPr>
              <w:pStyle w:val="BodyText"/>
              <w:tabs>
                <w:tab w:val="left" w:pos="1033"/>
              </w:tabs>
              <w:spacing w:line="240" w:lineRule="auto"/>
              <w:jc w:val="both"/>
              <w:rPr>
                <w:bCs/>
                <w:color w:val="000000"/>
                <w:sz w:val="24"/>
                <w:szCs w:val="24"/>
                <w:lang w:eastAsia="bg-BG" w:bidi="bg-BG"/>
              </w:rPr>
            </w:pPr>
          </w:p>
          <w:p w14:paraId="28541FC7" w14:textId="3E53E4DE" w:rsidR="006E658E" w:rsidRDefault="006E658E" w:rsidP="002E607C">
            <w:pPr>
              <w:pStyle w:val="BodyText"/>
              <w:tabs>
                <w:tab w:val="left" w:pos="1033"/>
              </w:tabs>
              <w:spacing w:line="240" w:lineRule="auto"/>
              <w:jc w:val="both"/>
              <w:rPr>
                <w:bCs/>
                <w:color w:val="000000"/>
                <w:sz w:val="24"/>
                <w:szCs w:val="24"/>
                <w:lang w:eastAsia="bg-BG" w:bidi="bg-BG"/>
              </w:rPr>
            </w:pPr>
          </w:p>
          <w:p w14:paraId="337FEEBE" w14:textId="4DF6BD8C" w:rsidR="006E658E" w:rsidRDefault="006E658E" w:rsidP="002E607C">
            <w:pPr>
              <w:pStyle w:val="BodyText"/>
              <w:tabs>
                <w:tab w:val="left" w:pos="1033"/>
              </w:tabs>
              <w:spacing w:line="240" w:lineRule="auto"/>
              <w:jc w:val="both"/>
              <w:rPr>
                <w:bCs/>
                <w:color w:val="000000"/>
                <w:sz w:val="24"/>
                <w:szCs w:val="24"/>
                <w:lang w:eastAsia="bg-BG" w:bidi="bg-BG"/>
              </w:rPr>
            </w:pPr>
          </w:p>
          <w:p w14:paraId="0DD28B7D" w14:textId="613DF5E7" w:rsidR="006E658E" w:rsidRDefault="006E658E" w:rsidP="002E607C">
            <w:pPr>
              <w:pStyle w:val="BodyText"/>
              <w:tabs>
                <w:tab w:val="left" w:pos="1033"/>
              </w:tabs>
              <w:spacing w:line="240" w:lineRule="auto"/>
              <w:jc w:val="both"/>
              <w:rPr>
                <w:bCs/>
                <w:color w:val="000000"/>
                <w:sz w:val="24"/>
                <w:szCs w:val="24"/>
                <w:lang w:eastAsia="bg-BG" w:bidi="bg-BG"/>
              </w:rPr>
            </w:pPr>
          </w:p>
          <w:p w14:paraId="210F814D" w14:textId="6AE02D67" w:rsidR="006E658E" w:rsidRDefault="006E658E" w:rsidP="002E607C">
            <w:pPr>
              <w:pStyle w:val="BodyText"/>
              <w:tabs>
                <w:tab w:val="left" w:pos="1033"/>
              </w:tabs>
              <w:spacing w:line="240" w:lineRule="auto"/>
              <w:jc w:val="both"/>
              <w:rPr>
                <w:bCs/>
                <w:color w:val="000000"/>
                <w:sz w:val="24"/>
                <w:szCs w:val="24"/>
                <w:lang w:eastAsia="bg-BG" w:bidi="bg-BG"/>
              </w:rPr>
            </w:pPr>
          </w:p>
          <w:p w14:paraId="353ABEBB" w14:textId="29B3DE95" w:rsidR="006E658E" w:rsidRDefault="006E658E" w:rsidP="002E607C">
            <w:pPr>
              <w:pStyle w:val="BodyText"/>
              <w:tabs>
                <w:tab w:val="left" w:pos="1033"/>
              </w:tabs>
              <w:spacing w:line="240" w:lineRule="auto"/>
              <w:jc w:val="both"/>
              <w:rPr>
                <w:bCs/>
                <w:color w:val="000000"/>
                <w:sz w:val="24"/>
                <w:szCs w:val="24"/>
                <w:lang w:eastAsia="bg-BG" w:bidi="bg-BG"/>
              </w:rPr>
            </w:pPr>
          </w:p>
          <w:p w14:paraId="746EBB04" w14:textId="57096DD4" w:rsidR="006E658E" w:rsidRDefault="006E658E" w:rsidP="002E607C">
            <w:pPr>
              <w:pStyle w:val="BodyText"/>
              <w:tabs>
                <w:tab w:val="left" w:pos="1033"/>
              </w:tabs>
              <w:spacing w:line="240" w:lineRule="auto"/>
              <w:jc w:val="both"/>
              <w:rPr>
                <w:bCs/>
                <w:color w:val="000000"/>
                <w:sz w:val="24"/>
                <w:szCs w:val="24"/>
                <w:lang w:eastAsia="bg-BG" w:bidi="bg-BG"/>
              </w:rPr>
            </w:pPr>
          </w:p>
          <w:p w14:paraId="1FC75514" w14:textId="3D17ABCB" w:rsidR="006E658E" w:rsidRDefault="006E658E" w:rsidP="002E607C">
            <w:pPr>
              <w:pStyle w:val="BodyText"/>
              <w:tabs>
                <w:tab w:val="left" w:pos="1033"/>
              </w:tabs>
              <w:spacing w:line="240" w:lineRule="auto"/>
              <w:jc w:val="both"/>
              <w:rPr>
                <w:bCs/>
                <w:color w:val="000000"/>
                <w:sz w:val="24"/>
                <w:szCs w:val="24"/>
                <w:lang w:eastAsia="bg-BG" w:bidi="bg-BG"/>
              </w:rPr>
            </w:pPr>
          </w:p>
          <w:p w14:paraId="5026682E" w14:textId="6C7799F4" w:rsidR="006E658E" w:rsidRDefault="006E658E" w:rsidP="002E607C">
            <w:pPr>
              <w:pStyle w:val="BodyText"/>
              <w:tabs>
                <w:tab w:val="left" w:pos="1033"/>
              </w:tabs>
              <w:spacing w:line="240" w:lineRule="auto"/>
              <w:jc w:val="both"/>
              <w:rPr>
                <w:bCs/>
                <w:color w:val="000000"/>
                <w:sz w:val="24"/>
                <w:szCs w:val="24"/>
                <w:lang w:eastAsia="bg-BG" w:bidi="bg-BG"/>
              </w:rPr>
            </w:pPr>
          </w:p>
          <w:p w14:paraId="435A1F66" w14:textId="73736C56" w:rsidR="006E658E" w:rsidRDefault="006E658E" w:rsidP="002E607C">
            <w:pPr>
              <w:pStyle w:val="BodyText"/>
              <w:tabs>
                <w:tab w:val="left" w:pos="1033"/>
              </w:tabs>
              <w:spacing w:line="240" w:lineRule="auto"/>
              <w:jc w:val="both"/>
              <w:rPr>
                <w:bCs/>
                <w:color w:val="000000"/>
                <w:sz w:val="24"/>
                <w:szCs w:val="24"/>
                <w:lang w:eastAsia="bg-BG" w:bidi="bg-BG"/>
              </w:rPr>
            </w:pPr>
          </w:p>
          <w:p w14:paraId="2E1008BE" w14:textId="382C3146" w:rsidR="006E658E" w:rsidRDefault="006E658E" w:rsidP="002E607C">
            <w:pPr>
              <w:pStyle w:val="BodyText"/>
              <w:tabs>
                <w:tab w:val="left" w:pos="1033"/>
              </w:tabs>
              <w:spacing w:line="240" w:lineRule="auto"/>
              <w:jc w:val="both"/>
              <w:rPr>
                <w:bCs/>
                <w:color w:val="000000"/>
                <w:sz w:val="24"/>
                <w:szCs w:val="24"/>
                <w:lang w:eastAsia="bg-BG" w:bidi="bg-BG"/>
              </w:rPr>
            </w:pPr>
          </w:p>
          <w:p w14:paraId="126B1284" w14:textId="30B1FB64" w:rsidR="006E658E" w:rsidRDefault="006E658E" w:rsidP="002E607C">
            <w:pPr>
              <w:pStyle w:val="BodyText"/>
              <w:tabs>
                <w:tab w:val="left" w:pos="1033"/>
              </w:tabs>
              <w:spacing w:line="240" w:lineRule="auto"/>
              <w:jc w:val="both"/>
              <w:rPr>
                <w:bCs/>
                <w:color w:val="000000"/>
                <w:sz w:val="24"/>
                <w:szCs w:val="24"/>
                <w:lang w:eastAsia="bg-BG" w:bidi="bg-BG"/>
              </w:rPr>
            </w:pPr>
          </w:p>
          <w:p w14:paraId="3705EFF7" w14:textId="79D398E4" w:rsidR="006E658E" w:rsidRDefault="006E658E" w:rsidP="002E607C">
            <w:pPr>
              <w:pStyle w:val="BodyText"/>
              <w:tabs>
                <w:tab w:val="left" w:pos="1033"/>
              </w:tabs>
              <w:spacing w:line="240" w:lineRule="auto"/>
              <w:jc w:val="both"/>
              <w:rPr>
                <w:bCs/>
                <w:color w:val="000000"/>
                <w:sz w:val="24"/>
                <w:szCs w:val="24"/>
                <w:lang w:eastAsia="bg-BG" w:bidi="bg-BG"/>
              </w:rPr>
            </w:pPr>
          </w:p>
          <w:p w14:paraId="459D4B94" w14:textId="3E694435" w:rsidR="006E658E" w:rsidRDefault="006E658E" w:rsidP="002E607C">
            <w:pPr>
              <w:pStyle w:val="BodyText"/>
              <w:tabs>
                <w:tab w:val="left" w:pos="1033"/>
              </w:tabs>
              <w:spacing w:line="240" w:lineRule="auto"/>
              <w:jc w:val="both"/>
              <w:rPr>
                <w:bCs/>
                <w:color w:val="000000"/>
                <w:sz w:val="24"/>
                <w:szCs w:val="24"/>
                <w:lang w:eastAsia="bg-BG" w:bidi="bg-BG"/>
              </w:rPr>
            </w:pPr>
          </w:p>
          <w:p w14:paraId="676A7E1E" w14:textId="7B752F12" w:rsidR="006E658E" w:rsidRDefault="006E658E" w:rsidP="002E607C">
            <w:pPr>
              <w:pStyle w:val="BodyText"/>
              <w:tabs>
                <w:tab w:val="left" w:pos="1033"/>
              </w:tabs>
              <w:spacing w:line="240" w:lineRule="auto"/>
              <w:jc w:val="both"/>
              <w:rPr>
                <w:bCs/>
                <w:color w:val="000000"/>
                <w:sz w:val="24"/>
                <w:szCs w:val="24"/>
                <w:lang w:eastAsia="bg-BG" w:bidi="bg-BG"/>
              </w:rPr>
            </w:pPr>
          </w:p>
          <w:p w14:paraId="599BAE23" w14:textId="4474646F" w:rsidR="006E658E" w:rsidRDefault="006E658E" w:rsidP="002E607C">
            <w:pPr>
              <w:pStyle w:val="BodyText"/>
              <w:tabs>
                <w:tab w:val="left" w:pos="1033"/>
              </w:tabs>
              <w:spacing w:line="240" w:lineRule="auto"/>
              <w:jc w:val="both"/>
              <w:rPr>
                <w:bCs/>
                <w:color w:val="000000"/>
                <w:sz w:val="24"/>
                <w:szCs w:val="24"/>
                <w:lang w:eastAsia="bg-BG" w:bidi="bg-BG"/>
              </w:rPr>
            </w:pPr>
          </w:p>
          <w:p w14:paraId="403DC97F" w14:textId="1D67D871" w:rsidR="006E658E" w:rsidRDefault="006E658E" w:rsidP="002E607C">
            <w:pPr>
              <w:pStyle w:val="BodyText"/>
              <w:tabs>
                <w:tab w:val="left" w:pos="1033"/>
              </w:tabs>
              <w:spacing w:line="240" w:lineRule="auto"/>
              <w:jc w:val="both"/>
              <w:rPr>
                <w:bCs/>
                <w:color w:val="000000"/>
                <w:sz w:val="24"/>
                <w:szCs w:val="24"/>
                <w:lang w:eastAsia="bg-BG" w:bidi="bg-BG"/>
              </w:rPr>
            </w:pPr>
          </w:p>
          <w:p w14:paraId="33E72F95" w14:textId="47193A60" w:rsidR="006E658E" w:rsidRDefault="006E658E" w:rsidP="002E607C">
            <w:pPr>
              <w:pStyle w:val="BodyText"/>
              <w:tabs>
                <w:tab w:val="left" w:pos="1033"/>
              </w:tabs>
              <w:spacing w:line="240" w:lineRule="auto"/>
              <w:jc w:val="both"/>
              <w:rPr>
                <w:bCs/>
                <w:color w:val="000000"/>
                <w:sz w:val="24"/>
                <w:szCs w:val="24"/>
                <w:lang w:eastAsia="bg-BG" w:bidi="bg-BG"/>
              </w:rPr>
            </w:pPr>
          </w:p>
          <w:p w14:paraId="2DE14726" w14:textId="36734137" w:rsidR="006E658E" w:rsidRDefault="006E658E" w:rsidP="002E607C">
            <w:pPr>
              <w:pStyle w:val="BodyText"/>
              <w:tabs>
                <w:tab w:val="left" w:pos="1033"/>
              </w:tabs>
              <w:spacing w:line="240" w:lineRule="auto"/>
              <w:jc w:val="both"/>
              <w:rPr>
                <w:bCs/>
                <w:color w:val="000000"/>
                <w:sz w:val="24"/>
                <w:szCs w:val="24"/>
                <w:lang w:eastAsia="bg-BG" w:bidi="bg-BG"/>
              </w:rPr>
            </w:pPr>
          </w:p>
          <w:p w14:paraId="7E99AE99" w14:textId="68CC18B1" w:rsidR="006E658E" w:rsidRDefault="006E658E" w:rsidP="002E607C">
            <w:pPr>
              <w:pStyle w:val="BodyText"/>
              <w:tabs>
                <w:tab w:val="left" w:pos="1033"/>
              </w:tabs>
              <w:spacing w:line="240" w:lineRule="auto"/>
              <w:jc w:val="both"/>
              <w:rPr>
                <w:bCs/>
                <w:color w:val="000000"/>
                <w:sz w:val="24"/>
                <w:szCs w:val="24"/>
                <w:lang w:eastAsia="bg-BG" w:bidi="bg-BG"/>
              </w:rPr>
            </w:pPr>
          </w:p>
          <w:p w14:paraId="78DC3AE7" w14:textId="33CCB2BE" w:rsidR="006E658E" w:rsidRDefault="006E658E" w:rsidP="002E607C">
            <w:pPr>
              <w:pStyle w:val="BodyText"/>
              <w:tabs>
                <w:tab w:val="left" w:pos="1033"/>
              </w:tabs>
              <w:spacing w:line="240" w:lineRule="auto"/>
              <w:jc w:val="both"/>
              <w:rPr>
                <w:bCs/>
                <w:color w:val="000000"/>
                <w:sz w:val="24"/>
                <w:szCs w:val="24"/>
                <w:lang w:eastAsia="bg-BG" w:bidi="bg-BG"/>
              </w:rPr>
            </w:pPr>
          </w:p>
          <w:p w14:paraId="4EF2028E" w14:textId="3558F221" w:rsidR="006E658E" w:rsidRDefault="006E658E" w:rsidP="002E607C">
            <w:pPr>
              <w:pStyle w:val="BodyText"/>
              <w:tabs>
                <w:tab w:val="left" w:pos="1033"/>
              </w:tabs>
              <w:spacing w:line="240" w:lineRule="auto"/>
              <w:jc w:val="both"/>
              <w:rPr>
                <w:bCs/>
                <w:color w:val="000000"/>
                <w:sz w:val="24"/>
                <w:szCs w:val="24"/>
                <w:lang w:eastAsia="bg-BG" w:bidi="bg-BG"/>
              </w:rPr>
            </w:pPr>
          </w:p>
          <w:p w14:paraId="304DAF16" w14:textId="2F42A354" w:rsidR="006E658E" w:rsidRDefault="006E658E" w:rsidP="002E607C">
            <w:pPr>
              <w:pStyle w:val="BodyText"/>
              <w:tabs>
                <w:tab w:val="left" w:pos="1033"/>
              </w:tabs>
              <w:spacing w:line="240" w:lineRule="auto"/>
              <w:jc w:val="both"/>
              <w:rPr>
                <w:bCs/>
                <w:color w:val="000000"/>
                <w:sz w:val="24"/>
                <w:szCs w:val="24"/>
                <w:lang w:eastAsia="bg-BG" w:bidi="bg-BG"/>
              </w:rPr>
            </w:pPr>
          </w:p>
          <w:p w14:paraId="2A809A2B" w14:textId="22A7367E" w:rsidR="006E658E" w:rsidRDefault="006E658E" w:rsidP="002E607C">
            <w:pPr>
              <w:pStyle w:val="BodyText"/>
              <w:tabs>
                <w:tab w:val="left" w:pos="1033"/>
              </w:tabs>
              <w:spacing w:line="240" w:lineRule="auto"/>
              <w:jc w:val="both"/>
              <w:rPr>
                <w:bCs/>
                <w:color w:val="000000"/>
                <w:sz w:val="24"/>
                <w:szCs w:val="24"/>
                <w:lang w:eastAsia="bg-BG" w:bidi="bg-BG"/>
              </w:rPr>
            </w:pPr>
          </w:p>
          <w:p w14:paraId="29EDD03D" w14:textId="77777777" w:rsidR="006E658E" w:rsidRPr="002E607C" w:rsidRDefault="006E658E" w:rsidP="006E658E">
            <w:pPr>
              <w:pStyle w:val="BodyText"/>
              <w:tabs>
                <w:tab w:val="left" w:pos="1033"/>
              </w:tabs>
              <w:spacing w:line="240" w:lineRule="auto"/>
              <w:ind w:firstLine="0"/>
              <w:jc w:val="both"/>
              <w:rPr>
                <w:bCs/>
                <w:color w:val="000000"/>
                <w:sz w:val="24"/>
                <w:szCs w:val="24"/>
                <w:lang w:eastAsia="bg-BG" w:bidi="bg-BG"/>
              </w:rPr>
            </w:pPr>
          </w:p>
          <w:p w14:paraId="50436B0E"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456ED140" w14:textId="235A8070"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Отново няма достъп за финансиране до общини без доказани нарушения в КАВ. Склонни сме да приемем, че ПОС ще финансира само такъв тип общини, само защото проект за финансиране на програми за общини без доказани проблеми с КАВ е предвиден в НПВУ. Надяваме се това финансиране, което в момента варира нясно защо между 20 и 33 млн в различните текстове да бъде увеличено. Тогава ще има ясна и добра демаркация между програмите и достъп до финансиране за всички общини. </w:t>
            </w:r>
          </w:p>
          <w:p w14:paraId="61FE1F14" w14:textId="6CFB2CA9" w:rsidR="006E658E" w:rsidRDefault="006E658E" w:rsidP="002E607C">
            <w:pPr>
              <w:pStyle w:val="BodyText"/>
              <w:tabs>
                <w:tab w:val="left" w:pos="1033"/>
              </w:tabs>
              <w:spacing w:line="240" w:lineRule="auto"/>
              <w:jc w:val="both"/>
              <w:rPr>
                <w:bCs/>
                <w:color w:val="000000"/>
                <w:sz w:val="24"/>
                <w:szCs w:val="24"/>
                <w:lang w:eastAsia="bg-BG" w:bidi="bg-BG"/>
              </w:rPr>
            </w:pPr>
          </w:p>
          <w:p w14:paraId="7AED4CE5" w14:textId="7CABF6FB" w:rsidR="006E658E" w:rsidRDefault="006E658E" w:rsidP="002E607C">
            <w:pPr>
              <w:pStyle w:val="BodyText"/>
              <w:tabs>
                <w:tab w:val="left" w:pos="1033"/>
              </w:tabs>
              <w:spacing w:line="240" w:lineRule="auto"/>
              <w:jc w:val="both"/>
              <w:rPr>
                <w:bCs/>
                <w:color w:val="000000"/>
                <w:sz w:val="24"/>
                <w:szCs w:val="24"/>
                <w:lang w:eastAsia="bg-BG" w:bidi="bg-BG"/>
              </w:rPr>
            </w:pPr>
          </w:p>
          <w:p w14:paraId="6C2EFCE2" w14:textId="61A85420" w:rsidR="006E658E" w:rsidRDefault="006E658E" w:rsidP="002E607C">
            <w:pPr>
              <w:pStyle w:val="BodyText"/>
              <w:tabs>
                <w:tab w:val="left" w:pos="1033"/>
              </w:tabs>
              <w:spacing w:line="240" w:lineRule="auto"/>
              <w:jc w:val="both"/>
              <w:rPr>
                <w:bCs/>
                <w:color w:val="000000"/>
                <w:sz w:val="24"/>
                <w:szCs w:val="24"/>
                <w:lang w:eastAsia="bg-BG" w:bidi="bg-BG"/>
              </w:rPr>
            </w:pPr>
          </w:p>
          <w:p w14:paraId="11B02A5E" w14:textId="2E560A5A" w:rsidR="006E658E" w:rsidRDefault="006E658E" w:rsidP="002E607C">
            <w:pPr>
              <w:pStyle w:val="BodyText"/>
              <w:tabs>
                <w:tab w:val="left" w:pos="1033"/>
              </w:tabs>
              <w:spacing w:line="240" w:lineRule="auto"/>
              <w:jc w:val="both"/>
              <w:rPr>
                <w:bCs/>
                <w:color w:val="000000"/>
                <w:sz w:val="24"/>
                <w:szCs w:val="24"/>
                <w:lang w:eastAsia="bg-BG" w:bidi="bg-BG"/>
              </w:rPr>
            </w:pPr>
          </w:p>
          <w:p w14:paraId="35D7ECFF" w14:textId="37ABC55C" w:rsidR="006E658E" w:rsidRDefault="006E658E" w:rsidP="002E607C">
            <w:pPr>
              <w:pStyle w:val="BodyText"/>
              <w:tabs>
                <w:tab w:val="left" w:pos="1033"/>
              </w:tabs>
              <w:spacing w:line="240" w:lineRule="auto"/>
              <w:jc w:val="both"/>
              <w:rPr>
                <w:bCs/>
                <w:color w:val="000000"/>
                <w:sz w:val="24"/>
                <w:szCs w:val="24"/>
                <w:lang w:eastAsia="bg-BG" w:bidi="bg-BG"/>
              </w:rPr>
            </w:pPr>
          </w:p>
          <w:p w14:paraId="53BF2247" w14:textId="6692DF0C" w:rsidR="006E658E" w:rsidRDefault="006E658E" w:rsidP="002E607C">
            <w:pPr>
              <w:pStyle w:val="BodyText"/>
              <w:tabs>
                <w:tab w:val="left" w:pos="1033"/>
              </w:tabs>
              <w:spacing w:line="240" w:lineRule="auto"/>
              <w:jc w:val="both"/>
              <w:rPr>
                <w:bCs/>
                <w:color w:val="000000"/>
                <w:sz w:val="24"/>
                <w:szCs w:val="24"/>
                <w:lang w:eastAsia="bg-BG" w:bidi="bg-BG"/>
              </w:rPr>
            </w:pPr>
          </w:p>
          <w:p w14:paraId="2B83C6B9" w14:textId="796B683E" w:rsidR="006E658E" w:rsidRDefault="006E658E" w:rsidP="002E607C">
            <w:pPr>
              <w:pStyle w:val="BodyText"/>
              <w:tabs>
                <w:tab w:val="left" w:pos="1033"/>
              </w:tabs>
              <w:spacing w:line="240" w:lineRule="auto"/>
              <w:jc w:val="both"/>
              <w:rPr>
                <w:bCs/>
                <w:color w:val="000000"/>
                <w:sz w:val="24"/>
                <w:szCs w:val="24"/>
                <w:lang w:eastAsia="bg-BG" w:bidi="bg-BG"/>
              </w:rPr>
            </w:pPr>
          </w:p>
          <w:p w14:paraId="288B05D7" w14:textId="786BD18F" w:rsidR="006E658E" w:rsidRDefault="006E658E" w:rsidP="002E607C">
            <w:pPr>
              <w:pStyle w:val="BodyText"/>
              <w:tabs>
                <w:tab w:val="left" w:pos="1033"/>
              </w:tabs>
              <w:spacing w:line="240" w:lineRule="auto"/>
              <w:jc w:val="both"/>
              <w:rPr>
                <w:bCs/>
                <w:color w:val="000000"/>
                <w:sz w:val="24"/>
                <w:szCs w:val="24"/>
                <w:lang w:eastAsia="bg-BG" w:bidi="bg-BG"/>
              </w:rPr>
            </w:pPr>
          </w:p>
          <w:p w14:paraId="5B534D97" w14:textId="25D47066" w:rsidR="006E658E" w:rsidRDefault="006E658E" w:rsidP="002E607C">
            <w:pPr>
              <w:pStyle w:val="BodyText"/>
              <w:tabs>
                <w:tab w:val="left" w:pos="1033"/>
              </w:tabs>
              <w:spacing w:line="240" w:lineRule="auto"/>
              <w:jc w:val="both"/>
              <w:rPr>
                <w:bCs/>
                <w:color w:val="000000"/>
                <w:sz w:val="24"/>
                <w:szCs w:val="24"/>
                <w:lang w:eastAsia="bg-BG" w:bidi="bg-BG"/>
              </w:rPr>
            </w:pPr>
          </w:p>
          <w:p w14:paraId="61E8CB06" w14:textId="3AC19A71" w:rsidR="006E658E" w:rsidRDefault="006E658E" w:rsidP="002E607C">
            <w:pPr>
              <w:pStyle w:val="BodyText"/>
              <w:tabs>
                <w:tab w:val="left" w:pos="1033"/>
              </w:tabs>
              <w:spacing w:line="240" w:lineRule="auto"/>
              <w:jc w:val="both"/>
              <w:rPr>
                <w:bCs/>
                <w:color w:val="000000"/>
                <w:sz w:val="24"/>
                <w:szCs w:val="24"/>
                <w:lang w:eastAsia="bg-BG" w:bidi="bg-BG"/>
              </w:rPr>
            </w:pPr>
          </w:p>
          <w:p w14:paraId="304EC528" w14:textId="58EE5CC8" w:rsidR="006E658E" w:rsidRDefault="006E658E" w:rsidP="002E607C">
            <w:pPr>
              <w:pStyle w:val="BodyText"/>
              <w:tabs>
                <w:tab w:val="left" w:pos="1033"/>
              </w:tabs>
              <w:spacing w:line="240" w:lineRule="auto"/>
              <w:jc w:val="both"/>
              <w:rPr>
                <w:bCs/>
                <w:color w:val="000000"/>
                <w:sz w:val="24"/>
                <w:szCs w:val="24"/>
                <w:lang w:eastAsia="bg-BG" w:bidi="bg-BG"/>
              </w:rPr>
            </w:pPr>
          </w:p>
          <w:p w14:paraId="785FE063" w14:textId="11303845" w:rsidR="006E658E" w:rsidRDefault="006E658E" w:rsidP="002E607C">
            <w:pPr>
              <w:pStyle w:val="BodyText"/>
              <w:tabs>
                <w:tab w:val="left" w:pos="1033"/>
              </w:tabs>
              <w:spacing w:line="240" w:lineRule="auto"/>
              <w:jc w:val="both"/>
              <w:rPr>
                <w:bCs/>
                <w:color w:val="000000"/>
                <w:sz w:val="24"/>
                <w:szCs w:val="24"/>
                <w:lang w:eastAsia="bg-BG" w:bidi="bg-BG"/>
              </w:rPr>
            </w:pPr>
          </w:p>
          <w:p w14:paraId="0B2C9FF2" w14:textId="7626AECF"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Няма предвидени реформи във финансирането - например работа с МТСП за постепенно излизане от енергийните помощи. </w:t>
            </w:r>
          </w:p>
          <w:p w14:paraId="4A00AB67" w14:textId="4969DE81" w:rsidR="002E607C" w:rsidRDefault="002E607C" w:rsidP="002E607C">
            <w:pPr>
              <w:pStyle w:val="BodyText"/>
              <w:tabs>
                <w:tab w:val="left" w:pos="1033"/>
              </w:tabs>
              <w:spacing w:line="240" w:lineRule="auto"/>
              <w:jc w:val="both"/>
              <w:rPr>
                <w:bCs/>
                <w:color w:val="000000"/>
                <w:sz w:val="24"/>
                <w:szCs w:val="24"/>
                <w:lang w:eastAsia="bg-BG" w:bidi="bg-BG"/>
              </w:rPr>
            </w:pPr>
          </w:p>
          <w:p w14:paraId="7D89E8A1" w14:textId="77777777" w:rsidR="00FC0ACE" w:rsidRPr="002E607C" w:rsidRDefault="00FC0ACE" w:rsidP="002E607C">
            <w:pPr>
              <w:pStyle w:val="BodyText"/>
              <w:tabs>
                <w:tab w:val="left" w:pos="1033"/>
              </w:tabs>
              <w:spacing w:line="240" w:lineRule="auto"/>
              <w:jc w:val="both"/>
              <w:rPr>
                <w:bCs/>
                <w:color w:val="000000"/>
                <w:sz w:val="24"/>
                <w:szCs w:val="24"/>
                <w:lang w:eastAsia="bg-BG" w:bidi="bg-BG"/>
              </w:rPr>
            </w:pPr>
          </w:p>
          <w:p w14:paraId="16BC79DE" w14:textId="2E3FCA58"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Не е предвидено какво правим с домакинства, които могат и искат да доплатят за по-добри и комплексни системи в домовете си над таваните на максимално допустима инвестиция? </w:t>
            </w:r>
          </w:p>
          <w:p w14:paraId="60424FDC" w14:textId="6AFE861B" w:rsidR="006E658E" w:rsidRDefault="006E658E" w:rsidP="002E607C">
            <w:pPr>
              <w:pStyle w:val="BodyText"/>
              <w:tabs>
                <w:tab w:val="left" w:pos="1033"/>
              </w:tabs>
              <w:spacing w:line="240" w:lineRule="auto"/>
              <w:jc w:val="both"/>
              <w:rPr>
                <w:bCs/>
                <w:color w:val="000000"/>
                <w:sz w:val="24"/>
                <w:szCs w:val="24"/>
                <w:lang w:eastAsia="bg-BG" w:bidi="bg-BG"/>
              </w:rPr>
            </w:pPr>
          </w:p>
          <w:p w14:paraId="416BBC2F" w14:textId="2EAE6CAA" w:rsidR="006E658E" w:rsidRDefault="006E658E" w:rsidP="002E607C">
            <w:pPr>
              <w:pStyle w:val="BodyText"/>
              <w:tabs>
                <w:tab w:val="left" w:pos="1033"/>
              </w:tabs>
              <w:spacing w:line="240" w:lineRule="auto"/>
              <w:jc w:val="both"/>
              <w:rPr>
                <w:bCs/>
                <w:color w:val="000000"/>
                <w:sz w:val="24"/>
                <w:szCs w:val="24"/>
                <w:lang w:eastAsia="bg-BG" w:bidi="bg-BG"/>
              </w:rPr>
            </w:pPr>
          </w:p>
          <w:p w14:paraId="748B791E" w14:textId="25B2590E" w:rsidR="00FC0ACE" w:rsidRDefault="00FC0ACE" w:rsidP="002E607C">
            <w:pPr>
              <w:pStyle w:val="BodyText"/>
              <w:tabs>
                <w:tab w:val="left" w:pos="1033"/>
              </w:tabs>
              <w:spacing w:line="240" w:lineRule="auto"/>
              <w:jc w:val="both"/>
              <w:rPr>
                <w:bCs/>
                <w:color w:val="000000"/>
                <w:sz w:val="24"/>
                <w:szCs w:val="24"/>
                <w:lang w:eastAsia="bg-BG" w:bidi="bg-BG"/>
              </w:rPr>
            </w:pPr>
          </w:p>
          <w:p w14:paraId="460F29F4" w14:textId="4EC95480" w:rsidR="00FC0ACE" w:rsidRDefault="00FC0ACE" w:rsidP="002E607C">
            <w:pPr>
              <w:pStyle w:val="BodyText"/>
              <w:tabs>
                <w:tab w:val="left" w:pos="1033"/>
              </w:tabs>
              <w:spacing w:line="240" w:lineRule="auto"/>
              <w:jc w:val="both"/>
              <w:rPr>
                <w:bCs/>
                <w:color w:val="000000"/>
                <w:sz w:val="24"/>
                <w:szCs w:val="24"/>
                <w:lang w:eastAsia="bg-BG" w:bidi="bg-BG"/>
              </w:rPr>
            </w:pPr>
          </w:p>
          <w:p w14:paraId="1CBB8AB1" w14:textId="61C47A1F" w:rsidR="00FC0ACE" w:rsidRDefault="00FC0ACE" w:rsidP="002E607C">
            <w:pPr>
              <w:pStyle w:val="BodyText"/>
              <w:tabs>
                <w:tab w:val="left" w:pos="1033"/>
              </w:tabs>
              <w:spacing w:line="240" w:lineRule="auto"/>
              <w:jc w:val="both"/>
              <w:rPr>
                <w:bCs/>
                <w:color w:val="000000"/>
                <w:sz w:val="24"/>
                <w:szCs w:val="24"/>
                <w:lang w:eastAsia="bg-BG" w:bidi="bg-BG"/>
              </w:rPr>
            </w:pPr>
          </w:p>
          <w:p w14:paraId="10F4CF10" w14:textId="77777777" w:rsidR="006E658E" w:rsidRPr="002E607C" w:rsidRDefault="006E658E" w:rsidP="002E607C">
            <w:pPr>
              <w:pStyle w:val="BodyText"/>
              <w:tabs>
                <w:tab w:val="left" w:pos="1033"/>
              </w:tabs>
              <w:spacing w:line="240" w:lineRule="auto"/>
              <w:jc w:val="both"/>
              <w:rPr>
                <w:bCs/>
                <w:color w:val="000000"/>
                <w:sz w:val="24"/>
                <w:szCs w:val="24"/>
                <w:lang w:eastAsia="bg-BG" w:bidi="bg-BG"/>
              </w:rPr>
            </w:pPr>
          </w:p>
          <w:p w14:paraId="579BFF41"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06C2748B" w14:textId="1AB84B8B"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Всъщност никъде не се говори за тавани на инвестицията на едно </w:t>
            </w:r>
            <w:r w:rsidRPr="002E607C">
              <w:rPr>
                <w:bCs/>
                <w:color w:val="000000"/>
                <w:sz w:val="24"/>
                <w:szCs w:val="24"/>
                <w:lang w:eastAsia="bg-BG" w:bidi="bg-BG"/>
              </w:rPr>
              <w:lastRenderedPageBreak/>
              <w:t xml:space="preserve">домакинство, каквито са предвидени по някои от проектите за сгради в НПВУ - смятаме, че такива тавани са необходими, за да се предотвратят злоупотреби в обществените поръчки. </w:t>
            </w:r>
          </w:p>
          <w:p w14:paraId="6CFDAE4B" w14:textId="7373F392"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В този смисъл препоръчваме общините да запазват собствеността върху инсталираните при 100% грант системи за няколко години, както е в програма LIFE, където се използва така наречената във вещното право форма на “отдаване за ползване”. Това ще дисциплинира добре бенефициентите и ще предотврати злоупотреба, неизполване на отоплителните уреди или безстопанственост. </w:t>
            </w:r>
          </w:p>
          <w:p w14:paraId="42541031" w14:textId="2DFDEDDC" w:rsidR="006E658E" w:rsidRDefault="006E658E" w:rsidP="002E607C">
            <w:pPr>
              <w:pStyle w:val="BodyText"/>
              <w:tabs>
                <w:tab w:val="left" w:pos="1033"/>
              </w:tabs>
              <w:spacing w:line="240" w:lineRule="auto"/>
              <w:jc w:val="both"/>
              <w:rPr>
                <w:bCs/>
                <w:color w:val="000000"/>
                <w:sz w:val="24"/>
                <w:szCs w:val="24"/>
                <w:lang w:eastAsia="bg-BG" w:bidi="bg-BG"/>
              </w:rPr>
            </w:pPr>
          </w:p>
          <w:p w14:paraId="019AE465" w14:textId="2E38B781" w:rsidR="006E658E" w:rsidRDefault="006E658E" w:rsidP="002E607C">
            <w:pPr>
              <w:pStyle w:val="BodyText"/>
              <w:tabs>
                <w:tab w:val="left" w:pos="1033"/>
              </w:tabs>
              <w:spacing w:line="240" w:lineRule="auto"/>
              <w:jc w:val="both"/>
              <w:rPr>
                <w:bCs/>
                <w:color w:val="000000"/>
                <w:sz w:val="24"/>
                <w:szCs w:val="24"/>
                <w:lang w:eastAsia="bg-BG" w:bidi="bg-BG"/>
              </w:rPr>
            </w:pPr>
          </w:p>
          <w:p w14:paraId="50E4AE46" w14:textId="6FFE93AC" w:rsidR="006E658E" w:rsidRDefault="006E658E" w:rsidP="002E607C">
            <w:pPr>
              <w:pStyle w:val="BodyText"/>
              <w:tabs>
                <w:tab w:val="left" w:pos="1033"/>
              </w:tabs>
              <w:spacing w:line="240" w:lineRule="auto"/>
              <w:jc w:val="both"/>
              <w:rPr>
                <w:bCs/>
                <w:color w:val="000000"/>
                <w:sz w:val="24"/>
                <w:szCs w:val="24"/>
                <w:lang w:eastAsia="bg-BG" w:bidi="bg-BG"/>
              </w:rPr>
            </w:pPr>
          </w:p>
          <w:p w14:paraId="37453B10" w14:textId="12CD707D" w:rsidR="002E607C" w:rsidRDefault="002E607C" w:rsidP="006E658E">
            <w:pPr>
              <w:pStyle w:val="BodyText"/>
              <w:tabs>
                <w:tab w:val="left" w:pos="1033"/>
              </w:tabs>
              <w:spacing w:line="240" w:lineRule="auto"/>
              <w:ind w:firstLine="0"/>
              <w:jc w:val="both"/>
              <w:rPr>
                <w:bCs/>
                <w:color w:val="000000"/>
                <w:sz w:val="24"/>
                <w:szCs w:val="24"/>
                <w:lang w:eastAsia="bg-BG" w:bidi="bg-BG"/>
              </w:rPr>
            </w:pPr>
            <w:r w:rsidRPr="002E607C">
              <w:rPr>
                <w:bCs/>
                <w:color w:val="000000"/>
                <w:sz w:val="24"/>
                <w:szCs w:val="24"/>
                <w:lang w:eastAsia="bg-BG" w:bidi="bg-BG"/>
              </w:rPr>
              <w:t xml:space="preserve">Добре е програмата за заложи индикатори за спестени емисии и енергия, за ефективност на системите, които ще се финансират. </w:t>
            </w:r>
          </w:p>
          <w:p w14:paraId="6E612BFF"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4037DEC3"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02385B68" w14:textId="1AD93A00" w:rsidR="006E658E" w:rsidRDefault="006E658E" w:rsidP="002E607C">
            <w:pPr>
              <w:pStyle w:val="BodyText"/>
              <w:tabs>
                <w:tab w:val="left" w:pos="1033"/>
              </w:tabs>
              <w:spacing w:line="240" w:lineRule="auto"/>
              <w:jc w:val="both"/>
              <w:rPr>
                <w:bCs/>
                <w:color w:val="000000"/>
                <w:sz w:val="24"/>
                <w:szCs w:val="24"/>
                <w:lang w:eastAsia="bg-BG" w:bidi="bg-BG"/>
              </w:rPr>
            </w:pPr>
          </w:p>
          <w:p w14:paraId="1A92D6F0" w14:textId="0E4C6CDD" w:rsidR="006E658E" w:rsidRDefault="006E658E" w:rsidP="002E607C">
            <w:pPr>
              <w:pStyle w:val="BodyText"/>
              <w:tabs>
                <w:tab w:val="left" w:pos="1033"/>
              </w:tabs>
              <w:spacing w:line="240" w:lineRule="auto"/>
              <w:jc w:val="both"/>
              <w:rPr>
                <w:bCs/>
                <w:color w:val="000000"/>
                <w:sz w:val="24"/>
                <w:szCs w:val="24"/>
                <w:lang w:eastAsia="bg-BG" w:bidi="bg-BG"/>
              </w:rPr>
            </w:pPr>
          </w:p>
          <w:p w14:paraId="24F90C30"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6795D725"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0E4C8079" w14:textId="5AE0609C" w:rsidR="006E658E" w:rsidRDefault="006E658E" w:rsidP="002E607C">
            <w:pPr>
              <w:pStyle w:val="BodyText"/>
              <w:tabs>
                <w:tab w:val="left" w:pos="1033"/>
              </w:tabs>
              <w:spacing w:line="240" w:lineRule="auto"/>
              <w:jc w:val="both"/>
              <w:rPr>
                <w:bCs/>
                <w:color w:val="000000"/>
                <w:sz w:val="24"/>
                <w:szCs w:val="24"/>
                <w:lang w:eastAsia="bg-BG" w:bidi="bg-BG"/>
              </w:rPr>
            </w:pPr>
          </w:p>
          <w:p w14:paraId="6CE735B5" w14:textId="7D045650" w:rsidR="006E658E" w:rsidRDefault="006E658E" w:rsidP="002E607C">
            <w:pPr>
              <w:pStyle w:val="BodyText"/>
              <w:tabs>
                <w:tab w:val="left" w:pos="1033"/>
              </w:tabs>
              <w:spacing w:line="240" w:lineRule="auto"/>
              <w:jc w:val="both"/>
              <w:rPr>
                <w:bCs/>
                <w:color w:val="000000"/>
                <w:sz w:val="24"/>
                <w:szCs w:val="24"/>
                <w:lang w:eastAsia="bg-BG" w:bidi="bg-BG"/>
              </w:rPr>
            </w:pPr>
          </w:p>
          <w:p w14:paraId="2A703B1E" w14:textId="2E98B1B6" w:rsidR="006E658E" w:rsidRDefault="006E658E" w:rsidP="002E607C">
            <w:pPr>
              <w:pStyle w:val="BodyText"/>
              <w:tabs>
                <w:tab w:val="left" w:pos="1033"/>
              </w:tabs>
              <w:spacing w:line="240" w:lineRule="auto"/>
              <w:jc w:val="both"/>
              <w:rPr>
                <w:bCs/>
                <w:color w:val="000000"/>
                <w:sz w:val="24"/>
                <w:szCs w:val="24"/>
                <w:lang w:eastAsia="bg-BG" w:bidi="bg-BG"/>
              </w:rPr>
            </w:pPr>
          </w:p>
          <w:p w14:paraId="32E6555B"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1062C70C" w14:textId="58414427" w:rsidR="002E607C" w:rsidRPr="002E607C" w:rsidRDefault="002E607C" w:rsidP="006E658E">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Доволни сме, че няма да се финансира газификация. </w:t>
            </w:r>
          </w:p>
          <w:p w14:paraId="1ED71F98" w14:textId="56B75616"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Ако се започне с планове за постепенно преминаване на топлофикационните мрежи към ВЕИ топлина, ще имаме възможност да използваме европейски средства и в тази сфера. Като организация ще подкрепим подобна инициатива пред ЕК.</w:t>
            </w:r>
          </w:p>
          <w:p w14:paraId="3DE3BD65" w14:textId="49654D6A" w:rsidR="002E607C" w:rsidRDefault="002E607C" w:rsidP="002E607C">
            <w:pPr>
              <w:pStyle w:val="BodyText"/>
              <w:tabs>
                <w:tab w:val="left" w:pos="1033"/>
              </w:tabs>
              <w:spacing w:line="240" w:lineRule="auto"/>
              <w:jc w:val="both"/>
              <w:rPr>
                <w:bCs/>
                <w:color w:val="000000"/>
                <w:sz w:val="24"/>
                <w:szCs w:val="24"/>
                <w:lang w:eastAsia="bg-BG" w:bidi="bg-BG"/>
              </w:rPr>
            </w:pPr>
          </w:p>
          <w:p w14:paraId="4E57AEAD" w14:textId="77777777" w:rsidR="006E658E" w:rsidRPr="002E607C" w:rsidRDefault="006E658E" w:rsidP="002E607C">
            <w:pPr>
              <w:pStyle w:val="BodyText"/>
              <w:tabs>
                <w:tab w:val="left" w:pos="1033"/>
              </w:tabs>
              <w:spacing w:line="240" w:lineRule="auto"/>
              <w:jc w:val="both"/>
              <w:rPr>
                <w:bCs/>
                <w:color w:val="000000"/>
                <w:sz w:val="24"/>
                <w:szCs w:val="24"/>
                <w:lang w:eastAsia="bg-BG" w:bidi="bg-BG"/>
              </w:rPr>
            </w:pPr>
          </w:p>
          <w:p w14:paraId="42E05C78" w14:textId="59654011" w:rsidR="002E607C" w:rsidRPr="00D3726A"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Относно възможната демаркация подхвърляме следните спекулативни цифри с надеждата да подчертаят нуждата да се заложи демаркация. 442 млн евро са предвидени за чист въздух (зелена инфраструктура и отопление) - 170 ха зелена инфраструктура и 90 000 домакинства (последното по 3100 на домакинство, както е средно в ЛАЙФ = 279 млн </w:t>
            </w:r>
            <w:r w:rsidRPr="002E607C">
              <w:rPr>
                <w:bCs/>
                <w:color w:val="000000"/>
                <w:sz w:val="24"/>
                <w:szCs w:val="24"/>
                <w:lang w:eastAsia="bg-BG" w:bidi="bg-BG"/>
              </w:rPr>
              <w:lastRenderedPageBreak/>
              <w:t>ЛЕВА, ако сложим условна демаркация =&gt; остават 582 млн лв за 170 ха зелена инфраструктура = 1.6 млн лв на хектар зелена инфраструктура - звучи като баснословна сума и молим да се обоснове!)</w:t>
            </w:r>
          </w:p>
        </w:tc>
        <w:tc>
          <w:tcPr>
            <w:tcW w:w="4394" w:type="dxa"/>
          </w:tcPr>
          <w:p w14:paraId="46D1239C" w14:textId="77777777" w:rsidR="009960FB" w:rsidRDefault="009960FB" w:rsidP="002B060C">
            <w:pPr>
              <w:jc w:val="both"/>
              <w:rPr>
                <w:rFonts w:ascii="Times New Roman" w:hAnsi="Times New Roman" w:cs="Times New Roman"/>
                <w:bCs/>
                <w:sz w:val="24"/>
                <w:szCs w:val="24"/>
              </w:rPr>
            </w:pPr>
          </w:p>
          <w:p w14:paraId="784F935B" w14:textId="77777777" w:rsidR="009960FB" w:rsidRDefault="009960FB" w:rsidP="002B060C">
            <w:pPr>
              <w:jc w:val="both"/>
              <w:rPr>
                <w:rFonts w:ascii="Times New Roman" w:hAnsi="Times New Roman" w:cs="Times New Roman"/>
                <w:bCs/>
                <w:sz w:val="24"/>
                <w:szCs w:val="24"/>
              </w:rPr>
            </w:pPr>
          </w:p>
          <w:p w14:paraId="4C19D0F3" w14:textId="77777777" w:rsidR="009960FB" w:rsidRDefault="009960FB" w:rsidP="002B060C">
            <w:pPr>
              <w:jc w:val="both"/>
              <w:rPr>
                <w:rFonts w:ascii="Times New Roman" w:hAnsi="Times New Roman" w:cs="Times New Roman"/>
                <w:bCs/>
                <w:sz w:val="24"/>
                <w:szCs w:val="24"/>
              </w:rPr>
            </w:pPr>
          </w:p>
          <w:p w14:paraId="4BAF6B63" w14:textId="77777777" w:rsidR="009960FB" w:rsidRDefault="009960FB" w:rsidP="002B060C">
            <w:pPr>
              <w:jc w:val="both"/>
              <w:rPr>
                <w:rFonts w:ascii="Times New Roman" w:hAnsi="Times New Roman" w:cs="Times New Roman"/>
                <w:bCs/>
                <w:sz w:val="24"/>
                <w:szCs w:val="24"/>
              </w:rPr>
            </w:pPr>
          </w:p>
          <w:p w14:paraId="56020E95" w14:textId="77777777" w:rsidR="009960FB" w:rsidRDefault="009960FB" w:rsidP="002B060C">
            <w:pPr>
              <w:jc w:val="both"/>
              <w:rPr>
                <w:rFonts w:ascii="Times New Roman" w:hAnsi="Times New Roman" w:cs="Times New Roman"/>
                <w:bCs/>
                <w:sz w:val="24"/>
                <w:szCs w:val="24"/>
              </w:rPr>
            </w:pPr>
          </w:p>
          <w:p w14:paraId="2E43EB23" w14:textId="77777777" w:rsidR="009960FB" w:rsidRDefault="009960FB" w:rsidP="002B060C">
            <w:pPr>
              <w:jc w:val="both"/>
              <w:rPr>
                <w:rFonts w:ascii="Times New Roman" w:hAnsi="Times New Roman" w:cs="Times New Roman"/>
                <w:bCs/>
                <w:sz w:val="24"/>
                <w:szCs w:val="24"/>
              </w:rPr>
            </w:pPr>
          </w:p>
          <w:p w14:paraId="6B14CB68" w14:textId="77777777" w:rsidR="009960FB" w:rsidRDefault="009960FB" w:rsidP="002B060C">
            <w:pPr>
              <w:jc w:val="both"/>
              <w:rPr>
                <w:rFonts w:ascii="Times New Roman" w:hAnsi="Times New Roman" w:cs="Times New Roman"/>
                <w:bCs/>
                <w:sz w:val="24"/>
                <w:szCs w:val="24"/>
              </w:rPr>
            </w:pPr>
          </w:p>
          <w:p w14:paraId="086A4AA0" w14:textId="41D033D7" w:rsidR="002E607C" w:rsidRDefault="006E658E" w:rsidP="002B060C">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Предвидените мерки съобразяват анализи, констатации, препоръките и приоритетите от национални стратегически документи, както и от Националния доклад за България за 2019 г., както и правата и задълженията на участниците в процеса на управление на отпадъците съгласно законодателството. По отношение на </w:t>
            </w:r>
            <w:r w:rsidRPr="006E658E">
              <w:rPr>
                <w:rFonts w:ascii="Times New Roman" w:hAnsi="Times New Roman" w:cs="Times New Roman"/>
                <w:bCs/>
                <w:sz w:val="24"/>
                <w:szCs w:val="24"/>
              </w:rPr>
              <w:lastRenderedPageBreak/>
              <w:t>строителните отпадъци обръщаме внимание, че в проекта на Националния план за управление на отпадъците 2021-2028 г. и Програмата за достигане на целите за рециклиране и оползотворяване на строителни отпадъци и отпадъци от разрушаване на сгради към него са анализирани проблемите със строителните отпадъци и са предложени конкретни мерки с различни източници на финансиране. В плана за действие към тази програма е предвидено чрез ПОС 2021-2027 г. да се финансират мерки за рециклиране на строителни отпадъци и за производство на рециклирани строителни материали.</w:t>
            </w:r>
          </w:p>
          <w:p w14:paraId="6B6189A8" w14:textId="77777777" w:rsidR="006E658E" w:rsidRDefault="006E658E" w:rsidP="002B060C">
            <w:pPr>
              <w:jc w:val="both"/>
              <w:rPr>
                <w:rFonts w:ascii="Times New Roman" w:hAnsi="Times New Roman" w:cs="Times New Roman"/>
                <w:bCs/>
                <w:sz w:val="24"/>
                <w:szCs w:val="24"/>
              </w:rPr>
            </w:pPr>
          </w:p>
          <w:p w14:paraId="733241FA" w14:textId="77777777" w:rsidR="006E658E" w:rsidRDefault="006E658E" w:rsidP="002B060C">
            <w:pPr>
              <w:jc w:val="both"/>
              <w:rPr>
                <w:rFonts w:ascii="Times New Roman" w:hAnsi="Times New Roman" w:cs="Times New Roman"/>
                <w:bCs/>
                <w:sz w:val="24"/>
                <w:szCs w:val="24"/>
              </w:rPr>
            </w:pPr>
            <w:r w:rsidRPr="006E658E">
              <w:rPr>
                <w:rFonts w:ascii="Times New Roman" w:hAnsi="Times New Roman" w:cs="Times New Roman"/>
                <w:bCs/>
                <w:sz w:val="24"/>
                <w:szCs w:val="24"/>
              </w:rPr>
              <w:t>Допуснати технически неточности ще бъдат коригирани в текста на програмата.</w:t>
            </w:r>
          </w:p>
          <w:p w14:paraId="03E10E8E" w14:textId="77777777" w:rsidR="006E658E" w:rsidRDefault="006E658E" w:rsidP="002B060C">
            <w:pPr>
              <w:jc w:val="both"/>
              <w:rPr>
                <w:rFonts w:ascii="Times New Roman" w:hAnsi="Times New Roman" w:cs="Times New Roman"/>
                <w:bCs/>
                <w:sz w:val="24"/>
                <w:szCs w:val="24"/>
              </w:rPr>
            </w:pPr>
          </w:p>
          <w:p w14:paraId="249F9C69" w14:textId="77777777" w:rsidR="006E658E" w:rsidRDefault="006E658E" w:rsidP="002B060C">
            <w:pPr>
              <w:jc w:val="both"/>
              <w:rPr>
                <w:rFonts w:ascii="Times New Roman" w:hAnsi="Times New Roman" w:cs="Times New Roman"/>
                <w:bCs/>
                <w:sz w:val="24"/>
                <w:szCs w:val="24"/>
              </w:rPr>
            </w:pPr>
          </w:p>
          <w:p w14:paraId="2D66FB46" w14:textId="77777777" w:rsidR="006E658E" w:rsidRDefault="006E658E" w:rsidP="002B060C">
            <w:pPr>
              <w:jc w:val="both"/>
              <w:rPr>
                <w:rFonts w:ascii="Times New Roman" w:hAnsi="Times New Roman" w:cs="Times New Roman"/>
                <w:bCs/>
                <w:sz w:val="24"/>
                <w:szCs w:val="24"/>
              </w:rPr>
            </w:pPr>
          </w:p>
          <w:p w14:paraId="37952833"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Основната мярка по Приоритет „Въздух“ е за намаляване на замърсяването на въздуха от битовото  отопление, където съгласно предварителното индикативно разпределение ще се концентрира около 80% от ресурса, алокиран по Приоритета.</w:t>
            </w:r>
          </w:p>
          <w:p w14:paraId="7033F847" w14:textId="77777777" w:rsidR="006E658E" w:rsidRPr="006E658E" w:rsidRDefault="006E658E" w:rsidP="006E658E">
            <w:pPr>
              <w:jc w:val="both"/>
              <w:rPr>
                <w:rFonts w:ascii="Times New Roman" w:hAnsi="Times New Roman" w:cs="Times New Roman"/>
                <w:bCs/>
                <w:sz w:val="24"/>
                <w:szCs w:val="24"/>
              </w:rPr>
            </w:pPr>
          </w:p>
          <w:p w14:paraId="14C8AE23"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В Национална програма за контрол на замърсяването на въздуха не е идентифицирана възможността за прилагане на финансови инструменти, </w:t>
            </w:r>
            <w:r w:rsidRPr="006E658E">
              <w:rPr>
                <w:rFonts w:ascii="Times New Roman" w:hAnsi="Times New Roman" w:cs="Times New Roman"/>
                <w:bCs/>
                <w:sz w:val="24"/>
                <w:szCs w:val="24"/>
              </w:rPr>
              <w:lastRenderedPageBreak/>
              <w:t xml:space="preserve">като е отчетено, че „проблемът с качеството на въздуха по отношение на ФПЧ10 в общините в България е спешен“. За постигане на съответствие с нормите за фини прахови частици е необходимо да бъдат прилагани възможно най-всеобхватни мерки, във възможно най-кратки срокове. Опитът по настоящата процедура показва, че повечето общини, които са бенефициенти по процедурите за подмяна на горивни устройства, констатират липса на проявен достатъчен интерес от страна на гражданите. Поради това при конкретните обстоятелства постигането на тази цел чрез 100% грант е с по-голяма степен на вероятност. </w:t>
            </w:r>
          </w:p>
          <w:p w14:paraId="71CD2F62"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 рамките на процедурата по ПОС 2021-2027 г. ще бъдат разработени критерии за приоритизиране на крайните получатели на помощта, като задължителни елементи ще бъдат:  енергийна ефективност на жилищата, енергийна бедност и спестени емисии ФПЧ на инвестиран лев.</w:t>
            </w:r>
          </w:p>
          <w:p w14:paraId="679FA50E"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 заключение, следва да се има предвид, че проектът на Предварителна оценка за приложимостта на финансови инструменти по ПОС 2021-2027 г. (съгл. разпоредбите на чл. 52, параграф 3 от проекта на Общ Регламент за периода 2021-2027) не идентифицира приложимост на ФИ по отношение на мерките за подмяна на отоплителни устройства.</w:t>
            </w:r>
          </w:p>
          <w:p w14:paraId="728BFDFF" w14:textId="77777777" w:rsidR="006E658E" w:rsidRPr="006E658E" w:rsidRDefault="006E658E" w:rsidP="006E658E">
            <w:pPr>
              <w:jc w:val="both"/>
              <w:rPr>
                <w:rFonts w:ascii="Times New Roman" w:hAnsi="Times New Roman" w:cs="Times New Roman"/>
                <w:bCs/>
                <w:sz w:val="24"/>
                <w:szCs w:val="24"/>
              </w:rPr>
            </w:pPr>
          </w:p>
          <w:p w14:paraId="7F9C1FC3"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Значителен брой домакинства в страната използват за отопление твърдо гориво. В светлината на Решението на Съда на ЕС по дело C-488/15 от 5 април 2017 г., основната цел на приоритета е да допринесе за подобряване качеството на въздуха в общините, които са с регистрирани наднормени нива на ФПЧ, съгласно решението. Съответно и тези общини са от най-висок приоритет. Следва да се има предвид, че нуждите в сектор „околна среда“ за постигане ангажиментите на страната по екологичното законодателство са големи и индикативният финансов ресурс по Приоритет 5 по ПОС 2021-2027 г. е недостатъчен да покрие необходимите инвестиции в общините с нарушено КАВ. </w:t>
            </w:r>
          </w:p>
          <w:p w14:paraId="237B6D0F" w14:textId="77777777" w:rsidR="006E658E" w:rsidRPr="006E658E" w:rsidRDefault="006E658E" w:rsidP="006E658E">
            <w:pPr>
              <w:jc w:val="both"/>
              <w:rPr>
                <w:rFonts w:ascii="Times New Roman" w:hAnsi="Times New Roman" w:cs="Times New Roman"/>
                <w:bCs/>
                <w:sz w:val="24"/>
                <w:szCs w:val="24"/>
              </w:rPr>
            </w:pPr>
          </w:p>
          <w:p w14:paraId="51139D9B"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УО на програмата няма компетентност по отношение на социалните политики, водени от МТСП.</w:t>
            </w:r>
          </w:p>
          <w:p w14:paraId="7892363F" w14:textId="77777777" w:rsidR="006E658E" w:rsidRPr="006E658E" w:rsidRDefault="006E658E" w:rsidP="006E658E">
            <w:pPr>
              <w:jc w:val="both"/>
              <w:rPr>
                <w:rFonts w:ascii="Times New Roman" w:hAnsi="Times New Roman" w:cs="Times New Roman"/>
                <w:bCs/>
                <w:sz w:val="24"/>
                <w:szCs w:val="24"/>
              </w:rPr>
            </w:pPr>
          </w:p>
          <w:p w14:paraId="1C380128"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 Националния план за възстановяване и устойчивост е предвидено създаване на услугата „едно гише“ като един от основните инструменти за информиране на гражданите по отношение на енергийната ефективност, където те ще могат да получат и консултация за подходящи алтернативи и за различните възможности за финансиране.</w:t>
            </w:r>
          </w:p>
          <w:p w14:paraId="2B910F29" w14:textId="77777777" w:rsidR="006E658E" w:rsidRPr="006E658E" w:rsidRDefault="006E658E" w:rsidP="006E658E">
            <w:pPr>
              <w:jc w:val="both"/>
              <w:rPr>
                <w:rFonts w:ascii="Times New Roman" w:hAnsi="Times New Roman" w:cs="Times New Roman"/>
                <w:bCs/>
                <w:sz w:val="24"/>
                <w:szCs w:val="24"/>
              </w:rPr>
            </w:pPr>
          </w:p>
          <w:p w14:paraId="76FF5123" w14:textId="12FDE6E6"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 На етап разработване на Насоки з</w:t>
            </w:r>
            <w:r w:rsidR="00FE1A7D">
              <w:rPr>
                <w:rFonts w:ascii="Times New Roman" w:hAnsi="Times New Roman" w:cs="Times New Roman"/>
                <w:bCs/>
                <w:sz w:val="24"/>
                <w:szCs w:val="24"/>
              </w:rPr>
              <w:t>а</w:t>
            </w:r>
            <w:r w:rsidRPr="006E658E">
              <w:rPr>
                <w:rFonts w:ascii="Times New Roman" w:hAnsi="Times New Roman" w:cs="Times New Roman"/>
                <w:bCs/>
                <w:sz w:val="24"/>
                <w:szCs w:val="24"/>
              </w:rPr>
              <w:t xml:space="preserve"> </w:t>
            </w:r>
            <w:r w:rsidRPr="006E658E">
              <w:rPr>
                <w:rFonts w:ascii="Times New Roman" w:hAnsi="Times New Roman" w:cs="Times New Roman"/>
                <w:bCs/>
                <w:sz w:val="24"/>
                <w:szCs w:val="24"/>
              </w:rPr>
              <w:lastRenderedPageBreak/>
              <w:t>кандидатстване ще бъдат изготвени пределно допустими цени за подмяната на отоплителни уреди на твърдо гориво с разл</w:t>
            </w:r>
            <w:r w:rsidR="00FE1A7D">
              <w:rPr>
                <w:rFonts w:ascii="Times New Roman" w:hAnsi="Times New Roman" w:cs="Times New Roman"/>
                <w:bCs/>
                <w:sz w:val="24"/>
                <w:szCs w:val="24"/>
              </w:rPr>
              <w:t>и</w:t>
            </w:r>
            <w:r w:rsidRPr="006E658E">
              <w:rPr>
                <w:rFonts w:ascii="Times New Roman" w:hAnsi="Times New Roman" w:cs="Times New Roman"/>
                <w:bCs/>
                <w:sz w:val="24"/>
                <w:szCs w:val="24"/>
              </w:rPr>
              <w:t xml:space="preserve">чните видове алтернативни решения. По отношение на възможността за прилагане на формата „отдаване за ползване“, предложението ще бъде консултирано с представителите на общините потенциални бенефициенти по процедурата. </w:t>
            </w:r>
          </w:p>
          <w:p w14:paraId="3BD8A33A" w14:textId="77777777" w:rsidR="006E658E" w:rsidRPr="006E658E" w:rsidRDefault="006E658E" w:rsidP="006E658E">
            <w:pPr>
              <w:jc w:val="both"/>
              <w:rPr>
                <w:rFonts w:ascii="Times New Roman" w:hAnsi="Times New Roman" w:cs="Times New Roman"/>
                <w:bCs/>
                <w:sz w:val="24"/>
                <w:szCs w:val="24"/>
              </w:rPr>
            </w:pPr>
          </w:p>
          <w:p w14:paraId="00FAB720" w14:textId="32CA6D8B"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Залага</w:t>
            </w:r>
            <w:r>
              <w:rPr>
                <w:rFonts w:ascii="Times New Roman" w:hAnsi="Times New Roman" w:cs="Times New Roman"/>
                <w:bCs/>
                <w:sz w:val="24"/>
                <w:szCs w:val="24"/>
              </w:rPr>
              <w:t>н</w:t>
            </w:r>
            <w:r w:rsidRPr="006E658E">
              <w:rPr>
                <w:rFonts w:ascii="Times New Roman" w:hAnsi="Times New Roman" w:cs="Times New Roman"/>
                <w:bCs/>
                <w:sz w:val="24"/>
                <w:szCs w:val="24"/>
              </w:rPr>
              <w:t>ето на индикатор за спестени емисии ФПЧ на ниво програма се консултира в рамките на преговорния процес. Енергийните спестявания не са в целите и обхвата на ПОС 2021-2027 г.  Подмяната на топлоуредите на твърдо гориво с модерни незамърсява</w:t>
            </w:r>
            <w:r>
              <w:rPr>
                <w:rFonts w:ascii="Times New Roman" w:hAnsi="Times New Roman" w:cs="Times New Roman"/>
                <w:bCs/>
                <w:sz w:val="24"/>
                <w:szCs w:val="24"/>
              </w:rPr>
              <w:t>щ</w:t>
            </w:r>
            <w:r w:rsidRPr="006E658E">
              <w:rPr>
                <w:rFonts w:ascii="Times New Roman" w:hAnsi="Times New Roman" w:cs="Times New Roman"/>
                <w:bCs/>
                <w:sz w:val="24"/>
                <w:szCs w:val="24"/>
              </w:rPr>
              <w:t>и алтернати</w:t>
            </w:r>
            <w:r>
              <w:rPr>
                <w:rFonts w:ascii="Times New Roman" w:hAnsi="Times New Roman" w:cs="Times New Roman"/>
                <w:bCs/>
                <w:sz w:val="24"/>
                <w:szCs w:val="24"/>
              </w:rPr>
              <w:t>ви</w:t>
            </w:r>
            <w:r w:rsidRPr="006E658E">
              <w:rPr>
                <w:rFonts w:ascii="Times New Roman" w:hAnsi="Times New Roman" w:cs="Times New Roman"/>
                <w:bCs/>
                <w:sz w:val="24"/>
                <w:szCs w:val="24"/>
              </w:rPr>
              <w:t xml:space="preserve"> ще има принос към енергийната ефективност, но основната задача на Приоритета е подобряване на КАВ. </w:t>
            </w:r>
          </w:p>
          <w:p w14:paraId="2D4FEBF1" w14:textId="77777777" w:rsidR="006E658E" w:rsidRPr="006E658E" w:rsidRDefault="006E658E" w:rsidP="006E658E">
            <w:pPr>
              <w:jc w:val="both"/>
              <w:rPr>
                <w:rFonts w:ascii="Times New Roman" w:hAnsi="Times New Roman" w:cs="Times New Roman"/>
                <w:bCs/>
                <w:sz w:val="24"/>
                <w:szCs w:val="24"/>
              </w:rPr>
            </w:pPr>
          </w:p>
          <w:p w14:paraId="6E1B418F"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Въпросът е свързан с формулиране на политики и УО на ОПОС няма компетенции в тази посока. В този смисъл, обхватът на ПОС 2021-2027 г., версия 3, не предвижда инвестиции в топлофикационни мрежи.</w:t>
            </w:r>
          </w:p>
          <w:p w14:paraId="26AEFB75" w14:textId="77777777" w:rsidR="006E658E" w:rsidRPr="006E658E" w:rsidRDefault="006E658E" w:rsidP="006E658E">
            <w:pPr>
              <w:jc w:val="both"/>
              <w:rPr>
                <w:rFonts w:ascii="Times New Roman" w:hAnsi="Times New Roman" w:cs="Times New Roman"/>
                <w:bCs/>
                <w:sz w:val="24"/>
                <w:szCs w:val="24"/>
              </w:rPr>
            </w:pPr>
          </w:p>
          <w:p w14:paraId="34484B79" w14:textId="21F173F9" w:rsidR="006E658E" w:rsidRPr="00D3726A"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Автоматично рефериране към  средните разходни норми по програма LIFE е неприложимо. По мярката за намаляване на замърсяването на въздуха от битовото  отопление ще се </w:t>
            </w:r>
            <w:r w:rsidRPr="006E658E">
              <w:rPr>
                <w:rFonts w:ascii="Times New Roman" w:hAnsi="Times New Roman" w:cs="Times New Roman"/>
                <w:bCs/>
                <w:sz w:val="24"/>
                <w:szCs w:val="24"/>
              </w:rPr>
              <w:lastRenderedPageBreak/>
              <w:t>алокира около 80% от ресурса по Приоритета, съгласно предварителното индикативно разпределение.</w:t>
            </w:r>
          </w:p>
        </w:tc>
      </w:tr>
      <w:tr w:rsidR="007C7223" w:rsidRPr="00D3726A" w14:paraId="21E53F0E" w14:textId="77777777" w:rsidTr="00153A29">
        <w:tc>
          <w:tcPr>
            <w:tcW w:w="15331" w:type="dxa"/>
            <w:gridSpan w:val="4"/>
            <w:shd w:val="clear" w:color="auto" w:fill="D9D9D9" w:themeFill="background1" w:themeFillShade="D9"/>
          </w:tcPr>
          <w:p w14:paraId="65E7032E" w14:textId="77777777" w:rsidR="00153A29" w:rsidRDefault="00153A29" w:rsidP="002B060C">
            <w:pPr>
              <w:jc w:val="both"/>
              <w:rPr>
                <w:rFonts w:ascii="Times New Roman" w:hAnsi="Times New Roman" w:cs="Times New Roman"/>
                <w:bCs/>
                <w:sz w:val="28"/>
                <w:szCs w:val="28"/>
              </w:rPr>
            </w:pPr>
          </w:p>
          <w:p w14:paraId="2CC6CC23" w14:textId="60B0EC21" w:rsidR="007C7223" w:rsidRDefault="00153A29" w:rsidP="00153A29">
            <w:pPr>
              <w:jc w:val="center"/>
              <w:rPr>
                <w:rFonts w:ascii="Times New Roman" w:hAnsi="Times New Roman" w:cs="Times New Roman"/>
                <w:bCs/>
                <w:sz w:val="28"/>
                <w:szCs w:val="28"/>
              </w:rPr>
            </w:pPr>
            <w:r w:rsidRPr="00153A29">
              <w:rPr>
                <w:rFonts w:ascii="Times New Roman" w:hAnsi="Times New Roman" w:cs="Times New Roman"/>
                <w:bCs/>
                <w:sz w:val="28"/>
                <w:szCs w:val="28"/>
              </w:rPr>
              <w:t>Коментари в рамките на Общественото обсъждане</w:t>
            </w:r>
            <w:r w:rsidR="000828FE">
              <w:rPr>
                <w:rFonts w:ascii="Times New Roman" w:hAnsi="Times New Roman" w:cs="Times New Roman"/>
                <w:bCs/>
                <w:sz w:val="28"/>
                <w:szCs w:val="28"/>
              </w:rPr>
              <w:t>, проведено</w:t>
            </w:r>
            <w:r w:rsidRPr="00153A29">
              <w:rPr>
                <w:rFonts w:ascii="Times New Roman" w:hAnsi="Times New Roman" w:cs="Times New Roman"/>
                <w:bCs/>
                <w:sz w:val="28"/>
                <w:szCs w:val="28"/>
              </w:rPr>
              <w:t xml:space="preserve"> на 12.3.2021 г.</w:t>
            </w:r>
          </w:p>
          <w:p w14:paraId="56B9685B" w14:textId="6A71DA0B" w:rsidR="00153A29" w:rsidRPr="00153A29" w:rsidRDefault="00153A29" w:rsidP="002B060C">
            <w:pPr>
              <w:jc w:val="both"/>
              <w:rPr>
                <w:rFonts w:ascii="Times New Roman" w:hAnsi="Times New Roman" w:cs="Times New Roman"/>
                <w:bCs/>
                <w:sz w:val="28"/>
                <w:szCs w:val="28"/>
              </w:rPr>
            </w:pPr>
          </w:p>
        </w:tc>
      </w:tr>
      <w:tr w:rsidR="006E658E" w:rsidRPr="00D3726A" w14:paraId="355A4256" w14:textId="77777777" w:rsidTr="003E697F">
        <w:tc>
          <w:tcPr>
            <w:tcW w:w="709" w:type="dxa"/>
          </w:tcPr>
          <w:p w14:paraId="36A7C420" w14:textId="22361CEB" w:rsidR="006E658E" w:rsidRPr="000C73CA" w:rsidRDefault="006E658E" w:rsidP="006E658E">
            <w:pPr>
              <w:ind w:left="142"/>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2268" w:type="dxa"/>
          </w:tcPr>
          <w:p w14:paraId="2FB30D76" w14:textId="77777777" w:rsidR="006E658E" w:rsidRDefault="006E658E" w:rsidP="006E658E">
            <w:pPr>
              <w:rPr>
                <w:rFonts w:ascii="Times New Roman" w:hAnsi="Times New Roman" w:cs="Times New Roman"/>
                <w:color w:val="000000"/>
                <w:sz w:val="24"/>
                <w:szCs w:val="24"/>
              </w:rPr>
            </w:pPr>
            <w:r>
              <w:rPr>
                <w:rFonts w:ascii="Times New Roman" w:hAnsi="Times New Roman" w:cs="Times New Roman"/>
                <w:color w:val="000000"/>
                <w:sz w:val="24"/>
                <w:szCs w:val="24"/>
              </w:rPr>
              <w:t>Ралица Петрова</w:t>
            </w:r>
          </w:p>
          <w:p w14:paraId="04CE0E95" w14:textId="77777777" w:rsidR="006E658E" w:rsidRDefault="006E658E" w:rsidP="006E658E">
            <w:pPr>
              <w:rPr>
                <w:rFonts w:ascii="Times New Roman" w:hAnsi="Times New Roman" w:cs="Times New Roman"/>
                <w:color w:val="000000"/>
                <w:sz w:val="24"/>
                <w:szCs w:val="24"/>
              </w:rPr>
            </w:pPr>
          </w:p>
          <w:p w14:paraId="5D1BDF28" w14:textId="1E4F22E6" w:rsidR="006E658E" w:rsidRDefault="006E658E" w:rsidP="006E658E">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627277">
              <w:rPr>
                <w:rFonts w:ascii="Times New Roman" w:hAnsi="Times New Roman" w:cs="Times New Roman"/>
                <w:color w:val="000000"/>
                <w:sz w:val="24"/>
                <w:szCs w:val="24"/>
              </w:rPr>
              <w:t>Денкщат България</w:t>
            </w:r>
            <w:r>
              <w:rPr>
                <w:rFonts w:ascii="Times New Roman" w:hAnsi="Times New Roman" w:cs="Times New Roman"/>
                <w:color w:val="000000"/>
                <w:sz w:val="24"/>
                <w:szCs w:val="24"/>
              </w:rPr>
              <w:t>“</w:t>
            </w:r>
            <w:r w:rsidRPr="00627277">
              <w:rPr>
                <w:rFonts w:ascii="Times New Roman" w:hAnsi="Times New Roman" w:cs="Times New Roman"/>
                <w:color w:val="000000"/>
                <w:sz w:val="24"/>
                <w:szCs w:val="24"/>
              </w:rPr>
              <w:t xml:space="preserve"> ООД</w:t>
            </w:r>
          </w:p>
        </w:tc>
        <w:tc>
          <w:tcPr>
            <w:tcW w:w="7960" w:type="dxa"/>
            <w:shd w:val="clear" w:color="auto" w:fill="auto"/>
          </w:tcPr>
          <w:p w14:paraId="114CF214" w14:textId="241287FB" w:rsidR="006E658E" w:rsidRPr="002E607C" w:rsidRDefault="006E658E" w:rsidP="006E658E">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 xml:space="preserve">В контекста на това, че в </w:t>
            </w:r>
            <w:r w:rsidRPr="000828FE">
              <w:rPr>
                <w:b/>
                <w:color w:val="000000"/>
                <w:sz w:val="24"/>
                <w:szCs w:val="24"/>
                <w:lang w:eastAsia="bg-BG" w:bidi="bg-BG"/>
              </w:rPr>
              <w:t>сектор Отпадъци</w:t>
            </w:r>
            <w:r>
              <w:rPr>
                <w:bCs/>
                <w:color w:val="000000"/>
                <w:sz w:val="24"/>
                <w:szCs w:val="24"/>
                <w:lang w:eastAsia="bg-BG" w:bidi="bg-BG"/>
              </w:rPr>
              <w:t xml:space="preserve"> са планирани мерки и финансиране преобладаващо за общини във връзка с постигане на целите по отношение на рамковата директива за отпадъците и националното законодателство и на това, че една от дейностите е свързана с изграждането на центрове за повторна употреба и подготовка за ремонт и повторна употреба – до каква степен е предвидено отделяне на финансиране за бизнеса по тези мерки и до каква степен това финансиране ще бъде покрито от финансови инструменти?</w:t>
            </w:r>
          </w:p>
        </w:tc>
        <w:tc>
          <w:tcPr>
            <w:tcW w:w="4394" w:type="dxa"/>
          </w:tcPr>
          <w:p w14:paraId="05B9D12F" w14:textId="77777777" w:rsidR="006E658E" w:rsidRDefault="006E658E" w:rsidP="006E658E">
            <w:pPr>
              <w:jc w:val="both"/>
              <w:rPr>
                <w:rFonts w:ascii="Times New Roman" w:hAnsi="Times New Roman" w:cs="Times New Roman"/>
                <w:bCs/>
                <w:sz w:val="24"/>
                <w:szCs w:val="24"/>
              </w:rPr>
            </w:pPr>
            <w:bookmarkStart w:id="4" w:name="_Hlk66805574"/>
            <w:r>
              <w:rPr>
                <w:rFonts w:ascii="Times New Roman" w:hAnsi="Times New Roman" w:cs="Times New Roman"/>
                <w:bCs/>
                <w:sz w:val="24"/>
                <w:szCs w:val="24"/>
              </w:rPr>
              <w:t>Юридическите лица със стопанска цел са предвидени като допустими кандидати по приоритет Отпадъци и в програмен период 2014-2020 г., като за 2021-2027 г. се планира разширяване на обхвата на подкрепа.</w:t>
            </w:r>
          </w:p>
          <w:p w14:paraId="449AAE19" w14:textId="77777777" w:rsidR="006E658E" w:rsidRDefault="006E658E" w:rsidP="006E658E">
            <w:pPr>
              <w:jc w:val="both"/>
              <w:rPr>
                <w:rFonts w:ascii="Times New Roman" w:hAnsi="Times New Roman" w:cs="Times New Roman"/>
                <w:bCs/>
                <w:sz w:val="24"/>
                <w:szCs w:val="24"/>
              </w:rPr>
            </w:pPr>
            <w:r>
              <w:rPr>
                <w:rFonts w:ascii="Times New Roman" w:hAnsi="Times New Roman" w:cs="Times New Roman"/>
                <w:bCs/>
                <w:sz w:val="24"/>
                <w:szCs w:val="24"/>
              </w:rPr>
              <w:t>Относно центровете за повторна употреба и поправка, в момента се водят преговори същите да се финансират чрез подхода за интегрирани териториални инвестиции (ИТИ), което да даде възможност да бъдат включени в грантовото финансиране.</w:t>
            </w:r>
          </w:p>
          <w:p w14:paraId="4FEF95FF" w14:textId="7D15CD7E" w:rsidR="006E658E" w:rsidRPr="00D3726A" w:rsidRDefault="006E658E" w:rsidP="006E658E">
            <w:pPr>
              <w:jc w:val="both"/>
              <w:rPr>
                <w:rFonts w:ascii="Times New Roman" w:hAnsi="Times New Roman" w:cs="Times New Roman"/>
                <w:bCs/>
                <w:sz w:val="24"/>
                <w:szCs w:val="24"/>
              </w:rPr>
            </w:pPr>
            <w:r w:rsidRPr="004D0695">
              <w:rPr>
                <w:rFonts w:ascii="Times New Roman" w:hAnsi="Times New Roman" w:cs="Times New Roman"/>
                <w:bCs/>
                <w:sz w:val="24"/>
                <w:szCs w:val="24"/>
              </w:rPr>
              <w:t>В тази връзка ще се наложи да бъде обследван въпросът за държавната помощ, но към настоящия момент, във версия 3 на програмата, се планират не само финансови инструменти, но и грантово финансиране на предприятия, специално по отношение на тази мярка.</w:t>
            </w:r>
            <w:bookmarkEnd w:id="4"/>
          </w:p>
        </w:tc>
      </w:tr>
      <w:tr w:rsidR="006E658E" w:rsidRPr="00D3726A" w14:paraId="52862BE7" w14:textId="77777777" w:rsidTr="003E697F">
        <w:tc>
          <w:tcPr>
            <w:tcW w:w="709" w:type="dxa"/>
          </w:tcPr>
          <w:p w14:paraId="2D7C8EF4" w14:textId="34CB8F29" w:rsidR="006E658E" w:rsidRPr="008A6022" w:rsidRDefault="006E658E" w:rsidP="006E658E">
            <w:pPr>
              <w:ind w:left="142"/>
              <w:rPr>
                <w:rFonts w:ascii="Times New Roman" w:hAnsi="Times New Roman" w:cs="Times New Roman"/>
                <w:b/>
                <w:sz w:val="24"/>
                <w:szCs w:val="24"/>
              </w:rPr>
            </w:pPr>
            <w:r>
              <w:rPr>
                <w:rFonts w:ascii="Times New Roman" w:hAnsi="Times New Roman" w:cs="Times New Roman"/>
                <w:b/>
                <w:sz w:val="24"/>
                <w:szCs w:val="24"/>
              </w:rPr>
              <w:t>7.</w:t>
            </w:r>
          </w:p>
        </w:tc>
        <w:tc>
          <w:tcPr>
            <w:tcW w:w="2268" w:type="dxa"/>
          </w:tcPr>
          <w:p w14:paraId="0F147731" w14:textId="77777777" w:rsidR="006E658E" w:rsidRDefault="006E658E" w:rsidP="006E658E">
            <w:pPr>
              <w:rPr>
                <w:rFonts w:ascii="Times New Roman" w:hAnsi="Times New Roman" w:cs="Times New Roman"/>
                <w:color w:val="000000"/>
                <w:sz w:val="24"/>
                <w:szCs w:val="24"/>
              </w:rPr>
            </w:pPr>
            <w:r>
              <w:rPr>
                <w:rFonts w:ascii="Times New Roman" w:hAnsi="Times New Roman" w:cs="Times New Roman"/>
                <w:color w:val="000000"/>
                <w:sz w:val="24"/>
                <w:szCs w:val="24"/>
              </w:rPr>
              <w:t>Ирина Мутафчийска</w:t>
            </w:r>
          </w:p>
          <w:p w14:paraId="291E6A3F" w14:textId="77777777" w:rsidR="006E658E" w:rsidRDefault="006E658E" w:rsidP="006E658E">
            <w:pPr>
              <w:rPr>
                <w:rFonts w:ascii="Times New Roman" w:hAnsi="Times New Roman" w:cs="Times New Roman"/>
                <w:color w:val="000000"/>
                <w:sz w:val="24"/>
                <w:szCs w:val="24"/>
              </w:rPr>
            </w:pPr>
          </w:p>
          <w:p w14:paraId="1E84F0E6" w14:textId="149D2A87" w:rsidR="006E658E" w:rsidRDefault="006E658E" w:rsidP="006E658E">
            <w:pPr>
              <w:rPr>
                <w:rFonts w:ascii="Times New Roman" w:hAnsi="Times New Roman" w:cs="Times New Roman"/>
                <w:color w:val="000000"/>
                <w:sz w:val="24"/>
                <w:szCs w:val="24"/>
              </w:rPr>
            </w:pPr>
            <w:r w:rsidRPr="00CC0791">
              <w:rPr>
                <w:rFonts w:ascii="Times New Roman" w:hAnsi="Times New Roman" w:cs="Times New Roman"/>
                <w:color w:val="000000"/>
                <w:sz w:val="24"/>
                <w:szCs w:val="24"/>
              </w:rPr>
              <w:t>гражданин</w:t>
            </w:r>
          </w:p>
        </w:tc>
        <w:tc>
          <w:tcPr>
            <w:tcW w:w="7960" w:type="dxa"/>
            <w:shd w:val="clear" w:color="auto" w:fill="auto"/>
          </w:tcPr>
          <w:p w14:paraId="1457ACDA" w14:textId="143A39A0" w:rsidR="006E658E" w:rsidRDefault="006E658E" w:rsidP="006E658E">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Оценките геореферирани ли са по компоненти и фактори на средата, с оглед приоритизация на финансирането на конкретни места, защото тези, които вече имат финансиране или имат по-добри качества на средата, би следвало да не са с приоритет.</w:t>
            </w:r>
          </w:p>
          <w:p w14:paraId="65E7B2A8" w14:textId="4C0A1E82" w:rsidR="006E658E" w:rsidRDefault="006E658E" w:rsidP="006E658E">
            <w:pPr>
              <w:pStyle w:val="BodyText"/>
              <w:tabs>
                <w:tab w:val="left" w:pos="1033"/>
              </w:tabs>
              <w:spacing w:line="240" w:lineRule="auto"/>
              <w:ind w:firstLine="0"/>
              <w:jc w:val="both"/>
              <w:rPr>
                <w:bCs/>
                <w:color w:val="000000"/>
                <w:sz w:val="24"/>
                <w:szCs w:val="24"/>
                <w:lang w:eastAsia="bg-BG" w:bidi="bg-BG"/>
              </w:rPr>
            </w:pPr>
            <w:r>
              <w:rPr>
                <w:bCs/>
                <w:color w:val="000000"/>
                <w:sz w:val="24"/>
                <w:szCs w:val="24"/>
                <w:lang w:eastAsia="bg-BG" w:bidi="bg-BG"/>
              </w:rPr>
              <w:t>Изследвано ли е къде са замърсяванията?</w:t>
            </w:r>
          </w:p>
          <w:p w14:paraId="7D484065"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52EAB39"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3614B91"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865AC65"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5627FABA"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3341CD98"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04CD1B70"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2D3E4F84"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34D96E3"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78B379E7"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853268C"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DFF0FB7"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2DBC8440"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5624FB2D"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2FFC13D"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69A355E5"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720F2CD8"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C1808F0"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3022ECE1"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0AA5AAAD"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2EE76E9" w14:textId="1377851C" w:rsidR="006E658E" w:rsidRDefault="006E658E" w:rsidP="006E658E">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Резултатите от цитираните анализи станали ли са част от интегрираните териториални стратегии (ИТС), на база, на които по-късно да се идентифицират интегрираните териториални инвестиции (ИТИ), защото остава усещането, че не сме стигнали до тази степен на подробност по отношение на финансирането и общата организация.</w:t>
            </w:r>
          </w:p>
          <w:p w14:paraId="348BBC02"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0132D3E"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6D1A5B41" w14:textId="6FB8654D" w:rsidR="006E658E" w:rsidRPr="002E607C" w:rsidRDefault="006E658E" w:rsidP="006E658E">
            <w:pPr>
              <w:pStyle w:val="BodyText"/>
              <w:tabs>
                <w:tab w:val="left" w:pos="1033"/>
              </w:tabs>
              <w:spacing w:line="240" w:lineRule="auto"/>
              <w:jc w:val="both"/>
              <w:rPr>
                <w:bCs/>
                <w:color w:val="000000"/>
                <w:sz w:val="24"/>
                <w:szCs w:val="24"/>
                <w:lang w:eastAsia="bg-BG" w:bidi="bg-BG"/>
              </w:rPr>
            </w:pPr>
          </w:p>
        </w:tc>
        <w:tc>
          <w:tcPr>
            <w:tcW w:w="4394" w:type="dxa"/>
          </w:tcPr>
          <w:p w14:paraId="5EBB836F" w14:textId="77777777" w:rsidR="006E658E" w:rsidRDefault="006E658E" w:rsidP="006E658E">
            <w:pPr>
              <w:jc w:val="both"/>
              <w:rPr>
                <w:rFonts w:ascii="Times New Roman" w:hAnsi="Times New Roman" w:cs="Times New Roman"/>
                <w:bCs/>
                <w:sz w:val="24"/>
                <w:szCs w:val="24"/>
              </w:rPr>
            </w:pPr>
            <w:r w:rsidRPr="001627E0">
              <w:rPr>
                <w:rFonts w:ascii="Times New Roman" w:hAnsi="Times New Roman" w:cs="Times New Roman"/>
                <w:bCs/>
                <w:sz w:val="24"/>
                <w:szCs w:val="24"/>
              </w:rPr>
              <w:lastRenderedPageBreak/>
              <w:t>Всички интервенции, планирани по програма „Околна среда“ 2021-2027 г. се базират на анализи в рамките на национални документи</w:t>
            </w:r>
            <w:r>
              <w:rPr>
                <w:rFonts w:ascii="Times New Roman" w:hAnsi="Times New Roman" w:cs="Times New Roman"/>
                <w:bCs/>
                <w:sz w:val="24"/>
                <w:szCs w:val="24"/>
              </w:rPr>
              <w:t xml:space="preserve"> - </w:t>
            </w:r>
            <w:r w:rsidRPr="001627E0">
              <w:rPr>
                <w:rFonts w:ascii="Times New Roman" w:hAnsi="Times New Roman" w:cs="Times New Roman"/>
                <w:bCs/>
                <w:sz w:val="24"/>
                <w:szCs w:val="24"/>
              </w:rPr>
              <w:t>инвестициите в секторите Води, Отпадъци, Биоразнообразие и Риск, стъпват на документи, които са тематично благоприятстващо условие за държавата</w:t>
            </w:r>
            <w:r>
              <w:rPr>
                <w:rFonts w:ascii="Times New Roman" w:hAnsi="Times New Roman" w:cs="Times New Roman"/>
                <w:bCs/>
                <w:sz w:val="24"/>
                <w:szCs w:val="24"/>
              </w:rPr>
              <w:t>-</w:t>
            </w:r>
            <w:r w:rsidRPr="001627E0">
              <w:rPr>
                <w:rFonts w:ascii="Times New Roman" w:hAnsi="Times New Roman" w:cs="Times New Roman"/>
                <w:bCs/>
                <w:sz w:val="24"/>
                <w:szCs w:val="24"/>
              </w:rPr>
              <w:t xml:space="preserve">членка. </w:t>
            </w:r>
            <w:r>
              <w:rPr>
                <w:rFonts w:ascii="Times New Roman" w:hAnsi="Times New Roman" w:cs="Times New Roman"/>
                <w:bCs/>
                <w:sz w:val="24"/>
                <w:szCs w:val="24"/>
              </w:rPr>
              <w:t>Такъв документ</w:t>
            </w:r>
            <w:r w:rsidRPr="001627E0">
              <w:rPr>
                <w:rFonts w:ascii="Times New Roman" w:hAnsi="Times New Roman" w:cs="Times New Roman"/>
                <w:bCs/>
                <w:sz w:val="24"/>
                <w:szCs w:val="24"/>
              </w:rPr>
              <w:t xml:space="preserve"> за </w:t>
            </w:r>
            <w:r w:rsidRPr="001627E0">
              <w:rPr>
                <w:rFonts w:ascii="Times New Roman" w:hAnsi="Times New Roman" w:cs="Times New Roman"/>
                <w:bCs/>
                <w:sz w:val="24"/>
                <w:szCs w:val="24"/>
              </w:rPr>
              <w:lastRenderedPageBreak/>
              <w:t xml:space="preserve">сектор Води </w:t>
            </w:r>
            <w:r>
              <w:rPr>
                <w:rFonts w:ascii="Times New Roman" w:hAnsi="Times New Roman" w:cs="Times New Roman"/>
                <w:bCs/>
                <w:sz w:val="24"/>
                <w:szCs w:val="24"/>
              </w:rPr>
              <w:t xml:space="preserve">е </w:t>
            </w:r>
            <w:r w:rsidRPr="001627E0">
              <w:rPr>
                <w:rFonts w:ascii="Times New Roman" w:hAnsi="Times New Roman" w:cs="Times New Roman"/>
                <w:bCs/>
                <w:sz w:val="24"/>
                <w:szCs w:val="24"/>
              </w:rPr>
              <w:t>Национален</w:t>
            </w:r>
            <w:r w:rsidRPr="00251539">
              <w:rPr>
                <w:rFonts w:ascii="Times New Roman" w:hAnsi="Times New Roman" w:cs="Times New Roman"/>
                <w:bCs/>
                <w:color w:val="C45911" w:themeColor="accent2" w:themeShade="BF"/>
                <w:sz w:val="24"/>
                <w:szCs w:val="24"/>
              </w:rPr>
              <w:t xml:space="preserve"> </w:t>
            </w:r>
            <w:r>
              <w:rPr>
                <w:rFonts w:ascii="Times New Roman" w:hAnsi="Times New Roman" w:cs="Times New Roman"/>
                <w:bCs/>
                <w:sz w:val="24"/>
                <w:szCs w:val="24"/>
              </w:rPr>
              <w:t xml:space="preserve">инвестиционен план за ВиК сектора, който конкретизира къде, какво и в какъв размер трябва да се финансира. Едва когато този документ е наличен, ще може да поиска възстановяване от Европейската комисия на инвестираните средствата в изпълнение на тези политики. По аналогичен начин са поставени Националният план за управление на отпадъците, Националният план за управление на риска от бедствия и </w:t>
            </w:r>
            <w:r w:rsidRPr="0063565F">
              <w:rPr>
                <w:rFonts w:ascii="Times New Roman" w:hAnsi="Times New Roman" w:cs="Times New Roman"/>
                <w:bCs/>
                <w:sz w:val="24"/>
                <w:szCs w:val="24"/>
              </w:rPr>
              <w:t>Националната рамка за приоритетни действия</w:t>
            </w:r>
            <w:r>
              <w:rPr>
                <w:rFonts w:ascii="Times New Roman" w:hAnsi="Times New Roman" w:cs="Times New Roman"/>
                <w:bCs/>
                <w:sz w:val="24"/>
                <w:szCs w:val="24"/>
              </w:rPr>
              <w:t xml:space="preserve"> по Натура 2000.</w:t>
            </w:r>
          </w:p>
          <w:p w14:paraId="5AAE2DE9" w14:textId="77777777" w:rsidR="006E658E" w:rsidRDefault="006E658E" w:rsidP="006E658E">
            <w:pPr>
              <w:jc w:val="both"/>
              <w:rPr>
                <w:rFonts w:ascii="Times New Roman" w:hAnsi="Times New Roman" w:cs="Times New Roman"/>
                <w:bCs/>
                <w:sz w:val="24"/>
                <w:szCs w:val="24"/>
              </w:rPr>
            </w:pPr>
          </w:p>
          <w:p w14:paraId="672435C2" w14:textId="77777777" w:rsidR="006E658E" w:rsidRDefault="006E658E" w:rsidP="006E658E">
            <w:pPr>
              <w:jc w:val="both"/>
              <w:rPr>
                <w:rFonts w:ascii="Times New Roman" w:hAnsi="Times New Roman" w:cs="Times New Roman"/>
                <w:bCs/>
                <w:sz w:val="24"/>
                <w:szCs w:val="24"/>
              </w:rPr>
            </w:pPr>
            <w:r>
              <w:rPr>
                <w:rFonts w:ascii="Times New Roman" w:hAnsi="Times New Roman" w:cs="Times New Roman"/>
                <w:bCs/>
                <w:sz w:val="24"/>
                <w:szCs w:val="24"/>
              </w:rPr>
              <w:t xml:space="preserve">ИТС се разработват на ниво </w:t>
            </w:r>
            <w:r>
              <w:rPr>
                <w:rFonts w:ascii="Times New Roman" w:hAnsi="Times New Roman" w:cs="Times New Roman"/>
                <w:bCs/>
                <w:sz w:val="24"/>
                <w:szCs w:val="24"/>
                <w:lang w:val="en-US"/>
              </w:rPr>
              <w:t>NUTS</w:t>
            </w:r>
            <w:r w:rsidRPr="0004383D">
              <w:rPr>
                <w:rFonts w:ascii="Times New Roman" w:hAnsi="Times New Roman" w:cs="Times New Roman"/>
                <w:bCs/>
                <w:sz w:val="24"/>
                <w:szCs w:val="24"/>
              </w:rPr>
              <w:t xml:space="preserve">2 – </w:t>
            </w:r>
            <w:r>
              <w:rPr>
                <w:rFonts w:ascii="Times New Roman" w:hAnsi="Times New Roman" w:cs="Times New Roman"/>
                <w:bCs/>
                <w:sz w:val="24"/>
                <w:szCs w:val="24"/>
              </w:rPr>
              <w:t xml:space="preserve">район за планиране. Те дават информация какви са проблемите и нуждите на съответния район. Не всички интервенции по програмите ще бъдат изпълнявани чрез ИТИ подхода. Има национални, хоризонтални интервенции и други – регионални, които ще се изпълняват чрез ИТИ. Разработването на ИТС попада в ресора на Министерство на регионалното развитие и благоустройството и Управляващият орган на ОПОС не е в позицията да се произнесе по документите, които освен това са в етап на разработка. </w:t>
            </w:r>
          </w:p>
          <w:p w14:paraId="272BB331" w14:textId="7570483F" w:rsidR="006E658E" w:rsidRPr="007A6BA4" w:rsidRDefault="006E658E" w:rsidP="006E658E">
            <w:pPr>
              <w:jc w:val="both"/>
              <w:rPr>
                <w:rFonts w:ascii="Times New Roman" w:hAnsi="Times New Roman" w:cs="Times New Roman"/>
                <w:bCs/>
                <w:sz w:val="24"/>
                <w:szCs w:val="24"/>
              </w:rPr>
            </w:pPr>
            <w:r>
              <w:rPr>
                <w:rFonts w:ascii="Times New Roman" w:hAnsi="Times New Roman" w:cs="Times New Roman"/>
                <w:bCs/>
                <w:sz w:val="24"/>
                <w:szCs w:val="24"/>
              </w:rPr>
              <w:t xml:space="preserve">Финансирайки </w:t>
            </w:r>
            <w:r w:rsidRPr="006E658E">
              <w:rPr>
                <w:rFonts w:ascii="Times New Roman" w:hAnsi="Times New Roman" w:cs="Times New Roman"/>
                <w:bCs/>
                <w:sz w:val="24"/>
                <w:szCs w:val="24"/>
              </w:rPr>
              <w:t>мерки чрез подхода ИТИ, УО на Програмата ще съобразява националните ангажименти в сектор “Околна среда”.</w:t>
            </w:r>
          </w:p>
        </w:tc>
      </w:tr>
      <w:tr w:rsidR="001A1D2C" w:rsidRPr="00D3726A" w14:paraId="18B01034" w14:textId="77777777" w:rsidTr="003E697F">
        <w:tc>
          <w:tcPr>
            <w:tcW w:w="709" w:type="dxa"/>
          </w:tcPr>
          <w:p w14:paraId="4A2A4649" w14:textId="29F3E4D2"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268" w:type="dxa"/>
          </w:tcPr>
          <w:p w14:paraId="1DA09C0F" w14:textId="77777777"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Апостол Пенков</w:t>
            </w:r>
          </w:p>
          <w:p w14:paraId="61945E7C" w14:textId="77777777" w:rsidR="001A1D2C" w:rsidRDefault="001A1D2C" w:rsidP="001A1D2C">
            <w:pPr>
              <w:rPr>
                <w:rFonts w:ascii="Times New Roman" w:hAnsi="Times New Roman" w:cs="Times New Roman"/>
                <w:color w:val="000000"/>
                <w:sz w:val="24"/>
                <w:szCs w:val="24"/>
              </w:rPr>
            </w:pPr>
          </w:p>
          <w:p w14:paraId="52D74E16" w14:textId="5B8BEFF3"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НПО „Обществен център по околна среда и устойчиво развитие“ - Варна</w:t>
            </w:r>
          </w:p>
        </w:tc>
        <w:tc>
          <w:tcPr>
            <w:tcW w:w="7960" w:type="dxa"/>
            <w:shd w:val="clear" w:color="auto" w:fill="auto"/>
          </w:tcPr>
          <w:p w14:paraId="1E4814EF" w14:textId="4B5BC68D" w:rsidR="001A1D2C" w:rsidRPr="00CF37CF" w:rsidRDefault="001A1D2C" w:rsidP="001A1D2C">
            <w:pPr>
              <w:pStyle w:val="BodyText"/>
              <w:tabs>
                <w:tab w:val="left" w:pos="1033"/>
              </w:tabs>
              <w:spacing w:line="240" w:lineRule="auto"/>
              <w:jc w:val="both"/>
              <w:rPr>
                <w:bCs/>
                <w:i/>
                <w:iCs/>
                <w:color w:val="000000"/>
                <w:sz w:val="24"/>
                <w:szCs w:val="24"/>
                <w:lang w:eastAsia="bg-BG" w:bidi="bg-BG"/>
              </w:rPr>
            </w:pPr>
            <w:r>
              <w:rPr>
                <w:bCs/>
                <w:color w:val="000000"/>
                <w:sz w:val="24"/>
                <w:szCs w:val="24"/>
                <w:lang w:eastAsia="bg-BG" w:bidi="bg-BG"/>
              </w:rPr>
              <w:t xml:space="preserve">Има ли достъпни описание на изискуемите документи и график за кандидатстване по дейност Повишаване на осведомеността в рамките на </w:t>
            </w:r>
            <w:r w:rsidRPr="00EC429A">
              <w:rPr>
                <w:b/>
                <w:color w:val="000000"/>
                <w:sz w:val="24"/>
                <w:szCs w:val="24"/>
                <w:lang w:eastAsia="bg-BG" w:bidi="bg-BG"/>
              </w:rPr>
              <w:t>приоритет 2 – Отпадъци</w:t>
            </w:r>
            <w:r>
              <w:rPr>
                <w:bCs/>
                <w:color w:val="000000"/>
                <w:sz w:val="24"/>
                <w:szCs w:val="24"/>
                <w:lang w:eastAsia="bg-BG" w:bidi="bg-BG"/>
              </w:rPr>
              <w:t xml:space="preserve"> </w:t>
            </w:r>
            <w:r w:rsidRPr="00CF37CF">
              <w:rPr>
                <w:bCs/>
                <w:i/>
                <w:iCs/>
                <w:color w:val="000000"/>
                <w:sz w:val="24"/>
                <w:szCs w:val="24"/>
                <w:lang w:eastAsia="bg-BG" w:bidi="bg-BG"/>
              </w:rPr>
              <w:t>(</w:t>
            </w:r>
            <w:r w:rsidRPr="00CF37CF">
              <w:rPr>
                <w:bCs/>
                <w:i/>
                <w:iCs/>
                <w:sz w:val="24"/>
                <w:szCs w:val="24"/>
              </w:rPr>
              <w:t>относно практиките и поведението във връзка с устойчивото потребление, кръговата икономика, мониторинга на отпадъците както и информационни и разяснителни кампании за заинтересованите страни и населението</w:t>
            </w:r>
            <w:r w:rsidRPr="00CF37CF">
              <w:rPr>
                <w:bCs/>
                <w:i/>
                <w:iCs/>
                <w:color w:val="000000"/>
                <w:sz w:val="24"/>
                <w:szCs w:val="24"/>
                <w:lang w:eastAsia="bg-BG" w:bidi="bg-BG"/>
              </w:rPr>
              <w:t xml:space="preserve"> – бел. ред.)?</w:t>
            </w:r>
          </w:p>
          <w:p w14:paraId="28DB8D97" w14:textId="55FBE198" w:rsidR="001A1D2C" w:rsidRDefault="001A1D2C" w:rsidP="001A1D2C">
            <w:pPr>
              <w:pStyle w:val="BodyText"/>
              <w:tabs>
                <w:tab w:val="left" w:pos="1033"/>
              </w:tabs>
              <w:spacing w:line="240" w:lineRule="auto"/>
              <w:jc w:val="both"/>
              <w:rPr>
                <w:bCs/>
                <w:color w:val="000000"/>
                <w:sz w:val="24"/>
                <w:szCs w:val="24"/>
                <w:lang w:eastAsia="bg-BG" w:bidi="bg-BG"/>
              </w:rPr>
            </w:pPr>
          </w:p>
        </w:tc>
        <w:tc>
          <w:tcPr>
            <w:tcW w:w="4394" w:type="dxa"/>
          </w:tcPr>
          <w:p w14:paraId="5EC37AAE" w14:textId="77777777" w:rsid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t>Тези документи ще бъдат представени и съгласувани</w:t>
            </w:r>
            <w:r>
              <w:rPr>
                <w:rFonts w:ascii="Times New Roman" w:hAnsi="Times New Roman" w:cs="Times New Roman"/>
                <w:bCs/>
                <w:sz w:val="24"/>
                <w:szCs w:val="24"/>
                <w:lang w:val="en-US"/>
              </w:rPr>
              <w:t xml:space="preserve"> </w:t>
            </w:r>
            <w:r>
              <w:rPr>
                <w:rFonts w:ascii="Times New Roman" w:hAnsi="Times New Roman" w:cs="Times New Roman"/>
                <w:bCs/>
                <w:sz w:val="24"/>
                <w:szCs w:val="24"/>
              </w:rPr>
              <w:t>едва след одобрение на европейските регламенти, програма „Околна среда“ 2021-2027 г. и сформиране на Комитет за наблюдение на Програмата.</w:t>
            </w:r>
          </w:p>
          <w:p w14:paraId="0C46469F" w14:textId="77777777" w:rsidR="001A1D2C"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rPr>
              <w:t>Документите ще са достъпни както на страницата на програмата, така и в публичния модул на ИСУН (Информационна система за управление и наблюдение:</w:t>
            </w:r>
          </w:p>
          <w:p w14:paraId="7F0FFA54" w14:textId="77777777" w:rsidR="001A1D2C" w:rsidRDefault="00831D1B" w:rsidP="001A1D2C">
            <w:pPr>
              <w:jc w:val="both"/>
              <w:rPr>
                <w:rFonts w:ascii="Times New Roman" w:hAnsi="Times New Roman" w:cs="Times New Roman"/>
                <w:bCs/>
                <w:sz w:val="24"/>
                <w:szCs w:val="24"/>
              </w:rPr>
            </w:pPr>
            <w:hyperlink r:id="rId13" w:history="1">
              <w:r w:rsidR="001A1D2C" w:rsidRPr="00B56752">
                <w:rPr>
                  <w:rStyle w:val="Hyperlink"/>
                  <w:rFonts w:ascii="Times New Roman" w:hAnsi="Times New Roman" w:cs="Times New Roman"/>
                  <w:bCs/>
                  <w:sz w:val="24"/>
                  <w:szCs w:val="24"/>
                </w:rPr>
                <w:t>http://umispublic.government.bg/opOPProfileFinExec.aspx?op=7</w:t>
              </w:r>
            </w:hyperlink>
            <w:r w:rsidR="001A1D2C">
              <w:rPr>
                <w:rFonts w:ascii="Times New Roman" w:hAnsi="Times New Roman" w:cs="Times New Roman"/>
                <w:bCs/>
                <w:sz w:val="24"/>
                <w:szCs w:val="24"/>
              </w:rPr>
              <w:t xml:space="preserve">), </w:t>
            </w:r>
            <w:r w:rsidR="001A1D2C" w:rsidRPr="009806F2">
              <w:rPr>
                <w:rFonts w:ascii="Times New Roman" w:hAnsi="Times New Roman" w:cs="Times New Roman"/>
                <w:bCs/>
                <w:sz w:val="24"/>
                <w:szCs w:val="24"/>
              </w:rPr>
              <w:t>където п</w:t>
            </w:r>
            <w:r w:rsidR="001A1D2C" w:rsidRPr="009806F2">
              <w:rPr>
                <w:rFonts w:ascii="Times New Roman" w:hAnsi="Times New Roman" w:cs="Times New Roman"/>
                <w:sz w:val="24"/>
                <w:szCs w:val="24"/>
              </w:rPr>
              <w:t>роцедурите се публикуват за обществено обсъждане преди да бъдат официално обявени</w:t>
            </w:r>
            <w:r w:rsidR="001A1D2C" w:rsidRPr="009806F2">
              <w:rPr>
                <w:rFonts w:ascii="Times New Roman" w:hAnsi="Times New Roman" w:cs="Times New Roman"/>
                <w:bCs/>
                <w:sz w:val="24"/>
                <w:szCs w:val="24"/>
              </w:rPr>
              <w:t>.</w:t>
            </w:r>
          </w:p>
          <w:p w14:paraId="09D3AD67" w14:textId="23036E0A" w:rsidR="001A1D2C" w:rsidRPr="001627E0"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rPr>
              <w:t>В допълнение, на страницата на Програмата се публикува Индикативна годишна работна програма, в която се залага графикът на обявяване на процедури за съответната година.</w:t>
            </w:r>
          </w:p>
        </w:tc>
      </w:tr>
      <w:tr w:rsidR="001A1D2C" w:rsidRPr="00D3726A" w14:paraId="54CF6D3A" w14:textId="77777777" w:rsidTr="003E697F">
        <w:tc>
          <w:tcPr>
            <w:tcW w:w="709" w:type="dxa"/>
          </w:tcPr>
          <w:p w14:paraId="1EACFC9D" w14:textId="264F9E05"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t>9.</w:t>
            </w:r>
          </w:p>
        </w:tc>
        <w:tc>
          <w:tcPr>
            <w:tcW w:w="2268" w:type="dxa"/>
          </w:tcPr>
          <w:p w14:paraId="2E459C46" w14:textId="3F88E96B" w:rsidR="001A1D2C" w:rsidRDefault="001A1D2C" w:rsidP="001A1D2C">
            <w:pPr>
              <w:rPr>
                <w:rFonts w:ascii="Times New Roman" w:hAnsi="Times New Roman" w:cs="Times New Roman"/>
                <w:color w:val="000000"/>
                <w:sz w:val="24"/>
                <w:szCs w:val="24"/>
              </w:rPr>
            </w:pPr>
            <w:bookmarkStart w:id="5" w:name="_Hlk66876632"/>
            <w:r>
              <w:rPr>
                <w:rFonts w:ascii="Times New Roman" w:hAnsi="Times New Roman" w:cs="Times New Roman"/>
                <w:color w:val="000000"/>
                <w:sz w:val="24"/>
                <w:szCs w:val="24"/>
              </w:rPr>
              <w:t>Стефан Шилев</w:t>
            </w:r>
          </w:p>
          <w:p w14:paraId="026F8C5C" w14:textId="0C685AC6" w:rsidR="001A1D2C" w:rsidRDefault="001A1D2C" w:rsidP="001A1D2C">
            <w:pPr>
              <w:rPr>
                <w:rFonts w:ascii="Times New Roman" w:hAnsi="Times New Roman" w:cs="Times New Roman"/>
                <w:color w:val="000000"/>
                <w:sz w:val="24"/>
                <w:szCs w:val="24"/>
              </w:rPr>
            </w:pPr>
          </w:p>
          <w:p w14:paraId="6D63E18F" w14:textId="1F5970FF" w:rsidR="001A1D2C" w:rsidRPr="0034086E" w:rsidRDefault="001A1D2C" w:rsidP="001A1D2C">
            <w:pPr>
              <w:rPr>
                <w:rFonts w:ascii="Times New Roman" w:hAnsi="Times New Roman" w:cs="Times New Roman"/>
                <w:color w:val="000000"/>
                <w:sz w:val="24"/>
                <w:szCs w:val="24"/>
              </w:rPr>
            </w:pPr>
            <w:r w:rsidRPr="00B02A7C">
              <w:rPr>
                <w:rFonts w:ascii="Times New Roman" w:hAnsi="Times New Roman" w:cs="Times New Roman"/>
                <w:color w:val="000000"/>
                <w:sz w:val="24"/>
                <w:szCs w:val="24"/>
              </w:rPr>
              <w:t>Аграрен университет-Пловдив</w:t>
            </w:r>
            <w:bookmarkEnd w:id="5"/>
          </w:p>
        </w:tc>
        <w:tc>
          <w:tcPr>
            <w:tcW w:w="7960" w:type="dxa"/>
            <w:shd w:val="clear" w:color="auto" w:fill="auto"/>
          </w:tcPr>
          <w:p w14:paraId="4CFEC03F" w14:textId="521A2B38" w:rsidR="001A1D2C" w:rsidRDefault="001A1D2C" w:rsidP="001A1D2C">
            <w:pPr>
              <w:pStyle w:val="BodyText"/>
              <w:tabs>
                <w:tab w:val="left" w:pos="1033"/>
              </w:tabs>
              <w:spacing w:line="240" w:lineRule="auto"/>
              <w:jc w:val="both"/>
              <w:rPr>
                <w:bCs/>
                <w:color w:val="000000"/>
                <w:sz w:val="24"/>
                <w:szCs w:val="24"/>
                <w:lang w:eastAsia="bg-BG" w:bidi="bg-BG"/>
              </w:rPr>
            </w:pPr>
            <w:bookmarkStart w:id="6" w:name="_Hlk66876666"/>
            <w:r>
              <w:rPr>
                <w:bCs/>
                <w:color w:val="000000"/>
                <w:sz w:val="24"/>
                <w:szCs w:val="24"/>
                <w:lang w:eastAsia="bg-BG" w:bidi="bg-BG"/>
              </w:rPr>
              <w:t xml:space="preserve">Във връзка с приоритета за адаптацията към </w:t>
            </w:r>
            <w:r w:rsidRPr="00EC429A">
              <w:rPr>
                <w:b/>
                <w:color w:val="000000"/>
                <w:sz w:val="24"/>
                <w:szCs w:val="24"/>
                <w:lang w:eastAsia="bg-BG" w:bidi="bg-BG"/>
              </w:rPr>
              <w:t>изменение на климата</w:t>
            </w:r>
            <w:r>
              <w:rPr>
                <w:b/>
                <w:color w:val="000000"/>
                <w:sz w:val="24"/>
                <w:szCs w:val="24"/>
                <w:lang w:eastAsia="bg-BG" w:bidi="bg-BG"/>
              </w:rPr>
              <w:t>,</w:t>
            </w:r>
            <w:r>
              <w:rPr>
                <w:bCs/>
                <w:color w:val="000000"/>
                <w:sz w:val="24"/>
                <w:szCs w:val="24"/>
                <w:lang w:eastAsia="bg-BG" w:bidi="bg-BG"/>
              </w:rPr>
              <w:t xml:space="preserve"> налични ли са по Програмата мерки за </w:t>
            </w:r>
            <w:r w:rsidRPr="008B6937">
              <w:rPr>
                <w:b/>
                <w:color w:val="000000"/>
                <w:sz w:val="24"/>
                <w:szCs w:val="24"/>
                <w:lang w:eastAsia="bg-BG" w:bidi="bg-BG"/>
              </w:rPr>
              <w:t>повторно използване на водите в земеделието</w:t>
            </w:r>
            <w:r>
              <w:rPr>
                <w:bCs/>
                <w:color w:val="000000"/>
                <w:sz w:val="24"/>
                <w:szCs w:val="24"/>
                <w:lang w:eastAsia="bg-BG" w:bidi="bg-BG"/>
              </w:rPr>
              <w:t>? Ако няма такива – каква е причината?</w:t>
            </w:r>
          </w:p>
          <w:p w14:paraId="5D26BEBB" w14:textId="77777777" w:rsidR="001A1D2C" w:rsidRDefault="001A1D2C" w:rsidP="001A1D2C">
            <w:pPr>
              <w:pStyle w:val="BodyText"/>
              <w:tabs>
                <w:tab w:val="left" w:pos="1033"/>
              </w:tabs>
              <w:spacing w:line="240" w:lineRule="auto"/>
              <w:jc w:val="both"/>
              <w:rPr>
                <w:bCs/>
                <w:color w:val="000000"/>
                <w:sz w:val="24"/>
                <w:szCs w:val="24"/>
                <w:lang w:eastAsia="bg-BG" w:bidi="bg-BG"/>
              </w:rPr>
            </w:pPr>
          </w:p>
          <w:p w14:paraId="09CBCEBC" w14:textId="77777777" w:rsidR="001A1D2C" w:rsidRDefault="001A1D2C" w:rsidP="001A1D2C">
            <w:pPr>
              <w:pStyle w:val="BodyText"/>
              <w:tabs>
                <w:tab w:val="left" w:pos="1033"/>
              </w:tabs>
              <w:spacing w:line="240" w:lineRule="auto"/>
              <w:jc w:val="both"/>
              <w:rPr>
                <w:bCs/>
                <w:color w:val="000000"/>
                <w:sz w:val="24"/>
                <w:szCs w:val="24"/>
                <w:lang w:eastAsia="bg-BG" w:bidi="bg-BG"/>
              </w:rPr>
            </w:pPr>
          </w:p>
          <w:p w14:paraId="64C51843" w14:textId="77777777" w:rsidR="001A1D2C" w:rsidRDefault="001A1D2C" w:rsidP="001A1D2C">
            <w:pPr>
              <w:pStyle w:val="BodyText"/>
              <w:tabs>
                <w:tab w:val="left" w:pos="1033"/>
              </w:tabs>
              <w:spacing w:line="240" w:lineRule="auto"/>
              <w:jc w:val="both"/>
              <w:rPr>
                <w:bCs/>
                <w:color w:val="000000"/>
                <w:sz w:val="24"/>
                <w:szCs w:val="24"/>
                <w:lang w:eastAsia="bg-BG" w:bidi="bg-BG"/>
              </w:rPr>
            </w:pPr>
          </w:p>
          <w:p w14:paraId="2BD11294" w14:textId="0D0973B9" w:rsidR="001A1D2C" w:rsidRDefault="001A1D2C" w:rsidP="001A1D2C">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 xml:space="preserve">Макар отпадъчната вода да се използва в земеделието, </w:t>
            </w:r>
            <w:r w:rsidRPr="00F261D9">
              <w:rPr>
                <w:bCs/>
                <w:color w:val="000000"/>
                <w:sz w:val="24"/>
                <w:szCs w:val="24"/>
                <w:lang w:eastAsia="bg-BG" w:bidi="bg-BG"/>
              </w:rPr>
              <w:t>тя бива зауствана във воден обект, което пряко касае ресора на Министерство на околната среда и водите, а повторната ѝ употреба е в контекста на „кръговата икономика“</w:t>
            </w:r>
            <w:r>
              <w:rPr>
                <w:bCs/>
                <w:color w:val="000000"/>
                <w:sz w:val="24"/>
                <w:szCs w:val="24"/>
                <w:lang w:eastAsia="bg-BG" w:bidi="bg-BG"/>
              </w:rPr>
              <w:t>.</w:t>
            </w:r>
            <w:bookmarkEnd w:id="6"/>
          </w:p>
        </w:tc>
        <w:tc>
          <w:tcPr>
            <w:tcW w:w="4394" w:type="dxa"/>
          </w:tcPr>
          <w:p w14:paraId="408E5C45" w14:textId="77777777" w:rsidR="001A1D2C" w:rsidRDefault="001A1D2C" w:rsidP="001A1D2C">
            <w:pPr>
              <w:jc w:val="both"/>
              <w:rPr>
                <w:rFonts w:ascii="Times New Roman" w:hAnsi="Times New Roman" w:cs="Times New Roman"/>
                <w:bCs/>
                <w:sz w:val="24"/>
                <w:szCs w:val="24"/>
              </w:rPr>
            </w:pPr>
            <w:bookmarkStart w:id="7" w:name="_Hlk66876689"/>
            <w:r>
              <w:rPr>
                <w:rFonts w:ascii="Times New Roman" w:hAnsi="Times New Roman" w:cs="Times New Roman"/>
                <w:bCs/>
                <w:sz w:val="24"/>
                <w:szCs w:val="24"/>
              </w:rPr>
              <w:t>Съгласно демаркацията между отделните програми, Европейският земеделски фонд финансира мерките, свързани със земеделие, т. е. тези дейности не попадат в обхвата на ПОС 2021-2027 г.</w:t>
            </w:r>
          </w:p>
          <w:p w14:paraId="3076A54C" w14:textId="77777777" w:rsidR="001A1D2C"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rPr>
              <w:t xml:space="preserve">Относно проектите, свързани с изграждане на ВиК инфраструктура, регионалните прединвестиционни проучвания обследват всички възможности и налични технологии и при изграждането на обекти </w:t>
            </w:r>
            <w:r w:rsidRPr="00F261D9">
              <w:rPr>
                <w:rFonts w:ascii="Times New Roman" w:eastAsia="Calibri" w:hAnsi="Times New Roman" w:cs="Times New Roman"/>
                <w:bCs/>
                <w:sz w:val="24"/>
                <w:szCs w:val="24"/>
              </w:rPr>
              <w:t xml:space="preserve">и инфраструктура се отчитат </w:t>
            </w:r>
            <w:r>
              <w:rPr>
                <w:rFonts w:ascii="Times New Roman" w:eastAsia="Calibri" w:hAnsi="Times New Roman" w:cs="Times New Roman"/>
                <w:bCs/>
                <w:sz w:val="24"/>
                <w:szCs w:val="24"/>
                <w:lang w:val="en-US"/>
              </w:rPr>
              <w:t xml:space="preserve">и </w:t>
            </w:r>
            <w:r w:rsidRPr="00F261D9">
              <w:rPr>
                <w:rFonts w:ascii="Times New Roman" w:eastAsia="Calibri" w:hAnsi="Times New Roman" w:cs="Times New Roman"/>
                <w:bCs/>
                <w:sz w:val="24"/>
                <w:szCs w:val="24"/>
              </w:rPr>
              <w:t>повдигнатите въпроси</w:t>
            </w:r>
            <w:r>
              <w:rPr>
                <w:rFonts w:ascii="Times New Roman" w:hAnsi="Times New Roman" w:cs="Times New Roman"/>
                <w:bCs/>
                <w:sz w:val="24"/>
                <w:szCs w:val="24"/>
              </w:rPr>
              <w:t>.</w:t>
            </w:r>
            <w:bookmarkEnd w:id="7"/>
          </w:p>
          <w:p w14:paraId="0EC27356" w14:textId="52B03378" w:rsidR="001A1D2C" w:rsidRPr="00851D37"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lang w:val="en-US"/>
              </w:rPr>
              <w:t xml:space="preserve">В </w:t>
            </w:r>
            <w:r w:rsidRPr="001A1D2C">
              <w:rPr>
                <w:rFonts w:ascii="Times New Roman" w:hAnsi="Times New Roman" w:cs="Times New Roman"/>
                <w:bCs/>
                <w:sz w:val="24"/>
                <w:szCs w:val="24"/>
              </w:rPr>
              <w:t xml:space="preserve">допълнение, следва да се има </w:t>
            </w:r>
            <w:r w:rsidRPr="001A1D2C">
              <w:rPr>
                <w:rFonts w:ascii="Times New Roman" w:hAnsi="Times New Roman" w:cs="Times New Roman"/>
                <w:bCs/>
                <w:sz w:val="24"/>
                <w:szCs w:val="24"/>
              </w:rPr>
              <w:lastRenderedPageBreak/>
              <w:t>предвид, че няма нормативно ограничение РПИП да предлагат</w:t>
            </w:r>
            <w:r w:rsidRPr="00851D37">
              <w:rPr>
                <w:rFonts w:ascii="Times New Roman" w:hAnsi="Times New Roman" w:cs="Times New Roman"/>
                <w:bCs/>
                <w:sz w:val="24"/>
                <w:szCs w:val="24"/>
              </w:rPr>
              <w:t xml:space="preserve"> там където е икономически поносимо и целесъобразно и решения за повторно ползване на пречистените води от ПСОВ.</w:t>
            </w:r>
          </w:p>
        </w:tc>
      </w:tr>
      <w:tr w:rsidR="001A1D2C" w:rsidRPr="00D3726A" w14:paraId="66B4604F" w14:textId="77777777" w:rsidTr="003E697F">
        <w:tc>
          <w:tcPr>
            <w:tcW w:w="709" w:type="dxa"/>
          </w:tcPr>
          <w:p w14:paraId="2D3C0CF0" w14:textId="11395070"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268" w:type="dxa"/>
          </w:tcPr>
          <w:p w14:paraId="58CD4005" w14:textId="77777777"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Апостол </w:t>
            </w:r>
            <w:bookmarkStart w:id="8" w:name="_Hlk66878451"/>
            <w:r>
              <w:rPr>
                <w:rFonts w:ascii="Times New Roman" w:hAnsi="Times New Roman" w:cs="Times New Roman"/>
                <w:color w:val="000000"/>
                <w:sz w:val="24"/>
                <w:szCs w:val="24"/>
              </w:rPr>
              <w:t>Пенков</w:t>
            </w:r>
            <w:bookmarkEnd w:id="8"/>
          </w:p>
          <w:p w14:paraId="551DDD7A" w14:textId="77777777" w:rsidR="001A1D2C" w:rsidRDefault="001A1D2C" w:rsidP="001A1D2C">
            <w:pPr>
              <w:rPr>
                <w:rFonts w:ascii="Times New Roman" w:hAnsi="Times New Roman" w:cs="Times New Roman"/>
                <w:color w:val="000000"/>
                <w:sz w:val="24"/>
                <w:szCs w:val="24"/>
              </w:rPr>
            </w:pPr>
          </w:p>
          <w:p w14:paraId="73C91F9D" w14:textId="75C66D1B"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НПО „Обществен център по околна среда и устойчиво развитие“ - Варна</w:t>
            </w:r>
          </w:p>
        </w:tc>
        <w:tc>
          <w:tcPr>
            <w:tcW w:w="7960" w:type="dxa"/>
            <w:shd w:val="clear" w:color="auto" w:fill="auto"/>
          </w:tcPr>
          <w:p w14:paraId="05CEAE5E" w14:textId="7748ED7E" w:rsidR="001A1D2C" w:rsidRDefault="001A1D2C" w:rsidP="001A1D2C">
            <w:pPr>
              <w:pStyle w:val="BodyText"/>
              <w:tabs>
                <w:tab w:val="left" w:pos="1033"/>
              </w:tabs>
              <w:spacing w:line="240" w:lineRule="auto"/>
              <w:jc w:val="both"/>
              <w:rPr>
                <w:bCs/>
                <w:color w:val="000000"/>
                <w:sz w:val="24"/>
                <w:szCs w:val="24"/>
                <w:lang w:eastAsia="bg-BG" w:bidi="bg-BG"/>
              </w:rPr>
            </w:pPr>
            <w:bookmarkStart w:id="9" w:name="_Hlk66878470"/>
            <w:r>
              <w:rPr>
                <w:bCs/>
                <w:color w:val="000000"/>
                <w:sz w:val="24"/>
                <w:szCs w:val="24"/>
                <w:lang w:eastAsia="bg-BG" w:bidi="bg-BG"/>
              </w:rPr>
              <w:t>Енергийната ефективност попада ли в обхвата на ПОС 2021-2027 г.?</w:t>
            </w:r>
            <w:bookmarkEnd w:id="9"/>
          </w:p>
        </w:tc>
        <w:tc>
          <w:tcPr>
            <w:tcW w:w="4394" w:type="dxa"/>
          </w:tcPr>
          <w:p w14:paraId="65040804" w14:textId="60356A5D" w:rsidR="001A1D2C" w:rsidRPr="00953F4F" w:rsidRDefault="001A1D2C" w:rsidP="001A1D2C">
            <w:pPr>
              <w:jc w:val="both"/>
              <w:rPr>
                <w:rFonts w:ascii="Times New Roman" w:hAnsi="Times New Roman" w:cs="Times New Roman"/>
                <w:bCs/>
                <w:sz w:val="24"/>
                <w:szCs w:val="24"/>
              </w:rPr>
            </w:pPr>
            <w:bookmarkStart w:id="10" w:name="_Hlk66878537"/>
            <w:r w:rsidRPr="00953F4F">
              <w:rPr>
                <w:rFonts w:ascii="Times New Roman" w:hAnsi="Times New Roman" w:cs="Times New Roman"/>
                <w:bCs/>
                <w:color w:val="000000"/>
                <w:sz w:val="24"/>
                <w:szCs w:val="24"/>
                <w:lang w:eastAsia="bg-BG" w:bidi="bg-BG"/>
              </w:rPr>
              <w:t>Енергийната ефективност</w:t>
            </w:r>
            <w:r>
              <w:rPr>
                <w:rFonts w:ascii="Times New Roman" w:hAnsi="Times New Roman" w:cs="Times New Roman"/>
                <w:bCs/>
                <w:color w:val="000000"/>
                <w:sz w:val="24"/>
                <w:szCs w:val="24"/>
                <w:lang w:eastAsia="bg-BG" w:bidi="bg-BG"/>
              </w:rPr>
              <w:t xml:space="preserve"> се финансира по линия на други източници </w:t>
            </w:r>
            <w:r>
              <w:rPr>
                <w:rFonts w:ascii="Times New Roman" w:hAnsi="Times New Roman" w:cs="Times New Roman"/>
                <w:bCs/>
                <w:color w:val="000000"/>
                <w:sz w:val="24"/>
                <w:szCs w:val="24"/>
                <w:lang w:val="en-US" w:eastAsia="bg-BG" w:bidi="bg-BG"/>
              </w:rPr>
              <w:t xml:space="preserve">– </w:t>
            </w:r>
            <w:r w:rsidRPr="00FE1A7D">
              <w:rPr>
                <w:rFonts w:ascii="Times New Roman" w:hAnsi="Times New Roman" w:cs="Times New Roman"/>
                <w:bCs/>
                <w:color w:val="000000"/>
                <w:sz w:val="24"/>
                <w:szCs w:val="24"/>
                <w:lang w:eastAsia="bg-BG" w:bidi="bg-BG"/>
              </w:rPr>
              <w:t>Програмата за развитие на регионите, Плана за възстановяване и устойчивост и др.</w:t>
            </w:r>
            <w:r>
              <w:rPr>
                <w:rFonts w:ascii="Times New Roman" w:hAnsi="Times New Roman" w:cs="Times New Roman"/>
                <w:bCs/>
                <w:color w:val="000000"/>
                <w:sz w:val="24"/>
                <w:szCs w:val="24"/>
                <w:lang w:val="en-US" w:eastAsia="bg-BG" w:bidi="bg-BG"/>
              </w:rPr>
              <w:t xml:space="preserve">, </w:t>
            </w:r>
            <w:r>
              <w:rPr>
                <w:rFonts w:ascii="Times New Roman" w:hAnsi="Times New Roman" w:cs="Times New Roman"/>
                <w:bCs/>
                <w:color w:val="000000"/>
                <w:sz w:val="24"/>
                <w:szCs w:val="24"/>
                <w:lang w:eastAsia="bg-BG" w:bidi="bg-BG"/>
              </w:rPr>
              <w:t>и по тази причина е изключена от обхвата на ПОС, с цел избягване на двойно финансиране.</w:t>
            </w:r>
            <w:bookmarkEnd w:id="10"/>
          </w:p>
        </w:tc>
      </w:tr>
      <w:tr w:rsidR="001A1D2C" w:rsidRPr="00D3726A" w14:paraId="5AB75A62" w14:textId="77777777" w:rsidTr="009E426B">
        <w:tc>
          <w:tcPr>
            <w:tcW w:w="15331" w:type="dxa"/>
            <w:gridSpan w:val="4"/>
            <w:shd w:val="clear" w:color="auto" w:fill="D9D9D9" w:themeFill="background1" w:themeFillShade="D9"/>
          </w:tcPr>
          <w:p w14:paraId="0E419DB2" w14:textId="77777777" w:rsidR="001A1D2C" w:rsidRPr="002F497D" w:rsidRDefault="001A1D2C" w:rsidP="001A1D2C">
            <w:pPr>
              <w:jc w:val="center"/>
              <w:rPr>
                <w:rFonts w:ascii="Times New Roman" w:hAnsi="Times New Roman" w:cs="Times New Roman"/>
                <w:bCs/>
                <w:sz w:val="10"/>
                <w:szCs w:val="10"/>
              </w:rPr>
            </w:pPr>
          </w:p>
          <w:p w14:paraId="064B60C0" w14:textId="450DC915" w:rsidR="001A1D2C" w:rsidRDefault="001A1D2C" w:rsidP="001A1D2C">
            <w:pPr>
              <w:jc w:val="center"/>
              <w:rPr>
                <w:rFonts w:ascii="Times New Roman" w:hAnsi="Times New Roman" w:cs="Times New Roman"/>
                <w:bCs/>
                <w:sz w:val="28"/>
                <w:szCs w:val="28"/>
              </w:rPr>
            </w:pPr>
            <w:r w:rsidRPr="007F3AD0">
              <w:rPr>
                <w:rFonts w:ascii="Times New Roman" w:hAnsi="Times New Roman" w:cs="Times New Roman"/>
                <w:bCs/>
                <w:sz w:val="28"/>
                <w:szCs w:val="28"/>
              </w:rPr>
              <w:t>Коментари в рамките на Общественото обсъждане</w:t>
            </w:r>
            <w:r>
              <w:rPr>
                <w:rFonts w:ascii="Times New Roman" w:hAnsi="Times New Roman" w:cs="Times New Roman"/>
                <w:bCs/>
                <w:sz w:val="28"/>
                <w:szCs w:val="28"/>
              </w:rPr>
              <w:t>, получени</w:t>
            </w:r>
            <w:r w:rsidRPr="007F3AD0">
              <w:rPr>
                <w:rFonts w:ascii="Times New Roman" w:hAnsi="Times New Roman" w:cs="Times New Roman"/>
                <w:bCs/>
                <w:sz w:val="28"/>
                <w:szCs w:val="28"/>
              </w:rPr>
              <w:t xml:space="preserve"> </w:t>
            </w:r>
            <w:r>
              <w:rPr>
                <w:rFonts w:ascii="Times New Roman" w:hAnsi="Times New Roman" w:cs="Times New Roman"/>
                <w:bCs/>
                <w:sz w:val="28"/>
                <w:szCs w:val="28"/>
              </w:rPr>
              <w:t>в периода</w:t>
            </w:r>
            <w:r w:rsidRPr="007F3AD0">
              <w:rPr>
                <w:rFonts w:ascii="Times New Roman" w:hAnsi="Times New Roman" w:cs="Times New Roman"/>
                <w:bCs/>
                <w:sz w:val="28"/>
                <w:szCs w:val="28"/>
              </w:rPr>
              <w:t xml:space="preserve"> 12.3.2021 </w:t>
            </w:r>
            <w:r>
              <w:rPr>
                <w:rFonts w:ascii="Times New Roman" w:hAnsi="Times New Roman" w:cs="Times New Roman"/>
                <w:bCs/>
                <w:sz w:val="28"/>
                <w:szCs w:val="28"/>
              </w:rPr>
              <w:t xml:space="preserve">- </w:t>
            </w:r>
            <w:r w:rsidRPr="007F3AD0">
              <w:rPr>
                <w:rFonts w:ascii="Times New Roman" w:hAnsi="Times New Roman" w:cs="Times New Roman"/>
                <w:bCs/>
                <w:sz w:val="28"/>
                <w:szCs w:val="28"/>
              </w:rPr>
              <w:t>1</w:t>
            </w:r>
            <w:r>
              <w:rPr>
                <w:rFonts w:ascii="Times New Roman" w:hAnsi="Times New Roman" w:cs="Times New Roman"/>
                <w:bCs/>
                <w:sz w:val="28"/>
                <w:szCs w:val="28"/>
              </w:rPr>
              <w:t>5</w:t>
            </w:r>
            <w:r w:rsidRPr="007F3AD0">
              <w:rPr>
                <w:rFonts w:ascii="Times New Roman" w:hAnsi="Times New Roman" w:cs="Times New Roman"/>
                <w:bCs/>
                <w:sz w:val="28"/>
                <w:szCs w:val="28"/>
              </w:rPr>
              <w:t>.3.2021 г.</w:t>
            </w:r>
          </w:p>
          <w:p w14:paraId="14CB6A3D" w14:textId="77777777" w:rsidR="001A1D2C" w:rsidRPr="00D3726A" w:rsidRDefault="001A1D2C" w:rsidP="001A1D2C">
            <w:pPr>
              <w:jc w:val="center"/>
              <w:rPr>
                <w:rFonts w:ascii="Times New Roman" w:hAnsi="Times New Roman" w:cs="Times New Roman"/>
                <w:bCs/>
                <w:sz w:val="24"/>
                <w:szCs w:val="24"/>
              </w:rPr>
            </w:pPr>
          </w:p>
        </w:tc>
      </w:tr>
      <w:tr w:rsidR="001A1D2C" w:rsidRPr="00D3726A" w14:paraId="6B87C964" w14:textId="77777777" w:rsidTr="003E697F">
        <w:tc>
          <w:tcPr>
            <w:tcW w:w="709" w:type="dxa"/>
          </w:tcPr>
          <w:p w14:paraId="5B10A9DE" w14:textId="5D4661A6"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t>11.</w:t>
            </w:r>
          </w:p>
        </w:tc>
        <w:tc>
          <w:tcPr>
            <w:tcW w:w="2268" w:type="dxa"/>
          </w:tcPr>
          <w:p w14:paraId="71F803A8" w14:textId="72F001DC"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Генади Кондарев</w:t>
            </w:r>
          </w:p>
          <w:p w14:paraId="7C8437AD" w14:textId="77777777" w:rsidR="001A1D2C" w:rsidRDefault="001A1D2C" w:rsidP="001A1D2C">
            <w:pPr>
              <w:rPr>
                <w:rFonts w:ascii="Times New Roman" w:hAnsi="Times New Roman" w:cs="Times New Roman"/>
                <w:color w:val="000000"/>
                <w:sz w:val="24"/>
                <w:szCs w:val="24"/>
              </w:rPr>
            </w:pPr>
          </w:p>
          <w:p w14:paraId="52B132A0" w14:textId="77777777" w:rsidR="001A1D2C" w:rsidRDefault="001A1D2C" w:rsidP="001A1D2C">
            <w:pPr>
              <w:rPr>
                <w:rFonts w:ascii="Times New Roman" w:hAnsi="Times New Roman" w:cs="Times New Roman"/>
                <w:color w:val="000000"/>
                <w:sz w:val="24"/>
                <w:szCs w:val="24"/>
              </w:rPr>
            </w:pPr>
            <w:r w:rsidRPr="007439E5">
              <w:rPr>
                <w:rFonts w:ascii="Times New Roman" w:hAnsi="Times New Roman" w:cs="Times New Roman"/>
                <w:color w:val="000000"/>
                <w:sz w:val="24"/>
                <w:szCs w:val="24"/>
              </w:rPr>
              <w:t>Сдружение</w:t>
            </w:r>
            <w:r>
              <w:rPr>
                <w:rFonts w:ascii="Times New Roman" w:hAnsi="Times New Roman" w:cs="Times New Roman"/>
                <w:color w:val="000000"/>
                <w:sz w:val="24"/>
                <w:szCs w:val="24"/>
              </w:rPr>
              <w:t xml:space="preserve"> </w:t>
            </w:r>
            <w:r w:rsidRPr="008A6022">
              <w:rPr>
                <w:rFonts w:ascii="Times New Roman" w:hAnsi="Times New Roman" w:cs="Times New Roman"/>
                <w:color w:val="000000"/>
                <w:sz w:val="24"/>
                <w:szCs w:val="24"/>
              </w:rPr>
              <w:t>“За Земята”</w:t>
            </w:r>
          </w:p>
          <w:p w14:paraId="2951A2A9" w14:textId="77777777" w:rsidR="001A1D2C" w:rsidRDefault="001A1D2C" w:rsidP="001A1D2C">
            <w:pPr>
              <w:rPr>
                <w:rFonts w:ascii="Times New Roman" w:hAnsi="Times New Roman" w:cs="Times New Roman"/>
                <w:color w:val="000000"/>
                <w:sz w:val="24"/>
                <w:szCs w:val="24"/>
              </w:rPr>
            </w:pPr>
          </w:p>
        </w:tc>
        <w:tc>
          <w:tcPr>
            <w:tcW w:w="7960" w:type="dxa"/>
            <w:shd w:val="clear" w:color="auto" w:fill="auto"/>
          </w:tcPr>
          <w:p w14:paraId="4A008D96"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t>1. Много от мерките задават индикатори 0 през първите години. Наблюдава се тенденция да изместваме прилагането на мерките напред във времето заради изпълнението n+2 и така на практика да изместваме целите програмни периоди напред във времето. Повечето финансирани мерки са откровено спешни и това забавяне не е необходимо, а по-скоро трябва да има наваксване</w:t>
            </w:r>
          </w:p>
          <w:p w14:paraId="1244828B"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p>
          <w:p w14:paraId="6950DA2C" w14:textId="7758D145" w:rsidR="001A1D2C" w:rsidRPr="004B4780" w:rsidRDefault="001A1D2C" w:rsidP="001A1D2C">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t xml:space="preserve">2. Предвижда се използването на водород за </w:t>
            </w:r>
            <w:r w:rsidRPr="000471AE">
              <w:rPr>
                <w:b/>
                <w:color w:val="000000"/>
                <w:sz w:val="24"/>
                <w:szCs w:val="24"/>
                <w:lang w:eastAsia="bg-BG" w:bidi="bg-BG"/>
              </w:rPr>
              <w:t>отопление</w:t>
            </w:r>
            <w:r w:rsidRPr="004B4780">
              <w:rPr>
                <w:bCs/>
                <w:color w:val="000000"/>
                <w:sz w:val="24"/>
                <w:szCs w:val="24"/>
                <w:lang w:eastAsia="bg-BG" w:bidi="bg-BG"/>
              </w:rPr>
              <w:t>. Много анализатори и изследвания вече предричат, че водорода за отопление ще загуби ценово пред термопомпите. Съветваме УО да не предвижда подобни инвестиции във водород, особено на този етап, когато технологиите не са утвърдени и е много лесно да се заложат средства уж за водород, а те да отидат за обикновена газова инфраструктура. Водородът наистина ще има своя роля през следващите десетилетия, но тя ще е предимно в индустрията и в електроенергетиката.</w:t>
            </w:r>
          </w:p>
          <w:p w14:paraId="5DCEB55B" w14:textId="37177CBB" w:rsidR="001A1D2C" w:rsidRDefault="001A1D2C" w:rsidP="001A1D2C">
            <w:pPr>
              <w:pStyle w:val="BodyText"/>
              <w:tabs>
                <w:tab w:val="left" w:pos="1033"/>
              </w:tabs>
              <w:spacing w:line="240" w:lineRule="auto"/>
              <w:jc w:val="both"/>
              <w:rPr>
                <w:bCs/>
                <w:color w:val="000000"/>
                <w:sz w:val="24"/>
                <w:szCs w:val="24"/>
                <w:lang w:eastAsia="bg-BG" w:bidi="bg-BG"/>
              </w:rPr>
            </w:pPr>
          </w:p>
          <w:p w14:paraId="1B18E21C" w14:textId="24A70D49" w:rsidR="001A1D2C" w:rsidRDefault="001A1D2C" w:rsidP="001A1D2C">
            <w:pPr>
              <w:pStyle w:val="BodyText"/>
              <w:tabs>
                <w:tab w:val="left" w:pos="1033"/>
              </w:tabs>
              <w:spacing w:line="240" w:lineRule="auto"/>
              <w:jc w:val="both"/>
              <w:rPr>
                <w:bCs/>
                <w:color w:val="000000"/>
                <w:sz w:val="24"/>
                <w:szCs w:val="24"/>
                <w:lang w:eastAsia="bg-BG" w:bidi="bg-BG"/>
              </w:rPr>
            </w:pPr>
          </w:p>
          <w:p w14:paraId="37B57D71" w14:textId="489A1C4F" w:rsidR="001A1D2C" w:rsidRDefault="001A1D2C" w:rsidP="001A1D2C">
            <w:pPr>
              <w:pStyle w:val="BodyText"/>
              <w:tabs>
                <w:tab w:val="left" w:pos="1033"/>
              </w:tabs>
              <w:spacing w:line="240" w:lineRule="auto"/>
              <w:jc w:val="both"/>
              <w:rPr>
                <w:bCs/>
                <w:color w:val="000000"/>
                <w:sz w:val="24"/>
                <w:szCs w:val="24"/>
                <w:lang w:eastAsia="bg-BG" w:bidi="bg-BG"/>
              </w:rPr>
            </w:pPr>
          </w:p>
          <w:p w14:paraId="5B3CEEBF" w14:textId="4B9FEC61" w:rsidR="001A1D2C" w:rsidRDefault="001A1D2C" w:rsidP="001A1D2C">
            <w:pPr>
              <w:pStyle w:val="BodyText"/>
              <w:tabs>
                <w:tab w:val="left" w:pos="1033"/>
              </w:tabs>
              <w:spacing w:line="240" w:lineRule="auto"/>
              <w:jc w:val="both"/>
              <w:rPr>
                <w:bCs/>
                <w:color w:val="000000"/>
                <w:sz w:val="24"/>
                <w:szCs w:val="24"/>
                <w:lang w:eastAsia="bg-BG" w:bidi="bg-BG"/>
              </w:rPr>
            </w:pPr>
          </w:p>
          <w:p w14:paraId="513C1AA8" w14:textId="09D77B92" w:rsidR="001A1D2C" w:rsidRDefault="001A1D2C" w:rsidP="001A1D2C">
            <w:pPr>
              <w:pStyle w:val="BodyText"/>
              <w:tabs>
                <w:tab w:val="left" w:pos="1033"/>
              </w:tabs>
              <w:spacing w:line="240" w:lineRule="auto"/>
              <w:jc w:val="both"/>
              <w:rPr>
                <w:bCs/>
                <w:color w:val="000000"/>
                <w:sz w:val="24"/>
                <w:szCs w:val="24"/>
                <w:lang w:eastAsia="bg-BG" w:bidi="bg-BG"/>
              </w:rPr>
            </w:pPr>
          </w:p>
          <w:p w14:paraId="2AAC5008"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p>
          <w:p w14:paraId="5E10490F"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lastRenderedPageBreak/>
              <w:t>3. Предлагаме, ако се залагат пилотни проекти в отоплението, то в този период да се помисли за финансиране на термопомпи - разбира се при финансово самоучастие от страна на домакинствата</w:t>
            </w:r>
          </w:p>
          <w:p w14:paraId="31CFBEF5" w14:textId="2F86FB07" w:rsidR="001A1D2C" w:rsidRDefault="001A1D2C" w:rsidP="001A1D2C">
            <w:pPr>
              <w:pStyle w:val="BodyText"/>
              <w:tabs>
                <w:tab w:val="left" w:pos="1033"/>
              </w:tabs>
              <w:spacing w:line="240" w:lineRule="auto"/>
              <w:jc w:val="both"/>
              <w:rPr>
                <w:bCs/>
                <w:color w:val="000000"/>
                <w:sz w:val="24"/>
                <w:szCs w:val="24"/>
                <w:lang w:eastAsia="bg-BG" w:bidi="bg-BG"/>
              </w:rPr>
            </w:pPr>
          </w:p>
          <w:p w14:paraId="68591741"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p>
          <w:p w14:paraId="3BD9EE48" w14:textId="46FEDAD4" w:rsidR="001A1D2C" w:rsidRDefault="001A1D2C" w:rsidP="002F497D">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t xml:space="preserve">4. </w:t>
            </w:r>
            <w:r w:rsidRPr="009427F9">
              <w:rPr>
                <w:b/>
                <w:color w:val="000000"/>
                <w:sz w:val="24"/>
                <w:szCs w:val="24"/>
                <w:lang w:eastAsia="bg-BG" w:bidi="bg-BG"/>
              </w:rPr>
              <w:t>Транспортът</w:t>
            </w:r>
            <w:r w:rsidRPr="004B4780">
              <w:rPr>
                <w:bCs/>
                <w:color w:val="000000"/>
                <w:sz w:val="24"/>
                <w:szCs w:val="24"/>
                <w:lang w:eastAsia="bg-BG" w:bidi="bg-BG"/>
              </w:rPr>
              <w:t xml:space="preserve"> не е описан като операция със стратегическо значение, но после се говори за финансови инструменти за закупуване на електромобили от граждани срещу предоставяне на дизелов автомобил за скрап. Надяваме се скоро да видим тази планирана мярка по-подробно разписана, за да има основа, на която да се коментира.</w:t>
            </w:r>
          </w:p>
        </w:tc>
        <w:tc>
          <w:tcPr>
            <w:tcW w:w="4394" w:type="dxa"/>
          </w:tcPr>
          <w:p w14:paraId="39F10FC7" w14:textId="77777777" w:rsidR="001A1D2C" w:rsidRP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lastRenderedPageBreak/>
              <w:t>1.</w:t>
            </w:r>
            <w:r w:rsidRPr="001A1D2C">
              <w:rPr>
                <w:rFonts w:ascii="Times New Roman" w:hAnsi="Times New Roman" w:cs="Times New Roman"/>
                <w:bCs/>
                <w:sz w:val="24"/>
                <w:szCs w:val="24"/>
              </w:rPr>
              <w:tab/>
              <w:t>Стойността на междинните индикатори е възможно да бъде актуализирана след като бъде приет Регламента за ЕФРР и КФ за програмен период 2021-2027 г.</w:t>
            </w:r>
          </w:p>
          <w:p w14:paraId="6FF70D72" w14:textId="77777777" w:rsidR="001A1D2C" w:rsidRPr="001A1D2C" w:rsidRDefault="001A1D2C" w:rsidP="001A1D2C">
            <w:pPr>
              <w:jc w:val="both"/>
              <w:rPr>
                <w:rFonts w:ascii="Times New Roman" w:hAnsi="Times New Roman" w:cs="Times New Roman"/>
                <w:bCs/>
                <w:sz w:val="24"/>
                <w:szCs w:val="24"/>
              </w:rPr>
            </w:pPr>
          </w:p>
          <w:p w14:paraId="73CBCB8B" w14:textId="77777777" w:rsidR="001A1D2C" w:rsidRPr="001A1D2C" w:rsidRDefault="001A1D2C" w:rsidP="001A1D2C">
            <w:pPr>
              <w:jc w:val="both"/>
              <w:rPr>
                <w:rFonts w:ascii="Times New Roman" w:hAnsi="Times New Roman" w:cs="Times New Roman"/>
                <w:bCs/>
                <w:sz w:val="24"/>
                <w:szCs w:val="24"/>
              </w:rPr>
            </w:pPr>
          </w:p>
          <w:p w14:paraId="6C4C7A85" w14:textId="77777777" w:rsidR="001A1D2C" w:rsidRP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t>2.</w:t>
            </w:r>
            <w:r w:rsidRPr="001A1D2C">
              <w:rPr>
                <w:rFonts w:ascii="Times New Roman" w:hAnsi="Times New Roman" w:cs="Times New Roman"/>
                <w:bCs/>
                <w:sz w:val="24"/>
                <w:szCs w:val="24"/>
              </w:rPr>
              <w:tab/>
              <w:t>Възможността за подмяна топлоуреди на твърдо гориво с алтернативи, включващи комбинация от водород /използване на електролизьори/ и ВЕИ, се обследва в рамките на малка пилотна процедура за промотиране на водорода като източник на енергия, както и на иновативни подходи за отопление на еднофамилни жилищни сгради. Процедурата ще отчита и добрите практики по проект enefield.eu, който предоставя интелигенти енергийни решения за жилищни нужди.</w:t>
            </w:r>
          </w:p>
          <w:p w14:paraId="4D05373A" w14:textId="77777777" w:rsidR="001A1D2C" w:rsidRPr="001A1D2C" w:rsidRDefault="001A1D2C" w:rsidP="001A1D2C">
            <w:pPr>
              <w:jc w:val="both"/>
              <w:rPr>
                <w:rFonts w:ascii="Times New Roman" w:hAnsi="Times New Roman" w:cs="Times New Roman"/>
                <w:bCs/>
                <w:sz w:val="24"/>
                <w:szCs w:val="24"/>
              </w:rPr>
            </w:pPr>
          </w:p>
          <w:p w14:paraId="5C249019" w14:textId="77777777" w:rsidR="001A1D2C" w:rsidRP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lastRenderedPageBreak/>
              <w:t>3.</w:t>
            </w:r>
            <w:r w:rsidRPr="001A1D2C">
              <w:rPr>
                <w:rFonts w:ascii="Times New Roman" w:hAnsi="Times New Roman" w:cs="Times New Roman"/>
                <w:bCs/>
                <w:sz w:val="24"/>
                <w:szCs w:val="24"/>
              </w:rPr>
              <w:tab/>
              <w:t>Термопомпите не са изключени от обхвата на финансиране по мярката за намаляване на замърсяването на въздуха от битовото  отопление.</w:t>
            </w:r>
          </w:p>
          <w:p w14:paraId="01B8FBBB" w14:textId="77777777" w:rsidR="001A1D2C" w:rsidRPr="001A1D2C" w:rsidRDefault="001A1D2C" w:rsidP="001A1D2C">
            <w:pPr>
              <w:jc w:val="both"/>
              <w:rPr>
                <w:rFonts w:ascii="Times New Roman" w:hAnsi="Times New Roman" w:cs="Times New Roman"/>
                <w:bCs/>
                <w:sz w:val="24"/>
                <w:szCs w:val="24"/>
              </w:rPr>
            </w:pPr>
          </w:p>
          <w:p w14:paraId="32972589" w14:textId="309DF6F2" w:rsid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t>4.</w:t>
            </w:r>
            <w:r w:rsidRPr="001A1D2C">
              <w:rPr>
                <w:rFonts w:ascii="Times New Roman" w:hAnsi="Times New Roman" w:cs="Times New Roman"/>
                <w:bCs/>
                <w:sz w:val="24"/>
                <w:szCs w:val="24"/>
              </w:rPr>
              <w:tab/>
              <w:t xml:space="preserve">Процедурата за подмяната на стари високоемисионни дизелови автомобили с електрически е пилотна и предвижда инвестиции чрез финансов инструмент.  </w:t>
            </w:r>
          </w:p>
        </w:tc>
      </w:tr>
    </w:tbl>
    <w:p w14:paraId="2D7CE80B" w14:textId="77777777" w:rsidR="0087231D" w:rsidRPr="00183BDC" w:rsidRDefault="0087231D" w:rsidP="00B17F38">
      <w:pPr>
        <w:jc w:val="both"/>
        <w:rPr>
          <w:rFonts w:ascii="Times New Roman" w:hAnsi="Times New Roman" w:cs="Times New Roman"/>
          <w:bCs/>
          <w:sz w:val="24"/>
          <w:szCs w:val="24"/>
        </w:rPr>
      </w:pPr>
    </w:p>
    <w:sectPr w:rsidR="0087231D" w:rsidRPr="00183BDC" w:rsidSect="003641AD">
      <w:footerReference w:type="default" r:id="rId14"/>
      <w:headerReference w:type="first" r:id="rId15"/>
      <w:pgSz w:w="16838" w:h="11906" w:orient="landscape"/>
      <w:pgMar w:top="284" w:right="1417" w:bottom="1417" w:left="1417" w:header="46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B3B1" w14:textId="77777777" w:rsidR="00831D1B" w:rsidRDefault="00831D1B" w:rsidP="002D2C3E">
      <w:pPr>
        <w:spacing w:after="0" w:line="240" w:lineRule="auto"/>
      </w:pPr>
      <w:r>
        <w:separator/>
      </w:r>
    </w:p>
  </w:endnote>
  <w:endnote w:type="continuationSeparator" w:id="0">
    <w:p w14:paraId="3E1C6498" w14:textId="77777777" w:rsidR="00831D1B" w:rsidRDefault="00831D1B" w:rsidP="002D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84660"/>
      <w:docPartObj>
        <w:docPartGallery w:val="Page Numbers (Bottom of Page)"/>
        <w:docPartUnique/>
      </w:docPartObj>
    </w:sdtPr>
    <w:sdtEndPr>
      <w:rPr>
        <w:rFonts w:ascii="Times New Roman" w:hAnsi="Times New Roman" w:cs="Times New Roman"/>
        <w:noProof/>
      </w:rPr>
    </w:sdtEndPr>
    <w:sdtContent>
      <w:p w14:paraId="1BEBC910" w14:textId="39D2A0CC" w:rsidR="00356889" w:rsidRPr="006D5CBD" w:rsidRDefault="00356889">
        <w:pPr>
          <w:pStyle w:val="Footer"/>
          <w:jc w:val="right"/>
          <w:rPr>
            <w:rFonts w:ascii="Times New Roman" w:hAnsi="Times New Roman" w:cs="Times New Roman"/>
          </w:rPr>
        </w:pPr>
        <w:r w:rsidRPr="006D5CBD">
          <w:rPr>
            <w:rFonts w:ascii="Times New Roman" w:hAnsi="Times New Roman" w:cs="Times New Roman"/>
          </w:rPr>
          <w:fldChar w:fldCharType="begin"/>
        </w:r>
        <w:r w:rsidRPr="006D5CBD">
          <w:rPr>
            <w:rFonts w:ascii="Times New Roman" w:hAnsi="Times New Roman" w:cs="Times New Roman"/>
            <w:rPrChange w:id="11" w:author="OPOS" w:date="2021-02-03T10:42:00Z">
              <w:rPr/>
            </w:rPrChange>
          </w:rPr>
          <w:instrText xml:space="preserve"> PAGE   \* MERGEFORMAT </w:instrText>
        </w:r>
        <w:r w:rsidRPr="006D5CBD">
          <w:rPr>
            <w:rFonts w:ascii="Times New Roman" w:hAnsi="Times New Roman" w:cs="Times New Roman"/>
          </w:rPr>
          <w:fldChar w:fldCharType="separate"/>
        </w:r>
        <w:r w:rsidR="00ED538C">
          <w:rPr>
            <w:rFonts w:ascii="Times New Roman" w:hAnsi="Times New Roman" w:cs="Times New Roman"/>
            <w:noProof/>
          </w:rPr>
          <w:t>5</w:t>
        </w:r>
        <w:r w:rsidRPr="006D5CBD">
          <w:rPr>
            <w:rFonts w:ascii="Times New Roman" w:hAnsi="Times New Roman" w:cs="Times New Roman"/>
            <w:noProof/>
          </w:rPr>
          <w:fldChar w:fldCharType="end"/>
        </w:r>
      </w:p>
    </w:sdtContent>
  </w:sdt>
  <w:p w14:paraId="27DDDA30" w14:textId="77777777" w:rsidR="00356889" w:rsidRDefault="0035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40F7" w14:textId="77777777" w:rsidR="00831D1B" w:rsidRDefault="00831D1B" w:rsidP="002D2C3E">
      <w:pPr>
        <w:spacing w:after="0" w:line="240" w:lineRule="auto"/>
      </w:pPr>
      <w:r>
        <w:separator/>
      </w:r>
    </w:p>
  </w:footnote>
  <w:footnote w:type="continuationSeparator" w:id="0">
    <w:p w14:paraId="5C218336" w14:textId="77777777" w:rsidR="00831D1B" w:rsidRDefault="00831D1B" w:rsidP="002D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Y="879"/>
      <w:tblOverlap w:val="never"/>
      <w:tblW w:w="5000" w:type="pct"/>
      <w:tblLook w:val="01E0" w:firstRow="1" w:lastRow="1" w:firstColumn="1" w:lastColumn="1" w:noHBand="0" w:noVBand="0"/>
    </w:tblPr>
    <w:tblGrid>
      <w:gridCol w:w="3011"/>
      <w:gridCol w:w="7646"/>
      <w:gridCol w:w="3347"/>
    </w:tblGrid>
    <w:tr w:rsidR="00356889" w:rsidRPr="003B2BB3" w14:paraId="59EB7B2F" w14:textId="77777777" w:rsidTr="00E1093C">
      <w:trPr>
        <w:trHeight w:val="1610"/>
      </w:trPr>
      <w:tc>
        <w:tcPr>
          <w:tcW w:w="1075" w:type="pct"/>
          <w:tcBorders>
            <w:bottom w:val="double" w:sz="4" w:space="0" w:color="99CC00"/>
          </w:tcBorders>
          <w:shd w:val="clear" w:color="auto" w:fill="auto"/>
        </w:tcPr>
        <w:p w14:paraId="6E55DAE7"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lang w:eastAsia="fr-FR"/>
            </w:rPr>
          </w:pPr>
          <w:r w:rsidRPr="003B2BB3">
            <w:rPr>
              <w:rFonts w:ascii="Times New Roman" w:eastAsia="Times New Roman" w:hAnsi="Times New Roman"/>
              <w:noProof/>
              <w:lang w:eastAsia="bg-BG"/>
            </w:rPr>
            <w:drawing>
              <wp:inline distT="0" distB="0" distL="0" distR="0" wp14:anchorId="526B7335" wp14:editId="7F2F93F6">
                <wp:extent cx="1352550" cy="1076325"/>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076325"/>
                        </a:xfrm>
                        <a:prstGeom prst="rect">
                          <a:avLst/>
                        </a:prstGeom>
                        <a:noFill/>
                        <a:ln>
                          <a:noFill/>
                        </a:ln>
                      </pic:spPr>
                    </pic:pic>
                  </a:graphicData>
                </a:graphic>
              </wp:inline>
            </w:drawing>
          </w:r>
        </w:p>
        <w:p w14:paraId="6EBBD104"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lang w:eastAsia="fr-FR"/>
            </w:rPr>
          </w:pPr>
          <w:r w:rsidRPr="003B2BB3">
            <w:rPr>
              <w:rFonts w:ascii="Times New Roman" w:eastAsia="Times New Roman" w:hAnsi="Times New Roman"/>
              <w:color w:val="F8C300"/>
              <w:lang w:eastAsia="fr-FR"/>
            </w:rPr>
            <w:t xml:space="preserve"> </w:t>
          </w:r>
        </w:p>
      </w:tc>
      <w:tc>
        <w:tcPr>
          <w:tcW w:w="2730" w:type="pct"/>
          <w:tcBorders>
            <w:bottom w:val="double" w:sz="4" w:space="0" w:color="99CC00"/>
          </w:tcBorders>
          <w:shd w:val="clear" w:color="auto" w:fill="auto"/>
          <w:vAlign w:val="center"/>
        </w:tcPr>
        <w:p w14:paraId="364E8575"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b/>
              <w:color w:val="808080"/>
              <w:spacing w:val="80"/>
              <w:sz w:val="24"/>
              <w:szCs w:val="24"/>
              <w:lang w:eastAsia="bg-BG"/>
            </w:rPr>
          </w:pPr>
          <w:r w:rsidRPr="003B2BB3">
            <w:rPr>
              <w:rFonts w:ascii="Times New Roman" w:eastAsia="Times New Roman" w:hAnsi="Times New Roman"/>
              <w:b/>
              <w:color w:val="808080"/>
              <w:spacing w:val="80"/>
              <w:sz w:val="24"/>
              <w:szCs w:val="24"/>
              <w:lang w:eastAsia="bg-BG"/>
            </w:rPr>
            <w:t>ОПЕРАТИВНА ПРОГРАМА</w:t>
          </w:r>
        </w:p>
        <w:p w14:paraId="7D62AED8"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b/>
              <w:color w:val="808080"/>
              <w:spacing w:val="80"/>
              <w:sz w:val="24"/>
              <w:szCs w:val="24"/>
              <w:lang w:eastAsia="bg-BG"/>
            </w:rPr>
          </w:pPr>
          <w:r w:rsidRPr="003B2BB3">
            <w:rPr>
              <w:rFonts w:ascii="Times New Roman" w:eastAsia="Times New Roman" w:hAnsi="Times New Roman"/>
              <w:b/>
              <w:color w:val="808080"/>
              <w:spacing w:val="80"/>
              <w:sz w:val="24"/>
              <w:szCs w:val="24"/>
              <w:lang w:eastAsia="bg-BG"/>
            </w:rPr>
            <w:t>“ОКОЛНА СРЕДА 2014 – 2020 г.”</w:t>
          </w:r>
        </w:p>
      </w:tc>
      <w:tc>
        <w:tcPr>
          <w:tcW w:w="1195" w:type="pct"/>
          <w:tcBorders>
            <w:bottom w:val="double" w:sz="4" w:space="0" w:color="99CC00"/>
          </w:tcBorders>
          <w:shd w:val="clear" w:color="auto" w:fill="auto"/>
        </w:tcPr>
        <w:p w14:paraId="4DDA9066"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lang w:eastAsia="fr-FR"/>
            </w:rPr>
          </w:pPr>
          <w:r w:rsidRPr="003B2BB3">
            <w:rPr>
              <w:rFonts w:ascii="Times New Roman" w:eastAsia="Times New Roman" w:hAnsi="Times New Roman"/>
              <w:noProof/>
              <w:lang w:eastAsia="bg-BG"/>
            </w:rPr>
            <w:drawing>
              <wp:inline distT="0" distB="0" distL="0" distR="0" wp14:anchorId="5F4C5128" wp14:editId="0DD25110">
                <wp:extent cx="581025" cy="3905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14:paraId="54E283AD" w14:textId="77777777" w:rsidR="00356889" w:rsidRPr="003B2BB3" w:rsidRDefault="00356889" w:rsidP="00E1093C">
          <w:pPr>
            <w:spacing w:after="0" w:line="240" w:lineRule="auto"/>
            <w:jc w:val="center"/>
            <w:rPr>
              <w:rFonts w:ascii="Times New Roman" w:eastAsia="Times New Roman" w:hAnsi="Times New Roman"/>
              <w:color w:val="808080"/>
              <w:lang w:eastAsia="fr-FR"/>
            </w:rPr>
          </w:pPr>
          <w:r w:rsidRPr="003B2BB3">
            <w:rPr>
              <w:rFonts w:ascii="Times New Roman" w:eastAsia="Times New Roman" w:hAnsi="Times New Roman"/>
              <w:color w:val="808080"/>
              <w:lang w:eastAsia="fr-FR"/>
            </w:rPr>
            <w:t>Европейски съюз</w:t>
          </w:r>
        </w:p>
        <w:p w14:paraId="10E26FE6" w14:textId="77777777" w:rsidR="00356889" w:rsidRPr="003B2BB3" w:rsidRDefault="00356889" w:rsidP="00E1093C">
          <w:pPr>
            <w:spacing w:after="0" w:line="240" w:lineRule="auto"/>
            <w:jc w:val="center"/>
            <w:rPr>
              <w:rFonts w:ascii="Times New Roman" w:eastAsia="Times New Roman" w:hAnsi="Times New Roman"/>
              <w:b/>
              <w:color w:val="808080"/>
              <w:spacing w:val="80"/>
              <w:sz w:val="24"/>
              <w:szCs w:val="24"/>
              <w:lang w:eastAsia="bg-BG"/>
            </w:rPr>
          </w:pPr>
          <w:r w:rsidRPr="003B2BB3">
            <w:rPr>
              <w:rFonts w:ascii="Times New Roman" w:eastAsia="Times New Roman" w:hAnsi="Times New Roman"/>
              <w:color w:val="808080"/>
              <w:lang w:eastAsia="fr-FR"/>
            </w:rPr>
            <w:t>Европейски структурни и инвестиционни фондове</w:t>
          </w:r>
        </w:p>
      </w:tc>
    </w:tr>
    <w:tr w:rsidR="00356889" w:rsidRPr="003B2BB3" w14:paraId="55810A0D" w14:textId="77777777" w:rsidTr="00E1093C">
      <w:trPr>
        <w:trHeight w:val="528"/>
      </w:trPr>
      <w:tc>
        <w:tcPr>
          <w:tcW w:w="5000" w:type="pct"/>
          <w:gridSpan w:val="3"/>
          <w:tcBorders>
            <w:top w:val="double" w:sz="4" w:space="0" w:color="99CC00"/>
          </w:tcBorders>
          <w:shd w:val="clear" w:color="auto" w:fill="auto"/>
        </w:tcPr>
        <w:p w14:paraId="39E18F7E" w14:textId="77777777" w:rsidR="00356889" w:rsidRPr="003B2BB3" w:rsidRDefault="00356889" w:rsidP="00E1093C">
          <w:pPr>
            <w:tabs>
              <w:tab w:val="center" w:pos="4536"/>
              <w:tab w:val="right" w:pos="9072"/>
            </w:tabs>
            <w:spacing w:after="0" w:line="240" w:lineRule="auto"/>
            <w:jc w:val="right"/>
            <w:rPr>
              <w:rFonts w:ascii="Times New Roman" w:eastAsia="Times New Roman" w:hAnsi="Times New Roman"/>
              <w:color w:val="808080"/>
              <w:spacing w:val="24"/>
              <w:lang w:eastAsia="bg-BG"/>
            </w:rPr>
          </w:pPr>
          <w:r w:rsidRPr="003B2BB3">
            <w:rPr>
              <w:rFonts w:ascii="Times New Roman" w:eastAsia="Times New Roman" w:hAnsi="Times New Roman"/>
              <w:color w:val="808080"/>
              <w:spacing w:val="24"/>
              <w:lang w:eastAsia="bg-BG"/>
            </w:rPr>
            <w:t>Главна дирекция “Оперативна програма околна среда”</w:t>
          </w:r>
        </w:p>
        <w:p w14:paraId="1D4AB150" w14:textId="77777777" w:rsidR="00356889" w:rsidRPr="003B2BB3" w:rsidRDefault="00356889" w:rsidP="00E1093C">
          <w:pPr>
            <w:tabs>
              <w:tab w:val="center" w:pos="4536"/>
              <w:tab w:val="right" w:pos="9072"/>
            </w:tabs>
            <w:spacing w:after="0" w:line="240" w:lineRule="auto"/>
            <w:jc w:val="right"/>
            <w:rPr>
              <w:rFonts w:ascii="Times New Roman" w:eastAsia="Times New Roman" w:hAnsi="Times New Roman"/>
              <w:lang w:eastAsia="bg-BG"/>
            </w:rPr>
          </w:pPr>
          <w:r>
            <w:rPr>
              <w:rFonts w:ascii="Times New Roman" w:eastAsia="Times New Roman" w:hAnsi="Times New Roman"/>
              <w:color w:val="808080"/>
              <w:spacing w:val="24"/>
              <w:lang w:val="en-US" w:eastAsia="bg-BG"/>
            </w:rPr>
            <w:t>programming</w:t>
          </w:r>
          <w:r w:rsidRPr="003B2BB3">
            <w:rPr>
              <w:rFonts w:ascii="Times New Roman" w:eastAsia="Times New Roman" w:hAnsi="Times New Roman"/>
              <w:color w:val="808080"/>
              <w:spacing w:val="24"/>
              <w:lang w:eastAsia="bg-BG"/>
            </w:rPr>
            <w:t>@moew.government.bg</w:t>
          </w:r>
        </w:p>
      </w:tc>
    </w:tr>
  </w:tbl>
  <w:p w14:paraId="3BA1DCB0" w14:textId="77777777" w:rsidR="00356889" w:rsidRDefault="00356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9AB"/>
    <w:multiLevelType w:val="hybridMultilevel"/>
    <w:tmpl w:val="152A6892"/>
    <w:lvl w:ilvl="0" w:tplc="14704DD6">
      <w:start w:val="1"/>
      <w:numFmt w:val="decimal"/>
      <w:lvlText w:val="%1."/>
      <w:lvlJc w:val="left"/>
      <w:pPr>
        <w:ind w:left="360" w:hanging="360"/>
      </w:pPr>
      <w:rPr>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1A1999"/>
    <w:multiLevelType w:val="hybridMultilevel"/>
    <w:tmpl w:val="7B783280"/>
    <w:lvl w:ilvl="0" w:tplc="080868BC">
      <w:start w:val="1"/>
      <w:numFmt w:val="decimal"/>
      <w:lvlText w:val="%1."/>
      <w:lvlJc w:val="left"/>
      <w:pPr>
        <w:ind w:left="502"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3EF6492"/>
    <w:multiLevelType w:val="hybridMultilevel"/>
    <w:tmpl w:val="A44A2530"/>
    <w:lvl w:ilvl="0" w:tplc="2A50B528">
      <w:start w:val="1"/>
      <w:numFmt w:val="decimal"/>
      <w:lvlText w:val="%1."/>
      <w:lvlJc w:val="left"/>
      <w:pPr>
        <w:ind w:left="720" w:hanging="360"/>
      </w:pPr>
      <w:rPr>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B834A3"/>
    <w:multiLevelType w:val="hybridMultilevel"/>
    <w:tmpl w:val="D5D6FDE4"/>
    <w:lvl w:ilvl="0" w:tplc="E976E6C0">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B7165D8"/>
    <w:multiLevelType w:val="hybridMultilevel"/>
    <w:tmpl w:val="82C43E4E"/>
    <w:lvl w:ilvl="0" w:tplc="2F58CCC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6"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0A5E59"/>
    <w:multiLevelType w:val="multilevel"/>
    <w:tmpl w:val="AC4C88C2"/>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CA0CBD"/>
    <w:multiLevelType w:val="hybridMultilevel"/>
    <w:tmpl w:val="BBF06F04"/>
    <w:lvl w:ilvl="0" w:tplc="6986C264">
      <w:start w:val="1"/>
      <w:numFmt w:val="decimal"/>
      <w:lvlText w:val="%1."/>
      <w:lvlJc w:val="left"/>
      <w:pPr>
        <w:ind w:left="360" w:hanging="360"/>
      </w:pPr>
      <w:rPr>
        <w:rFonts w:ascii="Times New Roman" w:hAnsi="Times New Roman"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545A5F"/>
    <w:multiLevelType w:val="hybridMultilevel"/>
    <w:tmpl w:val="360CC46A"/>
    <w:lvl w:ilvl="0" w:tplc="4DDA2EA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0" w15:restartNumberingAfterBreak="0">
    <w:nsid w:val="388923A8"/>
    <w:multiLevelType w:val="hybridMultilevel"/>
    <w:tmpl w:val="B4C2222E"/>
    <w:lvl w:ilvl="0" w:tplc="C6205718">
      <w:numFmt w:val="bullet"/>
      <w:lvlText w:val="-"/>
      <w:lvlJc w:val="left"/>
      <w:pPr>
        <w:ind w:left="1040" w:hanging="102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11" w15:restartNumberingAfterBreak="0">
    <w:nsid w:val="3DB7536C"/>
    <w:multiLevelType w:val="multilevel"/>
    <w:tmpl w:val="5BA06DEA"/>
    <w:lvl w:ilvl="0">
      <w:start w:val="1"/>
      <w:numFmt w:val="decimal"/>
      <w:lvlText w:val="%1."/>
      <w:lvlJc w:val="left"/>
      <w:rPr>
        <w:rFonts w:ascii="Times New Roman" w:eastAsia="Times New Roman" w:hAnsi="Times New Roman" w:cs="Times New Roman"/>
        <w:b/>
        <w:bCs/>
        <w:i w:val="0"/>
        <w:iCs w:val="0"/>
        <w:smallCaps w:val="0"/>
        <w:strike w:val="0"/>
        <w:color w:val="353535"/>
        <w:spacing w:val="0"/>
        <w:w w:val="100"/>
        <w:position w:val="0"/>
        <w:sz w:val="24"/>
        <w:szCs w:val="24"/>
        <w:u w:val="none"/>
        <w:shd w:val="clear" w:color="auto" w:fill="auto"/>
        <w:lang w:val="bg-BG" w:eastAsia="bg-BG" w:bidi="bg-BG"/>
      </w:rPr>
    </w:lvl>
    <w:lvl w:ilvl="1">
      <w:start w:val="1"/>
      <w:numFmt w:val="decimal"/>
      <w:lvlText w:val="%2."/>
      <w:lvlJc w:val="left"/>
      <w:rPr>
        <w:b w:val="0"/>
        <w:bCs w:val="0"/>
        <w:i w:val="0"/>
        <w:iCs w:val="0"/>
        <w:smallCaps w:val="0"/>
        <w:strike w:val="0"/>
        <w:color w:val="353535"/>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E702C9"/>
    <w:multiLevelType w:val="hybridMultilevel"/>
    <w:tmpl w:val="7EDE725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94238C7"/>
    <w:multiLevelType w:val="hybridMultilevel"/>
    <w:tmpl w:val="839A5272"/>
    <w:lvl w:ilvl="0" w:tplc="44249B04">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4" w15:restartNumberingAfterBreak="0">
    <w:nsid w:val="4A23721F"/>
    <w:multiLevelType w:val="hybridMultilevel"/>
    <w:tmpl w:val="5986BD94"/>
    <w:lvl w:ilvl="0" w:tplc="B7F83478">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5" w15:restartNumberingAfterBreak="0">
    <w:nsid w:val="4B8854E1"/>
    <w:multiLevelType w:val="hybridMultilevel"/>
    <w:tmpl w:val="BA3C0AEA"/>
    <w:lvl w:ilvl="0" w:tplc="21DAFD30">
      <w:numFmt w:val="bullet"/>
      <w:lvlText w:val="-"/>
      <w:lvlJc w:val="left"/>
      <w:pPr>
        <w:ind w:left="380" w:hanging="36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16" w15:restartNumberingAfterBreak="0">
    <w:nsid w:val="4EB82C11"/>
    <w:multiLevelType w:val="hybridMultilevel"/>
    <w:tmpl w:val="2BE67C82"/>
    <w:lvl w:ilvl="0" w:tplc="1D743C68">
      <w:start w:val="1"/>
      <w:numFmt w:val="decimal"/>
      <w:lvlText w:val="%1."/>
      <w:lvlJc w:val="left"/>
      <w:pPr>
        <w:ind w:left="360" w:hanging="360"/>
      </w:pPr>
      <w:rPr>
        <w:b w:val="0"/>
        <w:bCs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BB432B"/>
    <w:multiLevelType w:val="hybridMultilevel"/>
    <w:tmpl w:val="A60EEBCE"/>
    <w:lvl w:ilvl="0" w:tplc="EF9AAE0A">
      <w:start w:val="1"/>
      <w:numFmt w:val="decimal"/>
      <w:lvlText w:val="%1."/>
      <w:lvlJc w:val="left"/>
      <w:pPr>
        <w:ind w:left="360" w:hanging="360"/>
      </w:pPr>
      <w:rPr>
        <w:rFonts w:hint="default"/>
        <w:b w:val="0"/>
        <w:bCs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5E483B5E"/>
    <w:multiLevelType w:val="hybridMultilevel"/>
    <w:tmpl w:val="3B709F28"/>
    <w:lvl w:ilvl="0" w:tplc="57F258AA">
      <w:start w:val="1"/>
      <w:numFmt w:val="decimal"/>
      <w:lvlText w:val="%1."/>
      <w:lvlJc w:val="left"/>
      <w:pPr>
        <w:ind w:left="360" w:hanging="360"/>
      </w:pPr>
      <w:rPr>
        <w:b w:val="0"/>
        <w:bCs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63186772"/>
    <w:multiLevelType w:val="hybridMultilevel"/>
    <w:tmpl w:val="8C227CCE"/>
    <w:lvl w:ilvl="0" w:tplc="8D00CC54">
      <w:start w:val="1"/>
      <w:numFmt w:val="decimal"/>
      <w:lvlText w:val="%1."/>
      <w:lvlJc w:val="left"/>
      <w:pPr>
        <w:ind w:left="786"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7D4102E"/>
    <w:multiLevelType w:val="hybridMultilevel"/>
    <w:tmpl w:val="573AC66E"/>
    <w:lvl w:ilvl="0" w:tplc="04020001">
      <w:start w:val="1"/>
      <w:numFmt w:val="bullet"/>
      <w:lvlText w:val=""/>
      <w:lvlJc w:val="left"/>
      <w:pPr>
        <w:ind w:left="643"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2" w15:restartNumberingAfterBreak="0">
    <w:nsid w:val="68D44E38"/>
    <w:multiLevelType w:val="hybridMultilevel"/>
    <w:tmpl w:val="EE442D40"/>
    <w:lvl w:ilvl="0" w:tplc="04020001">
      <w:start w:val="1"/>
      <w:numFmt w:val="bullet"/>
      <w:lvlText w:val=""/>
      <w:lvlJc w:val="left"/>
      <w:pPr>
        <w:ind w:left="740" w:hanging="360"/>
      </w:pPr>
      <w:rPr>
        <w:rFonts w:ascii="Symbol" w:hAnsi="Symbol" w:hint="default"/>
      </w:rPr>
    </w:lvl>
    <w:lvl w:ilvl="1" w:tplc="04020003" w:tentative="1">
      <w:start w:val="1"/>
      <w:numFmt w:val="bullet"/>
      <w:lvlText w:val="o"/>
      <w:lvlJc w:val="left"/>
      <w:pPr>
        <w:ind w:left="1460" w:hanging="360"/>
      </w:pPr>
      <w:rPr>
        <w:rFonts w:ascii="Courier New" w:hAnsi="Courier New" w:cs="Courier New" w:hint="default"/>
      </w:rPr>
    </w:lvl>
    <w:lvl w:ilvl="2" w:tplc="04020005" w:tentative="1">
      <w:start w:val="1"/>
      <w:numFmt w:val="bullet"/>
      <w:lvlText w:val=""/>
      <w:lvlJc w:val="left"/>
      <w:pPr>
        <w:ind w:left="2180" w:hanging="360"/>
      </w:pPr>
      <w:rPr>
        <w:rFonts w:ascii="Wingdings" w:hAnsi="Wingdings" w:hint="default"/>
      </w:rPr>
    </w:lvl>
    <w:lvl w:ilvl="3" w:tplc="04020001" w:tentative="1">
      <w:start w:val="1"/>
      <w:numFmt w:val="bullet"/>
      <w:lvlText w:val=""/>
      <w:lvlJc w:val="left"/>
      <w:pPr>
        <w:ind w:left="2900" w:hanging="360"/>
      </w:pPr>
      <w:rPr>
        <w:rFonts w:ascii="Symbol" w:hAnsi="Symbol" w:hint="default"/>
      </w:rPr>
    </w:lvl>
    <w:lvl w:ilvl="4" w:tplc="04020003" w:tentative="1">
      <w:start w:val="1"/>
      <w:numFmt w:val="bullet"/>
      <w:lvlText w:val="o"/>
      <w:lvlJc w:val="left"/>
      <w:pPr>
        <w:ind w:left="3620" w:hanging="360"/>
      </w:pPr>
      <w:rPr>
        <w:rFonts w:ascii="Courier New" w:hAnsi="Courier New" w:cs="Courier New" w:hint="default"/>
      </w:rPr>
    </w:lvl>
    <w:lvl w:ilvl="5" w:tplc="04020005" w:tentative="1">
      <w:start w:val="1"/>
      <w:numFmt w:val="bullet"/>
      <w:lvlText w:val=""/>
      <w:lvlJc w:val="left"/>
      <w:pPr>
        <w:ind w:left="4340" w:hanging="360"/>
      </w:pPr>
      <w:rPr>
        <w:rFonts w:ascii="Wingdings" w:hAnsi="Wingdings" w:hint="default"/>
      </w:rPr>
    </w:lvl>
    <w:lvl w:ilvl="6" w:tplc="04020001" w:tentative="1">
      <w:start w:val="1"/>
      <w:numFmt w:val="bullet"/>
      <w:lvlText w:val=""/>
      <w:lvlJc w:val="left"/>
      <w:pPr>
        <w:ind w:left="5060" w:hanging="360"/>
      </w:pPr>
      <w:rPr>
        <w:rFonts w:ascii="Symbol" w:hAnsi="Symbol" w:hint="default"/>
      </w:rPr>
    </w:lvl>
    <w:lvl w:ilvl="7" w:tplc="04020003" w:tentative="1">
      <w:start w:val="1"/>
      <w:numFmt w:val="bullet"/>
      <w:lvlText w:val="o"/>
      <w:lvlJc w:val="left"/>
      <w:pPr>
        <w:ind w:left="5780" w:hanging="360"/>
      </w:pPr>
      <w:rPr>
        <w:rFonts w:ascii="Courier New" w:hAnsi="Courier New" w:cs="Courier New" w:hint="default"/>
      </w:rPr>
    </w:lvl>
    <w:lvl w:ilvl="8" w:tplc="04020005" w:tentative="1">
      <w:start w:val="1"/>
      <w:numFmt w:val="bullet"/>
      <w:lvlText w:val=""/>
      <w:lvlJc w:val="left"/>
      <w:pPr>
        <w:ind w:left="6500" w:hanging="360"/>
      </w:pPr>
      <w:rPr>
        <w:rFonts w:ascii="Wingdings" w:hAnsi="Wingdings" w:hint="default"/>
      </w:rPr>
    </w:lvl>
  </w:abstractNum>
  <w:abstractNum w:abstractNumId="23" w15:restartNumberingAfterBreak="0">
    <w:nsid w:val="6FB24FC0"/>
    <w:multiLevelType w:val="hybridMultilevel"/>
    <w:tmpl w:val="7DEAF0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15:restartNumberingAfterBreak="0">
    <w:nsid w:val="79905F0D"/>
    <w:multiLevelType w:val="hybridMultilevel"/>
    <w:tmpl w:val="A5CAC8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3"/>
  </w:num>
  <w:num w:numId="5">
    <w:abstractNumId w:val="16"/>
  </w:num>
  <w:num w:numId="6">
    <w:abstractNumId w:val="19"/>
  </w:num>
  <w:num w:numId="7">
    <w:abstractNumId w:val="1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1"/>
  </w:num>
  <w:num w:numId="12">
    <w:abstractNumId w:val="20"/>
  </w:num>
  <w:num w:numId="13">
    <w:abstractNumId w:val="1"/>
  </w:num>
  <w:num w:numId="14">
    <w:abstractNumId w:val="15"/>
  </w:num>
  <w:num w:numId="15">
    <w:abstractNumId w:val="24"/>
  </w:num>
  <w:num w:numId="16">
    <w:abstractNumId w:val="12"/>
  </w:num>
  <w:num w:numId="17">
    <w:abstractNumId w:val="5"/>
  </w:num>
  <w:num w:numId="18">
    <w:abstractNumId w:val="22"/>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13"/>
  </w:num>
  <w:num w:numId="24">
    <w:abstractNumId w:val="11"/>
  </w:num>
  <w:num w:numId="2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OS">
    <w15:presenceInfo w15:providerId="Windows Live" w15:userId="0489196d137b3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B1"/>
    <w:rsid w:val="00000C2F"/>
    <w:rsid w:val="00005473"/>
    <w:rsid w:val="00007280"/>
    <w:rsid w:val="00011243"/>
    <w:rsid w:val="0001124C"/>
    <w:rsid w:val="00011DA2"/>
    <w:rsid w:val="0001566F"/>
    <w:rsid w:val="00016985"/>
    <w:rsid w:val="00020A76"/>
    <w:rsid w:val="0002106B"/>
    <w:rsid w:val="00021334"/>
    <w:rsid w:val="000213DD"/>
    <w:rsid w:val="00021CDE"/>
    <w:rsid w:val="000229E2"/>
    <w:rsid w:val="000255C2"/>
    <w:rsid w:val="00027A7F"/>
    <w:rsid w:val="00032E3E"/>
    <w:rsid w:val="00034984"/>
    <w:rsid w:val="000406C1"/>
    <w:rsid w:val="00040C78"/>
    <w:rsid w:val="00042951"/>
    <w:rsid w:val="00042C90"/>
    <w:rsid w:val="000435FA"/>
    <w:rsid w:val="00043671"/>
    <w:rsid w:val="000445BE"/>
    <w:rsid w:val="00046BFA"/>
    <w:rsid w:val="000471AE"/>
    <w:rsid w:val="000476A4"/>
    <w:rsid w:val="00047BBF"/>
    <w:rsid w:val="00047F99"/>
    <w:rsid w:val="00052726"/>
    <w:rsid w:val="00052C86"/>
    <w:rsid w:val="000536F0"/>
    <w:rsid w:val="00055F88"/>
    <w:rsid w:val="00060862"/>
    <w:rsid w:val="00063290"/>
    <w:rsid w:val="0006357F"/>
    <w:rsid w:val="00063BDA"/>
    <w:rsid w:val="0006447A"/>
    <w:rsid w:val="000644C4"/>
    <w:rsid w:val="00064753"/>
    <w:rsid w:val="00065548"/>
    <w:rsid w:val="0006742A"/>
    <w:rsid w:val="00067A29"/>
    <w:rsid w:val="00072167"/>
    <w:rsid w:val="00074023"/>
    <w:rsid w:val="00074E00"/>
    <w:rsid w:val="00075797"/>
    <w:rsid w:val="0008134C"/>
    <w:rsid w:val="00081A0C"/>
    <w:rsid w:val="00081E3E"/>
    <w:rsid w:val="000828FE"/>
    <w:rsid w:val="00082FEF"/>
    <w:rsid w:val="0008436C"/>
    <w:rsid w:val="00085756"/>
    <w:rsid w:val="00085F0D"/>
    <w:rsid w:val="0009243D"/>
    <w:rsid w:val="00094286"/>
    <w:rsid w:val="000959F7"/>
    <w:rsid w:val="0009646A"/>
    <w:rsid w:val="00096AD8"/>
    <w:rsid w:val="000A158C"/>
    <w:rsid w:val="000A1F27"/>
    <w:rsid w:val="000A3AFF"/>
    <w:rsid w:val="000A4EB0"/>
    <w:rsid w:val="000A602D"/>
    <w:rsid w:val="000A76B2"/>
    <w:rsid w:val="000A7AD4"/>
    <w:rsid w:val="000B2FE3"/>
    <w:rsid w:val="000B3FBA"/>
    <w:rsid w:val="000B581F"/>
    <w:rsid w:val="000C0D47"/>
    <w:rsid w:val="000C148E"/>
    <w:rsid w:val="000C48EF"/>
    <w:rsid w:val="000C4ED1"/>
    <w:rsid w:val="000C52FB"/>
    <w:rsid w:val="000C581A"/>
    <w:rsid w:val="000C73CA"/>
    <w:rsid w:val="000C7A61"/>
    <w:rsid w:val="000D4A50"/>
    <w:rsid w:val="000D6068"/>
    <w:rsid w:val="000D6824"/>
    <w:rsid w:val="000D6AAB"/>
    <w:rsid w:val="000D76CE"/>
    <w:rsid w:val="000E360E"/>
    <w:rsid w:val="000E5757"/>
    <w:rsid w:val="000E6074"/>
    <w:rsid w:val="000E69E3"/>
    <w:rsid w:val="000E7636"/>
    <w:rsid w:val="000E7796"/>
    <w:rsid w:val="000E7DE4"/>
    <w:rsid w:val="000F1C47"/>
    <w:rsid w:val="000F3E2F"/>
    <w:rsid w:val="001009F3"/>
    <w:rsid w:val="001011D7"/>
    <w:rsid w:val="0010299A"/>
    <w:rsid w:val="00103DDD"/>
    <w:rsid w:val="00104BAF"/>
    <w:rsid w:val="00106674"/>
    <w:rsid w:val="001071EC"/>
    <w:rsid w:val="001077CD"/>
    <w:rsid w:val="00107B87"/>
    <w:rsid w:val="00113FCA"/>
    <w:rsid w:val="0011614A"/>
    <w:rsid w:val="00117B80"/>
    <w:rsid w:val="00120DC5"/>
    <w:rsid w:val="00121EB7"/>
    <w:rsid w:val="00122907"/>
    <w:rsid w:val="00124CD7"/>
    <w:rsid w:val="00125191"/>
    <w:rsid w:val="00126EF9"/>
    <w:rsid w:val="00127586"/>
    <w:rsid w:val="0012768D"/>
    <w:rsid w:val="001325B3"/>
    <w:rsid w:val="00134610"/>
    <w:rsid w:val="001362E6"/>
    <w:rsid w:val="00137822"/>
    <w:rsid w:val="00137FA5"/>
    <w:rsid w:val="00141B7B"/>
    <w:rsid w:val="0014227A"/>
    <w:rsid w:val="00142FED"/>
    <w:rsid w:val="00143077"/>
    <w:rsid w:val="00144261"/>
    <w:rsid w:val="001443CB"/>
    <w:rsid w:val="00145D16"/>
    <w:rsid w:val="0015022D"/>
    <w:rsid w:val="00152988"/>
    <w:rsid w:val="00153A29"/>
    <w:rsid w:val="00156884"/>
    <w:rsid w:val="00160074"/>
    <w:rsid w:val="0016019B"/>
    <w:rsid w:val="00160A6B"/>
    <w:rsid w:val="001620EA"/>
    <w:rsid w:val="00162424"/>
    <w:rsid w:val="001627E0"/>
    <w:rsid w:val="00163470"/>
    <w:rsid w:val="0016380A"/>
    <w:rsid w:val="001664D5"/>
    <w:rsid w:val="0016796B"/>
    <w:rsid w:val="00170A23"/>
    <w:rsid w:val="00172823"/>
    <w:rsid w:val="00172B6F"/>
    <w:rsid w:val="00172E31"/>
    <w:rsid w:val="00173696"/>
    <w:rsid w:val="00173E36"/>
    <w:rsid w:val="001741C0"/>
    <w:rsid w:val="00174454"/>
    <w:rsid w:val="001745DF"/>
    <w:rsid w:val="00175BD6"/>
    <w:rsid w:val="00176AB6"/>
    <w:rsid w:val="0018186C"/>
    <w:rsid w:val="00182A79"/>
    <w:rsid w:val="00182E4F"/>
    <w:rsid w:val="001835E2"/>
    <w:rsid w:val="00183BDC"/>
    <w:rsid w:val="00184F1A"/>
    <w:rsid w:val="0018559F"/>
    <w:rsid w:val="00187176"/>
    <w:rsid w:val="001909C3"/>
    <w:rsid w:val="00192924"/>
    <w:rsid w:val="00193DA2"/>
    <w:rsid w:val="00194061"/>
    <w:rsid w:val="001948C7"/>
    <w:rsid w:val="001972F3"/>
    <w:rsid w:val="00197E7A"/>
    <w:rsid w:val="001A0246"/>
    <w:rsid w:val="001A1371"/>
    <w:rsid w:val="001A1D13"/>
    <w:rsid w:val="001A1D2C"/>
    <w:rsid w:val="001A6131"/>
    <w:rsid w:val="001A7282"/>
    <w:rsid w:val="001B06EB"/>
    <w:rsid w:val="001B0B2D"/>
    <w:rsid w:val="001B1495"/>
    <w:rsid w:val="001B71DB"/>
    <w:rsid w:val="001C1598"/>
    <w:rsid w:val="001C1A1D"/>
    <w:rsid w:val="001C28FE"/>
    <w:rsid w:val="001C29BB"/>
    <w:rsid w:val="001C32B7"/>
    <w:rsid w:val="001C586D"/>
    <w:rsid w:val="001C6FDA"/>
    <w:rsid w:val="001D2BFD"/>
    <w:rsid w:val="001D5C3A"/>
    <w:rsid w:val="001E0340"/>
    <w:rsid w:val="001E2D1C"/>
    <w:rsid w:val="001E5615"/>
    <w:rsid w:val="001E681B"/>
    <w:rsid w:val="001E6DCF"/>
    <w:rsid w:val="001E728E"/>
    <w:rsid w:val="001E7A7D"/>
    <w:rsid w:val="001E7EA0"/>
    <w:rsid w:val="001F0174"/>
    <w:rsid w:val="001F27BF"/>
    <w:rsid w:val="00200606"/>
    <w:rsid w:val="002017BE"/>
    <w:rsid w:val="0020249C"/>
    <w:rsid w:val="00202739"/>
    <w:rsid w:val="00203681"/>
    <w:rsid w:val="002051EE"/>
    <w:rsid w:val="00205910"/>
    <w:rsid w:val="00207D5A"/>
    <w:rsid w:val="00207F50"/>
    <w:rsid w:val="00210D61"/>
    <w:rsid w:val="002114B8"/>
    <w:rsid w:val="002116B7"/>
    <w:rsid w:val="00211B44"/>
    <w:rsid w:val="00212E6B"/>
    <w:rsid w:val="00212FB9"/>
    <w:rsid w:val="002140AB"/>
    <w:rsid w:val="00214517"/>
    <w:rsid w:val="00214CD3"/>
    <w:rsid w:val="0021752A"/>
    <w:rsid w:val="00220860"/>
    <w:rsid w:val="00222276"/>
    <w:rsid w:val="00222A82"/>
    <w:rsid w:val="002230ED"/>
    <w:rsid w:val="00223AF6"/>
    <w:rsid w:val="002255D2"/>
    <w:rsid w:val="00225F86"/>
    <w:rsid w:val="002267A4"/>
    <w:rsid w:val="0022788B"/>
    <w:rsid w:val="00227967"/>
    <w:rsid w:val="00232378"/>
    <w:rsid w:val="00233683"/>
    <w:rsid w:val="00233B16"/>
    <w:rsid w:val="0023428D"/>
    <w:rsid w:val="002362A7"/>
    <w:rsid w:val="002408EC"/>
    <w:rsid w:val="00243891"/>
    <w:rsid w:val="002438DB"/>
    <w:rsid w:val="002442AD"/>
    <w:rsid w:val="00246D45"/>
    <w:rsid w:val="00250902"/>
    <w:rsid w:val="00251078"/>
    <w:rsid w:val="00251539"/>
    <w:rsid w:val="00251741"/>
    <w:rsid w:val="00253E34"/>
    <w:rsid w:val="00254329"/>
    <w:rsid w:val="002545FF"/>
    <w:rsid w:val="00254DD9"/>
    <w:rsid w:val="00255DEE"/>
    <w:rsid w:val="00257301"/>
    <w:rsid w:val="00265F7E"/>
    <w:rsid w:val="00266313"/>
    <w:rsid w:val="00270133"/>
    <w:rsid w:val="002704DC"/>
    <w:rsid w:val="00270D44"/>
    <w:rsid w:val="00271BBD"/>
    <w:rsid w:val="00271DDF"/>
    <w:rsid w:val="0028042D"/>
    <w:rsid w:val="00280801"/>
    <w:rsid w:val="00281BFC"/>
    <w:rsid w:val="0028296D"/>
    <w:rsid w:val="00283F65"/>
    <w:rsid w:val="00286376"/>
    <w:rsid w:val="0029182C"/>
    <w:rsid w:val="00295DED"/>
    <w:rsid w:val="0029691C"/>
    <w:rsid w:val="00296DF2"/>
    <w:rsid w:val="002977EB"/>
    <w:rsid w:val="00297A67"/>
    <w:rsid w:val="002A0256"/>
    <w:rsid w:val="002A039F"/>
    <w:rsid w:val="002A19EA"/>
    <w:rsid w:val="002A21B6"/>
    <w:rsid w:val="002A26E5"/>
    <w:rsid w:val="002A2FF9"/>
    <w:rsid w:val="002A4F7B"/>
    <w:rsid w:val="002A5B77"/>
    <w:rsid w:val="002B0101"/>
    <w:rsid w:val="002B0425"/>
    <w:rsid w:val="002B060C"/>
    <w:rsid w:val="002B121E"/>
    <w:rsid w:val="002B2DE4"/>
    <w:rsid w:val="002B3750"/>
    <w:rsid w:val="002B449E"/>
    <w:rsid w:val="002B5565"/>
    <w:rsid w:val="002B6161"/>
    <w:rsid w:val="002B7BE9"/>
    <w:rsid w:val="002C1265"/>
    <w:rsid w:val="002C14B4"/>
    <w:rsid w:val="002C3FB1"/>
    <w:rsid w:val="002C4734"/>
    <w:rsid w:val="002C4ED7"/>
    <w:rsid w:val="002C52D2"/>
    <w:rsid w:val="002C53CB"/>
    <w:rsid w:val="002C605F"/>
    <w:rsid w:val="002C633C"/>
    <w:rsid w:val="002C7681"/>
    <w:rsid w:val="002D08E9"/>
    <w:rsid w:val="002D2C3E"/>
    <w:rsid w:val="002D51E8"/>
    <w:rsid w:val="002D6328"/>
    <w:rsid w:val="002E40D9"/>
    <w:rsid w:val="002E558C"/>
    <w:rsid w:val="002E607C"/>
    <w:rsid w:val="002E7139"/>
    <w:rsid w:val="002F086A"/>
    <w:rsid w:val="002F1DF9"/>
    <w:rsid w:val="002F3AB4"/>
    <w:rsid w:val="002F460A"/>
    <w:rsid w:val="002F497D"/>
    <w:rsid w:val="002F4E98"/>
    <w:rsid w:val="002F5A7B"/>
    <w:rsid w:val="002F6602"/>
    <w:rsid w:val="002F7959"/>
    <w:rsid w:val="002F7DA9"/>
    <w:rsid w:val="00300ACA"/>
    <w:rsid w:val="00302DA9"/>
    <w:rsid w:val="00303C57"/>
    <w:rsid w:val="003041C3"/>
    <w:rsid w:val="003062DE"/>
    <w:rsid w:val="0030684D"/>
    <w:rsid w:val="00307056"/>
    <w:rsid w:val="00307973"/>
    <w:rsid w:val="00310140"/>
    <w:rsid w:val="0031119D"/>
    <w:rsid w:val="003126C3"/>
    <w:rsid w:val="0031502F"/>
    <w:rsid w:val="003163EC"/>
    <w:rsid w:val="003205E4"/>
    <w:rsid w:val="0032095C"/>
    <w:rsid w:val="00321559"/>
    <w:rsid w:val="00322FFB"/>
    <w:rsid w:val="003257B1"/>
    <w:rsid w:val="00325CD3"/>
    <w:rsid w:val="00326168"/>
    <w:rsid w:val="00326CB2"/>
    <w:rsid w:val="00327946"/>
    <w:rsid w:val="00330B99"/>
    <w:rsid w:val="0033198C"/>
    <w:rsid w:val="003402AD"/>
    <w:rsid w:val="0034086E"/>
    <w:rsid w:val="0034267A"/>
    <w:rsid w:val="003445B5"/>
    <w:rsid w:val="00345882"/>
    <w:rsid w:val="00346DF2"/>
    <w:rsid w:val="003500DB"/>
    <w:rsid w:val="00350180"/>
    <w:rsid w:val="003501A4"/>
    <w:rsid w:val="00351F0F"/>
    <w:rsid w:val="003530CA"/>
    <w:rsid w:val="00355D7E"/>
    <w:rsid w:val="00356889"/>
    <w:rsid w:val="0036156F"/>
    <w:rsid w:val="003616D8"/>
    <w:rsid w:val="00362295"/>
    <w:rsid w:val="0036299F"/>
    <w:rsid w:val="003641AD"/>
    <w:rsid w:val="00365CE2"/>
    <w:rsid w:val="00365E1F"/>
    <w:rsid w:val="00366A2B"/>
    <w:rsid w:val="00366F59"/>
    <w:rsid w:val="00370495"/>
    <w:rsid w:val="00370E63"/>
    <w:rsid w:val="003717DA"/>
    <w:rsid w:val="00372B35"/>
    <w:rsid w:val="00373CB0"/>
    <w:rsid w:val="003742B4"/>
    <w:rsid w:val="00375EF9"/>
    <w:rsid w:val="0037626C"/>
    <w:rsid w:val="00381EC6"/>
    <w:rsid w:val="0038388D"/>
    <w:rsid w:val="00385772"/>
    <w:rsid w:val="003877F5"/>
    <w:rsid w:val="00390513"/>
    <w:rsid w:val="00390524"/>
    <w:rsid w:val="003921AE"/>
    <w:rsid w:val="003930A3"/>
    <w:rsid w:val="003943D1"/>
    <w:rsid w:val="00394AB0"/>
    <w:rsid w:val="00396869"/>
    <w:rsid w:val="00396B8E"/>
    <w:rsid w:val="00396BC0"/>
    <w:rsid w:val="003A1DF1"/>
    <w:rsid w:val="003A21B2"/>
    <w:rsid w:val="003A25B2"/>
    <w:rsid w:val="003A2822"/>
    <w:rsid w:val="003A2DA0"/>
    <w:rsid w:val="003A4453"/>
    <w:rsid w:val="003A48AD"/>
    <w:rsid w:val="003A5CD8"/>
    <w:rsid w:val="003A66F4"/>
    <w:rsid w:val="003A6963"/>
    <w:rsid w:val="003B28F4"/>
    <w:rsid w:val="003B30D9"/>
    <w:rsid w:val="003B4C60"/>
    <w:rsid w:val="003B54C1"/>
    <w:rsid w:val="003B6CD1"/>
    <w:rsid w:val="003C0C08"/>
    <w:rsid w:val="003C12E0"/>
    <w:rsid w:val="003C1542"/>
    <w:rsid w:val="003C3274"/>
    <w:rsid w:val="003C3743"/>
    <w:rsid w:val="003C37C5"/>
    <w:rsid w:val="003C38FA"/>
    <w:rsid w:val="003C4FD9"/>
    <w:rsid w:val="003C5684"/>
    <w:rsid w:val="003C6674"/>
    <w:rsid w:val="003C7102"/>
    <w:rsid w:val="003D0731"/>
    <w:rsid w:val="003D38D5"/>
    <w:rsid w:val="003D3B22"/>
    <w:rsid w:val="003D7AFD"/>
    <w:rsid w:val="003E0060"/>
    <w:rsid w:val="003E4C0F"/>
    <w:rsid w:val="003E697F"/>
    <w:rsid w:val="003E7191"/>
    <w:rsid w:val="003F20A0"/>
    <w:rsid w:val="003F2E53"/>
    <w:rsid w:val="003F604F"/>
    <w:rsid w:val="003F63F7"/>
    <w:rsid w:val="003F724F"/>
    <w:rsid w:val="00400395"/>
    <w:rsid w:val="0040238E"/>
    <w:rsid w:val="00402CBC"/>
    <w:rsid w:val="0040317E"/>
    <w:rsid w:val="004033CF"/>
    <w:rsid w:val="00403C44"/>
    <w:rsid w:val="00404F9B"/>
    <w:rsid w:val="0040629E"/>
    <w:rsid w:val="0040696E"/>
    <w:rsid w:val="00411026"/>
    <w:rsid w:val="00411C60"/>
    <w:rsid w:val="0041592C"/>
    <w:rsid w:val="00420787"/>
    <w:rsid w:val="00420A09"/>
    <w:rsid w:val="00420C68"/>
    <w:rsid w:val="004222D6"/>
    <w:rsid w:val="004236EE"/>
    <w:rsid w:val="00423A7E"/>
    <w:rsid w:val="004241E7"/>
    <w:rsid w:val="004243E2"/>
    <w:rsid w:val="00426D6D"/>
    <w:rsid w:val="0043181B"/>
    <w:rsid w:val="004328A5"/>
    <w:rsid w:val="0043415A"/>
    <w:rsid w:val="004367D4"/>
    <w:rsid w:val="00436B05"/>
    <w:rsid w:val="00437730"/>
    <w:rsid w:val="00440F9C"/>
    <w:rsid w:val="004411BC"/>
    <w:rsid w:val="0044470E"/>
    <w:rsid w:val="00445727"/>
    <w:rsid w:val="00446B82"/>
    <w:rsid w:val="004529B3"/>
    <w:rsid w:val="00453326"/>
    <w:rsid w:val="00453983"/>
    <w:rsid w:val="004544E6"/>
    <w:rsid w:val="0045609A"/>
    <w:rsid w:val="0045646F"/>
    <w:rsid w:val="00461264"/>
    <w:rsid w:val="0046193D"/>
    <w:rsid w:val="00463BBA"/>
    <w:rsid w:val="00464DA0"/>
    <w:rsid w:val="00465B76"/>
    <w:rsid w:val="00471652"/>
    <w:rsid w:val="00472939"/>
    <w:rsid w:val="004736A3"/>
    <w:rsid w:val="0047444B"/>
    <w:rsid w:val="00474D2D"/>
    <w:rsid w:val="004758C7"/>
    <w:rsid w:val="00476EE0"/>
    <w:rsid w:val="0047780C"/>
    <w:rsid w:val="0048032E"/>
    <w:rsid w:val="00480713"/>
    <w:rsid w:val="0048113B"/>
    <w:rsid w:val="00481A9C"/>
    <w:rsid w:val="00483D0E"/>
    <w:rsid w:val="00485005"/>
    <w:rsid w:val="00490415"/>
    <w:rsid w:val="00490C71"/>
    <w:rsid w:val="0049409D"/>
    <w:rsid w:val="00495BDD"/>
    <w:rsid w:val="004A07AB"/>
    <w:rsid w:val="004A275F"/>
    <w:rsid w:val="004A50BE"/>
    <w:rsid w:val="004A6B2F"/>
    <w:rsid w:val="004A7743"/>
    <w:rsid w:val="004A7924"/>
    <w:rsid w:val="004B17B7"/>
    <w:rsid w:val="004B225D"/>
    <w:rsid w:val="004B3F04"/>
    <w:rsid w:val="004B4780"/>
    <w:rsid w:val="004B4969"/>
    <w:rsid w:val="004B567B"/>
    <w:rsid w:val="004B5A14"/>
    <w:rsid w:val="004B5BE5"/>
    <w:rsid w:val="004B5F5A"/>
    <w:rsid w:val="004B6E02"/>
    <w:rsid w:val="004C0AA5"/>
    <w:rsid w:val="004C0FCB"/>
    <w:rsid w:val="004C1CF9"/>
    <w:rsid w:val="004C30F2"/>
    <w:rsid w:val="004C3F2B"/>
    <w:rsid w:val="004C4501"/>
    <w:rsid w:val="004C5247"/>
    <w:rsid w:val="004C5589"/>
    <w:rsid w:val="004C5B0E"/>
    <w:rsid w:val="004C5BD8"/>
    <w:rsid w:val="004C6BB6"/>
    <w:rsid w:val="004D0695"/>
    <w:rsid w:val="004D09C0"/>
    <w:rsid w:val="004D1924"/>
    <w:rsid w:val="004D58A8"/>
    <w:rsid w:val="004D6471"/>
    <w:rsid w:val="004D6CEC"/>
    <w:rsid w:val="004E146B"/>
    <w:rsid w:val="004E3069"/>
    <w:rsid w:val="004E71B6"/>
    <w:rsid w:val="004F0A31"/>
    <w:rsid w:val="004F2184"/>
    <w:rsid w:val="004F281C"/>
    <w:rsid w:val="004F293E"/>
    <w:rsid w:val="004F4B15"/>
    <w:rsid w:val="004F4CF7"/>
    <w:rsid w:val="004F5490"/>
    <w:rsid w:val="004F5681"/>
    <w:rsid w:val="004F6B8C"/>
    <w:rsid w:val="004F7490"/>
    <w:rsid w:val="004F756E"/>
    <w:rsid w:val="0050210E"/>
    <w:rsid w:val="0050222C"/>
    <w:rsid w:val="005031F0"/>
    <w:rsid w:val="0050433E"/>
    <w:rsid w:val="00505ED7"/>
    <w:rsid w:val="00510B4C"/>
    <w:rsid w:val="00511CCE"/>
    <w:rsid w:val="00511F66"/>
    <w:rsid w:val="005120B1"/>
    <w:rsid w:val="005143B1"/>
    <w:rsid w:val="00516782"/>
    <w:rsid w:val="00516B0E"/>
    <w:rsid w:val="00517477"/>
    <w:rsid w:val="00517962"/>
    <w:rsid w:val="00517AC4"/>
    <w:rsid w:val="005219CB"/>
    <w:rsid w:val="00522D5E"/>
    <w:rsid w:val="005238E2"/>
    <w:rsid w:val="00523D9F"/>
    <w:rsid w:val="00524AB1"/>
    <w:rsid w:val="00524F3B"/>
    <w:rsid w:val="00525FD3"/>
    <w:rsid w:val="00531D5A"/>
    <w:rsid w:val="005325F1"/>
    <w:rsid w:val="00533417"/>
    <w:rsid w:val="00534C1F"/>
    <w:rsid w:val="00535A08"/>
    <w:rsid w:val="0053683A"/>
    <w:rsid w:val="00537D83"/>
    <w:rsid w:val="00540AFC"/>
    <w:rsid w:val="00540E7F"/>
    <w:rsid w:val="00541879"/>
    <w:rsid w:val="00544E89"/>
    <w:rsid w:val="00545DB7"/>
    <w:rsid w:val="00545EA3"/>
    <w:rsid w:val="00546A65"/>
    <w:rsid w:val="005476D9"/>
    <w:rsid w:val="0055019D"/>
    <w:rsid w:val="005507BD"/>
    <w:rsid w:val="00552149"/>
    <w:rsid w:val="005526FA"/>
    <w:rsid w:val="00552AC4"/>
    <w:rsid w:val="00552CA1"/>
    <w:rsid w:val="00554168"/>
    <w:rsid w:val="00560F72"/>
    <w:rsid w:val="005613D3"/>
    <w:rsid w:val="005616CE"/>
    <w:rsid w:val="00562B84"/>
    <w:rsid w:val="00562F5C"/>
    <w:rsid w:val="0056318D"/>
    <w:rsid w:val="00563446"/>
    <w:rsid w:val="00564F8B"/>
    <w:rsid w:val="00565B06"/>
    <w:rsid w:val="00565BE1"/>
    <w:rsid w:val="00565C95"/>
    <w:rsid w:val="0056616C"/>
    <w:rsid w:val="005672BF"/>
    <w:rsid w:val="005701CE"/>
    <w:rsid w:val="00571389"/>
    <w:rsid w:val="00571611"/>
    <w:rsid w:val="00571F08"/>
    <w:rsid w:val="005724C7"/>
    <w:rsid w:val="00573BCE"/>
    <w:rsid w:val="00574988"/>
    <w:rsid w:val="0057563D"/>
    <w:rsid w:val="0057571B"/>
    <w:rsid w:val="00575AD3"/>
    <w:rsid w:val="00576073"/>
    <w:rsid w:val="00580E64"/>
    <w:rsid w:val="00583013"/>
    <w:rsid w:val="00586AA0"/>
    <w:rsid w:val="00587E19"/>
    <w:rsid w:val="0059016B"/>
    <w:rsid w:val="0059056E"/>
    <w:rsid w:val="00597AA9"/>
    <w:rsid w:val="00597FE7"/>
    <w:rsid w:val="005A3163"/>
    <w:rsid w:val="005A4811"/>
    <w:rsid w:val="005B1126"/>
    <w:rsid w:val="005B1EDE"/>
    <w:rsid w:val="005B6B19"/>
    <w:rsid w:val="005B7943"/>
    <w:rsid w:val="005C016C"/>
    <w:rsid w:val="005C12EB"/>
    <w:rsid w:val="005C59AB"/>
    <w:rsid w:val="005D098B"/>
    <w:rsid w:val="005D169D"/>
    <w:rsid w:val="005D2A0E"/>
    <w:rsid w:val="005D2D33"/>
    <w:rsid w:val="005D6F67"/>
    <w:rsid w:val="005D7E4F"/>
    <w:rsid w:val="005E0877"/>
    <w:rsid w:val="005E087A"/>
    <w:rsid w:val="005E1FD2"/>
    <w:rsid w:val="005E2DEC"/>
    <w:rsid w:val="005E30CF"/>
    <w:rsid w:val="005E3361"/>
    <w:rsid w:val="005E56D7"/>
    <w:rsid w:val="005F0803"/>
    <w:rsid w:val="005F2A3F"/>
    <w:rsid w:val="005F2FE4"/>
    <w:rsid w:val="005F3618"/>
    <w:rsid w:val="005F3A0F"/>
    <w:rsid w:val="005F4EBA"/>
    <w:rsid w:val="00601DC4"/>
    <w:rsid w:val="00601EEA"/>
    <w:rsid w:val="00602DAB"/>
    <w:rsid w:val="00603CFC"/>
    <w:rsid w:val="00603DB7"/>
    <w:rsid w:val="00605411"/>
    <w:rsid w:val="00610A09"/>
    <w:rsid w:val="00610F9E"/>
    <w:rsid w:val="00613099"/>
    <w:rsid w:val="00614A9E"/>
    <w:rsid w:val="006158F6"/>
    <w:rsid w:val="00620412"/>
    <w:rsid w:val="00625227"/>
    <w:rsid w:val="006252A9"/>
    <w:rsid w:val="00625698"/>
    <w:rsid w:val="00625784"/>
    <w:rsid w:val="00627277"/>
    <w:rsid w:val="00627F6B"/>
    <w:rsid w:val="00627FCE"/>
    <w:rsid w:val="0063189C"/>
    <w:rsid w:val="00631F54"/>
    <w:rsid w:val="0063234F"/>
    <w:rsid w:val="0063280A"/>
    <w:rsid w:val="00632C46"/>
    <w:rsid w:val="0063565F"/>
    <w:rsid w:val="00635D22"/>
    <w:rsid w:val="006361A7"/>
    <w:rsid w:val="00640137"/>
    <w:rsid w:val="00640289"/>
    <w:rsid w:val="00640358"/>
    <w:rsid w:val="00640B7C"/>
    <w:rsid w:val="00641925"/>
    <w:rsid w:val="00642AE8"/>
    <w:rsid w:val="006437A6"/>
    <w:rsid w:val="006458CA"/>
    <w:rsid w:val="006467D4"/>
    <w:rsid w:val="00647BA1"/>
    <w:rsid w:val="006509DF"/>
    <w:rsid w:val="006539EE"/>
    <w:rsid w:val="00657B22"/>
    <w:rsid w:val="00662B47"/>
    <w:rsid w:val="006663E2"/>
    <w:rsid w:val="00666FC9"/>
    <w:rsid w:val="0066797A"/>
    <w:rsid w:val="00667EE5"/>
    <w:rsid w:val="00670B71"/>
    <w:rsid w:val="00671518"/>
    <w:rsid w:val="0067322E"/>
    <w:rsid w:val="00674433"/>
    <w:rsid w:val="00674E07"/>
    <w:rsid w:val="0067512F"/>
    <w:rsid w:val="00675227"/>
    <w:rsid w:val="00675CDF"/>
    <w:rsid w:val="00676000"/>
    <w:rsid w:val="0068149F"/>
    <w:rsid w:val="0068153D"/>
    <w:rsid w:val="00681F0E"/>
    <w:rsid w:val="00682C63"/>
    <w:rsid w:val="0068671B"/>
    <w:rsid w:val="006909A5"/>
    <w:rsid w:val="00693390"/>
    <w:rsid w:val="00694B4D"/>
    <w:rsid w:val="00694BD2"/>
    <w:rsid w:val="006952DC"/>
    <w:rsid w:val="006959D8"/>
    <w:rsid w:val="00697AC9"/>
    <w:rsid w:val="006A0AEE"/>
    <w:rsid w:val="006A2D47"/>
    <w:rsid w:val="006A2F57"/>
    <w:rsid w:val="006A7340"/>
    <w:rsid w:val="006B07D6"/>
    <w:rsid w:val="006B0C4B"/>
    <w:rsid w:val="006B2467"/>
    <w:rsid w:val="006B25DB"/>
    <w:rsid w:val="006B513C"/>
    <w:rsid w:val="006B538E"/>
    <w:rsid w:val="006C11A2"/>
    <w:rsid w:val="006C1B65"/>
    <w:rsid w:val="006C4223"/>
    <w:rsid w:val="006C5399"/>
    <w:rsid w:val="006C5E03"/>
    <w:rsid w:val="006C6AA0"/>
    <w:rsid w:val="006C6F74"/>
    <w:rsid w:val="006D0975"/>
    <w:rsid w:val="006D2543"/>
    <w:rsid w:val="006D3C2B"/>
    <w:rsid w:val="006D5CBD"/>
    <w:rsid w:val="006D61B4"/>
    <w:rsid w:val="006D6336"/>
    <w:rsid w:val="006E031A"/>
    <w:rsid w:val="006E1DEE"/>
    <w:rsid w:val="006E1FA0"/>
    <w:rsid w:val="006E208B"/>
    <w:rsid w:val="006E20AF"/>
    <w:rsid w:val="006E38A9"/>
    <w:rsid w:val="006E3D3C"/>
    <w:rsid w:val="006E658E"/>
    <w:rsid w:val="006E6D24"/>
    <w:rsid w:val="006F0983"/>
    <w:rsid w:val="006F1807"/>
    <w:rsid w:val="006F47AC"/>
    <w:rsid w:val="006F6EA8"/>
    <w:rsid w:val="0070121F"/>
    <w:rsid w:val="00703443"/>
    <w:rsid w:val="00705CEF"/>
    <w:rsid w:val="00705D37"/>
    <w:rsid w:val="007068C2"/>
    <w:rsid w:val="00713FAC"/>
    <w:rsid w:val="00714FCB"/>
    <w:rsid w:val="007151BB"/>
    <w:rsid w:val="007156A7"/>
    <w:rsid w:val="00715BB2"/>
    <w:rsid w:val="00716D03"/>
    <w:rsid w:val="0072144A"/>
    <w:rsid w:val="00721B12"/>
    <w:rsid w:val="0072576F"/>
    <w:rsid w:val="00726002"/>
    <w:rsid w:val="0072657A"/>
    <w:rsid w:val="00731501"/>
    <w:rsid w:val="0073177B"/>
    <w:rsid w:val="00731B18"/>
    <w:rsid w:val="00732118"/>
    <w:rsid w:val="007326E6"/>
    <w:rsid w:val="00733D33"/>
    <w:rsid w:val="00734683"/>
    <w:rsid w:val="0073565F"/>
    <w:rsid w:val="00736EEE"/>
    <w:rsid w:val="0073764D"/>
    <w:rsid w:val="00737D74"/>
    <w:rsid w:val="00737E0F"/>
    <w:rsid w:val="007402A3"/>
    <w:rsid w:val="00740CC1"/>
    <w:rsid w:val="007439E5"/>
    <w:rsid w:val="0074402E"/>
    <w:rsid w:val="00744676"/>
    <w:rsid w:val="007454F5"/>
    <w:rsid w:val="00745642"/>
    <w:rsid w:val="00750961"/>
    <w:rsid w:val="0075187C"/>
    <w:rsid w:val="00754A6B"/>
    <w:rsid w:val="00755B2F"/>
    <w:rsid w:val="0075669A"/>
    <w:rsid w:val="00756C66"/>
    <w:rsid w:val="00761166"/>
    <w:rsid w:val="00761E57"/>
    <w:rsid w:val="00763608"/>
    <w:rsid w:val="007638D3"/>
    <w:rsid w:val="00763906"/>
    <w:rsid w:val="00764652"/>
    <w:rsid w:val="00766034"/>
    <w:rsid w:val="00766091"/>
    <w:rsid w:val="007672A2"/>
    <w:rsid w:val="00770ADD"/>
    <w:rsid w:val="00771722"/>
    <w:rsid w:val="007749F7"/>
    <w:rsid w:val="00775290"/>
    <w:rsid w:val="00775A5C"/>
    <w:rsid w:val="007761CF"/>
    <w:rsid w:val="00776DBF"/>
    <w:rsid w:val="007770EB"/>
    <w:rsid w:val="007818F3"/>
    <w:rsid w:val="007819A9"/>
    <w:rsid w:val="0078415D"/>
    <w:rsid w:val="007854C3"/>
    <w:rsid w:val="00787079"/>
    <w:rsid w:val="00787312"/>
    <w:rsid w:val="0079062F"/>
    <w:rsid w:val="007906A5"/>
    <w:rsid w:val="007913C7"/>
    <w:rsid w:val="00791E65"/>
    <w:rsid w:val="00792050"/>
    <w:rsid w:val="00793572"/>
    <w:rsid w:val="007939D6"/>
    <w:rsid w:val="00793DF2"/>
    <w:rsid w:val="00794B4A"/>
    <w:rsid w:val="0079695A"/>
    <w:rsid w:val="00796CA4"/>
    <w:rsid w:val="007A2171"/>
    <w:rsid w:val="007A3B65"/>
    <w:rsid w:val="007A3F34"/>
    <w:rsid w:val="007A4650"/>
    <w:rsid w:val="007A46AB"/>
    <w:rsid w:val="007A4731"/>
    <w:rsid w:val="007A54B5"/>
    <w:rsid w:val="007A5C1E"/>
    <w:rsid w:val="007A6BA4"/>
    <w:rsid w:val="007A790E"/>
    <w:rsid w:val="007A7983"/>
    <w:rsid w:val="007B1000"/>
    <w:rsid w:val="007B23AB"/>
    <w:rsid w:val="007B3C43"/>
    <w:rsid w:val="007B5A0E"/>
    <w:rsid w:val="007B5F66"/>
    <w:rsid w:val="007B6565"/>
    <w:rsid w:val="007B7BC0"/>
    <w:rsid w:val="007C16B1"/>
    <w:rsid w:val="007C1AF4"/>
    <w:rsid w:val="007C1E65"/>
    <w:rsid w:val="007C235E"/>
    <w:rsid w:val="007C25A4"/>
    <w:rsid w:val="007C287A"/>
    <w:rsid w:val="007C57D4"/>
    <w:rsid w:val="007C7223"/>
    <w:rsid w:val="007C76AF"/>
    <w:rsid w:val="007D1FFD"/>
    <w:rsid w:val="007D2AD1"/>
    <w:rsid w:val="007D3868"/>
    <w:rsid w:val="007D47D3"/>
    <w:rsid w:val="007E1233"/>
    <w:rsid w:val="007E177D"/>
    <w:rsid w:val="007E2D9C"/>
    <w:rsid w:val="007E3D08"/>
    <w:rsid w:val="007E3FBB"/>
    <w:rsid w:val="007E65BA"/>
    <w:rsid w:val="007E690E"/>
    <w:rsid w:val="007F20EB"/>
    <w:rsid w:val="007F22D3"/>
    <w:rsid w:val="007F2981"/>
    <w:rsid w:val="007F2BDD"/>
    <w:rsid w:val="007F4414"/>
    <w:rsid w:val="007F5AAE"/>
    <w:rsid w:val="007F7369"/>
    <w:rsid w:val="008013E5"/>
    <w:rsid w:val="008013F3"/>
    <w:rsid w:val="00801761"/>
    <w:rsid w:val="00801E53"/>
    <w:rsid w:val="008061F3"/>
    <w:rsid w:val="00806859"/>
    <w:rsid w:val="00807310"/>
    <w:rsid w:val="00811F84"/>
    <w:rsid w:val="008132B1"/>
    <w:rsid w:val="00813574"/>
    <w:rsid w:val="00814D71"/>
    <w:rsid w:val="00815426"/>
    <w:rsid w:val="00815D74"/>
    <w:rsid w:val="008164E1"/>
    <w:rsid w:val="00816CEF"/>
    <w:rsid w:val="00816D04"/>
    <w:rsid w:val="00817781"/>
    <w:rsid w:val="008207D6"/>
    <w:rsid w:val="00821BA7"/>
    <w:rsid w:val="00825994"/>
    <w:rsid w:val="0082741C"/>
    <w:rsid w:val="008308B6"/>
    <w:rsid w:val="008310F8"/>
    <w:rsid w:val="00831D1B"/>
    <w:rsid w:val="00832178"/>
    <w:rsid w:val="0083270C"/>
    <w:rsid w:val="008400D4"/>
    <w:rsid w:val="00841EA0"/>
    <w:rsid w:val="0084430B"/>
    <w:rsid w:val="00844522"/>
    <w:rsid w:val="0084452E"/>
    <w:rsid w:val="00844772"/>
    <w:rsid w:val="0084618A"/>
    <w:rsid w:val="00846A25"/>
    <w:rsid w:val="00850E8E"/>
    <w:rsid w:val="00851D37"/>
    <w:rsid w:val="00852B51"/>
    <w:rsid w:val="00852F5A"/>
    <w:rsid w:val="00853E6E"/>
    <w:rsid w:val="00853EF0"/>
    <w:rsid w:val="0085467B"/>
    <w:rsid w:val="00854D93"/>
    <w:rsid w:val="00855D78"/>
    <w:rsid w:val="00857094"/>
    <w:rsid w:val="00857CD0"/>
    <w:rsid w:val="00860639"/>
    <w:rsid w:val="00860EA3"/>
    <w:rsid w:val="00862783"/>
    <w:rsid w:val="00863BA2"/>
    <w:rsid w:val="00864B87"/>
    <w:rsid w:val="00865DA9"/>
    <w:rsid w:val="008721AC"/>
    <w:rsid w:val="0087231D"/>
    <w:rsid w:val="00872E8F"/>
    <w:rsid w:val="00873FB2"/>
    <w:rsid w:val="008763B1"/>
    <w:rsid w:val="008805DA"/>
    <w:rsid w:val="008810B7"/>
    <w:rsid w:val="00882FAC"/>
    <w:rsid w:val="00886DDA"/>
    <w:rsid w:val="00890240"/>
    <w:rsid w:val="00890E90"/>
    <w:rsid w:val="00891D5A"/>
    <w:rsid w:val="0089217B"/>
    <w:rsid w:val="00892D1B"/>
    <w:rsid w:val="00896658"/>
    <w:rsid w:val="008978E2"/>
    <w:rsid w:val="008A21B9"/>
    <w:rsid w:val="008A57EE"/>
    <w:rsid w:val="008A5B94"/>
    <w:rsid w:val="008A6022"/>
    <w:rsid w:val="008A74A8"/>
    <w:rsid w:val="008A7570"/>
    <w:rsid w:val="008B0420"/>
    <w:rsid w:val="008B1E4B"/>
    <w:rsid w:val="008B1E70"/>
    <w:rsid w:val="008B2BD3"/>
    <w:rsid w:val="008B2CF9"/>
    <w:rsid w:val="008B3881"/>
    <w:rsid w:val="008B5B59"/>
    <w:rsid w:val="008B687B"/>
    <w:rsid w:val="008B6937"/>
    <w:rsid w:val="008C02DE"/>
    <w:rsid w:val="008C11A5"/>
    <w:rsid w:val="008C14FC"/>
    <w:rsid w:val="008C3B13"/>
    <w:rsid w:val="008C47A4"/>
    <w:rsid w:val="008C612F"/>
    <w:rsid w:val="008C62BC"/>
    <w:rsid w:val="008D15A6"/>
    <w:rsid w:val="008D164E"/>
    <w:rsid w:val="008D4799"/>
    <w:rsid w:val="008D486D"/>
    <w:rsid w:val="008D5609"/>
    <w:rsid w:val="008D6F71"/>
    <w:rsid w:val="008E01DE"/>
    <w:rsid w:val="008E23F7"/>
    <w:rsid w:val="008E420C"/>
    <w:rsid w:val="008E4AA4"/>
    <w:rsid w:val="008E5350"/>
    <w:rsid w:val="008E5484"/>
    <w:rsid w:val="008F0100"/>
    <w:rsid w:val="008F044D"/>
    <w:rsid w:val="008F0F5C"/>
    <w:rsid w:val="008F1C95"/>
    <w:rsid w:val="008F2BF4"/>
    <w:rsid w:val="008F55AE"/>
    <w:rsid w:val="008F562D"/>
    <w:rsid w:val="008F71F7"/>
    <w:rsid w:val="009065A5"/>
    <w:rsid w:val="0090685F"/>
    <w:rsid w:val="009073D8"/>
    <w:rsid w:val="00907DC4"/>
    <w:rsid w:val="009110E4"/>
    <w:rsid w:val="00912FAC"/>
    <w:rsid w:val="00914D99"/>
    <w:rsid w:val="00914E07"/>
    <w:rsid w:val="00914E95"/>
    <w:rsid w:val="0091546F"/>
    <w:rsid w:val="009177FC"/>
    <w:rsid w:val="00920480"/>
    <w:rsid w:val="00922071"/>
    <w:rsid w:val="00922B48"/>
    <w:rsid w:val="00922F9D"/>
    <w:rsid w:val="00923418"/>
    <w:rsid w:val="00923759"/>
    <w:rsid w:val="00924BCE"/>
    <w:rsid w:val="00924CBF"/>
    <w:rsid w:val="00927685"/>
    <w:rsid w:val="009278E8"/>
    <w:rsid w:val="00930F0B"/>
    <w:rsid w:val="00932A4A"/>
    <w:rsid w:val="0093362C"/>
    <w:rsid w:val="009336CE"/>
    <w:rsid w:val="00937648"/>
    <w:rsid w:val="0093764D"/>
    <w:rsid w:val="00937974"/>
    <w:rsid w:val="00937C93"/>
    <w:rsid w:val="009427F9"/>
    <w:rsid w:val="00944639"/>
    <w:rsid w:val="0094477F"/>
    <w:rsid w:val="00946BE1"/>
    <w:rsid w:val="00950662"/>
    <w:rsid w:val="009521D0"/>
    <w:rsid w:val="00953F4F"/>
    <w:rsid w:val="00961491"/>
    <w:rsid w:val="00961D91"/>
    <w:rsid w:val="00964AC5"/>
    <w:rsid w:val="00966E92"/>
    <w:rsid w:val="009705F3"/>
    <w:rsid w:val="00970F4B"/>
    <w:rsid w:val="009732F5"/>
    <w:rsid w:val="009752E2"/>
    <w:rsid w:val="00975642"/>
    <w:rsid w:val="009758E5"/>
    <w:rsid w:val="00975F82"/>
    <w:rsid w:val="009760AE"/>
    <w:rsid w:val="0097697C"/>
    <w:rsid w:val="009806F2"/>
    <w:rsid w:val="00982A2A"/>
    <w:rsid w:val="00984438"/>
    <w:rsid w:val="00984A14"/>
    <w:rsid w:val="0098563C"/>
    <w:rsid w:val="009862A1"/>
    <w:rsid w:val="00987DAC"/>
    <w:rsid w:val="00990105"/>
    <w:rsid w:val="009952E2"/>
    <w:rsid w:val="009960FB"/>
    <w:rsid w:val="009A05EE"/>
    <w:rsid w:val="009A2538"/>
    <w:rsid w:val="009A6745"/>
    <w:rsid w:val="009A6B64"/>
    <w:rsid w:val="009B13BD"/>
    <w:rsid w:val="009B16A9"/>
    <w:rsid w:val="009B21FA"/>
    <w:rsid w:val="009B2F4A"/>
    <w:rsid w:val="009B476A"/>
    <w:rsid w:val="009B4E5A"/>
    <w:rsid w:val="009B547D"/>
    <w:rsid w:val="009B5852"/>
    <w:rsid w:val="009B6819"/>
    <w:rsid w:val="009B6A01"/>
    <w:rsid w:val="009B6E7F"/>
    <w:rsid w:val="009C094E"/>
    <w:rsid w:val="009C2997"/>
    <w:rsid w:val="009C35BE"/>
    <w:rsid w:val="009C5612"/>
    <w:rsid w:val="009C7F7C"/>
    <w:rsid w:val="009D09F3"/>
    <w:rsid w:val="009D2B63"/>
    <w:rsid w:val="009D35C6"/>
    <w:rsid w:val="009D6838"/>
    <w:rsid w:val="009E0013"/>
    <w:rsid w:val="009E06BA"/>
    <w:rsid w:val="009E0FB1"/>
    <w:rsid w:val="009E22ED"/>
    <w:rsid w:val="009E2478"/>
    <w:rsid w:val="009E7E7D"/>
    <w:rsid w:val="009F0AA3"/>
    <w:rsid w:val="009F1B50"/>
    <w:rsid w:val="009F1CB3"/>
    <w:rsid w:val="009F42F4"/>
    <w:rsid w:val="009F4DC3"/>
    <w:rsid w:val="009F4E2A"/>
    <w:rsid w:val="009F61B8"/>
    <w:rsid w:val="009F6B7A"/>
    <w:rsid w:val="00A02A94"/>
    <w:rsid w:val="00A04625"/>
    <w:rsid w:val="00A04CE0"/>
    <w:rsid w:val="00A05458"/>
    <w:rsid w:val="00A0580C"/>
    <w:rsid w:val="00A10F64"/>
    <w:rsid w:val="00A11241"/>
    <w:rsid w:val="00A12668"/>
    <w:rsid w:val="00A1281C"/>
    <w:rsid w:val="00A12977"/>
    <w:rsid w:val="00A14F78"/>
    <w:rsid w:val="00A15ED9"/>
    <w:rsid w:val="00A17369"/>
    <w:rsid w:val="00A21226"/>
    <w:rsid w:val="00A23C14"/>
    <w:rsid w:val="00A25582"/>
    <w:rsid w:val="00A312B8"/>
    <w:rsid w:val="00A32BC5"/>
    <w:rsid w:val="00A33743"/>
    <w:rsid w:val="00A33E90"/>
    <w:rsid w:val="00A33F1C"/>
    <w:rsid w:val="00A35FBA"/>
    <w:rsid w:val="00A36429"/>
    <w:rsid w:val="00A36892"/>
    <w:rsid w:val="00A40489"/>
    <w:rsid w:val="00A40E5A"/>
    <w:rsid w:val="00A41604"/>
    <w:rsid w:val="00A41DB3"/>
    <w:rsid w:val="00A4398B"/>
    <w:rsid w:val="00A43F57"/>
    <w:rsid w:val="00A4559E"/>
    <w:rsid w:val="00A45912"/>
    <w:rsid w:val="00A45E86"/>
    <w:rsid w:val="00A47B0E"/>
    <w:rsid w:val="00A525A8"/>
    <w:rsid w:val="00A53453"/>
    <w:rsid w:val="00A53FBE"/>
    <w:rsid w:val="00A54216"/>
    <w:rsid w:val="00A54C2D"/>
    <w:rsid w:val="00A567FB"/>
    <w:rsid w:val="00A57620"/>
    <w:rsid w:val="00A60C35"/>
    <w:rsid w:val="00A65688"/>
    <w:rsid w:val="00A666BF"/>
    <w:rsid w:val="00A70042"/>
    <w:rsid w:val="00A70545"/>
    <w:rsid w:val="00A72810"/>
    <w:rsid w:val="00A73883"/>
    <w:rsid w:val="00A7492B"/>
    <w:rsid w:val="00A772E5"/>
    <w:rsid w:val="00A775E6"/>
    <w:rsid w:val="00A8065B"/>
    <w:rsid w:val="00A814BC"/>
    <w:rsid w:val="00A81F4A"/>
    <w:rsid w:val="00A8361E"/>
    <w:rsid w:val="00A83853"/>
    <w:rsid w:val="00A852E8"/>
    <w:rsid w:val="00A85E41"/>
    <w:rsid w:val="00A9264C"/>
    <w:rsid w:val="00A93533"/>
    <w:rsid w:val="00A94128"/>
    <w:rsid w:val="00A942EC"/>
    <w:rsid w:val="00A951A3"/>
    <w:rsid w:val="00A96D47"/>
    <w:rsid w:val="00AA068B"/>
    <w:rsid w:val="00AA313E"/>
    <w:rsid w:val="00AA339F"/>
    <w:rsid w:val="00AA786C"/>
    <w:rsid w:val="00AB045C"/>
    <w:rsid w:val="00AB0F54"/>
    <w:rsid w:val="00AB13AB"/>
    <w:rsid w:val="00AB19E2"/>
    <w:rsid w:val="00AB5AED"/>
    <w:rsid w:val="00AB75E1"/>
    <w:rsid w:val="00AC0CDB"/>
    <w:rsid w:val="00AC1BAA"/>
    <w:rsid w:val="00AC2E31"/>
    <w:rsid w:val="00AC3C6B"/>
    <w:rsid w:val="00AC4141"/>
    <w:rsid w:val="00AD191C"/>
    <w:rsid w:val="00AD245A"/>
    <w:rsid w:val="00AD2BF9"/>
    <w:rsid w:val="00AD342F"/>
    <w:rsid w:val="00AD6D69"/>
    <w:rsid w:val="00AD7520"/>
    <w:rsid w:val="00AE178D"/>
    <w:rsid w:val="00AE1D96"/>
    <w:rsid w:val="00AE2048"/>
    <w:rsid w:val="00AE5847"/>
    <w:rsid w:val="00AE6C79"/>
    <w:rsid w:val="00AE7F17"/>
    <w:rsid w:val="00AF0200"/>
    <w:rsid w:val="00AF02DF"/>
    <w:rsid w:val="00AF03D5"/>
    <w:rsid w:val="00AF20DB"/>
    <w:rsid w:val="00AF2683"/>
    <w:rsid w:val="00AF2944"/>
    <w:rsid w:val="00AF3154"/>
    <w:rsid w:val="00AF4E5A"/>
    <w:rsid w:val="00AF7C31"/>
    <w:rsid w:val="00B0141F"/>
    <w:rsid w:val="00B01543"/>
    <w:rsid w:val="00B02A7C"/>
    <w:rsid w:val="00B04C2B"/>
    <w:rsid w:val="00B053B5"/>
    <w:rsid w:val="00B05A92"/>
    <w:rsid w:val="00B07410"/>
    <w:rsid w:val="00B10246"/>
    <w:rsid w:val="00B10671"/>
    <w:rsid w:val="00B14B3F"/>
    <w:rsid w:val="00B165A7"/>
    <w:rsid w:val="00B16837"/>
    <w:rsid w:val="00B17CE7"/>
    <w:rsid w:val="00B17F38"/>
    <w:rsid w:val="00B21A78"/>
    <w:rsid w:val="00B21B58"/>
    <w:rsid w:val="00B26CAC"/>
    <w:rsid w:val="00B26F10"/>
    <w:rsid w:val="00B30AF4"/>
    <w:rsid w:val="00B33013"/>
    <w:rsid w:val="00B36EEB"/>
    <w:rsid w:val="00B37F8D"/>
    <w:rsid w:val="00B410D6"/>
    <w:rsid w:val="00B42F58"/>
    <w:rsid w:val="00B43B6E"/>
    <w:rsid w:val="00B45DD0"/>
    <w:rsid w:val="00B45FF4"/>
    <w:rsid w:val="00B462C2"/>
    <w:rsid w:val="00B46311"/>
    <w:rsid w:val="00B47965"/>
    <w:rsid w:val="00B5037F"/>
    <w:rsid w:val="00B504A5"/>
    <w:rsid w:val="00B50D10"/>
    <w:rsid w:val="00B50D29"/>
    <w:rsid w:val="00B51EDC"/>
    <w:rsid w:val="00B52A67"/>
    <w:rsid w:val="00B540F6"/>
    <w:rsid w:val="00B55DD7"/>
    <w:rsid w:val="00B56646"/>
    <w:rsid w:val="00B56D59"/>
    <w:rsid w:val="00B579AB"/>
    <w:rsid w:val="00B6103B"/>
    <w:rsid w:val="00B61397"/>
    <w:rsid w:val="00B62E42"/>
    <w:rsid w:val="00B62E71"/>
    <w:rsid w:val="00B63035"/>
    <w:rsid w:val="00B6370C"/>
    <w:rsid w:val="00B659A5"/>
    <w:rsid w:val="00B66F15"/>
    <w:rsid w:val="00B73851"/>
    <w:rsid w:val="00B7669C"/>
    <w:rsid w:val="00B76E6F"/>
    <w:rsid w:val="00B77719"/>
    <w:rsid w:val="00B77A8A"/>
    <w:rsid w:val="00B808C8"/>
    <w:rsid w:val="00B84155"/>
    <w:rsid w:val="00B86412"/>
    <w:rsid w:val="00B92E1D"/>
    <w:rsid w:val="00B942AD"/>
    <w:rsid w:val="00B95196"/>
    <w:rsid w:val="00B963D3"/>
    <w:rsid w:val="00B96E74"/>
    <w:rsid w:val="00B97FEB"/>
    <w:rsid w:val="00BA2331"/>
    <w:rsid w:val="00BA2E26"/>
    <w:rsid w:val="00BA3AD4"/>
    <w:rsid w:val="00BA4A2F"/>
    <w:rsid w:val="00BA6018"/>
    <w:rsid w:val="00BA71EB"/>
    <w:rsid w:val="00BA7411"/>
    <w:rsid w:val="00BB3617"/>
    <w:rsid w:val="00BB43B0"/>
    <w:rsid w:val="00BB4C93"/>
    <w:rsid w:val="00BB4DA7"/>
    <w:rsid w:val="00BB4DB1"/>
    <w:rsid w:val="00BB575D"/>
    <w:rsid w:val="00BB6F8F"/>
    <w:rsid w:val="00BC0255"/>
    <w:rsid w:val="00BC1201"/>
    <w:rsid w:val="00BC45BD"/>
    <w:rsid w:val="00BC467E"/>
    <w:rsid w:val="00BC4A1E"/>
    <w:rsid w:val="00BC4B4A"/>
    <w:rsid w:val="00BC6D4D"/>
    <w:rsid w:val="00BC6E17"/>
    <w:rsid w:val="00BC71CC"/>
    <w:rsid w:val="00BD153C"/>
    <w:rsid w:val="00BD70DA"/>
    <w:rsid w:val="00BE04F9"/>
    <w:rsid w:val="00BE1AB7"/>
    <w:rsid w:val="00BE28E3"/>
    <w:rsid w:val="00BE2C82"/>
    <w:rsid w:val="00BE590D"/>
    <w:rsid w:val="00BF0BE2"/>
    <w:rsid w:val="00BF0D98"/>
    <w:rsid w:val="00BF245B"/>
    <w:rsid w:val="00BF2C2B"/>
    <w:rsid w:val="00BF512D"/>
    <w:rsid w:val="00BF5C50"/>
    <w:rsid w:val="00BF5D15"/>
    <w:rsid w:val="00BF5DF8"/>
    <w:rsid w:val="00BF6CF9"/>
    <w:rsid w:val="00BF6E01"/>
    <w:rsid w:val="00C013B2"/>
    <w:rsid w:val="00C03473"/>
    <w:rsid w:val="00C06A22"/>
    <w:rsid w:val="00C06EA4"/>
    <w:rsid w:val="00C07A0E"/>
    <w:rsid w:val="00C14018"/>
    <w:rsid w:val="00C242BA"/>
    <w:rsid w:val="00C25E01"/>
    <w:rsid w:val="00C26589"/>
    <w:rsid w:val="00C2733C"/>
    <w:rsid w:val="00C30B64"/>
    <w:rsid w:val="00C3216D"/>
    <w:rsid w:val="00C32977"/>
    <w:rsid w:val="00C35213"/>
    <w:rsid w:val="00C37334"/>
    <w:rsid w:val="00C40410"/>
    <w:rsid w:val="00C4193A"/>
    <w:rsid w:val="00C47140"/>
    <w:rsid w:val="00C473F4"/>
    <w:rsid w:val="00C513A4"/>
    <w:rsid w:val="00C55656"/>
    <w:rsid w:val="00C5673D"/>
    <w:rsid w:val="00C60594"/>
    <w:rsid w:val="00C61B38"/>
    <w:rsid w:val="00C646DB"/>
    <w:rsid w:val="00C654AF"/>
    <w:rsid w:val="00C66416"/>
    <w:rsid w:val="00C66B44"/>
    <w:rsid w:val="00C66BE3"/>
    <w:rsid w:val="00C721DB"/>
    <w:rsid w:val="00C73995"/>
    <w:rsid w:val="00C73C08"/>
    <w:rsid w:val="00C755EF"/>
    <w:rsid w:val="00C75D4F"/>
    <w:rsid w:val="00C7761F"/>
    <w:rsid w:val="00C7789E"/>
    <w:rsid w:val="00C77FF8"/>
    <w:rsid w:val="00C827B8"/>
    <w:rsid w:val="00C83DA4"/>
    <w:rsid w:val="00C841C9"/>
    <w:rsid w:val="00C86794"/>
    <w:rsid w:val="00C872E6"/>
    <w:rsid w:val="00C87B80"/>
    <w:rsid w:val="00C9129E"/>
    <w:rsid w:val="00C92807"/>
    <w:rsid w:val="00C929B7"/>
    <w:rsid w:val="00C95E22"/>
    <w:rsid w:val="00C9657E"/>
    <w:rsid w:val="00CA00E1"/>
    <w:rsid w:val="00CA0933"/>
    <w:rsid w:val="00CA0BEC"/>
    <w:rsid w:val="00CA192E"/>
    <w:rsid w:val="00CA194F"/>
    <w:rsid w:val="00CA29A9"/>
    <w:rsid w:val="00CA2CBF"/>
    <w:rsid w:val="00CB0F30"/>
    <w:rsid w:val="00CB1D57"/>
    <w:rsid w:val="00CB236B"/>
    <w:rsid w:val="00CB4505"/>
    <w:rsid w:val="00CB50A8"/>
    <w:rsid w:val="00CB64E0"/>
    <w:rsid w:val="00CB67D1"/>
    <w:rsid w:val="00CB7E4E"/>
    <w:rsid w:val="00CC03B4"/>
    <w:rsid w:val="00CC0791"/>
    <w:rsid w:val="00CC083B"/>
    <w:rsid w:val="00CC1BA4"/>
    <w:rsid w:val="00CC1CED"/>
    <w:rsid w:val="00CC2D74"/>
    <w:rsid w:val="00CC3AB0"/>
    <w:rsid w:val="00CC42ED"/>
    <w:rsid w:val="00CC4440"/>
    <w:rsid w:val="00CC5F7B"/>
    <w:rsid w:val="00CC6DA6"/>
    <w:rsid w:val="00CD31B9"/>
    <w:rsid w:val="00CD336B"/>
    <w:rsid w:val="00CD41E7"/>
    <w:rsid w:val="00CD4419"/>
    <w:rsid w:val="00CD467E"/>
    <w:rsid w:val="00CD5B2D"/>
    <w:rsid w:val="00CD65A9"/>
    <w:rsid w:val="00CE0668"/>
    <w:rsid w:val="00CE58A0"/>
    <w:rsid w:val="00CE5D0D"/>
    <w:rsid w:val="00CE6305"/>
    <w:rsid w:val="00CE6E77"/>
    <w:rsid w:val="00CF01AB"/>
    <w:rsid w:val="00CF0BFE"/>
    <w:rsid w:val="00CF37CF"/>
    <w:rsid w:val="00CF3814"/>
    <w:rsid w:val="00CF5470"/>
    <w:rsid w:val="00CF57F7"/>
    <w:rsid w:val="00CF587B"/>
    <w:rsid w:val="00CF6CC8"/>
    <w:rsid w:val="00CF6F7A"/>
    <w:rsid w:val="00CF77C2"/>
    <w:rsid w:val="00CF7BDA"/>
    <w:rsid w:val="00D00BBD"/>
    <w:rsid w:val="00D01020"/>
    <w:rsid w:val="00D018AD"/>
    <w:rsid w:val="00D030C1"/>
    <w:rsid w:val="00D03F46"/>
    <w:rsid w:val="00D04879"/>
    <w:rsid w:val="00D1232F"/>
    <w:rsid w:val="00D1328A"/>
    <w:rsid w:val="00D134A7"/>
    <w:rsid w:val="00D14280"/>
    <w:rsid w:val="00D1478A"/>
    <w:rsid w:val="00D16732"/>
    <w:rsid w:val="00D16DE5"/>
    <w:rsid w:val="00D21292"/>
    <w:rsid w:val="00D24D76"/>
    <w:rsid w:val="00D25C2A"/>
    <w:rsid w:val="00D354DE"/>
    <w:rsid w:val="00D3726A"/>
    <w:rsid w:val="00D41A27"/>
    <w:rsid w:val="00D41A75"/>
    <w:rsid w:val="00D42191"/>
    <w:rsid w:val="00D421DB"/>
    <w:rsid w:val="00D4449B"/>
    <w:rsid w:val="00D44647"/>
    <w:rsid w:val="00D44B57"/>
    <w:rsid w:val="00D45E4B"/>
    <w:rsid w:val="00D45FB2"/>
    <w:rsid w:val="00D46584"/>
    <w:rsid w:val="00D521DF"/>
    <w:rsid w:val="00D5293B"/>
    <w:rsid w:val="00D53C25"/>
    <w:rsid w:val="00D57FBF"/>
    <w:rsid w:val="00D60D3A"/>
    <w:rsid w:val="00D62BD6"/>
    <w:rsid w:val="00D64442"/>
    <w:rsid w:val="00D65AC9"/>
    <w:rsid w:val="00D65F16"/>
    <w:rsid w:val="00D66258"/>
    <w:rsid w:val="00D6773B"/>
    <w:rsid w:val="00D706BC"/>
    <w:rsid w:val="00D712EA"/>
    <w:rsid w:val="00D73E19"/>
    <w:rsid w:val="00D74CE3"/>
    <w:rsid w:val="00D758A4"/>
    <w:rsid w:val="00D80233"/>
    <w:rsid w:val="00D80764"/>
    <w:rsid w:val="00D8132A"/>
    <w:rsid w:val="00D829B4"/>
    <w:rsid w:val="00D83365"/>
    <w:rsid w:val="00D8415F"/>
    <w:rsid w:val="00D8598B"/>
    <w:rsid w:val="00D8661B"/>
    <w:rsid w:val="00D87578"/>
    <w:rsid w:val="00D903DF"/>
    <w:rsid w:val="00D90E66"/>
    <w:rsid w:val="00D92901"/>
    <w:rsid w:val="00D92D97"/>
    <w:rsid w:val="00D954BC"/>
    <w:rsid w:val="00D95D8A"/>
    <w:rsid w:val="00D96671"/>
    <w:rsid w:val="00DA1C7F"/>
    <w:rsid w:val="00DA1C84"/>
    <w:rsid w:val="00DA2E88"/>
    <w:rsid w:val="00DA32C0"/>
    <w:rsid w:val="00DA3FED"/>
    <w:rsid w:val="00DA544C"/>
    <w:rsid w:val="00DA7B86"/>
    <w:rsid w:val="00DB3E4B"/>
    <w:rsid w:val="00DB5547"/>
    <w:rsid w:val="00DB5FE2"/>
    <w:rsid w:val="00DB7AEB"/>
    <w:rsid w:val="00DC0963"/>
    <w:rsid w:val="00DC1EEB"/>
    <w:rsid w:val="00DC3305"/>
    <w:rsid w:val="00DC55EE"/>
    <w:rsid w:val="00DC745E"/>
    <w:rsid w:val="00DC7D65"/>
    <w:rsid w:val="00DD01AD"/>
    <w:rsid w:val="00DD094A"/>
    <w:rsid w:val="00DD274C"/>
    <w:rsid w:val="00DD2E67"/>
    <w:rsid w:val="00DD4C1A"/>
    <w:rsid w:val="00DD7045"/>
    <w:rsid w:val="00DD72F5"/>
    <w:rsid w:val="00DD7353"/>
    <w:rsid w:val="00DE1561"/>
    <w:rsid w:val="00DE31BD"/>
    <w:rsid w:val="00DE33AB"/>
    <w:rsid w:val="00DE3DA4"/>
    <w:rsid w:val="00DE4353"/>
    <w:rsid w:val="00DE5552"/>
    <w:rsid w:val="00DE5DA2"/>
    <w:rsid w:val="00DE6554"/>
    <w:rsid w:val="00DE7ED4"/>
    <w:rsid w:val="00DF267E"/>
    <w:rsid w:val="00DF31E0"/>
    <w:rsid w:val="00E00ADB"/>
    <w:rsid w:val="00E055C7"/>
    <w:rsid w:val="00E05D4E"/>
    <w:rsid w:val="00E062C6"/>
    <w:rsid w:val="00E07A57"/>
    <w:rsid w:val="00E107BD"/>
    <w:rsid w:val="00E1093C"/>
    <w:rsid w:val="00E13107"/>
    <w:rsid w:val="00E13E58"/>
    <w:rsid w:val="00E20BE6"/>
    <w:rsid w:val="00E2291D"/>
    <w:rsid w:val="00E24B08"/>
    <w:rsid w:val="00E24B59"/>
    <w:rsid w:val="00E24FDE"/>
    <w:rsid w:val="00E303BC"/>
    <w:rsid w:val="00E308E6"/>
    <w:rsid w:val="00E313E3"/>
    <w:rsid w:val="00E31482"/>
    <w:rsid w:val="00E32CFA"/>
    <w:rsid w:val="00E35550"/>
    <w:rsid w:val="00E42A0B"/>
    <w:rsid w:val="00E4543A"/>
    <w:rsid w:val="00E472FB"/>
    <w:rsid w:val="00E50A58"/>
    <w:rsid w:val="00E52989"/>
    <w:rsid w:val="00E613A3"/>
    <w:rsid w:val="00E62AE3"/>
    <w:rsid w:val="00E62D68"/>
    <w:rsid w:val="00E640EA"/>
    <w:rsid w:val="00E66D83"/>
    <w:rsid w:val="00E67205"/>
    <w:rsid w:val="00E70818"/>
    <w:rsid w:val="00E70849"/>
    <w:rsid w:val="00E7300B"/>
    <w:rsid w:val="00E750A3"/>
    <w:rsid w:val="00E75A02"/>
    <w:rsid w:val="00E75C1E"/>
    <w:rsid w:val="00E77503"/>
    <w:rsid w:val="00E777D0"/>
    <w:rsid w:val="00E77F45"/>
    <w:rsid w:val="00E81C5B"/>
    <w:rsid w:val="00E83254"/>
    <w:rsid w:val="00E8526A"/>
    <w:rsid w:val="00E86A10"/>
    <w:rsid w:val="00E87612"/>
    <w:rsid w:val="00E90AB1"/>
    <w:rsid w:val="00E9174F"/>
    <w:rsid w:val="00E926D1"/>
    <w:rsid w:val="00E9374C"/>
    <w:rsid w:val="00E93BE7"/>
    <w:rsid w:val="00E93FEC"/>
    <w:rsid w:val="00E94988"/>
    <w:rsid w:val="00E96522"/>
    <w:rsid w:val="00E9665A"/>
    <w:rsid w:val="00E96FD0"/>
    <w:rsid w:val="00EA1A82"/>
    <w:rsid w:val="00EA3642"/>
    <w:rsid w:val="00EA3A87"/>
    <w:rsid w:val="00EA4405"/>
    <w:rsid w:val="00EA67E0"/>
    <w:rsid w:val="00EA76EC"/>
    <w:rsid w:val="00EB0065"/>
    <w:rsid w:val="00EB00B2"/>
    <w:rsid w:val="00EB05B4"/>
    <w:rsid w:val="00EB05C5"/>
    <w:rsid w:val="00EB2BE6"/>
    <w:rsid w:val="00EB2C15"/>
    <w:rsid w:val="00EB2F64"/>
    <w:rsid w:val="00EB3FFE"/>
    <w:rsid w:val="00EB52D5"/>
    <w:rsid w:val="00EB5584"/>
    <w:rsid w:val="00EB57FB"/>
    <w:rsid w:val="00EB6282"/>
    <w:rsid w:val="00EB641E"/>
    <w:rsid w:val="00EC18EA"/>
    <w:rsid w:val="00EC2152"/>
    <w:rsid w:val="00EC3691"/>
    <w:rsid w:val="00EC3B04"/>
    <w:rsid w:val="00EC3D95"/>
    <w:rsid w:val="00EC429A"/>
    <w:rsid w:val="00EC63B2"/>
    <w:rsid w:val="00EC6710"/>
    <w:rsid w:val="00EC7C6E"/>
    <w:rsid w:val="00ED22BA"/>
    <w:rsid w:val="00ED2553"/>
    <w:rsid w:val="00ED4C99"/>
    <w:rsid w:val="00ED538C"/>
    <w:rsid w:val="00ED56BC"/>
    <w:rsid w:val="00ED71B2"/>
    <w:rsid w:val="00EE012E"/>
    <w:rsid w:val="00EE3C29"/>
    <w:rsid w:val="00EE48C2"/>
    <w:rsid w:val="00EF1182"/>
    <w:rsid w:val="00EF1F98"/>
    <w:rsid w:val="00EF20B5"/>
    <w:rsid w:val="00EF3765"/>
    <w:rsid w:val="00EF6B74"/>
    <w:rsid w:val="00EF6F94"/>
    <w:rsid w:val="00EF75E7"/>
    <w:rsid w:val="00EF7DE0"/>
    <w:rsid w:val="00F0091F"/>
    <w:rsid w:val="00F02C89"/>
    <w:rsid w:val="00F03FB1"/>
    <w:rsid w:val="00F06C45"/>
    <w:rsid w:val="00F108AC"/>
    <w:rsid w:val="00F17A97"/>
    <w:rsid w:val="00F21018"/>
    <w:rsid w:val="00F23BD2"/>
    <w:rsid w:val="00F247CD"/>
    <w:rsid w:val="00F24FF5"/>
    <w:rsid w:val="00F25E55"/>
    <w:rsid w:val="00F261D9"/>
    <w:rsid w:val="00F27A85"/>
    <w:rsid w:val="00F27B2D"/>
    <w:rsid w:val="00F308C9"/>
    <w:rsid w:val="00F31596"/>
    <w:rsid w:val="00F32665"/>
    <w:rsid w:val="00F32F33"/>
    <w:rsid w:val="00F33B2B"/>
    <w:rsid w:val="00F347D5"/>
    <w:rsid w:val="00F351F8"/>
    <w:rsid w:val="00F35EDC"/>
    <w:rsid w:val="00F36230"/>
    <w:rsid w:val="00F36D81"/>
    <w:rsid w:val="00F3797D"/>
    <w:rsid w:val="00F41EBE"/>
    <w:rsid w:val="00F42CAD"/>
    <w:rsid w:val="00F43E01"/>
    <w:rsid w:val="00F45D97"/>
    <w:rsid w:val="00F46B60"/>
    <w:rsid w:val="00F47949"/>
    <w:rsid w:val="00F50B78"/>
    <w:rsid w:val="00F5104E"/>
    <w:rsid w:val="00F51F38"/>
    <w:rsid w:val="00F52860"/>
    <w:rsid w:val="00F5311A"/>
    <w:rsid w:val="00F542C1"/>
    <w:rsid w:val="00F546E7"/>
    <w:rsid w:val="00F55E5D"/>
    <w:rsid w:val="00F573C5"/>
    <w:rsid w:val="00F60D8E"/>
    <w:rsid w:val="00F6186C"/>
    <w:rsid w:val="00F63F22"/>
    <w:rsid w:val="00F65FFB"/>
    <w:rsid w:val="00F721E8"/>
    <w:rsid w:val="00F724DE"/>
    <w:rsid w:val="00F731CE"/>
    <w:rsid w:val="00F75E37"/>
    <w:rsid w:val="00F7628D"/>
    <w:rsid w:val="00F809F8"/>
    <w:rsid w:val="00F81BF9"/>
    <w:rsid w:val="00F827C6"/>
    <w:rsid w:val="00F83473"/>
    <w:rsid w:val="00F83C5C"/>
    <w:rsid w:val="00F83E51"/>
    <w:rsid w:val="00F86312"/>
    <w:rsid w:val="00F90609"/>
    <w:rsid w:val="00F9144B"/>
    <w:rsid w:val="00F91485"/>
    <w:rsid w:val="00F92ABF"/>
    <w:rsid w:val="00F9368C"/>
    <w:rsid w:val="00F93BB3"/>
    <w:rsid w:val="00F95361"/>
    <w:rsid w:val="00F95B3B"/>
    <w:rsid w:val="00F964C5"/>
    <w:rsid w:val="00F96CB0"/>
    <w:rsid w:val="00FA151B"/>
    <w:rsid w:val="00FA1C0D"/>
    <w:rsid w:val="00FA2373"/>
    <w:rsid w:val="00FA4396"/>
    <w:rsid w:val="00FA4E24"/>
    <w:rsid w:val="00FA5DBC"/>
    <w:rsid w:val="00FB090E"/>
    <w:rsid w:val="00FB115D"/>
    <w:rsid w:val="00FB2A61"/>
    <w:rsid w:val="00FB35B7"/>
    <w:rsid w:val="00FB35BE"/>
    <w:rsid w:val="00FB5F65"/>
    <w:rsid w:val="00FB6100"/>
    <w:rsid w:val="00FC0ACE"/>
    <w:rsid w:val="00FC1CF3"/>
    <w:rsid w:val="00FC1F62"/>
    <w:rsid w:val="00FC2B7A"/>
    <w:rsid w:val="00FC5B03"/>
    <w:rsid w:val="00FC5B84"/>
    <w:rsid w:val="00FD0FD7"/>
    <w:rsid w:val="00FD14B4"/>
    <w:rsid w:val="00FD4357"/>
    <w:rsid w:val="00FD5550"/>
    <w:rsid w:val="00FD5CFA"/>
    <w:rsid w:val="00FE1968"/>
    <w:rsid w:val="00FE1A7D"/>
    <w:rsid w:val="00FE1BFF"/>
    <w:rsid w:val="00FE23DF"/>
    <w:rsid w:val="00FE39C6"/>
    <w:rsid w:val="00FE463C"/>
    <w:rsid w:val="00FE4E13"/>
    <w:rsid w:val="00FE5D94"/>
    <w:rsid w:val="00FE605A"/>
    <w:rsid w:val="00FE653D"/>
    <w:rsid w:val="00FE7CE6"/>
    <w:rsid w:val="00FF1356"/>
    <w:rsid w:val="00FF345F"/>
    <w:rsid w:val="00FF4845"/>
    <w:rsid w:val="00FF5120"/>
    <w:rsid w:val="00FF7A96"/>
    <w:rsid w:val="00FF7B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14687"/>
  <w15:docId w15:val="{C0740B81-DC94-4790-ADF0-48175A2C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F03FB1"/>
    <w:pPr>
      <w:ind w:left="720"/>
      <w:contextualSpacing/>
    </w:pPr>
  </w:style>
  <w:style w:type="character" w:styleId="CommentReference">
    <w:name w:val="annotation reference"/>
    <w:basedOn w:val="DefaultParagraphFont"/>
    <w:uiPriority w:val="99"/>
    <w:unhideWhenUsed/>
    <w:rsid w:val="00E94988"/>
    <w:rPr>
      <w:sz w:val="16"/>
      <w:szCs w:val="16"/>
    </w:rPr>
  </w:style>
  <w:style w:type="paragraph" w:styleId="CommentText">
    <w:name w:val="annotation text"/>
    <w:basedOn w:val="Normal"/>
    <w:link w:val="CommentTextChar"/>
    <w:uiPriority w:val="99"/>
    <w:unhideWhenUsed/>
    <w:rsid w:val="00E94988"/>
    <w:pPr>
      <w:spacing w:line="240" w:lineRule="auto"/>
    </w:pPr>
    <w:rPr>
      <w:sz w:val="20"/>
      <w:szCs w:val="20"/>
    </w:rPr>
  </w:style>
  <w:style w:type="character" w:customStyle="1" w:styleId="CommentTextChar">
    <w:name w:val="Comment Text Char"/>
    <w:basedOn w:val="DefaultParagraphFont"/>
    <w:link w:val="CommentText"/>
    <w:uiPriority w:val="99"/>
    <w:rsid w:val="00E94988"/>
    <w:rPr>
      <w:sz w:val="20"/>
      <w:szCs w:val="20"/>
    </w:rPr>
  </w:style>
  <w:style w:type="paragraph" w:styleId="CommentSubject">
    <w:name w:val="annotation subject"/>
    <w:basedOn w:val="CommentText"/>
    <w:next w:val="CommentText"/>
    <w:link w:val="CommentSubjectChar"/>
    <w:uiPriority w:val="99"/>
    <w:semiHidden/>
    <w:unhideWhenUsed/>
    <w:rsid w:val="00E94988"/>
    <w:rPr>
      <w:b/>
      <w:bCs/>
    </w:rPr>
  </w:style>
  <w:style w:type="character" w:customStyle="1" w:styleId="CommentSubjectChar">
    <w:name w:val="Comment Subject Char"/>
    <w:basedOn w:val="CommentTextChar"/>
    <w:link w:val="CommentSubject"/>
    <w:uiPriority w:val="99"/>
    <w:semiHidden/>
    <w:rsid w:val="00E94988"/>
    <w:rPr>
      <w:b/>
      <w:bCs/>
      <w:sz w:val="20"/>
      <w:szCs w:val="20"/>
    </w:rPr>
  </w:style>
  <w:style w:type="paragraph" w:styleId="BalloonText">
    <w:name w:val="Balloon Text"/>
    <w:basedOn w:val="Normal"/>
    <w:link w:val="BalloonTextChar"/>
    <w:uiPriority w:val="99"/>
    <w:semiHidden/>
    <w:unhideWhenUsed/>
    <w:rsid w:val="00E9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88"/>
    <w:rPr>
      <w:rFonts w:ascii="Segoe UI" w:hAnsi="Segoe UI" w:cs="Segoe UI"/>
      <w:sz w:val="18"/>
      <w:szCs w:val="18"/>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EC3D95"/>
    <w:pPr>
      <w:spacing w:after="0" w:line="240" w:lineRule="auto"/>
    </w:pPr>
    <w:rPr>
      <w:rFonts w:ascii="Times New Roman" w:hAnsi="Times New Roman"/>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EC3D95"/>
    <w:rPr>
      <w:rFonts w:ascii="Times New Roman" w:hAnsi="Times New Roman"/>
      <w:sz w:val="20"/>
      <w:szCs w:val="20"/>
    </w:rPr>
  </w:style>
  <w:style w:type="character" w:styleId="FootnoteReference">
    <w:name w:val="footnote reference"/>
    <w:basedOn w:val="DefaultParagraphFont"/>
    <w:uiPriority w:val="99"/>
    <w:semiHidden/>
    <w:unhideWhenUsed/>
    <w:rsid w:val="00EC3D95"/>
    <w:rPr>
      <w:vertAlign w:val="superscript"/>
    </w:rPr>
  </w:style>
  <w:style w:type="paragraph" w:styleId="Header">
    <w:name w:val="header"/>
    <w:basedOn w:val="Normal"/>
    <w:link w:val="HeaderChar"/>
    <w:uiPriority w:val="99"/>
    <w:unhideWhenUsed/>
    <w:rsid w:val="00EF6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B74"/>
  </w:style>
  <w:style w:type="paragraph" w:styleId="Footer">
    <w:name w:val="footer"/>
    <w:basedOn w:val="Normal"/>
    <w:link w:val="FooterChar"/>
    <w:uiPriority w:val="99"/>
    <w:unhideWhenUsed/>
    <w:rsid w:val="00EF6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B74"/>
  </w:style>
  <w:style w:type="paragraph" w:styleId="Revision">
    <w:name w:val="Revision"/>
    <w:hidden/>
    <w:uiPriority w:val="99"/>
    <w:semiHidden/>
    <w:rsid w:val="009B6A01"/>
    <w:pPr>
      <w:spacing w:after="0" w:line="240" w:lineRule="auto"/>
    </w:pPr>
  </w:style>
  <w:style w:type="character" w:styleId="Hyperlink">
    <w:name w:val="Hyperlink"/>
    <w:basedOn w:val="DefaultParagraphFont"/>
    <w:uiPriority w:val="99"/>
    <w:unhideWhenUsed/>
    <w:rsid w:val="00F83E51"/>
    <w:rPr>
      <w:color w:val="0563C1" w:themeColor="hyperlink"/>
      <w:u w:val="single"/>
    </w:rPr>
  </w:style>
  <w:style w:type="character" w:customStyle="1" w:styleId="1">
    <w:name w:val="Неразрешено споменаване1"/>
    <w:basedOn w:val="DefaultParagraphFont"/>
    <w:uiPriority w:val="99"/>
    <w:semiHidden/>
    <w:unhideWhenUsed/>
    <w:rsid w:val="00F83E51"/>
    <w:rPr>
      <w:color w:val="605E5C"/>
      <w:shd w:val="clear" w:color="auto" w:fill="E1DFDD"/>
    </w:rPr>
  </w:style>
  <w:style w:type="paragraph" w:customStyle="1" w:styleId="CharChar1CharCharCharChar">
    <w:name w:val="Char Char1 Char Char Char Char"/>
    <w:basedOn w:val="Normal"/>
    <w:rsid w:val="00A40489"/>
    <w:pPr>
      <w:tabs>
        <w:tab w:val="left" w:pos="709"/>
      </w:tabs>
      <w:spacing w:after="0" w:line="240" w:lineRule="auto"/>
    </w:pPr>
    <w:rPr>
      <w:rFonts w:ascii="Tahoma" w:eastAsia="Times New Roman" w:hAnsi="Tahoma" w:cs="Times New Roman"/>
      <w:sz w:val="20"/>
      <w:szCs w:val="20"/>
      <w:lang w:val="pl-PL" w:eastAsia="pl-PL"/>
    </w:rPr>
  </w:style>
  <w:style w:type="character" w:customStyle="1" w:styleId="BodyTextChar">
    <w:name w:val="Body Text Char"/>
    <w:basedOn w:val="DefaultParagraphFont"/>
    <w:link w:val="BodyText"/>
    <w:rsid w:val="00106674"/>
    <w:rPr>
      <w:rFonts w:ascii="Times New Roman" w:eastAsia="Times New Roman" w:hAnsi="Times New Roman" w:cs="Times New Roman"/>
      <w:shd w:val="clear" w:color="auto" w:fill="FFFFFF"/>
    </w:rPr>
  </w:style>
  <w:style w:type="paragraph" w:styleId="BodyText">
    <w:name w:val="Body Text"/>
    <w:basedOn w:val="Normal"/>
    <w:link w:val="BodyTextChar"/>
    <w:qFormat/>
    <w:rsid w:val="00106674"/>
    <w:pPr>
      <w:widowControl w:val="0"/>
      <w:shd w:val="clear" w:color="auto" w:fill="FFFFFF"/>
      <w:spacing w:line="391" w:lineRule="auto"/>
      <w:ind w:firstLine="2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06674"/>
  </w:style>
  <w:style w:type="character" w:customStyle="1" w:styleId="Heading1">
    <w:name w:val="Heading #1_"/>
    <w:basedOn w:val="DefaultParagraphFont"/>
    <w:link w:val="Heading10"/>
    <w:rsid w:val="0011614A"/>
    <w:rPr>
      <w:rFonts w:ascii="Times New Roman" w:eastAsia="Times New Roman" w:hAnsi="Times New Roman" w:cs="Times New Roman"/>
      <w:b/>
      <w:bCs/>
      <w:u w:val="single"/>
      <w:shd w:val="clear" w:color="auto" w:fill="FFFFFF"/>
    </w:rPr>
  </w:style>
  <w:style w:type="paragraph" w:customStyle="1" w:styleId="Heading10">
    <w:name w:val="Heading #1"/>
    <w:basedOn w:val="Normal"/>
    <w:link w:val="Heading1"/>
    <w:rsid w:val="0011614A"/>
    <w:pPr>
      <w:widowControl w:val="0"/>
      <w:shd w:val="clear" w:color="auto" w:fill="FFFFFF"/>
      <w:spacing w:after="110" w:line="384" w:lineRule="auto"/>
      <w:ind w:left="1330"/>
      <w:outlineLvl w:val="0"/>
    </w:pPr>
    <w:rPr>
      <w:rFonts w:ascii="Times New Roman" w:eastAsia="Times New Roman" w:hAnsi="Times New Roman" w:cs="Times New Roman"/>
      <w:b/>
      <w:bCs/>
      <w:u w:val="single"/>
    </w:rPr>
  </w:style>
  <w:style w:type="paragraph" w:customStyle="1" w:styleId="FooterCoverPage">
    <w:name w:val="Footer Cover Page"/>
    <w:basedOn w:val="Normal"/>
    <w:link w:val="FooterCoverPageChar"/>
    <w:rsid w:val="00716D03"/>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eastAsia="bg-BG" w:bidi="bg-BG"/>
    </w:rPr>
  </w:style>
  <w:style w:type="character" w:customStyle="1" w:styleId="FooterCoverPageChar">
    <w:name w:val="Footer Cover Page Char"/>
    <w:basedOn w:val="DefaultParagraphFont"/>
    <w:link w:val="FooterCoverPage"/>
    <w:rsid w:val="00716D03"/>
    <w:rPr>
      <w:rFonts w:ascii="Times New Roman" w:eastAsia="Calibri" w:hAnsi="Times New Roman" w:cs="Times New Roman"/>
      <w:sz w:val="24"/>
      <w:szCs w:val="20"/>
      <w:u w:val="single"/>
      <w:lan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16D03"/>
  </w:style>
  <w:style w:type="paragraph" w:customStyle="1" w:styleId="Default">
    <w:name w:val="Default"/>
    <w:rsid w:val="00EC369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36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3616D8"/>
    <w:rPr>
      <w:rFonts w:ascii="Courier New" w:eastAsia="Times New Roman" w:hAnsi="Courier New" w:cs="Courier New"/>
      <w:sz w:val="20"/>
      <w:szCs w:val="20"/>
      <w:lang w:eastAsia="bg-BG"/>
    </w:rPr>
  </w:style>
  <w:style w:type="character" w:customStyle="1" w:styleId="UnresolvedMention1">
    <w:name w:val="Unresolved Mention1"/>
    <w:basedOn w:val="DefaultParagraphFont"/>
    <w:uiPriority w:val="99"/>
    <w:semiHidden/>
    <w:unhideWhenUsed/>
    <w:rsid w:val="000E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532">
      <w:bodyDiv w:val="1"/>
      <w:marLeft w:val="0"/>
      <w:marRight w:val="0"/>
      <w:marTop w:val="0"/>
      <w:marBottom w:val="0"/>
      <w:divBdr>
        <w:top w:val="none" w:sz="0" w:space="0" w:color="auto"/>
        <w:left w:val="none" w:sz="0" w:space="0" w:color="auto"/>
        <w:bottom w:val="none" w:sz="0" w:space="0" w:color="auto"/>
        <w:right w:val="none" w:sz="0" w:space="0" w:color="auto"/>
      </w:divBdr>
    </w:div>
    <w:div w:id="166209772">
      <w:bodyDiv w:val="1"/>
      <w:marLeft w:val="0"/>
      <w:marRight w:val="0"/>
      <w:marTop w:val="0"/>
      <w:marBottom w:val="0"/>
      <w:divBdr>
        <w:top w:val="none" w:sz="0" w:space="0" w:color="auto"/>
        <w:left w:val="none" w:sz="0" w:space="0" w:color="auto"/>
        <w:bottom w:val="none" w:sz="0" w:space="0" w:color="auto"/>
        <w:right w:val="none" w:sz="0" w:space="0" w:color="auto"/>
      </w:divBdr>
    </w:div>
    <w:div w:id="167599515">
      <w:bodyDiv w:val="1"/>
      <w:marLeft w:val="0"/>
      <w:marRight w:val="0"/>
      <w:marTop w:val="0"/>
      <w:marBottom w:val="0"/>
      <w:divBdr>
        <w:top w:val="none" w:sz="0" w:space="0" w:color="auto"/>
        <w:left w:val="none" w:sz="0" w:space="0" w:color="auto"/>
        <w:bottom w:val="none" w:sz="0" w:space="0" w:color="auto"/>
        <w:right w:val="none" w:sz="0" w:space="0" w:color="auto"/>
      </w:divBdr>
    </w:div>
    <w:div w:id="169151273">
      <w:bodyDiv w:val="1"/>
      <w:marLeft w:val="0"/>
      <w:marRight w:val="0"/>
      <w:marTop w:val="0"/>
      <w:marBottom w:val="0"/>
      <w:divBdr>
        <w:top w:val="none" w:sz="0" w:space="0" w:color="auto"/>
        <w:left w:val="none" w:sz="0" w:space="0" w:color="auto"/>
        <w:bottom w:val="none" w:sz="0" w:space="0" w:color="auto"/>
        <w:right w:val="none" w:sz="0" w:space="0" w:color="auto"/>
      </w:divBdr>
    </w:div>
    <w:div w:id="198133379">
      <w:bodyDiv w:val="1"/>
      <w:marLeft w:val="0"/>
      <w:marRight w:val="0"/>
      <w:marTop w:val="0"/>
      <w:marBottom w:val="0"/>
      <w:divBdr>
        <w:top w:val="none" w:sz="0" w:space="0" w:color="auto"/>
        <w:left w:val="none" w:sz="0" w:space="0" w:color="auto"/>
        <w:bottom w:val="none" w:sz="0" w:space="0" w:color="auto"/>
        <w:right w:val="none" w:sz="0" w:space="0" w:color="auto"/>
      </w:divBdr>
    </w:div>
    <w:div w:id="285427332">
      <w:bodyDiv w:val="1"/>
      <w:marLeft w:val="0"/>
      <w:marRight w:val="0"/>
      <w:marTop w:val="0"/>
      <w:marBottom w:val="0"/>
      <w:divBdr>
        <w:top w:val="none" w:sz="0" w:space="0" w:color="auto"/>
        <w:left w:val="none" w:sz="0" w:space="0" w:color="auto"/>
        <w:bottom w:val="none" w:sz="0" w:space="0" w:color="auto"/>
        <w:right w:val="none" w:sz="0" w:space="0" w:color="auto"/>
      </w:divBdr>
    </w:div>
    <w:div w:id="288779675">
      <w:bodyDiv w:val="1"/>
      <w:marLeft w:val="0"/>
      <w:marRight w:val="0"/>
      <w:marTop w:val="0"/>
      <w:marBottom w:val="0"/>
      <w:divBdr>
        <w:top w:val="none" w:sz="0" w:space="0" w:color="auto"/>
        <w:left w:val="none" w:sz="0" w:space="0" w:color="auto"/>
        <w:bottom w:val="none" w:sz="0" w:space="0" w:color="auto"/>
        <w:right w:val="none" w:sz="0" w:space="0" w:color="auto"/>
      </w:divBdr>
    </w:div>
    <w:div w:id="493767354">
      <w:bodyDiv w:val="1"/>
      <w:marLeft w:val="0"/>
      <w:marRight w:val="0"/>
      <w:marTop w:val="0"/>
      <w:marBottom w:val="0"/>
      <w:divBdr>
        <w:top w:val="none" w:sz="0" w:space="0" w:color="auto"/>
        <w:left w:val="none" w:sz="0" w:space="0" w:color="auto"/>
        <w:bottom w:val="none" w:sz="0" w:space="0" w:color="auto"/>
        <w:right w:val="none" w:sz="0" w:space="0" w:color="auto"/>
      </w:divBdr>
    </w:div>
    <w:div w:id="543827865">
      <w:bodyDiv w:val="1"/>
      <w:marLeft w:val="0"/>
      <w:marRight w:val="0"/>
      <w:marTop w:val="0"/>
      <w:marBottom w:val="0"/>
      <w:divBdr>
        <w:top w:val="none" w:sz="0" w:space="0" w:color="auto"/>
        <w:left w:val="none" w:sz="0" w:space="0" w:color="auto"/>
        <w:bottom w:val="none" w:sz="0" w:space="0" w:color="auto"/>
        <w:right w:val="none" w:sz="0" w:space="0" w:color="auto"/>
      </w:divBdr>
    </w:div>
    <w:div w:id="586505218">
      <w:bodyDiv w:val="1"/>
      <w:marLeft w:val="0"/>
      <w:marRight w:val="0"/>
      <w:marTop w:val="0"/>
      <w:marBottom w:val="0"/>
      <w:divBdr>
        <w:top w:val="none" w:sz="0" w:space="0" w:color="auto"/>
        <w:left w:val="none" w:sz="0" w:space="0" w:color="auto"/>
        <w:bottom w:val="none" w:sz="0" w:space="0" w:color="auto"/>
        <w:right w:val="none" w:sz="0" w:space="0" w:color="auto"/>
      </w:divBdr>
    </w:div>
    <w:div w:id="633609361">
      <w:bodyDiv w:val="1"/>
      <w:marLeft w:val="0"/>
      <w:marRight w:val="0"/>
      <w:marTop w:val="0"/>
      <w:marBottom w:val="0"/>
      <w:divBdr>
        <w:top w:val="none" w:sz="0" w:space="0" w:color="auto"/>
        <w:left w:val="none" w:sz="0" w:space="0" w:color="auto"/>
        <w:bottom w:val="none" w:sz="0" w:space="0" w:color="auto"/>
        <w:right w:val="none" w:sz="0" w:space="0" w:color="auto"/>
      </w:divBdr>
    </w:div>
    <w:div w:id="651639382">
      <w:bodyDiv w:val="1"/>
      <w:marLeft w:val="0"/>
      <w:marRight w:val="0"/>
      <w:marTop w:val="0"/>
      <w:marBottom w:val="0"/>
      <w:divBdr>
        <w:top w:val="none" w:sz="0" w:space="0" w:color="auto"/>
        <w:left w:val="none" w:sz="0" w:space="0" w:color="auto"/>
        <w:bottom w:val="none" w:sz="0" w:space="0" w:color="auto"/>
        <w:right w:val="none" w:sz="0" w:space="0" w:color="auto"/>
      </w:divBdr>
    </w:div>
    <w:div w:id="714043386">
      <w:bodyDiv w:val="1"/>
      <w:marLeft w:val="0"/>
      <w:marRight w:val="0"/>
      <w:marTop w:val="0"/>
      <w:marBottom w:val="0"/>
      <w:divBdr>
        <w:top w:val="none" w:sz="0" w:space="0" w:color="auto"/>
        <w:left w:val="none" w:sz="0" w:space="0" w:color="auto"/>
        <w:bottom w:val="none" w:sz="0" w:space="0" w:color="auto"/>
        <w:right w:val="none" w:sz="0" w:space="0" w:color="auto"/>
      </w:divBdr>
    </w:div>
    <w:div w:id="730924297">
      <w:bodyDiv w:val="1"/>
      <w:marLeft w:val="0"/>
      <w:marRight w:val="0"/>
      <w:marTop w:val="0"/>
      <w:marBottom w:val="0"/>
      <w:divBdr>
        <w:top w:val="none" w:sz="0" w:space="0" w:color="auto"/>
        <w:left w:val="none" w:sz="0" w:space="0" w:color="auto"/>
        <w:bottom w:val="none" w:sz="0" w:space="0" w:color="auto"/>
        <w:right w:val="none" w:sz="0" w:space="0" w:color="auto"/>
      </w:divBdr>
    </w:div>
    <w:div w:id="758794958">
      <w:bodyDiv w:val="1"/>
      <w:marLeft w:val="0"/>
      <w:marRight w:val="0"/>
      <w:marTop w:val="0"/>
      <w:marBottom w:val="0"/>
      <w:divBdr>
        <w:top w:val="none" w:sz="0" w:space="0" w:color="auto"/>
        <w:left w:val="none" w:sz="0" w:space="0" w:color="auto"/>
        <w:bottom w:val="none" w:sz="0" w:space="0" w:color="auto"/>
        <w:right w:val="none" w:sz="0" w:space="0" w:color="auto"/>
      </w:divBdr>
      <w:divsChild>
        <w:div w:id="1474173548">
          <w:marLeft w:val="0"/>
          <w:marRight w:val="0"/>
          <w:marTop w:val="0"/>
          <w:marBottom w:val="0"/>
          <w:divBdr>
            <w:top w:val="none" w:sz="0" w:space="0" w:color="auto"/>
            <w:left w:val="none" w:sz="0" w:space="0" w:color="auto"/>
            <w:bottom w:val="none" w:sz="0" w:space="0" w:color="auto"/>
            <w:right w:val="none" w:sz="0" w:space="0" w:color="auto"/>
          </w:divBdr>
        </w:div>
      </w:divsChild>
    </w:div>
    <w:div w:id="803932187">
      <w:bodyDiv w:val="1"/>
      <w:marLeft w:val="0"/>
      <w:marRight w:val="0"/>
      <w:marTop w:val="0"/>
      <w:marBottom w:val="0"/>
      <w:divBdr>
        <w:top w:val="none" w:sz="0" w:space="0" w:color="auto"/>
        <w:left w:val="none" w:sz="0" w:space="0" w:color="auto"/>
        <w:bottom w:val="none" w:sz="0" w:space="0" w:color="auto"/>
        <w:right w:val="none" w:sz="0" w:space="0" w:color="auto"/>
      </w:divBdr>
    </w:div>
    <w:div w:id="814296036">
      <w:bodyDiv w:val="1"/>
      <w:marLeft w:val="0"/>
      <w:marRight w:val="0"/>
      <w:marTop w:val="0"/>
      <w:marBottom w:val="0"/>
      <w:divBdr>
        <w:top w:val="none" w:sz="0" w:space="0" w:color="auto"/>
        <w:left w:val="none" w:sz="0" w:space="0" w:color="auto"/>
        <w:bottom w:val="none" w:sz="0" w:space="0" w:color="auto"/>
        <w:right w:val="none" w:sz="0" w:space="0" w:color="auto"/>
      </w:divBdr>
    </w:div>
    <w:div w:id="953755753">
      <w:bodyDiv w:val="1"/>
      <w:marLeft w:val="0"/>
      <w:marRight w:val="0"/>
      <w:marTop w:val="0"/>
      <w:marBottom w:val="0"/>
      <w:divBdr>
        <w:top w:val="none" w:sz="0" w:space="0" w:color="auto"/>
        <w:left w:val="none" w:sz="0" w:space="0" w:color="auto"/>
        <w:bottom w:val="none" w:sz="0" w:space="0" w:color="auto"/>
        <w:right w:val="none" w:sz="0" w:space="0" w:color="auto"/>
      </w:divBdr>
    </w:div>
    <w:div w:id="1059398716">
      <w:bodyDiv w:val="1"/>
      <w:marLeft w:val="0"/>
      <w:marRight w:val="0"/>
      <w:marTop w:val="0"/>
      <w:marBottom w:val="0"/>
      <w:divBdr>
        <w:top w:val="none" w:sz="0" w:space="0" w:color="auto"/>
        <w:left w:val="none" w:sz="0" w:space="0" w:color="auto"/>
        <w:bottom w:val="none" w:sz="0" w:space="0" w:color="auto"/>
        <w:right w:val="none" w:sz="0" w:space="0" w:color="auto"/>
      </w:divBdr>
    </w:div>
    <w:div w:id="1075858414">
      <w:bodyDiv w:val="1"/>
      <w:marLeft w:val="0"/>
      <w:marRight w:val="0"/>
      <w:marTop w:val="0"/>
      <w:marBottom w:val="0"/>
      <w:divBdr>
        <w:top w:val="none" w:sz="0" w:space="0" w:color="auto"/>
        <w:left w:val="none" w:sz="0" w:space="0" w:color="auto"/>
        <w:bottom w:val="none" w:sz="0" w:space="0" w:color="auto"/>
        <w:right w:val="none" w:sz="0" w:space="0" w:color="auto"/>
      </w:divBdr>
    </w:div>
    <w:div w:id="1209343116">
      <w:bodyDiv w:val="1"/>
      <w:marLeft w:val="0"/>
      <w:marRight w:val="0"/>
      <w:marTop w:val="0"/>
      <w:marBottom w:val="0"/>
      <w:divBdr>
        <w:top w:val="none" w:sz="0" w:space="0" w:color="auto"/>
        <w:left w:val="none" w:sz="0" w:space="0" w:color="auto"/>
        <w:bottom w:val="none" w:sz="0" w:space="0" w:color="auto"/>
        <w:right w:val="none" w:sz="0" w:space="0" w:color="auto"/>
      </w:divBdr>
    </w:div>
    <w:div w:id="1259558203">
      <w:bodyDiv w:val="1"/>
      <w:marLeft w:val="0"/>
      <w:marRight w:val="0"/>
      <w:marTop w:val="0"/>
      <w:marBottom w:val="0"/>
      <w:divBdr>
        <w:top w:val="none" w:sz="0" w:space="0" w:color="auto"/>
        <w:left w:val="none" w:sz="0" w:space="0" w:color="auto"/>
        <w:bottom w:val="none" w:sz="0" w:space="0" w:color="auto"/>
        <w:right w:val="none" w:sz="0" w:space="0" w:color="auto"/>
      </w:divBdr>
    </w:div>
    <w:div w:id="1269047044">
      <w:bodyDiv w:val="1"/>
      <w:marLeft w:val="0"/>
      <w:marRight w:val="0"/>
      <w:marTop w:val="0"/>
      <w:marBottom w:val="0"/>
      <w:divBdr>
        <w:top w:val="none" w:sz="0" w:space="0" w:color="auto"/>
        <w:left w:val="none" w:sz="0" w:space="0" w:color="auto"/>
        <w:bottom w:val="none" w:sz="0" w:space="0" w:color="auto"/>
        <w:right w:val="none" w:sz="0" w:space="0" w:color="auto"/>
      </w:divBdr>
    </w:div>
    <w:div w:id="1277643423">
      <w:bodyDiv w:val="1"/>
      <w:marLeft w:val="0"/>
      <w:marRight w:val="0"/>
      <w:marTop w:val="0"/>
      <w:marBottom w:val="0"/>
      <w:divBdr>
        <w:top w:val="none" w:sz="0" w:space="0" w:color="auto"/>
        <w:left w:val="none" w:sz="0" w:space="0" w:color="auto"/>
        <w:bottom w:val="none" w:sz="0" w:space="0" w:color="auto"/>
        <w:right w:val="none" w:sz="0" w:space="0" w:color="auto"/>
      </w:divBdr>
    </w:div>
    <w:div w:id="1433431773">
      <w:bodyDiv w:val="1"/>
      <w:marLeft w:val="0"/>
      <w:marRight w:val="0"/>
      <w:marTop w:val="0"/>
      <w:marBottom w:val="0"/>
      <w:divBdr>
        <w:top w:val="none" w:sz="0" w:space="0" w:color="auto"/>
        <w:left w:val="none" w:sz="0" w:space="0" w:color="auto"/>
        <w:bottom w:val="none" w:sz="0" w:space="0" w:color="auto"/>
        <w:right w:val="none" w:sz="0" w:space="0" w:color="auto"/>
      </w:divBdr>
    </w:div>
    <w:div w:id="1616710409">
      <w:bodyDiv w:val="1"/>
      <w:marLeft w:val="0"/>
      <w:marRight w:val="0"/>
      <w:marTop w:val="0"/>
      <w:marBottom w:val="0"/>
      <w:divBdr>
        <w:top w:val="none" w:sz="0" w:space="0" w:color="auto"/>
        <w:left w:val="none" w:sz="0" w:space="0" w:color="auto"/>
        <w:bottom w:val="none" w:sz="0" w:space="0" w:color="auto"/>
        <w:right w:val="none" w:sz="0" w:space="0" w:color="auto"/>
      </w:divBdr>
    </w:div>
    <w:div w:id="1636370615">
      <w:bodyDiv w:val="1"/>
      <w:marLeft w:val="0"/>
      <w:marRight w:val="0"/>
      <w:marTop w:val="0"/>
      <w:marBottom w:val="0"/>
      <w:divBdr>
        <w:top w:val="none" w:sz="0" w:space="0" w:color="auto"/>
        <w:left w:val="none" w:sz="0" w:space="0" w:color="auto"/>
        <w:bottom w:val="none" w:sz="0" w:space="0" w:color="auto"/>
        <w:right w:val="none" w:sz="0" w:space="0" w:color="auto"/>
      </w:divBdr>
    </w:div>
    <w:div w:id="1825049794">
      <w:bodyDiv w:val="1"/>
      <w:marLeft w:val="0"/>
      <w:marRight w:val="0"/>
      <w:marTop w:val="0"/>
      <w:marBottom w:val="0"/>
      <w:divBdr>
        <w:top w:val="none" w:sz="0" w:space="0" w:color="auto"/>
        <w:left w:val="none" w:sz="0" w:space="0" w:color="auto"/>
        <w:bottom w:val="none" w:sz="0" w:space="0" w:color="auto"/>
        <w:right w:val="none" w:sz="0" w:space="0" w:color="auto"/>
      </w:divBdr>
    </w:div>
    <w:div w:id="1832599101">
      <w:bodyDiv w:val="1"/>
      <w:marLeft w:val="0"/>
      <w:marRight w:val="0"/>
      <w:marTop w:val="0"/>
      <w:marBottom w:val="0"/>
      <w:divBdr>
        <w:top w:val="none" w:sz="0" w:space="0" w:color="auto"/>
        <w:left w:val="none" w:sz="0" w:space="0" w:color="auto"/>
        <w:bottom w:val="none" w:sz="0" w:space="0" w:color="auto"/>
        <w:right w:val="none" w:sz="0" w:space="0" w:color="auto"/>
      </w:divBdr>
    </w:div>
    <w:div w:id="1989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namrb@namrb.org" TargetMode="External"/><Relationship Id="rId13" Type="http://schemas.openxmlformats.org/officeDocument/2006/relationships/hyperlink" Target="http://umispublic.government.bg/opOPProfileFinExec.aspx?op=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ady.kondarev@zazemiata.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io-bas.bg" TargetMode="External"/><Relationship Id="rId4" Type="http://schemas.openxmlformats.org/officeDocument/2006/relationships/settings" Target="settings.xml"/><Relationship Id="rId9" Type="http://schemas.openxmlformats.org/officeDocument/2006/relationships/hyperlink" Target="mailto:office@balkani.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9BB3-99C3-44D2-9A99-39A84B41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7362</Words>
  <Characters>41970</Characters>
  <Application>Microsoft Office Word</Application>
  <DocSecurity>0</DocSecurity>
  <Lines>349</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Environment</Company>
  <LinksUpToDate>false</LinksUpToDate>
  <CharactersWithSpaces>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Stoyanova</dc:creator>
  <cp:lastModifiedBy>OPOS BG14</cp:lastModifiedBy>
  <cp:revision>2</cp:revision>
  <cp:lastPrinted>2021-03-12T11:19:00Z</cp:lastPrinted>
  <dcterms:created xsi:type="dcterms:W3CDTF">2021-04-13T11:07:00Z</dcterms:created>
  <dcterms:modified xsi:type="dcterms:W3CDTF">2021-04-13T11:07:00Z</dcterms:modified>
</cp:coreProperties>
</file>