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37D0" w14:textId="77777777" w:rsidR="00066767" w:rsidRDefault="00066767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08FD06" w14:textId="36553EAC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CFA874" w14:textId="77777777" w:rsidR="00306FF9" w:rsidRDefault="00306FF9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CF89EE" w14:textId="77777777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2A4D90" w14:textId="44EE7D41" w:rsidR="00FF1F66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480ED8" w14:textId="243C9A98" w:rsidR="00FF1F66" w:rsidRPr="00066767" w:rsidRDefault="00FF1F66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ЗАДАНИЕ ЗА 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ОПРЕДЕЛЯНЕ НА 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ОБХВАТ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>А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И СЪДЪРЖАНИЕ</w:t>
      </w:r>
      <w:r w:rsidR="00882417">
        <w:rPr>
          <w:rFonts w:ascii="Times New Roman" w:hAnsi="Times New Roman" w:cs="Times New Roman"/>
          <w:b/>
          <w:bCs/>
          <w:sz w:val="36"/>
          <w:szCs w:val="36"/>
          <w:lang w:val="bg-BG"/>
        </w:rPr>
        <w:t>ТО</w:t>
      </w:r>
      <w:r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НА ДОКЛАДА ЗА ЕКОЛОГИЧНА ОЦЕНКА НА ОПЕРАТИВНА ПРОГРАМА „ОКОЛНА СРЕДА</w:t>
      </w:r>
      <w:r w:rsidR="00881ED8"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“</w:t>
      </w:r>
      <w:r w:rsidR="00881ED8" w:rsidRPr="009A6559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2021 – 2027</w:t>
      </w:r>
      <w:r w:rsidR="00881ED8" w:rsidRPr="00066767">
        <w:rPr>
          <w:rFonts w:ascii="Times New Roman" w:hAnsi="Times New Roman" w:cs="Times New Roman"/>
          <w:b/>
          <w:bCs/>
          <w:sz w:val="36"/>
          <w:szCs w:val="36"/>
          <w:lang w:val="bg-BG"/>
        </w:rPr>
        <w:t>г.</w:t>
      </w:r>
    </w:p>
    <w:p w14:paraId="65F90FC5" w14:textId="153A0448" w:rsidR="00FF1F66" w:rsidRPr="0067195B" w:rsidRDefault="00FF1F66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DC2ED5C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B9B53B8" w14:textId="77777777" w:rsidR="00066767" w:rsidRPr="00066767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66767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066767">
        <w:rPr>
          <w:rFonts w:ascii="Times New Roman" w:hAnsi="Times New Roman" w:cs="Times New Roman"/>
          <w:i/>
          <w:sz w:val="28"/>
          <w:szCs w:val="28"/>
          <w:lang w:val="bg-BG"/>
        </w:rPr>
        <w:t>съгласно чл.19а на Наредбата за условията и реда за извършване на екологична оценка на планове и програми и чл. 86, ал.3 на Закона за опазване на околната среда</w:t>
      </w:r>
      <w:r w:rsidRPr="00066767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0E78273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C844FFD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AADCAB4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846158A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53B500CF" w14:textId="69A3FE40" w:rsidR="00066767" w:rsidRPr="004C4BC1" w:rsidRDefault="00066767" w:rsidP="000667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C4BC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Възложител: 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>Главна дирекция „ОПО</w:t>
      </w:r>
      <w:r w:rsidR="0088566D" w:rsidRPr="00FD6B8B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 xml:space="preserve">“ </w:t>
      </w:r>
      <w:r w:rsidR="0088566D" w:rsidRPr="004C4BC1">
        <w:rPr>
          <w:rFonts w:ascii="Times New Roman" w:hAnsi="Times New Roman" w:cs="Times New Roman"/>
          <w:sz w:val="28"/>
          <w:szCs w:val="28"/>
          <w:lang w:val="bg-BG"/>
        </w:rPr>
        <w:t>към</w:t>
      </w:r>
      <w:r w:rsidR="0088566D" w:rsidRPr="009A6559">
        <w:rPr>
          <w:rFonts w:ascii="Times New Roman" w:hAnsi="Times New Roman" w:cs="Times New Roman"/>
          <w:sz w:val="28"/>
          <w:szCs w:val="28"/>
          <w:lang w:val="bg-BG"/>
        </w:rPr>
        <w:t xml:space="preserve"> Министерство на околната среда и водите</w:t>
      </w:r>
    </w:p>
    <w:p w14:paraId="71A9A410" w14:textId="77777777" w:rsidR="0067195B" w:rsidRPr="0067195B" w:rsidRDefault="0067195B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0A2CA3C9" w14:textId="77777777" w:rsidR="00066767" w:rsidRPr="0067195B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3774436C" w14:textId="0A6297DB" w:rsidR="00306FF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bg-BG"/>
        </w:rPr>
        <w:sectPr w:rsidR="00306FF9" w:rsidSect="00FD3D4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66767"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Pr="0006676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</w:t>
      </w:r>
      <w:r w:rsidRPr="00066767">
        <w:rPr>
          <w:rFonts w:ascii="Times New Roman" w:hAnsi="Times New Roman" w:cs="Times New Roman"/>
          <w:b/>
          <w:bCs/>
          <w:sz w:val="32"/>
          <w:szCs w:val="32"/>
          <w:lang w:val="bg-BG"/>
        </w:rPr>
        <w:t>.</w:t>
      </w:r>
    </w:p>
    <w:sdt>
      <w:sdtPr>
        <w:rPr>
          <w:rFonts w:ascii="Calibri" w:eastAsia="Calibri" w:hAnsi="Calibri" w:cs="Times New Roman"/>
          <w:lang w:val="bg-BG"/>
        </w:rPr>
        <w:id w:val="62242722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65D92297" w14:textId="77777777" w:rsidR="00FF1F66" w:rsidRPr="00881ED8" w:rsidRDefault="00FF1F66" w:rsidP="00FF1F66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881ED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Съдържание</w:t>
          </w:r>
        </w:p>
        <w:p w14:paraId="11E4216E" w14:textId="6ACF7C78" w:rsidR="00C639EC" w:rsidRDefault="00FF1F6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 w:rsidRPr="00881ED8">
            <w:rPr>
              <w:rFonts w:ascii="Times New Roman" w:eastAsia="Calibri" w:hAnsi="Times New Roman" w:cs="Times New Roman"/>
            </w:rPr>
            <w:fldChar w:fldCharType="begin"/>
          </w:r>
          <w:r w:rsidRPr="00881ED8">
            <w:rPr>
              <w:rFonts w:ascii="Times New Roman" w:eastAsia="Calibri" w:hAnsi="Times New Roman" w:cs="Times New Roman"/>
            </w:rPr>
            <w:instrText xml:space="preserve"> TOC \o "1-3" \h \z \u </w:instrText>
          </w:r>
          <w:r w:rsidRPr="00881ED8">
            <w:rPr>
              <w:rFonts w:ascii="Times New Roman" w:eastAsia="Calibri" w:hAnsi="Times New Roman" w:cs="Times New Roman"/>
            </w:rPr>
            <w:fldChar w:fldCharType="separate"/>
          </w:r>
          <w:hyperlink w:anchor="_Toc4519299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ВЪВЕДЕНИЕ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_Toc45192999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5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7E32C0F" w14:textId="5792CF27" w:rsidR="00C639EC" w:rsidRDefault="005F58C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ИНФОРМАЦИЯ ЗА КОНТАКТ С ВЪЗЛОЖИТЕЛЯ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1E3701" w14:textId="4E556426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Име, седалище и единен идентификационен номер на юридическото лице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F310F6E" w14:textId="57558647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Пълен пощенски адрес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829E8A4" w14:textId="23072CB8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Телефон, факс, Е-mail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ACEDB2E" w14:textId="15B758E2" w:rsidR="00C639EC" w:rsidRDefault="005F58CF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III.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ЗАДАНИЕ ЗА ОПРЕДЕЛЯНЕ НА ОБХВАТА И СЪДЪРЖАНИЕТО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CBB5A6F" w14:textId="76ECD403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5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Описание на съдържанието на основните цели на ОПОС 2021 – 2027 г. и връзка с други съотносими планове и програми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_Toc45193005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A8955B9" w14:textId="4EC0553E" w:rsidR="00C639EC" w:rsidRDefault="005F58C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6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1.1. Основание за изготвяне на програмата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_Toc45193006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7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AA8EB9" w14:textId="7A1F1401" w:rsidR="00C639EC" w:rsidRDefault="005F58C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7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1.2. Основни цели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_Toc45193007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73213FD" w14:textId="24503C0F" w:rsidR="00C639EC" w:rsidRDefault="005F58C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8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1.3.</w:t>
            </w:r>
            <w:r w:rsidR="00C639EC" w:rsidRPr="000513AD">
              <w:rPr>
                <w:rStyle w:val="Hyperlink"/>
                <w:rFonts w:ascii="Calibri Light" w:eastAsia="Times New Roman" w:hAnsi="Calibri Light" w:cs="Times New Roman"/>
                <w:b/>
                <w:noProof/>
              </w:rPr>
              <w:t xml:space="preserve"> </w:t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Алтернативи за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_Toc45193008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735C75F" w14:textId="30197F1E" w:rsidR="00C639EC" w:rsidRDefault="005F58C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0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1.4. Връзка на ОПОС 2021-2027 г. с други съотносими планове, програми и стратегии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_Toc45193009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52E6818" w14:textId="590C0D53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Текущо състояние на околната среда и евентуално развитие без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05C3FBB" w14:textId="3A9D5589" w:rsidR="00C639EC" w:rsidRDefault="005F58CF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Текущо състояние на околната среда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16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0E05A8B3" w14:textId="036EC6C9" w:rsidR="00C639EC" w:rsidRDefault="005F58CF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Евентуално развитие на околната среда без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0A25A49C" w14:textId="0B20E15F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Характеристика на околната среда за територии, които вероятно ще бъдат значително засегнати с реализацията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28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28B662" w14:textId="53946C67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4.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Съществуващи екологични проблеми, установени на различно ниво, имащи отношение към ОПОС 2021-2027 г. включително отнасящите се до райони с особено екологично значение, като защитените зони по Закона за биологичното разнообразие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71E9B2E7" w14:textId="7018D3E5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5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5.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Цели на опазване на околната среда на национално и международно равнище, имащи отношение към ОПОС 2021-2027 г. и начин, по който тези цели и всички екологични съображения са взети под внимание при изготвянето на програмата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_Toc45193015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D8137F0" w14:textId="4235E114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6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6.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 xml:space="preserve">Вероятни значителни въздействия върху околната среда и човешкото здраве, в т.ч. и </w:t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трансгранични въздействия върху околната среда в други държави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_Toc45193016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29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514BBAF1" w14:textId="6AFACC6B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7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7.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Мерки, предвидени за предотвратяване, намаляване и възможно най-пълно компенсиране на неблагоприятните последствия от осъществяването на ОПОС 2021-2027 г. върху околната среда и човешкото здраве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_Toc45193017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31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614F97B3" w14:textId="1FD137B8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8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8.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Мотиви за избор на разгледаните алтернативи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_Toc45193018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31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57B9A4C" w14:textId="6D1D5709" w:rsidR="00C639EC" w:rsidRDefault="005F58C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19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9.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_Toc45193019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32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DB4182" w14:textId="4DB3046E" w:rsidR="00C639EC" w:rsidRDefault="005F58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0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10.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 във връзка с наблюдението по време на прилагането на ОПОС 2021-2027 г.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_Toc45193020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36CE148" w14:textId="7A8885E3" w:rsidR="00C639EC" w:rsidRDefault="005F58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1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11.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Заключение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_Toc45193021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430B64D1" w14:textId="2E99454A" w:rsidR="00C639EC" w:rsidRDefault="005F58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2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12.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Справка за резултатите от проведените консултации в процеса на изготвяне на ОПОС 2021-2027 г. и извършване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_Toc45193022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272781B7" w14:textId="3605B2F2" w:rsidR="00C639EC" w:rsidRDefault="005F58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3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13.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Нетехническо резюме на екологичната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_Toc45193023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34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31A81084" w14:textId="31D078B2" w:rsidR="00C639EC" w:rsidRDefault="005F58CF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193024" w:history="1"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14.</w:t>
            </w:r>
            <w:r w:rsidR="00C639EC">
              <w:rPr>
                <w:rFonts w:eastAsiaTheme="minorEastAsia"/>
                <w:noProof/>
                <w:lang w:val="en-US"/>
              </w:rPr>
              <w:tab/>
            </w:r>
            <w:r w:rsidR="00C639EC" w:rsidRPr="000513AD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Приложения към доклада за екологична оценка</w:t>
            </w:r>
            <w:r w:rsidR="00C639EC">
              <w:rPr>
                <w:noProof/>
                <w:webHidden/>
              </w:rPr>
              <w:tab/>
            </w:r>
            <w:r w:rsidR="00C639EC">
              <w:rPr>
                <w:noProof/>
                <w:webHidden/>
              </w:rPr>
              <w:fldChar w:fldCharType="begin"/>
            </w:r>
            <w:r w:rsidR="00C639EC">
              <w:rPr>
                <w:noProof/>
                <w:webHidden/>
              </w:rPr>
              <w:instrText xml:space="preserve"> PAGEREF _Toc45193024 \h </w:instrText>
            </w:r>
            <w:r w:rsidR="00C639EC">
              <w:rPr>
                <w:noProof/>
                <w:webHidden/>
              </w:rPr>
            </w:r>
            <w:r w:rsidR="00C639EC">
              <w:rPr>
                <w:noProof/>
                <w:webHidden/>
              </w:rPr>
              <w:fldChar w:fldCharType="separate"/>
            </w:r>
            <w:r w:rsidR="00C676E2">
              <w:rPr>
                <w:noProof/>
                <w:webHidden/>
              </w:rPr>
              <w:t>35</w:t>
            </w:r>
            <w:r w:rsidR="00C639EC">
              <w:rPr>
                <w:noProof/>
                <w:webHidden/>
              </w:rPr>
              <w:fldChar w:fldCharType="end"/>
            </w:r>
          </w:hyperlink>
        </w:p>
        <w:p w14:paraId="16926BE1" w14:textId="178E52ED" w:rsidR="00FF1F66" w:rsidRPr="00FF1F66" w:rsidRDefault="00FF1F66" w:rsidP="00FF1F66">
          <w:pPr>
            <w:spacing w:after="0" w:line="360" w:lineRule="auto"/>
            <w:rPr>
              <w:rFonts w:ascii="Times New Roman" w:eastAsia="Calibri" w:hAnsi="Times New Roman" w:cs="Times New Roman"/>
              <w:lang w:val="bg-BG"/>
            </w:rPr>
          </w:pPr>
          <w:r w:rsidRPr="00881ED8">
            <w:rPr>
              <w:rFonts w:ascii="Times New Roman" w:eastAsia="Calibri" w:hAnsi="Times New Roman" w:cs="Times New Roman"/>
              <w:b/>
              <w:bCs/>
              <w:noProof/>
              <w:lang w:val="bg-BG"/>
            </w:rPr>
            <w:fldChar w:fldCharType="end"/>
          </w:r>
        </w:p>
      </w:sdtContent>
    </w:sdt>
    <w:p w14:paraId="0A415049" w14:textId="77777777" w:rsidR="00FF1F66" w:rsidRPr="00FF1F66" w:rsidRDefault="00FF1F66" w:rsidP="00FF1F66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br w:type="page"/>
      </w:r>
    </w:p>
    <w:p w14:paraId="06B1C72E" w14:textId="77777777" w:rsidR="00FF1F66" w:rsidRPr="00FF1F66" w:rsidRDefault="00FF1F66" w:rsidP="00FF1F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СПИСЪК НА СЪКРАЩЕНИЯТА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08"/>
      </w:tblGrid>
      <w:tr w:rsidR="00881ED8" w:rsidRPr="002C4C37" w14:paraId="67C22B90" w14:textId="77777777" w:rsidTr="00881ED8">
        <w:trPr>
          <w:jc w:val="center"/>
        </w:trPr>
        <w:tc>
          <w:tcPr>
            <w:tcW w:w="1701" w:type="dxa"/>
            <w:vAlign w:val="center"/>
          </w:tcPr>
          <w:p w14:paraId="6D32EE33" w14:textId="4C44A235" w:rsidR="00FF1F66" w:rsidRPr="007D75BF" w:rsidRDefault="007D75BF" w:rsidP="0000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7D7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АПИ</w:t>
            </w:r>
          </w:p>
        </w:tc>
        <w:tc>
          <w:tcPr>
            <w:tcW w:w="7508" w:type="dxa"/>
            <w:vAlign w:val="center"/>
          </w:tcPr>
          <w:p w14:paraId="55E90719" w14:textId="6305177B" w:rsidR="00FF1F66" w:rsidRPr="002C4C37" w:rsidRDefault="007D75BF" w:rsidP="0000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7D75B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</w:p>
        </w:tc>
      </w:tr>
      <w:tr w:rsidR="007D75BF" w:rsidRPr="002C4C37" w14:paraId="529001E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30E8A62" w14:textId="36B52E85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БВП</w:t>
            </w:r>
          </w:p>
        </w:tc>
        <w:tc>
          <w:tcPr>
            <w:tcW w:w="7508" w:type="dxa"/>
            <w:vAlign w:val="center"/>
          </w:tcPr>
          <w:p w14:paraId="4FDFAA2B" w14:textId="5FC6668D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Брутен вътрешен продукт</w:t>
            </w:r>
          </w:p>
        </w:tc>
      </w:tr>
      <w:tr w:rsidR="007D75BF" w:rsidRPr="009A6559" w14:paraId="3F0C8228" w14:textId="77777777" w:rsidTr="00881ED8">
        <w:trPr>
          <w:jc w:val="center"/>
        </w:trPr>
        <w:tc>
          <w:tcPr>
            <w:tcW w:w="1701" w:type="dxa"/>
            <w:vAlign w:val="center"/>
          </w:tcPr>
          <w:p w14:paraId="286EE0A4" w14:textId="5DD9273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БДДР</w:t>
            </w:r>
          </w:p>
        </w:tc>
        <w:tc>
          <w:tcPr>
            <w:tcW w:w="7508" w:type="dxa"/>
            <w:vAlign w:val="center"/>
          </w:tcPr>
          <w:p w14:paraId="40ACC4F3" w14:textId="6EC2A25A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„Дунавски район”, с център Плевен</w:t>
            </w:r>
          </w:p>
        </w:tc>
      </w:tr>
      <w:tr w:rsidR="007D75BF" w:rsidRPr="009A6559" w14:paraId="469289AB" w14:textId="77777777" w:rsidTr="00881ED8">
        <w:trPr>
          <w:jc w:val="center"/>
        </w:trPr>
        <w:tc>
          <w:tcPr>
            <w:tcW w:w="1701" w:type="dxa"/>
            <w:vAlign w:val="center"/>
          </w:tcPr>
          <w:p w14:paraId="656643D7" w14:textId="650F706D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БДЗБР</w:t>
            </w:r>
          </w:p>
        </w:tc>
        <w:tc>
          <w:tcPr>
            <w:tcW w:w="7508" w:type="dxa"/>
            <w:vAlign w:val="center"/>
          </w:tcPr>
          <w:p w14:paraId="1F45747C" w14:textId="3BDB3F12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„Западнобеломорски район“, с център Благоевград</w:t>
            </w:r>
          </w:p>
        </w:tc>
      </w:tr>
      <w:tr w:rsidR="007D75BF" w:rsidRPr="009A6559" w14:paraId="1CA91A6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E1E5108" w14:textId="1C58EC1A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БДИБР</w:t>
            </w:r>
          </w:p>
        </w:tc>
        <w:tc>
          <w:tcPr>
            <w:tcW w:w="7508" w:type="dxa"/>
            <w:vAlign w:val="center"/>
          </w:tcPr>
          <w:p w14:paraId="2C17807E" w14:textId="1A666782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„Източнобеломорски район“, с център Пловдив</w:t>
            </w:r>
          </w:p>
        </w:tc>
      </w:tr>
      <w:tr w:rsidR="007D75BF" w:rsidRPr="009A6559" w14:paraId="0C0DF610" w14:textId="77777777" w:rsidTr="00881ED8">
        <w:trPr>
          <w:jc w:val="center"/>
        </w:trPr>
        <w:tc>
          <w:tcPr>
            <w:tcW w:w="1701" w:type="dxa"/>
            <w:vAlign w:val="center"/>
          </w:tcPr>
          <w:p w14:paraId="71EEFF5B" w14:textId="659D9355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БДЧР</w:t>
            </w:r>
          </w:p>
        </w:tc>
        <w:tc>
          <w:tcPr>
            <w:tcW w:w="7508" w:type="dxa"/>
            <w:vAlign w:val="center"/>
          </w:tcPr>
          <w:p w14:paraId="78C72CC8" w14:textId="087078DB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053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Басейнова дирекция „Черноморски район“, с център Варна</w:t>
            </w:r>
          </w:p>
        </w:tc>
      </w:tr>
      <w:tr w:rsidR="007D75BF" w:rsidRPr="009A6559" w14:paraId="44782E0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C977348" w14:textId="08DF00A4" w:rsidR="007D75BF" w:rsidRPr="003A053A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A604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ГДПБЗН-МВР</w:t>
            </w:r>
          </w:p>
        </w:tc>
        <w:tc>
          <w:tcPr>
            <w:tcW w:w="7508" w:type="dxa"/>
            <w:vAlign w:val="center"/>
          </w:tcPr>
          <w:p w14:paraId="392E68D3" w14:textId="34CCF160" w:rsidR="007D75BF" w:rsidRPr="003A6049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3A6049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Главна дирекция „Пожарна безопасност и защита на населението“ – Министерство на вътрешните работи</w:t>
            </w:r>
          </w:p>
        </w:tc>
      </w:tr>
      <w:tr w:rsidR="007D75BF" w:rsidRPr="002C4C37" w14:paraId="04F443E5" w14:textId="77777777" w:rsidTr="00881ED8">
        <w:trPr>
          <w:jc w:val="center"/>
        </w:trPr>
        <w:tc>
          <w:tcPr>
            <w:tcW w:w="1701" w:type="dxa"/>
            <w:vAlign w:val="center"/>
          </w:tcPr>
          <w:p w14:paraId="1F0E1938" w14:textId="09059B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ДЕО</w:t>
            </w:r>
          </w:p>
        </w:tc>
        <w:tc>
          <w:tcPr>
            <w:tcW w:w="7508" w:type="dxa"/>
            <w:vAlign w:val="center"/>
          </w:tcPr>
          <w:p w14:paraId="7AEA2E04" w14:textId="372DF1C1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Доклад за Екологична оценка</w:t>
            </w:r>
          </w:p>
        </w:tc>
      </w:tr>
      <w:tr w:rsidR="007D75BF" w:rsidRPr="002C4C37" w14:paraId="2B65ADD4" w14:textId="77777777" w:rsidTr="00881ED8">
        <w:trPr>
          <w:jc w:val="center"/>
        </w:trPr>
        <w:tc>
          <w:tcPr>
            <w:tcW w:w="1701" w:type="dxa"/>
            <w:vAlign w:val="center"/>
          </w:tcPr>
          <w:p w14:paraId="29DD6629" w14:textId="78A0380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ЕО</w:t>
            </w:r>
          </w:p>
        </w:tc>
        <w:tc>
          <w:tcPr>
            <w:tcW w:w="7508" w:type="dxa"/>
            <w:vAlign w:val="center"/>
          </w:tcPr>
          <w:p w14:paraId="2DA4EEB0" w14:textId="35933AB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Екологична оценка</w:t>
            </w:r>
          </w:p>
        </w:tc>
      </w:tr>
      <w:tr w:rsidR="007D75BF" w:rsidRPr="009A6559" w14:paraId="7FC1FD49" w14:textId="77777777" w:rsidTr="00881ED8">
        <w:trPr>
          <w:jc w:val="center"/>
        </w:trPr>
        <w:tc>
          <w:tcPr>
            <w:tcW w:w="1701" w:type="dxa"/>
            <w:vAlign w:val="center"/>
          </w:tcPr>
          <w:p w14:paraId="76CA7A53" w14:textId="685A25BF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ЕФРР</w:t>
            </w:r>
          </w:p>
        </w:tc>
        <w:tc>
          <w:tcPr>
            <w:tcW w:w="7508" w:type="dxa"/>
            <w:vAlign w:val="center"/>
          </w:tcPr>
          <w:p w14:paraId="50C3B9F6" w14:textId="4EEE4C7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7668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Европейски фонд за регионално развитие</w:t>
            </w:r>
          </w:p>
        </w:tc>
      </w:tr>
      <w:tr w:rsidR="007D75BF" w:rsidRPr="009A6559" w14:paraId="712C6E9B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1EE170" w14:textId="28FAE8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ЗЗШОС</w:t>
            </w:r>
          </w:p>
        </w:tc>
        <w:tc>
          <w:tcPr>
            <w:tcW w:w="7508" w:type="dxa"/>
            <w:vAlign w:val="center"/>
          </w:tcPr>
          <w:p w14:paraId="4BBB72B5" w14:textId="27E7E15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A0F2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Закона за защита от шума в околната 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</w:t>
            </w:r>
          </w:p>
        </w:tc>
      </w:tr>
      <w:tr w:rsidR="007D75BF" w:rsidRPr="009A6559" w14:paraId="01A9AF75" w14:textId="77777777" w:rsidTr="00881ED8">
        <w:trPr>
          <w:jc w:val="center"/>
        </w:trPr>
        <w:tc>
          <w:tcPr>
            <w:tcW w:w="1701" w:type="dxa"/>
            <w:vAlign w:val="center"/>
          </w:tcPr>
          <w:p w14:paraId="36B3E945" w14:textId="05D56E01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ИАОС</w:t>
            </w:r>
          </w:p>
        </w:tc>
        <w:tc>
          <w:tcPr>
            <w:tcW w:w="7508" w:type="dxa"/>
            <w:vAlign w:val="center"/>
          </w:tcPr>
          <w:p w14:paraId="2F08DA41" w14:textId="11917FF8" w:rsidR="007D75BF" w:rsidRPr="005A0F28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Изпълнителна агенция по околна среда</w:t>
            </w:r>
          </w:p>
        </w:tc>
      </w:tr>
      <w:tr w:rsidR="007D75BF" w:rsidRPr="002C4C37" w14:paraId="54F6DB3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9C1CE1" w14:textId="47F473B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КАВ</w:t>
            </w:r>
          </w:p>
        </w:tc>
        <w:tc>
          <w:tcPr>
            <w:tcW w:w="7508" w:type="dxa"/>
            <w:vAlign w:val="center"/>
          </w:tcPr>
          <w:p w14:paraId="100CC539" w14:textId="78D1755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Качество на атмосферния въздух</w:t>
            </w:r>
          </w:p>
        </w:tc>
      </w:tr>
      <w:tr w:rsidR="007D75BF" w:rsidRPr="002C4C37" w14:paraId="5B97702A" w14:textId="77777777" w:rsidTr="00881ED8">
        <w:trPr>
          <w:jc w:val="center"/>
        </w:trPr>
        <w:tc>
          <w:tcPr>
            <w:tcW w:w="1701" w:type="dxa"/>
            <w:vAlign w:val="center"/>
          </w:tcPr>
          <w:p w14:paraId="1D45DAED" w14:textId="2F29CFF5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КФ</w:t>
            </w:r>
          </w:p>
        </w:tc>
        <w:tc>
          <w:tcPr>
            <w:tcW w:w="7508" w:type="dxa"/>
            <w:vAlign w:val="center"/>
          </w:tcPr>
          <w:p w14:paraId="1BEC842D" w14:textId="7AB5646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Кохезионен фонд</w:t>
            </w:r>
          </w:p>
        </w:tc>
      </w:tr>
      <w:tr w:rsidR="007D75BF" w:rsidRPr="002C4C37" w14:paraId="7FBB4CB3" w14:textId="77777777" w:rsidTr="00881ED8">
        <w:trPr>
          <w:jc w:val="center"/>
        </w:trPr>
        <w:tc>
          <w:tcPr>
            <w:tcW w:w="1701" w:type="dxa"/>
            <w:vAlign w:val="center"/>
          </w:tcPr>
          <w:p w14:paraId="5BB6CF7A" w14:textId="267BD81D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МЗ</w:t>
            </w:r>
          </w:p>
        </w:tc>
        <w:tc>
          <w:tcPr>
            <w:tcW w:w="7508" w:type="dxa"/>
            <w:vAlign w:val="center"/>
          </w:tcPr>
          <w:p w14:paraId="0F425B75" w14:textId="781EA48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здравеопазването</w:t>
            </w:r>
          </w:p>
        </w:tc>
      </w:tr>
      <w:tr w:rsidR="001445EF" w:rsidRPr="009A6559" w14:paraId="7D7ACF1B" w14:textId="77777777" w:rsidTr="00881ED8">
        <w:trPr>
          <w:jc w:val="center"/>
        </w:trPr>
        <w:tc>
          <w:tcPr>
            <w:tcW w:w="1701" w:type="dxa"/>
            <w:vAlign w:val="center"/>
          </w:tcPr>
          <w:p w14:paraId="2AE6E6F1" w14:textId="130B938F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МЗХГ</w:t>
            </w:r>
          </w:p>
        </w:tc>
        <w:tc>
          <w:tcPr>
            <w:tcW w:w="7508" w:type="dxa"/>
            <w:vAlign w:val="center"/>
          </w:tcPr>
          <w:p w14:paraId="77366983" w14:textId="1FD10794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</w:tc>
      </w:tr>
      <w:tr w:rsidR="007D75BF" w:rsidRPr="009A6559" w14:paraId="0428DF0A" w14:textId="77777777" w:rsidTr="00881ED8">
        <w:trPr>
          <w:jc w:val="center"/>
        </w:trPr>
        <w:tc>
          <w:tcPr>
            <w:tcW w:w="1701" w:type="dxa"/>
            <w:vAlign w:val="center"/>
          </w:tcPr>
          <w:p w14:paraId="4F7A6DE1" w14:textId="4A9AC0A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МОСВ</w:t>
            </w:r>
          </w:p>
        </w:tc>
        <w:tc>
          <w:tcPr>
            <w:tcW w:w="7508" w:type="dxa"/>
            <w:vAlign w:val="center"/>
          </w:tcPr>
          <w:p w14:paraId="26D63E83" w14:textId="2DDCEEC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околната среда и водите</w:t>
            </w:r>
          </w:p>
        </w:tc>
      </w:tr>
      <w:tr w:rsidR="001445EF" w:rsidRPr="009A6559" w14:paraId="323ECF3E" w14:textId="77777777" w:rsidTr="00881ED8">
        <w:trPr>
          <w:jc w:val="center"/>
        </w:trPr>
        <w:tc>
          <w:tcPr>
            <w:tcW w:w="1701" w:type="dxa"/>
            <w:vAlign w:val="center"/>
          </w:tcPr>
          <w:p w14:paraId="41D7B61B" w14:textId="18E94038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МРРБ</w:t>
            </w:r>
          </w:p>
        </w:tc>
        <w:tc>
          <w:tcPr>
            <w:tcW w:w="7508" w:type="dxa"/>
            <w:vAlign w:val="center"/>
          </w:tcPr>
          <w:p w14:paraId="0B721290" w14:textId="2B76EC6E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Министерство на регионалното развитие и благоустройството</w:t>
            </w:r>
          </w:p>
        </w:tc>
      </w:tr>
      <w:tr w:rsidR="001445EF" w:rsidRPr="002C4C37" w14:paraId="4F9428F0" w14:textId="77777777" w:rsidTr="00881ED8">
        <w:trPr>
          <w:jc w:val="center"/>
        </w:trPr>
        <w:tc>
          <w:tcPr>
            <w:tcW w:w="1701" w:type="dxa"/>
            <w:vAlign w:val="center"/>
          </w:tcPr>
          <w:p w14:paraId="0F0E1FB7" w14:textId="3A8E9748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НДЕФ</w:t>
            </w:r>
          </w:p>
        </w:tc>
        <w:tc>
          <w:tcPr>
            <w:tcW w:w="7508" w:type="dxa"/>
            <w:vAlign w:val="center"/>
          </w:tcPr>
          <w:p w14:paraId="2BE371DE" w14:textId="4DC1FC84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Национален доверителен екофонд</w:t>
            </w:r>
          </w:p>
        </w:tc>
      </w:tr>
      <w:tr w:rsidR="001445EF" w:rsidRPr="009A6559" w14:paraId="071940EA" w14:textId="77777777" w:rsidTr="00881ED8">
        <w:trPr>
          <w:jc w:val="center"/>
        </w:trPr>
        <w:tc>
          <w:tcPr>
            <w:tcW w:w="1701" w:type="dxa"/>
            <w:vAlign w:val="center"/>
          </w:tcPr>
          <w:p w14:paraId="7422486E" w14:textId="35905095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НИМХ</w:t>
            </w:r>
          </w:p>
        </w:tc>
        <w:tc>
          <w:tcPr>
            <w:tcW w:w="7508" w:type="dxa"/>
            <w:vAlign w:val="center"/>
          </w:tcPr>
          <w:p w14:paraId="6241885D" w14:textId="7C704336" w:rsidR="001445EF" w:rsidRDefault="001445E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Национален институт по метеорология и хидрология</w:t>
            </w:r>
          </w:p>
        </w:tc>
      </w:tr>
      <w:tr w:rsidR="007D75BF" w:rsidRPr="009A6559" w14:paraId="5FEE65AD" w14:textId="77777777" w:rsidTr="00881ED8">
        <w:trPr>
          <w:jc w:val="center"/>
        </w:trPr>
        <w:tc>
          <w:tcPr>
            <w:tcW w:w="1701" w:type="dxa"/>
            <w:vAlign w:val="center"/>
          </w:tcPr>
          <w:p w14:paraId="2F0145FF" w14:textId="76BDD4E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НПРД</w:t>
            </w:r>
          </w:p>
        </w:tc>
        <w:tc>
          <w:tcPr>
            <w:tcW w:w="7508" w:type="dxa"/>
            <w:vAlign w:val="center"/>
          </w:tcPr>
          <w:p w14:paraId="5EE7066D" w14:textId="56E1D2DC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Национална приоритетна рамка за действие</w:t>
            </w:r>
          </w:p>
        </w:tc>
      </w:tr>
      <w:tr w:rsidR="007D75BF" w:rsidRPr="009A6559" w14:paraId="1CEF0518" w14:textId="77777777" w:rsidTr="00881ED8">
        <w:trPr>
          <w:jc w:val="center"/>
        </w:trPr>
        <w:tc>
          <w:tcPr>
            <w:tcW w:w="1701" w:type="dxa"/>
            <w:vAlign w:val="center"/>
          </w:tcPr>
          <w:p w14:paraId="57BF9522" w14:textId="6B9DBDF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НСОРБ</w:t>
            </w:r>
          </w:p>
        </w:tc>
        <w:tc>
          <w:tcPr>
            <w:tcW w:w="7508" w:type="dxa"/>
            <w:vAlign w:val="center"/>
          </w:tcPr>
          <w:p w14:paraId="6BC919C8" w14:textId="52BBBC51" w:rsidR="007D75BF" w:rsidRPr="004C4BC1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Национално сдружение на общините в Република България</w:t>
            </w:r>
          </w:p>
        </w:tc>
      </w:tr>
      <w:tr w:rsidR="007D75BF" w:rsidRPr="009A6559" w14:paraId="40AC8CF4" w14:textId="77777777" w:rsidTr="00881ED8">
        <w:trPr>
          <w:jc w:val="center"/>
        </w:trPr>
        <w:tc>
          <w:tcPr>
            <w:tcW w:w="1701" w:type="dxa"/>
            <w:vAlign w:val="center"/>
          </w:tcPr>
          <w:p w14:paraId="18A331E1" w14:textId="0F50D398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ОПИК</w:t>
            </w:r>
          </w:p>
        </w:tc>
        <w:tc>
          <w:tcPr>
            <w:tcW w:w="7508" w:type="dxa"/>
            <w:vAlign w:val="center"/>
          </w:tcPr>
          <w:p w14:paraId="47BD3524" w14:textId="4E1C743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„Иновации и конкурентоспобност“</w:t>
            </w:r>
          </w:p>
        </w:tc>
      </w:tr>
      <w:tr w:rsidR="007D75BF" w:rsidRPr="002C4C37" w14:paraId="0E0AD67A" w14:textId="77777777" w:rsidTr="00881ED8">
        <w:trPr>
          <w:jc w:val="center"/>
        </w:trPr>
        <w:tc>
          <w:tcPr>
            <w:tcW w:w="1701" w:type="dxa"/>
            <w:vAlign w:val="center"/>
          </w:tcPr>
          <w:p w14:paraId="36A8558B" w14:textId="46784E79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ОПОС</w:t>
            </w:r>
          </w:p>
        </w:tc>
        <w:tc>
          <w:tcPr>
            <w:tcW w:w="7508" w:type="dxa"/>
            <w:vAlign w:val="center"/>
          </w:tcPr>
          <w:p w14:paraId="72E6745C" w14:textId="10675492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„Околна среда“</w:t>
            </w:r>
          </w:p>
        </w:tc>
      </w:tr>
      <w:tr w:rsidR="007D75BF" w:rsidRPr="009A6559" w14:paraId="6258E4DA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D2ACE8" w14:textId="4B564AF9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ОПРР</w:t>
            </w:r>
          </w:p>
        </w:tc>
        <w:tc>
          <w:tcPr>
            <w:tcW w:w="7508" w:type="dxa"/>
            <w:vAlign w:val="center"/>
          </w:tcPr>
          <w:p w14:paraId="3D402F07" w14:textId="075F141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Оперативна програма „Региони в растеж“</w:t>
            </w:r>
          </w:p>
        </w:tc>
      </w:tr>
      <w:tr w:rsidR="007D75BF" w:rsidRPr="002C4C37" w14:paraId="2E9EAA84" w14:textId="77777777" w:rsidTr="00881ED8">
        <w:trPr>
          <w:jc w:val="center"/>
        </w:trPr>
        <w:tc>
          <w:tcPr>
            <w:tcW w:w="1701" w:type="dxa"/>
            <w:vAlign w:val="center"/>
          </w:tcPr>
          <w:p w14:paraId="2AE6CDAA" w14:textId="6012CAA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ПГ</w:t>
            </w:r>
          </w:p>
        </w:tc>
        <w:tc>
          <w:tcPr>
            <w:tcW w:w="7508" w:type="dxa"/>
            <w:vAlign w:val="center"/>
          </w:tcPr>
          <w:p w14:paraId="736CC3C1" w14:textId="58E60F89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Парникови газове</w:t>
            </w:r>
          </w:p>
        </w:tc>
      </w:tr>
      <w:tr w:rsidR="007D75BF" w:rsidRPr="002C4C37" w14:paraId="60D6D2F4" w14:textId="77777777" w:rsidTr="00881ED8">
        <w:trPr>
          <w:jc w:val="center"/>
        </w:trPr>
        <w:tc>
          <w:tcPr>
            <w:tcW w:w="1701" w:type="dxa"/>
            <w:vAlign w:val="center"/>
          </w:tcPr>
          <w:p w14:paraId="075059B6" w14:textId="0338258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ПГЗ</w:t>
            </w:r>
          </w:p>
        </w:tc>
        <w:tc>
          <w:tcPr>
            <w:tcW w:w="7508" w:type="dxa"/>
            <w:vAlign w:val="center"/>
          </w:tcPr>
          <w:p w14:paraId="308E5EC7" w14:textId="26F4598B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303E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„потенциал за глобално затопляне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</w:t>
            </w:r>
          </w:p>
        </w:tc>
      </w:tr>
      <w:tr w:rsidR="007D75BF" w:rsidRPr="009A6559" w14:paraId="7CD7587E" w14:textId="77777777" w:rsidTr="00881ED8">
        <w:trPr>
          <w:jc w:val="center"/>
        </w:trPr>
        <w:tc>
          <w:tcPr>
            <w:tcW w:w="1701" w:type="dxa"/>
            <w:vAlign w:val="center"/>
          </w:tcPr>
          <w:p w14:paraId="2C67D29A" w14:textId="0FED8B6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ПУДООС</w:t>
            </w:r>
          </w:p>
        </w:tc>
        <w:tc>
          <w:tcPr>
            <w:tcW w:w="7508" w:type="dxa"/>
            <w:vAlign w:val="center"/>
          </w:tcPr>
          <w:p w14:paraId="2607305E" w14:textId="19434DF7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Предприятие за управление на дейностите по опазване на околната среда</w:t>
            </w:r>
          </w:p>
        </w:tc>
      </w:tr>
      <w:tr w:rsidR="007D75BF" w:rsidRPr="009A6559" w14:paraId="391D2F15" w14:textId="77777777" w:rsidTr="00881ED8">
        <w:trPr>
          <w:jc w:val="center"/>
        </w:trPr>
        <w:tc>
          <w:tcPr>
            <w:tcW w:w="1701" w:type="dxa"/>
            <w:vAlign w:val="center"/>
          </w:tcPr>
          <w:p w14:paraId="6C6ACB83" w14:textId="67E5DAFA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ПУРБ</w:t>
            </w:r>
          </w:p>
        </w:tc>
        <w:tc>
          <w:tcPr>
            <w:tcW w:w="7508" w:type="dxa"/>
            <w:vAlign w:val="center"/>
          </w:tcPr>
          <w:p w14:paraId="580E569A" w14:textId="49A01AB0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речните басейни</w:t>
            </w:r>
          </w:p>
        </w:tc>
      </w:tr>
      <w:tr w:rsidR="007D75BF" w:rsidRPr="009A6559" w14:paraId="66DC9796" w14:textId="77777777" w:rsidTr="00881ED8">
        <w:trPr>
          <w:jc w:val="center"/>
        </w:trPr>
        <w:tc>
          <w:tcPr>
            <w:tcW w:w="1701" w:type="dxa"/>
            <w:vAlign w:val="center"/>
          </w:tcPr>
          <w:p w14:paraId="17EE3CFB" w14:textId="780E977C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ПУРН</w:t>
            </w:r>
          </w:p>
        </w:tc>
        <w:tc>
          <w:tcPr>
            <w:tcW w:w="7508" w:type="dxa"/>
            <w:vAlign w:val="center"/>
          </w:tcPr>
          <w:p w14:paraId="29A62B6C" w14:textId="0A9FEA7E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риска от наводнения</w:t>
            </w:r>
          </w:p>
        </w:tc>
      </w:tr>
      <w:tr w:rsidR="007D75BF" w:rsidRPr="009A6559" w14:paraId="7B1A1A2D" w14:textId="77777777" w:rsidTr="00881ED8">
        <w:trPr>
          <w:jc w:val="center"/>
        </w:trPr>
        <w:tc>
          <w:tcPr>
            <w:tcW w:w="1701" w:type="dxa"/>
            <w:vAlign w:val="center"/>
          </w:tcPr>
          <w:p w14:paraId="51DF6F5D" w14:textId="6DB17D1F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РКОНИК</w:t>
            </w:r>
          </w:p>
        </w:tc>
        <w:tc>
          <w:tcPr>
            <w:tcW w:w="7508" w:type="dxa"/>
            <w:vAlign w:val="center"/>
          </w:tcPr>
          <w:p w14:paraId="03C01609" w14:textId="784B4DB1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303E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Рамковата конвенция на Обединените нации по изменение на климата</w:t>
            </w:r>
          </w:p>
        </w:tc>
      </w:tr>
      <w:tr w:rsidR="007D75BF" w:rsidRPr="00881ED8" w14:paraId="4AF78CD4" w14:textId="77777777" w:rsidTr="00881ED8">
        <w:trPr>
          <w:jc w:val="center"/>
        </w:trPr>
        <w:tc>
          <w:tcPr>
            <w:tcW w:w="1701" w:type="dxa"/>
            <w:vAlign w:val="center"/>
          </w:tcPr>
          <w:p w14:paraId="5FF210B0" w14:textId="051C5D67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РПИП</w:t>
            </w:r>
          </w:p>
        </w:tc>
        <w:tc>
          <w:tcPr>
            <w:tcW w:w="7508" w:type="dxa"/>
            <w:vAlign w:val="center"/>
          </w:tcPr>
          <w:p w14:paraId="64772C9E" w14:textId="2EEFAAE3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Регионални прединвестиционни проучвания</w:t>
            </w:r>
          </w:p>
        </w:tc>
      </w:tr>
      <w:tr w:rsidR="007D75BF" w:rsidRPr="00881ED8" w14:paraId="40C35C1D" w14:textId="77777777" w:rsidTr="00881ED8">
        <w:trPr>
          <w:jc w:val="center"/>
        </w:trPr>
        <w:tc>
          <w:tcPr>
            <w:tcW w:w="1701" w:type="dxa"/>
            <w:vAlign w:val="center"/>
          </w:tcPr>
          <w:p w14:paraId="3D9D5BB1" w14:textId="329CE62F" w:rsidR="007D75BF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ФПЧ</w:t>
            </w:r>
          </w:p>
        </w:tc>
        <w:tc>
          <w:tcPr>
            <w:tcW w:w="7508" w:type="dxa"/>
            <w:vAlign w:val="center"/>
          </w:tcPr>
          <w:p w14:paraId="58D36480" w14:textId="387F8CBB" w:rsidR="007D75BF" w:rsidRPr="002C4C37" w:rsidRDefault="007D75BF" w:rsidP="007D7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Фини прахови частици</w:t>
            </w:r>
          </w:p>
        </w:tc>
      </w:tr>
    </w:tbl>
    <w:p w14:paraId="2FA40A01" w14:textId="77777777" w:rsidR="00FF1F66" w:rsidRPr="00FF1F66" w:rsidRDefault="00FF1F66" w:rsidP="00FF1F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32085E1" w14:textId="77777777" w:rsidR="00FF1F66" w:rsidRPr="00FF1F66" w:rsidRDefault="00FF1F66" w:rsidP="00FF1F66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b/>
          <w:sz w:val="24"/>
          <w:szCs w:val="24"/>
          <w:lang w:val="bg-BG"/>
        </w:rPr>
        <w:br w:type="page"/>
      </w:r>
    </w:p>
    <w:p w14:paraId="51BCE772" w14:textId="77777777" w:rsidR="00FF1F66" w:rsidRPr="00FF1F66" w:rsidRDefault="00FF1F66" w:rsidP="00F87EB9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0" w:name="_Toc45192999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ВЪВЕДЕНИЕ</w:t>
      </w:r>
      <w:bookmarkEnd w:id="0"/>
    </w:p>
    <w:p w14:paraId="76E2160D" w14:textId="1FE35E69" w:rsidR="00A368E5" w:rsidRPr="00F42FC5" w:rsidRDefault="00A368E5" w:rsidP="00A368E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обхват и съдържание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оклада за 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кологична оценка</w:t>
      </w:r>
      <w:r w:rsid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(ДЕО)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Оперативна програма „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Околна среда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” (О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ПОС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) 20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>-202</w:t>
      </w:r>
      <w:r w:rsidR="001E14FC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е изготвено в рамките на процедурата по екологична оценка</w:t>
      </w:r>
      <w:r w:rsid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(ЕО)</w:t>
      </w:r>
      <w:r w:rsidRPr="00A36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изпълнение на изискванията на чл. 19а от Наредбата за условията и реда за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извършване на екологична оценка на планове и програми (Наредбата за ЕО). Заданието е съобразено с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указанията в писмо на Министерство на околната среда и водите </w:t>
      </w:r>
      <w:r w:rsidR="009A6559" w:rsidRPr="00A94170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МОСВ</w:t>
      </w:r>
      <w:r w:rsidR="009A6559" w:rsidRPr="00A94170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изх.</w:t>
      </w:r>
      <w:r w:rsidR="00FD6B8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№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ЕО-1/2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5C6D3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01.2020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което </w:t>
      </w:r>
      <w:r w:rsidR="0050541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инистърът на околната среда и водите е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определил</w:t>
      </w:r>
      <w:r w:rsidR="009A6559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се извърши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задължителна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екологична оценка на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проекта на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ОП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ОС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-202</w:t>
      </w:r>
      <w:r w:rsidR="001E14FC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Писмото </w:t>
      </w:r>
      <w:r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публикувано на интернет страницата на 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</w:t>
      </w:r>
      <w:r w:rsidR="00D1692C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околната среда и водите (</w:t>
      </w:r>
      <w:r w:rsidR="00F42FC5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>МОСВ</w:t>
      </w:r>
      <w:r w:rsidR="00DF2B62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F42FC5" w:rsidRPr="00F42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адрес: </w:t>
      </w:r>
      <w:hyperlink r:id="rId12" w:history="1"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http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://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registers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moew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government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.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bg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eo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</w:t>
        </w:r>
        <w:r w:rsidR="00F42FC5" w:rsidRPr="00F42FC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lot</w:t>
        </w:r>
        <w:r w:rsidR="00F42FC5" w:rsidRPr="009A6559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bg-BG"/>
          </w:rPr>
          <w:t>/32594</w:t>
        </w:r>
      </w:hyperlink>
      <w:r w:rsidR="00F42FC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68632BE" w14:textId="58163B40" w:rsidR="00FF1F66" w:rsidRPr="006B43B2" w:rsidRDefault="00FF1F66" w:rsidP="005054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 19, ал. 1, ал. 3 и ал. 4 от Наредбата за </w:t>
      </w:r>
      <w:r w:rsidR="00D30FA0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през различните фази на подготовка на проекта на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ОПОС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Възложителят ще проведе консултации с обществеността, заинтересованите органи и трети лица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, които могат да бъдат засегнати от реализирането на програмата,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цел получаване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съобразяване </w:t>
      </w:r>
      <w:r w:rsidR="00505419"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на техните становища и бележки</w:t>
      </w:r>
      <w:r w:rsidRPr="006B43B2">
        <w:rPr>
          <w:rFonts w:ascii="Times New Roman" w:eastAsia="Calibri" w:hAnsi="Times New Roman" w:cs="Times New Roman"/>
          <w:sz w:val="24"/>
          <w:szCs w:val="24"/>
          <w:lang w:val="bg-BG"/>
        </w:rPr>
        <w:t>, по схема, която е изготвена като отделен документ.</w:t>
      </w:r>
    </w:p>
    <w:p w14:paraId="6555578C" w14:textId="5DD2D19B" w:rsidR="00FF1F66" w:rsidRPr="0065554B" w:rsidRDefault="00FF1F66" w:rsidP="00F87E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68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чл.19а от Наредбата за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се изготвя и настоящото Задание за определяне на обхвата и съдържанието на </w:t>
      </w:r>
      <w:r w:rsidR="009A6559"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>ЕО. Заданието се предоставя за консултации на:</w:t>
      </w:r>
    </w:p>
    <w:p w14:paraId="160C7C5D" w14:textId="77777777" w:rsidR="00FF1F66" w:rsidRPr="009A6559" w:rsidRDefault="00FF1F66" w:rsidP="006A131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 на околната среда и водите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(МОСВ);</w:t>
      </w:r>
    </w:p>
    <w:p w14:paraId="59F57544" w14:textId="7BC00B69" w:rsidR="009A6559" w:rsidRPr="00A41ECE" w:rsidRDefault="00FF1F66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554B">
        <w:rPr>
          <w:rFonts w:ascii="Times New Roman" w:eastAsia="Calibri" w:hAnsi="Times New Roman" w:cs="Times New Roman"/>
          <w:sz w:val="24"/>
          <w:szCs w:val="24"/>
        </w:rPr>
        <w:t>Министерство на здравеопазването</w:t>
      </w: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(МЗ);</w:t>
      </w:r>
    </w:p>
    <w:p w14:paraId="19342803" w14:textId="59DE7215" w:rsidR="009A6559" w:rsidRPr="00006CA9" w:rsidRDefault="009A6559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Тематичната работна група за разработване на ОПОС 2021-2027 г.;</w:t>
      </w:r>
    </w:p>
    <w:p w14:paraId="767A2D24" w14:textId="16B6948D" w:rsidR="00A36FFC" w:rsidRPr="00006CA9" w:rsidRDefault="009A6559" w:rsidP="00A41ECE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Регионалните инспекции по околна среда и води </w:t>
      </w:r>
      <w:r w:rsidRPr="00006CA9">
        <w:rPr>
          <w:rFonts w:ascii="Times New Roman" w:eastAsia="Calibri" w:hAnsi="Times New Roman" w:cs="Times New Roman"/>
          <w:sz w:val="24"/>
          <w:szCs w:val="24"/>
        </w:rPr>
        <w:t>(</w:t>
      </w: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РИОСВ</w:t>
      </w:r>
      <w:r w:rsidRPr="00006CA9">
        <w:rPr>
          <w:rFonts w:ascii="Times New Roman" w:eastAsia="Calibri" w:hAnsi="Times New Roman" w:cs="Times New Roman"/>
          <w:sz w:val="24"/>
          <w:szCs w:val="24"/>
        </w:rPr>
        <w:t>)</w:t>
      </w:r>
      <w:r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4B47DE8" w14:textId="77777777" w:rsidR="00A36FFC" w:rsidRPr="009A6559" w:rsidRDefault="00A36FFC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Басейнова дирекция „Дунавски район”, с център Плевен (БДДР);</w:t>
      </w:r>
    </w:p>
    <w:p w14:paraId="0B4EF3B8" w14:textId="77777777" w:rsidR="00A36FFC" w:rsidRPr="003A6049" w:rsidRDefault="00A36FFC" w:rsidP="00A41ECE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9">
        <w:rPr>
          <w:rFonts w:ascii="Times New Roman" w:eastAsia="Calibri" w:hAnsi="Times New Roman" w:cs="Times New Roman"/>
          <w:sz w:val="24"/>
          <w:szCs w:val="24"/>
        </w:rPr>
        <w:t>Басейнова дирекция „Западнобеломорски район“, с център Благоевград (БДЗБР);</w:t>
      </w:r>
    </w:p>
    <w:p w14:paraId="6EE8836D" w14:textId="77777777" w:rsidR="00A36FFC" w:rsidRPr="003A6049" w:rsidRDefault="00A36FFC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9">
        <w:rPr>
          <w:rFonts w:ascii="Times New Roman" w:eastAsia="Calibri" w:hAnsi="Times New Roman" w:cs="Times New Roman"/>
          <w:sz w:val="24"/>
          <w:szCs w:val="24"/>
        </w:rPr>
        <w:t>Басейнова дирекция „Източнобеломорски район“, с център Пловдив (БДИБР);</w:t>
      </w:r>
    </w:p>
    <w:p w14:paraId="6FC19B68" w14:textId="3ECCD23B" w:rsidR="00A36FFC" w:rsidRDefault="00A36FFC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Басейнова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дирекция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Черноморски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049">
        <w:rPr>
          <w:rFonts w:ascii="Times New Roman" w:eastAsia="Calibri" w:hAnsi="Times New Roman" w:cs="Times New Roman"/>
          <w:sz w:val="24"/>
          <w:szCs w:val="24"/>
        </w:rPr>
        <w:t>район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център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049">
        <w:rPr>
          <w:rFonts w:ascii="Times New Roman" w:eastAsia="Calibri" w:hAnsi="Times New Roman" w:cs="Times New Roman"/>
          <w:sz w:val="24"/>
          <w:szCs w:val="24"/>
        </w:rPr>
        <w:t>Варна</w:t>
      </w:r>
      <w:proofErr w:type="spellEnd"/>
      <w:r w:rsidRPr="003A6049">
        <w:rPr>
          <w:rFonts w:ascii="Times New Roman" w:eastAsia="Calibri" w:hAnsi="Times New Roman" w:cs="Times New Roman"/>
          <w:sz w:val="24"/>
          <w:szCs w:val="24"/>
        </w:rPr>
        <w:t xml:space="preserve"> (БДЧР</w:t>
      </w:r>
      <w:r w:rsidRPr="00A36FF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2A9E8FD" w14:textId="787F3C2C" w:rsidR="00F74563" w:rsidRPr="00A36FFC" w:rsidRDefault="00F74563" w:rsidP="00A36FFC">
      <w:pPr>
        <w:numPr>
          <w:ilvl w:val="0"/>
          <w:numId w:val="4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Обществеността.</w:t>
      </w:r>
    </w:p>
    <w:p w14:paraId="2EAAFA16" w14:textId="57CE2F1D" w:rsidR="00FF1F66" w:rsidRPr="00E0086C" w:rsidRDefault="00FF1F66" w:rsidP="00E0086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554B">
        <w:rPr>
          <w:rFonts w:ascii="Times New Roman" w:eastAsia="Calibri" w:hAnsi="Times New Roman" w:cs="Times New Roman"/>
          <w:sz w:val="24"/>
          <w:szCs w:val="24"/>
          <w:lang w:val="bg-BG"/>
        </w:rPr>
        <w:t>Получените в резултат на консултациите</w:t>
      </w:r>
      <w:r w:rsidRPr="005D68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Заданието </w:t>
      </w:r>
      <w:r w:rsidRPr="0050541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становища ще бъдат съобразени при изготвяне на ДЕО на </w:t>
      </w:r>
      <w:r w:rsidR="00505419" w:rsidRPr="00505419">
        <w:rPr>
          <w:rFonts w:ascii="Times New Roman" w:eastAsia="Calibri" w:hAnsi="Times New Roman" w:cs="Times New Roman"/>
          <w:sz w:val="24"/>
          <w:szCs w:val="24"/>
          <w:lang w:val="bg-BG"/>
        </w:rPr>
        <w:t>ОПОС 2021-2027 г.</w:t>
      </w:r>
      <w:r w:rsidRPr="00FF1F66">
        <w:rPr>
          <w:rFonts w:ascii="Times New Roman" w:eastAsia="Calibri" w:hAnsi="Times New Roman" w:cs="Times New Roman"/>
          <w:b/>
          <w:lang w:val="bg-BG"/>
        </w:rPr>
        <w:br w:type="page"/>
      </w:r>
    </w:p>
    <w:p w14:paraId="7048F475" w14:textId="77777777" w:rsidR="00FF1F66" w:rsidRPr="00FF1F66" w:rsidRDefault="00FF1F66" w:rsidP="001E532C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1" w:name="_Toc45193000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ИНФОРМАЦИЯ ЗА КОНТАКТ С ВЪЗЛОЖИТЕЛЯ</w:t>
      </w:r>
      <w:bookmarkEnd w:id="1"/>
    </w:p>
    <w:p w14:paraId="39D71DDF" w14:textId="77777777" w:rsidR="00FF1F66" w:rsidRPr="00FF1F66" w:rsidRDefault="00FF1F66" w:rsidP="001E532C">
      <w:pPr>
        <w:spacing w:after="0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0CA1C71C" w14:textId="0A7BE4E2" w:rsidR="00FF1F66" w:rsidRPr="00FF1F66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color w:val="2E74B5"/>
          <w:sz w:val="26"/>
          <w:szCs w:val="26"/>
          <w:lang w:val="bg-BG"/>
        </w:rPr>
      </w:pPr>
      <w:bookmarkStart w:id="2" w:name="_Toc45193001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Име, седалище и единен идентификационен номер на юридическото лице</w:t>
      </w:r>
      <w:bookmarkEnd w:id="2"/>
    </w:p>
    <w:p w14:paraId="48BDE4E1" w14:textId="48F27FAE" w:rsidR="00FF1F66" w:rsidRPr="00C46E14" w:rsidRDefault="00D5709B" w:rsidP="004E462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Главна дирекция „ОПОС“ към Министерство на околната среда и водите</w:t>
      </w:r>
    </w:p>
    <w:p w14:paraId="7F386174" w14:textId="1B35BDB3" w:rsidR="0031287C" w:rsidRPr="00C46E14" w:rsidRDefault="00D5709B" w:rsidP="001E532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Главен директор: Валерия Калчева</w:t>
      </w:r>
    </w:p>
    <w:p w14:paraId="4DF45C77" w14:textId="77777777" w:rsidR="00FF1F66" w:rsidRPr="00C46E14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" w:name="_Toc45193002"/>
      <w:r w:rsidRPr="00C46E1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Пълен пощенски адрес</w:t>
      </w:r>
      <w:bookmarkEnd w:id="3"/>
    </w:p>
    <w:p w14:paraId="328C1A3F" w14:textId="7E99893A" w:rsidR="00FF1F66" w:rsidRPr="00C46E14" w:rsidRDefault="004E0C40" w:rsidP="004E0C4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</w:rPr>
        <w:t xml:space="preserve">Главна Дирекция 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C46E14">
        <w:rPr>
          <w:rFonts w:ascii="Times New Roman" w:eastAsia="Calibri" w:hAnsi="Times New Roman" w:cs="Times New Roman"/>
          <w:sz w:val="24"/>
          <w:szCs w:val="24"/>
        </w:rPr>
        <w:t>Оперативна програма околна сред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а“, гр. София, ул. „Уилям Гладстон“ </w:t>
      </w:r>
      <w:r w:rsidRPr="00C46E14">
        <w:rPr>
          <w:rFonts w:ascii="Times New Roman" w:eastAsia="Calibri" w:hAnsi="Times New Roman" w:cs="Times New Roman"/>
          <w:sz w:val="24"/>
          <w:szCs w:val="24"/>
        </w:rPr>
        <w:t>№ 67</w:t>
      </w:r>
    </w:p>
    <w:p w14:paraId="43D7B4A2" w14:textId="77777777" w:rsidR="00FF1F66" w:rsidRPr="00C46E14" w:rsidRDefault="00FF1F66" w:rsidP="001E532C">
      <w:pPr>
        <w:keepNext/>
        <w:keepLines/>
        <w:numPr>
          <w:ilvl w:val="0"/>
          <w:numId w:val="22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4" w:name="_Toc45193003"/>
      <w:r w:rsidRPr="00C46E1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Телефон, факс, Е-mail</w:t>
      </w:r>
      <w:bookmarkEnd w:id="4"/>
    </w:p>
    <w:p w14:paraId="45398B36" w14:textId="4E08772F" w:rsidR="00FF1F66" w:rsidRPr="00C46E14" w:rsidRDefault="00FF1F66" w:rsidP="001E532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>Тел.:</w:t>
      </w:r>
      <w:r w:rsidR="004E0C40"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E0C40" w:rsidRPr="00C46E14">
        <w:rPr>
          <w:rFonts w:ascii="Times New Roman" w:eastAsia="Calibri" w:hAnsi="Times New Roman" w:cs="Times New Roman"/>
          <w:sz w:val="24"/>
          <w:szCs w:val="24"/>
        </w:rPr>
        <w:t>(+359 2) 940 6082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Факс: </w:t>
      </w:r>
      <w:r w:rsidR="004E0C40" w:rsidRPr="00C46E14">
        <w:rPr>
          <w:rFonts w:ascii="Times New Roman" w:eastAsia="Calibri" w:hAnsi="Times New Roman" w:cs="Times New Roman"/>
          <w:sz w:val="24"/>
          <w:szCs w:val="24"/>
        </w:rPr>
        <w:t>(+359 2) 981 33 84</w:t>
      </w:r>
      <w:r w:rsidRPr="00C46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E-mail: </w:t>
      </w:r>
      <w:hyperlink r:id="rId13" w:history="1">
        <w:r w:rsidR="00F74563" w:rsidRPr="00C46E1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programming@moew.government.bg</w:t>
        </w:r>
      </w:hyperlink>
    </w:p>
    <w:p w14:paraId="68C95CB2" w14:textId="77777777" w:rsidR="00FF1F66" w:rsidRPr="00FF1F66" w:rsidRDefault="00FF1F66" w:rsidP="00FF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E74B5"/>
          <w:sz w:val="32"/>
          <w:szCs w:val="32"/>
          <w:lang w:val="bg-BG"/>
        </w:rPr>
      </w:pPr>
      <w:r w:rsidRPr="00FF1F66">
        <w:rPr>
          <w:rFonts w:ascii="Times New Roman" w:eastAsia="Calibri" w:hAnsi="Times New Roman" w:cs="Times New Roman"/>
          <w:b/>
          <w:lang w:val="bg-BG"/>
        </w:rPr>
        <w:br w:type="page"/>
      </w:r>
    </w:p>
    <w:p w14:paraId="0FF60B4F" w14:textId="77777777" w:rsidR="00FF1F66" w:rsidRPr="00FF1F66" w:rsidRDefault="00FF1F66" w:rsidP="00F87EB9">
      <w:pPr>
        <w:keepNext/>
        <w:keepLines/>
        <w:numPr>
          <w:ilvl w:val="0"/>
          <w:numId w:val="2"/>
        </w:numPr>
        <w:shd w:val="clear" w:color="auto" w:fill="FFF2CC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5" w:name="_Toc45193004"/>
      <w:r w:rsidRPr="00FF1F66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ЗАДАНИЕ ЗА ОПРЕДЕЛЯНЕ НА ОБХВАТА И СЪДЪРЖАНИЕТО НА ЕКОЛОГИЧНАТА ОЦЕНКА</w:t>
      </w:r>
      <w:bookmarkEnd w:id="5"/>
    </w:p>
    <w:p w14:paraId="6D1C85BA" w14:textId="4FE80D78" w:rsidR="00FF1F66" w:rsidRPr="002C4C37" w:rsidRDefault="00FF1F66" w:rsidP="00F87E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C4C3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определяне на обхвата и съдържанието на ДЕО е изготвено при съобразяване на изискванията на чл. 86, ал. 3 от </w:t>
      </w:r>
      <w:r w:rsidRPr="002C4C3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Закона за опазване на околната среда</w:t>
      </w:r>
      <w:r w:rsidR="0026029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260294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 указанията в писмо на МОСВ с изх.№ ЕО-1/27.01.2020 г</w:t>
      </w:r>
      <w:r w:rsidRPr="002C4C37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7B6E733B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A431AF7" w14:textId="77777777" w:rsidR="00FF1F66" w:rsidRPr="00FF1F66" w:rsidRDefault="00FF1F66" w:rsidP="00F87EB9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C4C3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Докладът за екологична оценка (ДЕО) ще бъде изготвен в следните обхват и съдържание:</w:t>
            </w:r>
          </w:p>
        </w:tc>
      </w:tr>
    </w:tbl>
    <w:p w14:paraId="5747A83A" w14:textId="77777777" w:rsidR="00FF1F66" w:rsidRP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24"/>
          <w:lang w:val="bg-BG"/>
        </w:rPr>
      </w:pPr>
      <w:bookmarkStart w:id="6" w:name="_Toc513629181"/>
    </w:p>
    <w:p w14:paraId="730D9468" w14:textId="7662A1CF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7" w:name="_Toc45193005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Описание на съдържанието на основните цели на 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</w:t>
      </w:r>
      <w:r w:rsid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2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1 – 202</w:t>
      </w:r>
      <w:r w:rsid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7</w:t>
      </w:r>
      <w:r w:rsidR="00B4657C" w:rsidRPr="00B4657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г. 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 връзка с други съотносими планове и програми</w:t>
      </w:r>
      <w:bookmarkEnd w:id="6"/>
      <w:bookmarkEnd w:id="7"/>
    </w:p>
    <w:p w14:paraId="6B0343BA" w14:textId="77777777" w:rsidR="00FF1F66" w:rsidRP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774A30C6" w14:textId="0F66D044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8" w:name="_Toc513629182"/>
      <w:bookmarkStart w:id="9" w:name="_Toc45193006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1.1. Основани</w:t>
      </w:r>
      <w:r w:rsidR="00B465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за изготвяне на програмата</w:t>
      </w:r>
      <w:bookmarkEnd w:id="8"/>
      <w:bookmarkEnd w:id="9"/>
    </w:p>
    <w:p w14:paraId="602AD397" w14:textId="04CBE865" w:rsidR="00DD5D6B" w:rsidRPr="0012122A" w:rsidRDefault="00DD5D6B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5D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Изготвянето на оперативните програми се основава на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Предложенията</w:t>
      </w:r>
      <w:r w:rsidR="00FC1677" w:rsidRPr="00DD5D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за Регламенти</w:t>
      </w:r>
      <w:r w:rsidR="00D47B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>на Европейския парламент</w:t>
      </w:r>
      <w:r w:rsidR="00D47B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на Съвета за определяне на общоприложими разпоредби </w:t>
      </w:r>
      <w:r w:rsidR="00BF0D08"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Общ Регламент</w:t>
      </w:r>
      <w:r w:rsidR="00BF0D08" w:rsidRPr="00006CA9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C16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относно Европейския фонд за регионално развитие и </w:t>
      </w:r>
      <w:r w:rsidR="00FC1677"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Кохезионния фонд</w:t>
      </w:r>
      <w:r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6163F"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D9F0D3C" w14:textId="140BCFDA" w:rsidR="0012122A" w:rsidRPr="0012122A" w:rsidRDefault="0012122A" w:rsidP="0012122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2122A">
        <w:rPr>
          <w:rFonts w:ascii="Times New Roman" w:eastAsia="Calibri" w:hAnsi="Times New Roman" w:cs="Times New Roman"/>
          <w:sz w:val="24"/>
          <w:szCs w:val="24"/>
          <w:lang w:val="bg-BG"/>
        </w:rPr>
        <w:t>Съгласно проектите на Регламенти като наименование на програмните документи за период 2021-2027 г. се използва „програма“, като отпада досега прилаганото понятие „оперативна“, във връзка с което впоследствие наименованието „Оперативна програма „Околна среда“ 2021-2027 г. може да бъде изменено на „Програма „Околна среда“ 2021-2027 г.</w:t>
      </w:r>
    </w:p>
    <w:p w14:paraId="4B5B02C1" w14:textId="0B6805B8" w:rsidR="00260294" w:rsidRDefault="00FC1677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Националната законодателна база, съобразно която се изготвя Оперативна програма „Околна среда“ 2021-2027 г., включва:</w:t>
      </w:r>
    </w:p>
    <w:p w14:paraId="30B019DE" w14:textId="2384F045" w:rsidR="00FC1677" w:rsidRDefault="00FC1677" w:rsidP="00FC1677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№ 142 на МС от 2019 г.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г.;</w:t>
      </w:r>
    </w:p>
    <w:p w14:paraId="3E025D16" w14:textId="3AF30697" w:rsidR="00FC1677" w:rsidRDefault="00FC1677" w:rsidP="00FC1677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РМС № 196 от 11 април 2019 г. за одобряване на Анализ на социално-икономическото развитие на България 2007-2017 г. </w:t>
      </w:r>
      <w:r w:rsidR="00BF0D08">
        <w:rPr>
          <w:rFonts w:ascii="Times New Roman" w:eastAsia="Calibri" w:hAnsi="Times New Roman" w:cs="Times New Roman"/>
          <w:sz w:val="24"/>
          <w:szCs w:val="24"/>
        </w:rPr>
        <w:t>за определяне на националните приоритети за периода 2021-2027 г.;</w:t>
      </w:r>
    </w:p>
    <w:p w14:paraId="03325BEB" w14:textId="6CCAE824" w:rsidR="00FC1677" w:rsidRDefault="00FC1677" w:rsidP="00582754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РМС № 335 от 7 юни 2019 година за одобряване на индикативно финансово разпределение на средствата от Европейския социален фонд, Европейския фонд за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регионално развитие и Кохезионния фонд за програмен период 2021-2027 г. по цели на политиката и програми;</w:t>
      </w:r>
    </w:p>
    <w:p w14:paraId="56BE1667" w14:textId="3F38ACFB" w:rsidR="00FC1677" w:rsidRPr="00582754" w:rsidRDefault="00FC1677" w:rsidP="00582754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РМС № 368 от 25 юни 2019 г. за одобряване на списък с действия, отговорни институции и срокове за изпълнение на хоризонталните и тематичните отключващи условия за средствата от Европейския фонд за регионално развитие, Европейския социален фонд, Кохезионния фонд, Европейския фонд за морско дело и рибарство, фонд „Убежище и миграция“, фонд „Вътрешна сигурност“ и Инструмента за управление на границите и визите за програмен период 2021-2027 г.</w:t>
      </w:r>
    </w:p>
    <w:p w14:paraId="11103337" w14:textId="632D9B09" w:rsidR="00FF1F66" w:rsidRDefault="001E2303" w:rsidP="005961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„Околна среда“</w:t>
      </w:r>
      <w:r w:rsidR="00220B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(ОПОС)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 е 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изготвена на базата на следните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документи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748CF5B" w14:textId="07F3A2D9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Доклад за България за 2019 г. </w:t>
      </w:r>
      <w:r w:rsidR="0065554B">
        <w:rPr>
          <w:rFonts w:ascii="Times New Roman" w:eastAsia="Calibri" w:hAnsi="Times New Roman" w:cs="Times New Roman"/>
          <w:sz w:val="24"/>
          <w:szCs w:val="24"/>
        </w:rPr>
        <w:t>–</w:t>
      </w: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 преглед относно предотвратяването и коригирането на макроикономическите дисбаланси, Приложение Г;</w:t>
      </w:r>
    </w:p>
    <w:p w14:paraId="6A7EEFE2" w14:textId="49FE2844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Препоръка на Съвета относно Националната програма за реформи на България за 2019 г. и съдържаща становище относно Конвергентната програма на България за 2019 г.;</w:t>
      </w:r>
    </w:p>
    <w:p w14:paraId="1141BC46" w14:textId="06EB7117" w:rsidR="00596105" w:rsidRPr="00596105" w:rsidRDefault="00596105" w:rsidP="00596105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Преглед на изпълнението на политиките на ЕС в областта на околната среда от 2019 г. – Доклад за България (EIR)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82FB28" w14:textId="69C1C73E" w:rsidR="00596105" w:rsidRPr="00596105" w:rsidRDefault="00596105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>Анализ на социално-икономическото развитие на България 2007-2017 г. за определяне на националните приоритети за периода 2021-2027 г. (одобрен с РМС № 196/11.04.2019 г.);</w:t>
      </w:r>
    </w:p>
    <w:p w14:paraId="391E6658" w14:textId="076471CF" w:rsidR="00DE0B9C" w:rsidRDefault="00596105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Национални </w:t>
      </w:r>
      <w:r w:rsidR="00BF0D08">
        <w:rPr>
          <w:rFonts w:ascii="Times New Roman" w:eastAsia="Calibri" w:hAnsi="Times New Roman" w:cs="Times New Roman"/>
          <w:sz w:val="24"/>
          <w:szCs w:val="24"/>
        </w:rPr>
        <w:t xml:space="preserve">и европейски </w:t>
      </w:r>
      <w:r w:rsidRPr="00596105">
        <w:rPr>
          <w:rFonts w:ascii="Times New Roman" w:eastAsia="Calibri" w:hAnsi="Times New Roman" w:cs="Times New Roman"/>
          <w:sz w:val="24"/>
          <w:szCs w:val="24"/>
        </w:rPr>
        <w:t xml:space="preserve">стратегически документи в сектор </w:t>
      </w:r>
      <w:r w:rsidR="00BF0D08">
        <w:rPr>
          <w:rFonts w:ascii="Times New Roman" w:eastAsia="Calibri" w:hAnsi="Times New Roman" w:cs="Times New Roman"/>
          <w:sz w:val="24"/>
          <w:szCs w:val="24"/>
        </w:rPr>
        <w:t>„</w:t>
      </w:r>
      <w:r w:rsidRPr="00596105">
        <w:rPr>
          <w:rFonts w:ascii="Times New Roman" w:eastAsia="Calibri" w:hAnsi="Times New Roman" w:cs="Times New Roman"/>
          <w:sz w:val="24"/>
          <w:szCs w:val="24"/>
        </w:rPr>
        <w:t>околна среда</w:t>
      </w:r>
      <w:r w:rsidR="00BF0D08">
        <w:rPr>
          <w:rFonts w:ascii="Times New Roman" w:eastAsia="Calibri" w:hAnsi="Times New Roman" w:cs="Times New Roman"/>
          <w:sz w:val="24"/>
          <w:szCs w:val="24"/>
        </w:rPr>
        <w:t>“</w:t>
      </w:r>
      <w:r w:rsidR="0058275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7863F8" w14:textId="0F969279" w:rsidR="00EB00B1" w:rsidRDefault="00EB00B1" w:rsidP="007B2030">
      <w:pPr>
        <w:pStyle w:val="ListParagraph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на Споразумение за партньорство за програмен период 2021-2027 г.</w:t>
      </w:r>
    </w:p>
    <w:p w14:paraId="3589716A" w14:textId="5EB1EB4B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0" w:name="_Toc513629183"/>
      <w:bookmarkStart w:id="11" w:name="_Toc45193007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1.2. Основни цели </w:t>
      </w:r>
      <w:bookmarkStart w:id="12" w:name="_Toc513629185"/>
      <w:bookmarkEnd w:id="10"/>
      <w:r w:rsidR="00B465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ОПОС 2021-2027 г.</w:t>
      </w:r>
      <w:bookmarkEnd w:id="11"/>
    </w:p>
    <w:p w14:paraId="7EFB52C2" w14:textId="77777777" w:rsidR="00EB00B1" w:rsidRPr="009A6559" w:rsidRDefault="00EB00B1" w:rsidP="00EB00B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Съобразявайки се със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специфичните за страната препоръки в Годишния доклад на ЕК за България за 2019 г. и отчитайки хоризонталния характер на политиките по околна среда и изменение на климата, като приоритетни за финансиране за периода 2021 – 2027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ОПОС 2021-2027 г.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идентифицира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пет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Води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Отпадъци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Биологично разнообразие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Риск и изменение на климата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Въздух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“). Те са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насочени към постигане на следната </w:t>
      </w:r>
      <w:r w:rsidRPr="007618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ел на политиката 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проекта на Общ Регламент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„По-зелена, нисковъглеродна Европа чрез насърчаване на чист и справедлив енергиен преход, зелени 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сини инвестиции, кръгова икономика, приспособяване към изменението на климата и превенция и управление на риска“.</w:t>
      </w:r>
    </w:p>
    <w:p w14:paraId="07F3E9B7" w14:textId="04E9F1AA" w:rsidR="00761806" w:rsidRPr="00761806" w:rsidRDefault="00761806" w:rsidP="00FC3A3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1F08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първия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>проект на ОПОС 20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B616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идентифицирани</w:t>
      </w:r>
      <w:r w:rsidR="00BF0D08"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7618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приоритетни о</w:t>
      </w:r>
      <w:r w:rsidR="009E51D6" w:rsidRPr="009E51D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бласти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към всяка от тях са </w:t>
      </w:r>
      <w:r w:rsidR="00BF0D08">
        <w:rPr>
          <w:rFonts w:ascii="Times New Roman" w:eastAsia="Calibri" w:hAnsi="Times New Roman" w:cs="Times New Roman"/>
          <w:sz w:val="24"/>
          <w:szCs w:val="24"/>
          <w:lang w:val="bg-BG"/>
        </w:rPr>
        <w:t>включени</w:t>
      </w:r>
      <w:r w:rsidR="00BF0D08"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61806">
        <w:rPr>
          <w:rFonts w:ascii="Times New Roman" w:eastAsia="Calibri" w:hAnsi="Times New Roman" w:cs="Times New Roman"/>
          <w:sz w:val="24"/>
          <w:szCs w:val="24"/>
          <w:lang w:val="bg-BG"/>
        </w:rPr>
        <w:t>специфични цели и дейности за изпълнение:</w:t>
      </w:r>
    </w:p>
    <w:p w14:paraId="53FF65DE" w14:textId="643AC7B5" w:rsidR="00761806" w:rsidRPr="009E51D6" w:rsidRDefault="009B23BE" w:rsidP="009D61D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ПРИОРИТЕТ 1: ВОДИ</w:t>
      </w:r>
    </w:p>
    <w:p w14:paraId="3564B0EC" w14:textId="5DD0ACF1" w:rsidR="00FF1F66" w:rsidRPr="00DA5927" w:rsidRDefault="009E51D6" w:rsidP="009B23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1</w:t>
      </w:r>
      <w:r w:rsidRP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: </w:t>
      </w:r>
      <w:r w:rsidR="009D61D0" w:rsidRP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устойчивото управление на водите</w:t>
      </w:r>
    </w:p>
    <w:p w14:paraId="4FF9483E" w14:textId="39B64351" w:rsidR="009D61D0" w:rsidRPr="009D61D0" w:rsidRDefault="009D61D0" w:rsidP="009B23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61D0">
        <w:rPr>
          <w:rFonts w:ascii="Times New Roman" w:eastAsia="Calibri" w:hAnsi="Times New Roman" w:cs="Times New Roman"/>
          <w:sz w:val="24"/>
          <w:szCs w:val="24"/>
          <w:lang w:val="bg-BG"/>
        </w:rPr>
        <w:t>Допустимите мерки са в изпълнение на Плановете за управление на речните басейни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(ПУРБ)</w:t>
      </w:r>
      <w:r w:rsidRPr="009D61D0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B890612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 xml:space="preserve">Изграждане и реконструкция на ВиК инфраструктура въз основа на </w:t>
      </w:r>
      <w:r w:rsidRPr="009A6559">
        <w:rPr>
          <w:rFonts w:ascii="Times New Roman" w:eastAsia="Calibri" w:hAnsi="Times New Roman" w:cs="Times New Roman"/>
          <w:sz w:val="24"/>
          <w:szCs w:val="24"/>
        </w:rPr>
        <w:t>Регионални прединвестиционни проучвания</w:t>
      </w:r>
      <w:r w:rsidRPr="009D61D0">
        <w:rPr>
          <w:rFonts w:ascii="Times New Roman" w:eastAsia="Calibri" w:hAnsi="Times New Roman" w:cs="Times New Roman"/>
          <w:sz w:val="24"/>
          <w:szCs w:val="24"/>
        </w:rPr>
        <w:t xml:space="preserve"> (РПИП) в съответствие с нормативната база, приоритетно в агломерации с над 10 000 екв.ж., а при наличен финансов ресурс и в агломерации с между 2 000 и 10 000 екв. ж.;</w:t>
      </w:r>
    </w:p>
    <w:p w14:paraId="588FF2FE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Разработване на стратегически документи в сектор „Води“ и за отрасъл „ВиК“, вкл. ПУРБ;</w:t>
      </w:r>
    </w:p>
    <w:p w14:paraId="19DE5920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Мерки за оптимизиране или надграждане на мрежите за мониторинг на водите и на системата за мониторинг и оценка на качеството на водите;</w:t>
      </w:r>
    </w:p>
    <w:p w14:paraId="33724CC2" w14:textId="77777777" w:rsid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Засилване капацитета за планиране, управление и изпълнение на задълженията в сектор „Води“ и отрасъл ВиК;</w:t>
      </w:r>
    </w:p>
    <w:p w14:paraId="73FA62A3" w14:textId="0B50BD14" w:rsidR="009D61D0" w:rsidRPr="009D61D0" w:rsidRDefault="009D61D0" w:rsidP="009B23B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1D0">
        <w:rPr>
          <w:rFonts w:ascii="Times New Roman" w:eastAsia="Calibri" w:hAnsi="Times New Roman" w:cs="Times New Roman"/>
          <w:sz w:val="24"/>
          <w:szCs w:val="24"/>
        </w:rPr>
        <w:t>Мерки от ПУРБ за подобряване на състоянието на водите; опазване качеството на водите, предназначени за питейно-битово водоснабдяване, вкл. установяване на зони за опазването им в района на съоръженията за водовземане, др.</w:t>
      </w:r>
    </w:p>
    <w:p w14:paraId="6665C9BC" w14:textId="6C81F3AD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ОТПАДЪЦИ</w:t>
      </w:r>
    </w:p>
    <w:p w14:paraId="72C39BFE" w14:textId="77F15895" w:rsidR="00DA5927" w:rsidRPr="009A6559" w:rsidRDefault="009B23BE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2:</w:t>
      </w:r>
      <w:r w:rsidR="00DA592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DA5927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прехода към кръгова икономика</w:t>
      </w:r>
    </w:p>
    <w:p w14:paraId="0A54820E" w14:textId="7E9E7107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Допустимите мерки съобразяват идентифицираните нужди в Националния план за управление на отпадъците: </w:t>
      </w:r>
    </w:p>
    <w:p w14:paraId="706A309A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Мерки за развитието на инфраструктурата, свързана с управлението на битовите отпадъци за постигане на целите за 2030 г. за рециклиране на отпадъците и намаляване на количествата на депонираните отпадъци; </w:t>
      </w:r>
    </w:p>
    <w:p w14:paraId="77AAF9BB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Мерки за предотвратяване генерирането на отпадъци;</w:t>
      </w:r>
    </w:p>
    <w:p w14:paraId="0556A8A3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Мерки за подготовка за повторна употреба и поправка; </w:t>
      </w:r>
    </w:p>
    <w:p w14:paraId="75FF901A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Мерки за рециклиране на отпадъците;</w:t>
      </w:r>
    </w:p>
    <w:p w14:paraId="141670DE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lastRenderedPageBreak/>
        <w:t>Изграждане, разширяване и/или надграждане на системата за разделно събиране на отпадъци;</w:t>
      </w:r>
    </w:p>
    <w:p w14:paraId="309BFA8D" w14:textId="77777777" w:rsid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>Подобряване на базата от знания относно кръговата икономика, мониторинга на отпадъците и потоците от материали;</w:t>
      </w:r>
    </w:p>
    <w:p w14:paraId="7FB75B40" w14:textId="3E071421" w:rsidR="00DA5927" w:rsidRPr="00DA5927" w:rsidRDefault="00DA5927" w:rsidP="00DA5927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927">
        <w:rPr>
          <w:rFonts w:ascii="Times New Roman" w:eastAsia="Calibri" w:hAnsi="Times New Roman" w:cs="Times New Roman"/>
          <w:sz w:val="24"/>
          <w:szCs w:val="24"/>
        </w:rPr>
        <w:t xml:space="preserve">Повишаване на осведомеността относно практиките и поведението във връзка с устойчивото потребление, както и информационни и разяснителни кампании за заинтересованите страни и населението. </w:t>
      </w:r>
    </w:p>
    <w:p w14:paraId="726E67BF" w14:textId="77777777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Мерките са насочени към битови отпадъци, масово разпространени отпадъци, биоотпадъци, в т.ч. хранителни отпадъци, строителни отпадъци и отпадъци от разрушаване.</w:t>
      </w:r>
    </w:p>
    <w:p w14:paraId="3834AC26" w14:textId="557A1F7D" w:rsidR="00DA5927" w:rsidRPr="009A6559" w:rsidRDefault="00DA5927" w:rsidP="00DA592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Мерките ще се изпълняват в допълняемост и демаркация съгласно Националния план за управление на отпадъците за периода 2021-2027 г. и Стратегия и план за действие за преход към кръговата икономика на Република България за периода 2021 – 2027 г. Синергичен ефект на мерките в посока насърчаване прехода към кръгова икономика ще се постигне чрез осигуряване на допълняемост на подкрепата по ОПОС и </w:t>
      </w:r>
      <w:r w:rsidRPr="009A6559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Оперативна програма „Иновации и конкурентоспособност” (ОПИК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, като се гарантира следната демаркацията: ОПОС – оползотворяващи организации и предприятия, които събират разделно, предварително третират и рециклират отпадъци (но не от собствено производство); ОПИК – търговски и производствени предприятия, вкл. такива, които рециклират отпадъци като част от производствения процес.</w:t>
      </w:r>
    </w:p>
    <w:p w14:paraId="7303B071" w14:textId="5F9DB1B9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: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БИОЛОГИЧНО РАЗНООБРАЗИЕ</w:t>
      </w:r>
    </w:p>
    <w:p w14:paraId="151EB495" w14:textId="011C29F7" w:rsidR="009B23BE" w:rsidRPr="009A6559" w:rsidRDefault="009B23BE" w:rsidP="00732ADA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3:</w:t>
      </w:r>
      <w:r w:rsidR="00493AC0" w:rsidRPr="009A6559">
        <w:rPr>
          <w:rFonts w:ascii="Times New Roman" w:hAnsi="Times New Roman" w:cs="Times New Roman"/>
          <w:color w:val="000000"/>
          <w:sz w:val="23"/>
          <w:szCs w:val="23"/>
          <w:lang w:val="bg-BG"/>
        </w:rPr>
        <w:t xml:space="preserve"> </w:t>
      </w:r>
      <w:r w:rsidR="00493AC0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Засилване на биоразнообразието, “зелената” инфраструктура в градската среда, както и намаляване на замърсяването</w:t>
      </w:r>
    </w:p>
    <w:p w14:paraId="226912F0" w14:textId="77777777" w:rsidR="00493AC0" w:rsidRPr="009A6559" w:rsidRDefault="00493AC0" w:rsidP="00493AC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Допустими са мерки за изпълнение на ангажиментите на страната, произтичащи от европейското природозащитно законодателство, описани в стратегически и планови документи на европейско и национално ниво: </w:t>
      </w:r>
    </w:p>
    <w:p w14:paraId="3AAB3359" w14:textId="77777777" w:rsidR="00493AC0" w:rsidRDefault="00493AC0" w:rsidP="00493AC0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t xml:space="preserve">Мерки, свързани с развитие на мрежата Натура 2000 – обезпечаване на органите за управление на мрежата Натура 2000 на национално и регионално ниво (включително техническо обезпечаване и изграждане на капацитет (обучения), подготовка на териториални планове за управление на защитени зони, обмяна на опит и добри практики, вкл. по отношение на управлението и мониторинга); </w:t>
      </w:r>
    </w:p>
    <w:p w14:paraId="65D8C4C6" w14:textId="77777777" w:rsidR="00493AC0" w:rsidRDefault="00493AC0" w:rsidP="00493AC0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lastRenderedPageBreak/>
        <w:t>Мерки, насочени към подобряване на природозащитното състояние на природни местообитания и видове (вкл. птици), предмет на опазване в мрежата Натура 2000 (вкл. подобряване знанията за тях) – мерки от Националната приоритетна рамка за действие за Натура 2000, мерки от планове за управление на защитени зони, мерки от планове за действие за защитени видове;</w:t>
      </w:r>
    </w:p>
    <w:p w14:paraId="3E962C56" w14:textId="02E8A09C" w:rsidR="00493AC0" w:rsidRPr="009A6559" w:rsidRDefault="00493AC0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AC0">
        <w:rPr>
          <w:rFonts w:ascii="Times New Roman" w:eastAsia="Calibri" w:hAnsi="Times New Roman" w:cs="Times New Roman"/>
          <w:sz w:val="24"/>
          <w:szCs w:val="24"/>
        </w:rPr>
        <w:t>Мерки за опазване/ възстановяване на екосистемите и присъщото им биологичното разнообразие с фокус върху подобряване на екосистемите и екосистемните услуги и осигуряване свързаността на мрежата Натура 2000 – изпълнение на мерки от Стратегия за биологичното разнообразие в Република България и Национален план за опазване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устойчиво ползване на биологичното разнообразие и генетичните ресурси 2020 – 2024 г.“, мерки от планове за управление на защитени територии, мерки от </w:t>
      </w:r>
      <w:r w:rsidR="00F36866">
        <w:rPr>
          <w:rFonts w:ascii="Times New Roman" w:eastAsia="Calibri" w:hAnsi="Times New Roman" w:cs="Times New Roman"/>
          <w:sz w:val="24"/>
          <w:szCs w:val="24"/>
        </w:rPr>
        <w:t>Националната приоритетна рамка за действие (</w:t>
      </w:r>
      <w:r w:rsidRPr="009A6559">
        <w:rPr>
          <w:rFonts w:ascii="Times New Roman" w:eastAsia="Calibri" w:hAnsi="Times New Roman" w:cs="Times New Roman"/>
          <w:sz w:val="24"/>
          <w:szCs w:val="24"/>
        </w:rPr>
        <w:t>НПРД</w:t>
      </w:r>
      <w:r w:rsidR="00F36866">
        <w:rPr>
          <w:rFonts w:ascii="Times New Roman" w:eastAsia="Calibri" w:hAnsi="Times New Roman" w:cs="Times New Roman"/>
          <w:sz w:val="24"/>
          <w:szCs w:val="24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 за изграждане на синя и зелена инфраструктура извън Натура 2000; </w:t>
      </w:r>
    </w:p>
    <w:p w14:paraId="466BD91D" w14:textId="4A03C681" w:rsidR="00F36866" w:rsidRPr="009A6559" w:rsidRDefault="00493AC0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 xml:space="preserve">Мерки за изграждане на капацитет на звената, вкл. обучения, отговорни за управлението и за прилагането на политиките по биологично разнообразие и по управление на Натура 2000. </w:t>
      </w:r>
    </w:p>
    <w:p w14:paraId="3082A31A" w14:textId="3FC88E5E" w:rsidR="00493AC0" w:rsidRPr="009A6559" w:rsidRDefault="00493AC0" w:rsidP="00F36866">
      <w:pPr>
        <w:pStyle w:val="ListParagraph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Допълняемост на мерките в рамките на приоритета ще се осигури чрез изпълнението на мерките, заложени в Националната приоритетна рамка за действие за Натура 2000. Рамката идентифицира всички допустими мерки, както и източниците за тяхното финансиране – оперативни програми, национален бюджет, програма LIFE и др., като по този начин се гарантира както синергичния</w:t>
      </w:r>
      <w:r w:rsidR="008371A5">
        <w:rPr>
          <w:rFonts w:ascii="Times New Roman" w:eastAsia="Calibri" w:hAnsi="Times New Roman" w:cs="Times New Roman"/>
          <w:sz w:val="24"/>
          <w:szCs w:val="24"/>
        </w:rPr>
        <w:t>т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ефект по отношение подобряване природозащитния статус на видове и типове природни местообитания, така и осигуряването на демаркация по отношение отделните предвидени мерки.</w:t>
      </w:r>
    </w:p>
    <w:p w14:paraId="21730701" w14:textId="7D66CF1D" w:rsidR="009B23BE" w:rsidRPr="009E51D6" w:rsidRDefault="009B23BE" w:rsidP="00732A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4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РИСК И ИЗМЕНЕНИЕ НА КЛИМАТА</w:t>
      </w:r>
    </w:p>
    <w:p w14:paraId="18F86A47" w14:textId="54E9E28D" w:rsidR="009B23BE" w:rsidRPr="009A6559" w:rsidRDefault="009B23BE" w:rsidP="00F3686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Специфична цел 4:</w:t>
      </w:r>
      <w:r w:rsidR="00F368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F36866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Насърчаване на адаптирането към изменението на климата, на предотвратяването и управлението на риска</w:t>
      </w:r>
    </w:p>
    <w:p w14:paraId="2BA512AA" w14:textId="5ABE0266" w:rsidR="00F36866" w:rsidRDefault="00F36866" w:rsidP="00F3686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36866">
        <w:rPr>
          <w:rFonts w:ascii="Times New Roman" w:eastAsia="Calibri" w:hAnsi="Times New Roman" w:cs="Times New Roman"/>
          <w:sz w:val="24"/>
          <w:szCs w:val="24"/>
          <w:lang w:val="bg-BG"/>
        </w:rPr>
        <w:t>Във връзка с идентифицирания разширен обхват на заплахите от природни бедствия и стратегическите цели на национално ниво, допустими са следните мерки:</w:t>
      </w:r>
    </w:p>
    <w:p w14:paraId="5011FCC3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превенция и управление на риска от наводнения и засушаване (в т.ч. екологосъобразна инфраструктура (ако е приложимо) в комбинация със сива инфраструктура);</w:t>
      </w:r>
    </w:p>
    <w:p w14:paraId="5634CD02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lastRenderedPageBreak/>
        <w:t>Анализи на риска и прилагане на мерки за превенция и защита при процеси, свързани с движение на земни маси – свлачища, срутища, ерозии, абразии и пр. (в т.ч. екологосъобразна инфраструктура (ако е приложимо) в комбинация със сива инфраструктура), вкл. такива по републиканска пътна мрежа, идентифицирани като заплаха по отношение безопасността на движение на населението по пътищата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973E11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Проучвания и анализи, насочени към обследване на последиците от измението на климата и отражението им върху водните ресурси на територията на страната;</w:t>
      </w:r>
    </w:p>
    <w:p w14:paraId="0B3C70C1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превенция и управление на риска от горски пожари;</w:t>
      </w:r>
    </w:p>
    <w:p w14:paraId="3C1ADD55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управление на риска от природни бедствия и за превенция на риска за живота и здравето на населението (в т.ч. повишаване на готовността на населението и силите за реагиране в случай на наводнения, пожари и земетресения) - фокус към изграждането на капацитет за действия на отговорните органи и на населението при природни бедствия в съответствие със стратегическите цели по отношение създаването на устойчивост към измението на климата и повишаването на степента на информираност на населението за посочените бедствия.</w:t>
      </w:r>
    </w:p>
    <w:p w14:paraId="2A5E797D" w14:textId="77777777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Изграждане на нови и оптимизиране и/или разширяване на съществуващи системи за предупреждение, наблюдение, докладване; прогнозиране и сигнализиране; разработване на цифрови модели и анализи и прогнози във връзка с климатичните изменения;</w:t>
      </w:r>
    </w:p>
    <w:p w14:paraId="12DA75B8" w14:textId="3A41E153" w:rsid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Изпълнение на проучвания и оценки във връзка с изготвяне на </w:t>
      </w:r>
      <w:r w:rsidR="00EB2277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(</w:t>
      </w:r>
      <w:r w:rsidRPr="00F36866">
        <w:rPr>
          <w:rFonts w:ascii="Times New Roman" w:eastAsia="Calibri" w:hAnsi="Times New Roman" w:cs="Times New Roman"/>
          <w:sz w:val="24"/>
          <w:szCs w:val="24"/>
        </w:rPr>
        <w:t>ПУРН</w:t>
      </w:r>
      <w:r w:rsidR="00EB2277">
        <w:rPr>
          <w:rFonts w:ascii="Times New Roman" w:eastAsia="Calibri" w:hAnsi="Times New Roman" w:cs="Times New Roman"/>
          <w:sz w:val="24"/>
          <w:szCs w:val="24"/>
        </w:rPr>
        <w:t>)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за периода 2028-2033 г.;</w:t>
      </w:r>
    </w:p>
    <w:p w14:paraId="466EF805" w14:textId="3E886D6B" w:rsidR="00F36866" w:rsidRPr="00F36866" w:rsidRDefault="00F36866" w:rsidP="00F36866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Повишаване капацитета на отговорните звена по отношение на политиките, свързани с превенция и управление на риска и политиките по изменение на климата; повишаване информираността; обучителни и информационно-образователни мерки за формиране, прилагане и изпълнение на целите на тези политики.</w:t>
      </w:r>
    </w:p>
    <w:p w14:paraId="0E1E5CF4" w14:textId="0BC5A8D3" w:rsidR="009B23BE" w:rsidRPr="009E51D6" w:rsidRDefault="009B23BE" w:rsidP="00143F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ПРИОРИТЕТ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9E51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: </w:t>
      </w:r>
      <w:r w:rsidR="00732A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ВЪЗДУХ</w:t>
      </w:r>
    </w:p>
    <w:p w14:paraId="37DC0277" w14:textId="35092A3B" w:rsidR="009B23BE" w:rsidRPr="009A6559" w:rsidRDefault="009B23BE" w:rsidP="00143FA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Специфична цел </w:t>
      </w:r>
      <w:r w:rsidR="00F368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:</w:t>
      </w:r>
      <w:r w:rsidR="00F36866" w:rsidRPr="009A655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Засилване на биоразнообразието, “зелената” инфраструктура в градската среда, както и намаляване на замърсяването</w:t>
      </w:r>
    </w:p>
    <w:p w14:paraId="3BA5DD2B" w14:textId="12ADA446" w:rsidR="00F36866" w:rsidRPr="00F36866" w:rsidRDefault="00F36866" w:rsidP="00143FA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Допустими мерки:</w:t>
      </w:r>
    </w:p>
    <w:p w14:paraId="72458E18" w14:textId="77777777" w:rsid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lastRenderedPageBreak/>
        <w:t>Мерки за намаляване на замърсяването на въздуха от битовото отопление – поетапна подмяна на отоплителни уреди на твърдо гориво, въвеждане на зони с ниски емисии, разширяване мрежата за централно топлоснабдяване;</w:t>
      </w:r>
    </w:p>
    <w:p w14:paraId="50F7F072" w14:textId="77777777" w:rsid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намаляване на замърсяването на въздуха от транспорта – насърчаване на електромобилността чрез изграждане на инфраструктура за екологосъобразни превозни средства, насърчаване поетапната подмяна на остарелия автомобилен парк с електрически автомобили, въвеждане на зони с ниски емисии;</w:t>
      </w:r>
    </w:p>
    <w:p w14:paraId="25E487FB" w14:textId="0BC46411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Мерки за подобряване мониторинга на</w:t>
      </w:r>
      <w:r w:rsidR="00EB2277">
        <w:rPr>
          <w:rFonts w:ascii="Times New Roman" w:eastAsia="Calibri" w:hAnsi="Times New Roman" w:cs="Times New Roman"/>
          <w:sz w:val="24"/>
          <w:szCs w:val="24"/>
        </w:rPr>
        <w:t xml:space="preserve"> качеството на атмосферния въздух</w:t>
      </w:r>
      <w:r w:rsidRPr="00F36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277">
        <w:rPr>
          <w:rFonts w:ascii="Times New Roman" w:eastAsia="Calibri" w:hAnsi="Times New Roman" w:cs="Times New Roman"/>
          <w:sz w:val="24"/>
          <w:szCs w:val="24"/>
        </w:rPr>
        <w:t>(</w:t>
      </w:r>
      <w:r w:rsidRPr="00F36866">
        <w:rPr>
          <w:rFonts w:ascii="Times New Roman" w:eastAsia="Calibri" w:hAnsi="Times New Roman" w:cs="Times New Roman"/>
          <w:sz w:val="24"/>
          <w:szCs w:val="24"/>
        </w:rPr>
        <w:t>КАВ</w:t>
      </w:r>
      <w:r w:rsidR="00EB2277">
        <w:rPr>
          <w:rFonts w:ascii="Times New Roman" w:eastAsia="Calibri" w:hAnsi="Times New Roman" w:cs="Times New Roman"/>
          <w:sz w:val="24"/>
          <w:szCs w:val="24"/>
        </w:rPr>
        <w:t>)</w:t>
      </w:r>
      <w:r w:rsidRPr="00F36866">
        <w:rPr>
          <w:rFonts w:ascii="Times New Roman" w:eastAsia="Calibri" w:hAnsi="Times New Roman" w:cs="Times New Roman"/>
          <w:sz w:val="24"/>
          <w:szCs w:val="24"/>
        </w:rPr>
        <w:t>, вкл. за надграждане на Националната системата за мониторинг на качеството на атмосферния въздух в реално време 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866">
        <w:rPr>
          <w:rFonts w:ascii="Times New Roman" w:eastAsia="Calibri" w:hAnsi="Times New Roman" w:cs="Times New Roman"/>
          <w:sz w:val="24"/>
          <w:szCs w:val="24"/>
        </w:rPr>
        <w:t>информационната система за докладване на данни за качеството на атмосферния въздух;</w:t>
      </w:r>
    </w:p>
    <w:p w14:paraId="4B416600" w14:textId="2803476A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Зелени мерки в градска среда, вкл. изграждане на „зелени пояси/зони“;</w:t>
      </w:r>
    </w:p>
    <w:p w14:paraId="26F2E239" w14:textId="03290448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Разработване/актуализация на стратегически/ програмни/ планови/ аналитични документи във връзка с качеството на атмосферния въздух, прогнозиране, моделиране;</w:t>
      </w:r>
    </w:p>
    <w:p w14:paraId="4EDD5E7A" w14:textId="2DE80B17" w:rsidR="00F36866" w:rsidRPr="00F36866" w:rsidRDefault="00F36866" w:rsidP="00143FAE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866">
        <w:rPr>
          <w:rFonts w:ascii="Times New Roman" w:eastAsia="Calibri" w:hAnsi="Times New Roman" w:cs="Times New Roman"/>
          <w:sz w:val="24"/>
          <w:szCs w:val="24"/>
        </w:rPr>
        <w:t>Обучителни и информационно-образователни мерки.</w:t>
      </w:r>
    </w:p>
    <w:p w14:paraId="6F802398" w14:textId="0D3E1C9D" w:rsidR="00F36866" w:rsidRDefault="00F36866" w:rsidP="00143FA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Фокусът на интервенциите ще бъде към общините с нарушено качество на въздуха. Мерките за намаляване на замърсяването на въздуха от битовото отопление ще имат синергичен ефект с мерките за енергийната ефективност на сградния фонд по 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„Региони в растеж“ (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ОПРР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. От една страна подменените топлоуреди/системи за отопление ще допринесат пряко за повишаване на енергийната ефективност на сградния фонд като цяло, а от друга – подобрената енергийна ефективност на сградния фонд ще доведе до по-нисък разход на енергия, което има принос за намаляване на емисиите на замърсители на въздуха. Мерките за намаляване на замърсяването на въздуха от транспорта осигуряват допълняемост с предвидените мерки по ОПРР при съблюдаване на демаркация с интервенциите за устойчива градска мобилност. Чрез изпълнението на „Зелени мерки в градска среда, вкл. изграждане на „зелени пояси/зони“ ще се осигури допълняемост към мерките за зелена инфраструктура в градовете, заложени по ОПРР, като фокусът по ОПОС е върху качество на въздуха чрез инвестиции в растителни видове, с най-висока степен на ефективност по отношение улавянето на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фини прахови частици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ФПЧ</w:t>
      </w:r>
      <w:r w:rsidR="00143FA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пречистването на въздуха по естествен път.</w:t>
      </w:r>
    </w:p>
    <w:p w14:paraId="081058CC" w14:textId="243197BE" w:rsidR="00374599" w:rsidRPr="00143FAE" w:rsidRDefault="001F0855" w:rsidP="0012122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При изготвянето на ДЕО ще бъдат анализирани и оценени актуалните предвиждания на цели и мерки по наличния към този момент проект на ОПОС 2021-2027 г.</w:t>
      </w:r>
    </w:p>
    <w:p w14:paraId="72E410CB" w14:textId="1FDD0371" w:rsidR="00FF1F66" w:rsidRPr="00FF1F66" w:rsidRDefault="00FF1F66" w:rsidP="00716CEE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3" w:name="_Toc45193008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1.3.</w:t>
      </w:r>
      <w:r w:rsidRPr="00FF1F66">
        <w:rPr>
          <w:rFonts w:ascii="Calibri Light" w:eastAsia="Times New Roman" w:hAnsi="Calibri Light" w:cs="Times New Roman"/>
          <w:b/>
          <w:sz w:val="24"/>
          <w:szCs w:val="24"/>
          <w:lang w:val="bg-BG"/>
        </w:rPr>
        <w:t xml:space="preserve"> </w:t>
      </w:r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Алтернативи за </w:t>
      </w:r>
      <w:bookmarkEnd w:id="12"/>
      <w:r w:rsidR="002C59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bookmarkEnd w:id="13"/>
    </w:p>
    <w:p w14:paraId="0B41AE6B" w14:textId="2AF4B86B" w:rsidR="00D169A5" w:rsidRPr="00D169A5" w:rsidRDefault="00D169A5" w:rsidP="00716C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bookmarkStart w:id="14" w:name="_Hlk44949649"/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Предоставеният от Възложителя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първи 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проект на ОПОС 20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21-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202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 не съдържа алтернативи.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Предвид началния стадий на</w:t>
      </w:r>
      <w:r w:rsidR="001C782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изготвяне на програмата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е възможно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по-късен етап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идентифициране на алтернативи</w:t>
      </w:r>
      <w:r w:rsidR="00752CE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варианти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0E742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които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бъдат анализирани </w:t>
      </w:r>
      <w:r w:rsidR="001F08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ДЕО </w:t>
      </w:r>
      <w:r w:rsidRPr="00D169A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 отношение на тяхното въздействие върху околната среда и здравето на хората.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39F1D677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B1C5B92" w14:textId="055703FA" w:rsidR="00FF1F66" w:rsidRPr="00FF1F66" w:rsidRDefault="00FF1F66" w:rsidP="00716CEE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В ДЕО ще бъде направено подробно разглеждане на наличните </w:t>
            </w:r>
            <w:r w:rsidR="001F08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към момента на изготвянето му </w:t>
            </w:r>
            <w:r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алтернативи, в т.ч. „нулевата алтернатива”</w:t>
            </w:r>
            <w:r w:rsidR="001F08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ако такива бъдат предвидени в следващи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етапи</w:t>
            </w:r>
            <w:r w:rsidR="00D169A5"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изготвяне на </w:t>
            </w:r>
            <w:r w:rsidR="00D169A5" w:rsidRPr="00D169A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</w:p>
        </w:tc>
      </w:tr>
    </w:tbl>
    <w:p w14:paraId="0DBD78C3" w14:textId="512867CF" w:rsidR="00FF1F66" w:rsidRPr="00FF1F66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15" w:name="_Toc513629186"/>
      <w:bookmarkStart w:id="16" w:name="_Toc45193009"/>
      <w:bookmarkEnd w:id="14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1.4. Връзка на </w:t>
      </w:r>
      <w:r w:rsidR="002C59E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 други съотносими планове, програми и стратегии</w:t>
      </w:r>
      <w:bookmarkEnd w:id="15"/>
      <w:bookmarkEnd w:id="16"/>
    </w:p>
    <w:p w14:paraId="69EB2D8C" w14:textId="6DFAB262" w:rsidR="00752CEB" w:rsidRDefault="00752CEB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 подточката ще се анализира връзката и съотносимостта на проекта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ОПОС 20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>1 – 202</w:t>
      </w:r>
      <w:r w:rsidR="00DE0B9C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други планове, програми и стратегии. </w:t>
      </w:r>
    </w:p>
    <w:p w14:paraId="5E82C133" w14:textId="4DF55FB0" w:rsidR="00DE0B9C" w:rsidRPr="00DE0B9C" w:rsidRDefault="00752CEB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 изготвянето на проекта на ОПОС 2021-2027 г. се съобразяват пряко следните документи</w:t>
      </w:r>
      <w:r w:rsidR="00DE0B9C" w:rsidRPr="00DE0B9C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2F39B2" w14:textId="4F48A9C7" w:rsid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Настоящата Оперативна програма „Околна среда</w:t>
      </w:r>
      <w:r>
        <w:rPr>
          <w:rFonts w:ascii="Times New Roman" w:eastAsia="Calibri" w:hAnsi="Times New Roman" w:cs="Times New Roman"/>
          <w:sz w:val="24"/>
          <w:szCs w:val="24"/>
        </w:rPr>
        <w:t>“ 2014-2020 г.;</w:t>
      </w:r>
    </w:p>
    <w:p w14:paraId="31A61122" w14:textId="2E56E247" w:rsidR="00752CEB" w:rsidRDefault="00752CEB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EB">
        <w:rPr>
          <w:rFonts w:ascii="Times New Roman" w:eastAsia="Calibri" w:hAnsi="Times New Roman" w:cs="Times New Roman"/>
          <w:sz w:val="24"/>
          <w:szCs w:val="24"/>
        </w:rPr>
        <w:t>Проект на Споразумение за партньорство за програмен период 2021-2027 г.;</w:t>
      </w:r>
    </w:p>
    <w:p w14:paraId="563397C8" w14:textId="4823D98C" w:rsidR="00752CEB" w:rsidRDefault="00BA34AE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Визия, цели и приоритети на Национална програма за развитие България 2030;</w:t>
      </w:r>
    </w:p>
    <w:p w14:paraId="5628C790" w14:textId="4274A5E5" w:rsidR="00DF00E0" w:rsidRDefault="00DF00E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E0">
        <w:rPr>
          <w:rFonts w:ascii="Times New Roman" w:eastAsia="Calibri" w:hAnsi="Times New Roman" w:cs="Times New Roman"/>
          <w:sz w:val="24"/>
          <w:szCs w:val="24"/>
        </w:rPr>
        <w:t>Националната програма за реформи на България за 2019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A967C8" w14:textId="153F4194" w:rsid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 програма за контрол на замърсяването на въздуха (2020 – 2030)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8BD670" w14:textId="4914192D" w:rsidR="004047A0" w:rsidRPr="00A328F7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 програма за подобряване качеството на атмосферния въздух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7A0">
        <w:rPr>
          <w:rFonts w:ascii="Times New Roman" w:eastAsia="Calibri" w:hAnsi="Times New Roman" w:cs="Times New Roman"/>
          <w:sz w:val="24"/>
          <w:szCs w:val="24"/>
        </w:rPr>
        <w:t>2018-2024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ABD5E5" w14:textId="392D1945" w:rsidR="004047A0" w:rsidRPr="004047A0" w:rsidRDefault="004047A0" w:rsidP="00C361E9">
      <w:pPr>
        <w:pStyle w:val="ListParagraph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Националната стратегия за адаптация към изменението на климата и План за действие до 2030 г.;</w:t>
      </w:r>
    </w:p>
    <w:p w14:paraId="6690BB0D" w14:textId="2CAD5ABF" w:rsidR="004047A0" w:rsidRPr="00DF00E0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A0">
        <w:rPr>
          <w:rFonts w:ascii="Times New Roman" w:eastAsia="Calibri" w:hAnsi="Times New Roman" w:cs="Times New Roman"/>
          <w:sz w:val="24"/>
          <w:szCs w:val="24"/>
        </w:rPr>
        <w:t>Националната стратегия за намаляване на риска от бедствия 2018-2030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69391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в Дунавски район (2016-2021 г.);</w:t>
      </w:r>
    </w:p>
    <w:p w14:paraId="71BF56F4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Черноморски район (2016-2021 г.);</w:t>
      </w:r>
    </w:p>
    <w:p w14:paraId="5477D2AA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речните басейни в Източнобеломорски район (2016-2021 г.);</w:t>
      </w:r>
    </w:p>
    <w:p w14:paraId="13D99FB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lastRenderedPageBreak/>
        <w:t>План за управление на речните басейни в Заподнобеломорски район (2016-2021 г.);</w:t>
      </w:r>
    </w:p>
    <w:p w14:paraId="1ED044A3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Дунавски район за басейново управление 2016-2021 г.;</w:t>
      </w:r>
    </w:p>
    <w:p w14:paraId="36E5D3F1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Черноморски район за басейново управление 2016-2021 г.;</w:t>
      </w:r>
    </w:p>
    <w:p w14:paraId="2A009D44" w14:textId="77777777" w:rsidR="004047A0" w:rsidRPr="009A6559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Източнобеломорски район за басейново управление 2016-2021 г.;</w:t>
      </w:r>
    </w:p>
    <w:p w14:paraId="40588771" w14:textId="586F5418" w:rsidR="004047A0" w:rsidRDefault="004047A0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59">
        <w:rPr>
          <w:rFonts w:ascii="Times New Roman" w:eastAsia="Calibri" w:hAnsi="Times New Roman" w:cs="Times New Roman"/>
          <w:sz w:val="24"/>
          <w:szCs w:val="24"/>
        </w:rPr>
        <w:t>План за управление на риска от наводнения в Западнобеломорски район за басейново управление 2016-2021 г</w:t>
      </w:r>
      <w:r w:rsidR="00BA34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81C35" w14:textId="0B242B93" w:rsidR="00BA34AE" w:rsidRDefault="00BA34AE" w:rsidP="00C361E9">
      <w:pPr>
        <w:pStyle w:val="ListParagraph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допълнение към изброените по-горе документи, към ОПОС 2021-2027 г. са съотносими и следните действащи и/или проекти на документи </w:t>
      </w:r>
      <w:r w:rsidRPr="00C361E9">
        <w:rPr>
          <w:rFonts w:ascii="Times New Roman" w:eastAsia="Calibri" w:hAnsi="Times New Roman" w:cs="Times New Roman"/>
          <w:sz w:val="24"/>
          <w:szCs w:val="24"/>
        </w:rPr>
        <w:t>(</w:t>
      </w:r>
      <w:r w:rsidRPr="00C361E9">
        <w:rPr>
          <w:rFonts w:ascii="Times New Roman" w:eastAsia="Calibri" w:hAnsi="Times New Roman" w:cs="Times New Roman"/>
          <w:sz w:val="24"/>
          <w:szCs w:val="24"/>
          <w:u w:val="single"/>
        </w:rPr>
        <w:t>към момента на изготвяне на настоящото задание някои от документите се актуализират, разработват за следващ период на действие, като в ДЕО ще бъдат съобразени актуалните такива</w:t>
      </w:r>
      <w:r w:rsidRPr="00C361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474B2EB" w14:textId="1531BAA8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Интегриран план в областта на енергетиката и климата на Република България 2021 - 2030 г. (одобрен от Министерски съвет, февруари, 2020 г.)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7957A2" w14:textId="2FD28684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регионално развитие за периода 2012-2022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23DE9B" w14:textId="3A7F345E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концепция за пространствено развитие за периода 2013-2025 г. – Актуализация 2019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7747B8" w14:textId="3D08DFC0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намаляване на риска от бедствия 2018-2030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072E3E" w14:textId="187CAE48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програма за действие за устойчиво управление на земите и борба с опустиняването в Република България  - актуализация за програмен период 2014-2020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7F908C" w14:textId="79349B3A" w:rsid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Национален план за управление на отпадъците 2014-2020 г.</w:t>
      </w:r>
      <w:r w:rsidR="00EB03D7">
        <w:rPr>
          <w:rFonts w:ascii="Times New Roman" w:eastAsia="Calibri" w:hAnsi="Times New Roman" w:cs="Times New Roman"/>
          <w:sz w:val="24"/>
          <w:szCs w:val="24"/>
        </w:rPr>
        <w:t xml:space="preserve"> и Национален план за управление на отпадъците 2021-2028 г. (в процес на изготвяне)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8E6294" w14:textId="77777777" w:rsidR="00C46E14" w:rsidRDefault="00EB03D7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3D7">
        <w:rPr>
          <w:rFonts w:ascii="Times New Roman" w:eastAsia="Calibri" w:hAnsi="Times New Roman" w:cs="Times New Roman"/>
          <w:sz w:val="24"/>
          <w:szCs w:val="24"/>
        </w:rPr>
        <w:t>Стратегия и план за действие за прехода към кръгова икономика на Република България за периода 2021 – 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3D7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процес на изготвяне);</w:t>
      </w:r>
    </w:p>
    <w:p w14:paraId="40C66514" w14:textId="52C55D05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Трети национален план за действие по изменение на климата 2013-2020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1499DC" w14:textId="0523B951" w:rsidR="00BA34AE" w:rsidRP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стратегия за управление и развитие на водния сектор в Република България и План за действия към нея в краткосрочна (2013 – 2015 г.), средносрочна (2016 – 2021 г.) и дългосрочна (2022 – 2037 г.) перспектива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0D9CD9" w14:textId="390A44F0" w:rsidR="00BA34AE" w:rsidRDefault="00BA34AE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4AE">
        <w:rPr>
          <w:rFonts w:ascii="Times New Roman" w:eastAsia="Calibri" w:hAnsi="Times New Roman" w:cs="Times New Roman"/>
          <w:sz w:val="24"/>
          <w:szCs w:val="24"/>
        </w:rPr>
        <w:t>Национална приоритетна рамка за действие за Натура 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241884" w14:textId="1833DD20" w:rsidR="00BA34AE" w:rsidRPr="00C361E9" w:rsidRDefault="00EB72D4" w:rsidP="00C361E9">
      <w:pPr>
        <w:pStyle w:val="ListParagraph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Други.</w:t>
      </w:r>
    </w:p>
    <w:p w14:paraId="07B4F9C4" w14:textId="3DABFB36" w:rsidR="001863EA" w:rsidRDefault="00BA34AE" w:rsidP="00C361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 ДЕО ще бъде направен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анализ на съответствието и избягване на противоречия на предвижданията на ОПОС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2021-2027 г. със съотносимите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планове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програми и стратегии, в т.ч. и с такива, предложени за разглеждане от заинтересованите страни в резултат на консултациите по настоящото Задание</w:t>
      </w:r>
      <w:r w:rsidR="001863EA" w:rsidRPr="001863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.</w:t>
      </w:r>
    </w:p>
    <w:p w14:paraId="486E4758" w14:textId="6368C379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17" w:name="_Toc45193010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Текущо състояние на околната среда и евентуално развитие без прилагането на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17"/>
    </w:p>
    <w:p w14:paraId="49B3CB84" w14:textId="77777777" w:rsidR="00FF1F66" w:rsidRPr="00FF1F66" w:rsidRDefault="00FF1F66" w:rsidP="00306FF9">
      <w:pPr>
        <w:keepNext/>
        <w:keepLines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12"/>
          <w:szCs w:val="26"/>
          <w:lang w:val="bg-BG"/>
        </w:rPr>
      </w:pPr>
    </w:p>
    <w:p w14:paraId="11936AE9" w14:textId="77777777" w:rsidR="00FF1F66" w:rsidRPr="00FF1F66" w:rsidRDefault="00FF1F66" w:rsidP="00306FF9">
      <w:pPr>
        <w:keepNext/>
        <w:keepLines/>
        <w:numPr>
          <w:ilvl w:val="1"/>
          <w:numId w:val="23"/>
        </w:numPr>
        <w:shd w:val="clear" w:color="auto" w:fill="DEEAF6"/>
        <w:spacing w:after="0" w:line="36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18" w:name="_Toc45193011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Текущо състояние на околната среда</w:t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46984280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F792BF5" w14:textId="77777777" w:rsidR="00FF1F66" w:rsidRPr="00AD7A6C" w:rsidRDefault="00FF1F66" w:rsidP="00306FF9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Текущото състояние на околната среда в страната ще бъде разгледано, анализирано и оценено в ДЕО по отношение на всеки компонент и фактор на средата, в т.ч. по отношение на населението и човешкото здраве. </w:t>
            </w:r>
            <w:r w:rsidRPr="00AD7A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За целта на заданието е представена само основна/резюмирана информация за състоянието на околната среда в страната. </w:t>
            </w:r>
          </w:p>
        </w:tc>
      </w:tr>
    </w:tbl>
    <w:p w14:paraId="5A3C02F0" w14:textId="77777777" w:rsidR="00FF1F66" w:rsidRPr="009A6559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Характеристика на климата и климатични изменения </w:t>
      </w:r>
    </w:p>
    <w:p w14:paraId="4B49943E" w14:textId="77777777" w:rsidR="00FF1F66" w:rsidRPr="009A6559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климатичното райониране на България (Станев и др., 1991), страната се разделя на две климатични области и четири подобласти. Областите се делят на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Европейско-континентална</w:t>
      </w:r>
      <w:r w:rsidRPr="009A6559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Континентално-средиземноморска.</w:t>
      </w:r>
    </w:p>
    <w:p w14:paraId="60C8ED4E" w14:textId="0EF5872E" w:rsidR="00FF1F66" w:rsidRPr="001303E5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Рекордно високите температури през последните десетилетия, топенето на ледниците, по-влажният въздух и др. показват, че глобалното затопляне на климата е неоспорим факт.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От 1989 г. насам преобладават положителни аномалии на средната годишна температура на въздуха спрямо климатичната норма на базисния период 1961 – 1990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България 2017 г. e сред 15-те най-топли години за периода 1988-2017 г., със средна годишна температура 12.3°C. </w:t>
      </w:r>
    </w:p>
    <w:p w14:paraId="1744C0ED" w14:textId="77777777" w:rsidR="00FF1F66" w:rsidRPr="001303E5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Нараства честотата на екстремните метеорологични и климатични явления. Наблюдават се повече и по-дълги периоди на засушаване, следвани от сериозни бури и тежки наводнения с разрушения и жертви. От началото на </w:t>
      </w:r>
      <w:r w:rsidRPr="001303E5">
        <w:rPr>
          <w:rFonts w:ascii="Times New Roman" w:eastAsia="Calibri" w:hAnsi="Times New Roman" w:cs="Times New Roman"/>
          <w:sz w:val="24"/>
          <w:szCs w:val="24"/>
          <w:lang w:val="en-GB"/>
        </w:rPr>
        <w:t>XXI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век зимите са по-меки. Значително нараства средният брой дни с денонощни суми на валежите над 100 </w:t>
      </w:r>
      <w:r w:rsidRPr="001303E5">
        <w:rPr>
          <w:rFonts w:ascii="Times New Roman" w:eastAsia="Calibri" w:hAnsi="Times New Roman" w:cs="Times New Roman"/>
          <w:sz w:val="24"/>
          <w:szCs w:val="24"/>
          <w:lang w:val="en-GB"/>
        </w:rPr>
        <w:t>mm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увеличават се случаите с проливни валежи, гръмотевични бури и градушки през януари и февруари; повишава се честотата на средния брой дни с гръмотевични бури и градушки през април и септември. Снежните месеци в планините намаляват, а дебелината на снежната покривка показва трайна тенденция към изтъняване. </w:t>
      </w:r>
    </w:p>
    <w:p w14:paraId="41E2BB17" w14:textId="5ECAEF11" w:rsidR="001303E5" w:rsidRPr="001303E5" w:rsidRDefault="001303E5" w:rsidP="007F52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Като страна по Рамковата конвенция на Обединените нации по изменение на климата (РКОНИК), България има задължението да провежда ежегодни инвентаризации на емисиите на парникови газове по източници и поглътители, съгласно утвърдена от РКОНИК методология. Инвентаризациите обхващат емисиите на основните парникови газове: въглероден диоксид (СО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метан (CH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4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диазотен оксид (N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О), хидрофлуоркарбони (HFCs), перфлуоркарбони (PFCs) и серен хексафлуорид (SF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6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), както и предшественици (прекурсори) на парниковите газове (NОx, CО и NMVОC) и серен диоксид (SО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). За сравняване на различните 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парникови газове (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ПГ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, чрез различната им сила да ускоряват глобалното затопляне, от Междуправителствения комитет по изменение на климата (IPCC), е създаден индекс, наречен „потенциал за глобално затопляне</w:t>
      </w:r>
      <w:r w:rsidR="0090610D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(ПГЗ). Въздействието на топлинната енергия на всички ПГ се сравнява с въздействието на 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(ПГЗ = 1) и се обозначава като СО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еквивалент (CО</w:t>
      </w:r>
      <w:r w:rsidRPr="000E7422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екв.)</w:t>
      </w:r>
    </w:p>
    <w:p w14:paraId="323038CC" w14:textId="77777777" w:rsidR="001303E5" w:rsidRPr="001303E5" w:rsidRDefault="001303E5" w:rsidP="007F52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303E5">
        <w:rPr>
          <w:rFonts w:ascii="Times New Roman" w:eastAsia="Calibri" w:hAnsi="Times New Roman" w:cs="Times New Roman"/>
          <w:sz w:val="24"/>
          <w:szCs w:val="24"/>
          <w:lang w:val="bg-BG"/>
        </w:rPr>
        <w:t>За наблюдение и оценка на нивата на парникови газове се използват следните индикатори:</w:t>
      </w:r>
    </w:p>
    <w:p w14:paraId="3AAEE928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Общи емисии на парникови газове</w:t>
      </w:r>
      <w:r w:rsidR="007F52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0BF9B4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Емисии на парниковите газове по сектори от класификацията на Междуправителствения комитет по изменение на климата (IPCC);</w:t>
      </w:r>
    </w:p>
    <w:p w14:paraId="5EAF46B5" w14:textId="77777777" w:rsid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Годишни емисии на парникови газове на човек от населението;</w:t>
      </w:r>
    </w:p>
    <w:p w14:paraId="59A20F72" w14:textId="5D429732" w:rsidR="001303E5" w:rsidRPr="007F52FB" w:rsidRDefault="001303E5" w:rsidP="007F52FB">
      <w:pPr>
        <w:pStyle w:val="ListParagraph"/>
        <w:numPr>
          <w:ilvl w:val="0"/>
          <w:numId w:val="38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FB">
        <w:rPr>
          <w:rFonts w:ascii="Times New Roman" w:eastAsia="Calibri" w:hAnsi="Times New Roman" w:cs="Times New Roman"/>
          <w:sz w:val="24"/>
          <w:szCs w:val="24"/>
        </w:rPr>
        <w:t>Годишни емисии на парникови газове за единица брутен вътрешен продукт (БВП).</w:t>
      </w:r>
    </w:p>
    <w:p w14:paraId="6764189C" w14:textId="141FA3F2" w:rsidR="00124847" w:rsidRPr="00124847" w:rsidRDefault="00590107" w:rsidP="0014225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19" w:name="_Hlk44949092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Риск и изменение на климата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</w:t>
      </w:r>
      <w:bookmarkEnd w:id="19"/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като ще бъде предоставена информация за 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текущото състояние 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климатичните особености на климатичните области и подобласти, в които попада Република България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;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състоянието и тенденциите в изменението на климата</w:t>
      </w:r>
      <w:r w:rsidR="0014225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; </w:t>
      </w:r>
      <w:r w:rsidR="00124847" w:rsidRPr="0012484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нивата на емисиите на парниковите газове по индикатори.</w:t>
      </w:r>
    </w:p>
    <w:p w14:paraId="69F61ACC" w14:textId="77777777" w:rsidR="00FF1F66" w:rsidRPr="001303E5" w:rsidRDefault="00FF1F66" w:rsidP="00DB14B7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1303E5">
        <w:rPr>
          <w:rFonts w:ascii="Times New Roman" w:eastAsia="Times New Roman" w:hAnsi="Times New Roman" w:cs="Times New Roman"/>
          <w:b/>
          <w:i/>
          <w:sz w:val="24"/>
        </w:rPr>
        <w:t>Състояние на атмосферния въздух</w:t>
      </w:r>
    </w:p>
    <w:p w14:paraId="5CDBB3F0" w14:textId="460A135D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За детайлна оценка на качеството на атмосферния въздух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КАВ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303E5">
        <w:rPr>
          <w:rFonts w:ascii="Times New Roman" w:eastAsia="Calibri" w:hAnsi="Times New Roman" w:cs="Times New Roman"/>
          <w:sz w:val="24"/>
          <w:szCs w:val="24"/>
        </w:rPr>
        <w:t xml:space="preserve"> се използва индикатор, представящ националните емисии на вредни вещества във въздуха, изчислени по „Единна методика за инвентаризация на емисиите на вредни вещества във въздуха” за 11 групи източници на емисии (сектора) и обхваща следните вещества:</w:t>
      </w:r>
    </w:p>
    <w:p w14:paraId="7392DAB9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серни оксиди (SОx);</w:t>
      </w:r>
    </w:p>
    <w:p w14:paraId="63DDD18F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азотни оксиди (NОx);</w:t>
      </w:r>
    </w:p>
    <w:p w14:paraId="4FBD3995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неметанови летливи органични съединения (NMVOC);</w:t>
      </w:r>
    </w:p>
    <w:p w14:paraId="2956F2C8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амоняк (NH</w:t>
      </w:r>
      <w:r w:rsidRPr="00EB2277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03E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7AC9A7B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въглероден оксид (СО);</w:t>
      </w:r>
    </w:p>
    <w:p w14:paraId="03AF2087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тежки метали (живак - Hg, кадмий – Cd, олово – Pb);</w:t>
      </w:r>
    </w:p>
    <w:p w14:paraId="707F853A" w14:textId="77777777" w:rsidR="001303E5" w:rsidRP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полициклични ароматни въглеводороди (РАH);</w:t>
      </w:r>
    </w:p>
    <w:p w14:paraId="6726E606" w14:textId="77777777" w:rsidR="001303E5" w:rsidRPr="00DB14B7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E5">
        <w:rPr>
          <w:rFonts w:ascii="Times New Roman" w:eastAsia="Calibri" w:hAnsi="Times New Roman" w:cs="Times New Roman"/>
          <w:sz w:val="24"/>
          <w:szCs w:val="24"/>
        </w:rPr>
        <w:t>•</w:t>
      </w:r>
      <w:r w:rsidRPr="001303E5">
        <w:rPr>
          <w:rFonts w:ascii="Times New Roman" w:eastAsia="Calibri" w:hAnsi="Times New Roman" w:cs="Times New Roman"/>
          <w:sz w:val="24"/>
          <w:szCs w:val="24"/>
        </w:rPr>
        <w:tab/>
        <w:t>диоксини и фурани (</w:t>
      </w:r>
      <w:r w:rsidRPr="00DB14B7">
        <w:rPr>
          <w:rFonts w:ascii="Times New Roman" w:eastAsia="Calibri" w:hAnsi="Times New Roman" w:cs="Times New Roman"/>
          <w:sz w:val="24"/>
          <w:szCs w:val="24"/>
        </w:rPr>
        <w:t>DIOX);</w:t>
      </w:r>
    </w:p>
    <w:p w14:paraId="5A535A02" w14:textId="77777777" w:rsidR="001303E5" w:rsidRPr="00DB14B7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•</w:t>
      </w:r>
      <w:r w:rsidRPr="00DB14B7">
        <w:rPr>
          <w:rFonts w:ascii="Times New Roman" w:eastAsia="Calibri" w:hAnsi="Times New Roman" w:cs="Times New Roman"/>
          <w:sz w:val="24"/>
          <w:szCs w:val="24"/>
        </w:rPr>
        <w:tab/>
        <w:t>фини прахови частици (ФПЧ</w:t>
      </w:r>
      <w:r w:rsidRPr="00EB2277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DB14B7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C3895D2" w14:textId="0B631C3F" w:rsidR="001303E5" w:rsidRDefault="001303E5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•</w:t>
      </w:r>
      <w:r w:rsidRPr="00DB14B7">
        <w:rPr>
          <w:rFonts w:ascii="Times New Roman" w:eastAsia="Calibri" w:hAnsi="Times New Roman" w:cs="Times New Roman"/>
          <w:sz w:val="24"/>
          <w:szCs w:val="24"/>
        </w:rPr>
        <w:tab/>
        <w:t>специфични замърсители.</w:t>
      </w:r>
    </w:p>
    <w:p w14:paraId="216EF3FB" w14:textId="79A9DBC4" w:rsidR="00FF1F66" w:rsidRDefault="00FF1F66" w:rsidP="00DB14B7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B7">
        <w:rPr>
          <w:rFonts w:ascii="Times New Roman" w:eastAsia="Calibri" w:hAnsi="Times New Roman" w:cs="Times New Roman"/>
          <w:sz w:val="24"/>
          <w:szCs w:val="24"/>
        </w:rPr>
        <w:t>Като основен източник на емисии на вредни вещества</w:t>
      </w:r>
      <w:r w:rsidRPr="00DB14B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DB14B7">
        <w:rPr>
          <w:rFonts w:ascii="Times New Roman" w:eastAsia="Calibri" w:hAnsi="Times New Roman" w:cs="Times New Roman"/>
          <w:sz w:val="24"/>
          <w:szCs w:val="24"/>
        </w:rPr>
        <w:t xml:space="preserve"> отделяни на територията на България</w:t>
      </w:r>
      <w:r w:rsidRPr="00DB14B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DB14B7">
        <w:rPr>
          <w:rFonts w:ascii="Times New Roman" w:eastAsia="Calibri" w:hAnsi="Times New Roman" w:cs="Times New Roman"/>
          <w:sz w:val="24"/>
          <w:szCs w:val="24"/>
        </w:rPr>
        <w:t xml:space="preserve"> се установяват топлоелектрическите централи (по отношение на серен диоксид и азотни оксиди), селското стопанство (за амоняк), природата (за неметанови летливи органични вещества) и битовото отопление (за фини прахови частици).</w:t>
      </w:r>
    </w:p>
    <w:p w14:paraId="0460DFB9" w14:textId="02133DE4" w:rsidR="005A0B88" w:rsidRPr="005A0B88" w:rsidRDefault="00590107" w:rsidP="005A0B8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20" w:name="_Hlk45006941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Въздух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5A0B88" w:rsidRPr="005A0B8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ще бъдат представени </w:t>
      </w:r>
      <w:bookmarkEnd w:id="20"/>
      <w:r w:rsidR="005A0B88" w:rsidRPr="005A0B88">
        <w:rPr>
          <w:rFonts w:ascii="Times New Roman" w:eastAsia="Calibri" w:hAnsi="Times New Roman" w:cs="Times New Roman"/>
          <w:i/>
          <w:iCs/>
          <w:sz w:val="24"/>
          <w:szCs w:val="24"/>
        </w:rPr>
        <w:t>и анализирани данните за емисии на вредни вещества в атмосферния въздух по групи източници с цел установяване и на тенденциите по отношение на тези емисии.</w:t>
      </w:r>
    </w:p>
    <w:p w14:paraId="23BB9DB9" w14:textId="77777777" w:rsidR="00FF1F66" w:rsidRPr="000C23EE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0C23EE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повърхностните води </w:t>
      </w:r>
    </w:p>
    <w:p w14:paraId="5F700F85" w14:textId="77777777" w:rsidR="004960F0" w:rsidRDefault="00FF1F66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EE">
        <w:rPr>
          <w:rFonts w:ascii="Times New Roman" w:eastAsia="Calibri" w:hAnsi="Times New Roman" w:cs="Times New Roman"/>
          <w:sz w:val="24"/>
          <w:szCs w:val="24"/>
        </w:rPr>
        <w:t>По отношение на повърхностните води</w:t>
      </w:r>
      <w:r w:rsidRPr="000C23E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 водният потенциал на Р</w:t>
      </w:r>
      <w:r w:rsidR="000C23EE">
        <w:rPr>
          <w:rFonts w:ascii="Times New Roman" w:eastAsia="Calibri" w:hAnsi="Times New Roman" w:cs="Times New Roman"/>
          <w:sz w:val="24"/>
          <w:szCs w:val="24"/>
          <w:lang w:val="bg-BG"/>
        </w:rPr>
        <w:t>епублика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 България се формира от оттока на вътрешните реки, подземните води и част от водите на река Дунав.</w:t>
      </w:r>
    </w:p>
    <w:p w14:paraId="2E7DE1EC" w14:textId="08356398" w:rsidR="004960F0" w:rsidRDefault="004960F0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0F0">
        <w:rPr>
          <w:rFonts w:ascii="Times New Roman" w:eastAsia="Calibri" w:hAnsi="Times New Roman" w:cs="Times New Roman"/>
          <w:sz w:val="24"/>
          <w:szCs w:val="24"/>
        </w:rPr>
        <w:t>Повърхностните води обхващат речните, езерните и блатните води, като речните са основната част от водните ресурси на България. Сравнително малката площ на страната, близостта ѝ до Черно и Егейско море, както и комплексът от геолого-геоморфоложките особености, са причина реките в България да са къси и с малък средногодишен отток.</w:t>
      </w:r>
    </w:p>
    <w:p w14:paraId="1E78D96C" w14:textId="30C3E36B" w:rsidR="00FF1F66" w:rsidRDefault="00FF1F66" w:rsidP="000C23E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C23EE">
        <w:rPr>
          <w:rFonts w:ascii="Times New Roman" w:eastAsia="Calibri" w:hAnsi="Times New Roman" w:cs="Times New Roman"/>
          <w:sz w:val="24"/>
          <w:szCs w:val="24"/>
        </w:rPr>
        <w:t>Пресните водни ресурси на България са около 14 хил. m</w:t>
      </w:r>
      <w:r w:rsidRPr="000C23E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C23EE">
        <w:rPr>
          <w:rFonts w:ascii="Times New Roman" w:eastAsia="Calibri" w:hAnsi="Times New Roman" w:cs="Times New Roman"/>
          <w:sz w:val="24"/>
          <w:szCs w:val="24"/>
        </w:rPr>
        <w:t xml:space="preserve">/год. средно на човек, което поставя страната сред първите 10 европейски страни. </w:t>
      </w:r>
      <w:r w:rsidRPr="000C23EE">
        <w:rPr>
          <w:rFonts w:ascii="Times New Roman" w:eastAsia="Calibri" w:hAnsi="Times New Roman" w:cs="Times New Roman"/>
          <w:sz w:val="24"/>
          <w:szCs w:val="24"/>
          <w:lang w:val="bg-BG"/>
        </w:rPr>
        <w:t>Oсновните потребители на вода са селското стопанство, индустрията и битовия сектор.</w:t>
      </w:r>
    </w:p>
    <w:p w14:paraId="65F85A62" w14:textId="1B9CAF1E" w:rsidR="00CC67D9" w:rsidRPr="009A6559" w:rsidRDefault="00CC67D9" w:rsidP="00CC67D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Относителният дял на използваната вода за индустрията е средногодишно 88% от общо използваната вода за икономиката. В абсолютен размер водните количества за периода 2000-2017 г. варират между 3.8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(2013 г.) и 5.3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(2003 г.) или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средногодишно около 4.4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През 2017 г. те се оценяват на около 4.1 млрд.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което е близо до равнището на 2000 г. Преобладаващата част от промишленото водоползване е за охлаждащи процеси в енергетиката, които съставляват средногодишно около 75% от крайното потребление в страната (2000 – 2017 г.). Преработващата промишленост бележи тенденция на намаление – през 2017 г. са използвани около 243 млн. </w:t>
      </w:r>
      <w:r w:rsidRPr="00CC67D9">
        <w:rPr>
          <w:rFonts w:ascii="Times New Roman" w:eastAsia="Calibri" w:hAnsi="Times New Roman" w:cs="Times New Roman"/>
          <w:sz w:val="24"/>
          <w:szCs w:val="24"/>
        </w:rPr>
        <w:t>m</w:t>
      </w:r>
      <w:r w:rsidRPr="009A6559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3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2.2 пъти по-малко спрямо 2000 г. (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2.1.3-1.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64F6C2AD" w14:textId="0C99A8B8" w:rsidR="00CC67D9" w:rsidRDefault="00CC67D9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7D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FBDB24" wp14:editId="23FB2851">
            <wp:extent cx="5943600" cy="244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4E17" w14:textId="61574AC6" w:rsidR="00CC67D9" w:rsidRDefault="00CC67D9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67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Фигура 2.1.3-1. </w:t>
      </w:r>
      <w:r w:rsidRPr="00CC67D9">
        <w:rPr>
          <w:rFonts w:ascii="Times New Roman" w:eastAsia="Calibri" w:hAnsi="Times New Roman" w:cs="Times New Roman"/>
          <w:i/>
          <w:iCs/>
          <w:sz w:val="24"/>
          <w:szCs w:val="24"/>
        </w:rPr>
        <w:t>Използвана вода по основни икономически сектори общо за страната; Източник: ИАОС, Национален доклад за състоянието и опазването на околната среда, 2019 г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CDC83DD" w14:textId="77777777" w:rsidR="002C154D" w:rsidRPr="002C154D" w:rsidRDefault="002C154D" w:rsidP="00CC6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12"/>
          <w:szCs w:val="12"/>
        </w:rPr>
      </w:pPr>
    </w:p>
    <w:p w14:paraId="6507A6D5" w14:textId="5F4F0A62" w:rsidR="00CC67D9" w:rsidRDefault="001D1FCF" w:rsidP="00CC67D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територията на Република България са обособени зони за защита на водите, чиито мониторинг </w:t>
      </w:r>
      <w:r w:rsidRPr="001D1FCF">
        <w:rPr>
          <w:rFonts w:ascii="Times New Roman" w:eastAsia="Calibri" w:hAnsi="Times New Roman" w:cs="Times New Roman"/>
          <w:sz w:val="24"/>
          <w:szCs w:val="24"/>
        </w:rPr>
        <w:t>се извършва по райони за басейново управление (Дунавски, Черноморски, Източнобеломорски и Западнобеломорски район за басейново управление).</w:t>
      </w:r>
    </w:p>
    <w:p w14:paraId="764E297D" w14:textId="4FEDD54A" w:rsidR="001D1FCF" w:rsidRPr="009A6559" w:rsidRDefault="001D1FCF" w:rsidP="001D1FCF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1FCF">
        <w:rPr>
          <w:rFonts w:ascii="Times New Roman" w:eastAsia="Calibri" w:hAnsi="Times New Roman" w:cs="Times New Roman"/>
          <w:sz w:val="24"/>
          <w:szCs w:val="24"/>
          <w:lang w:val="bg-BG"/>
        </w:rPr>
        <w:t>Отношение към състоянието на повърхностните води има също така оценката и управлението на риска от наводнения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Всички басейнови дирекции на територията на страната са изготвили предварителни оценки на риска от наводнения за своите райони. Обхватът на наводненията е определен при максимални годишни водни количества при обезпеченост: 5%, 1% и 0.1% или повтаряемост веднъж на 20 г., 100 г. и 1 000 г. </w:t>
      </w:r>
    </w:p>
    <w:p w14:paraId="10457B20" w14:textId="61FED516" w:rsidR="002C4BDD" w:rsidRPr="00A505CC" w:rsidRDefault="00590107" w:rsidP="00A505CC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1" w:name="_Hlk45007598"/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Води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също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ще бъд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е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представена</w:t>
      </w:r>
      <w:r w:rsid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информация за екологичното и химично състояние на повърхностните води, </w:t>
      </w:r>
      <w:r w:rsidR="00FF7AA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както и за риска от наводнения, </w:t>
      </w:r>
      <w:r w:rsidR="00A505CC" w:rsidRPr="00A505C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групирана по Басейнови дирекции.</w:t>
      </w:r>
    </w:p>
    <w:bookmarkEnd w:id="21"/>
    <w:p w14:paraId="4B8004D2" w14:textId="2A835C7F" w:rsidR="00FF1F66" w:rsidRPr="006D6DE1" w:rsidRDefault="002C4BDD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lastRenderedPageBreak/>
        <w:t>С</w:t>
      </w:r>
      <w:r w:rsidR="00FF1F66" w:rsidRPr="006D6DE1">
        <w:rPr>
          <w:rFonts w:ascii="Times New Roman" w:eastAsia="Times New Roman" w:hAnsi="Times New Roman" w:cs="Times New Roman"/>
          <w:b/>
          <w:i/>
          <w:sz w:val="24"/>
        </w:rPr>
        <w:t xml:space="preserve">ъстояние на подземните води </w:t>
      </w:r>
    </w:p>
    <w:p w14:paraId="434742E2" w14:textId="1D5B39D2" w:rsidR="006D6DE1" w:rsidRPr="006D6DE1" w:rsidRDefault="006D6DE1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DE1">
        <w:rPr>
          <w:rFonts w:ascii="Times New Roman" w:eastAsia="Calibri" w:hAnsi="Times New Roman" w:cs="Times New Roman"/>
          <w:sz w:val="24"/>
          <w:szCs w:val="24"/>
        </w:rPr>
        <w:t>Факторите, които определят условията за формиране, динамиката и режима на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</w:rPr>
        <w:t>подземните води са физико-географски: релеф, климат, хидрология и хидрография и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</w:rPr>
        <w:t>геоложки: геоложки строеж, литоложки състав на скалите и тектонски структури.</w:t>
      </w:r>
    </w:p>
    <w:p w14:paraId="5F1C534E" w14:textId="455AF2BA" w:rsidR="006D6DE1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DE1">
        <w:rPr>
          <w:rFonts w:ascii="Times New Roman" w:eastAsia="Calibri" w:hAnsi="Times New Roman" w:cs="Times New Roman"/>
          <w:sz w:val="24"/>
          <w:szCs w:val="24"/>
        </w:rPr>
        <w:t>Подземните води в България имат повсеместно разпространение и играят важна роля за формирането на околната среда. По произход, физико-химични свойства и цели, за които се използват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6D6DE1">
        <w:rPr>
          <w:rFonts w:ascii="Times New Roman" w:eastAsia="Calibri" w:hAnsi="Times New Roman" w:cs="Times New Roman"/>
          <w:sz w:val="24"/>
          <w:szCs w:val="24"/>
        </w:rPr>
        <w:t xml:space="preserve"> подземните води в България се делят на три основни вида – пресни, минерални и високоминерализирани.</w:t>
      </w:r>
    </w:p>
    <w:p w14:paraId="4D1EAE93" w14:textId="2630D1CD" w:rsidR="00C65100" w:rsidRDefault="00C65100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Съгласно ПУРБ 2016 – 2021 г. на районите за басейново управление в България са обособени 169 подземни водни тела. От тях 50 на брой са в Дунавския район, 40 – в Черноморския район, 41 – в Източнобеломорския район и 38 подземни водни тела в Западнобеломорския район.</w:t>
      </w:r>
    </w:p>
    <w:p w14:paraId="66BB776C" w14:textId="71CCD400" w:rsidR="00C65100" w:rsidRDefault="00C65100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На територията на страната се осъществява мониторинг на подземните води, чрез изградените: пунктове за контролен и оперативен мониторинг на химичното състояние на подземните води, пунктове за мониторинг на зони за защита на водите, както и пунктове за мониторинг на количественото състояние на подземните води – измерване на водно ниво в кладенци и на дебити на извори.</w:t>
      </w:r>
    </w:p>
    <w:p w14:paraId="59EDF1FE" w14:textId="24C5BA46" w:rsidR="00C65100" w:rsidRDefault="00C65100" w:rsidP="006D6D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sz w:val="24"/>
          <w:szCs w:val="24"/>
        </w:rPr>
        <w:t>Индикаторите за оценка на химичното състояние на подземните води представляват средногодишните стойности на концентрациите на замърсителите, определени с Наредба №1/10.10.2007 г. за проучване, ползване и опазване на подземните води: активна реакция (рН), eлектропроводимост, обща твърдост, перманганатна окисляемост, амониеви йони, нитрати, нитрити, сулфати, хлориди, фосфати, натрий, калций, магнезий, цинк, живак, кадмий, мед, никел, олово, хром общ, желязо, манган, арсен, тетрахлоретилен и трихлоретилен и пестициди.</w:t>
      </w:r>
    </w:p>
    <w:p w14:paraId="6ADE0563" w14:textId="77777777" w:rsidR="00C65100" w:rsidRPr="009A6559" w:rsidRDefault="00C65100" w:rsidP="00C6510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5100">
        <w:rPr>
          <w:rFonts w:ascii="Times New Roman" w:eastAsia="Calibri" w:hAnsi="Times New Roman" w:cs="Times New Roman"/>
          <w:sz w:val="24"/>
          <w:szCs w:val="24"/>
          <w:lang w:val="bg-BG"/>
        </w:rPr>
        <w:t>При подземните водни тела съществено значение има тяхното количествено състояние.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на количественото състояние на подземните води за 2017 г. е направена на базата на оперативната хидрогеоложка информация от хидрогеоложките наблюдателни пунктове и станции, включени в месечния хидрометеорологичен бюлетин на НИМХ. Индикатори за количествено състояние на подземните води са измерените нива в кладенци и дебити на извори. </w:t>
      </w:r>
    </w:p>
    <w:p w14:paraId="21196F3E" w14:textId="0892E914" w:rsidR="00C65100" w:rsidRPr="00C65100" w:rsidRDefault="00C65100" w:rsidP="00C6510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изменението на дебита на изворите през периода 2008 – 2017 г. са установени по-добре изразени тенденции на покачване в около 51% от наблюдаваните басейни с подземни води. </w:t>
      </w:r>
      <w:r w:rsidRPr="00C65100">
        <w:rPr>
          <w:rFonts w:ascii="Times New Roman" w:eastAsia="Calibri" w:hAnsi="Times New Roman" w:cs="Times New Roman"/>
          <w:sz w:val="24"/>
          <w:szCs w:val="24"/>
        </w:rPr>
        <w:t>(</w:t>
      </w:r>
      <w:r w:rsidRPr="00C65100">
        <w:rPr>
          <w:rFonts w:ascii="Times New Roman" w:eastAsia="Calibri" w:hAnsi="Times New Roman" w:cs="Times New Roman"/>
          <w:b/>
          <w:bCs/>
          <w:sz w:val="24"/>
          <w:szCs w:val="24"/>
        </w:rPr>
        <w:t>Фигура 2.1.4-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C6510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E16D5B" w14:textId="0C83198C" w:rsidR="00C65100" w:rsidRDefault="00C65100" w:rsidP="00C6510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E4D380C" wp14:editId="03DA10E9">
            <wp:extent cx="5943600" cy="3763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6B71" w14:textId="46CF6546" w:rsidR="00C65100" w:rsidRDefault="00C65100" w:rsidP="00C6510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1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Фигура 2.1.4-</w:t>
      </w:r>
      <w:r w:rsidR="002C15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1</w:t>
      </w:r>
      <w:r w:rsidRPr="00C651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65100">
        <w:rPr>
          <w:rFonts w:ascii="Times New Roman" w:eastAsia="Calibri" w:hAnsi="Times New Roman" w:cs="Times New Roman"/>
          <w:i/>
          <w:iCs/>
          <w:sz w:val="24"/>
          <w:szCs w:val="24"/>
        </w:rPr>
        <w:t>Положителни тенденции на дебита на изворите (период 2008 – 2017 г.); Източник: ИАОС, Национален доклад за състоянието и опазването на околната среда, 2019 г.</w:t>
      </w:r>
    </w:p>
    <w:p w14:paraId="002ED491" w14:textId="5E06B9E8" w:rsidR="00C65100" w:rsidRPr="002C154D" w:rsidRDefault="00C65100" w:rsidP="002C154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4316EB8D" w14:textId="44FD6E59" w:rsidR="002C154D" w:rsidRPr="002C154D" w:rsidRDefault="00590107" w:rsidP="002C154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Води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подточката ще бъде разгледана подробно, като 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ще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бъде представена информация за химично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то и количествено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състояние на по</w:t>
      </w:r>
      <w:r w:rsid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дземните</w:t>
      </w:r>
      <w:r w:rsidR="002C154D" w:rsidRPr="002C154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води, групирана по Басейнови дирекции.</w:t>
      </w:r>
    </w:p>
    <w:p w14:paraId="5707D80D" w14:textId="0E232F60" w:rsidR="00FF1F66" w:rsidRPr="006D6DE1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6D6DE1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</w:t>
      </w:r>
      <w:r w:rsidR="00FF7AAA">
        <w:rPr>
          <w:rFonts w:ascii="Times New Roman" w:eastAsia="Times New Roman" w:hAnsi="Times New Roman" w:cs="Times New Roman"/>
          <w:b/>
          <w:i/>
          <w:sz w:val="24"/>
          <w:lang w:val="bg-BG"/>
        </w:rPr>
        <w:t>земните недра</w:t>
      </w:r>
    </w:p>
    <w:p w14:paraId="61903131" w14:textId="167B36B3" w:rsidR="006262AA" w:rsidRDefault="006D6DE1" w:rsidP="006262AA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>Съвременният природногеографски облик на територията на България е плод на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продължително и сложно развитие, началото на което е поставено в геоложкото минало. </w:t>
      </w:r>
      <w:r w:rsidR="00FF1F66" w:rsidRPr="006D6D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Основните форми на релефа са се образували при действието на нагъвателните, разседните, вулканските и седиментационните процеси, особено през последния неотектонски етап от </w:t>
      </w:r>
      <w:r w:rsidR="00FF1F66" w:rsidRPr="006D6DE1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развитието на територията на страната.</w:t>
      </w:r>
      <w:r w:rsidR="006262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6262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България са разпространени трите основни вида скали с </w:t>
      </w:r>
      <w:r w:rsidR="00FF1F66" w:rsidRPr="00665AF1">
        <w:rPr>
          <w:rFonts w:ascii="Times New Roman" w:eastAsia="Calibri" w:hAnsi="Times New Roman" w:cs="Times New Roman"/>
          <w:sz w:val="24"/>
          <w:szCs w:val="24"/>
          <w:lang w:val="bg-BG"/>
        </w:rPr>
        <w:t>различен произход и възраст – магмени (масивни), седиментни и метаморфни.</w:t>
      </w:r>
    </w:p>
    <w:p w14:paraId="0FEE41BA" w14:textId="6946C484" w:rsidR="006D1C97" w:rsidRPr="009A6559" w:rsidRDefault="006D1C97" w:rsidP="006D1C9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3AFA5D1B" w14:textId="77777777" w:rsidR="00FF1F66" w:rsidRPr="00665AF1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665AF1">
        <w:rPr>
          <w:rFonts w:ascii="Times New Roman" w:eastAsia="Times New Roman" w:hAnsi="Times New Roman" w:cs="Times New Roman"/>
          <w:b/>
          <w:i/>
          <w:sz w:val="24"/>
        </w:rPr>
        <w:t>Състояние на почвите и земеползването</w:t>
      </w:r>
    </w:p>
    <w:p w14:paraId="31D2AFEC" w14:textId="5030D4E6" w:rsidR="00FF1F66" w:rsidRPr="0037013C" w:rsidRDefault="00FF1F66" w:rsidP="003701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Територията на България се характеризира с голямо разнообразие на почвената покривка. Съгласно класификацията на почвите на Земята от </w:t>
      </w:r>
      <w:r w:rsidRPr="0037013C">
        <w:rPr>
          <w:rFonts w:ascii="Times New Roman" w:eastAsia="Calibri" w:hAnsi="Times New Roman" w:cs="Times New Roman"/>
          <w:sz w:val="24"/>
          <w:szCs w:val="24"/>
          <w:lang w:val="en-GB"/>
        </w:rPr>
        <w:t>FAO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>у нас са установени 8 от всички 28 висши таксономични единици на почвите.</w:t>
      </w:r>
      <w:r w:rsidR="0037013C" w:rsidRPr="0037013C"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5DB74359" w14:textId="0F9D6638" w:rsidR="00FF1F66" w:rsidRPr="0037013C" w:rsidRDefault="00FF1F66" w:rsidP="003701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Почвите в страната са в добро екологично състояние по отношение на запасеност с биогенни елементи/органично вещество, съдържание на тежки метали и металоиди, и устойчиви органични замърсители (полиароматни въглеводороди, полихлорирани бифенили и хлорорганични пестициди). </w:t>
      </w:r>
      <w:r w:rsidR="0037013C"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Почвените замърсявания могат да бъдат: дифузни (с основен източник земеделските практики и атмосферното замърсяване) и локални (минни обекти и индустриални предприятия). В резултат на локалните и дифузните почвени замърсявания настъпват промени в състоянието на почвата и качеството на произвежданата продукция. </w:t>
      </w:r>
    </w:p>
    <w:p w14:paraId="5A9FA870" w14:textId="5AEDE932" w:rsidR="00FF1F66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Структурата на ползването на земята в България е променлива</w:t>
      </w:r>
      <w:r w:rsidRPr="003701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През 2017 г. използваната земеделска площ е 45.3 % от територията на страната, като се наблюдава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>увеличение с 0.2 % 2016 г.</w:t>
      </w:r>
      <w:r w:rsidRPr="00477AB7">
        <w:rPr>
          <w:rFonts w:ascii="Arial" w:eastAsia="Calibri" w:hAnsi="Arial" w:cs="Arial"/>
          <w:color w:val="000000"/>
          <w:sz w:val="19"/>
          <w:szCs w:val="19"/>
          <w:shd w:val="clear" w:color="auto" w:fill="FFFFFF"/>
          <w:lang w:val="bg-BG"/>
        </w:rPr>
        <w:t xml:space="preserve">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>Необработваемите земи</w:t>
      </w:r>
      <w:r w:rsidRPr="00477AB7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 xml:space="preserve"> </w:t>
      </w:r>
      <w:r w:rsidRPr="00477A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2017 г. заемат 3.8% от площите със селскостопанско предназначение и 1.8% от площта на страната. </w:t>
      </w:r>
    </w:p>
    <w:p w14:paraId="74181CEB" w14:textId="7C5F2514" w:rsidR="006D1C97" w:rsidRPr="009A6559" w:rsidRDefault="006D1C97" w:rsidP="006D1C9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60917419" w14:textId="736578BC" w:rsidR="001C6B36" w:rsidRDefault="00FF1F66" w:rsidP="001C6B36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477AB7">
        <w:rPr>
          <w:rFonts w:ascii="Times New Roman" w:eastAsia="Times New Roman" w:hAnsi="Times New Roman" w:cs="Times New Roman"/>
          <w:b/>
          <w:i/>
          <w:sz w:val="24"/>
        </w:rPr>
        <w:t>Състояние на растителността</w:t>
      </w:r>
    </w:p>
    <w:p w14:paraId="700FE242" w14:textId="77777777" w:rsidR="001C6B36" w:rsidRP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 xml:space="preserve">Сложната геологична история на страната, планините със силно разчленена топография, речните долини и котловинни полета, влиянието на морските басейни от изток и юг обуславят разнообразен климат и създават условия за разнообразна растителност и богата флора. </w:t>
      </w:r>
    </w:p>
    <w:p w14:paraId="43D58489" w14:textId="77777777" w:rsidR="001C6B36" w:rsidRP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>Съгласно биогеографското райониране на Европа по ЕТС/BNP (European Topic Center on Biodivesity and Nature Protection), прието от Европейската комисия и влязло в Директивата за местообитанията (92/43/ЕЕС), България се отнася към 3 биогеографски района: Алпийски, Континентален и Черноморски.</w:t>
      </w:r>
    </w:p>
    <w:p w14:paraId="16D5B8BD" w14:textId="4AD2A26D" w:rsidR="001C6B36" w:rsidRDefault="001C6B36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B36">
        <w:rPr>
          <w:rFonts w:ascii="Times New Roman" w:hAnsi="Times New Roman" w:cs="Times New Roman"/>
          <w:sz w:val="24"/>
          <w:szCs w:val="24"/>
        </w:rPr>
        <w:t xml:space="preserve">В състава на естествената растителност у нас са установени около 12 400 растения, като най-значително е видовото разнообразие на водораслите (около 4 000 вида). След тях </w:t>
      </w:r>
      <w:r w:rsidRPr="001C6B36">
        <w:rPr>
          <w:rFonts w:ascii="Times New Roman" w:hAnsi="Times New Roman" w:cs="Times New Roman"/>
          <w:sz w:val="24"/>
          <w:szCs w:val="24"/>
        </w:rPr>
        <w:lastRenderedPageBreak/>
        <w:t>по брой се нареждат семенните растения – голосеменни и покритосеменни, представени от около 3 500 вида. Следват гъби, мъхове, лишеи, папратовидни. По-големият брой от видовете в нашата флора, са спонтанно разпространени в равнините и планините на страната в повече или по-малко естествени или променени от човешката дейност местообитания. Те образуват групата на автохтонните растения, от които около 500 вида предимно многогодишни тревисти растения, храсти и дървета, са доминанти и субдоминанти във формираните растителни съобщества.</w:t>
      </w:r>
    </w:p>
    <w:p w14:paraId="5500DE17" w14:textId="063C6105" w:rsidR="001C6B36" w:rsidRPr="001C6B36" w:rsidRDefault="00590107" w:rsidP="001C6B3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22" w:name="_Hlk44948467"/>
      <w:r w:rsidRPr="00590107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Биоразнообразие</w:t>
      </w:r>
      <w:r w:rsidRPr="00590107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подточката ще бъде разгледана подробно. Ще се представи информация </w:t>
      </w:r>
      <w:r w:rsidR="001C6B36" w:rsidRPr="001C6B3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територията на страната за </w:t>
      </w:r>
      <w:bookmarkEnd w:id="22"/>
      <w:r w:rsidR="001C6B36" w:rsidRPr="001C6B36">
        <w:rPr>
          <w:rFonts w:ascii="Times New Roman" w:hAnsi="Times New Roman" w:cs="Times New Roman"/>
          <w:i/>
          <w:sz w:val="24"/>
          <w:szCs w:val="24"/>
          <w:lang w:val="bg-BG"/>
        </w:rPr>
        <w:t>състоянието на растителността към настоящия момент, в т.ч. за българската водораслова флора, папратообразни и семенни растения, автохтонни видове, дървета, храсти и треви, плевели и рудерали, хибридни растения, изчезнали видове, ендемити, видове, включени в Червената книга, типовете природни местообитания и др.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62F30161" w14:textId="0290D246" w:rsidR="000073D6" w:rsidRPr="00477AB7" w:rsidRDefault="000073D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 на животинския свят</w:t>
      </w:r>
    </w:p>
    <w:p w14:paraId="7FFF9339" w14:textId="093FEFDA" w:rsidR="001C6B36" w:rsidRDefault="001C6B3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C6B36">
        <w:rPr>
          <w:rFonts w:ascii="Times New Roman" w:eastAsia="Calibri" w:hAnsi="Times New Roman" w:cs="Times New Roman"/>
          <w:sz w:val="24"/>
          <w:szCs w:val="24"/>
          <w:lang w:val="bg-BG"/>
        </w:rPr>
        <w:t>Територията на страната включва части от 3 биогеографски района – Алпийски, Континентален и Черноморски, съгласно биогеографското райониране на Европа по ЕТС/BNP (European Topic Center on Biodivesity and Nature Protection), прието от Европейската комисия и влязло в Директивата за местообитанията (92/43/ЕЕС).</w:t>
      </w:r>
    </w:p>
    <w:p w14:paraId="2F30BC6E" w14:textId="77777777" w:rsidR="00550CC2" w:rsidRPr="00550CC2" w:rsidRDefault="00550CC2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>Необикновено голямото разнообразие на животински видове в България е с международно значение. За България са описани повече от 20 000 безгръбначни. В тази обща цифра се включват над 1 800 таксона протозои и над 2 500 паякообразни, молуски, нематоди и други ненасекомни безгръбначни. Около 85% от известните безгръбначни са насекоми, описани са почти 17 500 вида и подвида насекоми, а общият брой се оценява на 27 000. В някои разреди насекоми (напр. Ephemeroptera, Heteroptera, Orthoptera) в България се срещат повече видове, отколкото в цяла Централна Европа. Специално трябва да се отбележи необичайно разнообразната пещерна безгръбначна фауна на България.</w:t>
      </w:r>
    </w:p>
    <w:p w14:paraId="01C34F4B" w14:textId="77777777" w:rsidR="00550CC2" w:rsidRDefault="00550CC2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>Гръбначната фауна е проучена най-задълбочено и е известно, че включва 730 вида: 94 вида бозайници, 383 вида птици, 36 влечуги, 16 земноводни и 207 черноморски и сладководни риби. Хироптерофауната наброява 29 вида – почти всички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съществуващи </w:t>
      </w:r>
      <w:r w:rsidRPr="00550CC2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видове в Европа. В България разнообразието от едри бозайници, при 23 съществуващи вида, е измежду най-богатите в Европа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6DA8E96" w14:textId="624DFC80" w:rsidR="001C6B36" w:rsidRPr="001C6B36" w:rsidRDefault="00590107" w:rsidP="00550CC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„Биоразнообразие“, подточката ще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бъде</w:t>
      </w:r>
      <w:r w:rsidRPr="0059010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разгледана подробно.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Щ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е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представ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и </w:t>
      </w:r>
      <w:r w:rsidR="001C6B36" w:rsidRPr="001C6B36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информация за територията на страната за фаунистичното разнообразие, в т.ч. на гръбначните животни, безгръбначните животни, ендемичните родове, видове и подвидове животни, и за животинските видове, обект на защита.</w:t>
      </w:r>
    </w:p>
    <w:p w14:paraId="0713A9BC" w14:textId="3CC5A6DF" w:rsidR="00FF1F66" w:rsidRPr="009A6559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>Защитени зони по смисъла на Закона за биологичното разнообразие</w:t>
      </w:r>
    </w:p>
    <w:p w14:paraId="059F7C74" w14:textId="4F32EE96" w:rsidR="00550CC2" w:rsidRPr="009A6559" w:rsidRDefault="00550CC2" w:rsidP="008033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6559">
        <w:rPr>
          <w:rFonts w:ascii="Times New Roman" w:hAnsi="Times New Roman" w:cs="Times New Roman"/>
          <w:sz w:val="24"/>
          <w:szCs w:val="24"/>
          <w:lang w:val="bg-BG"/>
        </w:rPr>
        <w:t>Защитените зони са територии, предназначени за опазване или възстановяване на благоприятното състояние на включените в тях природни местообитания, както и на видовете в техния естествен район на разпространение. България е на второ място в ЕС с процент от територията, която попада в екологичната мрежа Натура 2000.</w:t>
      </w:r>
    </w:p>
    <w:p w14:paraId="09E983D9" w14:textId="77777777" w:rsidR="00803336" w:rsidRPr="009A6559" w:rsidRDefault="00803336" w:rsidP="00803336">
      <w:pPr>
        <w:pStyle w:val="Default"/>
        <w:spacing w:line="360" w:lineRule="auto"/>
        <w:ind w:firstLine="720"/>
        <w:jc w:val="both"/>
        <w:rPr>
          <w:lang w:val="bg-BG"/>
        </w:rPr>
      </w:pPr>
      <w:r w:rsidRPr="009A6559">
        <w:rPr>
          <w:lang w:val="bg-BG"/>
        </w:rPr>
        <w:t xml:space="preserve">По данни от Информационна система за защитени зони от Екологична мрежа Натура 2000, целеви за опазване видове/природни местообитания, са както следва: </w:t>
      </w:r>
    </w:p>
    <w:p w14:paraId="54422353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Безгръбначни животни – 40 вида;</w:t>
      </w:r>
    </w:p>
    <w:p w14:paraId="76619611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Риби – 24 вида;</w:t>
      </w:r>
    </w:p>
    <w:p w14:paraId="01A076D8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Земноводни – 6 вида;</w:t>
      </w:r>
    </w:p>
    <w:p w14:paraId="1BB48E23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Влечуги – 6 вида;</w:t>
      </w:r>
    </w:p>
    <w:p w14:paraId="70728D07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Бозайници – 24 вида;</w:t>
      </w:r>
    </w:p>
    <w:p w14:paraId="11B3FA5B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Растителни видове – 22 вида;</w:t>
      </w:r>
    </w:p>
    <w:p w14:paraId="0B190BB7" w14:textId="77777777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>Природни местообитания – 90 броя;</w:t>
      </w:r>
    </w:p>
    <w:p w14:paraId="6FF7CB4D" w14:textId="44751671" w:rsidR="00803336" w:rsidRDefault="00803336" w:rsidP="00803336">
      <w:pPr>
        <w:pStyle w:val="Default"/>
        <w:numPr>
          <w:ilvl w:val="0"/>
          <w:numId w:val="39"/>
        </w:numPr>
        <w:spacing w:line="360" w:lineRule="auto"/>
        <w:ind w:left="0" w:firstLine="720"/>
        <w:jc w:val="both"/>
      </w:pPr>
      <w:r w:rsidRPr="00803336">
        <w:t xml:space="preserve">Птици – 239 вида. </w:t>
      </w:r>
    </w:p>
    <w:p w14:paraId="5AEAD3ED" w14:textId="2B1920E5" w:rsidR="00E93A67" w:rsidRPr="00803336" w:rsidRDefault="00590107" w:rsidP="00E93A67">
      <w:pPr>
        <w:pStyle w:val="Default"/>
        <w:spacing w:line="360" w:lineRule="auto"/>
        <w:ind w:firstLine="720"/>
        <w:jc w:val="both"/>
      </w:pPr>
      <w:r w:rsidRPr="00590107">
        <w:rPr>
          <w:i/>
          <w:iCs/>
          <w:lang w:val="bg-BG"/>
        </w:rPr>
        <w:t xml:space="preserve">Предвид, че един от основните приоритети на ОПОС 2021-2027 г. е „Биоразнообразие“, </w:t>
      </w:r>
      <w:r>
        <w:rPr>
          <w:i/>
          <w:iCs/>
          <w:lang w:val="bg-BG"/>
        </w:rPr>
        <w:t xml:space="preserve">в </w:t>
      </w:r>
      <w:r w:rsidR="00E93A67" w:rsidRPr="00E93A67">
        <w:rPr>
          <w:i/>
          <w:iCs/>
          <w:lang w:val="bg-BG"/>
        </w:rPr>
        <w:t>Доклада за екологична оценка подточката ще бъде разгледана подробно</w:t>
      </w:r>
      <w:r w:rsidR="00E93A67">
        <w:rPr>
          <w:i/>
          <w:iCs/>
          <w:lang w:val="bg-BG"/>
        </w:rPr>
        <w:t>.</w:t>
      </w:r>
    </w:p>
    <w:p w14:paraId="01AB9A40" w14:textId="0269D185" w:rsidR="000073D6" w:rsidRPr="00B157E5" w:rsidRDefault="008C0F5F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t>З</w:t>
      </w:r>
      <w:r w:rsidRPr="00B157E5">
        <w:rPr>
          <w:rFonts w:ascii="Times New Roman" w:eastAsia="Times New Roman" w:hAnsi="Times New Roman" w:cs="Times New Roman"/>
          <w:b/>
          <w:i/>
          <w:sz w:val="24"/>
        </w:rPr>
        <w:t>ащитени територии по смисъла на Закона за защитените територии</w:t>
      </w:r>
    </w:p>
    <w:p w14:paraId="6E0B61B4" w14:textId="379118B8" w:rsidR="00803336" w:rsidRDefault="00803336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3336">
        <w:rPr>
          <w:rFonts w:ascii="Times New Roman" w:eastAsia="Calibri" w:hAnsi="Times New Roman" w:cs="Times New Roman"/>
          <w:bCs/>
          <w:sz w:val="24"/>
          <w:szCs w:val="24"/>
        </w:rPr>
        <w:t>От 1933 г., когато се обявява първата защитена територия в България – резервата „Силкосия“ в Странджа, а през 1934 г. първия народен парк на Балканския полуостров – „Витоша“, се провежда последователна политика за разширяване и укрепване на мрежата от защитени територии.</w:t>
      </w:r>
    </w:p>
    <w:p w14:paraId="4481AC59" w14:textId="3310485D" w:rsidR="00D4306C" w:rsidRPr="009A6559" w:rsidRDefault="00D4306C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D4306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Към настоящият момент в България са обявени 1</w:t>
      </w:r>
      <w:r w:rsidRPr="00D430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7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 xml:space="preserve"> защитени територии, които обхващат приблизително 5.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27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 xml:space="preserve"> % от територията на страната. Според Закона за защитените територии, защитените територии са 6 категории: резервати (55), национални паркове (3), природни забележителности (34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), поддържани резервати (35), природни паркове (11), защитени местности (56</w:t>
      </w:r>
      <w:r w:rsidR="003C52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9</w:t>
      </w:r>
      <w:r w:rsidRPr="00D4306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D4306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Защитените територии и ефективното им опазване допринасят за изпълнението на изискванията на редица международни конвенции и споразумения, по които България е страна.</w:t>
      </w:r>
    </w:p>
    <w:p w14:paraId="12B4F54C" w14:textId="6F6EFB6B" w:rsidR="00803336" w:rsidRDefault="00803336" w:rsidP="008033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Защитените територии и ефективното им опазване допринасят за изпълнението на изискванията на редица международни конвенции и споразумения, по които България е страна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747428FE" w14:textId="77777777" w:rsidR="00590107" w:rsidRPr="009A6559" w:rsidRDefault="00590107" w:rsidP="00590107">
      <w:pPr>
        <w:pStyle w:val="Default"/>
        <w:spacing w:line="360" w:lineRule="auto"/>
        <w:ind w:firstLine="720"/>
        <w:jc w:val="both"/>
        <w:rPr>
          <w:lang w:val="bg-BG"/>
        </w:rPr>
      </w:pPr>
      <w:r w:rsidRPr="00590107">
        <w:rPr>
          <w:i/>
          <w:iCs/>
          <w:lang w:val="bg-BG"/>
        </w:rPr>
        <w:t xml:space="preserve">Предвид, че един от основните приоритети на ОПОС 2021-2027 г. е „Биоразнообразие“, </w:t>
      </w:r>
      <w:r>
        <w:rPr>
          <w:i/>
          <w:iCs/>
          <w:lang w:val="bg-BG"/>
        </w:rPr>
        <w:t xml:space="preserve">в </w:t>
      </w:r>
      <w:r w:rsidRPr="00E93A67">
        <w:rPr>
          <w:i/>
          <w:iCs/>
          <w:lang w:val="bg-BG"/>
        </w:rPr>
        <w:t>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35185D2B" w14:textId="77777777" w:rsidR="00FF1F66" w:rsidRPr="00E75718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E75718">
        <w:rPr>
          <w:rFonts w:ascii="Times New Roman" w:eastAsia="Times New Roman" w:hAnsi="Times New Roman" w:cs="Times New Roman"/>
          <w:b/>
          <w:i/>
          <w:sz w:val="24"/>
        </w:rPr>
        <w:t>Състояние на ландшафта</w:t>
      </w:r>
    </w:p>
    <w:p w14:paraId="56220D3D" w14:textId="77777777" w:rsidR="00DF4BBE" w:rsidRPr="00DF4BBE" w:rsidRDefault="00DF4BBE" w:rsidP="00E7571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BE">
        <w:rPr>
          <w:rFonts w:ascii="Times New Roman" w:eastAsia="Calibri" w:hAnsi="Times New Roman" w:cs="Times New Roman"/>
          <w:sz w:val="24"/>
          <w:szCs w:val="24"/>
        </w:rPr>
        <w:t>Класификационната система на ландшафтите в България (География на България, 1997 г.) е изготвена съгласно класифицирането на природно-териториалните комплекси в България. Ландшафтната система включва 4 класа ландшафти: равнинни, междупланински равнинно-низинни, котловинни и планински, обхващащи 13 типа, 30 подтипа и 77 групи ландшафти.</w:t>
      </w:r>
    </w:p>
    <w:p w14:paraId="04CC7A74" w14:textId="77777777" w:rsidR="00E75718" w:rsidRDefault="00DF4BBE" w:rsidP="00E7571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BE">
        <w:rPr>
          <w:rFonts w:ascii="Times New Roman" w:eastAsia="Calibri" w:hAnsi="Times New Roman" w:cs="Times New Roman"/>
          <w:sz w:val="24"/>
          <w:szCs w:val="24"/>
        </w:rPr>
        <w:t>Съгласно схемата на ландшафтното райониране (География на България, 1997 г.) страната е поделена на четири области:</w:t>
      </w:r>
    </w:p>
    <w:p w14:paraId="0C44072C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Севернозонална област на Дунавската равнина;</w:t>
      </w:r>
    </w:p>
    <w:p w14:paraId="74639049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Старопланинска област;</w:t>
      </w:r>
    </w:p>
    <w:p w14:paraId="466F00E2" w14:textId="77777777" w:rsid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Южнобългарска планинско-котловинна област;</w:t>
      </w:r>
    </w:p>
    <w:p w14:paraId="306EDACA" w14:textId="3CCAAD81" w:rsidR="00DF4BBE" w:rsidRPr="00E75718" w:rsidRDefault="00DF4BBE" w:rsidP="00E75718">
      <w:pPr>
        <w:pStyle w:val="ListParagraph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18">
        <w:rPr>
          <w:rFonts w:ascii="Times New Roman" w:eastAsia="Calibri" w:hAnsi="Times New Roman" w:cs="Times New Roman"/>
          <w:sz w:val="24"/>
          <w:szCs w:val="24"/>
        </w:rPr>
        <w:t>Междупланинска зонална област на южнобългарските низини и ниски планини.</w:t>
      </w:r>
    </w:p>
    <w:p w14:paraId="02BB1510" w14:textId="308B0B2D" w:rsidR="00FF1F66" w:rsidRPr="009A6559" w:rsidRDefault="00DF4BBE" w:rsidP="00DF4BB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увствителни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ландшафти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обхващат</w:t>
      </w:r>
      <w:r w:rsidR="00FF1F66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териториите по поречията на реките, защитените зони, влажните зони и други зони от националната екологична мрежа Натура 2000. В тях всякаква намеса би могла да има необратими последици върху устойчивостта на ландшафтните комплекси.</w:t>
      </w:r>
    </w:p>
    <w:p w14:paraId="61387B63" w14:textId="5FA63C20" w:rsidR="00E93A67" w:rsidRPr="009A6559" w:rsidRDefault="00E93A67" w:rsidP="00E93A67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5E23C381" w14:textId="77777777" w:rsidR="00FF1F66" w:rsidRPr="0099146B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99146B">
        <w:rPr>
          <w:rFonts w:ascii="Times New Roman" w:eastAsia="Times New Roman" w:hAnsi="Times New Roman" w:cs="Times New Roman"/>
          <w:b/>
          <w:i/>
          <w:sz w:val="24"/>
        </w:rPr>
        <w:lastRenderedPageBreak/>
        <w:t>Състояние на материалните активи</w:t>
      </w:r>
    </w:p>
    <w:p w14:paraId="1D100AA7" w14:textId="287777F3" w:rsidR="00FF1F66" w:rsidRPr="00881ED8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bg-BG"/>
        </w:rPr>
      </w:pP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Инвестициите за опазването на околната среда са важна предпоставка не само за постигане на екологична устойчивост, но и за осигуряване на здравословен начин на живот, сигурност и социална равнопоставеност, както и за икономически растеж, нови възможности за бизнеса, по-висока заетост и повече работни места.</w:t>
      </w:r>
    </w:p>
    <w:p w14:paraId="0B756A89" w14:textId="79A1625D" w:rsidR="00FF1F66" w:rsidRDefault="00FF1F66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Материалните активи, които биха имали отношение към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ОПОС 2021-2027 г. </w:t>
      </w: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са най-вече</w:t>
      </w:r>
      <w:r w:rsidR="001A0738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>тези</w:t>
      </w:r>
      <w:r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свързани с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предвидените в програмата дейности по </w:t>
      </w:r>
      <w:r w:rsidR="009914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петте </w:t>
      </w:r>
      <w:r w:rsidR="0099146B" w:rsidRPr="0099146B">
        <w:rPr>
          <w:rFonts w:ascii="Times New Roman" w:eastAsia="Calibri" w:hAnsi="Times New Roman" w:cs="Times New Roman"/>
          <w:sz w:val="24"/>
          <w:szCs w:val="24"/>
          <w:lang w:val="bg-BG"/>
        </w:rPr>
        <w:t>основни приоритета: води, отпадъци, биологично разнообразие, риск и изменение на климата и въздух.</w:t>
      </w:r>
    </w:p>
    <w:p w14:paraId="3F47906F" w14:textId="11497DBE" w:rsidR="00106655" w:rsidRPr="009A6559" w:rsidRDefault="00106655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Д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оклада за екологична оценка ще бъде направен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подробен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анализ и оценка на текущото състояние на материалните активи, имащи отношение към предвижданията на ОПОС 20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21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– 202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</w:t>
      </w:r>
    </w:p>
    <w:p w14:paraId="3284B049" w14:textId="77777777" w:rsidR="00FF1F66" w:rsidRPr="009A6559" w:rsidRDefault="00FF1F66" w:rsidP="005A0F28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Културно-историческо наследство, включително архитектурно и археологическо наследство </w:t>
      </w:r>
    </w:p>
    <w:p w14:paraId="276BA1EF" w14:textId="2D0D9A98" w:rsidR="00FF1F66" w:rsidRPr="009A6559" w:rsidRDefault="00FF1F66" w:rsidP="005A0F2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България разполага със завидно богатство от културно-исторически паметници. На територията на страната регистрираните недвижими паметници на културата са около 40 000 обекта. Страната ни е богата на паметници на културата от всички исторически епохи, разположени по цялата </w:t>
      </w:r>
      <w:r w:rsidR="003C521B">
        <w:rPr>
          <w:rFonts w:ascii="Times New Roman" w:eastAsia="Calibri" w:hAnsi="Times New Roman" w:cs="Times New Roman"/>
          <w:sz w:val="24"/>
          <w:szCs w:val="24"/>
          <w:lang w:val="bg-BG"/>
        </w:rPr>
        <w:t>ѝ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територия.</w:t>
      </w:r>
    </w:p>
    <w:p w14:paraId="7DF086B1" w14:textId="4418D6C4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67301740" w14:textId="77777777" w:rsidR="00FF1F66" w:rsidRPr="009A6559" w:rsidRDefault="00FF1F66" w:rsidP="005A0F28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9A6559"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 по отношение на вредните физични фактори</w:t>
      </w:r>
    </w:p>
    <w:p w14:paraId="012A1875" w14:textId="495BDA72" w:rsidR="005A0F28" w:rsidRDefault="005A0F28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ограничаване на вредното въздействие на шума в околната среда е приета Директива 2002/49/ЕО от 25.06.2002 г. за оценка и управление на шума в околната среда. Основните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ѝ</w:t>
      </w: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изисквания са въведени в националното ни законодателство чрез Закона за защита от шума в околната среда (ЗЗШОС) и подзаконовата нормативна база към него.</w:t>
      </w:r>
    </w:p>
    <w:p w14:paraId="3AF8F2C1" w14:textId="07F40150" w:rsidR="00FF1F66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>Проблемите</w:t>
      </w:r>
      <w:r w:rsidR="001A0738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свързани с наднормени шумови нива в Бъглария и въздействието им върху околната среда и здравето на хората са следствие от: транспортните потоци на автомобилния и релсов транспорт; въздушен транспорт; локални обекти – промишлени предприятия, депа за отпадъци, пречиствателни станции за отпадъчни води, паркинги, спортни площадки, работилници, търговски обекти, увеселителни заведения, сервизи за услуги и др. </w:t>
      </w:r>
    </w:p>
    <w:p w14:paraId="36E300F3" w14:textId="7CD99297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7B859D4B" w14:textId="77777777" w:rsidR="00FF1F66" w:rsidRPr="005A0F28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5A0F28">
        <w:rPr>
          <w:rFonts w:ascii="Times New Roman" w:eastAsia="Times New Roman" w:hAnsi="Times New Roman" w:cs="Times New Roman"/>
          <w:b/>
          <w:i/>
          <w:sz w:val="24"/>
        </w:rPr>
        <w:lastRenderedPageBreak/>
        <w:t>Състояние и управление на отпадъците</w:t>
      </w:r>
    </w:p>
    <w:p w14:paraId="70913110" w14:textId="6FE9FBAE" w:rsidR="005A0F28" w:rsidRPr="009A6559" w:rsidRDefault="00FF1F66" w:rsidP="005A0F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A0F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Отпадъците се приемат като екологичен, социален и икономически проблем, а нарастващото потребление и „консуматорското“ поведение на обществото продължават да произвеждат големи количества отпадъци. </w:t>
      </w:r>
      <w:r w:rsidR="00C44B3E"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Необходими са големи и разнородни усилия за предотвратяване на образуването им. Отпадъците представляват и загуба на материални ресурси (чрез метали и други материали, които могат да се рециклират), а в същото време имат и потенциал като енергийни източници. Прилагането на дейностите по третиране на отпадъци като повторна употреба и рециклиране са благоприятни за околната среда, водещи до отклоняване на отпадъци от депата.</w:t>
      </w:r>
    </w:p>
    <w:p w14:paraId="7E693320" w14:textId="095EA20E" w:rsidR="000657FB" w:rsidRPr="009A6559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През последните години се запазва едно сравнително постоянно ниво на отпадъците, предадени за оползотворяване, което е показателно за усилията рециклиране на отпадъци на национално ниво и прилагането на йерархията при практиките за управление на отпадъците (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2.1.1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9A655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-1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14:paraId="0E7BB88C" w14:textId="1ED0A5D7" w:rsidR="000657FB" w:rsidRDefault="000657FB" w:rsidP="000657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4DDBDB" wp14:editId="7347A6A3">
            <wp:extent cx="4351020" cy="2423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E9B1" w14:textId="5CDEE2A4" w:rsidR="000657FB" w:rsidRDefault="000657FB" w:rsidP="000657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Фигура 2.1.1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5</w:t>
      </w:r>
      <w:r w:rsidRPr="000657F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-1. </w:t>
      </w:r>
      <w:r w:rsidRPr="000657FB">
        <w:rPr>
          <w:rFonts w:ascii="Times New Roman" w:eastAsia="Calibri" w:hAnsi="Times New Roman" w:cs="Times New Roman"/>
          <w:i/>
          <w:iCs/>
          <w:sz w:val="24"/>
          <w:szCs w:val="24"/>
        </w:rPr>
        <w:t>Дейности по третиране на отпадъци, %; Източник: ИАОС, Национален доклад за състоянието и опазването на околната среда, 2019 г.</w:t>
      </w:r>
    </w:p>
    <w:p w14:paraId="041522D3" w14:textId="39E5A1DD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5B5E442F" w14:textId="2AE3DC2E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През 2017 г. в страната са образувани 453 194 t отпадъци от опаковки, което е 64 kg/жител, норма на образуване на отпадъци от опаковки (при постоянно население към 31.12.2017 г. – 7 050 034 души).</w:t>
      </w:r>
    </w:p>
    <w:p w14:paraId="4A6AA8B9" w14:textId="77777777" w:rsidR="000657FB" w:rsidRPr="000657FB" w:rsidRDefault="000657FB" w:rsidP="000657F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От тях:</w:t>
      </w:r>
    </w:p>
    <w:p w14:paraId="46BC4E11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119 962 t са пластмасови отпадъци от опаковки;</w:t>
      </w:r>
    </w:p>
    <w:p w14:paraId="7BD0F005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153 212 t – хартиени и картонени (вкл. композитни) отпадъци от опаковки;</w:t>
      </w:r>
    </w:p>
    <w:p w14:paraId="57D018D8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lastRenderedPageBreak/>
        <w:t>33 594 t – метални отпадъци от опаковки;</w:t>
      </w:r>
    </w:p>
    <w:p w14:paraId="6870462A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59 589 t – дървените отпадъци от опаковки;</w:t>
      </w:r>
    </w:p>
    <w:p w14:paraId="7AECE559" w14:textId="77777777" w:rsid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83 517 t – стъклени отпадъци от опаковки;</w:t>
      </w:r>
    </w:p>
    <w:p w14:paraId="397F7161" w14:textId="171AD1BC" w:rsidR="000657FB" w:rsidRPr="000657FB" w:rsidRDefault="000657FB" w:rsidP="000657F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FB">
        <w:rPr>
          <w:rFonts w:ascii="Times New Roman" w:eastAsia="Calibri" w:hAnsi="Times New Roman" w:cs="Times New Roman"/>
          <w:sz w:val="24"/>
          <w:szCs w:val="24"/>
        </w:rPr>
        <w:t>3 320 t попадат в категорията „други”.</w:t>
      </w:r>
    </w:p>
    <w:p w14:paraId="4FF03584" w14:textId="58207309" w:rsidR="00FF1F66" w:rsidRPr="009A6559" w:rsidRDefault="005A0F28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3" w:name="_Hlk45009050"/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Предвид, че един от основните приоритети на ОПОС 2021-2027 г. е „Отпадъци“</w:t>
      </w:r>
      <w:bookmarkEnd w:id="23"/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</w:t>
      </w:r>
      <w:r w:rsidR="000657FB"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</w:t>
      </w:r>
      <w:r w:rsidRPr="000657FB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Доклада за екологична оценка ще бъде направена подробна характеристика на състоянието и управлението на отпадъците към момента на изработване на програмата.</w:t>
      </w:r>
    </w:p>
    <w:p w14:paraId="4D41D8C0" w14:textId="77777777" w:rsidR="00FF1F66" w:rsidRPr="003745E6" w:rsidRDefault="00FF1F66" w:rsidP="00306FF9">
      <w:pPr>
        <w:keepNext/>
        <w:keepLines/>
        <w:numPr>
          <w:ilvl w:val="2"/>
          <w:numId w:val="23"/>
        </w:numPr>
        <w:spacing w:after="0" w:line="360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3745E6">
        <w:rPr>
          <w:rFonts w:ascii="Times New Roman" w:eastAsia="Times New Roman" w:hAnsi="Times New Roman" w:cs="Times New Roman"/>
          <w:b/>
          <w:i/>
          <w:sz w:val="24"/>
        </w:rPr>
        <w:t>Здравно състояние на населението</w:t>
      </w:r>
    </w:p>
    <w:p w14:paraId="797EB31B" w14:textId="27B67003" w:rsidR="003745E6" w:rsidRDefault="003745E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5E6">
        <w:rPr>
          <w:rFonts w:ascii="Times New Roman" w:eastAsia="Calibri" w:hAnsi="Times New Roman" w:cs="Times New Roman"/>
          <w:sz w:val="24"/>
          <w:szCs w:val="24"/>
        </w:rPr>
        <w:t>Съществуващото състояние се използва за анализ и оценка на здравни социално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745E6">
        <w:rPr>
          <w:rFonts w:ascii="Times New Roman" w:eastAsia="Calibri" w:hAnsi="Times New Roman" w:cs="Times New Roman"/>
          <w:sz w:val="24"/>
          <w:szCs w:val="24"/>
        </w:rPr>
        <w:t>икономически въздействия от ОПОС</w:t>
      </w:r>
      <w:r w:rsidR="00FF7A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</w:t>
      </w:r>
      <w:r w:rsidRPr="003745E6">
        <w:rPr>
          <w:rFonts w:ascii="Times New Roman" w:eastAsia="Calibri" w:hAnsi="Times New Roman" w:cs="Times New Roman"/>
          <w:sz w:val="24"/>
          <w:szCs w:val="24"/>
        </w:rPr>
        <w:t>. Програмата е база и за определяне на ефективността на прогнозните мерки за профилактика на възможното неблагоприятно влияние на околната среда върху здравето на населението.</w:t>
      </w:r>
    </w:p>
    <w:p w14:paraId="01D63E71" w14:textId="41D9AD3B" w:rsidR="003745E6" w:rsidRDefault="003745E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45E6">
        <w:rPr>
          <w:rFonts w:ascii="Times New Roman" w:eastAsia="Calibri" w:hAnsi="Times New Roman" w:cs="Times New Roman"/>
          <w:sz w:val="24"/>
          <w:szCs w:val="24"/>
          <w:lang w:val="bg-BG"/>
        </w:rPr>
        <w:t>Основна категория, използвана при изчисляване на данните за населението от текущата демографска статистика, както и от преброяванията е „постоянното население”. От цялата съвкупност от демографски критерии и процеси се определят специфичните за страната, които определят основните проблеми.</w:t>
      </w:r>
    </w:p>
    <w:p w14:paraId="56D78C5F" w14:textId="3E1360C6" w:rsidR="00106655" w:rsidRPr="009A6559" w:rsidRDefault="00106655" w:rsidP="00106655">
      <w:pPr>
        <w:pStyle w:val="Default"/>
        <w:spacing w:line="360" w:lineRule="auto"/>
        <w:ind w:firstLine="720"/>
        <w:jc w:val="both"/>
        <w:rPr>
          <w:lang w:val="bg-BG"/>
        </w:rPr>
      </w:pPr>
      <w:r w:rsidRPr="00E93A67">
        <w:rPr>
          <w:i/>
          <w:iCs/>
          <w:lang w:val="bg-BG"/>
        </w:rPr>
        <w:t>В Доклада за екологична оценка подточката ще бъде разгледана подробно</w:t>
      </w:r>
      <w:r>
        <w:rPr>
          <w:i/>
          <w:iCs/>
          <w:lang w:val="bg-BG"/>
        </w:rPr>
        <w:t>.</w:t>
      </w:r>
    </w:p>
    <w:p w14:paraId="09044679" w14:textId="42276D34" w:rsidR="00FF1F66" w:rsidRPr="00FF1F66" w:rsidRDefault="00FF1F66" w:rsidP="00306FF9">
      <w:pPr>
        <w:keepNext/>
        <w:keepLines/>
        <w:numPr>
          <w:ilvl w:val="1"/>
          <w:numId w:val="23"/>
        </w:numPr>
        <w:shd w:val="clear" w:color="auto" w:fill="DEEAF6"/>
        <w:spacing w:after="0" w:line="36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24" w:name="_Toc45193012"/>
      <w:r w:rsidRPr="00FF1F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Евентуално развитие на околната среда без прилагането на </w:t>
      </w:r>
      <w:r w:rsidR="00097D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ОПОС 2021-2027 г.</w:t>
      </w:r>
      <w:bookmarkEnd w:id="24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7FA1635D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41047DC" w14:textId="76D9AB0E" w:rsidR="00FF1F66" w:rsidRPr="00FF1F66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Въз основа на подробната характеристика на аспектите на околната среда в т. 2.1, която ще бъде направена в доклада за ЕО, в т.2.2. ще бъде направен анализ на евентуално развитие на аспектите на околната среда, в т.ч. по отношение на човешкото здраве, без прилагането на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(по този начин ще бъде оценено въздействието на „нулевата алтернатива“, т.е. отказ от реализиране на 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).</w:t>
            </w:r>
            <w:r w:rsidRPr="00FF1F66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6D6DD993" w14:textId="11BE88F9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5" w:name="_Toc45193013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Характеристика на околната среда за територии, които вероятно ще бъдат значително засегнати с реализацията на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112EA82B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A40C0BC" w14:textId="0E55E19F" w:rsidR="00FF1F66" w:rsidRPr="00FF1F66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Въз основа на характеристиката на аспектите на околната среда към момента (която ще бъде направена в т.2 на ДЕО), както и на предвижданията на</w:t>
            </w:r>
            <w:r w:rsidR="00AD7A6C"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в тази точка ще бъде обърнато внимание на онези територии, които ще са най-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lastRenderedPageBreak/>
              <w:t xml:space="preserve">значително засегнати от 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програмата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Ще бъдат подробно разгледани чувствителни територии като защитени зони от екологичната мрежа „Натура 2000”, населени места и други обекти, подлежащи на здравна защита, санитарно-охранителни зони около водоизточници, зони с риск от наводнения и др.</w:t>
            </w:r>
            <w:r w:rsidRPr="00FF1F66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45F6321E" w14:textId="3556C35D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6" w:name="_Toc45193014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 xml:space="preserve">Съществуващи екологични проблеми, установени на различно ниво, имащи отношение към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ОПОС 2021-2027 г. </w:t>
      </w:r>
      <w:r w:rsidR="00097D05" w:rsidRP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включително отнасящите се до райони с особено екологично значение, като защитените зони по Закона за биологичното разнообразие</w:t>
      </w:r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027E212E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0ED8118" w14:textId="2AB1A290" w:rsidR="00FF1F66" w:rsidRPr="009A6559" w:rsidRDefault="00FF1F66" w:rsidP="00306FF9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точката ще бъдат описани съществуващи</w:t>
            </w:r>
            <w:r w:rsid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екологични проблеми в страната, </w:t>
            </w:r>
            <w:r w:rsid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установени на различно ниво</w:t>
            </w:r>
            <w:r w:rsidR="00D43C3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имащи отношение към ОПОС 2021-2027 г.</w:t>
            </w:r>
            <w:r w:rsidRPr="00AD7A6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Ще бъде направен анализ на връзката между екологичните проблеми и предвижданията на п</w:t>
            </w:r>
            <w:r w:rsidR="00F178D9" w:rsidRP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рограмата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съответно – изводи дали </w:t>
            </w:r>
            <w:r w:rsidR="00F178D9" w:rsidRPr="00F178D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ОПОС 2021-2027 г. 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води до подобряване на екологичната обстановка, или до влошаване и задълбочаване на съществуващи екологични проблеми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и/или възникване на нови такива</w:t>
            </w:r>
            <w:r w:rsidRPr="009A6559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</w:tr>
    </w:tbl>
    <w:p w14:paraId="3BCBA2AD" w14:textId="325A26E1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7" w:name="_Toc45193015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Цели на опазване на околната среда на национално и международно равнище, имащи отношение към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начин, по който тези цели и всички екологични съображения са взети под внимание при </w:t>
      </w:r>
      <w:r w:rsidR="00097D0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изготвянето на програмата</w:t>
      </w:r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5E23AAE2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E2C8CD6" w14:textId="33C4D7A1" w:rsidR="00FF1F66" w:rsidRPr="00262955" w:rsidRDefault="00FF1F66" w:rsidP="00262955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val="bg-BG"/>
              </w:rPr>
            </w:pP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зи </w:t>
            </w:r>
            <w:r w:rsidR="0048346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точка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ще бъде направен анализ на стратегиите, плановете и програмите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които поставят цели по опазване на околната среда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национално и международно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FF7AAA" w:rsidRPr="002A287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="00FF7AA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европейско</w:t>
            </w:r>
            <w:r w:rsidR="00FF7AAA" w:rsidRPr="002A287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)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равнище, които имат отношение към </w:t>
            </w:r>
            <w:r w:rsidR="00262955"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ОПОС 2021-2027 г.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, като въз основа на анализа, ще бъдат направени изводи за начина и степента, в които в </w:t>
            </w:r>
            <w:r w:rsidR="00262955"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програмата </w:t>
            </w:r>
            <w:r w:rsidRPr="002629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тези цели и екологични съображения са взети предвид. </w:t>
            </w:r>
          </w:p>
        </w:tc>
      </w:tr>
    </w:tbl>
    <w:p w14:paraId="195F8256" w14:textId="79A8D9A0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8" w:name="_Toc45193016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Вероятни значителни въздействия върху околната среда и човешкото здраве</w:t>
      </w:r>
      <w:r w:rsidR="00586B7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, в т.ч. и </w:t>
      </w:r>
      <w:r w:rsid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bg-BG"/>
        </w:rPr>
        <w:t>т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рансгранични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въздействия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върху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околната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среда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други</w:t>
      </w:r>
      <w:proofErr w:type="spellEnd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86B72" w:rsidRPr="00586B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държави</w:t>
      </w:r>
      <w:bookmarkEnd w:id="28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F66" w:rsidRPr="009A6559" w14:paraId="2B54FC05" w14:textId="77777777" w:rsidTr="00FF1F6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BF0245B" w14:textId="374F38AB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Като цяло, насочеността на ОПОС 2021-2027 г. и идентифицираните в нея 5 основни области за интервенции - „Води“, „Отпадъци“, „Биологично разнообразие“, „Риск и изменение на климата“ и „Въздух“ е за разрешаване на съществуващи проблеми в тези области, подобряване на качеството на околната среда и ограничаване на рисковете за човешкото здраве. В тази връзка прилагането на програмата се очаква да има комплексно положително въздействие върху околната среда и здравето на населението на държавата. </w:t>
            </w:r>
          </w:p>
          <w:p w14:paraId="66AF7B3E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lastRenderedPageBreak/>
              <w:t xml:space="preserve">От приоритетите, специфичните цели и допустимите мерки, идентифицирани в първия проект на програмата не се предполага значително трансгранично въздействие върху околната среда и здравето на хората на територията на други държави, тъй като: </w:t>
            </w:r>
          </w:p>
          <w:p w14:paraId="7517DE99" w14:textId="0E486146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1: Води са свързани с мерки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,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 xml:space="preserve"> които ще се изпълняват на територията на държавата. Не се засяга територията на други държави, като предвидените съоръжения не са свързани с генериране на значими емисии на вредни вещества в околната среда, съответно нямат потенциал за трансгранично въздействие (ВиК инфраструктура, надграждане на мрежите за мониторинг, изпълнение на мерки от ПУРБ);</w:t>
            </w:r>
          </w:p>
          <w:p w14:paraId="2FC3950F" w14:textId="6C6BE993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 xml:space="preserve">Предвижданията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п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о Приоритет 2: Отпадъци са свързани с мерки за развитие на инфраструктурата за управление на битовите отпадъци, предотвратяване генерирането на отпадъци, повторна употреба и поправка, рециклиране и разделно събиране. Мерките ще се изпълняват на територията на държавата, като ще допринесат за екологосъобразното управление на отпадъците, което не се очаква да има въздействие върху околната среда и човешкото здраве на територията на други държави;</w:t>
            </w:r>
          </w:p>
          <w:p w14:paraId="7D3A357D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3: Биологично разнообразие произтичат от европейското природозащитно законодателство и са свързани с развитие на мрежата Натура 2000, подобряване природозащитното състояние на природни местообитания и видове, опазване/възстановяване на екосистеми. От изпълнението им се очаква изцяло положително въздействие върху биоразнообразието, като тези мерки нямат потенциал за значително въздействие върху други компоненти и фактори на околната среда, в т.ч. върху човешкото здраве, включително на територията на други държави;</w:t>
            </w:r>
          </w:p>
          <w:p w14:paraId="3D2302D5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>Предвижданията по Приоритет 4: Риск и изменение на климата включват мерки за превенция и управление на риска от наводнения и засушаване, свлачищни процеси, горски пожари, природни бедствия. Въздействието е изцяло положително, като не се очакват значими отрицателни последици върху околната среда и човешкото здраве, съответно няма основание за предполагане на риск за околната среда и здравето на хората на територията на други държави;</w:t>
            </w:r>
          </w:p>
          <w:p w14:paraId="03307A20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•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ab/>
              <w:t xml:space="preserve">Предвижданията по Приоритет 5: Въздух са свързани с намаляване замърсяването на въздуха от битовото отопление и транспорта, което също ще има изключително положително въздействие върху околната среда и човешкото здраве, т.е. </w:t>
            </w:r>
            <w:r w:rsidRPr="00586B72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lastRenderedPageBreak/>
              <w:t xml:space="preserve">дейностите нямат потенциал за значителни, в т.ч. трансгранични въздействия върху околната среда и здравето на хората на територията на други държави. </w:t>
            </w:r>
          </w:p>
          <w:p w14:paraId="646640E8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 тази точка на доклада за ЕО ще бъде направена оценка на очакваните въздействия от реализирането на ОПОС 2021-2027 г. върху околната среда и човешкото здраве, като се ползва структурата, по която са описани аспектите на околната среда и човешкото здраве в т.2 на настоящото задание.</w:t>
            </w:r>
          </w:p>
          <w:p w14:paraId="41D4F69F" w14:textId="77777777" w:rsidR="00586B72" w:rsidRPr="00586B72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При оценката на вероятните значителни въздействия върху околната среда и човешкото здраве ще се вземе предвид характерът за взаимодействието и синергията между различните въздействия, а именно: вторични, кумулативни, едновременни, краткосрочни, средносрочни, дългосрочни, постоянни и временни, положителни и отрицателни последици.</w:t>
            </w:r>
          </w:p>
          <w:p w14:paraId="2D6F8BDA" w14:textId="220612A5" w:rsidR="00586B72" w:rsidRPr="00FC1464" w:rsidRDefault="00586B72" w:rsidP="00586B72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586B7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 отношение на вероятността ОПОС 2021-2027 г. да окаже значителни въздействия върху околната среда и здравето на хората на територията на други държави, анализът ще бъде направен в отделна подточка към т. 6 на доклада за ЕО.</w:t>
            </w:r>
          </w:p>
        </w:tc>
      </w:tr>
    </w:tbl>
    <w:p w14:paraId="76551A6A" w14:textId="5889F9FA" w:rsidR="00FF1F66" w:rsidRPr="00FF1F66" w:rsidRDefault="00FF1F66" w:rsidP="00FC1464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9" w:name="_Toc45193017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 xml:space="preserve">Мерки, предвидени за предотвратяване, намаляване и възможно най-пълно компенсиране на неблагоприятните последствия от осъществяването на </w:t>
      </w:r>
      <w:r w:rsidR="00C07855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върху околната среда и човешкото здраве</w:t>
      </w:r>
      <w:bookmarkEnd w:id="29"/>
    </w:p>
    <w:p w14:paraId="3F919EA8" w14:textId="77777777" w:rsidR="00450E1B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база на резултатите от извършените в предходната точка анализи и оценки на предполагаемото въздействие върху околната среда и човешкото здраве в резултат на </w:t>
      </w:r>
      <w:r w:rsid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реализирането на ОПОС 2021-2027 г</w:t>
      </w:r>
      <w:r w:rsidR="00450E1B"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.,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бъдат предложени мерки за предотвратяване, намаляване и възможно най-пълно компенсиране на неблагоприятните последствия от </w:t>
      </w:r>
      <w:r w:rsid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осъществяването на програмата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върху околната среда и </w:t>
      </w:r>
      <w:r w:rsidR="00450E1B"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човешкото здраве.</w:t>
      </w:r>
    </w:p>
    <w:p w14:paraId="39E3431A" w14:textId="25130292" w:rsidR="00FF1F66" w:rsidRPr="00450E1B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Мерките ще бъдат мотивирани, в т.ч. и по отношение на очакваните резултати от прилагането им. Същите 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бъдат представени като:</w:t>
      </w:r>
    </w:p>
    <w:p w14:paraId="5E921A2E" w14:textId="3ECC248F" w:rsidR="00FF1F66" w:rsidRPr="009A6559" w:rsidRDefault="00FF1F66" w:rsidP="00EB72D4">
      <w:pPr>
        <w:numPr>
          <w:ilvl w:val="0"/>
          <w:numId w:val="18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мерки за отразяване в окончателния вариант на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 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;</w:t>
      </w:r>
    </w:p>
    <w:p w14:paraId="26033978" w14:textId="6F4437B2" w:rsidR="00FF1F66" w:rsidRPr="009A6559" w:rsidRDefault="00FF1F66" w:rsidP="00EB72D4">
      <w:pPr>
        <w:numPr>
          <w:ilvl w:val="0"/>
          <w:numId w:val="18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мерки за изпълнение при прилагане на</w:t>
      </w:r>
      <w:r w:rsidR="00D43C3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</w:t>
      </w: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64C07381" w14:textId="77777777" w:rsidR="00FF1F66" w:rsidRPr="009A6559" w:rsidRDefault="00FF1F66" w:rsidP="00EB72D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50E1B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При предлагането на мерките ще бъдат съобразени и получените резултати от етапите на провеждане на консултации по време на изготвяне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доклада за ЕО. </w:t>
      </w:r>
    </w:p>
    <w:p w14:paraId="0F385609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0" w:name="_Toc45193018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Мотиви за избор на разгледаните алтернативи</w:t>
      </w:r>
      <w:bookmarkEnd w:id="30"/>
    </w:p>
    <w:p w14:paraId="104736D7" w14:textId="4EB741DE" w:rsidR="00106655" w:rsidRPr="00106655" w:rsidRDefault="00106655" w:rsidP="0010665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Предоставеният от Възложителя </w:t>
      </w:r>
      <w:r w:rsidR="00EB03D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първи 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проект на ОПОС 20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21-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202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г. не съдържа алтернативи.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Предвид началния стадий на изготвяне на програмата, е възможно </w:t>
      </w:r>
      <w:r w:rsidR="00EB03D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по-късен етап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идентифициране на други алтернативи </w:t>
      </w:r>
      <w:r w:rsidR="00FF7AAA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 варианти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които също ще бъдат </w:t>
      </w:r>
      <w:r w:rsidRPr="00106655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 xml:space="preserve">анализирани по отношение на тяхното въздействие върху околната среда и здравето на хората.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106655" w:rsidRPr="009A6559" w14:paraId="4B8DDA3F" w14:textId="77777777" w:rsidTr="004960F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70F932D" w14:textId="192C9406" w:rsidR="00106655" w:rsidRPr="00106655" w:rsidRDefault="00FF7AAA" w:rsidP="00106655">
            <w:pPr>
              <w:spacing w:after="0" w:line="36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В</w:t>
            </w:r>
            <w:r w:rsid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точката 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ще бъде направено </w:t>
            </w:r>
            <w:r w:rsid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сравнение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наличните 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към момента на изготвянето му 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алтернативи, в т.ч. „нулевата алтернатива”</w:t>
            </w:r>
            <w:r w:rsidR="00EB03D7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, ако такива бъдат предвиден в следващите етапи на изготвяне</w:t>
            </w:r>
            <w:r w:rsidR="00106655" w:rsidRPr="0010665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на ОПОС 2021-2027 г.</w:t>
            </w:r>
          </w:p>
        </w:tc>
      </w:tr>
    </w:tbl>
    <w:p w14:paraId="3C437659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1" w:name="_Toc45193019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</w:r>
      <w:bookmarkEnd w:id="31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3201392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методически документи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ползвани са указания и методики на Европейската комисия за стратегическа екологична оценка, публикувани на интернет страницата на Комисията и на интернет страницата на Министерство на околната среда и водите:</w:t>
      </w:r>
    </w:p>
    <w:p w14:paraId="009B7659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за екологична оценка на планове и програми в България, 2002 г.;</w:t>
      </w:r>
    </w:p>
    <w:p w14:paraId="6717F18C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на Европейската комисия за прилагането на Директива 2001/42/ЕС относно оценката на последиците на някои планове и програми върху околната среда;</w:t>
      </w:r>
    </w:p>
    <w:p w14:paraId="70B78354" w14:textId="159B3703" w:rsidR="00F6534D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Ръководство за интегриране на изменението на климата и биоразнообразието в стратегическата екологична оценка (Guidance on Integrating Climate Change and Biodiversity into Strategic Environmental Assessment), 2013 г., публикувано на интернет страницата на Европейската комисия;</w:t>
      </w:r>
    </w:p>
    <w:p w14:paraId="6F626603" w14:textId="77777777" w:rsidR="00FF1F66" w:rsidRPr="00A30A5D" w:rsidRDefault="00FF1F66" w:rsidP="00306FF9">
      <w:pPr>
        <w:numPr>
          <w:ilvl w:val="0"/>
          <w:numId w:val="20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Ресурсно ръководство за подпомагане прилагането на Протокола за стратегическа екологична оценка, 2011 – ИКЕ-ООН.</w:t>
      </w:r>
    </w:p>
    <w:p w14:paraId="2CF074A1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нормативни актове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съобразени при изготвяне на доклада за ЕО са:</w:t>
      </w:r>
    </w:p>
    <w:p w14:paraId="1FB721E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околната среда;</w:t>
      </w:r>
    </w:p>
    <w:p w14:paraId="4F9D47FB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биологичното разнообразие;</w:t>
      </w:r>
    </w:p>
    <w:p w14:paraId="5FDF3B94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управление на отпадъците;</w:t>
      </w:r>
    </w:p>
    <w:p w14:paraId="11FD7CFA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чистотата на атмосферния въздух;</w:t>
      </w:r>
    </w:p>
    <w:p w14:paraId="44B03EFD" w14:textId="0B91BC6B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ограничаване изменението на кл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мата;</w:t>
      </w:r>
    </w:p>
    <w:p w14:paraId="386D4448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водите;</w:t>
      </w:r>
    </w:p>
    <w:p w14:paraId="52E145D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на растенията;</w:t>
      </w:r>
    </w:p>
    <w:p w14:paraId="2742029B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Закон за почвите;</w:t>
      </w:r>
    </w:p>
    <w:p w14:paraId="2A6ACD8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от шума в околната среда;</w:t>
      </w:r>
    </w:p>
    <w:p w14:paraId="5E5C5A82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защитените територии;</w:t>
      </w:r>
    </w:p>
    <w:p w14:paraId="18092796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земеделските земи и Правилник за прилагането му;</w:t>
      </w:r>
    </w:p>
    <w:p w14:paraId="324070B9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културното наследство;</w:t>
      </w:r>
    </w:p>
    <w:p w14:paraId="6D312AC4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при бедствия;</w:t>
      </w:r>
    </w:p>
    <w:p w14:paraId="12429EF0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територията;</w:t>
      </w:r>
    </w:p>
    <w:p w14:paraId="20D808DF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горите;</w:t>
      </w:r>
    </w:p>
    <w:p w14:paraId="1AD928E2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здравословни и безопасни условия на труд;</w:t>
      </w:r>
    </w:p>
    <w:p w14:paraId="18021FB9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здравето;</w:t>
      </w:r>
    </w:p>
    <w:p w14:paraId="2487C9D6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екологична оценка на планове и програми;</w:t>
      </w:r>
    </w:p>
    <w:p w14:paraId="0856D11D" w14:textId="77777777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оценка на съвместимостта на планове, програми, проекти и инвестиционни предложения с предмета и целите на опазване на защитените зони;</w:t>
      </w:r>
    </w:p>
    <w:p w14:paraId="05A10C1F" w14:textId="18722735" w:rsidR="00FF1F66" w:rsidRPr="00A30A5D" w:rsidRDefault="00FF1F66" w:rsidP="00306FF9">
      <w:pPr>
        <w:numPr>
          <w:ilvl w:val="0"/>
          <w:numId w:val="19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Други подзаконови нормативни актове в областта на 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биологичното разнообразие, 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отпадъците, въздуха, водите, почвите, шума и др.</w:t>
      </w:r>
    </w:p>
    <w:p w14:paraId="0E5AB8C9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източници на информация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бъдат използвани:</w:t>
      </w:r>
    </w:p>
    <w:p w14:paraId="496FC159" w14:textId="77777777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Статистически данни, доклади и бюлетини на МЗ, БДУВ, РИОСВ, НСИ и ИАОС;</w:t>
      </w:r>
    </w:p>
    <w:p w14:paraId="5F59545D" w14:textId="693E6393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Национален доклад за състоянието и опазването на околната среда</w:t>
      </w:r>
      <w:r w:rsidR="001066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(най-</w:t>
      </w:r>
      <w:r w:rsidR="00106655"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актуалният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момента на изготвяне на ДЕО</w:t>
      </w:r>
      <w:r w:rsidR="00106655"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106655">
        <w:rPr>
          <w:rFonts w:ascii="Times New Roman" w:eastAsia="Calibri" w:hAnsi="Times New Roman" w:cs="Times New Roman"/>
          <w:sz w:val="24"/>
          <w:szCs w:val="24"/>
          <w:lang w:val="bg-BG"/>
        </w:rPr>
        <w:t>, ИАОС</w:t>
      </w:r>
      <w:r w:rsidRPr="00C802D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106563F" w14:textId="76243288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Стратегии, планове и програми, имащи отношение към </w:t>
      </w:r>
      <w:r w:rsidR="004D0EBD">
        <w:rPr>
          <w:rFonts w:ascii="Times New Roman" w:eastAsia="Calibri" w:hAnsi="Times New Roman" w:cs="Times New Roman"/>
          <w:sz w:val="24"/>
          <w:szCs w:val="24"/>
          <w:lang w:val="bg-BG"/>
        </w:rPr>
        <w:t>ОПОС 2021-2027 г.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6B2755EC" w14:textId="6669477C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Стратегии, планове и програми на национално и международно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6534D"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европейско</w:t>
      </w:r>
      <w:r w:rsidR="00F6534D"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ниво, поставящи цели по опазване на околната среда;</w:t>
      </w:r>
    </w:p>
    <w:p w14:paraId="5F1830ED" w14:textId="77777777" w:rsidR="00FF1F66" w:rsidRPr="00A30A5D" w:rsidRDefault="00FF1F66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Литературни източници на информация за компонентите и факторите на околната среда (климатични фактори, геология, хидрология, ландшафт, растителност, животински свят и др.).</w:t>
      </w:r>
    </w:p>
    <w:p w14:paraId="3E19D295" w14:textId="7E9A2DA0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За изготвяне на нас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ящото задание е използвана следната </w:t>
      </w:r>
      <w:r w:rsidRPr="00A30A5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документация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7FB079D6" w14:textId="1EE5996F" w:rsidR="00FF1F66" w:rsidRDefault="00EB03D7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Първи п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роект на 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Оперативна програма „Околна среда“ 2021-2027 г.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4F86EF7" w14:textId="47F9A76C" w:rsidR="00F6534D" w:rsidRPr="00A30A5D" w:rsidRDefault="00F6534D" w:rsidP="00306FF9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Нормативна база за разработване на оперативните програми за програмен период 2021-2027 г.;</w:t>
      </w:r>
    </w:p>
    <w:p w14:paraId="18CF88E4" w14:textId="7BD55486" w:rsidR="00F6534D" w:rsidRDefault="00F6534D" w:rsidP="00F6534D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Писмо с изх.</w:t>
      </w: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№ ЕО-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27.01.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A30A5D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FF1F66"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на Министъра на околната среда и водите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3E5BC5F" w14:textId="42188D32" w:rsidR="00F6534D" w:rsidRDefault="00F6534D" w:rsidP="00F6534D">
      <w:pPr>
        <w:numPr>
          <w:ilvl w:val="0"/>
          <w:numId w:val="21"/>
        </w:numPr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Друга документация, предоставена от Главна дирекция „Оперативна програма „Околна среда“ </w:t>
      </w:r>
      <w:r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кореспонденция по процедурата по ЕО, документи, свързани с проекта на ОПОС 2021-2027 г.</w:t>
      </w:r>
      <w:r w:rsidRPr="002A2875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EDD2DEE" w14:textId="77777777" w:rsidR="00FF1F66" w:rsidRPr="00A30A5D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30A5D">
        <w:rPr>
          <w:rFonts w:ascii="Times New Roman" w:eastAsia="Calibri" w:hAnsi="Times New Roman" w:cs="Times New Roman"/>
          <w:sz w:val="24"/>
          <w:szCs w:val="24"/>
          <w:lang w:val="bg-BG"/>
        </w:rPr>
        <w:t>Ще бъдат разгледани и техническите недостатъци и липсата на ноу-хау при набавянето на информация.</w:t>
      </w:r>
    </w:p>
    <w:p w14:paraId="06380863" w14:textId="115E13C8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2" w:name="_Toc45193020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Мерки във връзка с наблюдението по време на прилагането на </w:t>
      </w:r>
      <w:r w:rsidR="00C9002C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bookmarkEnd w:id="32"/>
    </w:p>
    <w:p w14:paraId="2EA67A6F" w14:textId="42ED7C06" w:rsidR="00FF1F66" w:rsidRPr="00FF1F66" w:rsidRDefault="00F6534D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Съобразно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резултатите и изводите от прогнозите за въздействие върху околната среда и човешкото здраве в резултат на прилагането на</w:t>
      </w:r>
      <w:r w:rsidR="00760CA8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ОПОС 2021-2027 г.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ще бъдат препоръчани мерки, въз основа на които да се извършва наблюдението и контрол</w:t>
      </w:r>
      <w:r w:rsidR="0088241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ът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въздействието върху околната среда и човешкото здраве в резултат на прилагането на п</w:t>
      </w:r>
      <w:r w:rsidR="00760CA8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рограмата</w:t>
      </w:r>
      <w:r w:rsidR="00FF1F66" w:rsidRP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 Мерките ще съдържат </w:t>
      </w:r>
      <w:r w:rsidR="00FF1F66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измерими индикатори, по чиято стойност ще се определя наличието или липсата на значително въздействие върху околната среда и човешкото здраве при прилагането на п</w:t>
      </w:r>
      <w:r w:rsidR="00483460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рограмата</w:t>
      </w:r>
      <w:r w:rsidR="00FF1F66" w:rsidRPr="00483460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43B3BE34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3" w:name="_Toc45193021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Заключение на екологичната оценка</w:t>
      </w:r>
      <w:bookmarkEnd w:id="33"/>
    </w:p>
    <w:p w14:paraId="6194AE79" w14:textId="76430313" w:rsidR="00FF1F66" w:rsidRPr="009A6559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Въз основа на резултатите от прогнозите, които ще бъдат направени в Доклада за ЕО, както и получените становища по време на процедурата по ЕО, екипът от експерти ще направи своето заключение относно предполагаемото значително въздействие</w:t>
      </w:r>
      <w:r w:rsidR="00760CA8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ОПОС 2021-2027 г.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върху околната среда и човешкото здраве.</w:t>
      </w:r>
    </w:p>
    <w:p w14:paraId="1FF65324" w14:textId="3DE263BC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4" w:name="_Toc45193022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Справка за резултатите от проведените консултации в процеса на изготвяне на </w:t>
      </w:r>
      <w:r w:rsidR="00B916B8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ОПОС 2021-2027 г.</w:t>
      </w:r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извършване на екологичната оценка</w:t>
      </w:r>
      <w:bookmarkEnd w:id="34"/>
    </w:p>
    <w:p w14:paraId="047F5365" w14:textId="77777777" w:rsidR="00FF1F66" w:rsidRPr="00FF1F66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FF1F66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 точката ще бъдат описани всички получени в хода на процедурата по екологична оценка становища, както и начина им на отразяване в Доклада за екологична оценка и мотивите за това.</w:t>
      </w:r>
    </w:p>
    <w:p w14:paraId="23AEFED1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5" w:name="_Toc45193023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Нетехническо резюме на екологичната оценка</w:t>
      </w:r>
      <w:bookmarkEnd w:id="35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B726974" w14:textId="1AD05983" w:rsidR="00FF1F66" w:rsidRPr="009A6559" w:rsidRDefault="00FF1F66" w:rsidP="00306FF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Като отделно приложение към Доклада за екологична оценка ще бъде изготвено нетехническо резюме, в което ще бъде представена съкратена информация по основните раздели на Доклада за екологична оценка, несъдържаща технически термини</w:t>
      </w:r>
      <w:r w:rsidR="00F65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при спазване на разпоредбата на чл.17, ал.3 от Наредбата за ЕО</w:t>
      </w:r>
      <w:r w:rsidRPr="009A6559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3F442C3B" w14:textId="77777777" w:rsidR="00FF1F66" w:rsidRPr="00FF1F66" w:rsidRDefault="00FF1F66" w:rsidP="00306FF9">
      <w:pPr>
        <w:keepNext/>
        <w:keepLines/>
        <w:numPr>
          <w:ilvl w:val="0"/>
          <w:numId w:val="23"/>
        </w:numPr>
        <w:shd w:val="clear" w:color="auto" w:fill="E2EFD9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6" w:name="_Toc45193024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>Приложения към доклада за екологична оценка</w:t>
      </w:r>
      <w:bookmarkEnd w:id="36"/>
      <w:r w:rsidRPr="00FF1F6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58CAEC62" w14:textId="7798529D" w:rsidR="00FF1F66" w:rsidRPr="002A2875" w:rsidRDefault="00FF1F66" w:rsidP="002A287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Освен нормативно изискващото се нетехническо резюме, което е отделно приложение, под формата на приложения към Доклада за екологична оценка ще бъдат предоставени проект на </w:t>
      </w:r>
      <w:r w:rsidR="00B916B8" w:rsidRPr="00B916B8">
        <w:rPr>
          <w:rFonts w:ascii="Times New Roman" w:eastAsia="Calibri" w:hAnsi="Times New Roman" w:cs="Times New Roman"/>
          <w:sz w:val="24"/>
          <w:szCs w:val="24"/>
          <w:lang w:val="bg-BG"/>
        </w:rPr>
        <w:t>ОПОС</w:t>
      </w:r>
      <w:r w:rsidR="00B916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г.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148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Доклад за оценка за съвместимост (</w:t>
      </w:r>
      <w:r w:rsidR="00B148B9" w:rsidRPr="00B148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 случай, че такъв се изиска от Министерство на околната среда и водите),</w:t>
      </w:r>
      <w:r w:rsidR="00B148B9" w:rsidRPr="00B148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A6559">
        <w:rPr>
          <w:rFonts w:ascii="Times New Roman" w:eastAsia="Calibri" w:hAnsi="Times New Roman" w:cs="Times New Roman"/>
          <w:sz w:val="24"/>
          <w:szCs w:val="24"/>
          <w:lang w:val="bg-BG"/>
        </w:rPr>
        <w:t>копия на становища, получени в резултат на консултациите по заданието за обхват и съдържание на доклада за ЕО</w:t>
      </w:r>
      <w:r w:rsidR="008824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</w:t>
      </w:r>
      <w:r w:rsidR="00F6534D">
        <w:rPr>
          <w:rFonts w:ascii="Times New Roman" w:eastAsia="Calibri" w:hAnsi="Times New Roman" w:cs="Times New Roman"/>
          <w:sz w:val="24"/>
          <w:szCs w:val="24"/>
          <w:lang w:val="bg-BG"/>
        </w:rPr>
        <w:t>уги приложения, при необходимост.</w:t>
      </w:r>
    </w:p>
    <w:sectPr w:rsidR="00FF1F66" w:rsidRPr="002A2875" w:rsidSect="00FD3D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2736" w14:textId="77777777" w:rsidR="005F58CF" w:rsidRDefault="005F58CF" w:rsidP="00F87EB9">
      <w:pPr>
        <w:spacing w:after="0" w:line="240" w:lineRule="auto"/>
      </w:pPr>
      <w:r>
        <w:separator/>
      </w:r>
    </w:p>
  </w:endnote>
  <w:endnote w:type="continuationSeparator" w:id="0">
    <w:p w14:paraId="17459EE5" w14:textId="77777777" w:rsidR="005F58CF" w:rsidRDefault="005F58CF" w:rsidP="00F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00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F8E2D" w14:textId="0B80F4EB" w:rsidR="00B117E9" w:rsidRPr="0088566D" w:rsidRDefault="00B117E9" w:rsidP="00885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1FE2" w14:textId="10B5705C" w:rsidR="00B117E9" w:rsidRDefault="00B117E9">
    <w:pPr>
      <w:pStyle w:val="Footer"/>
      <w:jc w:val="right"/>
    </w:pPr>
  </w:p>
  <w:p w14:paraId="5A6B4A9C" w14:textId="77777777" w:rsidR="00B117E9" w:rsidRDefault="00B11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2520" w14:textId="77777777" w:rsidR="005F58CF" w:rsidRDefault="005F58CF" w:rsidP="00F87EB9">
      <w:pPr>
        <w:spacing w:after="0" w:line="240" w:lineRule="auto"/>
      </w:pPr>
      <w:r>
        <w:separator/>
      </w:r>
    </w:p>
  </w:footnote>
  <w:footnote w:type="continuationSeparator" w:id="0">
    <w:p w14:paraId="27B0CE67" w14:textId="77777777" w:rsidR="005F58CF" w:rsidRDefault="005F58CF" w:rsidP="00F8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4318" w14:textId="0F76DB2B" w:rsidR="00B117E9" w:rsidRPr="00192B7F" w:rsidRDefault="00B117E9" w:rsidP="00D67F0B">
    <w:pPr>
      <w:pStyle w:val="Header"/>
      <w:jc w:val="center"/>
      <w:rPr>
        <w:rFonts w:ascii="Times New Roman" w:hAnsi="Times New Roman" w:cs="Times New Roman"/>
      </w:rPr>
    </w:pPr>
    <w:proofErr w:type="spellStart"/>
    <w:r w:rsidRPr="00192B7F">
      <w:rPr>
        <w:rFonts w:ascii="Times New Roman" w:hAnsi="Times New Roman" w:cs="Times New Roman"/>
        <w:i/>
        <w:lang w:val="en-US"/>
      </w:rPr>
      <w:t>Задание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за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определяне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обхвата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и </w:t>
    </w:r>
    <w:proofErr w:type="spellStart"/>
    <w:r w:rsidRPr="00192B7F">
      <w:rPr>
        <w:rFonts w:ascii="Times New Roman" w:hAnsi="Times New Roman" w:cs="Times New Roman"/>
        <w:i/>
        <w:lang w:val="en-US"/>
      </w:rPr>
      <w:t>съдържанието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Доклад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за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екологична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оценка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проект</w:t>
    </w:r>
    <w:proofErr w:type="spellEnd"/>
    <w:r w:rsidRPr="00192B7F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192B7F">
      <w:rPr>
        <w:rFonts w:ascii="Times New Roman" w:hAnsi="Times New Roman" w:cs="Times New Roman"/>
        <w:i/>
        <w:lang w:val="en-US"/>
      </w:rPr>
      <w:t>на</w:t>
    </w:r>
    <w:proofErr w:type="spellEnd"/>
    <w:r w:rsidRPr="00192B7F">
      <w:rPr>
        <w:rFonts w:ascii="Times New Roman" w:hAnsi="Times New Roman" w:cs="Times New Roman"/>
        <w:i/>
      </w:rPr>
      <w:t xml:space="preserve"> ОПОС 2021-2027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opFromText="573" w:vertAnchor="page" w:horzAnchor="margin" w:tblpXSpec="center" w:tblpY="879"/>
      <w:tblOverlap w:val="never"/>
      <w:tblW w:w="10624" w:type="dxa"/>
      <w:tblLayout w:type="fixed"/>
      <w:tblLook w:val="01E0" w:firstRow="1" w:lastRow="1" w:firstColumn="1" w:lastColumn="1" w:noHBand="0" w:noVBand="0"/>
    </w:tblPr>
    <w:tblGrid>
      <w:gridCol w:w="2284"/>
      <w:gridCol w:w="5802"/>
      <w:gridCol w:w="2538"/>
    </w:tblGrid>
    <w:tr w:rsidR="00B117E9" w:rsidRPr="009A6559" w14:paraId="3D568F09" w14:textId="77777777" w:rsidTr="0067195B">
      <w:trPr>
        <w:trHeight w:val="1635"/>
      </w:trPr>
      <w:tc>
        <w:tcPr>
          <w:tcW w:w="2284" w:type="dxa"/>
          <w:tcBorders>
            <w:bottom w:val="double" w:sz="4" w:space="0" w:color="808080"/>
          </w:tcBorders>
          <w:shd w:val="clear" w:color="auto" w:fill="auto"/>
        </w:tcPr>
        <w:p w14:paraId="32668E71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67195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CBA0E5B" wp14:editId="0E568089">
                <wp:extent cx="1531507" cy="12039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145" cy="123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59BF03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</w:p>
      </w:tc>
      <w:tc>
        <w:tcPr>
          <w:tcW w:w="5802" w:type="dxa"/>
          <w:tcBorders>
            <w:bottom w:val="double" w:sz="4" w:space="0" w:color="808080"/>
          </w:tcBorders>
          <w:shd w:val="clear" w:color="auto" w:fill="auto"/>
          <w:vAlign w:val="center"/>
        </w:tcPr>
        <w:p w14:paraId="3A018CF0" w14:textId="77777777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ОПЕРАТИВНА ПРОГРАМА</w:t>
          </w:r>
        </w:p>
        <w:p w14:paraId="6888AB87" w14:textId="460B2303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“ОКОЛНА СРЕДА 20</w:t>
          </w:r>
          <w:r w:rsidRPr="00192B7F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 xml:space="preserve">14 </w:t>
          </w: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– 20</w:t>
          </w:r>
          <w:r w:rsidRPr="00192B7F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>20</w:t>
          </w:r>
          <w:r w:rsidRPr="002A6145">
            <w:rPr>
              <w:rFonts w:ascii="Times New Roman" w:eastAsia="Times New Roman" w:hAnsi="Times New Roman" w:cs="Times New Roman"/>
              <w:b/>
              <w:noProof/>
              <w:spacing w:val="80"/>
              <w:sz w:val="20"/>
              <w:szCs w:val="20"/>
              <w:lang w:val="bg-BG" w:eastAsia="bg-BG"/>
            </w:rPr>
            <w:t xml:space="preserve"> г.”</w:t>
          </w:r>
        </w:p>
      </w:tc>
      <w:tc>
        <w:tcPr>
          <w:tcW w:w="2538" w:type="dxa"/>
          <w:tcBorders>
            <w:bottom w:val="double" w:sz="4" w:space="0" w:color="808080"/>
          </w:tcBorders>
          <w:shd w:val="clear" w:color="auto" w:fill="auto"/>
        </w:tcPr>
        <w:p w14:paraId="5E2939CD" w14:textId="01BD03ED" w:rsidR="00B117E9" w:rsidRPr="002A6145" w:rsidRDefault="00B117E9" w:rsidP="00192B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bg-BG" w:eastAsia="bg-BG"/>
            </w:rPr>
          </w:pP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"http://ope.moew.government.bg/files/useruploads/images/other/EU_flag_1.jpg" \* MERGEFORMATINET </w:instrText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INCLUDEPICTURE  "http://ope.moew.government.bg/files/useruploads/images/other/EU_flag_1.jpg" \* MERGEFORMATINET </w:instrText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begin"/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</w:instrText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>INCLUDEPICTURE  "http://ope.moew.government.bg/files/useruploads/images/other/EU_flag_1.jpg" \* MERGEFORMATINET</w:instrText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instrText xml:space="preserve"> </w:instrText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separate"/>
          </w:r>
          <w:r w:rsidR="00066A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pict w14:anchorId="2164C8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ope.moew.government.bg/files/useruploads/images/other/EU_flag_1.jpg" style="width:78pt;height:54pt">
                <v:imagedata r:id="rId2" r:href="rId3"/>
              </v:shape>
            </w:pict>
          </w:r>
          <w:r w:rsidR="005F58CF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7B605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D526F3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7D1FE2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="00293587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  <w:r w:rsidRPr="002A6145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fldChar w:fldCharType="end"/>
          </w:r>
        </w:p>
        <w:p w14:paraId="6E9B4C8E" w14:textId="77777777" w:rsidR="00B117E9" w:rsidRPr="002A6145" w:rsidRDefault="00B117E9" w:rsidP="00192B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</w:pPr>
          <w:r w:rsidRPr="00192B7F"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  <w:t>Европейски съюз</w:t>
          </w:r>
        </w:p>
        <w:p w14:paraId="56D4D0AE" w14:textId="77777777" w:rsidR="00B117E9" w:rsidRPr="002A6145" w:rsidRDefault="00B117E9" w:rsidP="00192B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192B7F">
            <w:rPr>
              <w:rFonts w:ascii="Times New Roman" w:eastAsia="Times New Roman" w:hAnsi="Times New Roman" w:cs="Times New Roman"/>
              <w:sz w:val="20"/>
              <w:szCs w:val="20"/>
              <w:lang w:val="bg-BG" w:eastAsia="bg-BG"/>
            </w:rPr>
            <w:t>Европейски структурни и инвестиционни фондове</w:t>
          </w:r>
        </w:p>
      </w:tc>
    </w:tr>
  </w:tbl>
  <w:p w14:paraId="535E9E56" w14:textId="20FABF67" w:rsidR="00B117E9" w:rsidRDefault="00B117E9" w:rsidP="00192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0F"/>
    <w:multiLevelType w:val="hybridMultilevel"/>
    <w:tmpl w:val="E1FE6E7A"/>
    <w:lvl w:ilvl="0" w:tplc="0402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1" w15:restartNumberingAfterBreak="0">
    <w:nsid w:val="08932B19"/>
    <w:multiLevelType w:val="hybridMultilevel"/>
    <w:tmpl w:val="18723A46"/>
    <w:lvl w:ilvl="0" w:tplc="48E631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186D"/>
    <w:multiLevelType w:val="hybridMultilevel"/>
    <w:tmpl w:val="7C1A6040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D4D6274"/>
    <w:multiLevelType w:val="hybridMultilevel"/>
    <w:tmpl w:val="98A81374"/>
    <w:lvl w:ilvl="0" w:tplc="EFB6B46A">
      <w:numFmt w:val="bullet"/>
      <w:lvlText w:val="-"/>
      <w:lvlJc w:val="left"/>
      <w:pPr>
        <w:ind w:left="13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1505019"/>
    <w:multiLevelType w:val="hybridMultilevel"/>
    <w:tmpl w:val="32E84D0A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69766C2"/>
    <w:multiLevelType w:val="hybridMultilevel"/>
    <w:tmpl w:val="3466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76BBC"/>
    <w:multiLevelType w:val="hybridMultilevel"/>
    <w:tmpl w:val="AE129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C7CBE"/>
    <w:multiLevelType w:val="hybridMultilevel"/>
    <w:tmpl w:val="CCE6271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355A27"/>
    <w:multiLevelType w:val="multilevel"/>
    <w:tmpl w:val="A7EC780A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1FDE4110"/>
    <w:multiLevelType w:val="hybridMultilevel"/>
    <w:tmpl w:val="AB0209A4"/>
    <w:lvl w:ilvl="0" w:tplc="5D72420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112CF"/>
    <w:multiLevelType w:val="hybridMultilevel"/>
    <w:tmpl w:val="95AA339A"/>
    <w:lvl w:ilvl="0" w:tplc="F2928C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  <w:color w:val="auto"/>
      </w:rPr>
    </w:lvl>
    <w:lvl w:ilvl="2" w:tplc="0546BADA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92E00"/>
    <w:multiLevelType w:val="hybridMultilevel"/>
    <w:tmpl w:val="EEA6E0D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F71A3"/>
    <w:multiLevelType w:val="hybridMultilevel"/>
    <w:tmpl w:val="A888F81E"/>
    <w:lvl w:ilvl="0" w:tplc="A914D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2853"/>
    <w:multiLevelType w:val="hybridMultilevel"/>
    <w:tmpl w:val="7FE853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7C4A73"/>
    <w:multiLevelType w:val="hybridMultilevel"/>
    <w:tmpl w:val="E3D6060A"/>
    <w:lvl w:ilvl="0" w:tplc="5D72420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FD3155"/>
    <w:multiLevelType w:val="hybridMultilevel"/>
    <w:tmpl w:val="27B0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591C"/>
    <w:multiLevelType w:val="hybridMultilevel"/>
    <w:tmpl w:val="9A48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D65BE"/>
    <w:multiLevelType w:val="hybridMultilevel"/>
    <w:tmpl w:val="417CC710"/>
    <w:lvl w:ilvl="0" w:tplc="44804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1A7E88"/>
    <w:multiLevelType w:val="hybridMultilevel"/>
    <w:tmpl w:val="5C3269CE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FE1DF8"/>
    <w:multiLevelType w:val="hybridMultilevel"/>
    <w:tmpl w:val="D37010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4144"/>
    <w:multiLevelType w:val="hybridMultilevel"/>
    <w:tmpl w:val="0F8A8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8B2F65"/>
    <w:multiLevelType w:val="hybridMultilevel"/>
    <w:tmpl w:val="3AA65176"/>
    <w:lvl w:ilvl="0" w:tplc="54E44A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34794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B6753"/>
    <w:multiLevelType w:val="hybridMultilevel"/>
    <w:tmpl w:val="733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486C67"/>
    <w:multiLevelType w:val="hybridMultilevel"/>
    <w:tmpl w:val="066CA024"/>
    <w:lvl w:ilvl="0" w:tplc="749CE0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D9E68E2"/>
    <w:multiLevelType w:val="hybridMultilevel"/>
    <w:tmpl w:val="EEF82C2A"/>
    <w:lvl w:ilvl="0" w:tplc="EFB6B46A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3F93AB6"/>
    <w:multiLevelType w:val="hybridMultilevel"/>
    <w:tmpl w:val="3D0EC2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500878"/>
    <w:multiLevelType w:val="hybridMultilevel"/>
    <w:tmpl w:val="E3B8A14A"/>
    <w:lvl w:ilvl="0" w:tplc="EFB6B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4CE72B9"/>
    <w:multiLevelType w:val="hybridMultilevel"/>
    <w:tmpl w:val="CA42F70E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78546C"/>
    <w:multiLevelType w:val="hybridMultilevel"/>
    <w:tmpl w:val="F90E37EC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9B7FDD"/>
    <w:multiLevelType w:val="hybridMultilevel"/>
    <w:tmpl w:val="31F2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FF75E5"/>
    <w:multiLevelType w:val="multilevel"/>
    <w:tmpl w:val="F134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0F12880"/>
    <w:multiLevelType w:val="hybridMultilevel"/>
    <w:tmpl w:val="4C70EC4C"/>
    <w:lvl w:ilvl="0" w:tplc="EDEC0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443689"/>
    <w:multiLevelType w:val="hybridMultilevel"/>
    <w:tmpl w:val="B49E7E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AE2054F"/>
    <w:multiLevelType w:val="hybridMultilevel"/>
    <w:tmpl w:val="E68C3B1C"/>
    <w:lvl w:ilvl="0" w:tplc="D6122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32555"/>
    <w:multiLevelType w:val="hybridMultilevel"/>
    <w:tmpl w:val="E0744A1A"/>
    <w:lvl w:ilvl="0" w:tplc="0402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8" w15:restartNumberingAfterBreak="0">
    <w:nsid w:val="7B826D01"/>
    <w:multiLevelType w:val="multilevel"/>
    <w:tmpl w:val="34E2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4"/>
  </w:num>
  <w:num w:numId="3">
    <w:abstractNumId w:val="13"/>
  </w:num>
  <w:num w:numId="4">
    <w:abstractNumId w:val="27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26"/>
  </w:num>
  <w:num w:numId="10">
    <w:abstractNumId w:val="31"/>
  </w:num>
  <w:num w:numId="11">
    <w:abstractNumId w:val="15"/>
  </w:num>
  <w:num w:numId="12">
    <w:abstractNumId w:val="30"/>
  </w:num>
  <w:num w:numId="13">
    <w:abstractNumId w:val="29"/>
  </w:num>
  <w:num w:numId="14">
    <w:abstractNumId w:val="25"/>
  </w:num>
  <w:num w:numId="15">
    <w:abstractNumId w:val="2"/>
  </w:num>
  <w:num w:numId="16">
    <w:abstractNumId w:val="11"/>
  </w:num>
  <w:num w:numId="17">
    <w:abstractNumId w:val="28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22"/>
  </w:num>
  <w:num w:numId="23">
    <w:abstractNumId w:val="33"/>
  </w:num>
  <w:num w:numId="24">
    <w:abstractNumId w:val="18"/>
  </w:num>
  <w:num w:numId="25">
    <w:abstractNumId w:val="4"/>
  </w:num>
  <w:num w:numId="26">
    <w:abstractNumId w:val="3"/>
  </w:num>
  <w:num w:numId="27">
    <w:abstractNumId w:val="37"/>
  </w:num>
  <w:num w:numId="28">
    <w:abstractNumId w:val="34"/>
  </w:num>
  <w:num w:numId="29">
    <w:abstractNumId w:val="16"/>
  </w:num>
  <w:num w:numId="30">
    <w:abstractNumId w:val="38"/>
  </w:num>
  <w:num w:numId="31">
    <w:abstractNumId w:val="17"/>
  </w:num>
  <w:num w:numId="32">
    <w:abstractNumId w:val="1"/>
  </w:num>
  <w:num w:numId="33">
    <w:abstractNumId w:val="7"/>
  </w:num>
  <w:num w:numId="34">
    <w:abstractNumId w:val="21"/>
  </w:num>
  <w:num w:numId="35">
    <w:abstractNumId w:val="32"/>
  </w:num>
  <w:num w:numId="36">
    <w:abstractNumId w:val="35"/>
  </w:num>
  <w:num w:numId="37">
    <w:abstractNumId w:val="5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041E7"/>
    <w:rsid w:val="00006CA9"/>
    <w:rsid w:val="000073D6"/>
    <w:rsid w:val="00036A35"/>
    <w:rsid w:val="00047C73"/>
    <w:rsid w:val="000657FB"/>
    <w:rsid w:val="00066767"/>
    <w:rsid w:val="00066A5E"/>
    <w:rsid w:val="00067892"/>
    <w:rsid w:val="00097D05"/>
    <w:rsid w:val="000C23EE"/>
    <w:rsid w:val="000E7422"/>
    <w:rsid w:val="00106655"/>
    <w:rsid w:val="0012122A"/>
    <w:rsid w:val="00124847"/>
    <w:rsid w:val="001301DF"/>
    <w:rsid w:val="001303E5"/>
    <w:rsid w:val="00142257"/>
    <w:rsid w:val="00143FAE"/>
    <w:rsid w:val="00144422"/>
    <w:rsid w:val="001445EF"/>
    <w:rsid w:val="001863EA"/>
    <w:rsid w:val="00192B7F"/>
    <w:rsid w:val="001A0738"/>
    <w:rsid w:val="001B1C3D"/>
    <w:rsid w:val="001C6B36"/>
    <w:rsid w:val="001C7822"/>
    <w:rsid w:val="001D1FCF"/>
    <w:rsid w:val="001E14FC"/>
    <w:rsid w:val="001E2303"/>
    <w:rsid w:val="001E532C"/>
    <w:rsid w:val="001F0855"/>
    <w:rsid w:val="00220BF8"/>
    <w:rsid w:val="002549A9"/>
    <w:rsid w:val="00256CF3"/>
    <w:rsid w:val="00260294"/>
    <w:rsid w:val="00262955"/>
    <w:rsid w:val="00285ACA"/>
    <w:rsid w:val="00293587"/>
    <w:rsid w:val="002A20D6"/>
    <w:rsid w:val="002A2875"/>
    <w:rsid w:val="002A6145"/>
    <w:rsid w:val="002C154D"/>
    <w:rsid w:val="002C4BDD"/>
    <w:rsid w:val="002C4C37"/>
    <w:rsid w:val="002C59E1"/>
    <w:rsid w:val="00306FF9"/>
    <w:rsid w:val="0031287C"/>
    <w:rsid w:val="003428E0"/>
    <w:rsid w:val="0037013C"/>
    <w:rsid w:val="00374599"/>
    <w:rsid w:val="003745E6"/>
    <w:rsid w:val="003A053A"/>
    <w:rsid w:val="003A6049"/>
    <w:rsid w:val="003C42CE"/>
    <w:rsid w:val="003C521B"/>
    <w:rsid w:val="003C776C"/>
    <w:rsid w:val="003D5B65"/>
    <w:rsid w:val="00400C31"/>
    <w:rsid w:val="004047A0"/>
    <w:rsid w:val="00407993"/>
    <w:rsid w:val="00413255"/>
    <w:rsid w:val="00450E1B"/>
    <w:rsid w:val="00477AB7"/>
    <w:rsid w:val="00483460"/>
    <w:rsid w:val="00492B1C"/>
    <w:rsid w:val="00493AC0"/>
    <w:rsid w:val="00494A59"/>
    <w:rsid w:val="004960F0"/>
    <w:rsid w:val="004A0D26"/>
    <w:rsid w:val="004A1839"/>
    <w:rsid w:val="004C4BC1"/>
    <w:rsid w:val="004D0EBD"/>
    <w:rsid w:val="004E0C40"/>
    <w:rsid w:val="004E4620"/>
    <w:rsid w:val="00505419"/>
    <w:rsid w:val="005338E4"/>
    <w:rsid w:val="00540B58"/>
    <w:rsid w:val="00550CC2"/>
    <w:rsid w:val="00582754"/>
    <w:rsid w:val="00586B72"/>
    <w:rsid w:val="00590107"/>
    <w:rsid w:val="00596105"/>
    <w:rsid w:val="005A0B88"/>
    <w:rsid w:val="005A0F28"/>
    <w:rsid w:val="005A2C9F"/>
    <w:rsid w:val="005B5393"/>
    <w:rsid w:val="005C6D39"/>
    <w:rsid w:val="005D68E9"/>
    <w:rsid w:val="005F58CF"/>
    <w:rsid w:val="005F5CDA"/>
    <w:rsid w:val="00614346"/>
    <w:rsid w:val="006262AA"/>
    <w:rsid w:val="006433FB"/>
    <w:rsid w:val="0065306A"/>
    <w:rsid w:val="0065554B"/>
    <w:rsid w:val="00655D98"/>
    <w:rsid w:val="00665AF1"/>
    <w:rsid w:val="0067195B"/>
    <w:rsid w:val="00677AC0"/>
    <w:rsid w:val="00692A35"/>
    <w:rsid w:val="00696B52"/>
    <w:rsid w:val="006A131E"/>
    <w:rsid w:val="006B43B2"/>
    <w:rsid w:val="006D1C97"/>
    <w:rsid w:val="006D2C21"/>
    <w:rsid w:val="006D6DE1"/>
    <w:rsid w:val="00716CEE"/>
    <w:rsid w:val="00725255"/>
    <w:rsid w:val="00732ADA"/>
    <w:rsid w:val="007501A3"/>
    <w:rsid w:val="00752CEB"/>
    <w:rsid w:val="00757421"/>
    <w:rsid w:val="00760CA8"/>
    <w:rsid w:val="00761806"/>
    <w:rsid w:val="0076270C"/>
    <w:rsid w:val="00766227"/>
    <w:rsid w:val="00787DEB"/>
    <w:rsid w:val="007A0413"/>
    <w:rsid w:val="007B2030"/>
    <w:rsid w:val="007B605E"/>
    <w:rsid w:val="007D1FE2"/>
    <w:rsid w:val="007D4ECD"/>
    <w:rsid w:val="007D75BF"/>
    <w:rsid w:val="007F52FB"/>
    <w:rsid w:val="00803336"/>
    <w:rsid w:val="008371A5"/>
    <w:rsid w:val="00846346"/>
    <w:rsid w:val="00881ED8"/>
    <w:rsid w:val="00882417"/>
    <w:rsid w:val="0088566D"/>
    <w:rsid w:val="008C0370"/>
    <w:rsid w:val="008C0F5F"/>
    <w:rsid w:val="008D2502"/>
    <w:rsid w:val="008D67D1"/>
    <w:rsid w:val="00900620"/>
    <w:rsid w:val="0090610D"/>
    <w:rsid w:val="00925849"/>
    <w:rsid w:val="0099146B"/>
    <w:rsid w:val="009A6559"/>
    <w:rsid w:val="009B23BE"/>
    <w:rsid w:val="009C61E7"/>
    <w:rsid w:val="009D61D0"/>
    <w:rsid w:val="009E51D6"/>
    <w:rsid w:val="00A054F4"/>
    <w:rsid w:val="00A30A5D"/>
    <w:rsid w:val="00A328F7"/>
    <w:rsid w:val="00A368E5"/>
    <w:rsid w:val="00A36FFC"/>
    <w:rsid w:val="00A41ECE"/>
    <w:rsid w:val="00A505CC"/>
    <w:rsid w:val="00A565FB"/>
    <w:rsid w:val="00A618F1"/>
    <w:rsid w:val="00A94170"/>
    <w:rsid w:val="00A97008"/>
    <w:rsid w:val="00AD7A6C"/>
    <w:rsid w:val="00B05B7E"/>
    <w:rsid w:val="00B117E9"/>
    <w:rsid w:val="00B148B9"/>
    <w:rsid w:val="00B157E5"/>
    <w:rsid w:val="00B4657C"/>
    <w:rsid w:val="00B5422D"/>
    <w:rsid w:val="00B6163F"/>
    <w:rsid w:val="00B76685"/>
    <w:rsid w:val="00B86EA7"/>
    <w:rsid w:val="00B90956"/>
    <w:rsid w:val="00B916B8"/>
    <w:rsid w:val="00B95492"/>
    <w:rsid w:val="00BA34AE"/>
    <w:rsid w:val="00BF0D08"/>
    <w:rsid w:val="00C00716"/>
    <w:rsid w:val="00C07855"/>
    <w:rsid w:val="00C361E9"/>
    <w:rsid w:val="00C43D17"/>
    <w:rsid w:val="00C44B3E"/>
    <w:rsid w:val="00C46E14"/>
    <w:rsid w:val="00C639EC"/>
    <w:rsid w:val="00C65100"/>
    <w:rsid w:val="00C676E2"/>
    <w:rsid w:val="00C802D1"/>
    <w:rsid w:val="00C9002C"/>
    <w:rsid w:val="00CA506E"/>
    <w:rsid w:val="00CC67D9"/>
    <w:rsid w:val="00D1692C"/>
    <w:rsid w:val="00D169A5"/>
    <w:rsid w:val="00D30FA0"/>
    <w:rsid w:val="00D4306C"/>
    <w:rsid w:val="00D43C33"/>
    <w:rsid w:val="00D47BC4"/>
    <w:rsid w:val="00D526F3"/>
    <w:rsid w:val="00D5709B"/>
    <w:rsid w:val="00D67F0B"/>
    <w:rsid w:val="00D97195"/>
    <w:rsid w:val="00DA5927"/>
    <w:rsid w:val="00DB14B7"/>
    <w:rsid w:val="00DB37A4"/>
    <w:rsid w:val="00DB653E"/>
    <w:rsid w:val="00DC6B44"/>
    <w:rsid w:val="00DD5D6B"/>
    <w:rsid w:val="00DE0B9C"/>
    <w:rsid w:val="00DE357B"/>
    <w:rsid w:val="00DF00E0"/>
    <w:rsid w:val="00DF2B62"/>
    <w:rsid w:val="00DF4BBE"/>
    <w:rsid w:val="00E0086C"/>
    <w:rsid w:val="00E75718"/>
    <w:rsid w:val="00E93A67"/>
    <w:rsid w:val="00EA75F7"/>
    <w:rsid w:val="00EB00B1"/>
    <w:rsid w:val="00EB03D7"/>
    <w:rsid w:val="00EB2277"/>
    <w:rsid w:val="00EB3ABE"/>
    <w:rsid w:val="00EB72D4"/>
    <w:rsid w:val="00EE1B50"/>
    <w:rsid w:val="00F178D9"/>
    <w:rsid w:val="00F308F1"/>
    <w:rsid w:val="00F36866"/>
    <w:rsid w:val="00F4000C"/>
    <w:rsid w:val="00F42FC5"/>
    <w:rsid w:val="00F6534D"/>
    <w:rsid w:val="00F74563"/>
    <w:rsid w:val="00F85381"/>
    <w:rsid w:val="00F8595D"/>
    <w:rsid w:val="00F87EB9"/>
    <w:rsid w:val="00FC1464"/>
    <w:rsid w:val="00FC1677"/>
    <w:rsid w:val="00FC3A35"/>
    <w:rsid w:val="00FC5974"/>
    <w:rsid w:val="00FD3D42"/>
    <w:rsid w:val="00FD6B8B"/>
    <w:rsid w:val="00FF1F6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E07B"/>
  <w15:chartTrackingRefBased/>
  <w15:docId w15:val="{5E3B1733-E94E-49B6-8BDD-84A7EDB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FF1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FF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F66"/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FF1F66"/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FF1F66"/>
    <w:rPr>
      <w:rFonts w:ascii="Calibri Light" w:eastAsia="Times New Roman" w:hAnsi="Calibri Light" w:cs="Times New Roman"/>
      <w:i/>
      <w:iCs/>
      <w:color w:val="2E74B5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FF1F66"/>
    <w:rPr>
      <w:rFonts w:ascii="Calibri Light" w:eastAsia="Times New Roman" w:hAnsi="Calibri Light" w:cs="Times New Roman"/>
      <w:color w:val="2E74B5"/>
      <w:lang w:val="bg-BG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FF1F6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character" w:customStyle="1" w:styleId="Heading1Char">
    <w:name w:val="Heading 1 Char"/>
    <w:basedOn w:val="DefaultParagraphFont"/>
    <w:link w:val="Heading11"/>
    <w:uiPriority w:val="9"/>
    <w:rsid w:val="00FF1F66"/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FF1F66"/>
    <w:pPr>
      <w:outlineLvl w:val="9"/>
    </w:pPr>
  </w:style>
  <w:style w:type="paragraph" w:styleId="ListParagraph">
    <w:name w:val="List Paragraph"/>
    <w:basedOn w:val="Normal"/>
    <w:uiPriority w:val="34"/>
    <w:qFormat/>
    <w:rsid w:val="00FF1F66"/>
    <w:pPr>
      <w:ind w:left="720"/>
      <w:contextualSpacing/>
    </w:pPr>
    <w:rPr>
      <w:lang w:val="bg-BG"/>
    </w:rPr>
  </w:style>
  <w:style w:type="paragraph" w:styleId="TOC1">
    <w:name w:val="toc 1"/>
    <w:basedOn w:val="Normal"/>
    <w:next w:val="Normal"/>
    <w:autoRedefine/>
    <w:uiPriority w:val="39"/>
    <w:unhideWhenUsed/>
    <w:rsid w:val="00FF1F66"/>
    <w:pPr>
      <w:spacing w:after="100"/>
    </w:pPr>
    <w:rPr>
      <w:lang w:val="bg-BG"/>
    </w:rPr>
  </w:style>
  <w:style w:type="character" w:customStyle="1" w:styleId="Hyperlink1">
    <w:name w:val="Hyperlink1"/>
    <w:basedOn w:val="DefaultParagraphFont"/>
    <w:uiPriority w:val="99"/>
    <w:unhideWhenUsed/>
    <w:rsid w:val="00FF1F66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FF1F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F1F66"/>
    <w:pPr>
      <w:spacing w:after="100"/>
      <w:ind w:left="220"/>
    </w:pPr>
    <w:rPr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FF1F66"/>
    <w:pPr>
      <w:spacing w:after="100"/>
      <w:ind w:left="440"/>
    </w:pPr>
    <w:rPr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F66"/>
    <w:pPr>
      <w:spacing w:line="240" w:lineRule="auto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F6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F66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66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66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F1F6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FF1F66"/>
    <w:rPr>
      <w:lang w:val="bg-BG"/>
    </w:rPr>
  </w:style>
  <w:style w:type="character" w:customStyle="1" w:styleId="Heading2Char1">
    <w:name w:val="Heading 2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F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A59"/>
    <w:rPr>
      <w:sz w:val="16"/>
      <w:szCs w:val="16"/>
    </w:rPr>
  </w:style>
  <w:style w:type="paragraph" w:customStyle="1" w:styleId="Default">
    <w:name w:val="Default"/>
    <w:rsid w:val="00803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1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7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5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pe@moew.government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sters.moew.government.bg/eo/lot/325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ope.moew.government.bg/files/useruploads/images/other/EU_flag_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7264-A133-3E44-9949-B7545426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9390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OPOS BG14</cp:lastModifiedBy>
  <cp:revision>2</cp:revision>
  <cp:lastPrinted>2020-07-09T10:45:00Z</cp:lastPrinted>
  <dcterms:created xsi:type="dcterms:W3CDTF">2021-04-13T13:04:00Z</dcterms:created>
  <dcterms:modified xsi:type="dcterms:W3CDTF">2021-04-13T13:04:00Z</dcterms:modified>
</cp:coreProperties>
</file>