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039B9" w14:textId="41B34B0B" w:rsidR="000E4768" w:rsidRPr="00A00777" w:rsidRDefault="00683B2E" w:rsidP="000E4768">
      <w:pPr>
        <w:pStyle w:val="Header"/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Приложение  1 „Допустими местообитания и мерки“</w:t>
      </w:r>
      <w:r w:rsidR="000E4768"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процедура </w:t>
      </w:r>
    </w:p>
    <w:p w14:paraId="57623F04" w14:textId="0E4DA7B0" w:rsidR="00683B2E" w:rsidRPr="00A00777" w:rsidRDefault="00C61F51" w:rsidP="000E4768">
      <w:pPr>
        <w:pStyle w:val="Header"/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61F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BG16M1OP002-3.033 </w:t>
      </w:r>
      <w:r w:rsidR="000E4768" w:rsidRPr="00A00777">
        <w:rPr>
          <w:rFonts w:ascii="Times New Roman" w:hAnsi="Times New Roman"/>
          <w:b/>
          <w:color w:val="000000" w:themeColor="text1"/>
          <w:sz w:val="24"/>
          <w:szCs w:val="24"/>
        </w:rPr>
        <w:t>„Подобряване природозащитното състояние на природни местообитания</w:t>
      </w:r>
      <w:r w:rsidR="00FA16E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- 2</w:t>
      </w:r>
      <w:r w:rsidR="000E4768" w:rsidRPr="00A00777">
        <w:rPr>
          <w:rFonts w:ascii="Times New Roman" w:hAnsi="Times New Roman"/>
          <w:b/>
          <w:color w:val="000000" w:themeColor="text1"/>
          <w:sz w:val="24"/>
          <w:szCs w:val="24"/>
        </w:rPr>
        <w:t>“</w:t>
      </w:r>
    </w:p>
    <w:p w14:paraId="40B01D9E" w14:textId="77777777" w:rsidR="00B56F5B" w:rsidRDefault="00B56F5B" w:rsidP="0070542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76E653D" w14:textId="108E5DC6" w:rsidR="00705428" w:rsidRPr="00A00777" w:rsidRDefault="00705428" w:rsidP="0070542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Местообитание 2340 „Панонски вътрешноконтинентални дюни“</w:t>
      </w:r>
      <w:r w:rsidR="00147740"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12E9561" w14:textId="77777777" w:rsidR="00705428" w:rsidRPr="00A00777" w:rsidRDefault="00705428" w:rsidP="0070542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Биогеографски район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Континентален (CON)</w:t>
      </w:r>
    </w:p>
    <w:p w14:paraId="732550E6" w14:textId="77777777" w:rsidR="00705428" w:rsidRPr="00A00777" w:rsidRDefault="00705428" w:rsidP="0070542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Площ в целия район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докладване от 2019 г.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1157</w:t>
      </w:r>
      <w:r w:rsidR="00C14B12"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47 ha</w:t>
      </w:r>
    </w:p>
    <w:p w14:paraId="799D7D44" w14:textId="77777777" w:rsidR="00CE1BA3" w:rsidRPr="00A00777" w:rsidRDefault="00705428" w:rsidP="0070542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Природозащитно състояние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докладване 2019 г.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r w:rsidR="00753CFF"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Неблагоприятно – незадоволително (U1)</w:t>
      </w:r>
    </w:p>
    <w:p w14:paraId="29DB8CDF" w14:textId="2AE3B030" w:rsidR="00753CFF" w:rsidRPr="00A00777" w:rsidRDefault="00753CFF" w:rsidP="009E5F5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Очаквана площ на прилагане на мерките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2864E0"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>Вероятно 3 – 5 пъти по-голяма от площта на самите местообитания (</w:t>
      </w:r>
      <w:r w:rsidR="002864E0"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диапазона: 1157</w:t>
      </w:r>
      <w:r w:rsidR="0019055E"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2864E0"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47–5787,35 ha</w:t>
      </w:r>
      <w:r w:rsidR="002864E0"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>), тъй като контролът на инвазивни чужди видове (ИЧВ) e необходимо да се осъществи на значително по-големи площи, за да се предотврати повторна инвазия от съседни участъци.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3"/>
        <w:gridCol w:w="1870"/>
        <w:gridCol w:w="2746"/>
        <w:gridCol w:w="4733"/>
        <w:gridCol w:w="2622"/>
      </w:tblGrid>
      <w:tr w:rsidR="00A00777" w:rsidRPr="00A00777" w14:paraId="6DAA2608" w14:textId="77777777" w:rsidTr="00E803AB">
        <w:tc>
          <w:tcPr>
            <w:tcW w:w="723" w:type="pct"/>
          </w:tcPr>
          <w:p w14:paraId="66B80187" w14:textId="77777777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Параметър</w:t>
            </w:r>
          </w:p>
        </w:tc>
        <w:tc>
          <w:tcPr>
            <w:tcW w:w="668" w:type="pct"/>
          </w:tcPr>
          <w:p w14:paraId="225463BE" w14:textId="77777777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Защитени зони (код)</w:t>
            </w:r>
          </w:p>
        </w:tc>
        <w:tc>
          <w:tcPr>
            <w:tcW w:w="981" w:type="pct"/>
          </w:tcPr>
          <w:p w14:paraId="377F2E6F" w14:textId="048CB3E7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Данни от картирането, дали основание за оценката на ПС</w:t>
            </w:r>
          </w:p>
        </w:tc>
        <w:tc>
          <w:tcPr>
            <w:tcW w:w="1691" w:type="pct"/>
          </w:tcPr>
          <w:p w14:paraId="252537EF" w14:textId="77777777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Мерки</w:t>
            </w:r>
          </w:p>
        </w:tc>
        <w:tc>
          <w:tcPr>
            <w:tcW w:w="937" w:type="pct"/>
          </w:tcPr>
          <w:p w14:paraId="6095CB6E" w14:textId="6B7BFB1E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 на местообита-нието</w:t>
            </w:r>
          </w:p>
        </w:tc>
      </w:tr>
      <w:tr w:rsidR="00A00777" w:rsidRPr="00A00777" w14:paraId="4B306407" w14:textId="77777777" w:rsidTr="00E803AB">
        <w:tc>
          <w:tcPr>
            <w:tcW w:w="723" w:type="pct"/>
          </w:tcPr>
          <w:p w14:paraId="400EF936" w14:textId="78038935" w:rsidR="005D521E" w:rsidRPr="00A00777" w:rsidRDefault="005D521E" w:rsidP="005D52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</w:t>
            </w:r>
          </w:p>
        </w:tc>
        <w:tc>
          <w:tcPr>
            <w:tcW w:w="668" w:type="pct"/>
          </w:tcPr>
          <w:p w14:paraId="197B5899" w14:textId="375AB413" w:rsidR="005D521E" w:rsidRPr="00A00777" w:rsidRDefault="005D521E" w:rsidP="005D52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BG0000335 </w:t>
            </w:r>
          </w:p>
        </w:tc>
        <w:tc>
          <w:tcPr>
            <w:tcW w:w="981" w:type="pct"/>
          </w:tcPr>
          <w:p w14:paraId="2C02A01A" w14:textId="391B4F93" w:rsidR="005D521E" w:rsidRPr="00A00777" w:rsidRDefault="005D521E" w:rsidP="005D521E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Заета площ</w:t>
            </w:r>
          </w:p>
        </w:tc>
        <w:tc>
          <w:tcPr>
            <w:tcW w:w="1691" w:type="pct"/>
          </w:tcPr>
          <w:p w14:paraId="7BC4D9F6" w14:textId="45382E6B" w:rsidR="005D521E" w:rsidRPr="00A00777" w:rsidRDefault="005D521E" w:rsidP="005D521E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Рекултивация на замърсени площи (в миналото) </w:t>
            </w:r>
          </w:p>
        </w:tc>
        <w:tc>
          <w:tcPr>
            <w:tcW w:w="937" w:type="pct"/>
          </w:tcPr>
          <w:p w14:paraId="49EAAE60" w14:textId="67F19EF1" w:rsidR="005D521E" w:rsidRPr="00A00777" w:rsidRDefault="005D521E" w:rsidP="005D52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29.69 ha</w:t>
            </w:r>
          </w:p>
        </w:tc>
      </w:tr>
      <w:tr w:rsidR="00A00777" w:rsidRPr="00A00777" w14:paraId="5918E68B" w14:textId="77777777" w:rsidTr="00E803AB">
        <w:tc>
          <w:tcPr>
            <w:tcW w:w="723" w:type="pct"/>
            <w:vMerge w:val="restart"/>
          </w:tcPr>
          <w:p w14:paraId="08691A7A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Структура и функции</w:t>
            </w:r>
          </w:p>
        </w:tc>
        <w:tc>
          <w:tcPr>
            <w:tcW w:w="668" w:type="pct"/>
          </w:tcPr>
          <w:p w14:paraId="29882436" w14:textId="70BEA91F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BG0000182 </w:t>
            </w:r>
          </w:p>
        </w:tc>
        <w:tc>
          <w:tcPr>
            <w:tcW w:w="981" w:type="pct"/>
          </w:tcPr>
          <w:p w14:paraId="058B471D" w14:textId="77777777" w:rsidR="000F007A" w:rsidRPr="00A00777" w:rsidRDefault="000F007A" w:rsidP="00537B59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Мозайки с мъхове и лишеи;</w:t>
            </w:r>
          </w:p>
          <w:p w14:paraId="4B33DE5A" w14:textId="77777777" w:rsidR="000F007A" w:rsidRPr="00A00777" w:rsidRDefault="000F007A" w:rsidP="00537B59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Сумарно проективно покритие на ценозите;</w:t>
            </w:r>
          </w:p>
          <w:p w14:paraId="1FE61317" w14:textId="77777777" w:rsidR="000F007A" w:rsidRPr="00A00777" w:rsidRDefault="000F007A" w:rsidP="00537B59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 Рудерализация и нитрификация на местообитанието;</w:t>
            </w:r>
          </w:p>
          <w:p w14:paraId="58771E83" w14:textId="77777777" w:rsidR="000F007A" w:rsidRPr="00A00777" w:rsidRDefault="000F007A" w:rsidP="00753CF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2.6. Наличие на инвазивни видове</w:t>
            </w:r>
          </w:p>
        </w:tc>
        <w:tc>
          <w:tcPr>
            <w:tcW w:w="1691" w:type="pct"/>
          </w:tcPr>
          <w:p w14:paraId="6CDA7A87" w14:textId="4BDE66AA" w:rsidR="000F007A" w:rsidRPr="00A00777" w:rsidRDefault="000F007A" w:rsidP="00537B59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 на ИЧВ (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Amorfa fruticosa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др.); </w:t>
            </w:r>
            <w:r w:rsidR="00F06057"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сметища и изоставени постройки; премахване на депа за тор и органични отпадъци</w:t>
            </w:r>
          </w:p>
        </w:tc>
        <w:tc>
          <w:tcPr>
            <w:tcW w:w="937" w:type="pct"/>
          </w:tcPr>
          <w:p w14:paraId="2C6FD3B1" w14:textId="60C9EED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616,16 ha </w:t>
            </w:r>
          </w:p>
        </w:tc>
      </w:tr>
      <w:tr w:rsidR="00A00777" w:rsidRPr="00A00777" w14:paraId="76671555" w14:textId="77777777" w:rsidTr="00E803AB">
        <w:tc>
          <w:tcPr>
            <w:tcW w:w="723" w:type="pct"/>
            <w:vMerge/>
          </w:tcPr>
          <w:p w14:paraId="2B515A02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8" w:type="pct"/>
          </w:tcPr>
          <w:p w14:paraId="193E371A" w14:textId="6DB4120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BG0000199 </w:t>
            </w:r>
          </w:p>
        </w:tc>
        <w:tc>
          <w:tcPr>
            <w:tcW w:w="981" w:type="pct"/>
          </w:tcPr>
          <w:p w14:paraId="337D30E7" w14:textId="77777777" w:rsidR="000F007A" w:rsidRPr="00A00777" w:rsidRDefault="000F007A" w:rsidP="00870C2B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Мозайки с мъхове и лишеи;</w:t>
            </w:r>
          </w:p>
          <w:p w14:paraId="64C9E177" w14:textId="77777777" w:rsidR="000F007A" w:rsidRPr="00A00777" w:rsidRDefault="000F007A" w:rsidP="00870C2B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 Наличие на инвазивни видове</w:t>
            </w:r>
          </w:p>
        </w:tc>
        <w:tc>
          <w:tcPr>
            <w:tcW w:w="1691" w:type="pct"/>
          </w:tcPr>
          <w:p w14:paraId="2FDB7104" w14:textId="49E2D5F8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ИЧВ (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Robinia pseudoacacia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др.); рекултивиране на </w:t>
            </w:r>
            <w:r w:rsidR="005D521E"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терени, увредени от 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изземване на инертни материали</w:t>
            </w:r>
          </w:p>
        </w:tc>
        <w:tc>
          <w:tcPr>
            <w:tcW w:w="937" w:type="pct"/>
          </w:tcPr>
          <w:p w14:paraId="517AFDCA" w14:textId="527F6CBA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206,29 ha </w:t>
            </w:r>
          </w:p>
        </w:tc>
      </w:tr>
      <w:tr w:rsidR="00A00777" w:rsidRPr="00A00777" w14:paraId="258FD760" w14:textId="77777777" w:rsidTr="00E803AB">
        <w:tc>
          <w:tcPr>
            <w:tcW w:w="723" w:type="pct"/>
            <w:vMerge/>
          </w:tcPr>
          <w:p w14:paraId="6BAA4DBF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8" w:type="pct"/>
          </w:tcPr>
          <w:p w14:paraId="58C5A024" w14:textId="30248AD5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BG0000335 </w:t>
            </w:r>
          </w:p>
        </w:tc>
        <w:tc>
          <w:tcPr>
            <w:tcW w:w="981" w:type="pct"/>
          </w:tcPr>
          <w:p w14:paraId="2403C45E" w14:textId="2BA775BA" w:rsidR="000F007A" w:rsidRPr="00A00777" w:rsidRDefault="000F007A" w:rsidP="00C375AC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Фрагментация в рамките на местообитанието</w:t>
            </w:r>
          </w:p>
          <w:p w14:paraId="3F91124E" w14:textId="77777777" w:rsidR="000F007A" w:rsidRPr="00A00777" w:rsidRDefault="000F007A" w:rsidP="00C375AC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Мозайки с мъхове и лишеи;</w:t>
            </w:r>
          </w:p>
          <w:p w14:paraId="3B78111A" w14:textId="77777777" w:rsidR="000F007A" w:rsidRPr="00A00777" w:rsidRDefault="000F007A" w:rsidP="00C375AC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Сумарно проективно покритие на ценозите;</w:t>
            </w:r>
          </w:p>
          <w:p w14:paraId="0834F953" w14:textId="77777777" w:rsidR="000F007A" w:rsidRPr="00A00777" w:rsidRDefault="000F007A" w:rsidP="00C375AC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 Наличие на инвазивни видове</w:t>
            </w:r>
          </w:p>
        </w:tc>
        <w:tc>
          <w:tcPr>
            <w:tcW w:w="1691" w:type="pct"/>
          </w:tcPr>
          <w:p w14:paraId="734DA7B0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ИЧВ и рудерални видове; рекултивиране на нарушени участъци от местообитанието</w:t>
            </w:r>
          </w:p>
        </w:tc>
        <w:tc>
          <w:tcPr>
            <w:tcW w:w="937" w:type="pct"/>
          </w:tcPr>
          <w:p w14:paraId="41D86462" w14:textId="36D7128E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29,69 ha</w:t>
            </w:r>
          </w:p>
        </w:tc>
      </w:tr>
      <w:tr w:rsidR="00A00777" w:rsidRPr="00A00777" w14:paraId="03172667" w14:textId="77777777" w:rsidTr="00E803AB">
        <w:tc>
          <w:tcPr>
            <w:tcW w:w="723" w:type="pct"/>
            <w:vMerge/>
          </w:tcPr>
          <w:p w14:paraId="1A463433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8" w:type="pct"/>
          </w:tcPr>
          <w:p w14:paraId="5B9F2739" w14:textId="03B09518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BG0000396 </w:t>
            </w:r>
          </w:p>
          <w:p w14:paraId="3BFA7662" w14:textId="04EEE3A0" w:rsidR="000F007A" w:rsidRPr="00A00777" w:rsidRDefault="000F007A" w:rsidP="00644A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1" w:type="pct"/>
          </w:tcPr>
          <w:p w14:paraId="159DC733" w14:textId="525C2C0F" w:rsidR="000F007A" w:rsidRPr="00A00777" w:rsidRDefault="000F007A" w:rsidP="001B769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Фрагментация в рамките на местообитанието;</w:t>
            </w:r>
          </w:p>
          <w:p w14:paraId="60EFABC5" w14:textId="77777777" w:rsidR="000F007A" w:rsidRPr="00A00777" w:rsidRDefault="000F007A" w:rsidP="001B769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Мозайки с мъхове и лишеи;</w:t>
            </w:r>
          </w:p>
          <w:p w14:paraId="659D7FE7" w14:textId="77777777" w:rsidR="000F007A" w:rsidRPr="00A00777" w:rsidRDefault="000F007A" w:rsidP="001B769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Сумарно проективно покритие на ценозите;</w:t>
            </w:r>
          </w:p>
          <w:p w14:paraId="6640AADD" w14:textId="77777777" w:rsidR="000F007A" w:rsidRPr="00A00777" w:rsidRDefault="000F007A" w:rsidP="001B769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 Рудерализация и нитрификация на местообитанието;</w:t>
            </w:r>
          </w:p>
          <w:p w14:paraId="59E7DA58" w14:textId="77777777" w:rsidR="000F007A" w:rsidRPr="00A00777" w:rsidRDefault="000F007A" w:rsidP="001B769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2.6. Наличие на инвазивни видове</w:t>
            </w:r>
          </w:p>
        </w:tc>
        <w:tc>
          <w:tcPr>
            <w:tcW w:w="1691" w:type="pct"/>
          </w:tcPr>
          <w:p w14:paraId="2EB037B0" w14:textId="795DBCCE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Премахване на ИЧВ (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Ailanthus altissima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Amorpha fruticosa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др.); </w:t>
            </w:r>
            <w:r w:rsidR="00066CD0"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сметищата и изоставени/разрушени сгради; регулиране на пашата</w:t>
            </w:r>
          </w:p>
        </w:tc>
        <w:tc>
          <w:tcPr>
            <w:tcW w:w="937" w:type="pct"/>
          </w:tcPr>
          <w:p w14:paraId="1FA597F8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187,76 ha</w:t>
            </w:r>
          </w:p>
          <w:p w14:paraId="388FE37E" w14:textId="73EFA760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0777" w:rsidRPr="00A00777" w14:paraId="564FE775" w14:textId="77777777" w:rsidTr="00E803AB">
        <w:tc>
          <w:tcPr>
            <w:tcW w:w="723" w:type="pct"/>
            <w:vMerge/>
          </w:tcPr>
          <w:p w14:paraId="2A28F7CA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8" w:type="pct"/>
          </w:tcPr>
          <w:p w14:paraId="7EFBE69D" w14:textId="285475F6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BG0000525 </w:t>
            </w:r>
          </w:p>
        </w:tc>
        <w:tc>
          <w:tcPr>
            <w:tcW w:w="981" w:type="pct"/>
          </w:tcPr>
          <w:p w14:paraId="2C0B8AA7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 Наличие на инвазивни видове (установени през 2012 г. редки индивиди)</w:t>
            </w:r>
          </w:p>
        </w:tc>
        <w:tc>
          <w:tcPr>
            <w:tcW w:w="1691" w:type="pct"/>
          </w:tcPr>
          <w:p w14:paraId="51D2EA9B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ИЧВ около местообитанието (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AIlanhus altissima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Amorpha fruticosa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Gleditsia riacanthos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др.)</w:t>
            </w:r>
          </w:p>
        </w:tc>
        <w:tc>
          <w:tcPr>
            <w:tcW w:w="937" w:type="pct"/>
          </w:tcPr>
          <w:p w14:paraId="5C9B8BD2" w14:textId="192E39FA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28,38 ha</w:t>
            </w:r>
          </w:p>
        </w:tc>
      </w:tr>
      <w:tr w:rsidR="00A00777" w:rsidRPr="00A00777" w14:paraId="234A0F77" w14:textId="77777777" w:rsidTr="00E803AB">
        <w:tc>
          <w:tcPr>
            <w:tcW w:w="723" w:type="pct"/>
            <w:vMerge w:val="restart"/>
          </w:tcPr>
          <w:p w14:paraId="526F4A1F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Бъдещи перспективи</w:t>
            </w:r>
          </w:p>
        </w:tc>
        <w:tc>
          <w:tcPr>
            <w:tcW w:w="668" w:type="pct"/>
          </w:tcPr>
          <w:p w14:paraId="222675AC" w14:textId="2D38985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BG0000182 </w:t>
            </w:r>
          </w:p>
        </w:tc>
        <w:tc>
          <w:tcPr>
            <w:tcW w:w="981" w:type="pct"/>
          </w:tcPr>
          <w:p w14:paraId="2F4CAEAD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Използване на торове и пестициди и наличие на замърсители</w:t>
            </w:r>
          </w:p>
        </w:tc>
        <w:tc>
          <w:tcPr>
            <w:tcW w:w="1691" w:type="pct"/>
          </w:tcPr>
          <w:p w14:paraId="2BD5F27F" w14:textId="01801E0E" w:rsidR="000F007A" w:rsidRPr="00A00777" w:rsidRDefault="00066CD0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Hlk62041132"/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депата с оборски тор и органични отпадъци</w:t>
            </w:r>
            <w:bookmarkEnd w:id="0"/>
          </w:p>
        </w:tc>
        <w:tc>
          <w:tcPr>
            <w:tcW w:w="937" w:type="pct"/>
          </w:tcPr>
          <w:p w14:paraId="1E4DA1EF" w14:textId="20CEE708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616,16 ha</w:t>
            </w:r>
          </w:p>
        </w:tc>
      </w:tr>
      <w:tr w:rsidR="00A00777" w:rsidRPr="00A00777" w14:paraId="1A6BD6EC" w14:textId="77777777" w:rsidTr="00E803AB">
        <w:tc>
          <w:tcPr>
            <w:tcW w:w="723" w:type="pct"/>
            <w:vMerge/>
          </w:tcPr>
          <w:p w14:paraId="7DC6804F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62041246"/>
          </w:p>
        </w:tc>
        <w:tc>
          <w:tcPr>
            <w:tcW w:w="668" w:type="pct"/>
          </w:tcPr>
          <w:p w14:paraId="7192BF62" w14:textId="6F39154C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BG0000335 </w:t>
            </w:r>
          </w:p>
        </w:tc>
        <w:tc>
          <w:tcPr>
            <w:tcW w:w="981" w:type="pct"/>
          </w:tcPr>
          <w:p w14:paraId="1125008E" w14:textId="77777777" w:rsidR="000F007A" w:rsidRPr="00A00777" w:rsidRDefault="000F007A" w:rsidP="00C375AC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 Интензивност на пашата във всяко находище;</w:t>
            </w:r>
          </w:p>
          <w:p w14:paraId="5392F464" w14:textId="234CD080" w:rsidR="000F007A" w:rsidRPr="00A00777" w:rsidRDefault="000F007A" w:rsidP="00C375AC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 Използуване на торове и пестициди</w:t>
            </w:r>
          </w:p>
        </w:tc>
        <w:tc>
          <w:tcPr>
            <w:tcW w:w="1691" w:type="pct"/>
          </w:tcPr>
          <w:p w14:paraId="47B691FF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 на пашата, използването на торове и пестициди – меки мерки (работа с местното население и местните власти)</w:t>
            </w:r>
          </w:p>
        </w:tc>
        <w:tc>
          <w:tcPr>
            <w:tcW w:w="937" w:type="pct"/>
          </w:tcPr>
          <w:p w14:paraId="54D8C0DE" w14:textId="4697A19D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29,69 ha</w:t>
            </w:r>
          </w:p>
        </w:tc>
      </w:tr>
      <w:tr w:rsidR="000F007A" w:rsidRPr="00A00777" w14:paraId="3D4B83D8" w14:textId="77777777" w:rsidTr="00E803AB">
        <w:tc>
          <w:tcPr>
            <w:tcW w:w="723" w:type="pct"/>
            <w:vMerge/>
          </w:tcPr>
          <w:p w14:paraId="3620E025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8" w:type="pct"/>
          </w:tcPr>
          <w:p w14:paraId="10059791" w14:textId="7BF300B0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BG0000396 </w:t>
            </w:r>
          </w:p>
        </w:tc>
        <w:tc>
          <w:tcPr>
            <w:tcW w:w="981" w:type="pct"/>
          </w:tcPr>
          <w:p w14:paraId="703A552D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 Интензивност на пашата във всяко находище</w:t>
            </w:r>
          </w:p>
        </w:tc>
        <w:tc>
          <w:tcPr>
            <w:tcW w:w="1691" w:type="pct"/>
          </w:tcPr>
          <w:p w14:paraId="08E282DB" w14:textId="77777777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Регулиране на пашата</w:t>
            </w:r>
          </w:p>
        </w:tc>
        <w:tc>
          <w:tcPr>
            <w:tcW w:w="937" w:type="pct"/>
          </w:tcPr>
          <w:p w14:paraId="6F697F74" w14:textId="58B60855" w:rsidR="000F007A" w:rsidRPr="00A00777" w:rsidRDefault="000F007A" w:rsidP="00907A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187,76 ha</w:t>
            </w:r>
          </w:p>
        </w:tc>
      </w:tr>
      <w:bookmarkEnd w:id="1"/>
    </w:tbl>
    <w:p w14:paraId="690D9CB3" w14:textId="4A41600F" w:rsidR="00E803AB" w:rsidRPr="00A00777" w:rsidRDefault="00E803AB" w:rsidP="00942A3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7A35251" w14:textId="155D986A" w:rsidR="00942A36" w:rsidRPr="00A00777" w:rsidRDefault="00942A36" w:rsidP="00942A3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Местообитание 40А0 „Субконтинентални пери-панонски храстови съобщества“</w:t>
      </w:r>
    </w:p>
    <w:p w14:paraId="5F99B6EE" w14:textId="77777777" w:rsidR="00942A36" w:rsidRPr="00A00777" w:rsidRDefault="00942A36" w:rsidP="00942A3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Биогеографски район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Континентален (CON)</w:t>
      </w:r>
    </w:p>
    <w:p w14:paraId="270BA992" w14:textId="77777777" w:rsidR="00942A36" w:rsidRPr="00A00777" w:rsidRDefault="00942A36" w:rsidP="00942A3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Площ в целия район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докладване от 2019 г.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1591,358 ha</w:t>
      </w:r>
    </w:p>
    <w:p w14:paraId="0575091B" w14:textId="77777777" w:rsidR="00942A36" w:rsidRPr="00A00777" w:rsidRDefault="00942A36" w:rsidP="00942A3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Природозащитно състояние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докладване 2019 г.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</w:t>
      </w: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Неблагоприятно – незадоволително (U1)</w:t>
      </w:r>
    </w:p>
    <w:p w14:paraId="75EAF3B9" w14:textId="77777777" w:rsidR="00942A36" w:rsidRPr="00A00777" w:rsidRDefault="00942A36" w:rsidP="009E5F5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07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Очаквана площ на прилагане на мерките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>: Вероятно поне 3–5 пъти по-голяма от площта на самите местообитания (</w:t>
      </w:r>
      <w:r w:rsidRPr="00A007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диапазона: 112,67–700 ha</w:t>
      </w:r>
      <w:r w:rsidRPr="00A00777">
        <w:rPr>
          <w:rFonts w:ascii="Times New Roman" w:hAnsi="Times New Roman" w:cs="Times New Roman"/>
          <w:color w:val="000000" w:themeColor="text1"/>
          <w:sz w:val="24"/>
          <w:szCs w:val="24"/>
        </w:rPr>
        <w:t>), тъй като контролът на конкурентните храсти и дървета и особено контролът на инвазивни чужди видове (ИЧВ) e необходимо да се осъществи на значително по-големи площи, за да се предотврати повторно навлизане от съседни участъци.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66"/>
        <w:gridCol w:w="1887"/>
        <w:gridCol w:w="2732"/>
        <w:gridCol w:w="5724"/>
        <w:gridCol w:w="1685"/>
      </w:tblGrid>
      <w:tr w:rsidR="00A00777" w:rsidRPr="00A00777" w14:paraId="4A7A6738" w14:textId="77777777" w:rsidTr="00E803AB">
        <w:tc>
          <w:tcPr>
            <w:tcW w:w="702" w:type="pct"/>
          </w:tcPr>
          <w:p w14:paraId="5A32656D" w14:textId="77777777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Параметър</w:t>
            </w:r>
          </w:p>
        </w:tc>
        <w:tc>
          <w:tcPr>
            <w:tcW w:w="674" w:type="pct"/>
          </w:tcPr>
          <w:p w14:paraId="2EF8AAA4" w14:textId="77777777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Защитени зони (код)</w:t>
            </w:r>
          </w:p>
        </w:tc>
        <w:tc>
          <w:tcPr>
            <w:tcW w:w="976" w:type="pct"/>
          </w:tcPr>
          <w:p w14:paraId="4EE5B89C" w14:textId="10D8D78B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Данни от картирането, дали основание за оценката на ПС</w:t>
            </w:r>
          </w:p>
        </w:tc>
        <w:tc>
          <w:tcPr>
            <w:tcW w:w="2045" w:type="pct"/>
          </w:tcPr>
          <w:p w14:paraId="5DE8094B" w14:textId="77777777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Мерки</w:t>
            </w:r>
          </w:p>
        </w:tc>
        <w:tc>
          <w:tcPr>
            <w:tcW w:w="602" w:type="pct"/>
          </w:tcPr>
          <w:p w14:paraId="499DEC2D" w14:textId="729F66CD" w:rsidR="00E803AB" w:rsidRPr="00A00777" w:rsidRDefault="00E803AB" w:rsidP="00E803A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 на местооби-танието</w:t>
            </w:r>
          </w:p>
        </w:tc>
      </w:tr>
      <w:tr w:rsidR="00A00777" w:rsidRPr="00A00777" w14:paraId="340090AF" w14:textId="77777777" w:rsidTr="00E803AB">
        <w:tc>
          <w:tcPr>
            <w:tcW w:w="702" w:type="pct"/>
            <w:vMerge w:val="restart"/>
          </w:tcPr>
          <w:p w14:paraId="54D6A642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</w:t>
            </w:r>
          </w:p>
        </w:tc>
        <w:tc>
          <w:tcPr>
            <w:tcW w:w="674" w:type="pct"/>
          </w:tcPr>
          <w:p w14:paraId="459DF40A" w14:textId="0840244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BG0000133 </w:t>
            </w:r>
          </w:p>
        </w:tc>
        <w:tc>
          <w:tcPr>
            <w:tcW w:w="976" w:type="pct"/>
          </w:tcPr>
          <w:p w14:paraId="648587AD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71B2E82A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Почистване на конкурентни храсти и дървета; </w:t>
            </w:r>
            <w:bookmarkStart w:id="2" w:name="_Hlk62046846"/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насърчаване на епизодична паша</w:t>
            </w:r>
            <w:bookmarkEnd w:id="2"/>
          </w:p>
        </w:tc>
        <w:tc>
          <w:tcPr>
            <w:tcW w:w="602" w:type="pct"/>
          </w:tcPr>
          <w:p w14:paraId="3CDE3769" w14:textId="384BCD75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44,34 ha</w:t>
            </w:r>
          </w:p>
        </w:tc>
      </w:tr>
      <w:tr w:rsidR="00A00777" w:rsidRPr="00A00777" w14:paraId="667F1917" w14:textId="77777777" w:rsidTr="00E803AB">
        <w:tc>
          <w:tcPr>
            <w:tcW w:w="702" w:type="pct"/>
            <w:vMerge/>
          </w:tcPr>
          <w:p w14:paraId="4E81A9E1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5C9315FE" w14:textId="1FBC7862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BG0000572 </w:t>
            </w:r>
          </w:p>
        </w:tc>
        <w:tc>
          <w:tcPr>
            <w:tcW w:w="976" w:type="pct"/>
          </w:tcPr>
          <w:p w14:paraId="7D933A55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1431C113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конкурентни храсти и дървета; насърчаване на епизодична паша</w:t>
            </w:r>
          </w:p>
        </w:tc>
        <w:tc>
          <w:tcPr>
            <w:tcW w:w="602" w:type="pct"/>
          </w:tcPr>
          <w:p w14:paraId="530E4BCF" w14:textId="755E7AB4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1,73 ha</w:t>
            </w:r>
          </w:p>
        </w:tc>
      </w:tr>
      <w:tr w:rsidR="00A00777" w:rsidRPr="00A00777" w14:paraId="01493830" w14:textId="77777777" w:rsidTr="00E803AB">
        <w:tc>
          <w:tcPr>
            <w:tcW w:w="702" w:type="pct"/>
            <w:vMerge/>
          </w:tcPr>
          <w:p w14:paraId="34F27FD7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06B1F46B" w14:textId="1C63111C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BG0000602 </w:t>
            </w:r>
          </w:p>
        </w:tc>
        <w:tc>
          <w:tcPr>
            <w:tcW w:w="976" w:type="pct"/>
          </w:tcPr>
          <w:p w14:paraId="6588DC6F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4E7D8D07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конкурентни храсти и дървета</w:t>
            </w:r>
          </w:p>
        </w:tc>
        <w:tc>
          <w:tcPr>
            <w:tcW w:w="602" w:type="pct"/>
          </w:tcPr>
          <w:p w14:paraId="04DBDA10" w14:textId="4E489E05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0,31 ha</w:t>
            </w:r>
          </w:p>
        </w:tc>
      </w:tr>
      <w:tr w:rsidR="00A00777" w:rsidRPr="00A00777" w14:paraId="53D4F25D" w14:textId="77777777" w:rsidTr="00E803AB">
        <w:tc>
          <w:tcPr>
            <w:tcW w:w="702" w:type="pct"/>
            <w:vMerge/>
          </w:tcPr>
          <w:p w14:paraId="70FD2888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5C67ABE1" w14:textId="1F9419EB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BG0000608 </w:t>
            </w:r>
          </w:p>
        </w:tc>
        <w:tc>
          <w:tcPr>
            <w:tcW w:w="976" w:type="pct"/>
          </w:tcPr>
          <w:p w14:paraId="104C0E89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50D65A50" w14:textId="1230FCA5" w:rsidR="000F007A" w:rsidRPr="00A00777" w:rsidRDefault="000023F4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Дефиниране на мерки след посещение на терен и анализ</w:t>
            </w:r>
          </w:p>
        </w:tc>
        <w:tc>
          <w:tcPr>
            <w:tcW w:w="602" w:type="pct"/>
          </w:tcPr>
          <w:p w14:paraId="005EE71D" w14:textId="3B69DD80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1,68 ha</w:t>
            </w:r>
          </w:p>
        </w:tc>
      </w:tr>
      <w:tr w:rsidR="00A00777" w:rsidRPr="00A00777" w14:paraId="20E76E3B" w14:textId="77777777" w:rsidTr="00E803AB">
        <w:tc>
          <w:tcPr>
            <w:tcW w:w="702" w:type="pct"/>
            <w:vMerge/>
          </w:tcPr>
          <w:p w14:paraId="7EC58F25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441AC9CC" w14:textId="6363DE9A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BG0001040 </w:t>
            </w:r>
          </w:p>
        </w:tc>
        <w:tc>
          <w:tcPr>
            <w:tcW w:w="976" w:type="pct"/>
          </w:tcPr>
          <w:p w14:paraId="22B8E6C7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2A7A2E4C" w14:textId="7C590926" w:rsidR="000F007A" w:rsidRPr="00A00777" w:rsidRDefault="000023F4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Дефиниране на мерки след посещение на терен и анализ</w:t>
            </w:r>
          </w:p>
        </w:tc>
        <w:tc>
          <w:tcPr>
            <w:tcW w:w="602" w:type="pct"/>
          </w:tcPr>
          <w:p w14:paraId="73E6DD12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 ha</w:t>
            </w:r>
          </w:p>
          <w:p w14:paraId="1759A97F" w14:textId="77777777" w:rsidR="000F007A" w:rsidRPr="00A00777" w:rsidRDefault="000F007A" w:rsidP="00646A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9FF0D8" w14:textId="65C82E19" w:rsidR="000F007A" w:rsidRPr="00A00777" w:rsidRDefault="000F007A" w:rsidP="00646A33">
            <w:pPr>
              <w:tabs>
                <w:tab w:val="left" w:pos="64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A00777" w:rsidRPr="00A00777" w14:paraId="267E5424" w14:textId="77777777" w:rsidTr="00E803AB">
        <w:tc>
          <w:tcPr>
            <w:tcW w:w="702" w:type="pct"/>
            <w:vMerge w:val="restart"/>
          </w:tcPr>
          <w:p w14:paraId="151D0D8A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_Hlk62046536"/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Структура и функции</w:t>
            </w:r>
            <w:bookmarkEnd w:id="3"/>
          </w:p>
        </w:tc>
        <w:tc>
          <w:tcPr>
            <w:tcW w:w="674" w:type="pct"/>
          </w:tcPr>
          <w:p w14:paraId="26B34615" w14:textId="095FAC84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BG0000133 </w:t>
            </w:r>
          </w:p>
        </w:tc>
        <w:tc>
          <w:tcPr>
            <w:tcW w:w="976" w:type="pct"/>
          </w:tcPr>
          <w:p w14:paraId="465DF018" w14:textId="4E003784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Фрагментация в рамките на местообитанието;</w:t>
            </w:r>
          </w:p>
          <w:p w14:paraId="1CD0A868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Доминиращи видове;</w:t>
            </w:r>
          </w:p>
          <w:p w14:paraId="0BD94F8A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Сумарно проективно покритие на ценозите;</w:t>
            </w:r>
          </w:p>
          <w:p w14:paraId="2ACD05A0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 Типични видове растения;</w:t>
            </w:r>
          </w:p>
          <w:p w14:paraId="165D9036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1E722D3A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Почистване на конкурентни дървесни и храстови видове; контрол върху иманярството; стимулиране на епизодична паша</w:t>
            </w:r>
          </w:p>
        </w:tc>
        <w:tc>
          <w:tcPr>
            <w:tcW w:w="602" w:type="pct"/>
          </w:tcPr>
          <w:p w14:paraId="68E4A442" w14:textId="017A84B3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44,34 ha</w:t>
            </w:r>
          </w:p>
        </w:tc>
      </w:tr>
      <w:tr w:rsidR="00A00777" w:rsidRPr="00A00777" w14:paraId="05F2A785" w14:textId="77777777" w:rsidTr="00E803AB">
        <w:tc>
          <w:tcPr>
            <w:tcW w:w="702" w:type="pct"/>
            <w:vMerge/>
          </w:tcPr>
          <w:p w14:paraId="4871C391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731FA210" w14:textId="18B67A9D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BG0000240 </w:t>
            </w:r>
          </w:p>
        </w:tc>
        <w:tc>
          <w:tcPr>
            <w:tcW w:w="976" w:type="pct"/>
          </w:tcPr>
          <w:p w14:paraId="543F9660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Доминиращи видове;</w:t>
            </w:r>
          </w:p>
          <w:p w14:paraId="2678C787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Сумарно проективно покритие на ценозите;</w:t>
            </w:r>
          </w:p>
          <w:p w14:paraId="028B5A0B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2.4. Типични видове растения;</w:t>
            </w:r>
          </w:p>
          <w:p w14:paraId="3709FCDD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2.6. Обрастване с храстова и дървесна растителност; </w:t>
            </w:r>
          </w:p>
          <w:p w14:paraId="15366BDA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 Наличие на инвазивни видове</w:t>
            </w:r>
          </w:p>
        </w:tc>
        <w:tc>
          <w:tcPr>
            <w:tcW w:w="2045" w:type="pct"/>
          </w:tcPr>
          <w:p w14:paraId="63D45233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 на конкурентни храсти и дървета; премахване на ИЧВ (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Robinia pseudoacacia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A0077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Pinus nigra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); </w:t>
            </w:r>
          </w:p>
        </w:tc>
        <w:tc>
          <w:tcPr>
            <w:tcW w:w="602" w:type="pct"/>
          </w:tcPr>
          <w:p w14:paraId="4FB24AF6" w14:textId="744D5230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6,75 ha</w:t>
            </w:r>
          </w:p>
        </w:tc>
      </w:tr>
      <w:tr w:rsidR="00A00777" w:rsidRPr="00A00777" w14:paraId="2E58D8C0" w14:textId="77777777" w:rsidTr="00E803AB">
        <w:tc>
          <w:tcPr>
            <w:tcW w:w="702" w:type="pct"/>
            <w:vMerge/>
          </w:tcPr>
          <w:p w14:paraId="49115F39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343A785D" w14:textId="2B8A8971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BG0000298 </w:t>
            </w:r>
          </w:p>
        </w:tc>
        <w:tc>
          <w:tcPr>
            <w:tcW w:w="976" w:type="pct"/>
          </w:tcPr>
          <w:p w14:paraId="22C8A234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Доминиращи видове;</w:t>
            </w:r>
          </w:p>
          <w:p w14:paraId="06036BED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5" w:type="pct"/>
          </w:tcPr>
          <w:p w14:paraId="4C501E11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 на пашата и опожаряването; премахване на конкуриращи дървесни и храстови видове</w:t>
            </w:r>
          </w:p>
        </w:tc>
        <w:tc>
          <w:tcPr>
            <w:tcW w:w="602" w:type="pct"/>
          </w:tcPr>
          <w:p w14:paraId="2B8F2A5C" w14:textId="624AE443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26,77 ha</w:t>
            </w:r>
          </w:p>
        </w:tc>
      </w:tr>
      <w:tr w:rsidR="00A00777" w:rsidRPr="00A00777" w14:paraId="4471E2C1" w14:textId="77777777" w:rsidTr="00E803AB">
        <w:tc>
          <w:tcPr>
            <w:tcW w:w="702" w:type="pct"/>
            <w:vMerge/>
          </w:tcPr>
          <w:p w14:paraId="39A4939B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42966A75" w14:textId="7CC77490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BG0000420 </w:t>
            </w:r>
          </w:p>
        </w:tc>
        <w:tc>
          <w:tcPr>
            <w:tcW w:w="976" w:type="pct"/>
          </w:tcPr>
          <w:p w14:paraId="63EDBFE9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 Типични видове растения</w:t>
            </w:r>
          </w:p>
        </w:tc>
        <w:tc>
          <w:tcPr>
            <w:tcW w:w="2045" w:type="pct"/>
          </w:tcPr>
          <w:p w14:paraId="32E84B9A" w14:textId="12907D59" w:rsidR="000F007A" w:rsidRPr="00A00777" w:rsidRDefault="000023F4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Дефиниране на мерки </w:t>
            </w:r>
            <w:r w:rsidR="000F007A"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след посещение на терен</w:t>
            </w: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анализ</w:t>
            </w:r>
            <w:r w:rsidR="000F007A"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</w:tcPr>
          <w:p w14:paraId="35597889" w14:textId="68BDE912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0,05 ha</w:t>
            </w:r>
          </w:p>
        </w:tc>
      </w:tr>
      <w:tr w:rsidR="00A00777" w:rsidRPr="00A00777" w14:paraId="37CF3900" w14:textId="77777777" w:rsidTr="00E803AB">
        <w:tc>
          <w:tcPr>
            <w:tcW w:w="702" w:type="pct"/>
            <w:vMerge/>
          </w:tcPr>
          <w:p w14:paraId="6014EEC9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_Hlk62047920"/>
          </w:p>
        </w:tc>
        <w:tc>
          <w:tcPr>
            <w:tcW w:w="674" w:type="pct"/>
          </w:tcPr>
          <w:p w14:paraId="55116DCD" w14:textId="0ACFA13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" w:name="_Hlk62047822"/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BG0000572 </w:t>
            </w:r>
            <w:bookmarkEnd w:id="5"/>
          </w:p>
        </w:tc>
        <w:tc>
          <w:tcPr>
            <w:tcW w:w="976" w:type="pct"/>
          </w:tcPr>
          <w:p w14:paraId="7060E3F6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5016395F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конкурентни храсти (глог, трънка) и дървета; насърчаване на епизодична паша</w:t>
            </w:r>
          </w:p>
        </w:tc>
        <w:tc>
          <w:tcPr>
            <w:tcW w:w="602" w:type="pct"/>
          </w:tcPr>
          <w:p w14:paraId="48E29732" w14:textId="2F6F4CA9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1,73 ha</w:t>
            </w:r>
          </w:p>
        </w:tc>
      </w:tr>
      <w:bookmarkEnd w:id="4"/>
      <w:tr w:rsidR="00A00777" w:rsidRPr="00A00777" w14:paraId="2DAFD99C" w14:textId="77777777" w:rsidTr="00E803AB">
        <w:tc>
          <w:tcPr>
            <w:tcW w:w="702" w:type="pct"/>
            <w:vMerge/>
          </w:tcPr>
          <w:p w14:paraId="23CA74B1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6ABE12D7" w14:textId="5A6879D8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BG0000602 </w:t>
            </w:r>
          </w:p>
        </w:tc>
        <w:tc>
          <w:tcPr>
            <w:tcW w:w="976" w:type="pct"/>
          </w:tcPr>
          <w:p w14:paraId="3D45D172" w14:textId="024E5D89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Фрагментация в рамките на местообитанието;</w:t>
            </w:r>
          </w:p>
          <w:p w14:paraId="3A80DFB3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7D12B555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конкурентни храсти и дървета</w:t>
            </w:r>
          </w:p>
        </w:tc>
        <w:tc>
          <w:tcPr>
            <w:tcW w:w="602" w:type="pct"/>
          </w:tcPr>
          <w:p w14:paraId="540DBA45" w14:textId="6EA18673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0,31 ha</w:t>
            </w:r>
          </w:p>
        </w:tc>
      </w:tr>
      <w:tr w:rsidR="00A00777" w:rsidRPr="00A00777" w14:paraId="4EDE2317" w14:textId="77777777" w:rsidTr="00E803AB">
        <w:tc>
          <w:tcPr>
            <w:tcW w:w="702" w:type="pct"/>
            <w:vMerge/>
          </w:tcPr>
          <w:p w14:paraId="4E3C08C4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776C3791" w14:textId="75173C84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BG0000608 </w:t>
            </w:r>
          </w:p>
        </w:tc>
        <w:tc>
          <w:tcPr>
            <w:tcW w:w="976" w:type="pct"/>
          </w:tcPr>
          <w:p w14:paraId="4EF1D662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Фрагментация в рамките на местообитанието;</w:t>
            </w:r>
          </w:p>
          <w:p w14:paraId="2EBA4977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Сумарно проективно покритие на ценозите;</w:t>
            </w:r>
          </w:p>
          <w:p w14:paraId="3BA1283B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5" w:type="pct"/>
          </w:tcPr>
          <w:p w14:paraId="30913CA5" w14:textId="74315967" w:rsidR="000F007A" w:rsidRPr="00A00777" w:rsidRDefault="000023F4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Дефиниране на мерки след посещение на терен и анализ</w:t>
            </w:r>
          </w:p>
        </w:tc>
        <w:tc>
          <w:tcPr>
            <w:tcW w:w="602" w:type="pct"/>
          </w:tcPr>
          <w:p w14:paraId="2ABDCFEB" w14:textId="7046AA2C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1,68 ha</w:t>
            </w:r>
          </w:p>
        </w:tc>
      </w:tr>
      <w:tr w:rsidR="00A00777" w:rsidRPr="00A00777" w14:paraId="76BACA3D" w14:textId="77777777" w:rsidTr="00E803AB">
        <w:tc>
          <w:tcPr>
            <w:tcW w:w="702" w:type="pct"/>
            <w:vMerge/>
          </w:tcPr>
          <w:p w14:paraId="7881AE0C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506270DA" w14:textId="1779871F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BG0001040 </w:t>
            </w:r>
          </w:p>
        </w:tc>
        <w:tc>
          <w:tcPr>
            <w:tcW w:w="976" w:type="pct"/>
          </w:tcPr>
          <w:p w14:paraId="18B97024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 Типични видове растения;</w:t>
            </w:r>
          </w:p>
          <w:p w14:paraId="1D0FC483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00F2883F" w14:textId="59044FEF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Премахване на конкурентни храсти (трънка)</w:t>
            </w:r>
          </w:p>
        </w:tc>
        <w:tc>
          <w:tcPr>
            <w:tcW w:w="602" w:type="pct"/>
          </w:tcPr>
          <w:p w14:paraId="7F1C2B6C" w14:textId="1205CFB0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 ha</w:t>
            </w:r>
          </w:p>
        </w:tc>
      </w:tr>
      <w:tr w:rsidR="00A00777" w:rsidRPr="00A00777" w14:paraId="66099784" w14:textId="77777777" w:rsidTr="00E803AB">
        <w:tc>
          <w:tcPr>
            <w:tcW w:w="702" w:type="pct"/>
            <w:vMerge/>
          </w:tcPr>
          <w:p w14:paraId="76ED77AC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35028245" w14:textId="2C416AC8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BG0001375 </w:t>
            </w:r>
          </w:p>
        </w:tc>
        <w:tc>
          <w:tcPr>
            <w:tcW w:w="976" w:type="pct"/>
          </w:tcPr>
          <w:p w14:paraId="59DC4165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Сумарно проективно покритие на ценозите;</w:t>
            </w:r>
          </w:p>
          <w:p w14:paraId="71C59302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43A5B354" w14:textId="29E5FF7E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Премахване на конкурентни храсти и дървета (глог, трънка, дива круша и др.)</w:t>
            </w:r>
          </w:p>
        </w:tc>
        <w:tc>
          <w:tcPr>
            <w:tcW w:w="602" w:type="pct"/>
          </w:tcPr>
          <w:p w14:paraId="3B27197D" w14:textId="3A69A4CC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30,79 ha</w:t>
            </w:r>
          </w:p>
        </w:tc>
      </w:tr>
      <w:tr w:rsidR="00A00777" w:rsidRPr="00A00777" w14:paraId="39763675" w14:textId="77777777" w:rsidTr="00E803AB">
        <w:tc>
          <w:tcPr>
            <w:tcW w:w="702" w:type="pct"/>
            <w:vMerge w:val="restart"/>
          </w:tcPr>
          <w:p w14:paraId="19068B42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Бъдещи перспективи</w:t>
            </w:r>
          </w:p>
        </w:tc>
        <w:tc>
          <w:tcPr>
            <w:tcW w:w="674" w:type="pct"/>
          </w:tcPr>
          <w:p w14:paraId="7B993C28" w14:textId="64AA4F2C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BG0000133 </w:t>
            </w:r>
          </w:p>
        </w:tc>
        <w:tc>
          <w:tcPr>
            <w:tcW w:w="976" w:type="pct"/>
          </w:tcPr>
          <w:p w14:paraId="30F83BB8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Интензивност на пашата във всяко находище; </w:t>
            </w:r>
          </w:p>
          <w:p w14:paraId="3E17E1C1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2045" w:type="pct"/>
          </w:tcPr>
          <w:p w14:paraId="353C6FC6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" w:name="_Hlk62041390"/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Насърчаване на епизодична паша</w:t>
            </w:r>
            <w:bookmarkEnd w:id="6"/>
          </w:p>
        </w:tc>
        <w:tc>
          <w:tcPr>
            <w:tcW w:w="602" w:type="pct"/>
          </w:tcPr>
          <w:p w14:paraId="00A79E72" w14:textId="1E2AF1A0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44,34 ha</w:t>
            </w:r>
          </w:p>
        </w:tc>
      </w:tr>
      <w:tr w:rsidR="00A00777" w:rsidRPr="00A00777" w14:paraId="7A066E0F" w14:textId="77777777" w:rsidTr="00E803AB">
        <w:tc>
          <w:tcPr>
            <w:tcW w:w="702" w:type="pct"/>
            <w:vMerge/>
          </w:tcPr>
          <w:p w14:paraId="3F2CA9F2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722A6081" w14:textId="74AC46FD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BG0000240 </w:t>
            </w:r>
          </w:p>
        </w:tc>
        <w:tc>
          <w:tcPr>
            <w:tcW w:w="976" w:type="pct"/>
          </w:tcPr>
          <w:p w14:paraId="4C91F5F1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 Интензивност на пашата във всяко находище;</w:t>
            </w:r>
          </w:p>
          <w:p w14:paraId="1695038F" w14:textId="77777777" w:rsidR="000F007A" w:rsidRPr="00A00777" w:rsidRDefault="000F007A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2045" w:type="pct"/>
          </w:tcPr>
          <w:p w14:paraId="6DB632BA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Насърчаване на епизодична паша; контрол върху ползването на торове и пестициди в съседните площи</w:t>
            </w:r>
          </w:p>
        </w:tc>
        <w:tc>
          <w:tcPr>
            <w:tcW w:w="602" w:type="pct"/>
          </w:tcPr>
          <w:p w14:paraId="7EFAE3E9" w14:textId="179BC3BD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6,75 ha</w:t>
            </w:r>
          </w:p>
        </w:tc>
      </w:tr>
      <w:tr w:rsidR="00A00777" w:rsidRPr="00A00777" w14:paraId="6FBCAACD" w14:textId="77777777" w:rsidTr="00E803AB">
        <w:tc>
          <w:tcPr>
            <w:tcW w:w="702" w:type="pct"/>
            <w:vMerge/>
          </w:tcPr>
          <w:p w14:paraId="63B93580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7" w:name="_Hlk62041405"/>
          </w:p>
        </w:tc>
        <w:tc>
          <w:tcPr>
            <w:tcW w:w="674" w:type="pct"/>
          </w:tcPr>
          <w:p w14:paraId="4CEB0415" w14:textId="102C495B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BG0000298 </w:t>
            </w:r>
          </w:p>
        </w:tc>
        <w:tc>
          <w:tcPr>
            <w:tcW w:w="976" w:type="pct"/>
          </w:tcPr>
          <w:p w14:paraId="3589EE81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Интензивност на пашата във всяко находище; </w:t>
            </w:r>
          </w:p>
          <w:p w14:paraId="078F9652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5" w:type="pct"/>
          </w:tcPr>
          <w:p w14:paraId="2A8677E5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 (намаляване на интензивността) на пашата</w:t>
            </w:r>
          </w:p>
        </w:tc>
        <w:tc>
          <w:tcPr>
            <w:tcW w:w="602" w:type="pct"/>
          </w:tcPr>
          <w:p w14:paraId="6BC7EC2F" w14:textId="5457D045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26,77 ha</w:t>
            </w:r>
          </w:p>
        </w:tc>
      </w:tr>
      <w:bookmarkEnd w:id="7"/>
      <w:tr w:rsidR="00A00777" w:rsidRPr="00A00777" w14:paraId="5E53483E" w14:textId="77777777" w:rsidTr="00E803AB">
        <w:tc>
          <w:tcPr>
            <w:tcW w:w="702" w:type="pct"/>
            <w:vMerge/>
          </w:tcPr>
          <w:p w14:paraId="34A244B7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4CE282AB" w14:textId="0E06DBD6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BG0000572 </w:t>
            </w:r>
          </w:p>
        </w:tc>
        <w:tc>
          <w:tcPr>
            <w:tcW w:w="976" w:type="pct"/>
          </w:tcPr>
          <w:p w14:paraId="476ECDF3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2045" w:type="pct"/>
          </w:tcPr>
          <w:p w14:paraId="00DFB122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8" w:name="_Hlk62040553"/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 върху използването на торове и пестициди в съседните земеделски площи</w:t>
            </w:r>
            <w:bookmarkEnd w:id="8"/>
          </w:p>
        </w:tc>
        <w:tc>
          <w:tcPr>
            <w:tcW w:w="602" w:type="pct"/>
          </w:tcPr>
          <w:p w14:paraId="777F00EC" w14:textId="1D413FEB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1,73 ha</w:t>
            </w:r>
          </w:p>
        </w:tc>
      </w:tr>
      <w:tr w:rsidR="00A00777" w:rsidRPr="00A00777" w14:paraId="5BEAB069" w14:textId="77777777" w:rsidTr="00E803AB">
        <w:tc>
          <w:tcPr>
            <w:tcW w:w="702" w:type="pct"/>
            <w:vMerge/>
          </w:tcPr>
          <w:p w14:paraId="3C076756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38581388" w14:textId="382C67ED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BG0000602 </w:t>
            </w:r>
          </w:p>
        </w:tc>
        <w:tc>
          <w:tcPr>
            <w:tcW w:w="976" w:type="pct"/>
          </w:tcPr>
          <w:p w14:paraId="56520577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 Интензивност на пашата във всяко находище</w:t>
            </w:r>
          </w:p>
        </w:tc>
        <w:tc>
          <w:tcPr>
            <w:tcW w:w="2045" w:type="pct"/>
          </w:tcPr>
          <w:p w14:paraId="23A881B8" w14:textId="0C9A368B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 на пашата</w:t>
            </w:r>
          </w:p>
        </w:tc>
        <w:tc>
          <w:tcPr>
            <w:tcW w:w="602" w:type="pct"/>
          </w:tcPr>
          <w:p w14:paraId="1D297E9B" w14:textId="3F92A806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0,31 ha</w:t>
            </w:r>
          </w:p>
        </w:tc>
      </w:tr>
      <w:tr w:rsidR="000F007A" w:rsidRPr="00A00777" w14:paraId="369DC756" w14:textId="77777777" w:rsidTr="00E803AB">
        <w:tc>
          <w:tcPr>
            <w:tcW w:w="702" w:type="pct"/>
            <w:vMerge/>
          </w:tcPr>
          <w:p w14:paraId="557E9D83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74" w:type="pct"/>
          </w:tcPr>
          <w:p w14:paraId="0478AD68" w14:textId="1A9BB801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BG0000608 </w:t>
            </w:r>
          </w:p>
        </w:tc>
        <w:tc>
          <w:tcPr>
            <w:tcW w:w="976" w:type="pct"/>
          </w:tcPr>
          <w:p w14:paraId="53531F2B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2045" w:type="pct"/>
          </w:tcPr>
          <w:p w14:paraId="36DF89D1" w14:textId="77777777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 върху използването на торове и пестициди в съседните земеделски площи</w:t>
            </w:r>
          </w:p>
        </w:tc>
        <w:tc>
          <w:tcPr>
            <w:tcW w:w="602" w:type="pct"/>
          </w:tcPr>
          <w:p w14:paraId="5A84E04D" w14:textId="45DC078B" w:rsidR="000F007A" w:rsidRPr="00A00777" w:rsidRDefault="000F007A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1,68 ha</w:t>
            </w:r>
          </w:p>
        </w:tc>
      </w:tr>
    </w:tbl>
    <w:p w14:paraId="17BCA904" w14:textId="77777777" w:rsidR="00646A33" w:rsidRPr="00A00777" w:rsidRDefault="00646A33" w:rsidP="00DA566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646A33" w:rsidRPr="00A00777" w:rsidSect="003E02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8BA8" w14:textId="77777777" w:rsidR="00321620" w:rsidRDefault="00321620" w:rsidP="00646A33">
      <w:pPr>
        <w:spacing w:after="0" w:line="240" w:lineRule="auto"/>
      </w:pPr>
      <w:r>
        <w:separator/>
      </w:r>
    </w:p>
  </w:endnote>
  <w:endnote w:type="continuationSeparator" w:id="0">
    <w:p w14:paraId="12950F73" w14:textId="77777777" w:rsidR="00321620" w:rsidRDefault="00321620" w:rsidP="0064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27D82" w14:textId="77777777" w:rsidR="00321620" w:rsidRDefault="00321620" w:rsidP="00646A33">
      <w:pPr>
        <w:spacing w:after="0" w:line="240" w:lineRule="auto"/>
      </w:pPr>
      <w:r>
        <w:separator/>
      </w:r>
    </w:p>
  </w:footnote>
  <w:footnote w:type="continuationSeparator" w:id="0">
    <w:p w14:paraId="00E05BF8" w14:textId="77777777" w:rsidR="00321620" w:rsidRDefault="00321620" w:rsidP="00646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204C"/>
    <w:multiLevelType w:val="multilevel"/>
    <w:tmpl w:val="A4ACF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797334"/>
    <w:multiLevelType w:val="hybridMultilevel"/>
    <w:tmpl w:val="0816B9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34FF1"/>
    <w:multiLevelType w:val="hybridMultilevel"/>
    <w:tmpl w:val="7F427532"/>
    <w:lvl w:ilvl="0" w:tplc="C756B7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3698"/>
    <w:multiLevelType w:val="hybridMultilevel"/>
    <w:tmpl w:val="3F946B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43B65"/>
    <w:multiLevelType w:val="hybridMultilevel"/>
    <w:tmpl w:val="3F946B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D5C49"/>
    <w:multiLevelType w:val="hybridMultilevel"/>
    <w:tmpl w:val="A2503E56"/>
    <w:lvl w:ilvl="0" w:tplc="8438D5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57495"/>
    <w:multiLevelType w:val="hybridMultilevel"/>
    <w:tmpl w:val="93F238C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A734B"/>
    <w:multiLevelType w:val="hybridMultilevel"/>
    <w:tmpl w:val="94E0D222"/>
    <w:lvl w:ilvl="0" w:tplc="AA0AF07E">
      <w:start w:val="21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35E9D"/>
    <w:multiLevelType w:val="hybridMultilevel"/>
    <w:tmpl w:val="36524C60"/>
    <w:lvl w:ilvl="0" w:tplc="27E4A2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224AD"/>
    <w:multiLevelType w:val="hybridMultilevel"/>
    <w:tmpl w:val="3F946B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1DB"/>
    <w:rsid w:val="000023F4"/>
    <w:rsid w:val="0001016B"/>
    <w:rsid w:val="0001319B"/>
    <w:rsid w:val="0001674C"/>
    <w:rsid w:val="000250D6"/>
    <w:rsid w:val="00025CE3"/>
    <w:rsid w:val="00025CF5"/>
    <w:rsid w:val="00031F70"/>
    <w:rsid w:val="00034381"/>
    <w:rsid w:val="00066CD0"/>
    <w:rsid w:val="0006738C"/>
    <w:rsid w:val="00070B7B"/>
    <w:rsid w:val="000771DB"/>
    <w:rsid w:val="000812E3"/>
    <w:rsid w:val="00085EB2"/>
    <w:rsid w:val="000910E0"/>
    <w:rsid w:val="00092830"/>
    <w:rsid w:val="00094161"/>
    <w:rsid w:val="00094D63"/>
    <w:rsid w:val="00095725"/>
    <w:rsid w:val="000A4AD1"/>
    <w:rsid w:val="000A5571"/>
    <w:rsid w:val="000C0EEE"/>
    <w:rsid w:val="000C591B"/>
    <w:rsid w:val="000D021B"/>
    <w:rsid w:val="000D2205"/>
    <w:rsid w:val="000E1B31"/>
    <w:rsid w:val="000E408E"/>
    <w:rsid w:val="000E4768"/>
    <w:rsid w:val="000E5758"/>
    <w:rsid w:val="000F007A"/>
    <w:rsid w:val="000F5B5B"/>
    <w:rsid w:val="00123486"/>
    <w:rsid w:val="00125DBD"/>
    <w:rsid w:val="00130EF4"/>
    <w:rsid w:val="00131CD9"/>
    <w:rsid w:val="001443A4"/>
    <w:rsid w:val="00147740"/>
    <w:rsid w:val="00151F4A"/>
    <w:rsid w:val="00155C60"/>
    <w:rsid w:val="0016469D"/>
    <w:rsid w:val="0016651C"/>
    <w:rsid w:val="001675A1"/>
    <w:rsid w:val="001711D1"/>
    <w:rsid w:val="00175AE2"/>
    <w:rsid w:val="00183F14"/>
    <w:rsid w:val="00184733"/>
    <w:rsid w:val="0019055E"/>
    <w:rsid w:val="001936C4"/>
    <w:rsid w:val="001A0AC6"/>
    <w:rsid w:val="001B00B4"/>
    <w:rsid w:val="001B7698"/>
    <w:rsid w:val="001C2CFC"/>
    <w:rsid w:val="001C6B7B"/>
    <w:rsid w:val="001D4365"/>
    <w:rsid w:val="001D7504"/>
    <w:rsid w:val="001E2C94"/>
    <w:rsid w:val="001E4B5E"/>
    <w:rsid w:val="001E771D"/>
    <w:rsid w:val="001F1B6A"/>
    <w:rsid w:val="001F34A5"/>
    <w:rsid w:val="0020145F"/>
    <w:rsid w:val="00214225"/>
    <w:rsid w:val="0021753B"/>
    <w:rsid w:val="002217FF"/>
    <w:rsid w:val="00221BAB"/>
    <w:rsid w:val="00222497"/>
    <w:rsid w:val="002451D4"/>
    <w:rsid w:val="00250C9E"/>
    <w:rsid w:val="002572E0"/>
    <w:rsid w:val="00257FA8"/>
    <w:rsid w:val="00260CAE"/>
    <w:rsid w:val="002767A1"/>
    <w:rsid w:val="002821F5"/>
    <w:rsid w:val="00284460"/>
    <w:rsid w:val="002864E0"/>
    <w:rsid w:val="00287051"/>
    <w:rsid w:val="002914D8"/>
    <w:rsid w:val="00297E51"/>
    <w:rsid w:val="002A4A34"/>
    <w:rsid w:val="002A7C38"/>
    <w:rsid w:val="002B16F8"/>
    <w:rsid w:val="002B72F8"/>
    <w:rsid w:val="002B75A9"/>
    <w:rsid w:val="002B7CCA"/>
    <w:rsid w:val="002B7DC3"/>
    <w:rsid w:val="002D3D18"/>
    <w:rsid w:val="002D7708"/>
    <w:rsid w:val="002F023B"/>
    <w:rsid w:val="002F0456"/>
    <w:rsid w:val="00303D7A"/>
    <w:rsid w:val="00305BD3"/>
    <w:rsid w:val="00305C4A"/>
    <w:rsid w:val="00305DAC"/>
    <w:rsid w:val="003070A3"/>
    <w:rsid w:val="00321620"/>
    <w:rsid w:val="00330343"/>
    <w:rsid w:val="00336A44"/>
    <w:rsid w:val="003455BF"/>
    <w:rsid w:val="0034604F"/>
    <w:rsid w:val="00346935"/>
    <w:rsid w:val="00350451"/>
    <w:rsid w:val="00351280"/>
    <w:rsid w:val="00353D1E"/>
    <w:rsid w:val="00356708"/>
    <w:rsid w:val="0036539C"/>
    <w:rsid w:val="003657B2"/>
    <w:rsid w:val="00377D47"/>
    <w:rsid w:val="00387173"/>
    <w:rsid w:val="0039514B"/>
    <w:rsid w:val="0039597B"/>
    <w:rsid w:val="003A0425"/>
    <w:rsid w:val="003A7833"/>
    <w:rsid w:val="003B190A"/>
    <w:rsid w:val="003C1DD4"/>
    <w:rsid w:val="003C4246"/>
    <w:rsid w:val="003E0256"/>
    <w:rsid w:val="003E2E4E"/>
    <w:rsid w:val="003E5FD7"/>
    <w:rsid w:val="003F7CD2"/>
    <w:rsid w:val="00433371"/>
    <w:rsid w:val="00450CCE"/>
    <w:rsid w:val="004779F1"/>
    <w:rsid w:val="00481FCC"/>
    <w:rsid w:val="00487181"/>
    <w:rsid w:val="00491A49"/>
    <w:rsid w:val="0049502A"/>
    <w:rsid w:val="004A454B"/>
    <w:rsid w:val="004A5841"/>
    <w:rsid w:val="004B4EFF"/>
    <w:rsid w:val="004D01A9"/>
    <w:rsid w:val="004E4722"/>
    <w:rsid w:val="004E5B7E"/>
    <w:rsid w:val="004E6DC5"/>
    <w:rsid w:val="004F6A14"/>
    <w:rsid w:val="004F752A"/>
    <w:rsid w:val="00500272"/>
    <w:rsid w:val="00504F45"/>
    <w:rsid w:val="00506501"/>
    <w:rsid w:val="0051049D"/>
    <w:rsid w:val="00525982"/>
    <w:rsid w:val="00525EDC"/>
    <w:rsid w:val="005359F9"/>
    <w:rsid w:val="0053733B"/>
    <w:rsid w:val="00537B59"/>
    <w:rsid w:val="00537F2B"/>
    <w:rsid w:val="00540DBF"/>
    <w:rsid w:val="00540DC2"/>
    <w:rsid w:val="00547F9E"/>
    <w:rsid w:val="00562129"/>
    <w:rsid w:val="005749DD"/>
    <w:rsid w:val="00586409"/>
    <w:rsid w:val="00591484"/>
    <w:rsid w:val="005A15F4"/>
    <w:rsid w:val="005A1CCE"/>
    <w:rsid w:val="005A4559"/>
    <w:rsid w:val="005A474E"/>
    <w:rsid w:val="005A5A56"/>
    <w:rsid w:val="005B38F4"/>
    <w:rsid w:val="005B620F"/>
    <w:rsid w:val="005D521E"/>
    <w:rsid w:val="005E52C2"/>
    <w:rsid w:val="005F022C"/>
    <w:rsid w:val="00600302"/>
    <w:rsid w:val="00606D9C"/>
    <w:rsid w:val="00607AE3"/>
    <w:rsid w:val="0061733E"/>
    <w:rsid w:val="00631FD4"/>
    <w:rsid w:val="00640BD4"/>
    <w:rsid w:val="00641433"/>
    <w:rsid w:val="00644A73"/>
    <w:rsid w:val="00646A33"/>
    <w:rsid w:val="00656A96"/>
    <w:rsid w:val="00664082"/>
    <w:rsid w:val="00671A16"/>
    <w:rsid w:val="006749FC"/>
    <w:rsid w:val="00676CFB"/>
    <w:rsid w:val="00683B2E"/>
    <w:rsid w:val="00684DC1"/>
    <w:rsid w:val="0069434C"/>
    <w:rsid w:val="00697EED"/>
    <w:rsid w:val="006A2911"/>
    <w:rsid w:val="006B4B31"/>
    <w:rsid w:val="006C2488"/>
    <w:rsid w:val="006D5E40"/>
    <w:rsid w:val="006E1E35"/>
    <w:rsid w:val="006F0B3D"/>
    <w:rsid w:val="006F0FC5"/>
    <w:rsid w:val="007041EB"/>
    <w:rsid w:val="00705428"/>
    <w:rsid w:val="0070553F"/>
    <w:rsid w:val="00730A81"/>
    <w:rsid w:val="00730B17"/>
    <w:rsid w:val="007354EA"/>
    <w:rsid w:val="007356F1"/>
    <w:rsid w:val="00741F9F"/>
    <w:rsid w:val="00742C6A"/>
    <w:rsid w:val="00753CFF"/>
    <w:rsid w:val="00753F6E"/>
    <w:rsid w:val="007739E4"/>
    <w:rsid w:val="00776E12"/>
    <w:rsid w:val="00782760"/>
    <w:rsid w:val="007875AE"/>
    <w:rsid w:val="0079212B"/>
    <w:rsid w:val="00793090"/>
    <w:rsid w:val="007932A0"/>
    <w:rsid w:val="007A01DC"/>
    <w:rsid w:val="007B0249"/>
    <w:rsid w:val="007B5883"/>
    <w:rsid w:val="007B5ECD"/>
    <w:rsid w:val="007B5FBC"/>
    <w:rsid w:val="007C5D4A"/>
    <w:rsid w:val="007D61AB"/>
    <w:rsid w:val="007E097E"/>
    <w:rsid w:val="007F033C"/>
    <w:rsid w:val="007F29D5"/>
    <w:rsid w:val="007F669E"/>
    <w:rsid w:val="0080447C"/>
    <w:rsid w:val="00805FC1"/>
    <w:rsid w:val="008102BF"/>
    <w:rsid w:val="008172F5"/>
    <w:rsid w:val="008204E9"/>
    <w:rsid w:val="008207FE"/>
    <w:rsid w:val="00834B61"/>
    <w:rsid w:val="0084004F"/>
    <w:rsid w:val="008440C9"/>
    <w:rsid w:val="00852D0F"/>
    <w:rsid w:val="00854773"/>
    <w:rsid w:val="00856770"/>
    <w:rsid w:val="0086237B"/>
    <w:rsid w:val="00862607"/>
    <w:rsid w:val="0087069C"/>
    <w:rsid w:val="00870C2B"/>
    <w:rsid w:val="008840EF"/>
    <w:rsid w:val="00891D57"/>
    <w:rsid w:val="008936EA"/>
    <w:rsid w:val="008B3E60"/>
    <w:rsid w:val="008B4AD2"/>
    <w:rsid w:val="008D06B8"/>
    <w:rsid w:val="008E2213"/>
    <w:rsid w:val="008E37CC"/>
    <w:rsid w:val="008F0DAD"/>
    <w:rsid w:val="008F651E"/>
    <w:rsid w:val="008F6C33"/>
    <w:rsid w:val="00907A14"/>
    <w:rsid w:val="009127B3"/>
    <w:rsid w:val="00915B9A"/>
    <w:rsid w:val="00930CDF"/>
    <w:rsid w:val="009405EC"/>
    <w:rsid w:val="00942A36"/>
    <w:rsid w:val="00944EFD"/>
    <w:rsid w:val="00954995"/>
    <w:rsid w:val="0095677A"/>
    <w:rsid w:val="009603B6"/>
    <w:rsid w:val="00960D98"/>
    <w:rsid w:val="00961026"/>
    <w:rsid w:val="0096336C"/>
    <w:rsid w:val="0096557A"/>
    <w:rsid w:val="0096619C"/>
    <w:rsid w:val="00983932"/>
    <w:rsid w:val="00984814"/>
    <w:rsid w:val="00986ABF"/>
    <w:rsid w:val="009A0D62"/>
    <w:rsid w:val="009A4580"/>
    <w:rsid w:val="009B32EB"/>
    <w:rsid w:val="009D0E14"/>
    <w:rsid w:val="009E5F51"/>
    <w:rsid w:val="009F22E5"/>
    <w:rsid w:val="00A00777"/>
    <w:rsid w:val="00A21191"/>
    <w:rsid w:val="00A2211A"/>
    <w:rsid w:val="00A2517F"/>
    <w:rsid w:val="00A26303"/>
    <w:rsid w:val="00A304F6"/>
    <w:rsid w:val="00A329B0"/>
    <w:rsid w:val="00A4144F"/>
    <w:rsid w:val="00A53B55"/>
    <w:rsid w:val="00A56A0B"/>
    <w:rsid w:val="00A65857"/>
    <w:rsid w:val="00A72F3C"/>
    <w:rsid w:val="00A7448E"/>
    <w:rsid w:val="00A74B53"/>
    <w:rsid w:val="00A84904"/>
    <w:rsid w:val="00A86291"/>
    <w:rsid w:val="00A907B2"/>
    <w:rsid w:val="00A952DC"/>
    <w:rsid w:val="00AA1D3A"/>
    <w:rsid w:val="00AA5C3A"/>
    <w:rsid w:val="00AB5CA7"/>
    <w:rsid w:val="00AB7EB6"/>
    <w:rsid w:val="00AC37A8"/>
    <w:rsid w:val="00AD6559"/>
    <w:rsid w:val="00AE05A7"/>
    <w:rsid w:val="00AE694C"/>
    <w:rsid w:val="00AF05D9"/>
    <w:rsid w:val="00AF0DAA"/>
    <w:rsid w:val="00B00B64"/>
    <w:rsid w:val="00B01F6D"/>
    <w:rsid w:val="00B03A3F"/>
    <w:rsid w:val="00B16BC7"/>
    <w:rsid w:val="00B21C73"/>
    <w:rsid w:val="00B21CC4"/>
    <w:rsid w:val="00B40BAC"/>
    <w:rsid w:val="00B546F4"/>
    <w:rsid w:val="00B55506"/>
    <w:rsid w:val="00B5582F"/>
    <w:rsid w:val="00B56F5B"/>
    <w:rsid w:val="00B66272"/>
    <w:rsid w:val="00B707E2"/>
    <w:rsid w:val="00B74C07"/>
    <w:rsid w:val="00B7769A"/>
    <w:rsid w:val="00B817C2"/>
    <w:rsid w:val="00B949B8"/>
    <w:rsid w:val="00B95321"/>
    <w:rsid w:val="00BD699E"/>
    <w:rsid w:val="00C078A7"/>
    <w:rsid w:val="00C14B12"/>
    <w:rsid w:val="00C14F3D"/>
    <w:rsid w:val="00C375AC"/>
    <w:rsid w:val="00C47930"/>
    <w:rsid w:val="00C569EA"/>
    <w:rsid w:val="00C57BB0"/>
    <w:rsid w:val="00C6065F"/>
    <w:rsid w:val="00C61F51"/>
    <w:rsid w:val="00C645E3"/>
    <w:rsid w:val="00C6490F"/>
    <w:rsid w:val="00C7163E"/>
    <w:rsid w:val="00C73509"/>
    <w:rsid w:val="00C73D79"/>
    <w:rsid w:val="00C75E02"/>
    <w:rsid w:val="00C82282"/>
    <w:rsid w:val="00CA2FB1"/>
    <w:rsid w:val="00CA3C19"/>
    <w:rsid w:val="00CA4BBF"/>
    <w:rsid w:val="00CB6D08"/>
    <w:rsid w:val="00CB6D43"/>
    <w:rsid w:val="00CB7ED2"/>
    <w:rsid w:val="00CC07F4"/>
    <w:rsid w:val="00CC1D2C"/>
    <w:rsid w:val="00CC69CC"/>
    <w:rsid w:val="00CD4722"/>
    <w:rsid w:val="00CD63B9"/>
    <w:rsid w:val="00CE1BA3"/>
    <w:rsid w:val="00D03567"/>
    <w:rsid w:val="00D03BF8"/>
    <w:rsid w:val="00D05B8C"/>
    <w:rsid w:val="00D06512"/>
    <w:rsid w:val="00D10B47"/>
    <w:rsid w:val="00D12A97"/>
    <w:rsid w:val="00D1795E"/>
    <w:rsid w:val="00D227E8"/>
    <w:rsid w:val="00D24536"/>
    <w:rsid w:val="00D263C1"/>
    <w:rsid w:val="00D300FC"/>
    <w:rsid w:val="00D325B6"/>
    <w:rsid w:val="00D34E1E"/>
    <w:rsid w:val="00D707AE"/>
    <w:rsid w:val="00D77BC0"/>
    <w:rsid w:val="00D84F4B"/>
    <w:rsid w:val="00D86696"/>
    <w:rsid w:val="00DA40C6"/>
    <w:rsid w:val="00DA566D"/>
    <w:rsid w:val="00DA5806"/>
    <w:rsid w:val="00DB4552"/>
    <w:rsid w:val="00DC18AB"/>
    <w:rsid w:val="00DC33FF"/>
    <w:rsid w:val="00DD4E71"/>
    <w:rsid w:val="00DE582A"/>
    <w:rsid w:val="00DE7BF1"/>
    <w:rsid w:val="00DF367F"/>
    <w:rsid w:val="00E25013"/>
    <w:rsid w:val="00E266C7"/>
    <w:rsid w:val="00E266C9"/>
    <w:rsid w:val="00E608D8"/>
    <w:rsid w:val="00E728C9"/>
    <w:rsid w:val="00E74A19"/>
    <w:rsid w:val="00E803AB"/>
    <w:rsid w:val="00E91DE1"/>
    <w:rsid w:val="00EA53A0"/>
    <w:rsid w:val="00EB25E8"/>
    <w:rsid w:val="00ED5D04"/>
    <w:rsid w:val="00EE4EC8"/>
    <w:rsid w:val="00EE68D6"/>
    <w:rsid w:val="00EE7E06"/>
    <w:rsid w:val="00EF50F2"/>
    <w:rsid w:val="00EF5157"/>
    <w:rsid w:val="00EF64ED"/>
    <w:rsid w:val="00EF76B7"/>
    <w:rsid w:val="00F06057"/>
    <w:rsid w:val="00F1315B"/>
    <w:rsid w:val="00F14C44"/>
    <w:rsid w:val="00F2448E"/>
    <w:rsid w:val="00F24767"/>
    <w:rsid w:val="00F2602D"/>
    <w:rsid w:val="00F408B5"/>
    <w:rsid w:val="00F42A3E"/>
    <w:rsid w:val="00F42CCB"/>
    <w:rsid w:val="00F45EB9"/>
    <w:rsid w:val="00F67A37"/>
    <w:rsid w:val="00F71390"/>
    <w:rsid w:val="00F8551C"/>
    <w:rsid w:val="00F9438B"/>
    <w:rsid w:val="00F959CF"/>
    <w:rsid w:val="00FA16ED"/>
    <w:rsid w:val="00FA6629"/>
    <w:rsid w:val="00FD6674"/>
    <w:rsid w:val="00FD7841"/>
    <w:rsid w:val="00FE2A03"/>
    <w:rsid w:val="00FE7783"/>
    <w:rsid w:val="00FF064F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4FA1D"/>
  <w15:docId w15:val="{B5EC4EAB-FFFE-492C-8E01-1F316DDB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A33"/>
  </w:style>
  <w:style w:type="paragraph" w:styleId="Footer">
    <w:name w:val="footer"/>
    <w:basedOn w:val="Normal"/>
    <w:link w:val="FooterChar"/>
    <w:uiPriority w:val="99"/>
    <w:unhideWhenUsed/>
    <w:rsid w:val="006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A33"/>
  </w:style>
  <w:style w:type="character" w:styleId="CommentReference">
    <w:name w:val="annotation reference"/>
    <w:basedOn w:val="DefaultParagraphFont"/>
    <w:uiPriority w:val="99"/>
    <w:semiHidden/>
    <w:unhideWhenUsed/>
    <w:rsid w:val="00066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C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C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C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5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5387D-23F0-46A8-BE6E-942A00A6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7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Lazarova</dc:creator>
  <cp:lastModifiedBy>Atanaska Koleva</cp:lastModifiedBy>
  <cp:revision>40</cp:revision>
  <dcterms:created xsi:type="dcterms:W3CDTF">2020-06-02T13:05:00Z</dcterms:created>
  <dcterms:modified xsi:type="dcterms:W3CDTF">2021-06-22T13:28:00Z</dcterms:modified>
</cp:coreProperties>
</file>