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noProof/>
        </w:rPr>
        <w:id w:val="414904541"/>
        <w:docPartObj>
          <w:docPartGallery w:val="Cover Pages"/>
          <w:docPartUnique/>
        </w:docPartObj>
      </w:sdtPr>
      <w:sdtEndPr>
        <w:rPr>
          <w:noProof w:val="0"/>
        </w:rPr>
      </w:sdtEndPr>
      <w:sdtContent>
        <w:p w:rsidR="00244F41" w:rsidRDefault="00244F41" w:rsidP="00EB274A">
          <w:pPr>
            <w:ind w:left="5040" w:firstLine="720"/>
            <w:jc w:val="both"/>
            <w:rPr>
              <w:noProof/>
            </w:rPr>
          </w:pPr>
        </w:p>
        <w:p w:rsidR="004B21B2" w:rsidRDefault="00EA7527" w:rsidP="00EB274A">
          <w:pPr>
            <w:jc w:val="both"/>
          </w:pPr>
          <w:r>
            <w:rPr>
              <w:noProof/>
              <w:lang w:val="en-US" w:eastAsia="en-US"/>
            </w:rPr>
            <w:drawing>
              <wp:anchor distT="0" distB="0" distL="114300" distR="114300" simplePos="0" relativeHeight="251660288" behindDoc="1" locked="0" layoutInCell="1" allowOverlap="0" wp14:anchorId="38934BB1" wp14:editId="05CB9999">
                <wp:simplePos x="0" y="0"/>
                <wp:positionH relativeFrom="margin">
                  <wp:align>center</wp:align>
                </wp:positionH>
                <wp:positionV relativeFrom="margin">
                  <wp:posOffset>2595880</wp:posOffset>
                </wp:positionV>
                <wp:extent cx="6524625" cy="3667125"/>
                <wp:effectExtent l="19050" t="0" r="952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Stock_000017310223Large_RT.jpg"/>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524625" cy="3667125"/>
                        </a:xfrm>
                        <a:prstGeom prst="rect">
                          <a:avLst/>
                        </a:prstGeom>
                        <a:ln>
                          <a:noFill/>
                        </a:ln>
                        <a:extLst>
                          <a:ext uri="{53640926-AAD7-44D8-BBD7-CCE9431645EC}">
                            <a14:shadowObscured xmlns:a14="http://schemas.microsoft.com/office/drawing/2010/main"/>
                          </a:ext>
                        </a:extLst>
                      </pic:spPr>
                    </pic:pic>
                  </a:graphicData>
                </a:graphic>
              </wp:anchor>
            </w:drawing>
          </w:r>
        </w:p>
        <w:p w:rsidR="004B21B2" w:rsidRDefault="00D32199" w:rsidP="00EB274A">
          <w:pPr>
            <w:jc w:val="both"/>
          </w:pPr>
          <w:r>
            <w:rPr>
              <w:noProof/>
              <w:lang w:val="en-US" w:eastAsia="en-US"/>
            </w:rPr>
            <mc:AlternateContent>
              <mc:Choice Requires="wps">
                <w:drawing>
                  <wp:anchor distT="0" distB="0" distL="114300" distR="114300" simplePos="0" relativeHeight="251659264" behindDoc="0" locked="0" layoutInCell="1" allowOverlap="0" wp14:anchorId="6ED04351" wp14:editId="46B3783B">
                    <wp:simplePos x="0" y="0"/>
                    <wp:positionH relativeFrom="page">
                      <wp:posOffset>680085</wp:posOffset>
                    </wp:positionH>
                    <wp:positionV relativeFrom="page">
                      <wp:posOffset>7029450</wp:posOffset>
                    </wp:positionV>
                    <wp:extent cx="6425565" cy="895350"/>
                    <wp:effectExtent l="3810" t="0" r="0" b="0"/>
                    <wp:wrapNone/>
                    <wp:docPr id="21" name="Text Box 6" descr="Title, Subtitle, and Abstrac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556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6608CE" w:rsidRPr="00D07962" w:rsidRDefault="001F3741" w:rsidP="00D07962">
                                <w:pPr>
                                  <w:pStyle w:val="Title"/>
                                  <w:jc w:val="center"/>
                                  <w:rPr>
                                    <w:b/>
                                    <w:sz w:val="36"/>
                                    <w:szCs w:val="36"/>
                                  </w:rPr>
                                </w:pPr>
                                <w:sdt>
                                  <w:sdtPr>
                                    <w:rPr>
                                      <w:b/>
                                      <w:sz w:val="32"/>
                                      <w:szCs w:val="32"/>
                                    </w:rPr>
                                    <w:alias w:val="Title"/>
                                    <w:tag w:val=""/>
                                    <w:id w:val="296671538"/>
                                    <w:dataBinding w:prefixMappings="xmlns:ns0='http://purl.org/dc/elements/1.1/' xmlns:ns1='http://schemas.openxmlformats.org/package/2006/metadata/core-properties' " w:xpath="/ns1:coreProperties[1]/ns0:title[1]" w:storeItemID="{6C3C8BC8-F283-45AE-878A-BAB7291924A1}"/>
                                    <w:text w:multiLine="1"/>
                                  </w:sdtPr>
                                  <w:sdtEndPr/>
                                  <w:sdtContent>
                                    <w:r w:rsidR="006608CE">
                                      <w:rPr>
                                        <w:b/>
                                        <w:sz w:val="32"/>
                                        <w:szCs w:val="32"/>
                                      </w:rPr>
                                      <w:t xml:space="preserve">ИНДИКАТИВЕН ПЛАН ЗА ОЦЕНКА </w:t>
                                    </w:r>
                                    <w:r w:rsidR="006608CE" w:rsidRPr="00EA7527">
                                      <w:rPr>
                                        <w:b/>
                                        <w:sz w:val="32"/>
                                        <w:szCs w:val="32"/>
                                      </w:rPr>
                                      <w:t>НА</w:t>
                                    </w:r>
                                    <w:r w:rsidR="006608CE" w:rsidRPr="00EA7527">
                                      <w:rPr>
                                        <w:b/>
                                        <w:sz w:val="32"/>
                                        <w:szCs w:val="32"/>
                                      </w:rPr>
                                      <w:br/>
                                      <w:t>оПЕРАТИВНА ПРОГРАМА „ОКОЛНА СРЕДА 2014-2020 Г.“</w:t>
                                    </w:r>
                                  </w:sdtContent>
                                </w:sdt>
                              </w:p>
                              <w:p w:rsidR="006608CE" w:rsidRDefault="006608CE" w:rsidP="00565F1A">
                                <w:pPr>
                                  <w:pStyle w:val="Abstract"/>
                                  <w:ind w:left="0"/>
                                </w:pPr>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alt="Title, Subtitle, and Abstract" style="position:absolute;left:0;text-align:left;margin-left:53.55pt;margin-top:553.5pt;width:505.95pt;height:70.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" o:allowoverlap="f" filled="f" stroked="f" strokeweight=".5pt">
                    <v:textbox inset="0,0,0,0">
                      <w:txbxContent>
                        <w:p w:rsidR="006608CE" w:rsidRPr="00D07962" w:rsidRDefault="006608CE" w:rsidP="00D07962">
                          <w:pPr>
                            <w:pStyle w:val="Title"/>
                            <w:jc w:val="center"/>
                            <w:rPr>
                              <w:b/>
                              <w:sz w:val="36"/>
                              <w:szCs w:val="36"/>
                            </w:rPr>
                          </w:pPr>
                          <w:sdt>
                            <w:sdtPr>
                              <w:rPr>
                                <w:b/>
                                <w:sz w:val="32"/>
                                <w:szCs w:val="32"/>
                              </w:rPr>
                              <w:alias w:val="Title"/>
                              <w:tag w:val=""/>
                              <w:id w:val="296671538"/>
                              <w:dataBinding w:prefixMappings="xmlns:ns0='http://purl.org/dc/elements/1.1/' xmlns:ns1='http://schemas.openxmlformats.org/package/2006/metadata/core-properties' " w:xpath="/ns1:coreProperties[1]/ns0:title[1]" w:storeItemID="{6C3C8BC8-F283-45AE-878A-BAB7291924A1}"/>
                              <w:text w:multiLine="1"/>
                            </w:sdtPr>
                            <w:sdtContent>
                              <w:r>
                                <w:rPr>
                                  <w:b/>
                                  <w:sz w:val="32"/>
                                  <w:szCs w:val="32"/>
                                </w:rPr>
                                <w:t xml:space="preserve">ИНДИКАТИВЕН ПЛАН ЗА ОЦЕНКА </w:t>
                              </w:r>
                              <w:r w:rsidRPr="00EA7527">
                                <w:rPr>
                                  <w:b/>
                                  <w:sz w:val="32"/>
                                  <w:szCs w:val="32"/>
                                </w:rPr>
                                <w:t>НА</w:t>
                              </w:r>
                              <w:r w:rsidRPr="00EA7527">
                                <w:rPr>
                                  <w:b/>
                                  <w:sz w:val="32"/>
                                  <w:szCs w:val="32"/>
                                </w:rPr>
                                <w:br/>
                                <w:t>оПЕРАТИВНА ПРОГРАМА „ОКОЛНА СРЕДА 2014-2020 Г.“</w:t>
                              </w:r>
                            </w:sdtContent>
                          </w:sdt>
                        </w:p>
                        <w:p w:rsidR="006608CE" w:rsidRDefault="006608CE" w:rsidP="00565F1A">
                          <w:pPr>
                            <w:pStyle w:val="Abstract"/>
                            <w:ind w:left="0"/>
                          </w:pPr>
                        </w:p>
                      </w:txbxContent>
                    </v:textbox>
                    <w10:wrap anchorx="page" anchory="page"/>
                  </v:shape>
                </w:pict>
              </mc:Fallback>
            </mc:AlternateContent>
          </w:r>
        </w:p>
        <w:p w:rsidR="004B21B2" w:rsidRDefault="004B21B2" w:rsidP="00EB274A">
          <w:pPr>
            <w:jc w:val="both"/>
          </w:pPr>
        </w:p>
        <w:p w:rsidR="00D54BDC" w:rsidRPr="00D54BDC" w:rsidRDefault="00D54BDC" w:rsidP="00EB274A">
          <w:pPr>
            <w:jc w:val="both"/>
            <w:rPr>
              <w:sz w:val="16"/>
              <w:szCs w:val="16"/>
            </w:rPr>
          </w:pPr>
        </w:p>
        <w:p w:rsidR="00F06AD9" w:rsidRDefault="00F06AD9" w:rsidP="00EB274A">
          <w:pPr>
            <w:spacing w:before="40" w:after="160"/>
            <w:ind w:left="2160"/>
            <w:jc w:val="both"/>
            <w:rPr>
              <w:b/>
              <w:color w:val="5B6973" w:themeColor="text2"/>
            </w:rPr>
          </w:pPr>
          <w:r>
            <w:rPr>
              <w:b/>
              <w:color w:val="5B6973" w:themeColor="text2"/>
            </w:rPr>
            <w:t xml:space="preserve">                                    </w:t>
          </w:r>
          <w:r w:rsidR="00F359BB">
            <w:rPr>
              <w:b/>
              <w:color w:val="5B6973" w:themeColor="text2"/>
            </w:rPr>
            <w:t>03</w:t>
          </w:r>
          <w:r w:rsidR="00775B64">
            <w:rPr>
              <w:b/>
              <w:color w:val="5B6973" w:themeColor="text2"/>
            </w:rPr>
            <w:t>.0</w:t>
          </w:r>
          <w:r w:rsidR="00F359BB">
            <w:rPr>
              <w:b/>
              <w:color w:val="5B6973" w:themeColor="text2"/>
            </w:rPr>
            <w:t>6</w:t>
          </w:r>
          <w:r w:rsidRPr="00F06AD9">
            <w:rPr>
              <w:b/>
              <w:color w:val="5B6973" w:themeColor="text2"/>
            </w:rPr>
            <w:t>.2016 г.</w:t>
          </w:r>
        </w:p>
        <w:p w:rsidR="0065428F" w:rsidRDefault="0065428F" w:rsidP="00EB274A">
          <w:pPr>
            <w:spacing w:before="40" w:after="160"/>
            <w:ind w:left="2160"/>
            <w:jc w:val="both"/>
            <w:rPr>
              <w:b/>
              <w:color w:val="5B6973" w:themeColor="text2"/>
            </w:rPr>
          </w:pPr>
        </w:p>
        <w:p w:rsidR="00502667" w:rsidRPr="0065428F" w:rsidRDefault="0065428F" w:rsidP="00EB274A">
          <w:pPr>
            <w:spacing w:before="40" w:after="160"/>
            <w:jc w:val="both"/>
            <w:rPr>
              <w:b/>
              <w:color w:val="5B6973" w:themeColor="text2"/>
            </w:rPr>
          </w:pPr>
          <w:r>
            <w:rPr>
              <w:b/>
              <w:color w:val="5B6973" w:themeColor="text2"/>
            </w:rPr>
            <w:br w:type="page"/>
          </w:r>
          <w:r w:rsidR="00D54BDC">
            <w:rPr>
              <w:noProof/>
              <w:lang w:val="en-US" w:eastAsia="en-US"/>
            </w:rPr>
            <w:drawing>
              <wp:anchor distT="0" distB="0" distL="114300" distR="114300" simplePos="0" relativeHeight="251661312" behindDoc="0" locked="0" layoutInCell="1" allowOverlap="1" wp14:anchorId="6E18485F" wp14:editId="349D55A8">
                <wp:simplePos x="0" y="0"/>
                <wp:positionH relativeFrom="margin">
                  <wp:posOffset>2491105</wp:posOffset>
                </wp:positionH>
                <wp:positionV relativeFrom="margin">
                  <wp:posOffset>7472680</wp:posOffset>
                </wp:positionV>
                <wp:extent cx="914400" cy="371475"/>
                <wp:effectExtent l="0" t="0" r="0" b="0"/>
                <wp:wrapSquare wrapText="bothSides"/>
                <wp:docPr id="3" name="Picture 1"/>
                <wp:cNvGraphicFramePr/>
                <a:graphic xmlns:a="http://schemas.openxmlformats.org/drawingml/2006/main">
                  <a:graphicData uri="http://schemas.openxmlformats.org/drawingml/2006/picture">
                    <pic:pic xmlns:pic="http://schemas.openxmlformats.org/drawingml/2006/picture">
                      <pic:nvPicPr>
                        <pic:cNvPr id="0" name="ESTAT_logo_big.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914400" cy="371475"/>
                        </a:xfrm>
                        <a:prstGeom prst="rect">
                          <a:avLst/>
                        </a:prstGeom>
                      </pic:spPr>
                    </pic:pic>
                  </a:graphicData>
                </a:graphic>
              </wp:anchor>
            </w:drawing>
          </w:r>
        </w:p>
      </w:sdtContent>
    </w:sdt>
    <w:sdt>
      <w:sdtPr>
        <w:rPr>
          <w:b/>
        </w:rPr>
        <w:id w:val="296671684"/>
        <w:docPartObj>
          <w:docPartGallery w:val="Table of Contents"/>
          <w:docPartUnique/>
        </w:docPartObj>
      </w:sdtPr>
      <w:sdtEndPr>
        <w:rPr>
          <w:b w:val="0"/>
        </w:rPr>
      </w:sdtEndPr>
      <w:sdtContent>
        <w:p w:rsidR="0065428F" w:rsidRPr="0065428F" w:rsidRDefault="0065428F" w:rsidP="00EB274A">
          <w:pPr>
            <w:jc w:val="both"/>
            <w:rPr>
              <w:b/>
            </w:rPr>
          </w:pPr>
        </w:p>
        <w:p w:rsidR="00320344" w:rsidRDefault="004D6B0B" w:rsidP="00EB274A">
          <w:pPr>
            <w:pStyle w:val="TOCHeading"/>
            <w:ind w:right="-92"/>
            <w:jc w:val="both"/>
          </w:pPr>
          <w:r>
            <w:t>Съдържание</w:t>
          </w:r>
        </w:p>
        <w:p w:rsidR="007D5F8C" w:rsidRDefault="00320344">
          <w:pPr>
            <w:pStyle w:val="TOC1"/>
            <w:rPr>
              <w:rFonts w:asciiTheme="minorHAnsi" w:eastAsiaTheme="minorEastAsia" w:hAnsiTheme="minorHAnsi"/>
              <w:color w:val="auto"/>
              <w:kern w:val="0"/>
              <w:szCs w:val="22"/>
              <w:lang w:val="en-US" w:eastAsia="en-US"/>
            </w:rPr>
          </w:pPr>
          <w:r>
            <w:fldChar w:fldCharType="begin"/>
          </w:r>
          <w:r>
            <w:instrText xml:space="preserve"> TOC \o "1-3" \h \z \u </w:instrText>
          </w:r>
          <w:r>
            <w:fldChar w:fldCharType="separate"/>
          </w:r>
          <w:hyperlink w:anchor="_Toc453078497" w:history="1">
            <w:r w:rsidR="007D5F8C" w:rsidRPr="005B4EDD">
              <w:rPr>
                <w:rStyle w:val="Hyperlink"/>
              </w:rPr>
              <w:t>Списък на съкращенията</w:t>
            </w:r>
            <w:r w:rsidR="007D5F8C">
              <w:rPr>
                <w:webHidden/>
              </w:rPr>
              <w:tab/>
            </w:r>
            <w:r w:rsidR="007D5F8C">
              <w:rPr>
                <w:webHidden/>
              </w:rPr>
              <w:fldChar w:fldCharType="begin"/>
            </w:r>
            <w:r w:rsidR="007D5F8C">
              <w:rPr>
                <w:webHidden/>
              </w:rPr>
              <w:instrText xml:space="preserve"> PAGEREF _Toc453078497 \h </w:instrText>
            </w:r>
            <w:r w:rsidR="007D5F8C">
              <w:rPr>
                <w:webHidden/>
              </w:rPr>
            </w:r>
            <w:r w:rsidR="007D5F8C">
              <w:rPr>
                <w:webHidden/>
              </w:rPr>
              <w:fldChar w:fldCharType="separate"/>
            </w:r>
            <w:r w:rsidR="007D5F8C">
              <w:rPr>
                <w:webHidden/>
              </w:rPr>
              <w:t>3</w:t>
            </w:r>
            <w:r w:rsidR="007D5F8C">
              <w:rPr>
                <w:webHidden/>
              </w:rPr>
              <w:fldChar w:fldCharType="end"/>
            </w:r>
          </w:hyperlink>
        </w:p>
        <w:p w:rsidR="007D5F8C" w:rsidRDefault="007D5F8C">
          <w:pPr>
            <w:pStyle w:val="TOC1"/>
            <w:rPr>
              <w:rFonts w:asciiTheme="minorHAnsi" w:eastAsiaTheme="minorEastAsia" w:hAnsiTheme="minorHAnsi"/>
              <w:color w:val="auto"/>
              <w:kern w:val="0"/>
              <w:szCs w:val="22"/>
              <w:lang w:val="en-US" w:eastAsia="en-US"/>
            </w:rPr>
          </w:pPr>
          <w:hyperlink w:anchor="_Toc453078498" w:history="1">
            <w:r w:rsidRPr="005B4EDD">
              <w:rPr>
                <w:rStyle w:val="Hyperlink"/>
              </w:rPr>
              <w:t>1 | Въведение</w:t>
            </w:r>
            <w:r>
              <w:rPr>
                <w:webHidden/>
              </w:rPr>
              <w:tab/>
            </w:r>
            <w:r>
              <w:rPr>
                <w:webHidden/>
              </w:rPr>
              <w:fldChar w:fldCharType="begin"/>
            </w:r>
            <w:r>
              <w:rPr>
                <w:webHidden/>
              </w:rPr>
              <w:instrText xml:space="preserve"> PAGEREF _Toc453078498 \h </w:instrText>
            </w:r>
            <w:r>
              <w:rPr>
                <w:webHidden/>
              </w:rPr>
            </w:r>
            <w:r>
              <w:rPr>
                <w:webHidden/>
              </w:rPr>
              <w:fldChar w:fldCharType="separate"/>
            </w:r>
            <w:r>
              <w:rPr>
                <w:webHidden/>
              </w:rPr>
              <w:t>4</w:t>
            </w:r>
            <w:r>
              <w:rPr>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499" w:history="1">
            <w:r w:rsidRPr="005B4EDD">
              <w:rPr>
                <w:rStyle w:val="Hyperlink"/>
                <w:noProof/>
              </w:rPr>
              <w:t>1.1.</w:t>
            </w:r>
            <w:r>
              <w:rPr>
                <w:rFonts w:asciiTheme="minorHAnsi" w:eastAsiaTheme="minorEastAsia" w:hAnsiTheme="minorHAnsi"/>
                <w:noProof/>
                <w:color w:val="auto"/>
                <w:kern w:val="0"/>
                <w:sz w:val="22"/>
                <w:szCs w:val="22"/>
                <w:lang w:val="en-US" w:eastAsia="en-US"/>
              </w:rPr>
              <w:tab/>
            </w:r>
            <w:r w:rsidRPr="005B4EDD">
              <w:rPr>
                <w:rStyle w:val="Hyperlink"/>
                <w:noProof/>
              </w:rPr>
              <w:t>Същно</w:t>
            </w:r>
            <w:r w:rsidRPr="005B4EDD">
              <w:rPr>
                <w:rStyle w:val="Hyperlink"/>
                <w:noProof/>
              </w:rPr>
              <w:t>с</w:t>
            </w:r>
            <w:r w:rsidRPr="005B4EDD">
              <w:rPr>
                <w:rStyle w:val="Hyperlink"/>
                <w:noProof/>
              </w:rPr>
              <w:t>т на оценката в контекста на програмен период 2014-2020 г.</w:t>
            </w:r>
            <w:r>
              <w:rPr>
                <w:noProof/>
                <w:webHidden/>
              </w:rPr>
              <w:tab/>
            </w:r>
            <w:r>
              <w:rPr>
                <w:noProof/>
                <w:webHidden/>
              </w:rPr>
              <w:fldChar w:fldCharType="begin"/>
            </w:r>
            <w:r>
              <w:rPr>
                <w:noProof/>
                <w:webHidden/>
              </w:rPr>
              <w:instrText xml:space="preserve"> PAGEREF _Toc453078499 \h </w:instrText>
            </w:r>
            <w:r>
              <w:rPr>
                <w:noProof/>
                <w:webHidden/>
              </w:rPr>
            </w:r>
            <w:r>
              <w:rPr>
                <w:noProof/>
                <w:webHidden/>
              </w:rPr>
              <w:fldChar w:fldCharType="separate"/>
            </w:r>
            <w:r>
              <w:rPr>
                <w:noProof/>
                <w:webHidden/>
              </w:rPr>
              <w:t>4</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00" w:history="1">
            <w:r w:rsidRPr="005B4EDD">
              <w:rPr>
                <w:rStyle w:val="Hyperlink"/>
                <w:noProof/>
              </w:rPr>
              <w:t>1.2.</w:t>
            </w:r>
            <w:r>
              <w:rPr>
                <w:rFonts w:asciiTheme="minorHAnsi" w:eastAsiaTheme="minorEastAsia" w:hAnsiTheme="minorHAnsi"/>
                <w:noProof/>
                <w:color w:val="auto"/>
                <w:kern w:val="0"/>
                <w:sz w:val="22"/>
                <w:szCs w:val="22"/>
                <w:lang w:val="en-US" w:eastAsia="en-US"/>
              </w:rPr>
              <w:tab/>
            </w:r>
            <w:r w:rsidRPr="005B4EDD">
              <w:rPr>
                <w:rStyle w:val="Hyperlink"/>
                <w:noProof/>
              </w:rPr>
              <w:t>Правна рамка на оценката в програмен период 2014-2020 г.</w:t>
            </w:r>
            <w:r>
              <w:rPr>
                <w:noProof/>
                <w:webHidden/>
              </w:rPr>
              <w:tab/>
            </w:r>
            <w:r>
              <w:rPr>
                <w:noProof/>
                <w:webHidden/>
              </w:rPr>
              <w:fldChar w:fldCharType="begin"/>
            </w:r>
            <w:r>
              <w:rPr>
                <w:noProof/>
                <w:webHidden/>
              </w:rPr>
              <w:instrText xml:space="preserve"> PAGEREF _Toc453078500 \h </w:instrText>
            </w:r>
            <w:r>
              <w:rPr>
                <w:noProof/>
                <w:webHidden/>
              </w:rPr>
            </w:r>
            <w:r>
              <w:rPr>
                <w:noProof/>
                <w:webHidden/>
              </w:rPr>
              <w:fldChar w:fldCharType="separate"/>
            </w:r>
            <w:r>
              <w:rPr>
                <w:noProof/>
                <w:webHidden/>
              </w:rPr>
              <w:t>4</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01" w:history="1">
            <w:r w:rsidRPr="005B4EDD">
              <w:rPr>
                <w:rStyle w:val="Hyperlink"/>
                <w:noProof/>
              </w:rPr>
              <w:t>1.3.</w:t>
            </w:r>
            <w:r>
              <w:rPr>
                <w:rFonts w:asciiTheme="minorHAnsi" w:eastAsiaTheme="minorEastAsia" w:hAnsiTheme="minorHAnsi"/>
                <w:noProof/>
                <w:color w:val="auto"/>
                <w:kern w:val="0"/>
                <w:sz w:val="22"/>
                <w:szCs w:val="22"/>
                <w:lang w:val="en-US" w:eastAsia="en-US"/>
              </w:rPr>
              <w:tab/>
            </w:r>
            <w:r w:rsidRPr="005B4EDD">
              <w:rPr>
                <w:rStyle w:val="Hyperlink"/>
                <w:noProof/>
              </w:rPr>
              <w:t>Основни видове оценки в програмен период 2014-2020 г.</w:t>
            </w:r>
            <w:r>
              <w:rPr>
                <w:noProof/>
                <w:webHidden/>
              </w:rPr>
              <w:tab/>
            </w:r>
            <w:r>
              <w:rPr>
                <w:noProof/>
                <w:webHidden/>
              </w:rPr>
              <w:fldChar w:fldCharType="begin"/>
            </w:r>
            <w:r>
              <w:rPr>
                <w:noProof/>
                <w:webHidden/>
              </w:rPr>
              <w:instrText xml:space="preserve"> PAGEREF _Toc453078501 \h </w:instrText>
            </w:r>
            <w:r>
              <w:rPr>
                <w:noProof/>
                <w:webHidden/>
              </w:rPr>
            </w:r>
            <w:r>
              <w:rPr>
                <w:noProof/>
                <w:webHidden/>
              </w:rPr>
              <w:fldChar w:fldCharType="separate"/>
            </w:r>
            <w:r>
              <w:rPr>
                <w:noProof/>
                <w:webHidden/>
              </w:rPr>
              <w:t>6</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02" w:history="1">
            <w:r w:rsidRPr="005B4EDD">
              <w:rPr>
                <w:rStyle w:val="Hyperlink"/>
                <w:noProof/>
              </w:rPr>
              <w:t>1.4.</w:t>
            </w:r>
            <w:r>
              <w:rPr>
                <w:rFonts w:asciiTheme="minorHAnsi" w:eastAsiaTheme="minorEastAsia" w:hAnsiTheme="minorHAnsi"/>
                <w:noProof/>
                <w:color w:val="auto"/>
                <w:kern w:val="0"/>
                <w:sz w:val="22"/>
                <w:szCs w:val="22"/>
                <w:lang w:val="en-US" w:eastAsia="en-US"/>
              </w:rPr>
              <w:tab/>
            </w:r>
            <w:r w:rsidRPr="005B4EDD">
              <w:rPr>
                <w:rStyle w:val="Hyperlink"/>
                <w:noProof/>
              </w:rPr>
              <w:t>Обща информация за изготвянето на Плана за оценка на ОПОС 2014-2020 г.</w:t>
            </w:r>
            <w:r>
              <w:rPr>
                <w:noProof/>
                <w:webHidden/>
              </w:rPr>
              <w:tab/>
            </w:r>
            <w:r>
              <w:rPr>
                <w:noProof/>
                <w:webHidden/>
              </w:rPr>
              <w:fldChar w:fldCharType="begin"/>
            </w:r>
            <w:r>
              <w:rPr>
                <w:noProof/>
                <w:webHidden/>
              </w:rPr>
              <w:instrText xml:space="preserve"> PAGEREF _Toc453078502 \h </w:instrText>
            </w:r>
            <w:r>
              <w:rPr>
                <w:noProof/>
                <w:webHidden/>
              </w:rPr>
            </w:r>
            <w:r>
              <w:rPr>
                <w:noProof/>
                <w:webHidden/>
              </w:rPr>
              <w:fldChar w:fldCharType="separate"/>
            </w:r>
            <w:r>
              <w:rPr>
                <w:noProof/>
                <w:webHidden/>
              </w:rPr>
              <w:t>7</w:t>
            </w:r>
            <w:r>
              <w:rPr>
                <w:noProof/>
                <w:webHidden/>
              </w:rPr>
              <w:fldChar w:fldCharType="end"/>
            </w:r>
          </w:hyperlink>
        </w:p>
        <w:p w:rsidR="007D5F8C" w:rsidRDefault="007D5F8C">
          <w:pPr>
            <w:pStyle w:val="TOC1"/>
            <w:rPr>
              <w:rFonts w:asciiTheme="minorHAnsi" w:eastAsiaTheme="minorEastAsia" w:hAnsiTheme="minorHAnsi"/>
              <w:color w:val="auto"/>
              <w:kern w:val="0"/>
              <w:szCs w:val="22"/>
              <w:lang w:val="en-US" w:eastAsia="en-US"/>
            </w:rPr>
          </w:pPr>
          <w:hyperlink w:anchor="_Toc453078503" w:history="1">
            <w:r w:rsidRPr="005B4EDD">
              <w:rPr>
                <w:rStyle w:val="Hyperlink"/>
              </w:rPr>
              <w:t>2 | Цели, обхват и координация на Плана за оценка</w:t>
            </w:r>
            <w:r>
              <w:rPr>
                <w:webHidden/>
              </w:rPr>
              <w:tab/>
            </w:r>
            <w:r>
              <w:rPr>
                <w:webHidden/>
              </w:rPr>
              <w:fldChar w:fldCharType="begin"/>
            </w:r>
            <w:r>
              <w:rPr>
                <w:webHidden/>
              </w:rPr>
              <w:instrText xml:space="preserve"> PAGEREF _Toc453078503 \h </w:instrText>
            </w:r>
            <w:r>
              <w:rPr>
                <w:webHidden/>
              </w:rPr>
            </w:r>
            <w:r>
              <w:rPr>
                <w:webHidden/>
              </w:rPr>
              <w:fldChar w:fldCharType="separate"/>
            </w:r>
            <w:r>
              <w:rPr>
                <w:webHidden/>
              </w:rPr>
              <w:t>8</w:t>
            </w:r>
            <w:r>
              <w:rPr>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05" w:history="1">
            <w:r w:rsidRPr="005B4EDD">
              <w:rPr>
                <w:rStyle w:val="Hyperlink"/>
                <w:noProof/>
              </w:rPr>
              <w:t>2.1.</w:t>
            </w:r>
            <w:r>
              <w:rPr>
                <w:rFonts w:asciiTheme="minorHAnsi" w:eastAsiaTheme="minorEastAsia" w:hAnsiTheme="minorHAnsi"/>
                <w:noProof/>
                <w:color w:val="auto"/>
                <w:kern w:val="0"/>
                <w:sz w:val="22"/>
                <w:szCs w:val="22"/>
                <w:lang w:val="en-US" w:eastAsia="en-US"/>
              </w:rPr>
              <w:tab/>
            </w:r>
            <w:r w:rsidRPr="005B4EDD">
              <w:rPr>
                <w:rStyle w:val="Hyperlink"/>
                <w:noProof/>
              </w:rPr>
              <w:t>Основни цели на Плана за оценка на ОПОС 2014-2020 г.</w:t>
            </w:r>
            <w:r>
              <w:rPr>
                <w:noProof/>
                <w:webHidden/>
              </w:rPr>
              <w:tab/>
            </w:r>
            <w:r>
              <w:rPr>
                <w:noProof/>
                <w:webHidden/>
              </w:rPr>
              <w:fldChar w:fldCharType="begin"/>
            </w:r>
            <w:r>
              <w:rPr>
                <w:noProof/>
                <w:webHidden/>
              </w:rPr>
              <w:instrText xml:space="preserve"> PAGEREF _Toc453078505 \h </w:instrText>
            </w:r>
            <w:r>
              <w:rPr>
                <w:noProof/>
                <w:webHidden/>
              </w:rPr>
            </w:r>
            <w:r>
              <w:rPr>
                <w:noProof/>
                <w:webHidden/>
              </w:rPr>
              <w:fldChar w:fldCharType="separate"/>
            </w:r>
            <w:r>
              <w:rPr>
                <w:noProof/>
                <w:webHidden/>
              </w:rPr>
              <w:t>8</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06" w:history="1">
            <w:r w:rsidRPr="005B4EDD">
              <w:rPr>
                <w:rStyle w:val="Hyperlink"/>
                <w:noProof/>
              </w:rPr>
              <w:t>2.2.</w:t>
            </w:r>
            <w:r>
              <w:rPr>
                <w:rFonts w:asciiTheme="minorHAnsi" w:eastAsiaTheme="minorEastAsia" w:hAnsiTheme="minorHAnsi"/>
                <w:noProof/>
                <w:color w:val="auto"/>
                <w:kern w:val="0"/>
                <w:sz w:val="22"/>
                <w:szCs w:val="22"/>
                <w:lang w:val="en-US" w:eastAsia="en-US"/>
              </w:rPr>
              <w:tab/>
            </w:r>
            <w:r w:rsidRPr="005B4EDD">
              <w:rPr>
                <w:rStyle w:val="Hyperlink"/>
                <w:noProof/>
              </w:rPr>
              <w:t>Обхват на Плана за оценка на ОПОС 2014-2020 г.</w:t>
            </w:r>
            <w:r>
              <w:rPr>
                <w:noProof/>
                <w:webHidden/>
              </w:rPr>
              <w:tab/>
            </w:r>
            <w:r>
              <w:rPr>
                <w:noProof/>
                <w:webHidden/>
              </w:rPr>
              <w:fldChar w:fldCharType="begin"/>
            </w:r>
            <w:r>
              <w:rPr>
                <w:noProof/>
                <w:webHidden/>
              </w:rPr>
              <w:instrText xml:space="preserve"> PAGEREF _Toc453078506 \h </w:instrText>
            </w:r>
            <w:r>
              <w:rPr>
                <w:noProof/>
                <w:webHidden/>
              </w:rPr>
            </w:r>
            <w:r>
              <w:rPr>
                <w:noProof/>
                <w:webHidden/>
              </w:rPr>
              <w:fldChar w:fldCharType="separate"/>
            </w:r>
            <w:r>
              <w:rPr>
                <w:noProof/>
                <w:webHidden/>
              </w:rPr>
              <w:t>10</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07" w:history="1">
            <w:r w:rsidRPr="005B4EDD">
              <w:rPr>
                <w:rStyle w:val="Hyperlink"/>
                <w:noProof/>
              </w:rPr>
              <w:t>2.3.</w:t>
            </w:r>
            <w:r>
              <w:rPr>
                <w:rFonts w:asciiTheme="minorHAnsi" w:eastAsiaTheme="minorEastAsia" w:hAnsiTheme="minorHAnsi"/>
                <w:noProof/>
                <w:color w:val="auto"/>
                <w:kern w:val="0"/>
                <w:sz w:val="22"/>
                <w:szCs w:val="22"/>
                <w:lang w:val="en-US" w:eastAsia="en-US"/>
              </w:rPr>
              <w:tab/>
            </w:r>
            <w:r w:rsidRPr="005B4EDD">
              <w:rPr>
                <w:rStyle w:val="Hyperlink"/>
                <w:noProof/>
              </w:rPr>
              <w:t>Обосновка на фокуса на оценката по ОПОС</w:t>
            </w:r>
            <w:r>
              <w:rPr>
                <w:noProof/>
                <w:webHidden/>
              </w:rPr>
              <w:tab/>
            </w:r>
            <w:r>
              <w:rPr>
                <w:noProof/>
                <w:webHidden/>
              </w:rPr>
              <w:fldChar w:fldCharType="begin"/>
            </w:r>
            <w:r>
              <w:rPr>
                <w:noProof/>
                <w:webHidden/>
              </w:rPr>
              <w:instrText xml:space="preserve"> PAGEREF _Toc453078507 \h </w:instrText>
            </w:r>
            <w:r>
              <w:rPr>
                <w:noProof/>
                <w:webHidden/>
              </w:rPr>
            </w:r>
            <w:r>
              <w:rPr>
                <w:noProof/>
                <w:webHidden/>
              </w:rPr>
              <w:fldChar w:fldCharType="separate"/>
            </w:r>
            <w:r>
              <w:rPr>
                <w:noProof/>
                <w:webHidden/>
              </w:rPr>
              <w:t>11</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08" w:history="1">
            <w:r w:rsidRPr="005B4EDD">
              <w:rPr>
                <w:rStyle w:val="Hyperlink"/>
                <w:noProof/>
              </w:rPr>
              <w:t>2.4.</w:t>
            </w:r>
            <w:r>
              <w:rPr>
                <w:rFonts w:asciiTheme="minorHAnsi" w:eastAsiaTheme="minorEastAsia" w:hAnsiTheme="minorHAnsi"/>
                <w:noProof/>
                <w:color w:val="auto"/>
                <w:kern w:val="0"/>
                <w:sz w:val="22"/>
                <w:szCs w:val="22"/>
                <w:lang w:val="en-US" w:eastAsia="en-US"/>
              </w:rPr>
              <w:tab/>
            </w:r>
            <w:r w:rsidRPr="005B4EDD">
              <w:rPr>
                <w:rStyle w:val="Hyperlink"/>
                <w:noProof/>
              </w:rPr>
              <w:t>Координация по изпълнение на Плана за оценка на ОПОС</w:t>
            </w:r>
            <w:r>
              <w:rPr>
                <w:noProof/>
                <w:webHidden/>
              </w:rPr>
              <w:tab/>
            </w:r>
            <w:r>
              <w:rPr>
                <w:noProof/>
                <w:webHidden/>
              </w:rPr>
              <w:fldChar w:fldCharType="begin"/>
            </w:r>
            <w:r>
              <w:rPr>
                <w:noProof/>
                <w:webHidden/>
              </w:rPr>
              <w:instrText xml:space="preserve"> PAGEREF _Toc453078508 \h </w:instrText>
            </w:r>
            <w:r>
              <w:rPr>
                <w:noProof/>
                <w:webHidden/>
              </w:rPr>
            </w:r>
            <w:r>
              <w:rPr>
                <w:noProof/>
                <w:webHidden/>
              </w:rPr>
              <w:fldChar w:fldCharType="separate"/>
            </w:r>
            <w:r>
              <w:rPr>
                <w:noProof/>
                <w:webHidden/>
              </w:rPr>
              <w:t>13</w:t>
            </w:r>
            <w:r>
              <w:rPr>
                <w:noProof/>
                <w:webHidden/>
              </w:rPr>
              <w:fldChar w:fldCharType="end"/>
            </w:r>
          </w:hyperlink>
        </w:p>
        <w:p w:rsidR="007D5F8C" w:rsidRDefault="007D5F8C">
          <w:pPr>
            <w:pStyle w:val="TOC1"/>
            <w:rPr>
              <w:rFonts w:asciiTheme="minorHAnsi" w:eastAsiaTheme="minorEastAsia" w:hAnsiTheme="minorHAnsi"/>
              <w:color w:val="auto"/>
              <w:kern w:val="0"/>
              <w:szCs w:val="22"/>
              <w:lang w:val="en-US" w:eastAsia="en-US"/>
            </w:rPr>
          </w:pPr>
          <w:hyperlink w:anchor="_Toc453078509" w:history="1">
            <w:r w:rsidRPr="005B4EDD">
              <w:rPr>
                <w:rStyle w:val="Hyperlink"/>
              </w:rPr>
              <w:t xml:space="preserve">3 </w:t>
            </w:r>
            <w:r w:rsidRPr="005B4EDD">
              <w:rPr>
                <w:rStyle w:val="Hyperlink"/>
                <w:lang w:val="ru-RU"/>
              </w:rPr>
              <w:t xml:space="preserve">| </w:t>
            </w:r>
            <w:r w:rsidRPr="005B4EDD">
              <w:rPr>
                <w:rStyle w:val="Hyperlink"/>
              </w:rPr>
              <w:t>Рамка на оценката по ОПОС 2014-2020 г.</w:t>
            </w:r>
            <w:r>
              <w:rPr>
                <w:webHidden/>
              </w:rPr>
              <w:tab/>
            </w:r>
            <w:r>
              <w:rPr>
                <w:webHidden/>
              </w:rPr>
              <w:fldChar w:fldCharType="begin"/>
            </w:r>
            <w:r>
              <w:rPr>
                <w:webHidden/>
              </w:rPr>
              <w:instrText xml:space="preserve"> PAGEREF _Toc453078509 \h </w:instrText>
            </w:r>
            <w:r>
              <w:rPr>
                <w:webHidden/>
              </w:rPr>
            </w:r>
            <w:r>
              <w:rPr>
                <w:webHidden/>
              </w:rPr>
              <w:fldChar w:fldCharType="separate"/>
            </w:r>
            <w:r>
              <w:rPr>
                <w:webHidden/>
              </w:rPr>
              <w:t>14</w:t>
            </w:r>
            <w:r>
              <w:rPr>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11" w:history="1">
            <w:r w:rsidRPr="005B4EDD">
              <w:rPr>
                <w:rStyle w:val="Hyperlink"/>
                <w:noProof/>
              </w:rPr>
              <w:t>3.1.</w:t>
            </w:r>
            <w:r>
              <w:rPr>
                <w:rFonts w:asciiTheme="minorHAnsi" w:eastAsiaTheme="minorEastAsia" w:hAnsiTheme="minorHAnsi"/>
                <w:noProof/>
                <w:color w:val="auto"/>
                <w:kern w:val="0"/>
                <w:sz w:val="22"/>
                <w:szCs w:val="22"/>
                <w:lang w:val="en-US" w:eastAsia="en-US"/>
              </w:rPr>
              <w:tab/>
            </w:r>
            <w:r w:rsidRPr="005B4EDD">
              <w:rPr>
                <w:rStyle w:val="Hyperlink"/>
                <w:noProof/>
              </w:rPr>
              <w:t>Обезпечаване функцията по планиране и провеждане на оценка на ОПОС</w:t>
            </w:r>
            <w:r>
              <w:rPr>
                <w:noProof/>
                <w:webHidden/>
              </w:rPr>
              <w:tab/>
            </w:r>
            <w:r>
              <w:rPr>
                <w:noProof/>
                <w:webHidden/>
              </w:rPr>
              <w:fldChar w:fldCharType="begin"/>
            </w:r>
            <w:r>
              <w:rPr>
                <w:noProof/>
                <w:webHidden/>
              </w:rPr>
              <w:instrText xml:space="preserve"> PAGEREF _Toc453078511 \h </w:instrText>
            </w:r>
            <w:r>
              <w:rPr>
                <w:noProof/>
                <w:webHidden/>
              </w:rPr>
            </w:r>
            <w:r>
              <w:rPr>
                <w:noProof/>
                <w:webHidden/>
              </w:rPr>
              <w:fldChar w:fldCharType="separate"/>
            </w:r>
            <w:r>
              <w:rPr>
                <w:noProof/>
                <w:webHidden/>
              </w:rPr>
              <w:t>14</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12" w:history="1">
            <w:r w:rsidRPr="005B4EDD">
              <w:rPr>
                <w:rStyle w:val="Hyperlink"/>
                <w:noProof/>
              </w:rPr>
              <w:t>3.2.</w:t>
            </w:r>
            <w:r>
              <w:rPr>
                <w:rFonts w:asciiTheme="minorHAnsi" w:eastAsiaTheme="minorEastAsia" w:hAnsiTheme="minorHAnsi"/>
                <w:noProof/>
                <w:color w:val="auto"/>
                <w:kern w:val="0"/>
                <w:sz w:val="22"/>
                <w:szCs w:val="22"/>
                <w:lang w:val="en-US" w:eastAsia="en-US"/>
              </w:rPr>
              <w:tab/>
            </w:r>
            <w:r w:rsidRPr="005B4EDD">
              <w:rPr>
                <w:rStyle w:val="Hyperlink"/>
                <w:noProof/>
              </w:rPr>
              <w:t>Описание на процеса на оценка по ОПОС 2014-2020 г. под ръководството на УО и функции на другите основни участници</w:t>
            </w:r>
            <w:r>
              <w:rPr>
                <w:noProof/>
                <w:webHidden/>
              </w:rPr>
              <w:tab/>
            </w:r>
            <w:r>
              <w:rPr>
                <w:noProof/>
                <w:webHidden/>
              </w:rPr>
              <w:fldChar w:fldCharType="begin"/>
            </w:r>
            <w:r>
              <w:rPr>
                <w:noProof/>
                <w:webHidden/>
              </w:rPr>
              <w:instrText xml:space="preserve"> PAGEREF _Toc453078512 \h </w:instrText>
            </w:r>
            <w:r>
              <w:rPr>
                <w:noProof/>
                <w:webHidden/>
              </w:rPr>
            </w:r>
            <w:r>
              <w:rPr>
                <w:noProof/>
                <w:webHidden/>
              </w:rPr>
              <w:fldChar w:fldCharType="separate"/>
            </w:r>
            <w:r>
              <w:rPr>
                <w:noProof/>
                <w:webHidden/>
              </w:rPr>
              <w:t>18</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13" w:history="1">
            <w:r w:rsidRPr="005B4EDD">
              <w:rPr>
                <w:rStyle w:val="Hyperlink"/>
                <w:noProof/>
              </w:rPr>
              <w:t>3.2.1.</w:t>
            </w:r>
            <w:r>
              <w:rPr>
                <w:rFonts w:asciiTheme="minorHAnsi" w:eastAsiaTheme="minorEastAsia" w:hAnsiTheme="minorHAnsi"/>
                <w:noProof/>
                <w:color w:val="auto"/>
                <w:kern w:val="0"/>
                <w:sz w:val="22"/>
                <w:szCs w:val="22"/>
                <w:lang w:val="en-US" w:eastAsia="en-US"/>
              </w:rPr>
              <w:tab/>
            </w:r>
            <w:r w:rsidRPr="005B4EDD">
              <w:rPr>
                <w:rStyle w:val="Hyperlink"/>
                <w:noProof/>
              </w:rPr>
              <w:t>Процедурен ред по управление и координация на оценката на ОПОС в УО</w:t>
            </w:r>
            <w:r>
              <w:rPr>
                <w:noProof/>
                <w:webHidden/>
              </w:rPr>
              <w:tab/>
            </w:r>
            <w:r>
              <w:rPr>
                <w:noProof/>
                <w:webHidden/>
              </w:rPr>
              <w:fldChar w:fldCharType="begin"/>
            </w:r>
            <w:r>
              <w:rPr>
                <w:noProof/>
                <w:webHidden/>
              </w:rPr>
              <w:instrText xml:space="preserve"> PAGEREF _Toc453078513 \h </w:instrText>
            </w:r>
            <w:r>
              <w:rPr>
                <w:noProof/>
                <w:webHidden/>
              </w:rPr>
            </w:r>
            <w:r>
              <w:rPr>
                <w:noProof/>
                <w:webHidden/>
              </w:rPr>
              <w:fldChar w:fldCharType="separate"/>
            </w:r>
            <w:r>
              <w:rPr>
                <w:noProof/>
                <w:webHidden/>
              </w:rPr>
              <w:t>18</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14" w:history="1">
            <w:r w:rsidRPr="005B4EDD">
              <w:rPr>
                <w:rStyle w:val="Hyperlink"/>
                <w:noProof/>
              </w:rPr>
              <w:t>3.2.2.</w:t>
            </w:r>
            <w:r>
              <w:rPr>
                <w:rFonts w:asciiTheme="minorHAnsi" w:eastAsiaTheme="minorEastAsia" w:hAnsiTheme="minorHAnsi"/>
                <w:noProof/>
                <w:color w:val="auto"/>
                <w:kern w:val="0"/>
                <w:sz w:val="22"/>
                <w:szCs w:val="22"/>
                <w:lang w:val="en-US" w:eastAsia="en-US"/>
              </w:rPr>
              <w:tab/>
            </w:r>
            <w:r w:rsidRPr="005B4EDD">
              <w:rPr>
                <w:rStyle w:val="Hyperlink"/>
                <w:noProof/>
              </w:rPr>
              <w:t>Функции на Комитета за наблюдение на ОПОС 2014-2020 г. в областта на оценката</w:t>
            </w:r>
            <w:r>
              <w:rPr>
                <w:noProof/>
                <w:webHidden/>
              </w:rPr>
              <w:tab/>
            </w:r>
            <w:r>
              <w:rPr>
                <w:noProof/>
                <w:webHidden/>
              </w:rPr>
              <w:fldChar w:fldCharType="begin"/>
            </w:r>
            <w:r>
              <w:rPr>
                <w:noProof/>
                <w:webHidden/>
              </w:rPr>
              <w:instrText xml:space="preserve"> PAGEREF _Toc453078514 \h </w:instrText>
            </w:r>
            <w:r>
              <w:rPr>
                <w:noProof/>
                <w:webHidden/>
              </w:rPr>
            </w:r>
            <w:r>
              <w:rPr>
                <w:noProof/>
                <w:webHidden/>
              </w:rPr>
              <w:fldChar w:fldCharType="separate"/>
            </w:r>
            <w:r>
              <w:rPr>
                <w:noProof/>
                <w:webHidden/>
              </w:rPr>
              <w:t>21</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15" w:history="1">
            <w:r w:rsidRPr="005B4EDD">
              <w:rPr>
                <w:rStyle w:val="Hyperlink"/>
                <w:noProof/>
              </w:rPr>
              <w:t>3.2.3.</w:t>
            </w:r>
            <w:r>
              <w:rPr>
                <w:rFonts w:asciiTheme="minorHAnsi" w:eastAsiaTheme="minorEastAsia" w:hAnsiTheme="minorHAnsi"/>
                <w:noProof/>
                <w:color w:val="auto"/>
                <w:kern w:val="0"/>
                <w:sz w:val="22"/>
                <w:szCs w:val="22"/>
                <w:lang w:val="en-US" w:eastAsia="en-US"/>
              </w:rPr>
              <w:tab/>
            </w:r>
            <w:r w:rsidRPr="005B4EDD">
              <w:rPr>
                <w:rStyle w:val="Hyperlink"/>
                <w:noProof/>
              </w:rPr>
              <w:t>Роля на външните независими оценители в процеса на оценка по ОПОС</w:t>
            </w:r>
            <w:r>
              <w:rPr>
                <w:noProof/>
                <w:webHidden/>
              </w:rPr>
              <w:tab/>
            </w:r>
            <w:r>
              <w:rPr>
                <w:noProof/>
                <w:webHidden/>
              </w:rPr>
              <w:fldChar w:fldCharType="begin"/>
            </w:r>
            <w:r>
              <w:rPr>
                <w:noProof/>
                <w:webHidden/>
              </w:rPr>
              <w:instrText xml:space="preserve"> PAGEREF _Toc453078515 \h </w:instrText>
            </w:r>
            <w:r>
              <w:rPr>
                <w:noProof/>
                <w:webHidden/>
              </w:rPr>
            </w:r>
            <w:r>
              <w:rPr>
                <w:noProof/>
                <w:webHidden/>
              </w:rPr>
              <w:fldChar w:fldCharType="separate"/>
            </w:r>
            <w:r>
              <w:rPr>
                <w:noProof/>
                <w:webHidden/>
              </w:rPr>
              <w:t>22</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16" w:history="1">
            <w:r w:rsidRPr="005B4EDD">
              <w:rPr>
                <w:rStyle w:val="Hyperlink"/>
                <w:noProof/>
              </w:rPr>
              <w:t>3.2.4.</w:t>
            </w:r>
            <w:r>
              <w:rPr>
                <w:rFonts w:asciiTheme="minorHAnsi" w:eastAsiaTheme="minorEastAsia" w:hAnsiTheme="minorHAnsi"/>
                <w:noProof/>
                <w:color w:val="auto"/>
                <w:kern w:val="0"/>
                <w:sz w:val="22"/>
                <w:szCs w:val="22"/>
                <w:lang w:val="en-US" w:eastAsia="en-US"/>
              </w:rPr>
              <w:tab/>
            </w:r>
            <w:r w:rsidRPr="005B4EDD">
              <w:rPr>
                <w:rStyle w:val="Hyperlink"/>
                <w:noProof/>
              </w:rPr>
              <w:t>Роля на Постоянната междуведомствена работна група за оценка на ЕСИФ 2014-2020 г. в процеса на оценка на ОПОС</w:t>
            </w:r>
            <w:r>
              <w:rPr>
                <w:noProof/>
                <w:webHidden/>
              </w:rPr>
              <w:tab/>
            </w:r>
            <w:r>
              <w:rPr>
                <w:noProof/>
                <w:webHidden/>
              </w:rPr>
              <w:fldChar w:fldCharType="begin"/>
            </w:r>
            <w:r>
              <w:rPr>
                <w:noProof/>
                <w:webHidden/>
              </w:rPr>
              <w:instrText xml:space="preserve"> PAGEREF _Toc453078516 \h </w:instrText>
            </w:r>
            <w:r>
              <w:rPr>
                <w:noProof/>
                <w:webHidden/>
              </w:rPr>
            </w:r>
            <w:r>
              <w:rPr>
                <w:noProof/>
                <w:webHidden/>
              </w:rPr>
              <w:fldChar w:fldCharType="separate"/>
            </w:r>
            <w:r>
              <w:rPr>
                <w:noProof/>
                <w:webHidden/>
              </w:rPr>
              <w:t>23</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17" w:history="1">
            <w:r w:rsidRPr="005B4EDD">
              <w:rPr>
                <w:rStyle w:val="Hyperlink"/>
                <w:noProof/>
              </w:rPr>
              <w:t>3.2.5.</w:t>
            </w:r>
            <w:r>
              <w:rPr>
                <w:rFonts w:asciiTheme="minorHAnsi" w:eastAsiaTheme="minorEastAsia" w:hAnsiTheme="minorHAnsi"/>
                <w:noProof/>
                <w:color w:val="auto"/>
                <w:kern w:val="0"/>
                <w:sz w:val="22"/>
                <w:szCs w:val="22"/>
                <w:lang w:val="en-US" w:eastAsia="en-US"/>
              </w:rPr>
              <w:tab/>
            </w:r>
            <w:r w:rsidRPr="005B4EDD">
              <w:rPr>
                <w:rStyle w:val="Hyperlink"/>
                <w:noProof/>
              </w:rPr>
              <w:t>Роля на Европейската комисия в процеса на оценка на ОПОС</w:t>
            </w:r>
            <w:r>
              <w:rPr>
                <w:noProof/>
                <w:webHidden/>
              </w:rPr>
              <w:tab/>
            </w:r>
            <w:r>
              <w:rPr>
                <w:noProof/>
                <w:webHidden/>
              </w:rPr>
              <w:fldChar w:fldCharType="begin"/>
            </w:r>
            <w:r>
              <w:rPr>
                <w:noProof/>
                <w:webHidden/>
              </w:rPr>
              <w:instrText xml:space="preserve"> PAGEREF _Toc453078517 \h </w:instrText>
            </w:r>
            <w:r>
              <w:rPr>
                <w:noProof/>
                <w:webHidden/>
              </w:rPr>
            </w:r>
            <w:r>
              <w:rPr>
                <w:noProof/>
                <w:webHidden/>
              </w:rPr>
              <w:fldChar w:fldCharType="separate"/>
            </w:r>
            <w:r>
              <w:rPr>
                <w:noProof/>
                <w:webHidden/>
              </w:rPr>
              <w:t>23</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18" w:history="1">
            <w:r w:rsidRPr="005B4EDD">
              <w:rPr>
                <w:rStyle w:val="Hyperlink"/>
                <w:noProof/>
              </w:rPr>
              <w:t>3.3.</w:t>
            </w:r>
            <w:r>
              <w:rPr>
                <w:rFonts w:asciiTheme="minorHAnsi" w:eastAsiaTheme="minorEastAsia" w:hAnsiTheme="minorHAnsi"/>
                <w:noProof/>
                <w:color w:val="auto"/>
                <w:kern w:val="0"/>
                <w:sz w:val="22"/>
                <w:szCs w:val="22"/>
                <w:lang w:val="en-US" w:eastAsia="en-US"/>
              </w:rPr>
              <w:tab/>
            </w:r>
            <w:r w:rsidRPr="005B4EDD">
              <w:rPr>
                <w:rStyle w:val="Hyperlink"/>
                <w:noProof/>
              </w:rPr>
              <w:t>Участие на партньорите в процеса на оценка на ОПОС</w:t>
            </w:r>
            <w:r>
              <w:rPr>
                <w:noProof/>
                <w:webHidden/>
              </w:rPr>
              <w:tab/>
            </w:r>
            <w:r>
              <w:rPr>
                <w:noProof/>
                <w:webHidden/>
              </w:rPr>
              <w:fldChar w:fldCharType="begin"/>
            </w:r>
            <w:r>
              <w:rPr>
                <w:noProof/>
                <w:webHidden/>
              </w:rPr>
              <w:instrText xml:space="preserve"> PAGEREF _Toc453078518 \h </w:instrText>
            </w:r>
            <w:r>
              <w:rPr>
                <w:noProof/>
                <w:webHidden/>
              </w:rPr>
            </w:r>
            <w:r>
              <w:rPr>
                <w:noProof/>
                <w:webHidden/>
              </w:rPr>
              <w:fldChar w:fldCharType="separate"/>
            </w:r>
            <w:r>
              <w:rPr>
                <w:noProof/>
                <w:webHidden/>
              </w:rPr>
              <w:t>24</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19" w:history="1">
            <w:r w:rsidRPr="005B4EDD">
              <w:rPr>
                <w:rStyle w:val="Hyperlink"/>
                <w:noProof/>
              </w:rPr>
              <w:t>3.4.</w:t>
            </w:r>
            <w:r>
              <w:rPr>
                <w:rFonts w:asciiTheme="minorHAnsi" w:eastAsiaTheme="minorEastAsia" w:hAnsiTheme="minorHAnsi"/>
                <w:noProof/>
                <w:color w:val="auto"/>
                <w:kern w:val="0"/>
                <w:sz w:val="22"/>
                <w:szCs w:val="22"/>
                <w:lang w:val="en-US" w:eastAsia="en-US"/>
              </w:rPr>
              <w:tab/>
            </w:r>
            <w:r w:rsidRPr="005B4EDD">
              <w:rPr>
                <w:rStyle w:val="Hyperlink"/>
                <w:noProof/>
              </w:rPr>
              <w:t>Външен източник на експертиза за провеждане на оценката на опос</w:t>
            </w:r>
            <w:r>
              <w:rPr>
                <w:noProof/>
                <w:webHidden/>
              </w:rPr>
              <w:tab/>
            </w:r>
            <w:r>
              <w:rPr>
                <w:noProof/>
                <w:webHidden/>
              </w:rPr>
              <w:fldChar w:fldCharType="begin"/>
            </w:r>
            <w:r>
              <w:rPr>
                <w:noProof/>
                <w:webHidden/>
              </w:rPr>
              <w:instrText xml:space="preserve"> PAGEREF _Toc453078519 \h </w:instrText>
            </w:r>
            <w:r>
              <w:rPr>
                <w:noProof/>
                <w:webHidden/>
              </w:rPr>
            </w:r>
            <w:r>
              <w:rPr>
                <w:noProof/>
                <w:webHidden/>
              </w:rPr>
              <w:fldChar w:fldCharType="separate"/>
            </w:r>
            <w:r>
              <w:rPr>
                <w:noProof/>
                <w:webHidden/>
              </w:rPr>
              <w:t>24</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0" w:history="1">
            <w:r w:rsidRPr="005B4EDD">
              <w:rPr>
                <w:rStyle w:val="Hyperlink"/>
                <w:noProof/>
              </w:rPr>
              <w:t>3.5.</w:t>
            </w:r>
            <w:r>
              <w:rPr>
                <w:rFonts w:asciiTheme="minorHAnsi" w:eastAsiaTheme="minorEastAsia" w:hAnsiTheme="minorHAnsi"/>
                <w:noProof/>
                <w:color w:val="auto"/>
                <w:kern w:val="0"/>
                <w:sz w:val="22"/>
                <w:szCs w:val="22"/>
                <w:lang w:val="en-US" w:eastAsia="en-US"/>
              </w:rPr>
              <w:tab/>
            </w:r>
            <w:r w:rsidRPr="005B4EDD">
              <w:rPr>
                <w:rStyle w:val="Hyperlink"/>
                <w:noProof/>
              </w:rPr>
              <w:t>Осигурен вътрешен капацитет на УО за управление на оценката</w:t>
            </w:r>
            <w:r>
              <w:rPr>
                <w:noProof/>
                <w:webHidden/>
              </w:rPr>
              <w:tab/>
            </w:r>
            <w:r>
              <w:rPr>
                <w:noProof/>
                <w:webHidden/>
              </w:rPr>
              <w:fldChar w:fldCharType="begin"/>
            </w:r>
            <w:r>
              <w:rPr>
                <w:noProof/>
                <w:webHidden/>
              </w:rPr>
              <w:instrText xml:space="preserve"> PAGEREF _Toc453078520 \h </w:instrText>
            </w:r>
            <w:r>
              <w:rPr>
                <w:noProof/>
                <w:webHidden/>
              </w:rPr>
            </w:r>
            <w:r>
              <w:rPr>
                <w:noProof/>
                <w:webHidden/>
              </w:rPr>
              <w:fldChar w:fldCharType="separate"/>
            </w:r>
            <w:r>
              <w:rPr>
                <w:noProof/>
                <w:webHidden/>
              </w:rPr>
              <w:t>24</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1" w:history="1">
            <w:r w:rsidRPr="005B4EDD">
              <w:rPr>
                <w:rStyle w:val="Hyperlink"/>
                <w:noProof/>
              </w:rPr>
              <w:t>3.6.</w:t>
            </w:r>
            <w:r>
              <w:rPr>
                <w:rFonts w:asciiTheme="minorHAnsi" w:eastAsiaTheme="minorEastAsia" w:hAnsiTheme="minorHAnsi"/>
                <w:noProof/>
                <w:color w:val="auto"/>
                <w:kern w:val="0"/>
                <w:sz w:val="22"/>
                <w:szCs w:val="22"/>
                <w:lang w:val="en-US" w:eastAsia="en-US"/>
              </w:rPr>
              <w:tab/>
            </w:r>
            <w:r w:rsidRPr="005B4EDD">
              <w:rPr>
                <w:rStyle w:val="Hyperlink"/>
                <w:noProof/>
              </w:rPr>
              <w:t>План за обучение на човешките ресурси в УО, ангажирани с оценката</w:t>
            </w:r>
            <w:r>
              <w:rPr>
                <w:noProof/>
                <w:webHidden/>
              </w:rPr>
              <w:tab/>
            </w:r>
            <w:r>
              <w:rPr>
                <w:noProof/>
                <w:webHidden/>
              </w:rPr>
              <w:fldChar w:fldCharType="begin"/>
            </w:r>
            <w:r>
              <w:rPr>
                <w:noProof/>
                <w:webHidden/>
              </w:rPr>
              <w:instrText xml:space="preserve"> PAGEREF _Toc453078521 \h </w:instrText>
            </w:r>
            <w:r>
              <w:rPr>
                <w:noProof/>
                <w:webHidden/>
              </w:rPr>
            </w:r>
            <w:r>
              <w:rPr>
                <w:noProof/>
                <w:webHidden/>
              </w:rPr>
              <w:fldChar w:fldCharType="separate"/>
            </w:r>
            <w:r>
              <w:rPr>
                <w:noProof/>
                <w:webHidden/>
              </w:rPr>
              <w:t>25</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2" w:history="1">
            <w:r w:rsidRPr="005B4EDD">
              <w:rPr>
                <w:rStyle w:val="Hyperlink"/>
                <w:noProof/>
              </w:rPr>
              <w:t>3.7.</w:t>
            </w:r>
            <w:r>
              <w:rPr>
                <w:rFonts w:asciiTheme="minorHAnsi" w:eastAsiaTheme="minorEastAsia" w:hAnsiTheme="minorHAnsi"/>
                <w:noProof/>
                <w:color w:val="auto"/>
                <w:kern w:val="0"/>
                <w:sz w:val="22"/>
                <w:szCs w:val="22"/>
                <w:lang w:val="en-US" w:eastAsia="en-US"/>
              </w:rPr>
              <w:tab/>
            </w:r>
            <w:r w:rsidRPr="005B4EDD">
              <w:rPr>
                <w:rStyle w:val="Hyperlink"/>
                <w:noProof/>
              </w:rPr>
              <w:t>Стратегия за използване и оповестяване на резултатите от оценката на ОПОС</w:t>
            </w:r>
            <w:r>
              <w:rPr>
                <w:noProof/>
                <w:webHidden/>
              </w:rPr>
              <w:tab/>
            </w:r>
            <w:r>
              <w:rPr>
                <w:noProof/>
                <w:webHidden/>
              </w:rPr>
              <w:fldChar w:fldCharType="begin"/>
            </w:r>
            <w:r>
              <w:rPr>
                <w:noProof/>
                <w:webHidden/>
              </w:rPr>
              <w:instrText xml:space="preserve"> PAGEREF _Toc453078522 \h </w:instrText>
            </w:r>
            <w:r>
              <w:rPr>
                <w:noProof/>
                <w:webHidden/>
              </w:rPr>
            </w:r>
            <w:r>
              <w:rPr>
                <w:noProof/>
                <w:webHidden/>
              </w:rPr>
              <w:fldChar w:fldCharType="separate"/>
            </w:r>
            <w:r>
              <w:rPr>
                <w:noProof/>
                <w:webHidden/>
              </w:rPr>
              <w:t>27</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3" w:history="1">
            <w:r w:rsidRPr="005B4EDD">
              <w:rPr>
                <w:rStyle w:val="Hyperlink"/>
                <w:noProof/>
              </w:rPr>
              <w:t>3.8.</w:t>
            </w:r>
            <w:r>
              <w:rPr>
                <w:rFonts w:asciiTheme="minorHAnsi" w:eastAsiaTheme="minorEastAsia" w:hAnsiTheme="minorHAnsi"/>
                <w:noProof/>
                <w:color w:val="auto"/>
                <w:kern w:val="0"/>
                <w:sz w:val="22"/>
                <w:szCs w:val="22"/>
                <w:lang w:val="en-US" w:eastAsia="en-US"/>
              </w:rPr>
              <w:tab/>
            </w:r>
            <w:r w:rsidRPr="005B4EDD">
              <w:rPr>
                <w:rStyle w:val="Hyperlink"/>
                <w:noProof/>
              </w:rPr>
              <w:t>Индикативен бюджет на оценката на ОПОС</w:t>
            </w:r>
            <w:r>
              <w:rPr>
                <w:noProof/>
                <w:webHidden/>
              </w:rPr>
              <w:tab/>
            </w:r>
            <w:r>
              <w:rPr>
                <w:noProof/>
                <w:webHidden/>
              </w:rPr>
              <w:fldChar w:fldCharType="begin"/>
            </w:r>
            <w:r>
              <w:rPr>
                <w:noProof/>
                <w:webHidden/>
              </w:rPr>
              <w:instrText xml:space="preserve"> PAGEREF _Toc453078523 \h </w:instrText>
            </w:r>
            <w:r>
              <w:rPr>
                <w:noProof/>
                <w:webHidden/>
              </w:rPr>
            </w:r>
            <w:r>
              <w:rPr>
                <w:noProof/>
                <w:webHidden/>
              </w:rPr>
              <w:fldChar w:fldCharType="separate"/>
            </w:r>
            <w:r>
              <w:rPr>
                <w:noProof/>
                <w:webHidden/>
              </w:rPr>
              <w:t>31</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4" w:history="1">
            <w:r w:rsidRPr="005B4EDD">
              <w:rPr>
                <w:rStyle w:val="Hyperlink"/>
                <w:noProof/>
              </w:rPr>
              <w:t>3.9.</w:t>
            </w:r>
            <w:r>
              <w:rPr>
                <w:rFonts w:asciiTheme="minorHAnsi" w:eastAsiaTheme="minorEastAsia" w:hAnsiTheme="minorHAnsi"/>
                <w:noProof/>
                <w:color w:val="auto"/>
                <w:kern w:val="0"/>
                <w:sz w:val="22"/>
                <w:szCs w:val="22"/>
                <w:lang w:val="en-US" w:eastAsia="en-US"/>
              </w:rPr>
              <w:tab/>
            </w:r>
            <w:r w:rsidRPr="005B4EDD">
              <w:rPr>
                <w:rStyle w:val="Hyperlink"/>
                <w:noProof/>
              </w:rPr>
              <w:t>Индикативен времеви график за оценка на ОПОС</w:t>
            </w:r>
            <w:r>
              <w:rPr>
                <w:noProof/>
                <w:webHidden/>
              </w:rPr>
              <w:tab/>
            </w:r>
            <w:r>
              <w:rPr>
                <w:noProof/>
                <w:webHidden/>
              </w:rPr>
              <w:fldChar w:fldCharType="begin"/>
            </w:r>
            <w:r>
              <w:rPr>
                <w:noProof/>
                <w:webHidden/>
              </w:rPr>
              <w:instrText xml:space="preserve"> PAGEREF _Toc453078524 \h </w:instrText>
            </w:r>
            <w:r>
              <w:rPr>
                <w:noProof/>
                <w:webHidden/>
              </w:rPr>
            </w:r>
            <w:r>
              <w:rPr>
                <w:noProof/>
                <w:webHidden/>
              </w:rPr>
              <w:fldChar w:fldCharType="separate"/>
            </w:r>
            <w:r>
              <w:rPr>
                <w:noProof/>
                <w:webHidden/>
              </w:rPr>
              <w:t>32</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5" w:history="1">
            <w:r w:rsidRPr="005B4EDD">
              <w:rPr>
                <w:rStyle w:val="Hyperlink"/>
                <w:noProof/>
              </w:rPr>
              <w:t>3.10.</w:t>
            </w:r>
            <w:r>
              <w:rPr>
                <w:rFonts w:asciiTheme="minorHAnsi" w:eastAsiaTheme="minorEastAsia" w:hAnsiTheme="minorHAnsi"/>
                <w:noProof/>
                <w:color w:val="auto"/>
                <w:kern w:val="0"/>
                <w:sz w:val="22"/>
                <w:szCs w:val="22"/>
                <w:lang w:val="en-US" w:eastAsia="en-US"/>
              </w:rPr>
              <w:tab/>
            </w:r>
            <w:r w:rsidRPr="005B4EDD">
              <w:rPr>
                <w:rStyle w:val="Hyperlink"/>
                <w:noProof/>
              </w:rPr>
              <w:t>Стратегия за осигуряване качеството на оценката на ОПОС</w:t>
            </w:r>
            <w:r>
              <w:rPr>
                <w:noProof/>
                <w:webHidden/>
              </w:rPr>
              <w:tab/>
            </w:r>
            <w:r>
              <w:rPr>
                <w:noProof/>
                <w:webHidden/>
              </w:rPr>
              <w:fldChar w:fldCharType="begin"/>
            </w:r>
            <w:r>
              <w:rPr>
                <w:noProof/>
                <w:webHidden/>
              </w:rPr>
              <w:instrText xml:space="preserve"> PAGEREF _Toc453078525 \h </w:instrText>
            </w:r>
            <w:r>
              <w:rPr>
                <w:noProof/>
                <w:webHidden/>
              </w:rPr>
            </w:r>
            <w:r>
              <w:rPr>
                <w:noProof/>
                <w:webHidden/>
              </w:rPr>
              <w:fldChar w:fldCharType="separate"/>
            </w:r>
            <w:r>
              <w:rPr>
                <w:noProof/>
                <w:webHidden/>
              </w:rPr>
              <w:t>35</w:t>
            </w:r>
            <w:r>
              <w:rPr>
                <w:noProof/>
                <w:webHidden/>
              </w:rPr>
              <w:fldChar w:fldCharType="end"/>
            </w:r>
          </w:hyperlink>
        </w:p>
        <w:p w:rsidR="007D5F8C" w:rsidRDefault="007D5F8C">
          <w:pPr>
            <w:pStyle w:val="TOC1"/>
            <w:rPr>
              <w:rFonts w:asciiTheme="minorHAnsi" w:eastAsiaTheme="minorEastAsia" w:hAnsiTheme="minorHAnsi"/>
              <w:color w:val="auto"/>
              <w:kern w:val="0"/>
              <w:szCs w:val="22"/>
              <w:lang w:val="en-US" w:eastAsia="en-US"/>
            </w:rPr>
          </w:pPr>
          <w:hyperlink w:anchor="_Toc453078526" w:history="1">
            <w:r w:rsidRPr="005B4EDD">
              <w:rPr>
                <w:rStyle w:val="Hyperlink"/>
              </w:rPr>
              <w:t xml:space="preserve">4 </w:t>
            </w:r>
            <w:r w:rsidRPr="005B4EDD">
              <w:rPr>
                <w:rStyle w:val="Hyperlink"/>
                <w:lang w:val="ru-RU"/>
              </w:rPr>
              <w:t xml:space="preserve">| </w:t>
            </w:r>
            <w:r w:rsidRPr="005B4EDD">
              <w:rPr>
                <w:rStyle w:val="Hyperlink"/>
              </w:rPr>
              <w:t>Индикативен списък на планираните оценки</w:t>
            </w:r>
            <w:r>
              <w:rPr>
                <w:webHidden/>
              </w:rPr>
              <w:tab/>
            </w:r>
            <w:r>
              <w:rPr>
                <w:webHidden/>
              </w:rPr>
              <w:fldChar w:fldCharType="begin"/>
            </w:r>
            <w:r>
              <w:rPr>
                <w:webHidden/>
              </w:rPr>
              <w:instrText xml:space="preserve"> PAGEREF _Toc453078526 \h </w:instrText>
            </w:r>
            <w:r>
              <w:rPr>
                <w:webHidden/>
              </w:rPr>
            </w:r>
            <w:r>
              <w:rPr>
                <w:webHidden/>
              </w:rPr>
              <w:fldChar w:fldCharType="separate"/>
            </w:r>
            <w:r>
              <w:rPr>
                <w:webHidden/>
              </w:rPr>
              <w:t>39</w:t>
            </w:r>
            <w:r>
              <w:rPr>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8" w:history="1">
            <w:r w:rsidRPr="005B4EDD">
              <w:rPr>
                <w:rStyle w:val="Hyperlink"/>
                <w:noProof/>
              </w:rPr>
              <w:t>4.1.</w:t>
            </w:r>
            <w:r>
              <w:rPr>
                <w:rFonts w:asciiTheme="minorHAnsi" w:eastAsiaTheme="minorEastAsia" w:hAnsiTheme="minorHAnsi"/>
                <w:noProof/>
                <w:color w:val="auto"/>
                <w:kern w:val="0"/>
                <w:sz w:val="22"/>
                <w:szCs w:val="22"/>
                <w:lang w:val="en-US" w:eastAsia="en-US"/>
              </w:rPr>
              <w:tab/>
            </w:r>
            <w:r w:rsidRPr="005B4EDD">
              <w:rPr>
                <w:rStyle w:val="Hyperlink"/>
                <w:noProof/>
              </w:rPr>
              <w:t>Основни методи за оценка</w:t>
            </w:r>
            <w:r>
              <w:rPr>
                <w:noProof/>
                <w:webHidden/>
              </w:rPr>
              <w:tab/>
            </w:r>
            <w:r>
              <w:rPr>
                <w:noProof/>
                <w:webHidden/>
              </w:rPr>
              <w:fldChar w:fldCharType="begin"/>
            </w:r>
            <w:r>
              <w:rPr>
                <w:noProof/>
                <w:webHidden/>
              </w:rPr>
              <w:instrText xml:space="preserve"> PAGEREF _Toc453078528 \h </w:instrText>
            </w:r>
            <w:r>
              <w:rPr>
                <w:noProof/>
                <w:webHidden/>
              </w:rPr>
            </w:r>
            <w:r>
              <w:rPr>
                <w:noProof/>
                <w:webHidden/>
              </w:rPr>
              <w:fldChar w:fldCharType="separate"/>
            </w:r>
            <w:r>
              <w:rPr>
                <w:noProof/>
                <w:webHidden/>
              </w:rPr>
              <w:t>39</w:t>
            </w:r>
            <w:r>
              <w:rPr>
                <w:noProof/>
                <w:webHidden/>
              </w:rPr>
              <w:fldChar w:fldCharType="end"/>
            </w:r>
          </w:hyperlink>
        </w:p>
        <w:p w:rsidR="007D5F8C" w:rsidRDefault="007D5F8C">
          <w:pPr>
            <w:pStyle w:val="TOC2"/>
            <w:rPr>
              <w:rFonts w:asciiTheme="minorHAnsi" w:eastAsiaTheme="minorEastAsia" w:hAnsiTheme="minorHAnsi"/>
              <w:noProof/>
              <w:color w:val="auto"/>
              <w:kern w:val="0"/>
              <w:sz w:val="22"/>
              <w:szCs w:val="22"/>
              <w:lang w:val="en-US" w:eastAsia="en-US"/>
            </w:rPr>
          </w:pPr>
          <w:hyperlink w:anchor="_Toc453078529" w:history="1">
            <w:r w:rsidRPr="005B4EDD">
              <w:rPr>
                <w:rStyle w:val="Hyperlink"/>
                <w:noProof/>
              </w:rPr>
              <w:t>4.2.</w:t>
            </w:r>
            <w:r>
              <w:rPr>
                <w:rFonts w:asciiTheme="minorHAnsi" w:eastAsiaTheme="minorEastAsia" w:hAnsiTheme="minorHAnsi"/>
                <w:noProof/>
                <w:color w:val="auto"/>
                <w:kern w:val="0"/>
                <w:sz w:val="22"/>
                <w:szCs w:val="22"/>
                <w:lang w:val="en-US" w:eastAsia="en-US"/>
              </w:rPr>
              <w:tab/>
            </w:r>
            <w:r w:rsidRPr="005B4EDD">
              <w:rPr>
                <w:rStyle w:val="Hyperlink"/>
                <w:noProof/>
              </w:rPr>
              <w:t>Списък на планираните оценки на ОПОС 2014-2020 г.</w:t>
            </w:r>
            <w:r>
              <w:rPr>
                <w:noProof/>
                <w:webHidden/>
              </w:rPr>
              <w:tab/>
            </w:r>
            <w:r>
              <w:rPr>
                <w:noProof/>
                <w:webHidden/>
              </w:rPr>
              <w:fldChar w:fldCharType="begin"/>
            </w:r>
            <w:r>
              <w:rPr>
                <w:noProof/>
                <w:webHidden/>
              </w:rPr>
              <w:instrText xml:space="preserve"> PAGEREF _Toc453078529 \h </w:instrText>
            </w:r>
            <w:r>
              <w:rPr>
                <w:noProof/>
                <w:webHidden/>
              </w:rPr>
            </w:r>
            <w:r>
              <w:rPr>
                <w:noProof/>
                <w:webHidden/>
              </w:rPr>
              <w:fldChar w:fldCharType="separate"/>
            </w:r>
            <w:r>
              <w:rPr>
                <w:noProof/>
                <w:webHidden/>
              </w:rPr>
              <w:t>41</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30" w:history="1">
            <w:r w:rsidRPr="005B4EDD">
              <w:rPr>
                <w:rStyle w:val="Hyperlink"/>
                <w:noProof/>
              </w:rPr>
              <w:t>4.2.1.</w:t>
            </w:r>
            <w:r>
              <w:rPr>
                <w:rFonts w:asciiTheme="minorHAnsi" w:eastAsiaTheme="minorEastAsia" w:hAnsiTheme="minorHAnsi"/>
                <w:noProof/>
                <w:color w:val="auto"/>
                <w:kern w:val="0"/>
                <w:sz w:val="22"/>
                <w:szCs w:val="22"/>
                <w:lang w:val="en-US" w:eastAsia="en-US"/>
              </w:rPr>
              <w:tab/>
            </w:r>
            <w:r w:rsidRPr="005B4EDD">
              <w:rPr>
                <w:rStyle w:val="Hyperlink"/>
                <w:noProof/>
              </w:rPr>
              <w:t>Оценка на ефективността и ефикасността на изпълнението на приоритетна ос 5 „Подобряване качеството на атмосферния въздух” на ОПОС 2014-2020 г.</w:t>
            </w:r>
            <w:r>
              <w:rPr>
                <w:noProof/>
                <w:webHidden/>
              </w:rPr>
              <w:tab/>
            </w:r>
            <w:r>
              <w:rPr>
                <w:noProof/>
                <w:webHidden/>
              </w:rPr>
              <w:fldChar w:fldCharType="begin"/>
            </w:r>
            <w:r>
              <w:rPr>
                <w:noProof/>
                <w:webHidden/>
              </w:rPr>
              <w:instrText xml:space="preserve"> PAGEREF _Toc453078530 \h </w:instrText>
            </w:r>
            <w:r>
              <w:rPr>
                <w:noProof/>
                <w:webHidden/>
              </w:rPr>
            </w:r>
            <w:r>
              <w:rPr>
                <w:noProof/>
                <w:webHidden/>
              </w:rPr>
              <w:fldChar w:fldCharType="separate"/>
            </w:r>
            <w:r>
              <w:rPr>
                <w:noProof/>
                <w:webHidden/>
              </w:rPr>
              <w:t>42</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31" w:history="1">
            <w:r w:rsidRPr="005B4EDD">
              <w:rPr>
                <w:rStyle w:val="Hyperlink"/>
                <w:noProof/>
              </w:rPr>
              <w:t>4.2.2.</w:t>
            </w:r>
            <w:r>
              <w:rPr>
                <w:rFonts w:asciiTheme="minorHAnsi" w:eastAsiaTheme="minorEastAsia" w:hAnsiTheme="minorHAnsi"/>
                <w:noProof/>
                <w:color w:val="auto"/>
                <w:kern w:val="0"/>
                <w:sz w:val="22"/>
                <w:szCs w:val="22"/>
                <w:lang w:val="en-US" w:eastAsia="en-US"/>
              </w:rPr>
              <w:tab/>
            </w:r>
            <w:r w:rsidRPr="005B4EDD">
              <w:rPr>
                <w:rStyle w:val="Hyperlink"/>
                <w:noProof/>
              </w:rPr>
              <w:t>Оценка на напредъка по изпълнението на приоритетни оси 1, 2, 3, 4 и 6 на ОПОС 2014-2020 г.</w:t>
            </w:r>
            <w:r>
              <w:rPr>
                <w:noProof/>
                <w:webHidden/>
              </w:rPr>
              <w:tab/>
            </w:r>
            <w:r>
              <w:rPr>
                <w:noProof/>
                <w:webHidden/>
              </w:rPr>
              <w:fldChar w:fldCharType="begin"/>
            </w:r>
            <w:r>
              <w:rPr>
                <w:noProof/>
                <w:webHidden/>
              </w:rPr>
              <w:instrText xml:space="preserve"> PAGEREF _Toc453078531 \h </w:instrText>
            </w:r>
            <w:r>
              <w:rPr>
                <w:noProof/>
                <w:webHidden/>
              </w:rPr>
            </w:r>
            <w:r>
              <w:rPr>
                <w:noProof/>
                <w:webHidden/>
              </w:rPr>
              <w:fldChar w:fldCharType="separate"/>
            </w:r>
            <w:r>
              <w:rPr>
                <w:noProof/>
                <w:webHidden/>
              </w:rPr>
              <w:t>44</w:t>
            </w:r>
            <w:r>
              <w:rPr>
                <w:noProof/>
                <w:webHidden/>
              </w:rPr>
              <w:fldChar w:fldCharType="end"/>
            </w:r>
          </w:hyperlink>
        </w:p>
        <w:p w:rsidR="007D5F8C" w:rsidRDefault="007D5F8C">
          <w:pPr>
            <w:pStyle w:val="TOC3"/>
            <w:rPr>
              <w:rFonts w:asciiTheme="minorHAnsi" w:eastAsiaTheme="minorEastAsia" w:hAnsiTheme="minorHAnsi"/>
              <w:noProof/>
              <w:color w:val="auto"/>
              <w:kern w:val="0"/>
              <w:sz w:val="22"/>
              <w:szCs w:val="22"/>
              <w:lang w:val="en-US" w:eastAsia="en-US"/>
            </w:rPr>
          </w:pPr>
          <w:hyperlink w:anchor="_Toc453078532" w:history="1">
            <w:r w:rsidRPr="005B4EDD">
              <w:rPr>
                <w:rStyle w:val="Hyperlink"/>
                <w:noProof/>
              </w:rPr>
              <w:t>4.2.3.</w:t>
            </w:r>
            <w:r>
              <w:rPr>
                <w:rFonts w:asciiTheme="minorHAnsi" w:eastAsiaTheme="minorEastAsia" w:hAnsiTheme="minorHAnsi"/>
                <w:noProof/>
                <w:color w:val="auto"/>
                <w:kern w:val="0"/>
                <w:sz w:val="22"/>
                <w:szCs w:val="22"/>
                <w:lang w:val="en-US" w:eastAsia="en-US"/>
              </w:rPr>
              <w:tab/>
            </w:r>
            <w:r w:rsidRPr="005B4EDD">
              <w:rPr>
                <w:rStyle w:val="Hyperlink"/>
                <w:noProof/>
              </w:rPr>
              <w:t xml:space="preserve">Оценка на въздействието на ОПОС 2014 – 2020 г. и на приноса на подкрепата от ЕСИФ за постигането </w:t>
            </w:r>
            <w:r w:rsidRPr="005B4EDD">
              <w:rPr>
                <w:rStyle w:val="Hyperlink"/>
                <w:rFonts w:cs="Times New Roman"/>
                <w:noProof/>
              </w:rPr>
              <w:t>на специфичните цели по всеки приоритет на програмата</w:t>
            </w:r>
            <w:r>
              <w:rPr>
                <w:noProof/>
                <w:webHidden/>
              </w:rPr>
              <w:tab/>
            </w:r>
            <w:r>
              <w:rPr>
                <w:noProof/>
                <w:webHidden/>
              </w:rPr>
              <w:fldChar w:fldCharType="begin"/>
            </w:r>
            <w:r>
              <w:rPr>
                <w:noProof/>
                <w:webHidden/>
              </w:rPr>
              <w:instrText xml:space="preserve"> PAGEREF _Toc453078532 \h </w:instrText>
            </w:r>
            <w:r>
              <w:rPr>
                <w:noProof/>
                <w:webHidden/>
              </w:rPr>
            </w:r>
            <w:r>
              <w:rPr>
                <w:noProof/>
                <w:webHidden/>
              </w:rPr>
              <w:fldChar w:fldCharType="separate"/>
            </w:r>
            <w:r>
              <w:rPr>
                <w:noProof/>
                <w:webHidden/>
              </w:rPr>
              <w:t>47</w:t>
            </w:r>
            <w:r>
              <w:rPr>
                <w:noProof/>
                <w:webHidden/>
              </w:rPr>
              <w:fldChar w:fldCharType="end"/>
            </w:r>
          </w:hyperlink>
        </w:p>
        <w:p w:rsidR="00320344" w:rsidRDefault="00320344" w:rsidP="00EB274A">
          <w:pPr>
            <w:jc w:val="both"/>
          </w:pPr>
          <w:r>
            <w:fldChar w:fldCharType="end"/>
          </w:r>
        </w:p>
      </w:sdtContent>
    </w:sdt>
    <w:p w:rsidR="00502667" w:rsidRDefault="00502667" w:rsidP="00EB274A">
      <w:pPr>
        <w:jc w:val="both"/>
      </w:pPr>
    </w:p>
    <w:p w:rsidR="004B21B2" w:rsidRDefault="004B21B2" w:rsidP="00EB274A">
      <w:pPr>
        <w:jc w:val="both"/>
      </w:pPr>
    </w:p>
    <w:p w:rsidR="004B21B2" w:rsidRDefault="004B21B2" w:rsidP="00EB274A">
      <w:pPr>
        <w:spacing w:before="40" w:after="160"/>
        <w:jc w:val="both"/>
      </w:pPr>
      <w:r>
        <w:br w:type="page"/>
      </w:r>
    </w:p>
    <w:p w:rsidR="00B817D5" w:rsidRDefault="00D07962" w:rsidP="00EB274A">
      <w:pPr>
        <w:pStyle w:val="Heading1"/>
        <w:jc w:val="both"/>
      </w:pPr>
      <w:bookmarkStart w:id="0" w:name="_Toc453078497"/>
      <w:r>
        <w:lastRenderedPageBreak/>
        <w:t>Списък на съкращенията</w:t>
      </w:r>
      <w:bookmarkEnd w:id="0"/>
    </w:p>
    <w:p w:rsidR="00B817D5" w:rsidRPr="00B817D5" w:rsidRDefault="00B817D5" w:rsidP="00EB274A">
      <w:pPr>
        <w:jc w:val="both"/>
      </w:pPr>
    </w:p>
    <w:tbl>
      <w:tblPr>
        <w:tblStyle w:val="ColorfulList-Accent1"/>
        <w:tblW w:w="5000" w:type="pct"/>
        <w:tblLook w:val="0400" w:firstRow="0" w:lastRow="0" w:firstColumn="0" w:lastColumn="0" w:noHBand="0" w:noVBand="1"/>
      </w:tblPr>
      <w:tblGrid>
        <w:gridCol w:w="1745"/>
        <w:gridCol w:w="7877"/>
      </w:tblGrid>
      <w:tr w:rsidR="00B817D5" w:rsidRPr="00B817D5" w:rsidTr="00B45A99">
        <w:trPr>
          <w:cnfStyle w:val="000000100000" w:firstRow="0" w:lastRow="0" w:firstColumn="0" w:lastColumn="0" w:oddVBand="0" w:evenVBand="0" w:oddHBand="1" w:evenHBand="0" w:firstRowFirstColumn="0" w:firstRowLastColumn="0" w:lastRowFirstColumn="0" w:lastRowLastColumn="0"/>
          <w:trHeight w:val="222"/>
        </w:trPr>
        <w:tc>
          <w:tcPr>
            <w:tcW w:w="907" w:type="pct"/>
            <w:vAlign w:val="center"/>
          </w:tcPr>
          <w:p w:rsidR="00B817D5" w:rsidRPr="00B817D5" w:rsidRDefault="00B817D5" w:rsidP="00EB274A">
            <w:pPr>
              <w:spacing w:before="60" w:after="60"/>
              <w:ind w:right="-1"/>
              <w:jc w:val="both"/>
              <w:rPr>
                <w:b/>
                <w:szCs w:val="24"/>
              </w:rPr>
            </w:pPr>
            <w:r w:rsidRPr="00B817D5">
              <w:rPr>
                <w:b/>
                <w:szCs w:val="24"/>
              </w:rPr>
              <w:t>БФП</w:t>
            </w:r>
          </w:p>
        </w:tc>
        <w:tc>
          <w:tcPr>
            <w:tcW w:w="4093" w:type="pct"/>
          </w:tcPr>
          <w:p w:rsidR="00B817D5" w:rsidRPr="00B817D5" w:rsidRDefault="00B817D5" w:rsidP="00EB274A">
            <w:pPr>
              <w:spacing w:before="60" w:after="60"/>
              <w:ind w:right="-1"/>
              <w:jc w:val="both"/>
              <w:rPr>
                <w:szCs w:val="24"/>
              </w:rPr>
            </w:pPr>
            <w:r w:rsidRPr="00B817D5">
              <w:rPr>
                <w:szCs w:val="24"/>
              </w:rPr>
              <w:t>Безвъзмездна финансова помощ</w:t>
            </w:r>
          </w:p>
        </w:tc>
      </w:tr>
      <w:tr w:rsidR="005959BC" w:rsidRPr="00B817D5" w:rsidTr="00B45A99">
        <w:trPr>
          <w:trHeight w:val="269"/>
        </w:trPr>
        <w:tc>
          <w:tcPr>
            <w:tcW w:w="907" w:type="pct"/>
            <w:vAlign w:val="center"/>
          </w:tcPr>
          <w:p w:rsidR="005959BC" w:rsidRPr="00B817D5" w:rsidRDefault="005959BC" w:rsidP="00EB274A">
            <w:pPr>
              <w:spacing w:before="60" w:after="60"/>
              <w:ind w:right="-1"/>
              <w:jc w:val="both"/>
              <w:rPr>
                <w:b/>
                <w:szCs w:val="24"/>
              </w:rPr>
            </w:pPr>
            <w:r>
              <w:rPr>
                <w:b/>
                <w:szCs w:val="24"/>
              </w:rPr>
              <w:t>ГД ОПОС</w:t>
            </w:r>
          </w:p>
        </w:tc>
        <w:tc>
          <w:tcPr>
            <w:tcW w:w="4093" w:type="pct"/>
          </w:tcPr>
          <w:p w:rsidR="005959BC" w:rsidRPr="00B817D5" w:rsidRDefault="005959BC" w:rsidP="00EB274A">
            <w:pPr>
              <w:spacing w:before="60" w:after="60"/>
              <w:ind w:right="-1"/>
              <w:jc w:val="both"/>
              <w:rPr>
                <w:szCs w:val="24"/>
              </w:rPr>
            </w:pPr>
            <w:r>
              <w:rPr>
                <w:szCs w:val="24"/>
              </w:rPr>
              <w:t>Главна дирекция „Оперативна програма „Околна среда”</w:t>
            </w:r>
          </w:p>
        </w:tc>
      </w:tr>
      <w:tr w:rsidR="00B817D5" w:rsidRPr="00B817D5" w:rsidTr="00B45A99">
        <w:trPr>
          <w:cnfStyle w:val="000000100000" w:firstRow="0" w:lastRow="0" w:firstColumn="0" w:lastColumn="0" w:oddVBand="0" w:evenVBand="0" w:oddHBand="1" w:evenHBand="0" w:firstRowFirstColumn="0" w:firstRowLastColumn="0" w:lastRowFirstColumn="0" w:lastRowLastColumn="0"/>
          <w:trHeight w:val="269"/>
        </w:trPr>
        <w:tc>
          <w:tcPr>
            <w:tcW w:w="907" w:type="pct"/>
            <w:vAlign w:val="center"/>
          </w:tcPr>
          <w:p w:rsidR="00B817D5" w:rsidRPr="00B817D5" w:rsidRDefault="00B817D5" w:rsidP="00EB274A">
            <w:pPr>
              <w:spacing w:before="60" w:after="60"/>
              <w:ind w:right="-1"/>
              <w:jc w:val="both"/>
              <w:rPr>
                <w:b/>
                <w:szCs w:val="24"/>
              </w:rPr>
            </w:pPr>
            <w:r w:rsidRPr="00B817D5">
              <w:rPr>
                <w:b/>
                <w:szCs w:val="24"/>
              </w:rPr>
              <w:t>ЕК</w:t>
            </w:r>
          </w:p>
        </w:tc>
        <w:tc>
          <w:tcPr>
            <w:tcW w:w="4093" w:type="pct"/>
          </w:tcPr>
          <w:p w:rsidR="00B817D5" w:rsidRPr="00B817D5" w:rsidRDefault="00B817D5" w:rsidP="00EB274A">
            <w:pPr>
              <w:spacing w:before="60" w:after="60"/>
              <w:ind w:right="-1"/>
              <w:jc w:val="both"/>
              <w:rPr>
                <w:szCs w:val="24"/>
              </w:rPr>
            </w:pPr>
            <w:r w:rsidRPr="00B817D5">
              <w:rPr>
                <w:szCs w:val="24"/>
              </w:rPr>
              <w:t>Европейска комисия</w:t>
            </w:r>
          </w:p>
        </w:tc>
      </w:tr>
      <w:tr w:rsidR="004D6B0B" w:rsidRPr="00B817D5" w:rsidTr="00B45A99">
        <w:trPr>
          <w:trHeight w:val="269"/>
        </w:trPr>
        <w:tc>
          <w:tcPr>
            <w:tcW w:w="907" w:type="pct"/>
            <w:vAlign w:val="center"/>
          </w:tcPr>
          <w:p w:rsidR="004D6B0B" w:rsidRPr="00B817D5" w:rsidRDefault="004D6B0B" w:rsidP="00EB274A">
            <w:pPr>
              <w:spacing w:before="60" w:after="60"/>
              <w:ind w:right="-1"/>
              <w:jc w:val="both"/>
              <w:rPr>
                <w:b/>
                <w:szCs w:val="24"/>
              </w:rPr>
            </w:pPr>
            <w:r>
              <w:rPr>
                <w:b/>
                <w:szCs w:val="24"/>
              </w:rPr>
              <w:t>ЕО</w:t>
            </w:r>
          </w:p>
        </w:tc>
        <w:tc>
          <w:tcPr>
            <w:tcW w:w="4093" w:type="pct"/>
          </w:tcPr>
          <w:p w:rsidR="004D6B0B" w:rsidRPr="00B817D5" w:rsidRDefault="004D6B0B" w:rsidP="00EB274A">
            <w:pPr>
              <w:spacing w:before="60" w:after="60"/>
              <w:ind w:right="-1"/>
              <w:jc w:val="both"/>
              <w:rPr>
                <w:szCs w:val="24"/>
              </w:rPr>
            </w:pPr>
            <w:r>
              <w:rPr>
                <w:szCs w:val="24"/>
              </w:rPr>
              <w:t>Екологична оценка</w:t>
            </w:r>
          </w:p>
        </w:tc>
      </w:tr>
      <w:tr w:rsidR="00B817D5" w:rsidRPr="00B817D5" w:rsidTr="00B45A99">
        <w:trPr>
          <w:cnfStyle w:val="000000100000" w:firstRow="0" w:lastRow="0" w:firstColumn="0" w:lastColumn="0" w:oddVBand="0" w:evenVBand="0" w:oddHBand="1" w:evenHBand="0" w:firstRowFirstColumn="0" w:firstRowLastColumn="0" w:lastRowFirstColumn="0" w:lastRowLastColumn="0"/>
          <w:trHeight w:val="269"/>
        </w:trPr>
        <w:tc>
          <w:tcPr>
            <w:tcW w:w="907" w:type="pct"/>
            <w:vAlign w:val="center"/>
          </w:tcPr>
          <w:p w:rsidR="00B817D5" w:rsidRPr="00B817D5" w:rsidRDefault="00B817D5" w:rsidP="00EB274A">
            <w:pPr>
              <w:spacing w:before="60" w:after="60"/>
              <w:ind w:right="-1"/>
              <w:jc w:val="both"/>
              <w:rPr>
                <w:b/>
                <w:szCs w:val="24"/>
              </w:rPr>
            </w:pPr>
            <w:r w:rsidRPr="00B817D5">
              <w:rPr>
                <w:b/>
                <w:szCs w:val="24"/>
              </w:rPr>
              <w:t>ЕС</w:t>
            </w:r>
          </w:p>
        </w:tc>
        <w:tc>
          <w:tcPr>
            <w:tcW w:w="4093" w:type="pct"/>
          </w:tcPr>
          <w:p w:rsidR="00B817D5" w:rsidRPr="00B817D5" w:rsidRDefault="00B817D5" w:rsidP="00EB274A">
            <w:pPr>
              <w:spacing w:before="60" w:after="60"/>
              <w:ind w:right="-1"/>
              <w:jc w:val="both"/>
              <w:rPr>
                <w:szCs w:val="24"/>
              </w:rPr>
            </w:pPr>
            <w:r w:rsidRPr="00B817D5">
              <w:rPr>
                <w:szCs w:val="24"/>
              </w:rPr>
              <w:t>Европейски съюз</w:t>
            </w:r>
          </w:p>
        </w:tc>
      </w:tr>
      <w:tr w:rsidR="00B817D5" w:rsidRPr="00B817D5" w:rsidTr="00B45A99">
        <w:trPr>
          <w:trHeight w:val="269"/>
        </w:trPr>
        <w:tc>
          <w:tcPr>
            <w:tcW w:w="907" w:type="pct"/>
            <w:vAlign w:val="center"/>
          </w:tcPr>
          <w:p w:rsidR="00B817D5" w:rsidRPr="00B817D5" w:rsidRDefault="00B817D5" w:rsidP="00EB274A">
            <w:pPr>
              <w:spacing w:before="60" w:after="60"/>
              <w:ind w:right="-1"/>
              <w:jc w:val="both"/>
              <w:rPr>
                <w:b/>
                <w:szCs w:val="24"/>
              </w:rPr>
            </w:pPr>
            <w:r w:rsidRPr="00B817D5">
              <w:rPr>
                <w:b/>
                <w:szCs w:val="24"/>
              </w:rPr>
              <w:t>ЕСИФ</w:t>
            </w:r>
          </w:p>
        </w:tc>
        <w:tc>
          <w:tcPr>
            <w:tcW w:w="4093" w:type="pct"/>
          </w:tcPr>
          <w:p w:rsidR="00B817D5" w:rsidRPr="00B817D5" w:rsidRDefault="00B817D5" w:rsidP="00EB274A">
            <w:pPr>
              <w:spacing w:before="60" w:after="60"/>
              <w:ind w:right="-1"/>
              <w:jc w:val="both"/>
              <w:rPr>
                <w:szCs w:val="24"/>
              </w:rPr>
            </w:pPr>
            <w:r w:rsidRPr="00B817D5">
              <w:rPr>
                <w:szCs w:val="24"/>
              </w:rPr>
              <w:t>Европейски структурни и инвестиционни фондове</w:t>
            </w:r>
          </w:p>
        </w:tc>
      </w:tr>
      <w:tr w:rsidR="00B817D5" w:rsidRPr="00B817D5" w:rsidTr="00B45A99">
        <w:trPr>
          <w:cnfStyle w:val="000000100000" w:firstRow="0" w:lastRow="0" w:firstColumn="0" w:lastColumn="0" w:oddVBand="0" w:evenVBand="0" w:oddHBand="1" w:evenHBand="0" w:firstRowFirstColumn="0" w:firstRowLastColumn="0" w:lastRowFirstColumn="0" w:lastRowLastColumn="0"/>
          <w:trHeight w:val="269"/>
        </w:trPr>
        <w:tc>
          <w:tcPr>
            <w:tcW w:w="907" w:type="pct"/>
            <w:vAlign w:val="center"/>
          </w:tcPr>
          <w:p w:rsidR="00B817D5" w:rsidRPr="00B817D5" w:rsidRDefault="00B817D5" w:rsidP="00EB274A">
            <w:pPr>
              <w:spacing w:before="60" w:after="60"/>
              <w:ind w:right="-1"/>
              <w:jc w:val="both"/>
              <w:rPr>
                <w:b/>
                <w:szCs w:val="24"/>
              </w:rPr>
            </w:pPr>
            <w:r w:rsidRPr="00B817D5">
              <w:rPr>
                <w:b/>
                <w:szCs w:val="24"/>
              </w:rPr>
              <w:t>ЕФРР</w:t>
            </w:r>
          </w:p>
        </w:tc>
        <w:tc>
          <w:tcPr>
            <w:tcW w:w="4093" w:type="pct"/>
          </w:tcPr>
          <w:p w:rsidR="00B817D5" w:rsidRPr="00B817D5" w:rsidRDefault="00B817D5" w:rsidP="00EB274A">
            <w:pPr>
              <w:spacing w:before="60" w:after="60"/>
              <w:ind w:right="-1"/>
              <w:jc w:val="both"/>
              <w:rPr>
                <w:szCs w:val="24"/>
              </w:rPr>
            </w:pPr>
            <w:r w:rsidRPr="00B817D5">
              <w:rPr>
                <w:szCs w:val="24"/>
              </w:rPr>
              <w:t>Европейски фонд за регионално развитие</w:t>
            </w:r>
          </w:p>
        </w:tc>
      </w:tr>
      <w:tr w:rsidR="00B817D5" w:rsidRPr="00B817D5" w:rsidTr="00B45A99">
        <w:trPr>
          <w:trHeight w:val="269"/>
        </w:trPr>
        <w:tc>
          <w:tcPr>
            <w:tcW w:w="907" w:type="pct"/>
            <w:vAlign w:val="center"/>
          </w:tcPr>
          <w:p w:rsidR="00B817D5" w:rsidRPr="00B817D5" w:rsidRDefault="00B817D5" w:rsidP="00EB274A">
            <w:pPr>
              <w:spacing w:before="60" w:after="60"/>
              <w:ind w:right="-1"/>
              <w:jc w:val="both"/>
              <w:rPr>
                <w:b/>
                <w:szCs w:val="24"/>
              </w:rPr>
            </w:pPr>
            <w:r w:rsidRPr="00B817D5">
              <w:rPr>
                <w:b/>
                <w:szCs w:val="24"/>
              </w:rPr>
              <w:t>ИСУН</w:t>
            </w:r>
            <w:r w:rsidR="007571C2">
              <w:rPr>
                <w:b/>
                <w:szCs w:val="24"/>
              </w:rPr>
              <w:t xml:space="preserve"> 2020</w:t>
            </w:r>
          </w:p>
        </w:tc>
        <w:tc>
          <w:tcPr>
            <w:tcW w:w="4093" w:type="pct"/>
          </w:tcPr>
          <w:p w:rsidR="00B817D5" w:rsidRPr="00B817D5" w:rsidRDefault="00B817D5" w:rsidP="00EB274A">
            <w:pPr>
              <w:spacing w:before="60" w:after="60"/>
              <w:ind w:right="-1"/>
              <w:jc w:val="both"/>
              <w:rPr>
                <w:szCs w:val="24"/>
              </w:rPr>
            </w:pPr>
            <w:r w:rsidRPr="00B817D5">
              <w:rPr>
                <w:szCs w:val="24"/>
              </w:rPr>
              <w:t>Информационна система за управление и наблюдение</w:t>
            </w:r>
            <w:r w:rsidR="007571C2">
              <w:rPr>
                <w:szCs w:val="24"/>
              </w:rPr>
              <w:t xml:space="preserve"> </w:t>
            </w:r>
            <w:r w:rsidR="007571C2">
              <w:rPr>
                <w:lang w:val="ru-RU"/>
              </w:rPr>
              <w:t xml:space="preserve">за </w:t>
            </w:r>
            <w:proofErr w:type="spellStart"/>
            <w:r w:rsidR="007571C2">
              <w:rPr>
                <w:lang w:val="ru-RU"/>
              </w:rPr>
              <w:t>програмен</w:t>
            </w:r>
            <w:proofErr w:type="spellEnd"/>
            <w:r w:rsidR="007571C2">
              <w:rPr>
                <w:lang w:val="ru-RU"/>
              </w:rPr>
              <w:t xml:space="preserve"> период 2014-</w:t>
            </w:r>
            <w:r w:rsidR="007571C2">
              <w:rPr>
                <w:szCs w:val="24"/>
              </w:rPr>
              <w:t>2020 г.</w:t>
            </w:r>
          </w:p>
        </w:tc>
      </w:tr>
      <w:tr w:rsidR="00B3141D" w:rsidRPr="00B817D5" w:rsidTr="00B45A99">
        <w:trPr>
          <w:cnfStyle w:val="000000100000" w:firstRow="0" w:lastRow="0" w:firstColumn="0" w:lastColumn="0" w:oddVBand="0" w:evenVBand="0" w:oddHBand="1" w:evenHBand="0" w:firstRowFirstColumn="0" w:firstRowLastColumn="0" w:lastRowFirstColumn="0" w:lastRowLastColumn="0"/>
          <w:trHeight w:val="269"/>
        </w:trPr>
        <w:tc>
          <w:tcPr>
            <w:tcW w:w="907" w:type="pct"/>
            <w:vAlign w:val="center"/>
          </w:tcPr>
          <w:p w:rsidR="00B3141D" w:rsidRPr="00B817D5" w:rsidRDefault="00B3141D" w:rsidP="00EB274A">
            <w:pPr>
              <w:spacing w:before="60" w:after="60"/>
              <w:ind w:right="-1"/>
              <w:jc w:val="both"/>
              <w:rPr>
                <w:b/>
                <w:szCs w:val="24"/>
              </w:rPr>
            </w:pPr>
            <w:r>
              <w:rPr>
                <w:b/>
                <w:szCs w:val="24"/>
              </w:rPr>
              <w:t>КН на ОПОС</w:t>
            </w:r>
          </w:p>
        </w:tc>
        <w:tc>
          <w:tcPr>
            <w:tcW w:w="4093" w:type="pct"/>
          </w:tcPr>
          <w:p w:rsidR="00B3141D" w:rsidRPr="00B817D5" w:rsidRDefault="00B3141D" w:rsidP="00EB274A">
            <w:pPr>
              <w:spacing w:before="60" w:after="60"/>
              <w:ind w:right="-1"/>
              <w:jc w:val="both"/>
              <w:rPr>
                <w:szCs w:val="24"/>
              </w:rPr>
            </w:pPr>
            <w:r>
              <w:rPr>
                <w:szCs w:val="24"/>
              </w:rPr>
              <w:t>Комитет за наблюдение на Оперативна програма „Околна среда 2014-2020 г.”</w:t>
            </w:r>
          </w:p>
        </w:tc>
      </w:tr>
      <w:tr w:rsidR="00B817D5" w:rsidRPr="00B817D5" w:rsidTr="00B45A99">
        <w:trPr>
          <w:trHeight w:val="269"/>
        </w:trPr>
        <w:tc>
          <w:tcPr>
            <w:tcW w:w="907" w:type="pct"/>
            <w:vAlign w:val="center"/>
          </w:tcPr>
          <w:p w:rsidR="00B817D5" w:rsidRPr="00B817D5" w:rsidRDefault="00B817D5" w:rsidP="00EB274A">
            <w:pPr>
              <w:spacing w:before="60" w:after="60"/>
              <w:ind w:right="-1"/>
              <w:jc w:val="both"/>
              <w:rPr>
                <w:b/>
                <w:szCs w:val="24"/>
              </w:rPr>
            </w:pPr>
            <w:r w:rsidRPr="00B817D5">
              <w:rPr>
                <w:b/>
                <w:szCs w:val="24"/>
              </w:rPr>
              <w:t>КФ</w:t>
            </w:r>
          </w:p>
        </w:tc>
        <w:tc>
          <w:tcPr>
            <w:tcW w:w="4093" w:type="pct"/>
          </w:tcPr>
          <w:p w:rsidR="00B817D5" w:rsidRPr="00B817D5" w:rsidRDefault="00B817D5" w:rsidP="00EB274A">
            <w:pPr>
              <w:spacing w:before="60" w:after="60"/>
              <w:ind w:right="-1"/>
              <w:jc w:val="both"/>
              <w:rPr>
                <w:szCs w:val="24"/>
              </w:rPr>
            </w:pPr>
            <w:r w:rsidRPr="00B817D5">
              <w:rPr>
                <w:szCs w:val="24"/>
              </w:rPr>
              <w:t>Кохезионен фонд</w:t>
            </w:r>
          </w:p>
        </w:tc>
      </w:tr>
      <w:tr w:rsidR="006B21CA" w:rsidRPr="00B817D5" w:rsidTr="00B45A99">
        <w:trPr>
          <w:cnfStyle w:val="000000100000" w:firstRow="0" w:lastRow="0" w:firstColumn="0" w:lastColumn="0" w:oddVBand="0" w:evenVBand="0" w:oddHBand="1" w:evenHBand="0" w:firstRowFirstColumn="0" w:firstRowLastColumn="0" w:lastRowFirstColumn="0" w:lastRowLastColumn="0"/>
          <w:trHeight w:val="269"/>
        </w:trPr>
        <w:tc>
          <w:tcPr>
            <w:tcW w:w="907" w:type="pct"/>
            <w:vAlign w:val="center"/>
          </w:tcPr>
          <w:p w:rsidR="006B21CA" w:rsidRPr="00B817D5" w:rsidRDefault="006B21CA" w:rsidP="00EB274A">
            <w:pPr>
              <w:spacing w:before="60" w:after="60"/>
              <w:ind w:right="-1"/>
              <w:jc w:val="both"/>
              <w:rPr>
                <w:b/>
                <w:szCs w:val="24"/>
              </w:rPr>
            </w:pPr>
            <w:r>
              <w:rPr>
                <w:b/>
                <w:szCs w:val="24"/>
              </w:rPr>
              <w:t>МОСВ</w:t>
            </w:r>
          </w:p>
        </w:tc>
        <w:tc>
          <w:tcPr>
            <w:tcW w:w="4093" w:type="pct"/>
          </w:tcPr>
          <w:p w:rsidR="006B21CA" w:rsidRPr="00B817D5" w:rsidRDefault="006B21CA" w:rsidP="00EB274A">
            <w:pPr>
              <w:spacing w:before="60" w:after="60"/>
              <w:ind w:right="-1"/>
              <w:jc w:val="both"/>
              <w:rPr>
                <w:szCs w:val="24"/>
              </w:rPr>
            </w:pPr>
            <w:r>
              <w:rPr>
                <w:szCs w:val="24"/>
              </w:rPr>
              <w:t>Министерство на околната среда и водите</w:t>
            </w:r>
          </w:p>
        </w:tc>
      </w:tr>
      <w:tr w:rsidR="00B817D5" w:rsidRPr="00B817D5" w:rsidTr="00B45A99">
        <w:trPr>
          <w:trHeight w:val="269"/>
        </w:trPr>
        <w:tc>
          <w:tcPr>
            <w:tcW w:w="907" w:type="pct"/>
            <w:vAlign w:val="center"/>
          </w:tcPr>
          <w:p w:rsidR="00B817D5" w:rsidRPr="00B817D5" w:rsidRDefault="00B817D5" w:rsidP="00EB274A">
            <w:pPr>
              <w:spacing w:before="60" w:after="60"/>
              <w:ind w:right="-1"/>
              <w:jc w:val="both"/>
              <w:rPr>
                <w:b/>
                <w:szCs w:val="24"/>
              </w:rPr>
            </w:pPr>
            <w:r w:rsidRPr="00B817D5">
              <w:rPr>
                <w:b/>
                <w:szCs w:val="24"/>
              </w:rPr>
              <w:t>МС</w:t>
            </w:r>
          </w:p>
        </w:tc>
        <w:tc>
          <w:tcPr>
            <w:tcW w:w="4093" w:type="pct"/>
          </w:tcPr>
          <w:p w:rsidR="00B817D5" w:rsidRPr="00B817D5" w:rsidRDefault="00B817D5" w:rsidP="00EB274A">
            <w:pPr>
              <w:spacing w:before="60" w:after="60"/>
              <w:ind w:right="-1"/>
              <w:jc w:val="both"/>
              <w:rPr>
                <w:szCs w:val="24"/>
              </w:rPr>
            </w:pPr>
            <w:r w:rsidRPr="00B817D5">
              <w:rPr>
                <w:szCs w:val="24"/>
              </w:rPr>
              <w:t>Министерски съвет</w:t>
            </w:r>
          </w:p>
        </w:tc>
      </w:tr>
      <w:tr w:rsidR="00B817D5" w:rsidRPr="00B817D5" w:rsidTr="00B45A99">
        <w:trPr>
          <w:cnfStyle w:val="000000100000" w:firstRow="0" w:lastRow="0" w:firstColumn="0" w:lastColumn="0" w:oddVBand="0" w:evenVBand="0" w:oddHBand="1" w:evenHBand="0" w:firstRowFirstColumn="0" w:firstRowLastColumn="0" w:lastRowFirstColumn="0" w:lastRowLastColumn="0"/>
        </w:trPr>
        <w:tc>
          <w:tcPr>
            <w:tcW w:w="907" w:type="pct"/>
            <w:vAlign w:val="center"/>
          </w:tcPr>
          <w:p w:rsidR="00B817D5" w:rsidRPr="00B817D5" w:rsidRDefault="00B817D5" w:rsidP="00EB274A">
            <w:pPr>
              <w:spacing w:before="60" w:after="60"/>
              <w:ind w:right="-1"/>
              <w:jc w:val="both"/>
              <w:rPr>
                <w:b/>
                <w:szCs w:val="24"/>
              </w:rPr>
            </w:pPr>
            <w:r w:rsidRPr="00B817D5">
              <w:rPr>
                <w:b/>
                <w:szCs w:val="24"/>
              </w:rPr>
              <w:t>НСИ</w:t>
            </w:r>
          </w:p>
        </w:tc>
        <w:tc>
          <w:tcPr>
            <w:tcW w:w="4093" w:type="pct"/>
          </w:tcPr>
          <w:p w:rsidR="00B817D5" w:rsidRPr="00B817D5" w:rsidRDefault="00B817D5" w:rsidP="00EB274A">
            <w:pPr>
              <w:spacing w:before="60" w:after="60"/>
              <w:ind w:right="-1"/>
              <w:jc w:val="both"/>
              <w:rPr>
                <w:szCs w:val="24"/>
              </w:rPr>
            </w:pPr>
            <w:r w:rsidRPr="00B817D5">
              <w:rPr>
                <w:szCs w:val="24"/>
              </w:rPr>
              <w:t>Национален статистически институт</w:t>
            </w:r>
          </w:p>
        </w:tc>
      </w:tr>
      <w:tr w:rsidR="00B817D5" w:rsidRPr="00B817D5" w:rsidTr="00B45A99">
        <w:tc>
          <w:tcPr>
            <w:tcW w:w="907" w:type="pct"/>
            <w:vAlign w:val="center"/>
          </w:tcPr>
          <w:p w:rsidR="00B817D5" w:rsidRPr="00244F41" w:rsidRDefault="00B817D5" w:rsidP="00EB274A">
            <w:pPr>
              <w:spacing w:before="60" w:after="60"/>
              <w:ind w:right="-1"/>
              <w:jc w:val="both"/>
              <w:rPr>
                <w:b/>
                <w:szCs w:val="24"/>
              </w:rPr>
            </w:pPr>
            <w:r w:rsidRPr="00B817D5">
              <w:rPr>
                <w:b/>
                <w:szCs w:val="24"/>
              </w:rPr>
              <w:t>ОП</w:t>
            </w:r>
            <w:r w:rsidR="00244F41">
              <w:rPr>
                <w:b/>
                <w:szCs w:val="24"/>
              </w:rPr>
              <w:t>ОС</w:t>
            </w:r>
          </w:p>
        </w:tc>
        <w:tc>
          <w:tcPr>
            <w:tcW w:w="4093" w:type="pct"/>
          </w:tcPr>
          <w:p w:rsidR="00B817D5" w:rsidRPr="00B817D5" w:rsidRDefault="00B817D5" w:rsidP="00EB274A">
            <w:pPr>
              <w:spacing w:before="60" w:after="60"/>
              <w:ind w:right="-1"/>
              <w:jc w:val="both"/>
              <w:rPr>
                <w:szCs w:val="24"/>
              </w:rPr>
            </w:pPr>
            <w:r w:rsidRPr="00B817D5">
              <w:rPr>
                <w:szCs w:val="24"/>
              </w:rPr>
              <w:t>Оперативна програма "</w:t>
            </w:r>
            <w:r w:rsidR="00244F41">
              <w:rPr>
                <w:szCs w:val="24"/>
              </w:rPr>
              <w:t>Околна среда 2014-2020</w:t>
            </w:r>
            <w:r w:rsidR="00C46D74">
              <w:rPr>
                <w:szCs w:val="24"/>
              </w:rPr>
              <w:t xml:space="preserve"> г.</w:t>
            </w:r>
            <w:r w:rsidRPr="00B817D5">
              <w:rPr>
                <w:szCs w:val="24"/>
              </w:rPr>
              <w:t>“</w:t>
            </w:r>
          </w:p>
        </w:tc>
      </w:tr>
      <w:tr w:rsidR="002B6F95" w:rsidRPr="00B817D5" w:rsidTr="00B45A99">
        <w:trPr>
          <w:cnfStyle w:val="000000100000" w:firstRow="0" w:lastRow="0" w:firstColumn="0" w:lastColumn="0" w:oddVBand="0" w:evenVBand="0" w:oddHBand="1" w:evenHBand="0" w:firstRowFirstColumn="0" w:firstRowLastColumn="0" w:lastRowFirstColumn="0" w:lastRowLastColumn="0"/>
        </w:trPr>
        <w:tc>
          <w:tcPr>
            <w:tcW w:w="907" w:type="pct"/>
            <w:vAlign w:val="center"/>
          </w:tcPr>
          <w:p w:rsidR="002B6F95" w:rsidRPr="00B817D5" w:rsidRDefault="002B6F95" w:rsidP="00EB274A">
            <w:pPr>
              <w:spacing w:before="60" w:after="60"/>
              <w:ind w:right="-1"/>
              <w:jc w:val="both"/>
              <w:rPr>
                <w:b/>
                <w:szCs w:val="24"/>
              </w:rPr>
            </w:pPr>
            <w:r>
              <w:rPr>
                <w:b/>
                <w:szCs w:val="24"/>
              </w:rPr>
              <w:t>О</w:t>
            </w:r>
            <w:r w:rsidR="00B45A99">
              <w:rPr>
                <w:b/>
                <w:szCs w:val="24"/>
              </w:rPr>
              <w:t>тдел</w:t>
            </w:r>
            <w:r w:rsidR="000A2A85">
              <w:rPr>
                <w:b/>
                <w:szCs w:val="24"/>
              </w:rPr>
              <w:t xml:space="preserve"> </w:t>
            </w:r>
            <w:r>
              <w:rPr>
                <w:b/>
                <w:szCs w:val="24"/>
              </w:rPr>
              <w:t>ПП</w:t>
            </w:r>
          </w:p>
        </w:tc>
        <w:tc>
          <w:tcPr>
            <w:tcW w:w="4093" w:type="pct"/>
          </w:tcPr>
          <w:p w:rsidR="002B6F95" w:rsidRPr="00B817D5" w:rsidRDefault="002B6F95" w:rsidP="00EB274A">
            <w:pPr>
              <w:spacing w:before="60" w:after="60"/>
              <w:jc w:val="both"/>
              <w:rPr>
                <w:szCs w:val="24"/>
              </w:rPr>
            </w:pPr>
            <w:r>
              <w:rPr>
                <w:szCs w:val="24"/>
              </w:rPr>
              <w:t>Отдел „Програмиране и планиране”</w:t>
            </w:r>
          </w:p>
        </w:tc>
      </w:tr>
      <w:tr w:rsidR="00B817D5" w:rsidRPr="00B817D5" w:rsidTr="00B45A99">
        <w:tc>
          <w:tcPr>
            <w:tcW w:w="907" w:type="pct"/>
            <w:vAlign w:val="center"/>
          </w:tcPr>
          <w:p w:rsidR="00B817D5" w:rsidRPr="00B817D5" w:rsidRDefault="00B817D5" w:rsidP="00EB274A">
            <w:pPr>
              <w:spacing w:before="60" w:after="60"/>
              <w:ind w:right="-1"/>
              <w:jc w:val="both"/>
              <w:rPr>
                <w:b/>
                <w:szCs w:val="24"/>
              </w:rPr>
            </w:pPr>
            <w:r w:rsidRPr="00B817D5">
              <w:rPr>
                <w:b/>
                <w:szCs w:val="24"/>
              </w:rPr>
              <w:t>Регламент 1303/2013</w:t>
            </w:r>
          </w:p>
        </w:tc>
        <w:tc>
          <w:tcPr>
            <w:tcW w:w="4093" w:type="pct"/>
          </w:tcPr>
          <w:p w:rsidR="00B817D5" w:rsidRPr="00B45A99" w:rsidRDefault="00B817D5" w:rsidP="00EB274A">
            <w:pPr>
              <w:spacing w:before="60" w:after="60"/>
              <w:jc w:val="both"/>
              <w:rPr>
                <w:szCs w:val="24"/>
              </w:rPr>
            </w:pPr>
            <w:r w:rsidRPr="00B817D5">
              <w:rPr>
                <w:szCs w:val="24"/>
              </w:rPr>
              <w:t>РЕГЛАМЕНТ (ЕС) № 1303/2013 НА ЕВРОПЕЙСКИЯ ПАРЛАМЕНТ И НА СЪВЕТА от 17 декември 2013 година</w:t>
            </w:r>
            <w:r w:rsidR="00B45A99">
              <w:rPr>
                <w:szCs w:val="24"/>
              </w:rPr>
              <w:t xml:space="preserve"> </w:t>
            </w:r>
            <w:r w:rsidRPr="00B817D5">
              <w:rPr>
                <w:szCs w:val="24"/>
              </w:rPr>
              <w:t xml:space="preserve">за определяне на </w:t>
            </w:r>
            <w:proofErr w:type="spellStart"/>
            <w:r w:rsidRPr="00B817D5">
              <w:rPr>
                <w:szCs w:val="24"/>
              </w:rPr>
              <w:t>общоприложими</w:t>
            </w:r>
            <w:proofErr w:type="spellEnd"/>
            <w:r w:rsidRPr="00B817D5">
              <w:rPr>
                <w:szCs w:val="24"/>
              </w:rPr>
              <w:t xml:space="preserve">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w:t>
            </w:r>
          </w:p>
        </w:tc>
      </w:tr>
      <w:tr w:rsidR="00B817D5" w:rsidRPr="00B817D5" w:rsidTr="00B45A99">
        <w:trPr>
          <w:cnfStyle w:val="000000100000" w:firstRow="0" w:lastRow="0" w:firstColumn="0" w:lastColumn="0" w:oddVBand="0" w:evenVBand="0" w:oddHBand="1" w:evenHBand="0" w:firstRowFirstColumn="0" w:firstRowLastColumn="0" w:lastRowFirstColumn="0" w:lastRowLastColumn="0"/>
        </w:trPr>
        <w:tc>
          <w:tcPr>
            <w:tcW w:w="907" w:type="pct"/>
            <w:vAlign w:val="center"/>
          </w:tcPr>
          <w:p w:rsidR="00B817D5" w:rsidRPr="00B817D5" w:rsidRDefault="00B817D5" w:rsidP="00EB274A">
            <w:pPr>
              <w:spacing w:before="60" w:after="60"/>
              <w:ind w:right="-1"/>
              <w:jc w:val="both"/>
              <w:rPr>
                <w:b/>
                <w:szCs w:val="24"/>
              </w:rPr>
            </w:pPr>
            <w:r w:rsidRPr="00B817D5">
              <w:rPr>
                <w:b/>
                <w:szCs w:val="24"/>
              </w:rPr>
              <w:t>СП</w:t>
            </w:r>
          </w:p>
        </w:tc>
        <w:tc>
          <w:tcPr>
            <w:tcW w:w="4093" w:type="pct"/>
          </w:tcPr>
          <w:p w:rsidR="00B817D5" w:rsidRPr="00B817D5" w:rsidRDefault="00B817D5" w:rsidP="00EB274A">
            <w:pPr>
              <w:spacing w:before="60" w:after="60"/>
              <w:ind w:right="-1"/>
              <w:jc w:val="both"/>
              <w:rPr>
                <w:szCs w:val="24"/>
              </w:rPr>
            </w:pPr>
            <w:r w:rsidRPr="00B817D5">
              <w:rPr>
                <w:szCs w:val="24"/>
              </w:rPr>
              <w:t>Споразумение за партньорство</w:t>
            </w:r>
          </w:p>
        </w:tc>
      </w:tr>
      <w:tr w:rsidR="0082628E" w:rsidRPr="00B817D5" w:rsidTr="00B45A99">
        <w:tc>
          <w:tcPr>
            <w:tcW w:w="907" w:type="pct"/>
            <w:vAlign w:val="center"/>
          </w:tcPr>
          <w:p w:rsidR="0082628E" w:rsidRPr="00B817D5" w:rsidRDefault="0082628E" w:rsidP="00EB274A">
            <w:pPr>
              <w:spacing w:before="60" w:after="60"/>
              <w:ind w:right="-1"/>
              <w:jc w:val="both"/>
              <w:rPr>
                <w:b/>
                <w:szCs w:val="24"/>
              </w:rPr>
            </w:pPr>
            <w:r>
              <w:rPr>
                <w:b/>
                <w:szCs w:val="24"/>
              </w:rPr>
              <w:t>СУК</w:t>
            </w:r>
          </w:p>
        </w:tc>
        <w:tc>
          <w:tcPr>
            <w:tcW w:w="4093" w:type="pct"/>
          </w:tcPr>
          <w:p w:rsidR="0082628E" w:rsidRPr="00B817D5" w:rsidRDefault="0082628E" w:rsidP="00EB274A">
            <w:pPr>
              <w:spacing w:before="60" w:after="60"/>
              <w:ind w:right="-1"/>
              <w:jc w:val="both"/>
              <w:rPr>
                <w:szCs w:val="24"/>
              </w:rPr>
            </w:pPr>
            <w:r>
              <w:rPr>
                <w:szCs w:val="24"/>
              </w:rPr>
              <w:t>Системи за управление и контрол на Оперативна програма „Околна среда 2014-2020 г.”</w:t>
            </w:r>
          </w:p>
        </w:tc>
      </w:tr>
      <w:tr w:rsidR="00B817D5" w:rsidRPr="00B817D5" w:rsidTr="00B45A99">
        <w:trPr>
          <w:cnfStyle w:val="000000100000" w:firstRow="0" w:lastRow="0" w:firstColumn="0" w:lastColumn="0" w:oddVBand="0" w:evenVBand="0" w:oddHBand="1" w:evenHBand="0" w:firstRowFirstColumn="0" w:firstRowLastColumn="0" w:lastRowFirstColumn="0" w:lastRowLastColumn="0"/>
        </w:trPr>
        <w:tc>
          <w:tcPr>
            <w:tcW w:w="907" w:type="pct"/>
            <w:vAlign w:val="center"/>
          </w:tcPr>
          <w:p w:rsidR="00B817D5" w:rsidRPr="00B817D5" w:rsidRDefault="00B817D5" w:rsidP="00EB274A">
            <w:pPr>
              <w:spacing w:before="60" w:after="60"/>
              <w:ind w:right="-1"/>
              <w:jc w:val="both"/>
              <w:rPr>
                <w:b/>
                <w:szCs w:val="24"/>
              </w:rPr>
            </w:pPr>
            <w:r w:rsidRPr="00B817D5">
              <w:rPr>
                <w:b/>
                <w:szCs w:val="24"/>
              </w:rPr>
              <w:t>УО</w:t>
            </w:r>
          </w:p>
        </w:tc>
        <w:tc>
          <w:tcPr>
            <w:tcW w:w="4093" w:type="pct"/>
          </w:tcPr>
          <w:p w:rsidR="00B817D5" w:rsidRPr="00B817D5" w:rsidRDefault="00B817D5" w:rsidP="00EB274A">
            <w:pPr>
              <w:spacing w:before="60" w:after="60"/>
              <w:ind w:right="-1"/>
              <w:jc w:val="both"/>
              <w:rPr>
                <w:szCs w:val="24"/>
              </w:rPr>
            </w:pPr>
            <w:r w:rsidRPr="00B817D5">
              <w:rPr>
                <w:szCs w:val="24"/>
              </w:rPr>
              <w:t>Управляващ орган</w:t>
            </w:r>
            <w:r w:rsidR="00C46D74">
              <w:rPr>
                <w:szCs w:val="24"/>
              </w:rPr>
              <w:t xml:space="preserve"> на Оперативна програма „Околна среда”</w:t>
            </w:r>
          </w:p>
        </w:tc>
      </w:tr>
      <w:tr w:rsidR="00B817D5" w:rsidRPr="00B817D5" w:rsidTr="00B45A99">
        <w:tc>
          <w:tcPr>
            <w:tcW w:w="907" w:type="pct"/>
            <w:vAlign w:val="center"/>
          </w:tcPr>
          <w:p w:rsidR="00B817D5" w:rsidRPr="00B817D5" w:rsidRDefault="00B817D5" w:rsidP="00EB274A">
            <w:pPr>
              <w:spacing w:before="60" w:after="60"/>
              <w:ind w:right="-1"/>
              <w:jc w:val="both"/>
              <w:rPr>
                <w:b/>
                <w:szCs w:val="24"/>
              </w:rPr>
            </w:pPr>
            <w:r w:rsidRPr="00B817D5">
              <w:rPr>
                <w:b/>
                <w:szCs w:val="24"/>
              </w:rPr>
              <w:t>ЦКЗ</w:t>
            </w:r>
          </w:p>
        </w:tc>
        <w:tc>
          <w:tcPr>
            <w:tcW w:w="4093" w:type="pct"/>
          </w:tcPr>
          <w:p w:rsidR="00B817D5" w:rsidRPr="00B817D5" w:rsidRDefault="00B817D5" w:rsidP="00EB274A">
            <w:pPr>
              <w:spacing w:before="60" w:after="60"/>
              <w:ind w:right="-1"/>
              <w:jc w:val="both"/>
              <w:rPr>
                <w:szCs w:val="24"/>
              </w:rPr>
            </w:pPr>
            <w:r w:rsidRPr="00B817D5">
              <w:rPr>
                <w:szCs w:val="24"/>
              </w:rPr>
              <w:t>Централно координационно звено</w:t>
            </w:r>
          </w:p>
        </w:tc>
      </w:tr>
    </w:tbl>
    <w:p w:rsidR="00502667" w:rsidRPr="004A416C" w:rsidRDefault="004A416C" w:rsidP="00EB274A">
      <w:pPr>
        <w:pStyle w:val="Heading1"/>
        <w:jc w:val="both"/>
      </w:pPr>
      <w:bookmarkStart w:id="1" w:name="_Toc453078498"/>
      <w:r w:rsidRPr="004A416C">
        <w:lastRenderedPageBreak/>
        <w:t xml:space="preserve">1 | </w:t>
      </w:r>
      <w:r w:rsidR="00402959">
        <w:t>Въведение</w:t>
      </w:r>
      <w:bookmarkEnd w:id="1"/>
      <w:r w:rsidR="00B817D5" w:rsidRPr="004A416C">
        <w:t xml:space="preserve"> </w:t>
      </w:r>
    </w:p>
    <w:p w:rsidR="004A416C" w:rsidRPr="00835801" w:rsidRDefault="004A416C" w:rsidP="00EB274A">
      <w:pPr>
        <w:pStyle w:val="Heading2"/>
        <w:jc w:val="both"/>
      </w:pPr>
      <w:bookmarkStart w:id="2" w:name="_Toc453078499"/>
      <w:r w:rsidRPr="00835801">
        <w:t xml:space="preserve">Същност на </w:t>
      </w:r>
      <w:r w:rsidR="00830B83" w:rsidRPr="00835801">
        <w:t xml:space="preserve">оценката в контекста на </w:t>
      </w:r>
      <w:r w:rsidR="005D4838" w:rsidRPr="00835801">
        <w:t>програмен период 2014-2020 г.</w:t>
      </w:r>
      <w:bookmarkEnd w:id="2"/>
    </w:p>
    <w:p w:rsidR="00C24870" w:rsidRDefault="000A1519" w:rsidP="00EB274A">
      <w:pPr>
        <w:jc w:val="both"/>
      </w:pPr>
      <w:r>
        <w:t xml:space="preserve">Изпълнението на публичните интервенции, съфинансирани от Европейските структурни и инвестиционни фондове </w:t>
      </w:r>
      <w:r w:rsidRPr="004F2A81">
        <w:rPr>
          <w:lang w:val="ru-RU"/>
        </w:rPr>
        <w:t>(</w:t>
      </w:r>
      <w:r>
        <w:t>ЕСИФ</w:t>
      </w:r>
      <w:r w:rsidRPr="004F2A81">
        <w:rPr>
          <w:lang w:val="ru-RU"/>
        </w:rPr>
        <w:t>)</w:t>
      </w:r>
      <w:r>
        <w:t xml:space="preserve"> през програмен период 2014-2020 г. е насочено към подобряване на социално-икономическото развитие на държавите-членки на Европейския съюз </w:t>
      </w:r>
      <w:r w:rsidRPr="004F2A81">
        <w:rPr>
          <w:lang w:val="ru-RU"/>
        </w:rPr>
        <w:t>(</w:t>
      </w:r>
      <w:r>
        <w:t>ЕС</w:t>
      </w:r>
      <w:r w:rsidRPr="004F2A81">
        <w:rPr>
          <w:lang w:val="ru-RU"/>
        </w:rPr>
        <w:t>)</w:t>
      </w:r>
      <w:r>
        <w:t xml:space="preserve"> и благосъстоянието на европейските граждани. Осигуряването на ефективно управление на оперативните програми, изпълнявани с финансовата подкрепа на ЕСИФ, както и проследяването на въздействието от изпълняваните интервенции </w:t>
      </w:r>
      <w:r w:rsidR="005D4838">
        <w:t xml:space="preserve">за постигането на европейските цели за развитие съгласно Стратегията за интелигентен, устойчив и приобщаващ растеж „Европа 2020“ се обезпечава чрез постоянен мониторинг и </w:t>
      </w:r>
      <w:r w:rsidR="00B45A99">
        <w:t xml:space="preserve">провеждане на </w:t>
      </w:r>
      <w:r w:rsidR="005D4838">
        <w:t>оценка</w:t>
      </w:r>
      <w:r w:rsidR="00C24870">
        <w:t xml:space="preserve"> в рамките на всяка отделна оперативна програма. </w:t>
      </w:r>
    </w:p>
    <w:p w:rsidR="00C24870" w:rsidRDefault="00551156" w:rsidP="00EB274A">
      <w:pPr>
        <w:jc w:val="both"/>
      </w:pPr>
      <w:r>
        <w:t>Същностно нов момент в ролята на оценката през</w:t>
      </w:r>
      <w:r w:rsidR="00C24870">
        <w:t xml:space="preserve"> програмен период 2014-2020 г. </w:t>
      </w:r>
      <w:r>
        <w:t xml:space="preserve">е поставянето на сериозен акцент върху необходимостта </w:t>
      </w:r>
      <w:r w:rsidR="00590ECB">
        <w:t>чрез нея</w:t>
      </w:r>
      <w:r>
        <w:t xml:space="preserve"> да </w:t>
      </w:r>
      <w:r w:rsidR="00590ECB">
        <w:t xml:space="preserve">се </w:t>
      </w:r>
      <w:r>
        <w:t xml:space="preserve">обезпечи проследяването на </w:t>
      </w:r>
      <w:r w:rsidRPr="00C24870">
        <w:t>ефективността, ефикасността и въз</w:t>
      </w:r>
      <w:r>
        <w:t xml:space="preserve">действието на интервенциите върху общественото развитие, благосъстоянието на населението, социално-икономическото развитие и околната среда. </w:t>
      </w:r>
      <w:r w:rsidR="00835801">
        <w:t xml:space="preserve">Докато през </w:t>
      </w:r>
      <w:r>
        <w:t>предходния п</w:t>
      </w:r>
      <w:r w:rsidR="00835801">
        <w:t>рограмен период 2007-2013 г. оценката е</w:t>
      </w:r>
      <w:r>
        <w:t xml:space="preserve"> ориентирана </w:t>
      </w:r>
      <w:r w:rsidR="00835801">
        <w:t>преди всичко към подпомагане на процеса на управление на оперативните програми, през настоящия програмен перио</w:t>
      </w:r>
      <w:r w:rsidR="00043F49">
        <w:t xml:space="preserve">д тя има за цел да обслужи </w:t>
      </w:r>
      <w:r w:rsidR="00590ECB">
        <w:t xml:space="preserve">новия подход на Европейската комисия </w:t>
      </w:r>
      <w:r w:rsidR="00590ECB" w:rsidRPr="004F2A81">
        <w:rPr>
          <w:lang w:val="ru-RU"/>
        </w:rPr>
        <w:t>(</w:t>
      </w:r>
      <w:r w:rsidR="00590ECB">
        <w:t>ЕК</w:t>
      </w:r>
      <w:r w:rsidR="00590ECB" w:rsidRPr="004F2A81">
        <w:rPr>
          <w:lang w:val="ru-RU"/>
        </w:rPr>
        <w:t>)</w:t>
      </w:r>
      <w:r w:rsidR="00B45A99">
        <w:t xml:space="preserve">, </w:t>
      </w:r>
      <w:r w:rsidR="00590ECB">
        <w:t>ориентиран</w:t>
      </w:r>
      <w:r w:rsidR="00835801">
        <w:t xml:space="preserve"> към </w:t>
      </w:r>
      <w:r w:rsidR="00590ECB">
        <w:t xml:space="preserve">проследяването на </w:t>
      </w:r>
      <w:r w:rsidR="00835801">
        <w:t>резу</w:t>
      </w:r>
      <w:r w:rsidR="00043F49">
        <w:t>лтати</w:t>
      </w:r>
      <w:r w:rsidR="00590ECB">
        <w:t>те от кохезионната политика и отчитането на напредъка по изпълнение на заложените стратегически цели на растежа</w:t>
      </w:r>
      <w:r w:rsidR="00043F49">
        <w:t>.</w:t>
      </w:r>
    </w:p>
    <w:p w:rsidR="00043F49" w:rsidRPr="00043F49" w:rsidRDefault="00043F49" w:rsidP="00EB274A">
      <w:pPr>
        <w:pStyle w:val="Heading2"/>
        <w:jc w:val="both"/>
      </w:pPr>
      <w:bookmarkStart w:id="3" w:name="_Toc453078500"/>
      <w:r>
        <w:t xml:space="preserve">Правна рамка </w:t>
      </w:r>
      <w:r w:rsidR="00A524D6">
        <w:t>н</w:t>
      </w:r>
      <w:r>
        <w:t>а оценката в програмен период 2014-2020 г.</w:t>
      </w:r>
      <w:bookmarkEnd w:id="3"/>
    </w:p>
    <w:p w:rsidR="00043F49" w:rsidRDefault="00043F49" w:rsidP="00EB274A">
      <w:pPr>
        <w:jc w:val="both"/>
      </w:pPr>
      <w:r w:rsidRPr="00043F49">
        <w:t>Необходи</w:t>
      </w:r>
      <w:r>
        <w:t>мостта от провеждането на оценка на изпълнението на</w:t>
      </w:r>
      <w:r w:rsidR="000E6067">
        <w:t xml:space="preserve"> </w:t>
      </w:r>
      <w:r w:rsidR="00244F41">
        <w:t xml:space="preserve">оперативните програми, реализирани чрез </w:t>
      </w:r>
      <w:r w:rsidR="000E6067">
        <w:t xml:space="preserve">ЕСИФ и в частност на </w:t>
      </w:r>
      <w:r w:rsidR="00803501">
        <w:t>о</w:t>
      </w:r>
      <w:r>
        <w:t>перативна програма „Околна среда 2014 -</w:t>
      </w:r>
      <w:r w:rsidR="00803501">
        <w:t xml:space="preserve"> </w:t>
      </w:r>
      <w:r>
        <w:t>2020</w:t>
      </w:r>
      <w:r w:rsidRPr="00043F49">
        <w:t xml:space="preserve"> г.”</w:t>
      </w:r>
      <w:r w:rsidR="00590ECB">
        <w:t xml:space="preserve"> </w:t>
      </w:r>
      <w:r w:rsidR="00C312E7" w:rsidRPr="004F2A81">
        <w:rPr>
          <w:lang w:val="ru-RU"/>
        </w:rPr>
        <w:t>(</w:t>
      </w:r>
      <w:r w:rsidR="00C312E7">
        <w:t>ОПОС 2014-2020 г.</w:t>
      </w:r>
      <w:r w:rsidR="00C312E7" w:rsidRPr="004F2A81">
        <w:rPr>
          <w:lang w:val="ru-RU"/>
        </w:rPr>
        <w:t>)</w:t>
      </w:r>
      <w:r w:rsidR="00C312E7">
        <w:t xml:space="preserve"> </w:t>
      </w:r>
      <w:r w:rsidR="00590ECB">
        <w:t>в България</w:t>
      </w:r>
      <w:r w:rsidR="000E6067">
        <w:t xml:space="preserve">, съфинансирана от Европейския фонд за регионално развитие </w:t>
      </w:r>
      <w:r w:rsidR="000E6067" w:rsidRPr="004F2A81">
        <w:rPr>
          <w:lang w:val="ru-RU"/>
        </w:rPr>
        <w:t>(</w:t>
      </w:r>
      <w:r w:rsidR="000E6067">
        <w:t>ЕФРР</w:t>
      </w:r>
      <w:r w:rsidR="000E6067" w:rsidRPr="004F2A81">
        <w:rPr>
          <w:lang w:val="ru-RU"/>
        </w:rPr>
        <w:t>)</w:t>
      </w:r>
      <w:r w:rsidR="000E6067">
        <w:t xml:space="preserve"> и Кохезионния фонд </w:t>
      </w:r>
      <w:r w:rsidR="000E6067" w:rsidRPr="004F2A81">
        <w:rPr>
          <w:lang w:val="ru-RU"/>
        </w:rPr>
        <w:t>(</w:t>
      </w:r>
      <w:r w:rsidR="000E6067">
        <w:t>КФ</w:t>
      </w:r>
      <w:r w:rsidR="000E6067" w:rsidRPr="004F2A81">
        <w:rPr>
          <w:lang w:val="ru-RU"/>
        </w:rPr>
        <w:t>)</w:t>
      </w:r>
      <w:r w:rsidR="000E6067">
        <w:t>,</w:t>
      </w:r>
      <w:r w:rsidRPr="00043F49">
        <w:t xml:space="preserve"> </w:t>
      </w:r>
      <w:r w:rsidR="00590ECB">
        <w:t xml:space="preserve">както </w:t>
      </w:r>
      <w:r w:rsidRPr="00043F49">
        <w:t>и общите правила за това са описани в следните документи:</w:t>
      </w:r>
    </w:p>
    <w:p w:rsidR="00043F49" w:rsidRDefault="00590ECB" w:rsidP="00EB274A">
      <w:pPr>
        <w:pStyle w:val="ListBullet"/>
        <w:jc w:val="both"/>
        <w:rPr>
          <w:b/>
        </w:rPr>
      </w:pPr>
      <w:r>
        <w:rPr>
          <w:b/>
        </w:rPr>
        <w:t>Основни н</w:t>
      </w:r>
      <w:r w:rsidR="00043F49" w:rsidRPr="00043F49">
        <w:rPr>
          <w:b/>
        </w:rPr>
        <w:t>ормативни актове на европейско ниво</w:t>
      </w:r>
    </w:p>
    <w:p w:rsidR="000E6067" w:rsidRPr="000E6067" w:rsidRDefault="000E6067" w:rsidP="00EB274A">
      <w:pPr>
        <w:pStyle w:val="ListBullet"/>
        <w:ind w:left="720"/>
        <w:jc w:val="both"/>
      </w:pPr>
      <w:r w:rsidRPr="000E6067">
        <w:t>Регламент (ЕС) № 1303/2013 на Европейския парламент и на С</w:t>
      </w:r>
      <w:r w:rsidR="00590ECB">
        <w:t xml:space="preserve">ъвета от 17 декември 2013 г. </w:t>
      </w:r>
      <w:r w:rsidRPr="000E6067">
        <w:t xml:space="preserve"> за определяне на </w:t>
      </w:r>
      <w:proofErr w:type="spellStart"/>
      <w:r w:rsidRPr="000E6067">
        <w:t>общоприложими</w:t>
      </w:r>
      <w:proofErr w:type="spellEnd"/>
      <w:r w:rsidRPr="000E6067">
        <w:t xml:space="preserve"> разпоредби за Европейския фонд за регионално развитие, Европейския социален фонд, Кохезионния фонд, </w:t>
      </w:r>
      <w:r w:rsidRPr="000E6067">
        <w:lastRenderedPageBreak/>
        <w:t>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w:t>
      </w:r>
      <w:r w:rsidR="00590ECB">
        <w:t xml:space="preserve"> </w:t>
      </w:r>
      <w:r w:rsidR="00C46D74" w:rsidRPr="00803501">
        <w:rPr>
          <w:lang w:val="ru-RU"/>
        </w:rPr>
        <w:t>(</w:t>
      </w:r>
      <w:r w:rsidR="00C46D74">
        <w:t>Регламент 1303/2013</w:t>
      </w:r>
      <w:r w:rsidR="00C46D74" w:rsidRPr="00803501">
        <w:rPr>
          <w:lang w:val="ru-RU"/>
        </w:rPr>
        <w:t>)</w:t>
      </w:r>
      <w:r w:rsidR="00DF499E">
        <w:rPr>
          <w:lang w:val="ru-RU"/>
        </w:rPr>
        <w:t>;</w:t>
      </w:r>
    </w:p>
    <w:p w:rsidR="000E6067" w:rsidRPr="000E6067" w:rsidRDefault="000E6067" w:rsidP="00EB274A">
      <w:pPr>
        <w:pStyle w:val="ListBullet"/>
        <w:ind w:left="720"/>
        <w:jc w:val="both"/>
      </w:pPr>
      <w:r w:rsidRPr="000E6067">
        <w:t>Регламент (ЕС) № 1300/2013 на Европейския парламент и на Съвета от 17 декември 2013 година относно Кохезионния фонд</w:t>
      </w:r>
      <w:r w:rsidR="00DF499E">
        <w:t>;</w:t>
      </w:r>
    </w:p>
    <w:p w:rsidR="000E6067" w:rsidRPr="00043F49" w:rsidRDefault="000E6067" w:rsidP="00EB274A">
      <w:pPr>
        <w:pStyle w:val="ListBullet"/>
        <w:ind w:left="720"/>
        <w:jc w:val="both"/>
      </w:pPr>
      <w:r w:rsidRPr="000E6067">
        <w:t>Регламент (ЕС) № 1301/2013 на Европейския парламент и на Съвета от 17 декември 2013 година относно Европейския фонд за регионално развитие и специални разпоредби по отношение на целта „Инвестиции за растеж и работни места“</w:t>
      </w:r>
      <w:r w:rsidR="00DF499E">
        <w:t>.</w:t>
      </w:r>
    </w:p>
    <w:p w:rsidR="00043F49" w:rsidRDefault="00590ECB" w:rsidP="00EB274A">
      <w:pPr>
        <w:pStyle w:val="ListBullet"/>
        <w:jc w:val="both"/>
        <w:rPr>
          <w:b/>
        </w:rPr>
      </w:pPr>
      <w:r>
        <w:rPr>
          <w:b/>
        </w:rPr>
        <w:t>Основни с</w:t>
      </w:r>
      <w:r w:rsidR="00C312E7">
        <w:rPr>
          <w:b/>
        </w:rPr>
        <w:t xml:space="preserve">тратегически, </w:t>
      </w:r>
      <w:r>
        <w:rPr>
          <w:b/>
        </w:rPr>
        <w:t xml:space="preserve">програмни </w:t>
      </w:r>
      <w:r w:rsidR="00C312E7">
        <w:rPr>
          <w:b/>
        </w:rPr>
        <w:t xml:space="preserve">и нормативни </w:t>
      </w:r>
      <w:r w:rsidR="00043F49" w:rsidRPr="00043F49">
        <w:rPr>
          <w:b/>
        </w:rPr>
        <w:t>документи на национално ниво</w:t>
      </w:r>
    </w:p>
    <w:p w:rsidR="00590ECB" w:rsidRPr="00590ECB" w:rsidRDefault="00590ECB" w:rsidP="00EB274A">
      <w:pPr>
        <w:pStyle w:val="ListBullet"/>
        <w:ind w:left="720"/>
        <w:jc w:val="both"/>
      </w:pPr>
      <w:r w:rsidRPr="00590ECB">
        <w:t>Споразумение за партньорство на Република България</w:t>
      </w:r>
      <w:r w:rsidR="00DF499E">
        <w:t>;</w:t>
      </w:r>
    </w:p>
    <w:p w:rsidR="00590ECB" w:rsidRDefault="00590ECB" w:rsidP="00EB274A">
      <w:pPr>
        <w:pStyle w:val="ListBullet"/>
        <w:ind w:left="720"/>
        <w:jc w:val="both"/>
      </w:pPr>
      <w:r w:rsidRPr="00590ECB">
        <w:t>Оперативна програма „Околна среда 2014-2020 г.“, одобрена с решение на ЕК на 15 юни 2015 г.</w:t>
      </w:r>
      <w:r w:rsidR="00DF499E">
        <w:t>;</w:t>
      </w:r>
    </w:p>
    <w:p w:rsidR="00C312E7" w:rsidRDefault="00C312E7" w:rsidP="00EB274A">
      <w:pPr>
        <w:pStyle w:val="ListBullet"/>
        <w:ind w:left="720"/>
        <w:jc w:val="both"/>
      </w:pPr>
      <w:r>
        <w:t>ПМС № 79 от 10.04.2014 г. за създаване на комитети за наблюдение на Споразумението за партньорство на Република България и на програмите, съфинансирани от Европейските структурни и инвестиционни фондове, за програмен период 2014-2020 г.</w:t>
      </w:r>
      <w:r w:rsidR="00DF499E">
        <w:t>;</w:t>
      </w:r>
    </w:p>
    <w:p w:rsidR="00C312E7" w:rsidRDefault="00C312E7" w:rsidP="00EB274A">
      <w:pPr>
        <w:pStyle w:val="ListBullet"/>
        <w:ind w:left="720"/>
        <w:jc w:val="both"/>
      </w:pPr>
      <w:r>
        <w:t>Доклад за предварителна оценка на ОПОС 2014-2020 г. и съдържащите се в него препоръки по отношение на разработването на план за оценка на програмата</w:t>
      </w:r>
      <w:r w:rsidR="00DF499E">
        <w:t>.</w:t>
      </w:r>
    </w:p>
    <w:p w:rsidR="00C312E7" w:rsidRPr="00590ECB" w:rsidRDefault="00C312E7" w:rsidP="00EB274A">
      <w:pPr>
        <w:pStyle w:val="ListBullet"/>
        <w:jc w:val="both"/>
      </w:pPr>
      <w:r w:rsidRPr="00C312E7">
        <w:rPr>
          <w:b/>
        </w:rPr>
        <w:t>Вътрешни правила и процедури на Управляващия орган на ОПОС</w:t>
      </w:r>
      <w:r w:rsidRPr="00803501">
        <w:rPr>
          <w:lang w:val="ru-RU"/>
        </w:rPr>
        <w:t xml:space="preserve"> (</w:t>
      </w:r>
      <w:r>
        <w:t>УО</w:t>
      </w:r>
      <w:r w:rsidRPr="00803501">
        <w:rPr>
          <w:lang w:val="ru-RU"/>
        </w:rPr>
        <w:t>)</w:t>
      </w:r>
      <w:r>
        <w:t xml:space="preserve"> във връзка с изпълнението на отговорностите по оценка</w:t>
      </w:r>
      <w:r w:rsidR="00DF499E">
        <w:t>;</w:t>
      </w:r>
    </w:p>
    <w:p w:rsidR="00043F49" w:rsidRPr="00043F49" w:rsidRDefault="00043F49" w:rsidP="00EB274A">
      <w:pPr>
        <w:pStyle w:val="ListBullet"/>
        <w:jc w:val="both"/>
        <w:rPr>
          <w:b/>
        </w:rPr>
      </w:pPr>
      <w:r w:rsidRPr="00043F49">
        <w:rPr>
          <w:b/>
        </w:rPr>
        <w:t>Приложими ръководства на ЕК</w:t>
      </w:r>
    </w:p>
    <w:p w:rsidR="00590ECB" w:rsidRDefault="00590ECB" w:rsidP="00EB274A">
      <w:pPr>
        <w:pStyle w:val="ListBullet"/>
        <w:ind w:left="720"/>
        <w:jc w:val="both"/>
      </w:pPr>
      <w:r>
        <w:t>Насоки за мониторинг и оценка за програмен период 2014-2020 г. на ЕК от март, 2014 г.</w:t>
      </w:r>
      <w:r>
        <w:rPr>
          <w:rStyle w:val="FootnoteReference"/>
        </w:rPr>
        <w:footnoteReference w:id="1"/>
      </w:r>
      <w:r w:rsidR="00DF499E">
        <w:t>;</w:t>
      </w:r>
    </w:p>
    <w:p w:rsidR="00590ECB" w:rsidRDefault="00590ECB" w:rsidP="00EB274A">
      <w:pPr>
        <w:pStyle w:val="ListBullet"/>
        <w:ind w:left="720"/>
        <w:jc w:val="both"/>
      </w:pPr>
      <w:r>
        <w:t>Ръководство на ЕК за планове за оценки от февруари, 2015 г.</w:t>
      </w:r>
      <w:r>
        <w:rPr>
          <w:rStyle w:val="FootnoteReference"/>
        </w:rPr>
        <w:footnoteReference w:id="2"/>
      </w:r>
      <w:r w:rsidR="00DF499E">
        <w:t>.</w:t>
      </w:r>
    </w:p>
    <w:p w:rsidR="00C312E7" w:rsidRDefault="00C312E7" w:rsidP="00EB274A">
      <w:pPr>
        <w:jc w:val="both"/>
      </w:pPr>
    </w:p>
    <w:p w:rsidR="00C312E7" w:rsidRDefault="00C312E7" w:rsidP="00EB274A">
      <w:pPr>
        <w:jc w:val="both"/>
      </w:pPr>
      <w:r>
        <w:lastRenderedPageBreak/>
        <w:t xml:space="preserve">Съгласно чл. 54 на </w:t>
      </w:r>
      <w:r w:rsidRPr="000E6067">
        <w:t xml:space="preserve">Регламент 1303/2013 </w:t>
      </w:r>
      <w:r w:rsidR="00FB0133">
        <w:t xml:space="preserve">извършването на оценки се залага в модела на прилагане на ЕСИФ с </w:t>
      </w:r>
      <w:r>
        <w:t>оглед подобряване на качеството на изготвянето и изпълнението на програмите, както и с цел да се направи оценка на тяхната ефективност, е</w:t>
      </w:r>
      <w:r w:rsidR="00FB0133">
        <w:t>фикасност и на въздействието им</w:t>
      </w:r>
      <w:r>
        <w:t xml:space="preserve">. Въздействието на </w:t>
      </w:r>
      <w:r w:rsidR="00FB0133">
        <w:t>отделните оперативни програми следва да бъде</w:t>
      </w:r>
      <w:r>
        <w:t xml:space="preserve"> оценява</w:t>
      </w:r>
      <w:r w:rsidR="00FB0133">
        <w:t>но</w:t>
      </w:r>
      <w:r>
        <w:t xml:space="preserve"> от гледна точка на задач</w:t>
      </w:r>
      <w:r w:rsidR="00FB0133">
        <w:t>ите, които си поставя</w:t>
      </w:r>
      <w:r>
        <w:t xml:space="preserve"> всеки европейски структурен и инвестиционен фонд </w:t>
      </w:r>
      <w:r w:rsidR="00FB0133">
        <w:t xml:space="preserve">за постигане на </w:t>
      </w:r>
      <w:r>
        <w:t xml:space="preserve">целите по </w:t>
      </w:r>
      <w:r w:rsidR="00FB0133">
        <w:t>Стратегията за интелигентен, устойчив и приобщаващ растеж „Европа 2020“</w:t>
      </w:r>
      <w:r>
        <w:t xml:space="preserve">, и като се отчита размерът на </w:t>
      </w:r>
      <w:r w:rsidR="00FB0133">
        <w:t>съответната програма</w:t>
      </w:r>
      <w:r w:rsidR="00C46D74">
        <w:t xml:space="preserve"> по отношение на брутния вътрешен продукт </w:t>
      </w:r>
      <w:r>
        <w:t>и безработицата в съответния програмен район, когато това е целесъобразно.</w:t>
      </w:r>
    </w:p>
    <w:p w:rsidR="00C312E7" w:rsidRPr="00FE3FF9" w:rsidRDefault="00C46D74" w:rsidP="00EB274A">
      <w:pPr>
        <w:jc w:val="both"/>
      </w:pPr>
      <w:r>
        <w:t xml:space="preserve">Регламент </w:t>
      </w:r>
      <w:r w:rsidR="00FB0133" w:rsidRPr="000E6067">
        <w:t xml:space="preserve">1303/2013 </w:t>
      </w:r>
      <w:r w:rsidR="00FB0133">
        <w:t>вменява на д</w:t>
      </w:r>
      <w:r w:rsidR="00C312E7">
        <w:t xml:space="preserve">ържавите-членки </w:t>
      </w:r>
      <w:r w:rsidR="00FB0133">
        <w:t xml:space="preserve">отговорността да обезпечат необходимия финансов ресурс за </w:t>
      </w:r>
      <w:r w:rsidR="00C312E7">
        <w:t xml:space="preserve">извършването на оценките, и </w:t>
      </w:r>
      <w:r w:rsidR="00FB0133">
        <w:t xml:space="preserve">да </w:t>
      </w:r>
      <w:r w:rsidR="00C312E7">
        <w:t xml:space="preserve">гарантират, че са налице </w:t>
      </w:r>
      <w:r w:rsidR="00FB0133">
        <w:t xml:space="preserve">ефективни </w:t>
      </w:r>
      <w:r w:rsidR="00C312E7">
        <w:t xml:space="preserve">процедури за </w:t>
      </w:r>
      <w:r w:rsidR="00FB0133">
        <w:t>събиране</w:t>
      </w:r>
      <w:r w:rsidR="00C312E7">
        <w:t xml:space="preserve"> на </w:t>
      </w:r>
      <w:r w:rsidR="00FB0133">
        <w:t>необходимите данни за оценка</w:t>
      </w:r>
      <w:r w:rsidR="00C312E7">
        <w:t xml:space="preserve">, </w:t>
      </w:r>
      <w:r w:rsidR="00FB0133">
        <w:t xml:space="preserve">в т.ч. такива, свързани с </w:t>
      </w:r>
      <w:r w:rsidR="00C312E7">
        <w:t>общите и специфичните за програмата показатели.</w:t>
      </w:r>
    </w:p>
    <w:p w:rsidR="00590ECB" w:rsidRDefault="00590ECB" w:rsidP="00EB274A">
      <w:pPr>
        <w:pStyle w:val="Heading2"/>
        <w:jc w:val="both"/>
      </w:pPr>
      <w:bookmarkStart w:id="4" w:name="_Toc453078501"/>
      <w:r>
        <w:t>Основни видове оценки в програмен период 2014-2020 г.</w:t>
      </w:r>
      <w:bookmarkEnd w:id="4"/>
    </w:p>
    <w:p w:rsidR="004A416C" w:rsidRDefault="006C674C" w:rsidP="00EB274A">
      <w:pPr>
        <w:jc w:val="both"/>
      </w:pPr>
      <w:r>
        <w:t xml:space="preserve">Съгласно </w:t>
      </w:r>
      <w:r w:rsidR="00C46D74">
        <w:t xml:space="preserve">Регламент </w:t>
      </w:r>
      <w:r w:rsidRPr="000E6067">
        <w:t>1303/2013</w:t>
      </w:r>
      <w:r>
        <w:t xml:space="preserve"> цикълът на програмиране, изпълнение и отчитане на оперативните програми, изпълнявани със съфинансиране от ЕСИФ, е обвързан с провеждането на </w:t>
      </w:r>
      <w:r w:rsidRPr="00C46D74">
        <w:rPr>
          <w:b/>
        </w:rPr>
        <w:t>3 основни вида оценки</w:t>
      </w:r>
      <w:r>
        <w:t>:</w:t>
      </w:r>
    </w:p>
    <w:p w:rsidR="006C674C" w:rsidRDefault="006C674C" w:rsidP="00EB274A">
      <w:pPr>
        <w:pStyle w:val="ListBullet"/>
        <w:jc w:val="both"/>
        <w:rPr>
          <w:b/>
        </w:rPr>
      </w:pPr>
      <w:r w:rsidRPr="006C674C">
        <w:rPr>
          <w:b/>
        </w:rPr>
        <w:t>Предварителна оценка</w:t>
      </w:r>
    </w:p>
    <w:p w:rsidR="002C584E" w:rsidRDefault="006C674C" w:rsidP="00EB274A">
      <w:pPr>
        <w:jc w:val="both"/>
      </w:pPr>
      <w:r>
        <w:t xml:space="preserve">Съгласно чл. 55 на </w:t>
      </w:r>
      <w:r w:rsidRPr="000E6067">
        <w:t>Регламент (ЕС) № 1303/2013</w:t>
      </w:r>
      <w:r>
        <w:t xml:space="preserve"> предварителната оценка се извършва като неделима част от процеса на разработване на всяка оперативна програма и допринася за подобряване качеството на изготвяне на програмния документ. </w:t>
      </w:r>
      <w:r w:rsidR="002C584E">
        <w:t>Чрез нея още на етапа на програмиране се оценяват всички ключови компонент</w:t>
      </w:r>
      <w:r w:rsidR="00C46D74">
        <w:t>и от стратегията на програмата.</w:t>
      </w:r>
    </w:p>
    <w:p w:rsidR="006C674C" w:rsidRPr="0001375C" w:rsidRDefault="006C674C" w:rsidP="00EB274A">
      <w:pPr>
        <w:jc w:val="both"/>
        <w:rPr>
          <w:kern w:val="0"/>
          <w:lang w:val="ru-RU"/>
        </w:rPr>
      </w:pPr>
      <w:r>
        <w:t xml:space="preserve">Предварителната оценка на ОПОС 2014-2020 г. е проведена </w:t>
      </w:r>
      <w:r w:rsidR="00A3254B">
        <w:t xml:space="preserve">в процеса на програмиране от </w:t>
      </w:r>
      <w:proofErr w:type="spellStart"/>
      <w:r w:rsidR="00A3254B">
        <w:t>Денкщат</w:t>
      </w:r>
      <w:proofErr w:type="spellEnd"/>
      <w:r w:rsidR="00A3254B">
        <w:t xml:space="preserve"> </w:t>
      </w:r>
      <w:r w:rsidR="00803501">
        <w:t xml:space="preserve">България ООД </w:t>
      </w:r>
      <w:r w:rsidR="00A3254B">
        <w:t>въз основа на Договор</w:t>
      </w:r>
      <w:r w:rsidR="00803501">
        <w:t xml:space="preserve"> №</w:t>
      </w:r>
      <w:r w:rsidR="00A3254B">
        <w:t xml:space="preserve"> Д-30-33/13.03.2013 г. Резултатите от оценката са представени в Доклад </w:t>
      </w:r>
      <w:r w:rsidR="009A0796">
        <w:t>за</w:t>
      </w:r>
      <w:r w:rsidR="00A3254B">
        <w:t xml:space="preserve"> предварителна оценка на ОПОС 2014-2020 г.</w:t>
      </w:r>
      <w:r w:rsidR="009A0796">
        <w:rPr>
          <w:rStyle w:val="FootnoteReference"/>
        </w:rPr>
        <w:footnoteReference w:id="3"/>
      </w:r>
      <w:r w:rsidR="00A3254B">
        <w:t xml:space="preserve">, който разглежда и анализира проекта на оперативната програма към </w:t>
      </w:r>
      <w:r w:rsidR="00803501">
        <w:t>м.</w:t>
      </w:r>
      <w:r w:rsidR="00A3254B">
        <w:t xml:space="preserve">ноември 2014 г. Съгласно изискванията на чл. 55 на </w:t>
      </w:r>
      <w:r>
        <w:t xml:space="preserve"> </w:t>
      </w:r>
      <w:proofErr w:type="spellStart"/>
      <w:r w:rsidR="00A3254B">
        <w:t>на</w:t>
      </w:r>
      <w:proofErr w:type="spellEnd"/>
      <w:r w:rsidR="00A3254B">
        <w:t xml:space="preserve"> </w:t>
      </w:r>
      <w:r w:rsidR="00A3254B" w:rsidRPr="000E6067">
        <w:t>Регламент 1303/2013</w:t>
      </w:r>
      <w:r w:rsidR="00A3254B">
        <w:t xml:space="preserve"> в</w:t>
      </w:r>
      <w:r>
        <w:t xml:space="preserve"> рамк</w:t>
      </w:r>
      <w:r w:rsidR="00A3254B">
        <w:t>ите на предварителната оценка е извършена и екологична</w:t>
      </w:r>
      <w:r>
        <w:t xml:space="preserve"> оценка </w:t>
      </w:r>
      <w:r w:rsidR="009A0796" w:rsidRPr="0001375C">
        <w:rPr>
          <w:lang w:val="ru-RU"/>
        </w:rPr>
        <w:t>(</w:t>
      </w:r>
      <w:r w:rsidR="009A0796">
        <w:t>ЕО</w:t>
      </w:r>
      <w:r w:rsidR="009A0796" w:rsidRPr="0001375C">
        <w:rPr>
          <w:lang w:val="ru-RU"/>
        </w:rPr>
        <w:t>)</w:t>
      </w:r>
      <w:r w:rsidR="009A0796">
        <w:t xml:space="preserve"> </w:t>
      </w:r>
      <w:r>
        <w:t>на оперативната про</w:t>
      </w:r>
      <w:r w:rsidR="009A0796">
        <w:t xml:space="preserve">грама, съгласно изискванията </w:t>
      </w:r>
      <w:r w:rsidR="00A3254B">
        <w:t xml:space="preserve">за стратегическа оценка на околната среда, определени в Директива 2001/42/ЕО на </w:t>
      </w:r>
      <w:r w:rsidR="00A3254B">
        <w:lastRenderedPageBreak/>
        <w:t>Европейския парламент и на Съвета, при отчитане на нуждите във връзка със смекчаването на изменението на климата.</w:t>
      </w:r>
      <w:r w:rsidR="009A0796" w:rsidRPr="0001375C">
        <w:rPr>
          <w:kern w:val="0"/>
          <w:lang w:val="ru-RU"/>
        </w:rPr>
        <w:t xml:space="preserve"> </w:t>
      </w:r>
    </w:p>
    <w:p w:rsidR="006C674C" w:rsidRDefault="006C674C" w:rsidP="00EB274A">
      <w:pPr>
        <w:pStyle w:val="ListBullet"/>
        <w:jc w:val="both"/>
        <w:rPr>
          <w:b/>
        </w:rPr>
      </w:pPr>
      <w:r w:rsidRPr="006C674C">
        <w:rPr>
          <w:b/>
        </w:rPr>
        <w:t>Последваща оценка</w:t>
      </w:r>
    </w:p>
    <w:p w:rsidR="00A3254B" w:rsidRDefault="009C3F44" w:rsidP="00EB274A">
      <w:pPr>
        <w:jc w:val="both"/>
        <w:rPr>
          <w:sz w:val="19"/>
          <w:szCs w:val="19"/>
        </w:rPr>
      </w:pPr>
      <w:r>
        <w:t xml:space="preserve">В съответствие с чл. 57 на </w:t>
      </w:r>
      <w:r w:rsidRPr="000E6067">
        <w:t>Регламент 1303/2013</w:t>
      </w:r>
      <w:r w:rsidR="00A3254B">
        <w:t xml:space="preserve">, </w:t>
      </w:r>
      <w:proofErr w:type="spellStart"/>
      <w:r w:rsidR="00A3254B">
        <w:t>последващата</w:t>
      </w:r>
      <w:proofErr w:type="spellEnd"/>
      <w:r w:rsidR="00A3254B">
        <w:t xml:space="preserve"> оценка се извършва от </w:t>
      </w:r>
      <w:r>
        <w:t>ЕК или от държавите-членки</w:t>
      </w:r>
      <w:r w:rsidR="00A3254B">
        <w:t xml:space="preserve"> в</w:t>
      </w:r>
      <w:r>
        <w:t xml:space="preserve"> тясно сътрудничество с ЕК. </w:t>
      </w:r>
      <w:r>
        <w:rPr>
          <w:rFonts w:cs="EUAlbertina"/>
          <w:color w:val="000000"/>
        </w:rPr>
        <w:t xml:space="preserve">Последващата оценка </w:t>
      </w:r>
      <w:r>
        <w:t>има за цел да проследи</w:t>
      </w:r>
      <w:r w:rsidRPr="009C3F44">
        <w:t xml:space="preserve"> ефективността и ефикасността на европейските структурни и инвестиционни фондове и техния принос за изпълнението на стратегията на Съюза за интелигентен, устойчив и приобщаващ растеж, като се отчитат заложените в тази стратегия на Съюза цели и в съответствие със специфичните изисквания, определени в правилата за отделните фондове. </w:t>
      </w:r>
      <w:r>
        <w:t xml:space="preserve">Последващата оценка на ОПОС 2014-2020 </w:t>
      </w:r>
      <w:r w:rsidR="003B4A4B">
        <w:t xml:space="preserve">г. </w:t>
      </w:r>
      <w:r>
        <w:t>трябва да бъде</w:t>
      </w:r>
      <w:r w:rsidRPr="009C3F44">
        <w:t xml:space="preserve"> </w:t>
      </w:r>
      <w:r>
        <w:t>извършена</w:t>
      </w:r>
      <w:r w:rsidRPr="009C3F44">
        <w:t xml:space="preserve"> до 31 декември </w:t>
      </w:r>
      <w:r w:rsidRPr="0065428F">
        <w:t>2024 г</w:t>
      </w:r>
      <w:r w:rsidRPr="0065428F">
        <w:rPr>
          <w:sz w:val="19"/>
          <w:szCs w:val="19"/>
        </w:rPr>
        <w:t>.</w:t>
      </w:r>
    </w:p>
    <w:p w:rsidR="00D068C6" w:rsidRDefault="00D068C6" w:rsidP="00EB274A">
      <w:pPr>
        <w:pStyle w:val="ListBullet"/>
        <w:jc w:val="both"/>
        <w:rPr>
          <w:b/>
        </w:rPr>
      </w:pPr>
      <w:r w:rsidRPr="006C674C">
        <w:rPr>
          <w:b/>
        </w:rPr>
        <w:t>Оценка през програмния период</w:t>
      </w:r>
    </w:p>
    <w:p w:rsidR="0084040A" w:rsidRDefault="00D068C6" w:rsidP="00EB274A">
      <w:pPr>
        <w:jc w:val="both"/>
      </w:pPr>
      <w:r>
        <w:t>Съгласно чл. 56</w:t>
      </w:r>
      <w:r w:rsidRPr="00D068C6">
        <w:t xml:space="preserve"> </w:t>
      </w:r>
      <w:r>
        <w:t xml:space="preserve">на </w:t>
      </w:r>
      <w:r w:rsidRPr="000E6067">
        <w:t>Регламент 1303/2013</w:t>
      </w:r>
      <w:r w:rsidRPr="00D068C6">
        <w:t xml:space="preserve"> </w:t>
      </w:r>
      <w:r>
        <w:t>п</w:t>
      </w:r>
      <w:r w:rsidR="003B4A4B">
        <w:t>о време на</w:t>
      </w:r>
      <w:r>
        <w:t xml:space="preserve"> програмния период </w:t>
      </w:r>
      <w:r w:rsidR="003B4A4B">
        <w:t>УО на всяка оперативна програма</w:t>
      </w:r>
      <w:r w:rsidR="0084040A">
        <w:t xml:space="preserve"> следва да </w:t>
      </w:r>
      <w:r>
        <w:t>гарантира</w:t>
      </w:r>
      <w:r w:rsidR="003B4A4B">
        <w:t xml:space="preserve"> </w:t>
      </w:r>
      <w:r>
        <w:t xml:space="preserve">извършването на оценки, включително за оценяване на ефективността, ефикасността и </w:t>
      </w:r>
      <w:r w:rsidR="0084040A">
        <w:t xml:space="preserve">въздействието на всяка програма, както и да обезпечат подходящо проследяване на препоръките от всяка оценка. Поне веднъж през програмния период следва да се проведе оценка, с която се оценява приносът на подкрепата от ЕСИФ за постигането на целите по всеки приоритет. </w:t>
      </w:r>
    </w:p>
    <w:p w:rsidR="00652AB0" w:rsidRDefault="0084040A" w:rsidP="00EB274A">
      <w:pPr>
        <w:jc w:val="both"/>
      </w:pPr>
      <w:r>
        <w:t xml:space="preserve">За ефективна организация на </w:t>
      </w:r>
      <w:r w:rsidR="003B4A4B">
        <w:t>оценката съответния УО</w:t>
      </w:r>
      <w:r>
        <w:t xml:space="preserve"> или държавата-членка е задължен/а да разработи план </w:t>
      </w:r>
      <w:r w:rsidR="00652AB0">
        <w:t>за оценка, коя</w:t>
      </w:r>
      <w:r>
        <w:t xml:space="preserve">то може да обхваща повече от една програма.  </w:t>
      </w:r>
      <w:r w:rsidR="003B4A4B">
        <w:t>УО</w:t>
      </w:r>
      <w:r w:rsidR="00652AB0">
        <w:t xml:space="preserve"> е отговорен да обезпечи и необходимия капацитет за провеждане на оценка през програмния период.</w:t>
      </w:r>
    </w:p>
    <w:p w:rsidR="0084040A" w:rsidRDefault="00652AB0" w:rsidP="00EB274A">
      <w:pPr>
        <w:jc w:val="both"/>
      </w:pPr>
      <w:r>
        <w:t>Всички оценки, извършени през програмния период, се представят и разглеждат от Комитета за наблюдение на съответната програма и се изпращат на ЕК.</w:t>
      </w:r>
    </w:p>
    <w:p w:rsidR="00213079" w:rsidRDefault="00213079" w:rsidP="00EB274A">
      <w:pPr>
        <w:pStyle w:val="Heading2"/>
        <w:jc w:val="both"/>
      </w:pPr>
      <w:bookmarkStart w:id="5" w:name="_Toc453078502"/>
      <w:r>
        <w:t>Обща информация за изготвянето на Плана за оценка на ОПОС 2014-2020 г.</w:t>
      </w:r>
      <w:bookmarkEnd w:id="5"/>
    </w:p>
    <w:p w:rsidR="003B4A4B" w:rsidRDefault="00652AB0" w:rsidP="00EB274A">
      <w:pPr>
        <w:jc w:val="both"/>
        <w:rPr>
          <w:szCs w:val="24"/>
          <w:lang w:eastAsia="en-US"/>
        </w:rPr>
      </w:pPr>
      <w:r>
        <w:t xml:space="preserve">Настоящият индикативен план за оценка на ОПОС 2014-2020 г. е разработен на </w:t>
      </w:r>
      <w:r w:rsidR="00F34C3C">
        <w:t xml:space="preserve">основание чл. 56, </w:t>
      </w:r>
      <w:r w:rsidR="00F34C3C" w:rsidRPr="0001375C">
        <w:rPr>
          <w:lang w:val="ru-RU"/>
        </w:rPr>
        <w:t>(</w:t>
      </w:r>
      <w:r>
        <w:t>1</w:t>
      </w:r>
      <w:r w:rsidR="00F34C3C" w:rsidRPr="0001375C">
        <w:rPr>
          <w:lang w:val="ru-RU"/>
        </w:rPr>
        <w:t>)</w:t>
      </w:r>
      <w:r>
        <w:t xml:space="preserve"> от </w:t>
      </w:r>
      <w:r w:rsidRPr="000E6067">
        <w:t>Регламент</w:t>
      </w:r>
      <w:r w:rsidR="003B4A4B">
        <w:t xml:space="preserve"> </w:t>
      </w:r>
      <w:r w:rsidRPr="000E6067">
        <w:t>1303/2013</w:t>
      </w:r>
      <w:r>
        <w:t>. Документът е изготвен от ЕСТАТ ООД в изпълнение на Договор №</w:t>
      </w:r>
      <w:r w:rsidR="008C3E47">
        <w:t xml:space="preserve"> Д-34-15</w:t>
      </w:r>
      <w:r>
        <w:t xml:space="preserve"> /07.04.2016 г. с предмет: „Изготвяне на</w:t>
      </w:r>
      <w:r w:rsidR="008C3E47">
        <w:t xml:space="preserve"> План за оценка на Оперативна програма „Околна среда 2014-2020 г.</w:t>
      </w:r>
      <w:r>
        <w:t>”</w:t>
      </w:r>
      <w:r w:rsidR="003B4A4B">
        <w:t xml:space="preserve">. Услугата по договора се </w:t>
      </w:r>
      <w:r w:rsidR="003B4A4B">
        <w:rPr>
          <w:szCs w:val="24"/>
          <w:lang w:eastAsia="en-US"/>
        </w:rPr>
        <w:t xml:space="preserve">финансира по бюджетна линия BG16M1OP002-6.001-0003 на приоритетна ос 6 „Техническа помощ”на ОПОС 2014-2020 г., </w:t>
      </w:r>
      <w:r w:rsidR="003B4A4B" w:rsidRPr="003B4A4B">
        <w:t xml:space="preserve">съфинансирана от </w:t>
      </w:r>
      <w:r w:rsidR="003B4A4B">
        <w:t>ЕФРР и от КФ</w:t>
      </w:r>
      <w:r w:rsidR="003B4A4B" w:rsidRPr="003B4A4B">
        <w:t xml:space="preserve"> на </w:t>
      </w:r>
      <w:r w:rsidR="003B4A4B">
        <w:t>ЕС.</w:t>
      </w:r>
    </w:p>
    <w:p w:rsidR="00213079" w:rsidRDefault="00652AB0" w:rsidP="00EB274A">
      <w:pPr>
        <w:jc w:val="both"/>
      </w:pPr>
      <w:r>
        <w:lastRenderedPageBreak/>
        <w:t xml:space="preserve">Настоящият документ </w:t>
      </w:r>
      <w:r w:rsidR="008C3E47">
        <w:t xml:space="preserve">следва да осигури ефективното и ефикасно изпълнение на отговорностите на </w:t>
      </w:r>
      <w:r w:rsidR="00C46D74">
        <w:t>УО</w:t>
      </w:r>
      <w:r w:rsidR="008C3E47">
        <w:t xml:space="preserve"> в областта </w:t>
      </w:r>
      <w:r w:rsidR="00803501">
        <w:t xml:space="preserve">на </w:t>
      </w:r>
      <w:r w:rsidR="008C3E47">
        <w:t xml:space="preserve">оценката през програмния период, като </w:t>
      </w:r>
      <w:r>
        <w:t>представи об</w:t>
      </w:r>
      <w:r w:rsidR="008C3E47">
        <w:t xml:space="preserve">щата рамка на </w:t>
      </w:r>
      <w:r w:rsidR="00545EA3">
        <w:t xml:space="preserve">планираните </w:t>
      </w:r>
      <w:r w:rsidR="008C3E47">
        <w:t>оцен</w:t>
      </w:r>
      <w:r w:rsidR="00545EA3">
        <w:t>ки</w:t>
      </w:r>
      <w:r w:rsidR="008C3E47">
        <w:t xml:space="preserve"> през програм</w:t>
      </w:r>
      <w:r w:rsidR="00545EA3">
        <w:t>ния период по ОПОС 2014-2020 г</w:t>
      </w:r>
      <w:r>
        <w:t xml:space="preserve">. </w:t>
      </w:r>
      <w:r w:rsidR="00213079">
        <w:t>Освен предвидените оценки, техния тематичен обхват и приложимия набор от методи за оценка</w:t>
      </w:r>
      <w:r w:rsidR="00803501">
        <w:t>,</w:t>
      </w:r>
      <w:r w:rsidR="00213079">
        <w:t xml:space="preserve"> документът описва в детайл</w:t>
      </w:r>
      <w:r w:rsidR="00545EA3">
        <w:t>и</w:t>
      </w:r>
      <w:r w:rsidR="00213079">
        <w:t xml:space="preserve"> координацията с останалите партньори в процеса на оценка, приложимия процедурен ред, осигурения човешки ресурс за провеждане на оценка, планираните действия за повишаване капацитета на човешките ресурси, ангажирани с оценката, </w:t>
      </w:r>
      <w:r w:rsidR="00545EA3">
        <w:t>индикативния бюджет</w:t>
      </w:r>
      <w:r w:rsidR="00213079">
        <w:t xml:space="preserve"> и времевата рамка на оценките</w:t>
      </w:r>
      <w:r>
        <w:t xml:space="preserve">. </w:t>
      </w:r>
    </w:p>
    <w:p w:rsidR="00A3254B" w:rsidRPr="006C674C" w:rsidRDefault="00A3254B" w:rsidP="00EB274A">
      <w:pPr>
        <w:jc w:val="both"/>
      </w:pPr>
    </w:p>
    <w:p w:rsidR="004A416C" w:rsidRDefault="00402959" w:rsidP="00EB274A">
      <w:pPr>
        <w:pStyle w:val="Heading1"/>
        <w:jc w:val="both"/>
      </w:pPr>
      <w:bookmarkStart w:id="6" w:name="_Toc453078503"/>
      <w:r>
        <w:t>2</w:t>
      </w:r>
      <w:r w:rsidRPr="004A416C">
        <w:t xml:space="preserve"> | Цели, обхват и координация на Плана за оценка</w:t>
      </w:r>
      <w:bookmarkEnd w:id="6"/>
      <w:r w:rsidRPr="004A416C">
        <w:t xml:space="preserve"> </w:t>
      </w:r>
    </w:p>
    <w:p w:rsidR="00155E55" w:rsidRPr="00155E55" w:rsidRDefault="00155E55" w:rsidP="00EB274A">
      <w:pPr>
        <w:pStyle w:val="ListParagraph"/>
        <w:keepNext/>
        <w:keepLines/>
        <w:numPr>
          <w:ilvl w:val="0"/>
          <w:numId w:val="8"/>
        </w:numPr>
        <w:spacing w:before="360" w:after="60" w:line="240" w:lineRule="auto"/>
        <w:contextualSpacing w:val="0"/>
        <w:jc w:val="both"/>
        <w:outlineLvl w:val="1"/>
        <w:rPr>
          <w:rFonts w:asciiTheme="majorHAnsi" w:eastAsiaTheme="majorEastAsia" w:hAnsiTheme="majorHAnsi" w:cstheme="majorBidi"/>
          <w:caps/>
          <w:vanish/>
          <w:color w:val="71941A" w:themeColor="accent1" w:themeShade="BF"/>
          <w:sz w:val="26"/>
          <w:szCs w:val="26"/>
        </w:rPr>
      </w:pPr>
      <w:bookmarkStart w:id="7" w:name="_Toc449178464"/>
      <w:bookmarkStart w:id="8" w:name="_Toc449191637"/>
      <w:bookmarkStart w:id="9" w:name="_Toc449211888"/>
      <w:bookmarkStart w:id="10" w:name="_Toc449270668"/>
      <w:bookmarkStart w:id="11" w:name="_Toc449294574"/>
      <w:bookmarkStart w:id="12" w:name="_Toc449435088"/>
      <w:bookmarkStart w:id="13" w:name="_Toc449523138"/>
      <w:bookmarkStart w:id="14" w:name="_Toc453078504"/>
      <w:bookmarkEnd w:id="7"/>
      <w:bookmarkEnd w:id="8"/>
      <w:bookmarkEnd w:id="9"/>
      <w:bookmarkEnd w:id="10"/>
      <w:bookmarkEnd w:id="11"/>
      <w:bookmarkEnd w:id="12"/>
      <w:bookmarkEnd w:id="13"/>
      <w:bookmarkEnd w:id="14"/>
    </w:p>
    <w:p w:rsidR="00D677F7" w:rsidRPr="006E17D6" w:rsidRDefault="00402959" w:rsidP="00EB274A">
      <w:pPr>
        <w:pStyle w:val="Heading2"/>
        <w:jc w:val="both"/>
      </w:pPr>
      <w:bookmarkStart w:id="15" w:name="_Toc453078505"/>
      <w:r w:rsidRPr="006E17D6">
        <w:t>Основни цели на Плана за оценка на ОПОС</w:t>
      </w:r>
      <w:r w:rsidR="00A524D6">
        <w:t xml:space="preserve"> 2014-2020 г.</w:t>
      </w:r>
      <w:bookmarkEnd w:id="15"/>
    </w:p>
    <w:p w:rsidR="00070664" w:rsidRDefault="00D677F7" w:rsidP="00EB274A">
      <w:pPr>
        <w:jc w:val="both"/>
      </w:pPr>
      <w:r w:rsidRPr="00D677F7">
        <w:rPr>
          <w:b/>
          <w:i/>
          <w:color w:val="5B6973" w:themeColor="text2"/>
        </w:rPr>
        <w:t>Основната цел</w:t>
      </w:r>
      <w:r>
        <w:t xml:space="preserve"> на Плана за оценка на ОПОС 2014-2020 г. е да обезпечи ефективното планиране и извършване на качествени оценки през програмния период, </w:t>
      </w:r>
      <w:r w:rsidR="00070664">
        <w:t xml:space="preserve">както и ефективното използване на резултатите от извършените оценки от страна на </w:t>
      </w:r>
      <w:r w:rsidR="00C46D74">
        <w:t>УО</w:t>
      </w:r>
      <w:r w:rsidR="00070664">
        <w:t xml:space="preserve"> </w:t>
      </w:r>
      <w:r>
        <w:t xml:space="preserve">за </w:t>
      </w:r>
      <w:r w:rsidRPr="00D677F7">
        <w:t xml:space="preserve">подобряване качеството на </w:t>
      </w:r>
      <w:r>
        <w:t>изпълнение</w:t>
      </w:r>
      <w:r w:rsidRPr="00D677F7">
        <w:t xml:space="preserve"> на </w:t>
      </w:r>
      <w:r>
        <w:t>ОПОС 2014-2020 г. и за проследяването на</w:t>
      </w:r>
      <w:r w:rsidRPr="00D677F7">
        <w:t xml:space="preserve"> ефективност</w:t>
      </w:r>
      <w:r>
        <w:t>та</w:t>
      </w:r>
      <w:r w:rsidRPr="00D677F7">
        <w:t>, ефикасност</w:t>
      </w:r>
      <w:r>
        <w:t xml:space="preserve">та и въздействието на програмата за постигане на заложените цели на национално и общоевропейско ниво. </w:t>
      </w:r>
      <w:r w:rsidRPr="00D677F7">
        <w:t xml:space="preserve">  </w:t>
      </w:r>
    </w:p>
    <w:p w:rsidR="00D677F7" w:rsidRPr="00D677F7" w:rsidRDefault="00070664" w:rsidP="00EB274A">
      <w:pPr>
        <w:jc w:val="both"/>
        <w:rPr>
          <w:rFonts w:cs="EUAlbertina"/>
          <w:color w:val="000000"/>
        </w:rPr>
      </w:pPr>
      <w:r>
        <w:t xml:space="preserve">Планът </w:t>
      </w:r>
      <w:r w:rsidR="00D677F7" w:rsidRPr="00D677F7">
        <w:t>определя</w:t>
      </w:r>
      <w:r w:rsidR="00D677F7">
        <w:t xml:space="preserve"> индикативния брой</w:t>
      </w:r>
      <w:r>
        <w:t xml:space="preserve"> на оценките през програмния период по ОПОС 2014-2020 г.</w:t>
      </w:r>
      <w:r w:rsidR="00D677F7">
        <w:t xml:space="preserve">, </w:t>
      </w:r>
      <w:r>
        <w:t xml:space="preserve">тематичния обхват и </w:t>
      </w:r>
      <w:r w:rsidR="004815E4">
        <w:t>основните въпроси на оценка</w:t>
      </w:r>
      <w:r>
        <w:t xml:space="preserve">, приложимите методи за оценка, вътрешната организация на процеса на оценка в </w:t>
      </w:r>
      <w:r w:rsidR="00C46D74">
        <w:t>УО</w:t>
      </w:r>
      <w:r>
        <w:t xml:space="preserve"> и външната координация с партньорите и заинтересованите страни по ОПОС 2014-2020 г.</w:t>
      </w:r>
      <w:r w:rsidR="00D677F7">
        <w:t xml:space="preserve">, </w:t>
      </w:r>
      <w:r>
        <w:t>времевата рамка и ресурсната обезпеченост на оценката с необходимите финансови и човешки ресурси, планираните мерки за повишаване капацитета на човешкия ресурс</w:t>
      </w:r>
      <w:r w:rsidR="004815E4">
        <w:t xml:space="preserve"> на УО</w:t>
      </w:r>
      <w:r>
        <w:t>, ангажиран с оценката, и действията по осигуряване на публичност и оповестяване резултатите от оценката</w:t>
      </w:r>
      <w:r w:rsidR="00D677F7">
        <w:t xml:space="preserve">. </w:t>
      </w:r>
    </w:p>
    <w:p w:rsidR="00D677F7" w:rsidRDefault="00455369" w:rsidP="00EB274A">
      <w:pPr>
        <w:jc w:val="both"/>
        <w:rPr>
          <w:b/>
        </w:rPr>
      </w:pPr>
      <w:r>
        <w:t xml:space="preserve">В контекста на основната цел </w:t>
      </w:r>
      <w:r w:rsidRPr="00455369">
        <w:t>Планът</w:t>
      </w:r>
      <w:r w:rsidR="00D677F7" w:rsidRPr="00455369">
        <w:t xml:space="preserve"> за оценка на ОП</w:t>
      </w:r>
      <w:r w:rsidRPr="00455369">
        <w:t>ОС</w:t>
      </w:r>
      <w:r w:rsidR="00D677F7" w:rsidRPr="00455369">
        <w:t xml:space="preserve"> 2014-2020</w:t>
      </w:r>
      <w:r w:rsidRPr="00455369">
        <w:t xml:space="preserve"> г. с</w:t>
      </w:r>
      <w:r w:rsidR="006E17D6">
        <w:t>и</w:t>
      </w:r>
      <w:r w:rsidRPr="00455369">
        <w:t xml:space="preserve"> поставя</w:t>
      </w:r>
      <w:r w:rsidR="00D677F7" w:rsidRPr="00455369">
        <w:t xml:space="preserve"> следните</w:t>
      </w:r>
      <w:r>
        <w:rPr>
          <w:b/>
        </w:rPr>
        <w:t xml:space="preserve"> </w:t>
      </w:r>
      <w:r w:rsidRPr="00BC51B1">
        <w:rPr>
          <w:b/>
          <w:i/>
          <w:color w:val="5B6973" w:themeColor="text2"/>
        </w:rPr>
        <w:t>специфични цели и задачи</w:t>
      </w:r>
      <w:r w:rsidR="00B9711E" w:rsidRPr="005B0A9A">
        <w:rPr>
          <w:rStyle w:val="FootnoteReference"/>
        </w:rPr>
        <w:footnoteReference w:id="4"/>
      </w:r>
      <w:r w:rsidR="00D677F7">
        <w:rPr>
          <w:b/>
        </w:rPr>
        <w:t>:</w:t>
      </w:r>
    </w:p>
    <w:p w:rsidR="00253358" w:rsidRPr="00B9711E" w:rsidRDefault="00253358" w:rsidP="00EB274A">
      <w:pPr>
        <w:pStyle w:val="ListBullet"/>
        <w:jc w:val="both"/>
      </w:pPr>
      <w:r w:rsidRPr="00B9711E">
        <w:lastRenderedPageBreak/>
        <w:t xml:space="preserve">да осигури рамка за </w:t>
      </w:r>
      <w:r>
        <w:t xml:space="preserve">правилно </w:t>
      </w:r>
      <w:r w:rsidRPr="00B9711E">
        <w:t>планиране извършването на оценки на въз</w:t>
      </w:r>
      <w:r>
        <w:t>действието</w:t>
      </w:r>
      <w:r w:rsidR="00F359BB">
        <w:t xml:space="preserve"> на интервенциите</w:t>
      </w:r>
      <w:r>
        <w:t xml:space="preserve"> по ОПОС 2014-2020 г., чрез което да подобри качеството на оценките като цяло;</w:t>
      </w:r>
    </w:p>
    <w:p w:rsidR="00B9711E" w:rsidRPr="00B9711E" w:rsidRDefault="00B9711E" w:rsidP="00EB274A">
      <w:pPr>
        <w:pStyle w:val="ListBullet"/>
        <w:jc w:val="both"/>
      </w:pPr>
      <w:r w:rsidRPr="00B9711E">
        <w:t xml:space="preserve">да позволи провеждането на информирано управление на ОПОС 2014-2020 г. и вземането на управленски решения на основата на заключенията и препоръките от оценките; </w:t>
      </w:r>
    </w:p>
    <w:p w:rsidR="00B9711E" w:rsidRPr="00632E8D" w:rsidRDefault="00204831" w:rsidP="00EB274A">
      <w:pPr>
        <w:pStyle w:val="ListBullet"/>
        <w:jc w:val="both"/>
      </w:pPr>
      <w:r>
        <w:t xml:space="preserve">да гарантира, че оценките ще обезпечат необходимата информация и данни </w:t>
      </w:r>
      <w:r w:rsidR="00B9711E">
        <w:t>за целите на годишните доклади за изпълнението и напредъка, както и за подготовката на окончателния доклад относно усвояването на средствата ЕСИФ, вкл. и за оценка на напредъка към постигането на целите на ОПОС 2014-2020 г. и нейния принос за постигането на целите на Стратегията на ЕС за интелигентен, устойчив и приобщаващ растеж;</w:t>
      </w:r>
    </w:p>
    <w:p w:rsidR="00B9711E" w:rsidRPr="00B9711E" w:rsidRDefault="00B9711E" w:rsidP="00EB274A">
      <w:pPr>
        <w:pStyle w:val="ListBullet"/>
        <w:jc w:val="both"/>
      </w:pPr>
      <w:r>
        <w:t>д</w:t>
      </w:r>
      <w:r w:rsidRPr="00B9711E">
        <w:t xml:space="preserve">а подпомогне ЕК при обобщаването на основните изводи от оценката в отделните държави-членки и при обмена на съответната информация; </w:t>
      </w:r>
    </w:p>
    <w:p w:rsidR="00455369" w:rsidRDefault="00B9711E" w:rsidP="00EB274A">
      <w:pPr>
        <w:pStyle w:val="ListBullet"/>
        <w:jc w:val="both"/>
      </w:pPr>
      <w:r>
        <w:t>д</w:t>
      </w:r>
      <w:r w:rsidR="00632E8D">
        <w:t xml:space="preserve">а </w:t>
      </w:r>
      <w:r w:rsidR="00455369">
        <w:t xml:space="preserve"> гарантира</w:t>
      </w:r>
      <w:r w:rsidR="00632E8D">
        <w:t xml:space="preserve"> наличието на достатъчен ресурс</w:t>
      </w:r>
      <w:r w:rsidR="00455369">
        <w:t xml:space="preserve"> за финансиране и управление на оценките</w:t>
      </w:r>
      <w:r>
        <w:t xml:space="preserve">, в т.ч. достатъчен </w:t>
      </w:r>
      <w:r w:rsidR="00632E8D">
        <w:t xml:space="preserve">бюджет </w:t>
      </w:r>
      <w:r>
        <w:t xml:space="preserve">и човешки ресурси с необходимата численост и капацитет </w:t>
      </w:r>
      <w:r w:rsidR="00632E8D">
        <w:t xml:space="preserve">за </w:t>
      </w:r>
      <w:r>
        <w:t xml:space="preserve">целите </w:t>
      </w:r>
      <w:r w:rsidR="00632E8D">
        <w:t>на оценка</w:t>
      </w:r>
      <w:r>
        <w:t>та</w:t>
      </w:r>
      <w:r w:rsidR="00632E8D">
        <w:t xml:space="preserve"> през програмния период</w:t>
      </w:r>
      <w:r>
        <w:t>, както и наличието на</w:t>
      </w:r>
      <w:r w:rsidR="00455369">
        <w:t xml:space="preserve"> процедури за създаването и събирането на данните, необходими за извършването на оценки, включително и на данни, свързани с общите и специфичните </w:t>
      </w:r>
      <w:r>
        <w:t xml:space="preserve">показатели </w:t>
      </w:r>
      <w:r w:rsidR="00455369">
        <w:t xml:space="preserve">за </w:t>
      </w:r>
      <w:r>
        <w:t>ОПОС 2014-2020 г.;</w:t>
      </w:r>
    </w:p>
    <w:p w:rsidR="00204831" w:rsidRDefault="00204831" w:rsidP="00EB274A">
      <w:pPr>
        <w:pStyle w:val="ListBullet"/>
        <w:jc w:val="both"/>
      </w:pPr>
      <w:r>
        <w:rPr>
          <w:lang w:eastAsia="bg-BG"/>
        </w:rPr>
        <w:t xml:space="preserve">да съобрази провеждането на оценките </w:t>
      </w:r>
      <w:r>
        <w:t xml:space="preserve">и проследяването на </w:t>
      </w:r>
      <w:r w:rsidRPr="00D677F7">
        <w:t>ефективност</w:t>
      </w:r>
      <w:r>
        <w:t>та</w:t>
      </w:r>
      <w:r w:rsidRPr="00D677F7">
        <w:t>, ефикасност</w:t>
      </w:r>
      <w:r>
        <w:t xml:space="preserve">та и въздействието на програмата </w:t>
      </w:r>
      <w:r>
        <w:rPr>
          <w:lang w:eastAsia="bg-BG"/>
        </w:rPr>
        <w:t>със спецификите в изпълнението на проекти по ОПОС 2014-2020 г. и времето за получаване на резултати</w:t>
      </w:r>
      <w:r w:rsidR="00253358">
        <w:rPr>
          <w:lang w:eastAsia="bg-BG"/>
        </w:rPr>
        <w:t xml:space="preserve"> от изпълняваните интервенции</w:t>
      </w:r>
      <w:r>
        <w:t>;</w:t>
      </w:r>
    </w:p>
    <w:p w:rsidR="00204831" w:rsidRDefault="00204831" w:rsidP="00EB274A">
      <w:pPr>
        <w:pStyle w:val="ListBullet"/>
        <w:jc w:val="both"/>
        <w:rPr>
          <w:lang w:eastAsia="bg-BG"/>
        </w:rPr>
      </w:pPr>
      <w:r>
        <w:rPr>
          <w:lang w:eastAsia="bg-BG"/>
        </w:rPr>
        <w:t>да гарантира извличане на максимални ползи от оценките на база провеждането им в точния период</w:t>
      </w:r>
      <w:r w:rsidR="00253358">
        <w:rPr>
          <w:lang w:eastAsia="bg-BG"/>
        </w:rPr>
        <w:t>, съобразно етапите на обявяване и изпълнение на отделните процедури</w:t>
      </w:r>
      <w:r>
        <w:rPr>
          <w:lang w:eastAsia="bg-BG"/>
        </w:rPr>
        <w:t xml:space="preserve"> и на програмата като цяло</w:t>
      </w:r>
      <w:r w:rsidR="00DF499E">
        <w:rPr>
          <w:lang w:eastAsia="bg-BG"/>
        </w:rPr>
        <w:t>;</w:t>
      </w:r>
    </w:p>
    <w:p w:rsidR="0015308A" w:rsidRDefault="00204831" w:rsidP="00EB274A">
      <w:pPr>
        <w:pStyle w:val="ListBullet"/>
        <w:jc w:val="both"/>
      </w:pPr>
      <w:r>
        <w:t>д</w:t>
      </w:r>
      <w:r w:rsidR="0015308A">
        <w:t xml:space="preserve">а идентифицира тематичния обхват и </w:t>
      </w:r>
      <w:r w:rsidR="00253358">
        <w:t>основните въпроси на оценката</w:t>
      </w:r>
      <w:r w:rsidR="0015308A">
        <w:t xml:space="preserve">, които е необходимо да бъдат изследвани, за да се осигури възможност чрез дейностите по оценка да се оптимизира </w:t>
      </w:r>
      <w:r w:rsidR="0015308A" w:rsidRPr="00D677F7">
        <w:t xml:space="preserve">качеството на </w:t>
      </w:r>
      <w:r w:rsidR="0015308A">
        <w:t>изпълнение</w:t>
      </w:r>
      <w:r w:rsidR="0015308A" w:rsidRPr="00D677F7">
        <w:t xml:space="preserve"> на </w:t>
      </w:r>
      <w:r w:rsidR="0015308A">
        <w:t xml:space="preserve">ОПОС 2014-2020 г. и да се проследява </w:t>
      </w:r>
      <w:r w:rsidR="0015308A" w:rsidRPr="00D677F7">
        <w:t>ефективност</w:t>
      </w:r>
      <w:r w:rsidR="0015308A">
        <w:t>та</w:t>
      </w:r>
      <w:r w:rsidR="0015308A" w:rsidRPr="00D677F7">
        <w:t>, ефикасност</w:t>
      </w:r>
      <w:r w:rsidR="0015308A">
        <w:t xml:space="preserve">та </w:t>
      </w:r>
      <w:r w:rsidR="00486033">
        <w:t xml:space="preserve">и въздействието на програмата </w:t>
      </w:r>
      <w:r>
        <w:t xml:space="preserve">в съответствие с </w:t>
      </w:r>
      <w:r w:rsidR="0015308A">
        <w:t>изискванията на европейското законодателство относно оц</w:t>
      </w:r>
      <w:r w:rsidR="00486033">
        <w:t xml:space="preserve">енката </w:t>
      </w:r>
      <w:r>
        <w:t xml:space="preserve">и </w:t>
      </w:r>
      <w:r w:rsidR="00486033">
        <w:t>потребностите на всички заинтересовани страни по ОПОС 2014-2020 г.</w:t>
      </w:r>
      <w:r w:rsidR="00DF499E">
        <w:t>;</w:t>
      </w:r>
    </w:p>
    <w:p w:rsidR="00204831" w:rsidRDefault="00204831" w:rsidP="00EB274A">
      <w:pPr>
        <w:pStyle w:val="ListBullet"/>
        <w:jc w:val="both"/>
        <w:rPr>
          <w:lang w:eastAsia="bg-BG"/>
        </w:rPr>
      </w:pPr>
      <w:r>
        <w:rPr>
          <w:lang w:eastAsia="bg-BG"/>
        </w:rPr>
        <w:lastRenderedPageBreak/>
        <w:t>да осигури навременно идентифициране, предоставяне и обработка на пълния обем данни, необходими за високо качество на оценките;</w:t>
      </w:r>
    </w:p>
    <w:p w:rsidR="0015308A" w:rsidRDefault="00204831" w:rsidP="00EB274A">
      <w:pPr>
        <w:pStyle w:val="ListBullet"/>
        <w:jc w:val="both"/>
      </w:pPr>
      <w:r>
        <w:t>д</w:t>
      </w:r>
      <w:r w:rsidR="0015308A">
        <w:t>а намали административната тежест чрез планиране на дейностите по събиране на данни и наблюдение съобразно нуждите от оценка</w:t>
      </w:r>
      <w:r w:rsidR="00DF499E">
        <w:t>;</w:t>
      </w:r>
    </w:p>
    <w:p w:rsidR="0015308A" w:rsidRDefault="00204831" w:rsidP="00EB274A">
      <w:pPr>
        <w:pStyle w:val="ListBullet"/>
        <w:jc w:val="both"/>
      </w:pPr>
      <w:r>
        <w:t>д</w:t>
      </w:r>
      <w:r w:rsidR="0015308A">
        <w:t>а осигури подходяща последователност и взаимовръзка между процесите на мониторинг, оценка и докладване по изпълнението на ОПОС 2014-2020 г.</w:t>
      </w:r>
      <w:r w:rsidR="00DF499E">
        <w:t>;</w:t>
      </w:r>
    </w:p>
    <w:p w:rsidR="00D677F7" w:rsidRDefault="00204831" w:rsidP="00EB274A">
      <w:pPr>
        <w:pStyle w:val="ListBullet"/>
        <w:jc w:val="both"/>
      </w:pPr>
      <w:r>
        <w:t>д</w:t>
      </w:r>
      <w:r w:rsidR="00D677F7">
        <w:t xml:space="preserve">а </w:t>
      </w:r>
      <w:r w:rsidR="009F37E4">
        <w:t>осигури активното ангажиране на</w:t>
      </w:r>
      <w:r w:rsidR="00D677F7">
        <w:t xml:space="preserve"> заинтересованите страни в процеса на оценка и да </w:t>
      </w:r>
      <w:r w:rsidR="009F37E4">
        <w:t xml:space="preserve">спомогне за повишаване информираността и установяване на активен диалог и взаимодействие </w:t>
      </w:r>
      <w:r w:rsidR="00D677F7">
        <w:t>между всички партньори</w:t>
      </w:r>
      <w:r w:rsidR="009F37E4">
        <w:t xml:space="preserve"> във връзка с резултатите от оценката</w:t>
      </w:r>
      <w:r w:rsidR="00D677F7">
        <w:t>;</w:t>
      </w:r>
    </w:p>
    <w:p w:rsidR="00D677F7" w:rsidRDefault="00204831" w:rsidP="00EB274A">
      <w:pPr>
        <w:pStyle w:val="ListBullet"/>
        <w:jc w:val="both"/>
      </w:pPr>
      <w:r>
        <w:t>д</w:t>
      </w:r>
      <w:r w:rsidR="00D677F7">
        <w:t xml:space="preserve">а </w:t>
      </w:r>
      <w:r w:rsidR="009F37E4">
        <w:t xml:space="preserve">осигури максимална прозрачност на процеса на оценка на ОПОС 2014-2020 г. през програмния период </w:t>
      </w:r>
      <w:r w:rsidR="00D677F7">
        <w:t xml:space="preserve"> </w:t>
      </w:r>
      <w:r w:rsidR="009F37E4">
        <w:t xml:space="preserve">и да обезпечи </w:t>
      </w:r>
      <w:r w:rsidR="00D677F7">
        <w:t>информираността на заинтересованите страни, бенефициентите и широката общественост относно рез</w:t>
      </w:r>
      <w:r w:rsidR="009F37E4">
        <w:t>ултатите и въздействието на ОПОС</w:t>
      </w:r>
      <w:r w:rsidR="00D677F7">
        <w:t xml:space="preserve"> 2014-2020</w:t>
      </w:r>
      <w:r w:rsidR="009F37E4">
        <w:t xml:space="preserve"> г.</w:t>
      </w:r>
    </w:p>
    <w:p w:rsidR="004A416C" w:rsidRDefault="00A524D6" w:rsidP="00EB274A">
      <w:pPr>
        <w:pStyle w:val="Heading2"/>
        <w:jc w:val="both"/>
      </w:pPr>
      <w:bookmarkStart w:id="16" w:name="_Toc453078506"/>
      <w:r>
        <w:t>Обхват на П</w:t>
      </w:r>
      <w:r w:rsidR="00455369">
        <w:t>лана за оценка на ОПОС</w:t>
      </w:r>
      <w:r>
        <w:t xml:space="preserve"> 2014-2020 г.</w:t>
      </w:r>
      <w:bookmarkEnd w:id="16"/>
    </w:p>
    <w:p w:rsidR="00486033" w:rsidRDefault="00C6088C" w:rsidP="00EB274A">
      <w:pPr>
        <w:jc w:val="both"/>
      </w:pPr>
      <w:r>
        <w:t>В обхвата на настоящия</w:t>
      </w:r>
      <w:r w:rsidR="00486033">
        <w:t xml:space="preserve"> План за оценка на ОПОС 2014-2020 г. </w:t>
      </w:r>
      <w:r>
        <w:t>са включени</w:t>
      </w:r>
      <w:r w:rsidR="00BC51B1">
        <w:t xml:space="preserve"> </w:t>
      </w:r>
      <w:r w:rsidR="00486033">
        <w:t xml:space="preserve">всички оценки през програмния период 2014-2020 г., които </w:t>
      </w:r>
      <w:r w:rsidR="00C46D74">
        <w:t>УО</w:t>
      </w:r>
      <w:r w:rsidR="00486033">
        <w:t xml:space="preserve"> план</w:t>
      </w:r>
      <w:r>
        <w:t>ира да осъществи в из</w:t>
      </w:r>
      <w:r w:rsidR="00115665">
        <w:t>пълнение на отговорностите си за</w:t>
      </w:r>
      <w:r>
        <w:t xml:space="preserve"> извършване на оценка през програмния период </w:t>
      </w:r>
      <w:r w:rsidR="00115665">
        <w:t>за целите на</w:t>
      </w:r>
      <w:r>
        <w:t xml:space="preserve"> подобряване</w:t>
      </w:r>
      <w:r w:rsidR="00115665">
        <w:t>то</w:t>
      </w:r>
      <w:r>
        <w:t xml:space="preserve"> на качеството на изпълнение на ОПОС 2014-2020 г. и проследяване</w:t>
      </w:r>
      <w:r w:rsidR="00115665">
        <w:t>то</w:t>
      </w:r>
      <w:r>
        <w:t xml:space="preserve"> на ефективността, ефикасността и въздействието от програмата. Документът съдържа индикативен списък </w:t>
      </w:r>
      <w:r w:rsidR="00115665">
        <w:t>на планираните</w:t>
      </w:r>
      <w:r>
        <w:t xml:space="preserve"> оценки</w:t>
      </w:r>
      <w:r w:rsidR="00115665">
        <w:t>, който е в</w:t>
      </w:r>
      <w:r w:rsidR="000B5612">
        <w:t xml:space="preserve"> съответствие с изискванията на европейското законодателство, вкл. и изискването поне веднъж през програмния период УО да проведе оценка, с която да се оцени приносът на подкрепата от ЕСИФ за постигането на целите по всеки приоритет.</w:t>
      </w:r>
    </w:p>
    <w:p w:rsidR="00C6088C" w:rsidRDefault="000B5612" w:rsidP="00EB274A">
      <w:pPr>
        <w:spacing w:after="0"/>
        <w:jc w:val="both"/>
        <w:rPr>
          <w:rFonts w:ascii="Verdana" w:hAnsi="Verdana"/>
          <w:sz w:val="20"/>
        </w:rPr>
      </w:pPr>
      <w:r>
        <w:t>П</w:t>
      </w:r>
      <w:r w:rsidRPr="000B5612">
        <w:t xml:space="preserve">ри необходимост </w:t>
      </w:r>
      <w:r w:rsidR="00C46D74">
        <w:t>УО</w:t>
      </w:r>
      <w:r>
        <w:t xml:space="preserve"> </w:t>
      </w:r>
      <w:r w:rsidR="00C6088C" w:rsidRPr="000B5612">
        <w:t xml:space="preserve">си запазва правото да провежда и </w:t>
      </w:r>
      <w:r>
        <w:t xml:space="preserve">допълнителни </w:t>
      </w:r>
      <w:proofErr w:type="spellStart"/>
      <w:r w:rsidR="00C6088C" w:rsidRPr="000B5612">
        <w:t>аd-hoc</w:t>
      </w:r>
      <w:proofErr w:type="spellEnd"/>
      <w:r w:rsidR="00C6088C" w:rsidRPr="000B5612">
        <w:t xml:space="preserve"> оценки</w:t>
      </w:r>
      <w:r>
        <w:t xml:space="preserve"> с оглед да се отговори на възникващи текущи потребности от </w:t>
      </w:r>
      <w:r w:rsidR="00115665">
        <w:t xml:space="preserve">оценка. </w:t>
      </w:r>
      <w:r w:rsidR="00C6088C" w:rsidRPr="000B5612">
        <w:t xml:space="preserve">Тази възможност ще бъде използвана в случай, че посредством </w:t>
      </w:r>
      <w:proofErr w:type="spellStart"/>
      <w:r w:rsidR="00C6088C" w:rsidRPr="000B5612">
        <w:t>мониторинговите</w:t>
      </w:r>
      <w:proofErr w:type="spellEnd"/>
      <w:r w:rsidR="00C6088C" w:rsidRPr="000B5612">
        <w:t xml:space="preserve"> данни от изпълнението на програмата се установят </w:t>
      </w:r>
      <w:r>
        <w:t>съществени</w:t>
      </w:r>
      <w:r w:rsidR="00C6088C" w:rsidRPr="000B5612">
        <w:t xml:space="preserve"> отклонения от предварително планираните цели и неизпълнение на заложените индикатори, при нужда от </w:t>
      </w:r>
      <w:r>
        <w:t>промени</w:t>
      </w:r>
      <w:r w:rsidR="00C6088C" w:rsidRPr="000B5612">
        <w:t xml:space="preserve"> </w:t>
      </w:r>
      <w:r>
        <w:t>в ОПОС 2014-2020 г.</w:t>
      </w:r>
      <w:r w:rsidR="00C6088C" w:rsidRPr="000B5612">
        <w:t xml:space="preserve">, </w:t>
      </w:r>
      <w:r>
        <w:t xml:space="preserve">или при възникване на съществени изменения в програмната среда – </w:t>
      </w:r>
      <w:r>
        <w:rPr>
          <w:rFonts w:ascii="Verdana" w:hAnsi="Verdana"/>
          <w:sz w:val="20"/>
        </w:rPr>
        <w:t>значителни промени в приоритетите на Общността,</w:t>
      </w:r>
      <w:r>
        <w:t xml:space="preserve"> </w:t>
      </w:r>
      <w:r w:rsidR="004858DB">
        <w:t>в</w:t>
      </w:r>
      <w:r w:rsidR="00C6088C">
        <w:rPr>
          <w:rFonts w:ascii="Verdana" w:hAnsi="Verdana"/>
          <w:sz w:val="20"/>
        </w:rPr>
        <w:t xml:space="preserve"> социално-</w:t>
      </w:r>
      <w:r>
        <w:rPr>
          <w:rFonts w:ascii="Verdana" w:hAnsi="Verdana"/>
          <w:sz w:val="20"/>
        </w:rPr>
        <w:t>икономическата среда</w:t>
      </w:r>
      <w:r w:rsidR="00C6088C">
        <w:rPr>
          <w:rFonts w:ascii="Verdana" w:hAnsi="Verdana"/>
          <w:sz w:val="20"/>
        </w:rPr>
        <w:t xml:space="preserve"> </w:t>
      </w:r>
      <w:proofErr w:type="spellStart"/>
      <w:r w:rsidR="00C6088C">
        <w:rPr>
          <w:rFonts w:ascii="Verdana" w:hAnsi="Verdana"/>
          <w:sz w:val="20"/>
        </w:rPr>
        <w:t>среда</w:t>
      </w:r>
      <w:proofErr w:type="spellEnd"/>
      <w:r w:rsidR="004858DB">
        <w:rPr>
          <w:rFonts w:ascii="Verdana" w:hAnsi="Verdana"/>
          <w:sz w:val="20"/>
        </w:rPr>
        <w:t xml:space="preserve"> в България</w:t>
      </w:r>
      <w:r w:rsidR="00C6088C">
        <w:rPr>
          <w:rFonts w:ascii="Verdana" w:hAnsi="Verdana"/>
          <w:sz w:val="20"/>
        </w:rPr>
        <w:t>,</w:t>
      </w:r>
      <w:r w:rsidR="00C6088C">
        <w:rPr>
          <w:rFonts w:ascii="Verdana" w:hAnsi="Verdana"/>
        </w:rPr>
        <w:t xml:space="preserve"> </w:t>
      </w:r>
      <w:r w:rsidR="004858DB">
        <w:rPr>
          <w:rFonts w:ascii="Verdana" w:hAnsi="Verdana"/>
          <w:sz w:val="20"/>
        </w:rPr>
        <w:t xml:space="preserve">в </w:t>
      </w:r>
      <w:r w:rsidR="00C6088C">
        <w:rPr>
          <w:rFonts w:ascii="Verdana" w:hAnsi="Verdana"/>
          <w:sz w:val="20"/>
        </w:rPr>
        <w:t>национал</w:t>
      </w:r>
      <w:r w:rsidR="004858DB">
        <w:rPr>
          <w:rFonts w:ascii="Verdana" w:hAnsi="Verdana"/>
          <w:sz w:val="20"/>
        </w:rPr>
        <w:t xml:space="preserve">ните и регионалните приоритети </w:t>
      </w:r>
      <w:r w:rsidR="00C6088C">
        <w:rPr>
          <w:rFonts w:ascii="Verdana" w:hAnsi="Verdana"/>
          <w:sz w:val="20"/>
        </w:rPr>
        <w:t>и др.</w:t>
      </w:r>
    </w:p>
    <w:p w:rsidR="00BC51B1" w:rsidRDefault="004858DB" w:rsidP="00EB274A">
      <w:pPr>
        <w:jc w:val="both"/>
      </w:pPr>
      <w:r>
        <w:t xml:space="preserve">Документът обхваща и всички компоненти от рамката на оценката през програмния период на ОПОС 2014-2020 г., които осигуряват ефективното планиране, организиране, </w:t>
      </w:r>
      <w:r>
        <w:lastRenderedPageBreak/>
        <w:t xml:space="preserve">провеждане и проследяване на оценките през програмния период по ОПОС 2014-2020 г., </w:t>
      </w:r>
      <w:proofErr w:type="spellStart"/>
      <w:r>
        <w:t>включитено</w:t>
      </w:r>
      <w:proofErr w:type="spellEnd"/>
      <w:r>
        <w:t xml:space="preserve"> дейностите по координация на процеса на оценка с всички заинтересовани страни и осигуряването на прозрачност и оповестяване на резултатите от оценката. </w:t>
      </w:r>
    </w:p>
    <w:p w:rsidR="00486033" w:rsidRDefault="007131F5" w:rsidP="00EB274A">
      <w:pPr>
        <w:jc w:val="both"/>
      </w:pPr>
      <w:r>
        <w:t xml:space="preserve">С оглед разпоредбата на чл. 56 от </w:t>
      </w:r>
      <w:r w:rsidRPr="000E6067">
        <w:t>Регламент (ЕС) № 1303/2013</w:t>
      </w:r>
      <w:r>
        <w:t xml:space="preserve"> п</w:t>
      </w:r>
      <w:r w:rsidR="00486033">
        <w:t xml:space="preserve">редварителната и </w:t>
      </w:r>
      <w:proofErr w:type="spellStart"/>
      <w:r w:rsidR="00486033">
        <w:t>последващата</w:t>
      </w:r>
      <w:proofErr w:type="spellEnd"/>
      <w:r w:rsidR="00486033">
        <w:t xml:space="preserve"> оценка на ОПОС 2014-2020 г., както и предварителната оценка за следващия програмен период не са включени в </w:t>
      </w:r>
      <w:r>
        <w:t xml:space="preserve">обхвата на </w:t>
      </w:r>
      <w:r w:rsidR="00486033">
        <w:t>настоящия план за оценка.</w:t>
      </w:r>
    </w:p>
    <w:p w:rsidR="00BC51B1" w:rsidRPr="00BC51B1" w:rsidRDefault="00486033" w:rsidP="00EB274A">
      <w:pPr>
        <w:jc w:val="both"/>
      </w:pPr>
      <w:r>
        <w:t xml:space="preserve">Планът </w:t>
      </w:r>
      <w:r w:rsidR="007131F5">
        <w:t xml:space="preserve">за оценка на ОПОС 2014-2020 г. </w:t>
      </w:r>
      <w:r>
        <w:t xml:space="preserve">може да бъде променян и/или осъвременяван в съответствие с нуждите по изпълнение на </w:t>
      </w:r>
      <w:r w:rsidR="007131F5">
        <w:t>програмата</w:t>
      </w:r>
      <w:r>
        <w:t xml:space="preserve"> и при спазване на процедурните правила относно организацията на оценката по време на програмния период, утвърдени от УО като част от системата за управление и контрол по изпълнение на ОПОС 2014-2020 г. Всички изменения на Плана за оценка на ОПОС 2014-2020 г. подлежат на </w:t>
      </w:r>
      <w:r w:rsidR="00977806">
        <w:t xml:space="preserve">задължително </w:t>
      </w:r>
      <w:r>
        <w:t xml:space="preserve">одобрение от Комитета за </w:t>
      </w:r>
      <w:r w:rsidR="00977806">
        <w:t>наблюдение на ОПОС 2014-2020 г.</w:t>
      </w:r>
    </w:p>
    <w:p w:rsidR="00455369" w:rsidRPr="00043F49" w:rsidRDefault="00455369" w:rsidP="00EB274A">
      <w:pPr>
        <w:pStyle w:val="Heading2"/>
        <w:jc w:val="both"/>
      </w:pPr>
      <w:bookmarkStart w:id="17" w:name="_Toc453078507"/>
      <w:r>
        <w:t>Обосновка на фокуса на оценката по ОПОС</w:t>
      </w:r>
      <w:bookmarkEnd w:id="17"/>
    </w:p>
    <w:p w:rsidR="00E86ACE" w:rsidRDefault="004858DB" w:rsidP="00EB274A">
      <w:pPr>
        <w:jc w:val="both"/>
      </w:pPr>
      <w:r>
        <w:t xml:space="preserve">Съгласно </w:t>
      </w:r>
      <w:r w:rsidR="00E86ACE">
        <w:t xml:space="preserve">препоръките </w:t>
      </w:r>
      <w:r>
        <w:t xml:space="preserve">на </w:t>
      </w:r>
      <w:r w:rsidR="00E86ACE">
        <w:t>ЕК в Насоки</w:t>
      </w:r>
      <w:r w:rsidR="00E373BB">
        <w:t>те</w:t>
      </w:r>
      <w:r w:rsidR="00E86ACE">
        <w:t xml:space="preserve"> за мониторинг и оценка за програмен период 2014-2020 г. от март, 2014 г.</w:t>
      </w:r>
      <w:r w:rsidR="00E373BB">
        <w:t>,</w:t>
      </w:r>
      <w:r>
        <w:t xml:space="preserve"> планира</w:t>
      </w:r>
      <w:r w:rsidR="00E86ACE">
        <w:t xml:space="preserve">ните </w:t>
      </w:r>
      <w:r w:rsidR="000B271A">
        <w:t xml:space="preserve">оценки </w:t>
      </w:r>
      <w:r w:rsidR="00E86ACE">
        <w:t xml:space="preserve">в настоящия план са изцяло съобразени с потребностите на ОПОС 2014-2020 г. от осъществяване на оценки на ниво програма  и отделни приоритети. </w:t>
      </w:r>
    </w:p>
    <w:p w:rsidR="000B271A" w:rsidRDefault="00E86ACE" w:rsidP="00EB274A">
      <w:pPr>
        <w:jc w:val="both"/>
      </w:pPr>
      <w:r>
        <w:t>Определянето на фокуса на оц</w:t>
      </w:r>
      <w:r w:rsidR="00E373BB">
        <w:t>енката на</w:t>
      </w:r>
      <w:r>
        <w:t xml:space="preserve"> ОПОС 2014-2020 г. </w:t>
      </w:r>
      <w:r w:rsidR="00E373BB">
        <w:t xml:space="preserve">през програмния период </w:t>
      </w:r>
      <w:r>
        <w:t xml:space="preserve">се </w:t>
      </w:r>
      <w:proofErr w:type="spellStart"/>
      <w:r>
        <w:t>преодпределя</w:t>
      </w:r>
      <w:proofErr w:type="spellEnd"/>
      <w:r>
        <w:t xml:space="preserve"> от необходимостта оценката да послужи за подобряване ефективността и ефикасността на изпълнението на програмата, както и да оцени въздействието, оказано от интервенциите. Планираните оценки имат за цел да обслужат тези две основни направления в предназначението на оценителния процес в рамките на програмния цикъл. Ето защо в рамките на Плана за оценка на ОПОС е заложена подходяща комбина</w:t>
      </w:r>
      <w:r w:rsidR="000B271A">
        <w:t>ция от оценки на изпълнението</w:t>
      </w:r>
      <w:r w:rsidR="00E373BB">
        <w:t xml:space="preserve"> </w:t>
      </w:r>
      <w:r w:rsidR="00E373BB" w:rsidRPr="0001375C">
        <w:rPr>
          <w:lang w:val="ru-RU"/>
        </w:rPr>
        <w:t>(</w:t>
      </w:r>
      <w:r w:rsidR="00E373BB">
        <w:rPr>
          <w:lang w:val="en-US"/>
        </w:rPr>
        <w:t>implementation</w:t>
      </w:r>
      <w:r w:rsidR="00E373BB" w:rsidRPr="0001375C">
        <w:rPr>
          <w:lang w:val="ru-RU"/>
        </w:rPr>
        <w:t xml:space="preserve"> </w:t>
      </w:r>
      <w:r w:rsidR="00E373BB">
        <w:rPr>
          <w:lang w:val="en-US"/>
        </w:rPr>
        <w:t>evaluation</w:t>
      </w:r>
      <w:r w:rsidR="00E373BB" w:rsidRPr="0001375C">
        <w:rPr>
          <w:lang w:val="ru-RU"/>
        </w:rPr>
        <w:t>)</w:t>
      </w:r>
      <w:r w:rsidR="000B271A">
        <w:t xml:space="preserve">, </w:t>
      </w:r>
      <w:r>
        <w:t>оценки на въздействието</w:t>
      </w:r>
      <w:r w:rsidR="000B271A">
        <w:t xml:space="preserve"> и специфични оценки на ниво приоритет. Предлаганият индикативен </w:t>
      </w:r>
      <w:r w:rsidR="00E373BB">
        <w:t xml:space="preserve">списък от оценки на </w:t>
      </w:r>
      <w:r w:rsidR="000B271A">
        <w:t>ОПОС 2014-</w:t>
      </w:r>
      <w:r w:rsidR="00E373BB">
        <w:t>2020 г., детайлно описан в т</w:t>
      </w:r>
      <w:r w:rsidR="000B271A">
        <w:t>.</w:t>
      </w:r>
      <w:r w:rsidR="00E373BB">
        <w:t xml:space="preserve"> 4.2</w:t>
      </w:r>
      <w:r w:rsidR="000B271A">
        <w:t>, е в съответствие</w:t>
      </w:r>
      <w:r>
        <w:t xml:space="preserve"> със задължителните изисквания на европейското законодателство в областта на оценката на ЕСИФ, с препоръките на ЕК в релевантнит</w:t>
      </w:r>
      <w:r w:rsidR="000B271A">
        <w:t xml:space="preserve">е ръководства и не на последно място със спецификите на интервенциите по ОПОС 2014-2020 г. и </w:t>
      </w:r>
      <w:r w:rsidR="00E373BB">
        <w:t>реалистичната</w:t>
      </w:r>
      <w:r w:rsidR="000B271A">
        <w:t xml:space="preserve"> прогноза относно </w:t>
      </w:r>
      <w:r w:rsidR="00E373BB">
        <w:t xml:space="preserve">необходимото </w:t>
      </w:r>
      <w:r w:rsidR="000B271A">
        <w:t xml:space="preserve">време за </w:t>
      </w:r>
      <w:r w:rsidR="00E373BB">
        <w:t>възникване на</w:t>
      </w:r>
      <w:r w:rsidR="000B271A">
        <w:t xml:space="preserve"> резултатите от изпълняваните </w:t>
      </w:r>
      <w:r w:rsidR="00E373BB">
        <w:t>интервенции</w:t>
      </w:r>
      <w:r w:rsidR="000B271A">
        <w:t xml:space="preserve">. </w:t>
      </w:r>
    </w:p>
    <w:p w:rsidR="00F02FF8" w:rsidRDefault="00F02FF8" w:rsidP="00EB274A">
      <w:pPr>
        <w:jc w:val="both"/>
      </w:pPr>
      <w:r>
        <w:t xml:space="preserve">В съответствие с новия подход към изпълнението на ЕСИФ през програмен период 2014-2020 г., ориентиран към измерването на ефекта и оценката на въздействието от интервенциите, </w:t>
      </w:r>
      <w:r w:rsidR="00C46D74">
        <w:t>УО</w:t>
      </w:r>
      <w:r>
        <w:t xml:space="preserve"> залага </w:t>
      </w:r>
      <w:proofErr w:type="spellStart"/>
      <w:r>
        <w:t>съсредоточването</w:t>
      </w:r>
      <w:proofErr w:type="spellEnd"/>
      <w:r>
        <w:t xml:space="preserve"> на необходимите усилия и финансов и </w:t>
      </w:r>
      <w:r>
        <w:lastRenderedPageBreak/>
        <w:t>човешки ресурс за обезпечаване качественото провеждане на</w:t>
      </w:r>
      <w:r w:rsidR="004858DB">
        <w:t xml:space="preserve"> оценка на въздействието и ефектите от програмата.</w:t>
      </w:r>
      <w:r>
        <w:t xml:space="preserve"> Предвидената Оценка на въздействието от изпълнението на ОПОС 2014-2020 г., съгласно Индикативния списък с оценки </w:t>
      </w:r>
      <w:r w:rsidRPr="00775B64">
        <w:t>по т.</w:t>
      </w:r>
      <w:r w:rsidR="00775B64" w:rsidRPr="00EB274A">
        <w:rPr>
          <w:lang w:val="ru-RU"/>
        </w:rPr>
        <w:t xml:space="preserve"> 4</w:t>
      </w:r>
      <w:r w:rsidRPr="00775B64">
        <w:t>,</w:t>
      </w:r>
      <w:r w:rsidR="00775B64">
        <w:t xml:space="preserve"> </w:t>
      </w:r>
      <w:r>
        <w:t>е в пълно съотв</w:t>
      </w:r>
      <w:r w:rsidR="00F34C3C">
        <w:t>етствие с изискването на чл. 56</w:t>
      </w:r>
      <w:r>
        <w:t xml:space="preserve"> </w:t>
      </w:r>
      <w:r w:rsidR="00F34C3C" w:rsidRPr="00631E1C">
        <w:rPr>
          <w:lang w:val="ru-RU"/>
        </w:rPr>
        <w:t>(</w:t>
      </w:r>
      <w:r>
        <w:t>3</w:t>
      </w:r>
      <w:r w:rsidR="00F34C3C" w:rsidRPr="00631E1C">
        <w:rPr>
          <w:lang w:val="ru-RU"/>
        </w:rPr>
        <w:t>)</w:t>
      </w:r>
      <w:r>
        <w:t xml:space="preserve"> за осъществяването на поне една оценка на въздействието през програмния период, която да оцени приносът на програмата за постигането на целите по всеки приоритет. </w:t>
      </w:r>
    </w:p>
    <w:p w:rsidR="004858DB" w:rsidRDefault="00E373BB" w:rsidP="00EB274A">
      <w:pPr>
        <w:jc w:val="both"/>
      </w:pPr>
      <w:r w:rsidRPr="00E373BB">
        <w:t>В допълнение индикативният списък с оценки</w:t>
      </w:r>
      <w:r w:rsidR="00F02FF8" w:rsidRPr="00E373BB">
        <w:t xml:space="preserve"> </w:t>
      </w:r>
      <w:r w:rsidR="00B14C87" w:rsidRPr="00E373BB">
        <w:t>поставя фокус и върху оценката на специфични теми на ниво приоритетна ос</w:t>
      </w:r>
      <w:r w:rsidR="004858DB" w:rsidRPr="00E373BB">
        <w:t xml:space="preserve">, които са от съществено значение при изпълнението на програмата, напр. </w:t>
      </w:r>
      <w:r w:rsidR="00B14C87" w:rsidRPr="00E373BB">
        <w:t>п</w:t>
      </w:r>
      <w:r w:rsidR="00F02FF8" w:rsidRPr="00E373BB">
        <w:t>илотното включване на новата приоритетна ос</w:t>
      </w:r>
      <w:r w:rsidR="00555663" w:rsidRPr="00E373BB">
        <w:t xml:space="preserve"> </w:t>
      </w:r>
      <w:r w:rsidR="00F02FF8" w:rsidRPr="00E373BB">
        <w:t xml:space="preserve">5 </w:t>
      </w:r>
      <w:r w:rsidR="00B14C87" w:rsidRPr="00E373BB">
        <w:t>„</w:t>
      </w:r>
      <w:r w:rsidR="00555663" w:rsidRPr="00E373BB">
        <w:t>Подобряване качеството на атмосферния в</w:t>
      </w:r>
      <w:r w:rsidR="00B14C87" w:rsidRPr="00E373BB">
        <w:t xml:space="preserve">ъздух”, ефективността и ефикасността на моделите за финансово подпомагане на </w:t>
      </w:r>
      <w:r w:rsidR="00555663" w:rsidRPr="00E373BB">
        <w:t>дейностите</w:t>
      </w:r>
      <w:r w:rsidR="00B14C87" w:rsidRPr="00E373BB">
        <w:t xml:space="preserve"> по приоритетна ос 3 „Натура 2000 и биоразнообразие”, ефективността, ефикасността и въздействието на прилаганите финансови инструменти по отделните приоритети на ОПОС 2014-2020 </w:t>
      </w:r>
      <w:r w:rsidR="0041256B">
        <w:t xml:space="preserve">г. </w:t>
      </w:r>
      <w:r w:rsidR="00B14C87" w:rsidRPr="00E373BB">
        <w:t>и др. Специфичните теми</w:t>
      </w:r>
      <w:r w:rsidR="004858DB" w:rsidRPr="00E373BB">
        <w:t xml:space="preserve">, предмет на всяка една от планираните оценки, са </w:t>
      </w:r>
      <w:r w:rsidRPr="00E373BB">
        <w:t>разгледани в т. 4.2 „Списък на п</w:t>
      </w:r>
      <w:r w:rsidR="00B14C87" w:rsidRPr="00E373BB">
        <w:t>ланирани</w:t>
      </w:r>
      <w:r w:rsidRPr="00E373BB">
        <w:t>те оценки на</w:t>
      </w:r>
      <w:r w:rsidR="00B14C87" w:rsidRPr="00E373BB">
        <w:t xml:space="preserve"> ОПОС </w:t>
      </w:r>
      <w:r w:rsidR="004858DB" w:rsidRPr="00E373BB">
        <w:t>2014-2020</w:t>
      </w:r>
      <w:r w:rsidR="0041256B">
        <w:t xml:space="preserve"> г.</w:t>
      </w:r>
      <w:r w:rsidR="004858DB" w:rsidRPr="00E373BB">
        <w:t>“ от настоящия план.</w:t>
      </w:r>
    </w:p>
    <w:p w:rsidR="00285CB8" w:rsidRDefault="00285CB8" w:rsidP="00EB274A">
      <w:pPr>
        <w:jc w:val="both"/>
      </w:pPr>
      <w:r>
        <w:t xml:space="preserve">Не на последно място при определяне фокуса на оценката на ОПОС 2014-2020 г. УО отчита натрупания </w:t>
      </w:r>
      <w:r w:rsidRPr="00285CB8">
        <w:t>опит от проведените оценки на ОПОС 2007-2013 г.</w:t>
      </w:r>
      <w:r>
        <w:t xml:space="preserve"> и научените уроци с оглед подобряване качеството на оценките от гледна точка на тяхното планиране и последващо ефективно изпълнение. При изготвянето на настоящия План за оценка УО отчита следните поуки от изпълнението на оценката през програмен период 2007-2013 г., приложими към изпълнението на ОПОС 2014-2020 г.:</w:t>
      </w:r>
    </w:p>
    <w:p w:rsidR="00285CB8" w:rsidRDefault="006A0657" w:rsidP="00EB274A">
      <w:pPr>
        <w:pStyle w:val="ListBullet"/>
        <w:jc w:val="both"/>
      </w:pPr>
      <w:r>
        <w:t>Необходимо е адекватно съобразяване на периода на провеждане на оценките с необходимото време за постигане на резултатите от осъществяваните интервенции. С оглед спецификата на интервенциите на ОПОС 2014-2020 г. в първите няколко години от приложението на програмата не е удачно залагането на оценки поради по-дългия период за изпълнението на голяма част от дейностите и постигането на реални резултати;</w:t>
      </w:r>
    </w:p>
    <w:p w:rsidR="00285CB8" w:rsidRPr="00267820" w:rsidRDefault="00285CB8" w:rsidP="00EB274A">
      <w:pPr>
        <w:pStyle w:val="ListBullet"/>
        <w:jc w:val="both"/>
        <w:rPr>
          <w:lang w:val="ru-RU"/>
        </w:rPr>
      </w:pPr>
      <w:r>
        <w:t xml:space="preserve">По-подходящо е </w:t>
      </w:r>
      <w:r w:rsidR="006A0657">
        <w:t>планирането и осъществяването на по-малко на брой</w:t>
      </w:r>
      <w:r w:rsidR="004109CE" w:rsidRPr="004109CE">
        <w:t xml:space="preserve"> </w:t>
      </w:r>
      <w:r w:rsidR="004109CE">
        <w:t>оценки</w:t>
      </w:r>
      <w:r w:rsidR="006A0657">
        <w:t xml:space="preserve">, </w:t>
      </w:r>
      <w:r w:rsidR="004109CE">
        <w:t xml:space="preserve">с </w:t>
      </w:r>
      <w:r w:rsidR="006A0657">
        <w:t xml:space="preserve">по-добре фокусиран тематичен обхват, </w:t>
      </w:r>
      <w:r>
        <w:t xml:space="preserve">тъй като </w:t>
      </w:r>
      <w:r w:rsidR="006A0657">
        <w:t>би се постигнала</w:t>
      </w:r>
      <w:r>
        <w:t xml:space="preserve"> икономия от мащаба и максимизиране на резултатите</w:t>
      </w:r>
      <w:r w:rsidR="006A0657">
        <w:t xml:space="preserve"> от оценката</w:t>
      </w:r>
      <w:r>
        <w:t xml:space="preserve">. </w:t>
      </w:r>
    </w:p>
    <w:p w:rsidR="00062101" w:rsidRDefault="006608CE" w:rsidP="00EB274A">
      <w:pPr>
        <w:pStyle w:val="ListBullet"/>
        <w:jc w:val="both"/>
      </w:pPr>
      <w:r>
        <w:t>Подобряване на</w:t>
      </w:r>
      <w:r w:rsidR="00062101">
        <w:t xml:space="preserve"> система</w:t>
      </w:r>
      <w:r>
        <w:t>та</w:t>
      </w:r>
      <w:r w:rsidR="00062101">
        <w:t xml:space="preserve"> за наблюдение и мониторинг на изпълнението на </w:t>
      </w:r>
      <w:r>
        <w:t>програмата</w:t>
      </w:r>
      <w:r w:rsidR="00062101">
        <w:t>, която да гарантира наличието на необходимите мониторингови данни за целите на оценката</w:t>
      </w:r>
      <w:r>
        <w:t xml:space="preserve"> и вземането на информирани решения</w:t>
      </w:r>
      <w:r w:rsidR="00062101">
        <w:t>.</w:t>
      </w:r>
    </w:p>
    <w:p w:rsidR="004A3731" w:rsidRDefault="004A3731" w:rsidP="00EB274A">
      <w:pPr>
        <w:pStyle w:val="Heading2"/>
        <w:jc w:val="both"/>
      </w:pPr>
      <w:bookmarkStart w:id="18" w:name="_Toc453078508"/>
      <w:r>
        <w:lastRenderedPageBreak/>
        <w:t>Координация по изпълнение на Плана за оценка на ОПОС</w:t>
      </w:r>
      <w:bookmarkEnd w:id="18"/>
    </w:p>
    <w:p w:rsidR="004A3731" w:rsidRPr="00467EF1" w:rsidRDefault="003B4EBE" w:rsidP="00EB274A">
      <w:pPr>
        <w:jc w:val="both"/>
        <w:rPr>
          <w:b/>
          <w:i/>
          <w:color w:val="5B6973" w:themeColor="text2"/>
        </w:rPr>
      </w:pPr>
      <w:r>
        <w:t xml:space="preserve">На национално ниво </w:t>
      </w:r>
      <w:r w:rsidR="00C46D74">
        <w:t>УО</w:t>
      </w:r>
      <w:r>
        <w:t xml:space="preserve"> ще координира подготовката и изпълнението на Плана за оценка на ОПОС 2014-2020 г. и извършваните оценки с всички заинтересовани страни, ангажирани с реализацията на ОПОС 2014-2020 г., </w:t>
      </w:r>
      <w:r w:rsidR="004A3731">
        <w:t xml:space="preserve">чрез </w:t>
      </w:r>
      <w:r>
        <w:t xml:space="preserve">прилагането на </w:t>
      </w:r>
      <w:r w:rsidR="004A3731">
        <w:t xml:space="preserve">следния </w:t>
      </w:r>
      <w:r w:rsidR="004A3731" w:rsidRPr="00467EF1">
        <w:rPr>
          <w:b/>
          <w:i/>
          <w:color w:val="5B6973" w:themeColor="text2"/>
        </w:rPr>
        <w:t>механизъм за координация:</w:t>
      </w:r>
    </w:p>
    <w:p w:rsidR="00467EF1" w:rsidRPr="00CC3900" w:rsidRDefault="00CC3900" w:rsidP="00EB274A">
      <w:pPr>
        <w:pStyle w:val="ListBullet"/>
        <w:jc w:val="both"/>
        <w:rPr>
          <w:b/>
        </w:rPr>
      </w:pPr>
      <w:r w:rsidRPr="00CC3900">
        <w:rPr>
          <w:b/>
        </w:rPr>
        <w:t>в</w:t>
      </w:r>
      <w:r w:rsidR="00467EF1" w:rsidRPr="00CC3900">
        <w:rPr>
          <w:b/>
        </w:rPr>
        <w:t xml:space="preserve"> рамките на Комитета за наблюдение на ОПОС 2014-2020 г. </w:t>
      </w:r>
      <w:r w:rsidR="00467EF1" w:rsidRPr="00472567">
        <w:rPr>
          <w:b/>
          <w:lang w:val="ru-RU"/>
        </w:rPr>
        <w:t>(</w:t>
      </w:r>
      <w:r w:rsidR="00467EF1" w:rsidRPr="00CC3900">
        <w:rPr>
          <w:b/>
        </w:rPr>
        <w:t>КН на ОПОС</w:t>
      </w:r>
      <w:r w:rsidR="00467EF1" w:rsidRPr="00472567">
        <w:rPr>
          <w:b/>
          <w:lang w:val="ru-RU"/>
        </w:rPr>
        <w:t>)</w:t>
      </w:r>
      <w:r w:rsidR="00575F9D">
        <w:rPr>
          <w:b/>
        </w:rPr>
        <w:t xml:space="preserve"> </w:t>
      </w:r>
      <w:proofErr w:type="gramStart"/>
      <w:r w:rsidR="00575F9D">
        <w:rPr>
          <w:b/>
        </w:rPr>
        <w:t>чрез</w:t>
      </w:r>
      <w:proofErr w:type="gramEnd"/>
      <w:r w:rsidR="00467EF1" w:rsidRPr="00CC3900">
        <w:rPr>
          <w:b/>
        </w:rPr>
        <w:t>:</w:t>
      </w:r>
    </w:p>
    <w:p w:rsidR="003B4EBE" w:rsidRPr="003B4EBE" w:rsidRDefault="00467EF1" w:rsidP="00EB274A">
      <w:pPr>
        <w:pStyle w:val="ListBullet"/>
        <w:jc w:val="both"/>
      </w:pPr>
      <w:r>
        <w:t>о</w:t>
      </w:r>
      <w:r w:rsidR="004A3731" w:rsidRPr="003B4EBE">
        <w:t>бсъждане</w:t>
      </w:r>
      <w:r w:rsidR="003B4EBE" w:rsidRPr="003B4EBE">
        <w:t xml:space="preserve"> и одобрение на Плана за оценка на ОПОС 2014-2020 г. и на негови последващи актуализации/промени</w:t>
      </w:r>
      <w:r w:rsidR="00864E98" w:rsidRPr="00864E98">
        <w:t>, включително и чрез неформалните работни групи на К</w:t>
      </w:r>
      <w:r w:rsidR="00AE1C84">
        <w:t>Н на ОПОС</w:t>
      </w:r>
      <w:r w:rsidR="005D39A8">
        <w:t>;</w:t>
      </w:r>
    </w:p>
    <w:p w:rsidR="004A3731" w:rsidRPr="003B4EBE" w:rsidRDefault="00467EF1" w:rsidP="00EB274A">
      <w:pPr>
        <w:pStyle w:val="ListBullet"/>
        <w:ind w:left="720"/>
        <w:jc w:val="both"/>
      </w:pPr>
      <w:r>
        <w:t xml:space="preserve">разглеждане на </w:t>
      </w:r>
      <w:r w:rsidR="004A3731" w:rsidRPr="003B4EBE">
        <w:t>извършените оценки</w:t>
      </w:r>
      <w:r>
        <w:t xml:space="preserve"> на ОПОС 2014-2020 г. и отправяне на препоръки </w:t>
      </w:r>
      <w:r w:rsidR="00CC3900">
        <w:t xml:space="preserve">към </w:t>
      </w:r>
      <w:r w:rsidR="00C46D74">
        <w:t>УО</w:t>
      </w:r>
      <w:r w:rsidR="00CC3900">
        <w:t xml:space="preserve"> </w:t>
      </w:r>
      <w:r>
        <w:t>във връзка с</w:t>
      </w:r>
      <w:r w:rsidR="00575F9D">
        <w:t xml:space="preserve"> качеството</w:t>
      </w:r>
      <w:r w:rsidR="00CC3900">
        <w:t xml:space="preserve"> на оценката на програмата и проследяването на тяхното изпълнение</w:t>
      </w:r>
      <w:r w:rsidR="005D39A8">
        <w:t>.</w:t>
      </w:r>
    </w:p>
    <w:p w:rsidR="00CC3900" w:rsidRDefault="00CC3900" w:rsidP="00EB274A">
      <w:pPr>
        <w:pStyle w:val="ListBullet"/>
        <w:jc w:val="both"/>
      </w:pPr>
      <w:r w:rsidRPr="00CC3900">
        <w:rPr>
          <w:b/>
        </w:rPr>
        <w:t>в рамките на Постоянната междуведомствена работна група за оценка на ЕСИФ 2014-2020</w:t>
      </w:r>
      <w:r w:rsidR="000A5940">
        <w:rPr>
          <w:rStyle w:val="FootnoteReference"/>
          <w:b/>
        </w:rPr>
        <w:footnoteReference w:id="5"/>
      </w:r>
      <w:r>
        <w:t xml:space="preserve">, чиято работа се координира от </w:t>
      </w:r>
      <w:proofErr w:type="spellStart"/>
      <w:r>
        <w:t>Центраното</w:t>
      </w:r>
      <w:proofErr w:type="spellEnd"/>
      <w:r>
        <w:t xml:space="preserve"> координационно звено </w:t>
      </w:r>
      <w:r w:rsidRPr="0001375C">
        <w:rPr>
          <w:lang w:val="ru-RU"/>
        </w:rPr>
        <w:t>(</w:t>
      </w:r>
      <w:r>
        <w:t>ЦКЗ</w:t>
      </w:r>
      <w:r w:rsidRPr="0001375C">
        <w:rPr>
          <w:lang w:val="ru-RU"/>
        </w:rPr>
        <w:t>)</w:t>
      </w:r>
      <w:r>
        <w:t xml:space="preserve"> - </w:t>
      </w:r>
      <w:r w:rsidRPr="003B4EBE">
        <w:t>дирекция „Мониторинг на средствата от ЕС” в Министерски съвет</w:t>
      </w:r>
      <w:r w:rsidR="000A5940">
        <w:t xml:space="preserve"> </w:t>
      </w:r>
      <w:r w:rsidR="000A5940" w:rsidRPr="0001375C">
        <w:rPr>
          <w:lang w:val="ru-RU"/>
        </w:rPr>
        <w:t>(</w:t>
      </w:r>
      <w:r w:rsidR="000A5940">
        <w:t>МС</w:t>
      </w:r>
      <w:r w:rsidR="000A5940" w:rsidRPr="0001375C">
        <w:rPr>
          <w:lang w:val="ru-RU"/>
        </w:rPr>
        <w:t>)</w:t>
      </w:r>
      <w:r w:rsidR="00575F9D">
        <w:t>, чрез:</w:t>
      </w:r>
    </w:p>
    <w:p w:rsidR="00CC3900" w:rsidRDefault="008B0C75" w:rsidP="00EB274A">
      <w:pPr>
        <w:pStyle w:val="ListBullet"/>
        <w:ind w:left="720"/>
        <w:jc w:val="both"/>
      </w:pPr>
      <w:r>
        <w:t>представя</w:t>
      </w:r>
      <w:r w:rsidR="00A66E10" w:rsidRPr="00CB6AF2">
        <w:t>не</w:t>
      </w:r>
      <w:r w:rsidR="00A66E10">
        <w:t xml:space="preserve"> на П</w:t>
      </w:r>
      <w:r w:rsidR="004A3731" w:rsidRPr="003B4EBE">
        <w:t xml:space="preserve">лана за оценка </w:t>
      </w:r>
      <w:r w:rsidR="00A66E10">
        <w:t xml:space="preserve">на ОПОС </w:t>
      </w:r>
      <w:r w:rsidR="004A3731" w:rsidRPr="003B4EBE">
        <w:t>и на извършените оценки</w:t>
      </w:r>
      <w:r w:rsidR="005D39A8">
        <w:t>;</w:t>
      </w:r>
    </w:p>
    <w:p w:rsidR="00A66E10" w:rsidRDefault="00A66E10" w:rsidP="00EB274A">
      <w:pPr>
        <w:pStyle w:val="ListBullet"/>
        <w:ind w:left="720"/>
        <w:jc w:val="both"/>
      </w:pPr>
      <w:r>
        <w:rPr>
          <w:lang w:eastAsia="en-US"/>
        </w:rPr>
        <w:t>обмен на добри практики по отношение оценката на програмите, съфинансирани от ЕСИФ, между управляващите органи, ЦКЗ и Националния статистически институт (НСИ)</w:t>
      </w:r>
      <w:r w:rsidR="005D39A8">
        <w:rPr>
          <w:lang w:eastAsia="en-US"/>
        </w:rPr>
        <w:t>;</w:t>
      </w:r>
    </w:p>
    <w:p w:rsidR="00A66E10" w:rsidRPr="003B4EBE" w:rsidRDefault="004A3731" w:rsidP="00EB274A">
      <w:pPr>
        <w:pStyle w:val="ListBullet"/>
        <w:ind w:left="720"/>
        <w:jc w:val="both"/>
      </w:pPr>
      <w:r w:rsidRPr="003B4EBE">
        <w:t>предоставяне на ин</w:t>
      </w:r>
      <w:r w:rsidR="00A66E10">
        <w:t>формация за изпълнението на ОПОС</w:t>
      </w:r>
      <w:r w:rsidRPr="003B4EBE">
        <w:t xml:space="preserve"> 2014-2020</w:t>
      </w:r>
      <w:r w:rsidR="0041256B">
        <w:t xml:space="preserve"> г.</w:t>
      </w:r>
      <w:r w:rsidRPr="003B4EBE">
        <w:t xml:space="preserve"> за целите на </w:t>
      </w:r>
      <w:r w:rsidR="00A66E10">
        <w:t xml:space="preserve">извършваните оценки на Споразумението за партньорство </w:t>
      </w:r>
      <w:r w:rsidR="00A66E10">
        <w:rPr>
          <w:lang w:eastAsia="en-US"/>
        </w:rPr>
        <w:t>и приноса на ЕСИФ за постигане на целите  на хоризонталните политики на ЕС, както и за целите на провежданите оценки по</w:t>
      </w:r>
      <w:r w:rsidRPr="003B4EBE">
        <w:t xml:space="preserve"> останалите оперативни програми по ЕСИФ</w:t>
      </w:r>
      <w:r w:rsidR="005D39A8">
        <w:t>.</w:t>
      </w:r>
    </w:p>
    <w:p w:rsidR="004A3731" w:rsidRPr="00B14C87" w:rsidRDefault="004A3731" w:rsidP="00EB274A">
      <w:pPr>
        <w:jc w:val="both"/>
        <w:rPr>
          <w:rFonts w:eastAsia="Times New Roman"/>
          <w:bCs/>
        </w:rPr>
      </w:pPr>
      <w:r>
        <w:t>Координацията</w:t>
      </w:r>
      <w:r w:rsidR="0082628E">
        <w:t xml:space="preserve"> на ниво УО по подготовката и изпълнението на П</w:t>
      </w:r>
      <w:r>
        <w:t>лана за оценка</w:t>
      </w:r>
      <w:r w:rsidR="0082628E">
        <w:t xml:space="preserve"> на ОПОС</w:t>
      </w:r>
      <w:r>
        <w:t xml:space="preserve"> и на извършваните оценки по ОП</w:t>
      </w:r>
      <w:r w:rsidR="0082628E">
        <w:t>ОС</w:t>
      </w:r>
      <w:r>
        <w:t xml:space="preserve"> 2014-2020</w:t>
      </w:r>
      <w:r w:rsidR="0041256B">
        <w:t xml:space="preserve"> г.</w:t>
      </w:r>
      <w:r>
        <w:t xml:space="preserve"> ще се </w:t>
      </w:r>
      <w:r w:rsidR="0082628E">
        <w:t>реализира въ</w:t>
      </w:r>
      <w:r w:rsidR="006B21CA">
        <w:t>з основа на процедурния ред, о</w:t>
      </w:r>
      <w:r w:rsidR="0082628E">
        <w:t xml:space="preserve">писан в Системите за управление и контрол на ОПОС 2014-2020 г. </w:t>
      </w:r>
      <w:r w:rsidR="0082628E" w:rsidRPr="0001375C">
        <w:rPr>
          <w:lang w:val="ru-RU"/>
        </w:rPr>
        <w:t>(</w:t>
      </w:r>
      <w:r w:rsidR="0082628E">
        <w:t>СУК</w:t>
      </w:r>
      <w:r w:rsidR="0082628E" w:rsidRPr="0001375C">
        <w:rPr>
          <w:lang w:val="ru-RU"/>
        </w:rPr>
        <w:t>)</w:t>
      </w:r>
      <w:r w:rsidR="00575F9D">
        <w:t xml:space="preserve"> и Процедурния наръчник на Главна дирекция „Оперативна програма „Околна среда”</w:t>
      </w:r>
      <w:r w:rsidR="0082628E">
        <w:t xml:space="preserve">. Детайлна информация относно вътрешните правила за организация процеса на оценка в </w:t>
      </w:r>
      <w:r w:rsidR="00C46D74">
        <w:t>УО</w:t>
      </w:r>
      <w:r w:rsidR="0082628E">
        <w:t xml:space="preserve"> е представена в рамките на </w:t>
      </w:r>
      <w:r w:rsidR="0082628E" w:rsidRPr="00575F9D">
        <w:t>т. 3.</w:t>
      </w:r>
      <w:r w:rsidR="00575F9D" w:rsidRPr="00575F9D">
        <w:t>1 и т. 3.2.1 на настоящия документ</w:t>
      </w:r>
      <w:r w:rsidR="0082628E" w:rsidRPr="00575F9D">
        <w:t>.</w:t>
      </w:r>
    </w:p>
    <w:p w:rsidR="004A416C" w:rsidRDefault="00320344" w:rsidP="00EB274A">
      <w:pPr>
        <w:pStyle w:val="Heading1"/>
        <w:jc w:val="both"/>
      </w:pPr>
      <w:bookmarkStart w:id="19" w:name="_Toc453078509"/>
      <w:r>
        <w:lastRenderedPageBreak/>
        <w:t xml:space="preserve">3 </w:t>
      </w:r>
      <w:r w:rsidRPr="0001375C">
        <w:rPr>
          <w:lang w:val="ru-RU"/>
        </w:rPr>
        <w:t xml:space="preserve">| </w:t>
      </w:r>
      <w:r w:rsidR="004A416C">
        <w:t xml:space="preserve">Рамка на оценката по </w:t>
      </w:r>
      <w:r>
        <w:t xml:space="preserve">ОПОС </w:t>
      </w:r>
      <w:r w:rsidR="004A416C">
        <w:t>2014-2020 г.</w:t>
      </w:r>
      <w:bookmarkEnd w:id="19"/>
    </w:p>
    <w:p w:rsidR="004D6B0B" w:rsidRPr="004D6B0B" w:rsidRDefault="004D6B0B" w:rsidP="00EB274A">
      <w:pPr>
        <w:pStyle w:val="ListParagraph"/>
        <w:keepNext/>
        <w:keepLines/>
        <w:numPr>
          <w:ilvl w:val="0"/>
          <w:numId w:val="8"/>
        </w:numPr>
        <w:spacing w:before="360" w:after="240" w:line="240" w:lineRule="auto"/>
        <w:contextualSpacing w:val="0"/>
        <w:jc w:val="both"/>
        <w:outlineLvl w:val="1"/>
        <w:rPr>
          <w:rFonts w:asciiTheme="majorHAnsi" w:eastAsiaTheme="majorEastAsia" w:hAnsiTheme="majorHAnsi" w:cstheme="majorBidi"/>
          <w:caps/>
          <w:vanish/>
          <w:color w:val="71941A" w:themeColor="accent1" w:themeShade="BF"/>
          <w:sz w:val="26"/>
          <w:szCs w:val="26"/>
        </w:rPr>
      </w:pPr>
      <w:bookmarkStart w:id="20" w:name="_Toc449191643"/>
      <w:bookmarkStart w:id="21" w:name="_Toc449211894"/>
      <w:bookmarkStart w:id="22" w:name="_Toc449270674"/>
      <w:bookmarkStart w:id="23" w:name="_Toc449294580"/>
      <w:bookmarkStart w:id="24" w:name="_Toc449435094"/>
      <w:bookmarkStart w:id="25" w:name="_Toc449523144"/>
      <w:bookmarkStart w:id="26" w:name="_Toc453078510"/>
      <w:bookmarkEnd w:id="20"/>
      <w:bookmarkEnd w:id="21"/>
      <w:bookmarkEnd w:id="22"/>
      <w:bookmarkEnd w:id="23"/>
      <w:bookmarkEnd w:id="24"/>
      <w:bookmarkEnd w:id="25"/>
      <w:bookmarkEnd w:id="26"/>
    </w:p>
    <w:p w:rsidR="00B14C87" w:rsidRPr="009C2D9E" w:rsidRDefault="009C2D9E" w:rsidP="00EB274A">
      <w:pPr>
        <w:pStyle w:val="Heading2"/>
        <w:jc w:val="both"/>
      </w:pPr>
      <w:bookmarkStart w:id="27" w:name="_Toc453078511"/>
      <w:r w:rsidRPr="009C2D9E">
        <w:t>Обезпечаване функцията по планиране и провеждане на оценка на ОПОС</w:t>
      </w:r>
      <w:bookmarkEnd w:id="27"/>
    </w:p>
    <w:p w:rsidR="009C2D9E" w:rsidRPr="008807C5" w:rsidRDefault="009C2D9E" w:rsidP="00EB274A">
      <w:pPr>
        <w:jc w:val="both"/>
        <w:rPr>
          <w:rFonts w:eastAsia="Times New Roman"/>
          <w:b/>
          <w:color w:val="5B6973" w:themeColor="text2"/>
        </w:rPr>
      </w:pPr>
      <w:r w:rsidRPr="006B21CA">
        <w:rPr>
          <w:rFonts w:eastAsia="Times New Roman"/>
          <w:b/>
          <w:color w:val="444E55" w:themeColor="text2" w:themeShade="BF"/>
        </w:rPr>
        <w:t>Съгласно чл. 56</w:t>
      </w:r>
      <w:r w:rsidR="00CD5E10" w:rsidRPr="006B21CA">
        <w:rPr>
          <w:rFonts w:eastAsia="Times New Roman"/>
          <w:b/>
          <w:color w:val="444E55" w:themeColor="text2" w:themeShade="BF"/>
        </w:rPr>
        <w:t xml:space="preserve"> (3) от Регламент</w:t>
      </w:r>
      <w:r w:rsidRPr="006B21CA">
        <w:rPr>
          <w:rFonts w:eastAsia="Times New Roman"/>
          <w:b/>
          <w:color w:val="444E55" w:themeColor="text2" w:themeShade="BF"/>
        </w:rPr>
        <w:t xml:space="preserve"> 1303/2013 </w:t>
      </w:r>
      <w:r w:rsidR="00C46D74" w:rsidRPr="006B21CA">
        <w:rPr>
          <w:rFonts w:eastAsia="Times New Roman"/>
          <w:b/>
          <w:color w:val="444E55" w:themeColor="text2" w:themeShade="BF"/>
        </w:rPr>
        <w:t>УО</w:t>
      </w:r>
      <w:r w:rsidRPr="006B21CA">
        <w:rPr>
          <w:rFonts w:eastAsia="Times New Roman"/>
          <w:b/>
          <w:color w:val="444E55" w:themeColor="text2" w:themeShade="BF"/>
        </w:rPr>
        <w:t xml:space="preserve"> носи пълната отговорност за оценката през програмния период, като следва да гарантира извършването на оценки, включително и на оценки, които да проследяват ефективността, ефикасността и въздействието на ОПОС 2014-2020 г</w:t>
      </w:r>
      <w:r w:rsidRPr="008807C5">
        <w:rPr>
          <w:rFonts w:eastAsia="Times New Roman"/>
          <w:b/>
          <w:color w:val="5B6973" w:themeColor="text2"/>
        </w:rPr>
        <w:t xml:space="preserve">. </w:t>
      </w:r>
    </w:p>
    <w:p w:rsidR="009C2D9E" w:rsidRDefault="009C2D9E" w:rsidP="00EB274A">
      <w:pPr>
        <w:jc w:val="both"/>
      </w:pPr>
      <w:r>
        <w:t xml:space="preserve">Съгласно чл. 56 </w:t>
      </w:r>
      <w:r w:rsidRPr="0001375C">
        <w:rPr>
          <w:lang w:val="ru-RU"/>
        </w:rPr>
        <w:t>(1 )</w:t>
      </w:r>
      <w:r w:rsidRPr="007776AC">
        <w:t xml:space="preserve"> </w:t>
      </w:r>
      <w:r w:rsidR="006B21CA">
        <w:t xml:space="preserve">от Регламент (EС) </w:t>
      </w:r>
      <w:r>
        <w:t>1303/2013</w:t>
      </w:r>
      <w:r w:rsidRPr="0001375C">
        <w:rPr>
          <w:lang w:val="ru-RU"/>
        </w:rPr>
        <w:t xml:space="preserve"> </w:t>
      </w:r>
      <w:r>
        <w:t xml:space="preserve">за осигуряване качественото изпълнение на отговорностите по оценка </w:t>
      </w:r>
      <w:r w:rsidR="00C46D74">
        <w:t>УО</w:t>
      </w:r>
      <w:r>
        <w:t xml:space="preserve"> е задължен да разработи План за оценка и да гарантира наличието на подходящ капацитет за оценка. В съответствие с чл. 114 </w:t>
      </w:r>
      <w:r w:rsidRPr="0001375C">
        <w:rPr>
          <w:lang w:val="ru-RU"/>
        </w:rPr>
        <w:t xml:space="preserve">(1) </w:t>
      </w:r>
      <w:r>
        <w:rPr>
          <w:rFonts w:eastAsia="Times New Roman"/>
        </w:rPr>
        <w:t xml:space="preserve">от Регламент </w:t>
      </w:r>
      <w:r w:rsidR="006B21CA">
        <w:rPr>
          <w:rFonts w:eastAsia="Times New Roman"/>
        </w:rPr>
        <w:t>1303</w:t>
      </w:r>
      <w:r>
        <w:rPr>
          <w:rFonts w:eastAsia="Times New Roman"/>
        </w:rPr>
        <w:t>/2013 П</w:t>
      </w:r>
      <w:r>
        <w:t>ланът за оценка следва да бъде представен за преглед и одобрение на КН на ОПОС в ср</w:t>
      </w:r>
      <w:r w:rsidR="006B21CA">
        <w:t>ок до 1 календарна година след официалното одобрение</w:t>
      </w:r>
      <w:r>
        <w:t xml:space="preserve"> на оперативната програма от ЕК. </w:t>
      </w:r>
    </w:p>
    <w:p w:rsidR="00BB2043" w:rsidRPr="00BB2043" w:rsidRDefault="00BB2043" w:rsidP="00EB274A">
      <w:pPr>
        <w:jc w:val="both"/>
      </w:pPr>
      <w:r w:rsidRPr="0096728F">
        <w:t>С Решение на Министерски съвет № 792/17.12.2013 г.</w:t>
      </w:r>
      <w:r w:rsidR="00D214C3">
        <w:t>, изм. С Решение на Министерски съвет № 364/02.06.2014 г.,</w:t>
      </w:r>
      <w:r w:rsidRPr="0096728F">
        <w:t xml:space="preserve"> </w:t>
      </w:r>
      <w:r w:rsidR="000F5BF4" w:rsidRPr="0096728F">
        <w:t xml:space="preserve">за </w:t>
      </w:r>
      <w:r w:rsidR="00C46D74" w:rsidRPr="0096728F">
        <w:t>УО</w:t>
      </w:r>
      <w:r w:rsidR="000F5BF4" w:rsidRPr="0096728F">
        <w:t xml:space="preserve"> </w:t>
      </w:r>
      <w:r w:rsidR="006B21CA" w:rsidRPr="0096728F">
        <w:t xml:space="preserve">но ОПОС </w:t>
      </w:r>
      <w:r w:rsidR="000F5BF4" w:rsidRPr="0096728F">
        <w:t xml:space="preserve">2014-2020 г. е определена </w:t>
      </w:r>
      <w:r w:rsidRPr="0096728F">
        <w:t xml:space="preserve">Главна дирекция „Оперативна програма „Околна среда” </w:t>
      </w:r>
      <w:r w:rsidRPr="0096728F">
        <w:rPr>
          <w:lang w:val="ru-RU"/>
        </w:rPr>
        <w:t>(</w:t>
      </w:r>
      <w:r w:rsidRPr="0096728F">
        <w:t>с предишно наименование дирекция „Кохезионна политика за околна среда”</w:t>
      </w:r>
      <w:r w:rsidRPr="0096728F">
        <w:rPr>
          <w:rStyle w:val="FootnoteReference"/>
        </w:rPr>
        <w:footnoteReference w:id="6"/>
      </w:r>
      <w:r w:rsidRPr="0096728F">
        <w:rPr>
          <w:lang w:val="ru-RU"/>
        </w:rPr>
        <w:t>)</w:t>
      </w:r>
      <w:r w:rsidRPr="0096728F">
        <w:t xml:space="preserve"> в структурата на </w:t>
      </w:r>
      <w:r w:rsidR="000F5BF4" w:rsidRPr="0096728F">
        <w:t xml:space="preserve">специализираната администрация на </w:t>
      </w:r>
      <w:r w:rsidRPr="0096728F">
        <w:t xml:space="preserve">Министерство на околната среда и водите </w:t>
      </w:r>
      <w:r w:rsidRPr="0096728F">
        <w:rPr>
          <w:lang w:val="ru-RU"/>
        </w:rPr>
        <w:t>(</w:t>
      </w:r>
      <w:r w:rsidRPr="0096728F">
        <w:t>МОСВ</w:t>
      </w:r>
      <w:r w:rsidRPr="0096728F">
        <w:rPr>
          <w:lang w:val="ru-RU"/>
        </w:rPr>
        <w:t>)</w:t>
      </w:r>
      <w:r w:rsidR="000F5BF4" w:rsidRPr="0096728F">
        <w:t>.</w:t>
      </w:r>
    </w:p>
    <w:p w:rsidR="001E2F02" w:rsidRPr="000F5BF4" w:rsidRDefault="008807C5" w:rsidP="00EB274A">
      <w:pPr>
        <w:jc w:val="both"/>
        <w:rPr>
          <w:kern w:val="0"/>
        </w:rPr>
      </w:pPr>
      <w:r>
        <w:t>Отговорностите на ГД ОПОС в областта на оценката са разписани в</w:t>
      </w:r>
      <w:r w:rsidR="000F5BF4">
        <w:t xml:space="preserve"> </w:t>
      </w:r>
      <w:r w:rsidR="000F5BF4">
        <w:rPr>
          <w:kern w:val="0"/>
        </w:rPr>
        <w:t>ч</w:t>
      </w:r>
      <w:r w:rsidR="000F5BF4" w:rsidRPr="0001375C">
        <w:rPr>
          <w:kern w:val="0"/>
          <w:lang w:val="ru-RU"/>
        </w:rPr>
        <w:t>л. 40</w:t>
      </w:r>
      <w:r w:rsidR="000F5BF4">
        <w:rPr>
          <w:kern w:val="0"/>
        </w:rPr>
        <w:t>, ал. 2, т. 16  от Устройствения правилник на МОСВ</w:t>
      </w:r>
      <w:r w:rsidR="000F5BF4">
        <w:rPr>
          <w:rStyle w:val="FootnoteReference"/>
          <w:kern w:val="0"/>
        </w:rPr>
        <w:footnoteReference w:id="7"/>
      </w:r>
      <w:r w:rsidR="000F5BF4">
        <w:rPr>
          <w:kern w:val="0"/>
        </w:rPr>
        <w:t xml:space="preserve"> </w:t>
      </w:r>
      <w:r w:rsidR="000F5BF4" w:rsidRPr="0001375C">
        <w:rPr>
          <w:kern w:val="0"/>
          <w:lang w:val="ru-RU"/>
        </w:rPr>
        <w:t>(</w:t>
      </w:r>
      <w:r w:rsidR="000F5BF4">
        <w:rPr>
          <w:kern w:val="0"/>
        </w:rPr>
        <w:t>п</w:t>
      </w:r>
      <w:proofErr w:type="spellStart"/>
      <w:r w:rsidR="000F5BF4" w:rsidRPr="0001375C">
        <w:rPr>
          <w:kern w:val="0"/>
          <w:lang w:val="ru-RU"/>
        </w:rPr>
        <w:t>риет</w:t>
      </w:r>
      <w:proofErr w:type="spellEnd"/>
      <w:r w:rsidR="000F5BF4" w:rsidRPr="0001375C">
        <w:rPr>
          <w:kern w:val="0"/>
          <w:lang w:val="ru-RU"/>
        </w:rPr>
        <w:t xml:space="preserve"> с ПМС № 274 от 20.11.2009 г., обн., ДВ, </w:t>
      </w:r>
      <w:proofErr w:type="spellStart"/>
      <w:r w:rsidR="000F5BF4" w:rsidRPr="0001375C">
        <w:rPr>
          <w:kern w:val="0"/>
          <w:lang w:val="ru-RU"/>
        </w:rPr>
        <w:t>бр</w:t>
      </w:r>
      <w:proofErr w:type="spellEnd"/>
      <w:r w:rsidR="000F5BF4" w:rsidRPr="0001375C">
        <w:rPr>
          <w:kern w:val="0"/>
          <w:lang w:val="ru-RU"/>
        </w:rPr>
        <w:t>. 94 от 27.11.2009 г.,</w:t>
      </w:r>
      <w:r w:rsidR="000F5BF4">
        <w:rPr>
          <w:kern w:val="0"/>
        </w:rPr>
        <w:t xml:space="preserve"> </w:t>
      </w:r>
      <w:proofErr w:type="spellStart"/>
      <w:r w:rsidR="000F5BF4">
        <w:rPr>
          <w:kern w:val="0"/>
        </w:rPr>
        <w:t>посл</w:t>
      </w:r>
      <w:proofErr w:type="spellEnd"/>
      <w:r w:rsidR="000F5BF4">
        <w:rPr>
          <w:kern w:val="0"/>
        </w:rPr>
        <w:t xml:space="preserve">. изм. и доп. ДВ, </w:t>
      </w:r>
      <w:proofErr w:type="spellStart"/>
      <w:r w:rsidR="000F5BF4" w:rsidRPr="0001375C">
        <w:rPr>
          <w:kern w:val="0"/>
          <w:lang w:val="ru-RU"/>
        </w:rPr>
        <w:t>бр</w:t>
      </w:r>
      <w:proofErr w:type="spellEnd"/>
      <w:r w:rsidR="000F5BF4" w:rsidRPr="0001375C">
        <w:rPr>
          <w:kern w:val="0"/>
          <w:lang w:val="ru-RU"/>
        </w:rPr>
        <w:t>. 32 от 5.05.2015 г., в сила от 5.05.2015 г.)</w:t>
      </w:r>
      <w:r>
        <w:rPr>
          <w:kern w:val="0"/>
        </w:rPr>
        <w:t>, според който</w:t>
      </w:r>
      <w:r w:rsidR="000F5BF4">
        <w:rPr>
          <w:kern w:val="0"/>
        </w:rPr>
        <w:t xml:space="preserve"> ГД ОПОС</w:t>
      </w:r>
      <w:r w:rsidR="000F5BF4" w:rsidRPr="0001375C">
        <w:rPr>
          <w:kern w:val="0"/>
          <w:lang w:val="ru-RU"/>
        </w:rPr>
        <w:t xml:space="preserve"> </w:t>
      </w:r>
      <w:proofErr w:type="spellStart"/>
      <w:r w:rsidR="000F5BF4" w:rsidRPr="0001375C">
        <w:rPr>
          <w:kern w:val="0"/>
          <w:lang w:val="ru-RU"/>
        </w:rPr>
        <w:t>изпълнява</w:t>
      </w:r>
      <w:proofErr w:type="spellEnd"/>
      <w:r w:rsidR="000F5BF4" w:rsidRPr="0001375C">
        <w:rPr>
          <w:kern w:val="0"/>
          <w:lang w:val="ru-RU"/>
        </w:rPr>
        <w:t xml:space="preserve"> </w:t>
      </w:r>
      <w:proofErr w:type="spellStart"/>
      <w:r w:rsidR="000F5BF4" w:rsidRPr="0001375C">
        <w:rPr>
          <w:kern w:val="0"/>
          <w:lang w:val="ru-RU"/>
        </w:rPr>
        <w:t>функциите</w:t>
      </w:r>
      <w:proofErr w:type="spellEnd"/>
      <w:r w:rsidR="000F5BF4" w:rsidRPr="0001375C">
        <w:rPr>
          <w:kern w:val="0"/>
          <w:lang w:val="ru-RU"/>
        </w:rPr>
        <w:t xml:space="preserve"> на </w:t>
      </w:r>
      <w:proofErr w:type="spellStart"/>
      <w:r w:rsidR="000F5BF4" w:rsidRPr="0001375C">
        <w:rPr>
          <w:kern w:val="0"/>
          <w:lang w:val="ru-RU"/>
        </w:rPr>
        <w:t>Управляващ</w:t>
      </w:r>
      <w:proofErr w:type="spellEnd"/>
      <w:r w:rsidR="000F5BF4" w:rsidRPr="0001375C">
        <w:rPr>
          <w:kern w:val="0"/>
          <w:lang w:val="ru-RU"/>
        </w:rPr>
        <w:t xml:space="preserve"> орган</w:t>
      </w:r>
      <w:r w:rsidR="000F5BF4">
        <w:rPr>
          <w:kern w:val="0"/>
        </w:rPr>
        <w:t xml:space="preserve"> </w:t>
      </w:r>
      <w:r w:rsidR="000F5BF4" w:rsidRPr="0001375C">
        <w:rPr>
          <w:kern w:val="0"/>
          <w:lang w:val="ru-RU"/>
        </w:rPr>
        <w:t xml:space="preserve">на Оперативна </w:t>
      </w:r>
      <w:proofErr w:type="spellStart"/>
      <w:r w:rsidR="000F5BF4" w:rsidRPr="0001375C">
        <w:rPr>
          <w:kern w:val="0"/>
          <w:lang w:val="ru-RU"/>
        </w:rPr>
        <w:t>програма</w:t>
      </w:r>
      <w:proofErr w:type="spellEnd"/>
      <w:r w:rsidR="000F5BF4" w:rsidRPr="0001375C">
        <w:rPr>
          <w:kern w:val="0"/>
          <w:lang w:val="ru-RU"/>
        </w:rPr>
        <w:t xml:space="preserve"> "</w:t>
      </w:r>
      <w:proofErr w:type="spellStart"/>
      <w:r w:rsidR="000F5BF4" w:rsidRPr="0001375C">
        <w:rPr>
          <w:kern w:val="0"/>
          <w:lang w:val="ru-RU"/>
        </w:rPr>
        <w:t>Околна</w:t>
      </w:r>
      <w:proofErr w:type="spellEnd"/>
      <w:r w:rsidR="000F5BF4" w:rsidRPr="0001375C">
        <w:rPr>
          <w:kern w:val="0"/>
          <w:lang w:val="ru-RU"/>
        </w:rPr>
        <w:t xml:space="preserve"> среда" за </w:t>
      </w:r>
      <w:proofErr w:type="spellStart"/>
      <w:r w:rsidR="000F5BF4" w:rsidRPr="0001375C">
        <w:rPr>
          <w:kern w:val="0"/>
          <w:lang w:val="ru-RU"/>
        </w:rPr>
        <w:t>програмни</w:t>
      </w:r>
      <w:proofErr w:type="spellEnd"/>
      <w:r w:rsidR="000F5BF4" w:rsidRPr="0001375C">
        <w:rPr>
          <w:kern w:val="0"/>
          <w:lang w:val="ru-RU"/>
        </w:rPr>
        <w:t xml:space="preserve"> </w:t>
      </w:r>
      <w:proofErr w:type="spellStart"/>
      <w:r w:rsidR="000F5BF4" w:rsidRPr="0001375C">
        <w:rPr>
          <w:kern w:val="0"/>
          <w:lang w:val="ru-RU"/>
        </w:rPr>
        <w:t>периоди</w:t>
      </w:r>
      <w:proofErr w:type="spellEnd"/>
      <w:r w:rsidR="000F5BF4" w:rsidRPr="0001375C">
        <w:rPr>
          <w:kern w:val="0"/>
          <w:lang w:val="ru-RU"/>
        </w:rPr>
        <w:t xml:space="preserve"> 2007 – 2013 г. и 2014 – 2020 г. и </w:t>
      </w:r>
      <w:proofErr w:type="spellStart"/>
      <w:r w:rsidR="000F5BF4" w:rsidRPr="0001375C">
        <w:rPr>
          <w:kern w:val="0"/>
          <w:lang w:val="ru-RU"/>
        </w:rPr>
        <w:t>всички</w:t>
      </w:r>
      <w:proofErr w:type="spellEnd"/>
      <w:r w:rsidR="000F5BF4">
        <w:rPr>
          <w:kern w:val="0"/>
        </w:rPr>
        <w:t xml:space="preserve"> </w:t>
      </w:r>
      <w:proofErr w:type="spellStart"/>
      <w:r w:rsidR="000F5BF4" w:rsidRPr="0001375C">
        <w:rPr>
          <w:kern w:val="0"/>
          <w:lang w:val="ru-RU"/>
        </w:rPr>
        <w:t>произтичащи</w:t>
      </w:r>
      <w:proofErr w:type="spellEnd"/>
      <w:r w:rsidR="000F5BF4" w:rsidRPr="0001375C">
        <w:rPr>
          <w:kern w:val="0"/>
          <w:lang w:val="ru-RU"/>
        </w:rPr>
        <w:t xml:space="preserve"> от </w:t>
      </w:r>
      <w:proofErr w:type="spellStart"/>
      <w:r w:rsidR="000F5BF4" w:rsidRPr="0001375C">
        <w:rPr>
          <w:kern w:val="0"/>
          <w:lang w:val="ru-RU"/>
        </w:rPr>
        <w:t>това</w:t>
      </w:r>
      <w:proofErr w:type="spellEnd"/>
      <w:r w:rsidR="000F5BF4" w:rsidRPr="0001375C">
        <w:rPr>
          <w:kern w:val="0"/>
          <w:lang w:val="ru-RU"/>
        </w:rPr>
        <w:t xml:space="preserve"> </w:t>
      </w:r>
      <w:proofErr w:type="spellStart"/>
      <w:r w:rsidR="000F5BF4" w:rsidRPr="0001375C">
        <w:rPr>
          <w:kern w:val="0"/>
          <w:lang w:val="ru-RU"/>
        </w:rPr>
        <w:t>задължения</w:t>
      </w:r>
      <w:proofErr w:type="spellEnd"/>
      <w:r w:rsidR="000F5BF4" w:rsidRPr="0001375C">
        <w:rPr>
          <w:kern w:val="0"/>
          <w:lang w:val="ru-RU"/>
        </w:rPr>
        <w:t xml:space="preserve"> и </w:t>
      </w:r>
      <w:proofErr w:type="spellStart"/>
      <w:r w:rsidR="000F5BF4" w:rsidRPr="0001375C">
        <w:rPr>
          <w:kern w:val="0"/>
          <w:lang w:val="ru-RU"/>
        </w:rPr>
        <w:t>отговорности</w:t>
      </w:r>
      <w:proofErr w:type="spellEnd"/>
      <w:r w:rsidR="000F5BF4" w:rsidRPr="0001375C">
        <w:rPr>
          <w:kern w:val="0"/>
          <w:lang w:val="ru-RU"/>
        </w:rPr>
        <w:t xml:space="preserve"> </w:t>
      </w:r>
      <w:proofErr w:type="spellStart"/>
      <w:r w:rsidR="000F5BF4" w:rsidRPr="0001375C">
        <w:rPr>
          <w:kern w:val="0"/>
          <w:lang w:val="ru-RU"/>
        </w:rPr>
        <w:t>съгласно</w:t>
      </w:r>
      <w:proofErr w:type="spellEnd"/>
      <w:r w:rsidR="000F5BF4" w:rsidRPr="0001375C">
        <w:rPr>
          <w:kern w:val="0"/>
          <w:lang w:val="ru-RU"/>
        </w:rPr>
        <w:t xml:space="preserve"> </w:t>
      </w:r>
      <w:proofErr w:type="spellStart"/>
      <w:r w:rsidR="000F5BF4" w:rsidRPr="0001375C">
        <w:rPr>
          <w:kern w:val="0"/>
          <w:lang w:val="ru-RU"/>
        </w:rPr>
        <w:t>регламентите</w:t>
      </w:r>
      <w:proofErr w:type="spellEnd"/>
      <w:r w:rsidR="000F5BF4" w:rsidRPr="0001375C">
        <w:rPr>
          <w:kern w:val="0"/>
          <w:lang w:val="ru-RU"/>
        </w:rPr>
        <w:t xml:space="preserve"> на</w:t>
      </w:r>
      <w:r w:rsidR="00A87716">
        <w:rPr>
          <w:kern w:val="0"/>
        </w:rPr>
        <w:t xml:space="preserve"> ЕС и ЕСИФ</w:t>
      </w:r>
      <w:r w:rsidR="000F5BF4" w:rsidRPr="0001375C">
        <w:rPr>
          <w:kern w:val="0"/>
          <w:lang w:val="ru-RU"/>
        </w:rPr>
        <w:t>, в т. ч.</w:t>
      </w:r>
      <w:r w:rsidR="000F5BF4">
        <w:rPr>
          <w:kern w:val="0"/>
        </w:rPr>
        <w:t xml:space="preserve"> </w:t>
      </w:r>
      <w:proofErr w:type="spellStart"/>
      <w:r w:rsidR="000F5BF4" w:rsidRPr="0001375C">
        <w:rPr>
          <w:kern w:val="0"/>
          <w:lang w:val="ru-RU"/>
        </w:rPr>
        <w:t>организира</w:t>
      </w:r>
      <w:proofErr w:type="spellEnd"/>
      <w:r w:rsidR="000F5BF4" w:rsidRPr="0001375C">
        <w:rPr>
          <w:kern w:val="0"/>
          <w:lang w:val="ru-RU"/>
        </w:rPr>
        <w:t xml:space="preserve"> и </w:t>
      </w:r>
      <w:proofErr w:type="spellStart"/>
      <w:r w:rsidR="000F5BF4" w:rsidRPr="0001375C">
        <w:rPr>
          <w:kern w:val="0"/>
          <w:lang w:val="ru-RU"/>
        </w:rPr>
        <w:t>извършва</w:t>
      </w:r>
      <w:proofErr w:type="spellEnd"/>
      <w:r w:rsidR="000F5BF4" w:rsidRPr="0001375C">
        <w:rPr>
          <w:kern w:val="0"/>
          <w:lang w:val="ru-RU"/>
        </w:rPr>
        <w:t xml:space="preserve"> </w:t>
      </w:r>
      <w:proofErr w:type="spellStart"/>
      <w:r w:rsidR="000F5BF4" w:rsidRPr="0001375C">
        <w:rPr>
          <w:kern w:val="0"/>
          <w:lang w:val="ru-RU"/>
        </w:rPr>
        <w:t>междинни</w:t>
      </w:r>
      <w:proofErr w:type="spellEnd"/>
      <w:r w:rsidR="000F5BF4" w:rsidRPr="0001375C">
        <w:rPr>
          <w:kern w:val="0"/>
          <w:lang w:val="ru-RU"/>
        </w:rPr>
        <w:t xml:space="preserve"> и </w:t>
      </w:r>
      <w:proofErr w:type="spellStart"/>
      <w:r w:rsidR="000F5BF4" w:rsidRPr="0001375C">
        <w:rPr>
          <w:kern w:val="0"/>
          <w:lang w:val="ru-RU"/>
        </w:rPr>
        <w:t>окончателна</w:t>
      </w:r>
      <w:proofErr w:type="spellEnd"/>
      <w:r w:rsidR="000F5BF4" w:rsidRPr="0001375C">
        <w:rPr>
          <w:kern w:val="0"/>
          <w:lang w:val="ru-RU"/>
        </w:rPr>
        <w:t xml:space="preserve"> оценка на Оперативна </w:t>
      </w:r>
      <w:proofErr w:type="spellStart"/>
      <w:r w:rsidR="000F5BF4" w:rsidRPr="0001375C">
        <w:rPr>
          <w:kern w:val="0"/>
          <w:lang w:val="ru-RU"/>
        </w:rPr>
        <w:t>програма</w:t>
      </w:r>
      <w:proofErr w:type="spellEnd"/>
      <w:r w:rsidR="000F5BF4" w:rsidRPr="0001375C">
        <w:rPr>
          <w:kern w:val="0"/>
          <w:lang w:val="ru-RU"/>
        </w:rPr>
        <w:t xml:space="preserve"> "</w:t>
      </w:r>
      <w:proofErr w:type="spellStart"/>
      <w:r w:rsidR="000F5BF4" w:rsidRPr="0001375C">
        <w:rPr>
          <w:kern w:val="0"/>
          <w:lang w:val="ru-RU"/>
        </w:rPr>
        <w:t>Околна</w:t>
      </w:r>
      <w:proofErr w:type="spellEnd"/>
      <w:r w:rsidR="000F5BF4" w:rsidRPr="0001375C">
        <w:rPr>
          <w:kern w:val="0"/>
          <w:lang w:val="ru-RU"/>
        </w:rPr>
        <w:t xml:space="preserve"> среда" и</w:t>
      </w:r>
      <w:r w:rsidR="000F5BF4">
        <w:rPr>
          <w:kern w:val="0"/>
        </w:rPr>
        <w:t xml:space="preserve"> </w:t>
      </w:r>
      <w:proofErr w:type="spellStart"/>
      <w:r w:rsidR="000F5BF4" w:rsidRPr="0001375C">
        <w:rPr>
          <w:kern w:val="0"/>
          <w:lang w:val="ru-RU"/>
        </w:rPr>
        <w:t>изпълнява</w:t>
      </w:r>
      <w:proofErr w:type="spellEnd"/>
      <w:r w:rsidR="000F5BF4" w:rsidRPr="0001375C">
        <w:rPr>
          <w:kern w:val="0"/>
          <w:lang w:val="ru-RU"/>
        </w:rPr>
        <w:t xml:space="preserve"> </w:t>
      </w:r>
      <w:proofErr w:type="spellStart"/>
      <w:r w:rsidR="000F5BF4" w:rsidRPr="0001375C">
        <w:rPr>
          <w:kern w:val="0"/>
          <w:lang w:val="ru-RU"/>
        </w:rPr>
        <w:t>направените</w:t>
      </w:r>
      <w:proofErr w:type="spellEnd"/>
      <w:r w:rsidR="000F5BF4" w:rsidRPr="0001375C">
        <w:rPr>
          <w:kern w:val="0"/>
          <w:lang w:val="ru-RU"/>
        </w:rPr>
        <w:t xml:space="preserve"> </w:t>
      </w:r>
      <w:proofErr w:type="spellStart"/>
      <w:r w:rsidR="000F5BF4" w:rsidRPr="0001375C">
        <w:rPr>
          <w:kern w:val="0"/>
          <w:lang w:val="ru-RU"/>
        </w:rPr>
        <w:t>препоръки</w:t>
      </w:r>
      <w:proofErr w:type="spellEnd"/>
      <w:r w:rsidR="000F5BF4" w:rsidRPr="0001375C">
        <w:rPr>
          <w:kern w:val="0"/>
          <w:lang w:val="ru-RU"/>
        </w:rPr>
        <w:t xml:space="preserve"> от </w:t>
      </w:r>
      <w:proofErr w:type="spellStart"/>
      <w:r w:rsidR="000F5BF4" w:rsidRPr="0001375C">
        <w:rPr>
          <w:kern w:val="0"/>
          <w:lang w:val="ru-RU"/>
        </w:rPr>
        <w:t>тях</w:t>
      </w:r>
      <w:proofErr w:type="spellEnd"/>
      <w:r w:rsidR="000F5BF4">
        <w:rPr>
          <w:kern w:val="0"/>
        </w:rPr>
        <w:t>.</w:t>
      </w:r>
    </w:p>
    <w:p w:rsidR="001E2F02" w:rsidRDefault="008807C5" w:rsidP="00EB274A">
      <w:pPr>
        <w:jc w:val="both"/>
        <w:rPr>
          <w:rFonts w:eastAsia="Times New Roman"/>
          <w:color w:val="auto"/>
        </w:rPr>
      </w:pPr>
      <w:r>
        <w:rPr>
          <w:rFonts w:eastAsia="Times New Roman"/>
        </w:rPr>
        <w:lastRenderedPageBreak/>
        <w:t>В съответствие с действащите нормативни актове на европейско и национално ниво при осъществяване на общата отговорнос</w:t>
      </w:r>
      <w:r w:rsidR="009C2D9E">
        <w:rPr>
          <w:rFonts w:eastAsia="Times New Roman"/>
        </w:rPr>
        <w:t>т за провеждането на оценката</w:t>
      </w:r>
      <w:r>
        <w:rPr>
          <w:rFonts w:eastAsia="Times New Roman"/>
        </w:rPr>
        <w:t xml:space="preserve"> през програмния период </w:t>
      </w:r>
      <w:r w:rsidR="00C46D74">
        <w:rPr>
          <w:rFonts w:eastAsia="Times New Roman"/>
        </w:rPr>
        <w:t>УО</w:t>
      </w:r>
      <w:r>
        <w:rPr>
          <w:rFonts w:eastAsia="Times New Roman"/>
        </w:rPr>
        <w:t xml:space="preserve"> </w:t>
      </w:r>
      <w:r w:rsidR="001E2F02">
        <w:rPr>
          <w:rFonts w:eastAsia="Times New Roman"/>
        </w:rPr>
        <w:t xml:space="preserve">ще </w:t>
      </w:r>
      <w:r>
        <w:rPr>
          <w:rFonts w:eastAsia="Times New Roman"/>
        </w:rPr>
        <w:t xml:space="preserve">изпълнява следните </w:t>
      </w:r>
      <w:r w:rsidRPr="008807C5">
        <w:rPr>
          <w:rFonts w:eastAsia="Times New Roman"/>
          <w:b/>
          <w:i/>
          <w:color w:val="5B6973" w:themeColor="text2"/>
        </w:rPr>
        <w:t>конкретни отговорности</w:t>
      </w:r>
      <w:r>
        <w:rPr>
          <w:rFonts w:eastAsia="Times New Roman"/>
        </w:rPr>
        <w:t xml:space="preserve">: </w:t>
      </w:r>
    </w:p>
    <w:p w:rsidR="00962759" w:rsidRDefault="00962759" w:rsidP="00EB274A">
      <w:pPr>
        <w:pStyle w:val="ListBullet"/>
        <w:jc w:val="both"/>
      </w:pPr>
      <w:r>
        <w:t xml:space="preserve">осигуряване разработването, </w:t>
      </w:r>
      <w:r w:rsidR="002F1C5C">
        <w:t xml:space="preserve">съгласуването с КН на ОПОС, </w:t>
      </w:r>
      <w:r>
        <w:t xml:space="preserve">изпълнението и проследяването на резултатите от </w:t>
      </w:r>
      <w:r w:rsidR="00F12FE4">
        <w:t xml:space="preserve">осъществяването на </w:t>
      </w:r>
      <w:r>
        <w:t>Плана за оценка на ОПОС</w:t>
      </w:r>
    </w:p>
    <w:p w:rsidR="00962759" w:rsidRDefault="00962759" w:rsidP="00EB274A">
      <w:pPr>
        <w:pStyle w:val="ListBullet"/>
        <w:jc w:val="both"/>
      </w:pPr>
      <w:r>
        <w:t>актуализация и внасяне на изменения в Плана за оценка на ОПОС</w:t>
      </w:r>
      <w:r w:rsidR="002F1C5C">
        <w:t xml:space="preserve"> при съгласуване с КН на ОПОС в случай на обстоятелст</w:t>
      </w:r>
      <w:r w:rsidR="0096728F">
        <w:t>в</w:t>
      </w:r>
      <w:r w:rsidR="002F1C5C">
        <w:t>а, налагащи преразглеждане на заложените оценки</w:t>
      </w:r>
      <w:r>
        <w:t>;</w:t>
      </w:r>
    </w:p>
    <w:p w:rsidR="001E2F02" w:rsidRDefault="001E2F02" w:rsidP="00EB274A">
      <w:pPr>
        <w:pStyle w:val="ListBullet"/>
        <w:jc w:val="both"/>
      </w:pPr>
      <w:r>
        <w:t xml:space="preserve">изпълнение на планираните </w:t>
      </w:r>
      <w:r w:rsidR="00962759">
        <w:t>оценки в П</w:t>
      </w:r>
      <w:r>
        <w:t xml:space="preserve">лана за оценка </w:t>
      </w:r>
      <w:r w:rsidR="00962759">
        <w:t xml:space="preserve">на ОПОС и </w:t>
      </w:r>
      <w:r>
        <w:t>гарантиране на тяхното качество;</w:t>
      </w:r>
    </w:p>
    <w:p w:rsidR="00E30021" w:rsidRDefault="00E30021" w:rsidP="00EB274A">
      <w:pPr>
        <w:pStyle w:val="ListBullet"/>
        <w:jc w:val="both"/>
      </w:pPr>
      <w:r>
        <w:t xml:space="preserve">текущо проследяване на необходимостта от провеждане на допълнителни </w:t>
      </w:r>
      <w:r>
        <w:rPr>
          <w:lang w:val="en-US"/>
        </w:rPr>
        <w:t>ad</w:t>
      </w:r>
      <w:r w:rsidRPr="0001375C">
        <w:rPr>
          <w:lang w:val="ru-RU"/>
        </w:rPr>
        <w:t xml:space="preserve"> </w:t>
      </w:r>
      <w:r>
        <w:rPr>
          <w:lang w:val="en-US"/>
        </w:rPr>
        <w:t>hoc</w:t>
      </w:r>
      <w:r w:rsidRPr="0001375C">
        <w:rPr>
          <w:lang w:val="ru-RU"/>
        </w:rPr>
        <w:t xml:space="preserve"> </w:t>
      </w:r>
      <w:r>
        <w:t>оценки с оглед на динамиката на потребностите, свързани с оценката на ОПОС 2014-2020</w:t>
      </w:r>
      <w:r w:rsidR="008D6B91" w:rsidRPr="0001375C">
        <w:rPr>
          <w:lang w:val="ru-RU"/>
        </w:rPr>
        <w:t xml:space="preserve"> </w:t>
      </w:r>
      <w:r w:rsidR="008D6B91">
        <w:t>г.</w:t>
      </w:r>
    </w:p>
    <w:p w:rsidR="001E2F02" w:rsidRDefault="002F1C5C" w:rsidP="00EB274A">
      <w:pPr>
        <w:pStyle w:val="ListBullet"/>
        <w:jc w:val="both"/>
      </w:pPr>
      <w:r>
        <w:t xml:space="preserve">финансово обезпечаване на качественото изпълнение на процеса на оценка през програмния период </w:t>
      </w:r>
      <w:r w:rsidR="001E2F02">
        <w:t xml:space="preserve">по линия на </w:t>
      </w:r>
      <w:r>
        <w:t>Приоритетна ос 6 „Техническа</w:t>
      </w:r>
      <w:r w:rsidR="001E2F02">
        <w:t xml:space="preserve"> помощ</w:t>
      </w:r>
      <w:r>
        <w:t>” на ОПОС 2014-2020 г.</w:t>
      </w:r>
      <w:r w:rsidR="001E2F02">
        <w:t>;</w:t>
      </w:r>
    </w:p>
    <w:p w:rsidR="002943C7" w:rsidRDefault="002943C7" w:rsidP="00EB274A">
      <w:pPr>
        <w:pStyle w:val="ListBullet"/>
        <w:jc w:val="both"/>
      </w:pPr>
      <w:r>
        <w:t xml:space="preserve">осигуряване на необходимите човешки ресурси и административен капацитет за целите на оценката, </w:t>
      </w:r>
      <w:r w:rsidR="008D6B91">
        <w:t>планиране и провеждане на специализирани обучения</w:t>
      </w:r>
      <w:r>
        <w:t xml:space="preserve"> на служителите, ангажирани с оценката на ОПОС 2014-2020 г.</w:t>
      </w:r>
      <w:r w:rsidR="008D6B91">
        <w:t>, в рамките на Годишния план за обучение на ГД ОПОС</w:t>
      </w:r>
      <w:r w:rsidR="00BF074F">
        <w:t>;</w:t>
      </w:r>
    </w:p>
    <w:p w:rsidR="001E2F02" w:rsidRDefault="001E2F02" w:rsidP="00EB274A">
      <w:pPr>
        <w:pStyle w:val="ListBullet"/>
        <w:jc w:val="both"/>
      </w:pPr>
      <w:r>
        <w:t>осигуряване на процеса на събиране, отчитане, анализиране на данни, необходими за оценката. В изпълнение на функцията си по наблюдение, УО следва да координира дейностите по събиране на данни и оценка с информацията от наблюдението/оценката на прилагането на различните оперативни програми, финансирани по ЕСИФ;</w:t>
      </w:r>
    </w:p>
    <w:p w:rsidR="002943C7" w:rsidRDefault="002943C7" w:rsidP="00EB274A">
      <w:pPr>
        <w:pStyle w:val="ListBullet"/>
        <w:jc w:val="both"/>
      </w:pPr>
      <w:r>
        <w:t>предоставяне на резултатите от проведените оценки на КН на ОПОС и ЕК  и проследяване изпълнението на препоръките в оценки</w:t>
      </w:r>
      <w:r w:rsidR="008D6B91">
        <w:t>те</w:t>
      </w:r>
      <w:r>
        <w:t>, предприетите мерки за отразяването им и постигнатите резултати;</w:t>
      </w:r>
    </w:p>
    <w:p w:rsidR="002943C7" w:rsidRDefault="00BA34E6" w:rsidP="00EB274A">
      <w:pPr>
        <w:pStyle w:val="ListBullet"/>
        <w:jc w:val="both"/>
      </w:pPr>
      <w:r>
        <w:t>изготвяне и представяне на ЕК на доклад, обобщаващ констатациите от всички оценки на ОПОС</w:t>
      </w:r>
      <w:r w:rsidR="008D6B91">
        <w:t xml:space="preserve"> 2014-2020 г.</w:t>
      </w:r>
      <w:r>
        <w:t>, извършени през програмния период и основните крайни продукти и резултати от оперативната програма, до 31.12.2022 г.</w:t>
      </w:r>
      <w:r w:rsidR="00BF074F">
        <w:t>;</w:t>
      </w:r>
    </w:p>
    <w:p w:rsidR="001E2F02" w:rsidRDefault="002943C7" w:rsidP="00EB274A">
      <w:pPr>
        <w:pStyle w:val="ListBullet"/>
        <w:jc w:val="both"/>
      </w:pPr>
      <w:r>
        <w:t>обезпечаване координацията</w:t>
      </w:r>
      <w:r w:rsidR="001E2F02">
        <w:t xml:space="preserve"> на дейностите по оценка</w:t>
      </w:r>
      <w:r>
        <w:t xml:space="preserve"> на ОПОС</w:t>
      </w:r>
      <w:r w:rsidR="001E2F02">
        <w:t xml:space="preserve"> с тези по СП и останалите оперативни програми</w:t>
      </w:r>
      <w:r>
        <w:t xml:space="preserve"> </w:t>
      </w:r>
      <w:r w:rsidR="008D6B91">
        <w:t>чрез</w:t>
      </w:r>
      <w:r>
        <w:t xml:space="preserve"> участието на представители на </w:t>
      </w:r>
      <w:r w:rsidR="00C46D74">
        <w:t>УО</w:t>
      </w:r>
      <w:r>
        <w:t xml:space="preserve"> в Постоянната междуведомствена работна група за оценка на ЕСИФ 2014-2020 г.</w:t>
      </w:r>
      <w:r w:rsidR="008D6B91">
        <w:t xml:space="preserve"> към МС</w:t>
      </w:r>
      <w:r w:rsidR="001E2F02">
        <w:t>;</w:t>
      </w:r>
    </w:p>
    <w:p w:rsidR="002943C7" w:rsidRDefault="002943C7" w:rsidP="00EB274A">
      <w:pPr>
        <w:pStyle w:val="ListBullet"/>
        <w:jc w:val="both"/>
      </w:pPr>
      <w:r>
        <w:lastRenderedPageBreak/>
        <w:t>предприемане на действия за изпълнение на отправени препоръки от страна на КН на ОПОС по процеса на оценка и отчитане на напредъка по изпълнението на препоръките;</w:t>
      </w:r>
    </w:p>
    <w:p w:rsidR="00CC557C" w:rsidRPr="001A791B" w:rsidRDefault="001E2F02" w:rsidP="00EB274A">
      <w:pPr>
        <w:pStyle w:val="ListBullet"/>
        <w:jc w:val="both"/>
      </w:pPr>
      <w:r>
        <w:t xml:space="preserve">публикуване и разпространяване на резултатите от </w:t>
      </w:r>
      <w:r w:rsidR="002943C7">
        <w:t>оценките на ОПОС 2014-2020 г</w:t>
      </w:r>
      <w:r>
        <w:t>.</w:t>
      </w:r>
    </w:p>
    <w:p w:rsidR="009C2D9E" w:rsidRDefault="002B6F95" w:rsidP="00EB274A">
      <w:pPr>
        <w:jc w:val="both"/>
      </w:pPr>
      <w:r>
        <w:t xml:space="preserve">В рамките на </w:t>
      </w:r>
      <w:r w:rsidR="00C46D74">
        <w:t>УО</w:t>
      </w:r>
      <w:r>
        <w:t xml:space="preserve"> конкретните функции и отговорности във връзка с оценката на програмата през програмния период се изпълняват от </w:t>
      </w:r>
      <w:r w:rsidR="00CC557C" w:rsidRPr="001A791B">
        <w:rPr>
          <w:b/>
          <w:i/>
          <w:color w:val="5B6973" w:themeColor="text2"/>
          <w:lang w:val="ru-RU" w:eastAsia="ar-SA"/>
        </w:rPr>
        <w:t>Отдел „</w:t>
      </w:r>
      <w:proofErr w:type="spellStart"/>
      <w:r w:rsidR="00CC557C" w:rsidRPr="001A791B">
        <w:rPr>
          <w:b/>
          <w:i/>
          <w:color w:val="5B6973" w:themeColor="text2"/>
          <w:lang w:val="ru-RU" w:eastAsia="ar-SA"/>
        </w:rPr>
        <w:t>Програмиране</w:t>
      </w:r>
      <w:proofErr w:type="spellEnd"/>
      <w:r w:rsidR="00CC557C" w:rsidRPr="001A791B">
        <w:rPr>
          <w:b/>
          <w:i/>
          <w:color w:val="5B6973" w:themeColor="text2"/>
          <w:lang w:val="ru-RU" w:eastAsia="ar-SA"/>
        </w:rPr>
        <w:t xml:space="preserve"> и </w:t>
      </w:r>
      <w:proofErr w:type="spellStart"/>
      <w:r w:rsidR="00CC557C" w:rsidRPr="001A791B">
        <w:rPr>
          <w:b/>
          <w:i/>
          <w:color w:val="5B6973" w:themeColor="text2"/>
          <w:lang w:val="ru-RU" w:eastAsia="ar-SA"/>
        </w:rPr>
        <w:t>планиране</w:t>
      </w:r>
      <w:proofErr w:type="spellEnd"/>
      <w:r w:rsidR="00CC557C" w:rsidRPr="001A791B">
        <w:rPr>
          <w:b/>
          <w:i/>
          <w:color w:val="5B6973" w:themeColor="text2"/>
          <w:lang w:val="ru-RU" w:eastAsia="ar-SA"/>
        </w:rPr>
        <w:t>”</w:t>
      </w:r>
      <w:r w:rsidRPr="001A791B">
        <w:rPr>
          <w:b/>
          <w:i/>
          <w:color w:val="5B6973" w:themeColor="text2"/>
          <w:lang w:val="ru-RU" w:eastAsia="ar-SA"/>
        </w:rPr>
        <w:t xml:space="preserve"> </w:t>
      </w:r>
      <w:r w:rsidRPr="0001375C">
        <w:rPr>
          <w:lang w:val="ru-RU" w:eastAsia="ar-SA"/>
        </w:rPr>
        <w:t>(</w:t>
      </w:r>
      <w:r w:rsidR="000A2A85">
        <w:rPr>
          <w:lang w:eastAsia="ar-SA"/>
        </w:rPr>
        <w:t xml:space="preserve">отдел </w:t>
      </w:r>
      <w:r>
        <w:rPr>
          <w:lang w:eastAsia="ar-SA"/>
        </w:rPr>
        <w:t>ПП</w:t>
      </w:r>
      <w:r w:rsidRPr="0001375C">
        <w:rPr>
          <w:lang w:val="ru-RU" w:eastAsia="ar-SA"/>
        </w:rPr>
        <w:t>)</w:t>
      </w:r>
      <w:r>
        <w:rPr>
          <w:lang w:val="ru-RU" w:eastAsia="ar-SA"/>
        </w:rPr>
        <w:t xml:space="preserve"> в ГД ОПОС.</w:t>
      </w:r>
      <w:r w:rsidR="00CC557C">
        <w:rPr>
          <w:lang w:val="ru-RU" w:eastAsia="ar-SA"/>
        </w:rPr>
        <w:t xml:space="preserve"> </w:t>
      </w:r>
      <w:r w:rsidR="001A791B">
        <w:rPr>
          <w:lang w:val="ru-RU" w:eastAsia="ar-SA"/>
        </w:rPr>
        <w:t xml:space="preserve">Подробно описание на структурата и </w:t>
      </w:r>
      <w:proofErr w:type="spellStart"/>
      <w:r w:rsidR="001A791B">
        <w:rPr>
          <w:lang w:val="ru-RU" w:eastAsia="ar-SA"/>
        </w:rPr>
        <w:t>функциите</w:t>
      </w:r>
      <w:proofErr w:type="spellEnd"/>
      <w:r w:rsidR="001A791B">
        <w:rPr>
          <w:lang w:val="ru-RU" w:eastAsia="ar-SA"/>
        </w:rPr>
        <w:t xml:space="preserve"> на </w:t>
      </w:r>
      <w:r w:rsidR="009C2D9E">
        <w:t xml:space="preserve"> отдел </w:t>
      </w:r>
      <w:r>
        <w:t>ПП</w:t>
      </w:r>
      <w:r w:rsidR="001A791B">
        <w:t>, включително и в областта на оценката,</w:t>
      </w:r>
      <w:r>
        <w:t xml:space="preserve"> </w:t>
      </w:r>
      <w:r w:rsidR="001A791B">
        <w:t xml:space="preserve">се съдържа в СУК, версия 1 към 16.03.2016 г. </w:t>
      </w:r>
    </w:p>
    <w:p w:rsidR="001A791B" w:rsidRDefault="009C2D9E" w:rsidP="00EB274A">
      <w:pPr>
        <w:jc w:val="both"/>
        <w:rPr>
          <w:lang w:val="ru-RU"/>
        </w:rPr>
      </w:pPr>
      <w:r>
        <w:t xml:space="preserve">Съгласно СУК отдел </w:t>
      </w:r>
      <w:r w:rsidR="001A791B">
        <w:t xml:space="preserve">ПП </w:t>
      </w:r>
      <w:proofErr w:type="spellStart"/>
      <w:r w:rsidR="00CC557C">
        <w:rPr>
          <w:lang w:val="ru-RU"/>
        </w:rPr>
        <w:t>отговаря</w:t>
      </w:r>
      <w:proofErr w:type="spellEnd"/>
      <w:r w:rsidR="00CC557C">
        <w:rPr>
          <w:lang w:val="ru-RU"/>
        </w:rPr>
        <w:t xml:space="preserve"> за </w:t>
      </w:r>
      <w:proofErr w:type="spellStart"/>
      <w:r w:rsidR="00CC557C">
        <w:rPr>
          <w:lang w:val="ru-RU"/>
        </w:rPr>
        <w:t>дейностите</w:t>
      </w:r>
      <w:proofErr w:type="spellEnd"/>
      <w:r w:rsidR="00CC557C">
        <w:rPr>
          <w:lang w:val="ru-RU"/>
        </w:rPr>
        <w:t xml:space="preserve"> по подготовка, координация, </w:t>
      </w:r>
      <w:proofErr w:type="spellStart"/>
      <w:r w:rsidR="00CC557C">
        <w:rPr>
          <w:lang w:val="ru-RU"/>
        </w:rPr>
        <w:t>съгласуване</w:t>
      </w:r>
      <w:proofErr w:type="spellEnd"/>
      <w:r w:rsidR="00CC557C">
        <w:rPr>
          <w:lang w:val="ru-RU"/>
        </w:rPr>
        <w:t xml:space="preserve"> с </w:t>
      </w:r>
      <w:proofErr w:type="spellStart"/>
      <w:r w:rsidR="00CC557C">
        <w:rPr>
          <w:lang w:val="ru-RU"/>
        </w:rPr>
        <w:t>други</w:t>
      </w:r>
      <w:proofErr w:type="spellEnd"/>
      <w:r w:rsidR="00CC557C">
        <w:rPr>
          <w:lang w:val="ru-RU"/>
        </w:rPr>
        <w:t xml:space="preserve"> </w:t>
      </w:r>
      <w:proofErr w:type="spellStart"/>
      <w:r w:rsidR="00CC557C">
        <w:rPr>
          <w:lang w:val="ru-RU"/>
        </w:rPr>
        <w:t>програмни</w:t>
      </w:r>
      <w:proofErr w:type="spellEnd"/>
      <w:r w:rsidR="00CC557C">
        <w:rPr>
          <w:lang w:val="ru-RU"/>
        </w:rPr>
        <w:t xml:space="preserve"> </w:t>
      </w:r>
      <w:proofErr w:type="spellStart"/>
      <w:r w:rsidR="00CC557C">
        <w:rPr>
          <w:lang w:val="ru-RU"/>
        </w:rPr>
        <w:t>документи</w:t>
      </w:r>
      <w:proofErr w:type="spellEnd"/>
      <w:r w:rsidR="00CC557C">
        <w:rPr>
          <w:lang w:val="ru-RU"/>
        </w:rPr>
        <w:t xml:space="preserve"> и </w:t>
      </w:r>
      <w:proofErr w:type="spellStart"/>
      <w:r w:rsidR="00CC557C">
        <w:rPr>
          <w:lang w:val="ru-RU"/>
        </w:rPr>
        <w:t>извършване</w:t>
      </w:r>
      <w:proofErr w:type="spellEnd"/>
      <w:r w:rsidR="00CC557C">
        <w:rPr>
          <w:lang w:val="ru-RU"/>
        </w:rPr>
        <w:t xml:space="preserve"> на оценки на </w:t>
      </w:r>
      <w:proofErr w:type="spellStart"/>
      <w:r w:rsidR="00CC557C">
        <w:rPr>
          <w:lang w:val="ru-RU"/>
        </w:rPr>
        <w:t>оперативна</w:t>
      </w:r>
      <w:r w:rsidR="008D6B91">
        <w:rPr>
          <w:lang w:val="ru-RU"/>
        </w:rPr>
        <w:t>та</w:t>
      </w:r>
      <w:proofErr w:type="spellEnd"/>
      <w:r w:rsidR="00CC557C">
        <w:rPr>
          <w:lang w:val="ru-RU"/>
        </w:rPr>
        <w:t xml:space="preserve"> </w:t>
      </w:r>
      <w:proofErr w:type="spellStart"/>
      <w:r w:rsidR="00CC557C">
        <w:rPr>
          <w:lang w:val="ru-RU"/>
        </w:rPr>
        <w:t>програма</w:t>
      </w:r>
      <w:proofErr w:type="spellEnd"/>
      <w:r w:rsidR="00CC557C">
        <w:rPr>
          <w:lang w:val="ru-RU"/>
        </w:rPr>
        <w:t xml:space="preserve"> в сектор „</w:t>
      </w:r>
      <w:proofErr w:type="spellStart"/>
      <w:r w:rsidR="00CC557C">
        <w:rPr>
          <w:lang w:val="ru-RU"/>
        </w:rPr>
        <w:t>околна</w:t>
      </w:r>
      <w:proofErr w:type="spellEnd"/>
      <w:r w:rsidR="00CC557C">
        <w:rPr>
          <w:lang w:val="ru-RU"/>
        </w:rPr>
        <w:t xml:space="preserve"> среда“ за </w:t>
      </w:r>
      <w:proofErr w:type="spellStart"/>
      <w:r w:rsidR="00CC557C">
        <w:rPr>
          <w:lang w:val="ru-RU"/>
        </w:rPr>
        <w:t>съответния</w:t>
      </w:r>
      <w:proofErr w:type="spellEnd"/>
      <w:r w:rsidR="00CC557C">
        <w:rPr>
          <w:lang w:val="ru-RU"/>
        </w:rPr>
        <w:t xml:space="preserve"> </w:t>
      </w:r>
      <w:proofErr w:type="spellStart"/>
      <w:r w:rsidR="00CC557C">
        <w:rPr>
          <w:lang w:val="ru-RU"/>
        </w:rPr>
        <w:t>програмен</w:t>
      </w:r>
      <w:proofErr w:type="spellEnd"/>
      <w:r w:rsidR="00CC557C">
        <w:rPr>
          <w:lang w:val="ru-RU"/>
        </w:rPr>
        <w:t xml:space="preserve"> период на кохезионната политика на ЕС (</w:t>
      </w:r>
      <w:proofErr w:type="spellStart"/>
      <w:r w:rsidR="00CC557C">
        <w:rPr>
          <w:lang w:val="ru-RU"/>
        </w:rPr>
        <w:t>оперативната</w:t>
      </w:r>
      <w:proofErr w:type="spellEnd"/>
      <w:r w:rsidR="00CC557C">
        <w:rPr>
          <w:lang w:val="ru-RU"/>
        </w:rPr>
        <w:t xml:space="preserve"> </w:t>
      </w:r>
      <w:proofErr w:type="spellStart"/>
      <w:r w:rsidR="00CC557C">
        <w:rPr>
          <w:lang w:val="ru-RU"/>
        </w:rPr>
        <w:t>програма</w:t>
      </w:r>
      <w:proofErr w:type="spellEnd"/>
      <w:r w:rsidR="00CC557C">
        <w:rPr>
          <w:lang w:val="ru-RU"/>
        </w:rPr>
        <w:t xml:space="preserve">), вкл. </w:t>
      </w:r>
      <w:proofErr w:type="gramStart"/>
      <w:r w:rsidR="00CC557C">
        <w:rPr>
          <w:lang w:val="ru-RU"/>
        </w:rPr>
        <w:t>на</w:t>
      </w:r>
      <w:proofErr w:type="gramEnd"/>
      <w:r w:rsidR="00CC557C">
        <w:rPr>
          <w:lang w:val="ru-RU"/>
        </w:rPr>
        <w:t xml:space="preserve"> оперативна </w:t>
      </w:r>
      <w:proofErr w:type="spellStart"/>
      <w:r w:rsidR="00CC557C">
        <w:rPr>
          <w:lang w:val="ru-RU"/>
        </w:rPr>
        <w:t>програма</w:t>
      </w:r>
      <w:proofErr w:type="spellEnd"/>
      <w:r w:rsidR="00CC557C">
        <w:rPr>
          <w:lang w:val="ru-RU"/>
        </w:rPr>
        <w:t xml:space="preserve"> „</w:t>
      </w:r>
      <w:proofErr w:type="spellStart"/>
      <w:r w:rsidR="00CC557C">
        <w:rPr>
          <w:lang w:val="ru-RU"/>
        </w:rPr>
        <w:t>Околна</w:t>
      </w:r>
      <w:proofErr w:type="spellEnd"/>
      <w:r w:rsidR="00CC557C">
        <w:rPr>
          <w:lang w:val="ru-RU"/>
        </w:rPr>
        <w:t xml:space="preserve"> среда 2014-2020</w:t>
      </w:r>
      <w:r w:rsidR="008D6B91">
        <w:rPr>
          <w:lang w:val="ru-RU"/>
        </w:rPr>
        <w:t xml:space="preserve"> </w:t>
      </w:r>
      <w:r w:rsidR="00CC557C">
        <w:rPr>
          <w:lang w:val="ru-RU"/>
        </w:rPr>
        <w:t xml:space="preserve">г.“, при </w:t>
      </w:r>
      <w:proofErr w:type="spellStart"/>
      <w:r w:rsidR="00CC557C">
        <w:rPr>
          <w:lang w:val="ru-RU"/>
        </w:rPr>
        <w:t>спазване</w:t>
      </w:r>
      <w:proofErr w:type="spellEnd"/>
      <w:r w:rsidR="00CC557C">
        <w:rPr>
          <w:lang w:val="ru-RU"/>
        </w:rPr>
        <w:t xml:space="preserve"> принципа на </w:t>
      </w:r>
      <w:proofErr w:type="spellStart"/>
      <w:r w:rsidR="00CC557C">
        <w:rPr>
          <w:lang w:val="ru-RU"/>
        </w:rPr>
        <w:t>партньорство</w:t>
      </w:r>
      <w:proofErr w:type="spellEnd"/>
      <w:r w:rsidR="00CC557C">
        <w:rPr>
          <w:lang w:val="ru-RU"/>
        </w:rPr>
        <w:t xml:space="preserve"> и </w:t>
      </w:r>
      <w:proofErr w:type="spellStart"/>
      <w:r w:rsidR="00CC557C">
        <w:rPr>
          <w:lang w:val="ru-RU"/>
        </w:rPr>
        <w:t>планира</w:t>
      </w:r>
      <w:proofErr w:type="spellEnd"/>
      <w:r w:rsidR="00CC557C">
        <w:rPr>
          <w:lang w:val="ru-RU"/>
        </w:rPr>
        <w:t xml:space="preserve"> </w:t>
      </w:r>
      <w:proofErr w:type="spellStart"/>
      <w:r w:rsidR="00CC557C">
        <w:rPr>
          <w:lang w:val="ru-RU"/>
        </w:rPr>
        <w:t>провеждането</w:t>
      </w:r>
      <w:proofErr w:type="spellEnd"/>
      <w:r w:rsidR="00CC557C">
        <w:rPr>
          <w:lang w:val="ru-RU"/>
        </w:rPr>
        <w:t xml:space="preserve"> на </w:t>
      </w:r>
      <w:proofErr w:type="spellStart"/>
      <w:r w:rsidR="00CC557C">
        <w:rPr>
          <w:lang w:val="ru-RU"/>
        </w:rPr>
        <w:t>процедури</w:t>
      </w:r>
      <w:proofErr w:type="spellEnd"/>
      <w:r w:rsidR="00CC557C">
        <w:rPr>
          <w:lang w:val="ru-RU"/>
        </w:rPr>
        <w:t xml:space="preserve"> по </w:t>
      </w:r>
      <w:proofErr w:type="spellStart"/>
      <w:r w:rsidR="00CC557C">
        <w:rPr>
          <w:lang w:val="ru-RU"/>
        </w:rPr>
        <w:t>програмата</w:t>
      </w:r>
      <w:proofErr w:type="spellEnd"/>
      <w:r w:rsidR="00CC557C">
        <w:rPr>
          <w:lang w:val="ru-RU"/>
        </w:rPr>
        <w:t xml:space="preserve">. </w:t>
      </w:r>
    </w:p>
    <w:p w:rsidR="00CC557C" w:rsidRPr="001A791B" w:rsidRDefault="009C2D9E" w:rsidP="00EB274A">
      <w:pPr>
        <w:jc w:val="both"/>
        <w:rPr>
          <w:b/>
          <w:i/>
          <w:color w:val="5B6973" w:themeColor="text2"/>
        </w:rPr>
      </w:pPr>
      <w:r>
        <w:rPr>
          <w:b/>
          <w:i/>
          <w:color w:val="5B6973" w:themeColor="text2"/>
          <w:lang w:val="ru-RU"/>
        </w:rPr>
        <w:t xml:space="preserve">В </w:t>
      </w:r>
      <w:proofErr w:type="spellStart"/>
      <w:r>
        <w:rPr>
          <w:b/>
          <w:i/>
          <w:color w:val="5B6973" w:themeColor="text2"/>
          <w:lang w:val="ru-RU"/>
        </w:rPr>
        <w:t>областта</w:t>
      </w:r>
      <w:proofErr w:type="spellEnd"/>
      <w:r>
        <w:rPr>
          <w:b/>
          <w:i/>
          <w:color w:val="5B6973" w:themeColor="text2"/>
          <w:lang w:val="ru-RU"/>
        </w:rPr>
        <w:t xml:space="preserve"> на </w:t>
      </w:r>
      <w:proofErr w:type="spellStart"/>
      <w:r>
        <w:rPr>
          <w:b/>
          <w:i/>
          <w:color w:val="5B6973" w:themeColor="text2"/>
          <w:lang w:val="ru-RU"/>
        </w:rPr>
        <w:t>оценката</w:t>
      </w:r>
      <w:proofErr w:type="spellEnd"/>
      <w:r>
        <w:rPr>
          <w:b/>
          <w:i/>
          <w:color w:val="5B6973" w:themeColor="text2"/>
          <w:lang w:val="ru-RU"/>
        </w:rPr>
        <w:t xml:space="preserve"> отдел </w:t>
      </w:r>
      <w:r w:rsidR="001A791B" w:rsidRPr="001A791B">
        <w:rPr>
          <w:b/>
          <w:i/>
          <w:color w:val="5B6973" w:themeColor="text2"/>
          <w:lang w:val="ru-RU"/>
        </w:rPr>
        <w:t xml:space="preserve">ПП </w:t>
      </w:r>
      <w:r w:rsidR="00CC557C" w:rsidRPr="001A791B">
        <w:rPr>
          <w:b/>
          <w:i/>
          <w:color w:val="5B6973" w:themeColor="text2"/>
        </w:rPr>
        <w:t xml:space="preserve">има следните </w:t>
      </w:r>
      <w:r w:rsidR="001A791B" w:rsidRPr="001A791B">
        <w:rPr>
          <w:b/>
          <w:i/>
          <w:color w:val="5B6973" w:themeColor="text2"/>
        </w:rPr>
        <w:t xml:space="preserve">конкретни </w:t>
      </w:r>
      <w:r w:rsidR="00CC557C" w:rsidRPr="001A791B">
        <w:rPr>
          <w:b/>
          <w:i/>
          <w:color w:val="5B6973" w:themeColor="text2"/>
        </w:rPr>
        <w:t>задължения:</w:t>
      </w:r>
    </w:p>
    <w:p w:rsidR="001A791B" w:rsidRPr="001A791B" w:rsidRDefault="001A791B" w:rsidP="00EB274A">
      <w:pPr>
        <w:pStyle w:val="ListBullet"/>
        <w:jc w:val="both"/>
        <w:rPr>
          <w:lang w:val="ru-RU"/>
        </w:rPr>
      </w:pPr>
      <w:proofErr w:type="spellStart"/>
      <w:r w:rsidRPr="001A791B">
        <w:rPr>
          <w:lang w:val="ru-RU"/>
        </w:rPr>
        <w:t>организира</w:t>
      </w:r>
      <w:proofErr w:type="spellEnd"/>
      <w:r w:rsidRPr="001A791B">
        <w:rPr>
          <w:lang w:val="ru-RU"/>
        </w:rPr>
        <w:t xml:space="preserve"> </w:t>
      </w:r>
      <w:proofErr w:type="spellStart"/>
      <w:r w:rsidRPr="001A791B">
        <w:rPr>
          <w:lang w:val="ru-RU"/>
        </w:rPr>
        <w:t>разработването</w:t>
      </w:r>
      <w:proofErr w:type="spellEnd"/>
      <w:r w:rsidRPr="001A791B">
        <w:rPr>
          <w:lang w:val="ru-RU"/>
        </w:rPr>
        <w:t xml:space="preserve">, </w:t>
      </w:r>
      <w:proofErr w:type="spellStart"/>
      <w:r w:rsidRPr="001A791B">
        <w:rPr>
          <w:lang w:val="ru-RU"/>
        </w:rPr>
        <w:t>одобрението</w:t>
      </w:r>
      <w:proofErr w:type="spellEnd"/>
      <w:r w:rsidRPr="001A791B">
        <w:rPr>
          <w:lang w:val="ru-RU"/>
        </w:rPr>
        <w:t xml:space="preserve"> и, пр</w:t>
      </w:r>
      <w:r>
        <w:rPr>
          <w:lang w:val="ru-RU"/>
        </w:rPr>
        <w:t xml:space="preserve">и </w:t>
      </w:r>
      <w:proofErr w:type="spellStart"/>
      <w:r>
        <w:rPr>
          <w:lang w:val="ru-RU"/>
        </w:rPr>
        <w:t>необходимост</w:t>
      </w:r>
      <w:proofErr w:type="spellEnd"/>
      <w:r>
        <w:rPr>
          <w:lang w:val="ru-RU"/>
        </w:rPr>
        <w:t xml:space="preserve">, </w:t>
      </w:r>
      <w:proofErr w:type="spellStart"/>
      <w:r>
        <w:rPr>
          <w:lang w:val="ru-RU"/>
        </w:rPr>
        <w:t>изменението</w:t>
      </w:r>
      <w:proofErr w:type="spellEnd"/>
      <w:r>
        <w:rPr>
          <w:lang w:val="ru-RU"/>
        </w:rPr>
        <w:t xml:space="preserve"> на П</w:t>
      </w:r>
      <w:r w:rsidRPr="001A791B">
        <w:rPr>
          <w:lang w:val="ru-RU"/>
        </w:rPr>
        <w:t xml:space="preserve">лан </w:t>
      </w:r>
      <w:proofErr w:type="gramStart"/>
      <w:r w:rsidRPr="001A791B">
        <w:rPr>
          <w:lang w:val="ru-RU"/>
        </w:rPr>
        <w:t>за</w:t>
      </w:r>
      <w:proofErr w:type="gramEnd"/>
      <w:r w:rsidRPr="001A791B">
        <w:rPr>
          <w:lang w:val="ru-RU"/>
        </w:rPr>
        <w:t xml:space="preserve"> оценка на </w:t>
      </w:r>
      <w:proofErr w:type="spellStart"/>
      <w:r w:rsidRPr="001A791B">
        <w:rPr>
          <w:lang w:val="ru-RU"/>
        </w:rPr>
        <w:t>оперативната</w:t>
      </w:r>
      <w:proofErr w:type="spellEnd"/>
      <w:r w:rsidRPr="001A791B">
        <w:rPr>
          <w:lang w:val="ru-RU"/>
        </w:rPr>
        <w:t xml:space="preserve"> </w:t>
      </w:r>
      <w:proofErr w:type="spellStart"/>
      <w:r w:rsidRPr="001A791B">
        <w:rPr>
          <w:lang w:val="ru-RU"/>
        </w:rPr>
        <w:t>програма</w:t>
      </w:r>
      <w:proofErr w:type="spellEnd"/>
      <w:r w:rsidRPr="001A791B">
        <w:rPr>
          <w:lang w:val="ru-RU"/>
        </w:rPr>
        <w:t>;</w:t>
      </w:r>
    </w:p>
    <w:p w:rsidR="001A791B" w:rsidRPr="001A791B" w:rsidRDefault="001A791B" w:rsidP="00EB274A">
      <w:pPr>
        <w:pStyle w:val="ListBullet"/>
        <w:jc w:val="both"/>
        <w:rPr>
          <w:lang w:val="ru-RU"/>
        </w:rPr>
      </w:pPr>
      <w:proofErr w:type="spellStart"/>
      <w:r w:rsidRPr="001A791B">
        <w:rPr>
          <w:lang w:val="ru-RU"/>
        </w:rPr>
        <w:t>излъчва</w:t>
      </w:r>
      <w:proofErr w:type="spellEnd"/>
      <w:r w:rsidRPr="001A791B">
        <w:rPr>
          <w:lang w:val="ru-RU"/>
        </w:rPr>
        <w:t xml:space="preserve"> представители в </w:t>
      </w:r>
      <w:proofErr w:type="spellStart"/>
      <w:r w:rsidRPr="001A791B">
        <w:rPr>
          <w:lang w:val="ru-RU"/>
        </w:rPr>
        <w:t>комисиите</w:t>
      </w:r>
      <w:proofErr w:type="spellEnd"/>
      <w:r w:rsidRPr="001A791B">
        <w:rPr>
          <w:lang w:val="ru-RU"/>
        </w:rPr>
        <w:t xml:space="preserve"> по </w:t>
      </w:r>
      <w:proofErr w:type="spellStart"/>
      <w:r w:rsidRPr="001A791B">
        <w:rPr>
          <w:lang w:val="ru-RU"/>
        </w:rPr>
        <w:t>приемане</w:t>
      </w:r>
      <w:proofErr w:type="spellEnd"/>
      <w:r w:rsidRPr="001A791B">
        <w:rPr>
          <w:lang w:val="ru-RU"/>
        </w:rPr>
        <w:t xml:space="preserve"> на </w:t>
      </w:r>
      <w:proofErr w:type="spellStart"/>
      <w:r w:rsidRPr="001A791B">
        <w:rPr>
          <w:lang w:val="ru-RU"/>
        </w:rPr>
        <w:t>изпълнението</w:t>
      </w:r>
      <w:proofErr w:type="spellEnd"/>
      <w:r w:rsidRPr="001A791B">
        <w:rPr>
          <w:lang w:val="ru-RU"/>
        </w:rPr>
        <w:t xml:space="preserve"> на договори за </w:t>
      </w:r>
      <w:proofErr w:type="spellStart"/>
      <w:r w:rsidRPr="001A791B">
        <w:rPr>
          <w:lang w:val="ru-RU"/>
        </w:rPr>
        <w:t>обществени</w:t>
      </w:r>
      <w:proofErr w:type="spellEnd"/>
      <w:r w:rsidRPr="001A791B">
        <w:rPr>
          <w:lang w:val="ru-RU"/>
        </w:rPr>
        <w:t xml:space="preserve"> </w:t>
      </w:r>
      <w:proofErr w:type="spellStart"/>
      <w:r w:rsidRPr="001A791B">
        <w:rPr>
          <w:lang w:val="ru-RU"/>
        </w:rPr>
        <w:t>поръчки</w:t>
      </w:r>
      <w:proofErr w:type="spellEnd"/>
      <w:r w:rsidRPr="001A791B">
        <w:rPr>
          <w:lang w:val="ru-RU"/>
        </w:rPr>
        <w:t xml:space="preserve"> за </w:t>
      </w:r>
      <w:proofErr w:type="spellStart"/>
      <w:r w:rsidRPr="001A791B">
        <w:rPr>
          <w:lang w:val="ru-RU"/>
        </w:rPr>
        <w:t>извършването</w:t>
      </w:r>
      <w:proofErr w:type="spellEnd"/>
      <w:r w:rsidRPr="001A791B">
        <w:rPr>
          <w:lang w:val="ru-RU"/>
        </w:rPr>
        <w:t xml:space="preserve"> на оценки </w:t>
      </w:r>
      <w:proofErr w:type="gramStart"/>
      <w:r w:rsidRPr="001A791B">
        <w:rPr>
          <w:lang w:val="ru-RU"/>
        </w:rPr>
        <w:t>на</w:t>
      </w:r>
      <w:proofErr w:type="gramEnd"/>
      <w:r w:rsidRPr="001A791B">
        <w:rPr>
          <w:lang w:val="ru-RU"/>
        </w:rPr>
        <w:t xml:space="preserve"> </w:t>
      </w:r>
      <w:proofErr w:type="spellStart"/>
      <w:r w:rsidRPr="001A791B">
        <w:rPr>
          <w:lang w:val="ru-RU"/>
        </w:rPr>
        <w:t>оперативната</w:t>
      </w:r>
      <w:proofErr w:type="spellEnd"/>
      <w:r w:rsidRPr="001A791B">
        <w:rPr>
          <w:lang w:val="ru-RU"/>
        </w:rPr>
        <w:t xml:space="preserve"> </w:t>
      </w:r>
      <w:proofErr w:type="spellStart"/>
      <w:r w:rsidRPr="001A791B">
        <w:rPr>
          <w:lang w:val="ru-RU"/>
        </w:rPr>
        <w:t>програма</w:t>
      </w:r>
      <w:proofErr w:type="spellEnd"/>
      <w:r w:rsidRPr="001A791B">
        <w:rPr>
          <w:lang w:val="ru-RU"/>
        </w:rPr>
        <w:t>;</w:t>
      </w:r>
    </w:p>
    <w:p w:rsidR="00B161A7" w:rsidRDefault="001A791B" w:rsidP="00EB274A">
      <w:pPr>
        <w:pStyle w:val="ListBullet"/>
        <w:jc w:val="both"/>
        <w:rPr>
          <w:lang w:val="ru-RU"/>
        </w:rPr>
      </w:pPr>
      <w:proofErr w:type="spellStart"/>
      <w:r w:rsidRPr="00B161A7">
        <w:rPr>
          <w:lang w:val="ru-RU"/>
        </w:rPr>
        <w:t>анализира</w:t>
      </w:r>
      <w:proofErr w:type="spellEnd"/>
      <w:r w:rsidRPr="00B161A7">
        <w:rPr>
          <w:lang w:val="ru-RU"/>
        </w:rPr>
        <w:t xml:space="preserve"> </w:t>
      </w:r>
      <w:proofErr w:type="spellStart"/>
      <w:r w:rsidRPr="00B161A7">
        <w:rPr>
          <w:lang w:val="ru-RU"/>
        </w:rPr>
        <w:t>препоръките</w:t>
      </w:r>
      <w:proofErr w:type="spellEnd"/>
      <w:r w:rsidRPr="00B161A7">
        <w:rPr>
          <w:lang w:val="ru-RU"/>
        </w:rPr>
        <w:t xml:space="preserve"> в </w:t>
      </w:r>
      <w:proofErr w:type="spellStart"/>
      <w:r w:rsidRPr="00B161A7">
        <w:rPr>
          <w:lang w:val="ru-RU"/>
        </w:rPr>
        <w:t>докладите</w:t>
      </w:r>
      <w:proofErr w:type="spellEnd"/>
      <w:r w:rsidRPr="00B161A7">
        <w:rPr>
          <w:lang w:val="ru-RU"/>
        </w:rPr>
        <w:t xml:space="preserve"> за оценка на </w:t>
      </w:r>
      <w:proofErr w:type="spellStart"/>
      <w:r w:rsidRPr="00B161A7">
        <w:rPr>
          <w:lang w:val="ru-RU"/>
        </w:rPr>
        <w:t>оперативната</w:t>
      </w:r>
      <w:proofErr w:type="spellEnd"/>
      <w:r w:rsidRPr="00B161A7">
        <w:rPr>
          <w:lang w:val="ru-RU"/>
        </w:rPr>
        <w:t xml:space="preserve"> </w:t>
      </w:r>
      <w:proofErr w:type="spellStart"/>
      <w:r w:rsidRPr="00B161A7">
        <w:rPr>
          <w:lang w:val="ru-RU"/>
        </w:rPr>
        <w:t>програма</w:t>
      </w:r>
      <w:proofErr w:type="spellEnd"/>
      <w:r w:rsidRPr="00B161A7">
        <w:rPr>
          <w:lang w:val="ru-RU"/>
        </w:rPr>
        <w:t xml:space="preserve"> и </w:t>
      </w:r>
      <w:proofErr w:type="spellStart"/>
      <w:r w:rsidRPr="00B161A7">
        <w:rPr>
          <w:lang w:val="ru-RU"/>
        </w:rPr>
        <w:t>инициира</w:t>
      </w:r>
      <w:proofErr w:type="spellEnd"/>
      <w:r w:rsidRPr="00B161A7">
        <w:rPr>
          <w:lang w:val="ru-RU"/>
        </w:rPr>
        <w:t xml:space="preserve">, при </w:t>
      </w:r>
      <w:proofErr w:type="spellStart"/>
      <w:r w:rsidRPr="00B161A7">
        <w:rPr>
          <w:lang w:val="ru-RU"/>
        </w:rPr>
        <w:t>необходимост</w:t>
      </w:r>
      <w:proofErr w:type="spellEnd"/>
      <w:r w:rsidRPr="00B161A7">
        <w:rPr>
          <w:lang w:val="ru-RU"/>
        </w:rPr>
        <w:t xml:space="preserve">, изменения на </w:t>
      </w:r>
      <w:proofErr w:type="spellStart"/>
      <w:r w:rsidRPr="00B161A7">
        <w:rPr>
          <w:lang w:val="ru-RU"/>
        </w:rPr>
        <w:t>програмата</w:t>
      </w:r>
      <w:proofErr w:type="spellEnd"/>
      <w:r w:rsidR="00BF074F">
        <w:rPr>
          <w:lang w:val="ru-RU"/>
        </w:rPr>
        <w:t>.</w:t>
      </w:r>
    </w:p>
    <w:p w:rsidR="002A2348" w:rsidRDefault="002A2348" w:rsidP="00EB274A">
      <w:pPr>
        <w:pStyle w:val="ListBullet"/>
        <w:numPr>
          <w:ilvl w:val="0"/>
          <w:numId w:val="0"/>
        </w:numPr>
        <w:jc w:val="both"/>
      </w:pPr>
      <w:proofErr w:type="spellStart"/>
      <w:r>
        <w:rPr>
          <w:lang w:val="ru-RU"/>
        </w:rPr>
        <w:t>Съгласно</w:t>
      </w:r>
      <w:proofErr w:type="spellEnd"/>
      <w:r>
        <w:rPr>
          <w:lang w:val="ru-RU"/>
        </w:rPr>
        <w:t xml:space="preserve"> информация от </w:t>
      </w:r>
      <w:proofErr w:type="spellStart"/>
      <w:r>
        <w:rPr>
          <w:lang w:val="ru-RU"/>
        </w:rPr>
        <w:t>Административния</w:t>
      </w:r>
      <w:proofErr w:type="spellEnd"/>
      <w:r>
        <w:rPr>
          <w:lang w:val="ru-RU"/>
        </w:rPr>
        <w:t xml:space="preserve"> </w:t>
      </w:r>
      <w:proofErr w:type="spellStart"/>
      <w:r>
        <w:rPr>
          <w:lang w:val="ru-RU"/>
        </w:rPr>
        <w:t>регистър</w:t>
      </w:r>
      <w:proofErr w:type="spellEnd"/>
      <w:r>
        <w:rPr>
          <w:rStyle w:val="FootnoteReference"/>
          <w:lang w:val="ru-RU"/>
        </w:rPr>
        <w:footnoteReference w:id="8"/>
      </w:r>
      <w:r>
        <w:rPr>
          <w:lang w:val="ru-RU"/>
        </w:rPr>
        <w:t xml:space="preserve"> </w:t>
      </w:r>
      <w:proofErr w:type="spellStart"/>
      <w:r>
        <w:rPr>
          <w:lang w:val="ru-RU"/>
        </w:rPr>
        <w:t>общата</w:t>
      </w:r>
      <w:proofErr w:type="spellEnd"/>
      <w:r>
        <w:rPr>
          <w:lang w:val="ru-RU"/>
        </w:rPr>
        <w:t xml:space="preserve"> </w:t>
      </w:r>
      <w:proofErr w:type="spellStart"/>
      <w:r>
        <w:rPr>
          <w:lang w:val="ru-RU"/>
        </w:rPr>
        <w:t>численост</w:t>
      </w:r>
      <w:proofErr w:type="spellEnd"/>
      <w:r>
        <w:rPr>
          <w:lang w:val="ru-RU"/>
        </w:rPr>
        <w:t xml:space="preserve"> на персонала в отдел ПП </w:t>
      </w:r>
      <w:proofErr w:type="spellStart"/>
      <w:r>
        <w:rPr>
          <w:lang w:val="ru-RU"/>
        </w:rPr>
        <w:t>включва</w:t>
      </w:r>
      <w:proofErr w:type="spellEnd"/>
      <w:r>
        <w:rPr>
          <w:lang w:val="ru-RU"/>
        </w:rPr>
        <w:t xml:space="preserve"> 13 </w:t>
      </w:r>
      <w:proofErr w:type="spellStart"/>
      <w:r>
        <w:rPr>
          <w:lang w:val="ru-RU"/>
        </w:rPr>
        <w:t>постоянни</w:t>
      </w:r>
      <w:proofErr w:type="spellEnd"/>
      <w:r>
        <w:rPr>
          <w:lang w:val="ru-RU"/>
        </w:rPr>
        <w:t xml:space="preserve"> </w:t>
      </w:r>
      <w:proofErr w:type="spellStart"/>
      <w:r>
        <w:rPr>
          <w:lang w:val="ru-RU"/>
        </w:rPr>
        <w:t>щатни</w:t>
      </w:r>
      <w:proofErr w:type="spellEnd"/>
      <w:r>
        <w:rPr>
          <w:lang w:val="ru-RU"/>
        </w:rPr>
        <w:t xml:space="preserve"> </w:t>
      </w:r>
      <w:proofErr w:type="spellStart"/>
      <w:r>
        <w:rPr>
          <w:lang w:val="ru-RU"/>
        </w:rPr>
        <w:t>бройки</w:t>
      </w:r>
      <w:proofErr w:type="spellEnd"/>
      <w:r>
        <w:rPr>
          <w:lang w:val="ru-RU"/>
        </w:rPr>
        <w:t xml:space="preserve">, от </w:t>
      </w:r>
      <w:proofErr w:type="spellStart"/>
      <w:r>
        <w:rPr>
          <w:lang w:val="ru-RU"/>
        </w:rPr>
        <w:t>които</w:t>
      </w:r>
      <w:proofErr w:type="spellEnd"/>
      <w:r>
        <w:rPr>
          <w:lang w:val="ru-RU"/>
        </w:rPr>
        <w:t xml:space="preserve"> </w:t>
      </w:r>
      <w:proofErr w:type="spellStart"/>
      <w:r>
        <w:rPr>
          <w:lang w:val="ru-RU"/>
        </w:rPr>
        <w:t>понастоящем</w:t>
      </w:r>
      <w:proofErr w:type="spellEnd"/>
      <w:r>
        <w:rPr>
          <w:lang w:val="ru-RU"/>
        </w:rPr>
        <w:t xml:space="preserve"> 12 </w:t>
      </w:r>
      <w:proofErr w:type="spellStart"/>
      <w:r>
        <w:rPr>
          <w:lang w:val="ru-RU"/>
        </w:rPr>
        <w:t>са</w:t>
      </w:r>
      <w:proofErr w:type="spellEnd"/>
      <w:r>
        <w:rPr>
          <w:lang w:val="ru-RU"/>
        </w:rPr>
        <w:t xml:space="preserve"> на </w:t>
      </w:r>
      <w:proofErr w:type="spellStart"/>
      <w:r>
        <w:rPr>
          <w:lang w:val="ru-RU"/>
        </w:rPr>
        <w:t>експертни</w:t>
      </w:r>
      <w:proofErr w:type="spellEnd"/>
      <w:r>
        <w:rPr>
          <w:lang w:val="ru-RU"/>
        </w:rPr>
        <w:t xml:space="preserve"> </w:t>
      </w:r>
      <w:proofErr w:type="spellStart"/>
      <w:r>
        <w:rPr>
          <w:lang w:val="ru-RU"/>
        </w:rPr>
        <w:t>длъжности</w:t>
      </w:r>
      <w:proofErr w:type="spellEnd"/>
      <w:r>
        <w:rPr>
          <w:lang w:val="ru-RU"/>
        </w:rPr>
        <w:t xml:space="preserve"> и 1 </w:t>
      </w:r>
      <w:proofErr w:type="spellStart"/>
      <w:r>
        <w:rPr>
          <w:lang w:val="ru-RU"/>
        </w:rPr>
        <w:t>бройка</w:t>
      </w:r>
      <w:proofErr w:type="spellEnd"/>
      <w:r>
        <w:rPr>
          <w:lang w:val="ru-RU"/>
        </w:rPr>
        <w:t xml:space="preserve"> е </w:t>
      </w:r>
      <w:proofErr w:type="spellStart"/>
      <w:r>
        <w:rPr>
          <w:lang w:val="ru-RU"/>
        </w:rPr>
        <w:t>разкрита</w:t>
      </w:r>
      <w:proofErr w:type="spellEnd"/>
      <w:r>
        <w:rPr>
          <w:lang w:val="ru-RU"/>
        </w:rPr>
        <w:t xml:space="preserve"> за </w:t>
      </w:r>
      <w:proofErr w:type="spellStart"/>
      <w:r>
        <w:rPr>
          <w:lang w:val="ru-RU"/>
        </w:rPr>
        <w:t>сътрудник</w:t>
      </w:r>
      <w:proofErr w:type="spellEnd"/>
      <w:r>
        <w:rPr>
          <w:lang w:val="ru-RU"/>
        </w:rPr>
        <w:t xml:space="preserve"> по управление на европейски </w:t>
      </w:r>
      <w:proofErr w:type="spellStart"/>
      <w:r>
        <w:rPr>
          <w:lang w:val="ru-RU"/>
        </w:rPr>
        <w:t>проекти</w:t>
      </w:r>
      <w:proofErr w:type="spellEnd"/>
      <w:r>
        <w:rPr>
          <w:lang w:val="ru-RU"/>
        </w:rPr>
        <w:t xml:space="preserve"> и </w:t>
      </w:r>
      <w:proofErr w:type="spellStart"/>
      <w:r>
        <w:rPr>
          <w:lang w:val="ru-RU"/>
        </w:rPr>
        <w:t>програми</w:t>
      </w:r>
      <w:proofErr w:type="spellEnd"/>
      <w:r>
        <w:rPr>
          <w:lang w:val="ru-RU"/>
        </w:rPr>
        <w:t xml:space="preserve">. </w:t>
      </w:r>
      <w:proofErr w:type="spellStart"/>
      <w:r>
        <w:rPr>
          <w:lang w:val="ru-RU"/>
        </w:rPr>
        <w:t>Статутът</w:t>
      </w:r>
      <w:proofErr w:type="spellEnd"/>
      <w:r>
        <w:rPr>
          <w:lang w:val="ru-RU"/>
        </w:rPr>
        <w:t xml:space="preserve"> на подобен тип </w:t>
      </w:r>
      <w:proofErr w:type="spellStart"/>
      <w:r>
        <w:rPr>
          <w:lang w:val="ru-RU"/>
        </w:rPr>
        <w:t>сътрудници</w:t>
      </w:r>
      <w:proofErr w:type="spellEnd"/>
      <w:r>
        <w:rPr>
          <w:lang w:val="ru-RU"/>
        </w:rPr>
        <w:t xml:space="preserve"> е заложен в структурата на ГД ОПОС и </w:t>
      </w:r>
      <w:proofErr w:type="spellStart"/>
      <w:r>
        <w:rPr>
          <w:lang w:val="ru-RU"/>
        </w:rPr>
        <w:t>има</w:t>
      </w:r>
      <w:proofErr w:type="spellEnd"/>
      <w:r>
        <w:rPr>
          <w:lang w:val="ru-RU"/>
        </w:rPr>
        <w:t xml:space="preserve"> за цел да </w:t>
      </w:r>
      <w:proofErr w:type="spellStart"/>
      <w:r>
        <w:rPr>
          <w:lang w:val="ru-RU"/>
        </w:rPr>
        <w:t>обезпечи</w:t>
      </w:r>
      <w:proofErr w:type="spellEnd"/>
      <w:r>
        <w:rPr>
          <w:lang w:val="ru-RU"/>
        </w:rPr>
        <w:t xml:space="preserve"> </w:t>
      </w:r>
      <w:proofErr w:type="spellStart"/>
      <w:r>
        <w:rPr>
          <w:lang w:val="ru-RU"/>
        </w:rPr>
        <w:t>осигуряването</w:t>
      </w:r>
      <w:proofErr w:type="spellEnd"/>
      <w:r>
        <w:rPr>
          <w:lang w:val="ru-RU"/>
        </w:rPr>
        <w:t xml:space="preserve"> на </w:t>
      </w:r>
      <w:proofErr w:type="spellStart"/>
      <w:r>
        <w:rPr>
          <w:lang w:val="ru-RU"/>
        </w:rPr>
        <w:t>допълнителен</w:t>
      </w:r>
      <w:proofErr w:type="spellEnd"/>
      <w:r>
        <w:rPr>
          <w:lang w:val="ru-RU"/>
        </w:rPr>
        <w:t xml:space="preserve"> </w:t>
      </w:r>
      <w:proofErr w:type="spellStart"/>
      <w:r>
        <w:rPr>
          <w:lang w:val="ru-RU"/>
        </w:rPr>
        <w:t>човешки</w:t>
      </w:r>
      <w:proofErr w:type="spellEnd"/>
      <w:r>
        <w:rPr>
          <w:lang w:val="ru-RU"/>
        </w:rPr>
        <w:t xml:space="preserve"> ресурс с </w:t>
      </w:r>
      <w:proofErr w:type="spellStart"/>
      <w:r>
        <w:rPr>
          <w:lang w:val="ru-RU"/>
        </w:rPr>
        <w:t>оглед</w:t>
      </w:r>
      <w:proofErr w:type="spellEnd"/>
      <w:r>
        <w:rPr>
          <w:lang w:val="ru-RU"/>
        </w:rPr>
        <w:t xml:space="preserve"> </w:t>
      </w:r>
      <w:proofErr w:type="spellStart"/>
      <w:r>
        <w:rPr>
          <w:lang w:val="ru-RU"/>
        </w:rPr>
        <w:t>ефективното</w:t>
      </w:r>
      <w:proofErr w:type="spellEnd"/>
      <w:r>
        <w:rPr>
          <w:lang w:val="ru-RU"/>
        </w:rPr>
        <w:t xml:space="preserve"> </w:t>
      </w:r>
      <w:proofErr w:type="spellStart"/>
      <w:r>
        <w:rPr>
          <w:lang w:val="ru-RU"/>
        </w:rPr>
        <w:t>изпълнение</w:t>
      </w:r>
      <w:proofErr w:type="spellEnd"/>
      <w:r>
        <w:rPr>
          <w:lang w:val="ru-RU"/>
        </w:rPr>
        <w:t xml:space="preserve"> на </w:t>
      </w:r>
      <w:proofErr w:type="spellStart"/>
      <w:r>
        <w:rPr>
          <w:lang w:val="ru-RU"/>
        </w:rPr>
        <w:t>отговорностите</w:t>
      </w:r>
      <w:proofErr w:type="spellEnd"/>
      <w:r>
        <w:rPr>
          <w:lang w:val="ru-RU"/>
        </w:rPr>
        <w:t xml:space="preserve"> на УО.</w:t>
      </w:r>
      <w:r w:rsidR="008B1C9F">
        <w:rPr>
          <w:lang w:val="ru-RU"/>
        </w:rPr>
        <w:t xml:space="preserve"> </w:t>
      </w:r>
      <w:r w:rsidR="008B1C9F" w:rsidRPr="008B1C9F">
        <w:t xml:space="preserve">Сътрудниците </w:t>
      </w:r>
      <w:r w:rsidRPr="008B1C9F">
        <w:t>по управление на европейски проекти и програми се назначават за срок до приключването на програмата</w:t>
      </w:r>
      <w:r w:rsidR="008B1C9F" w:rsidRPr="008B1C9F">
        <w:t xml:space="preserve"> по трудово правоотношение</w:t>
      </w:r>
      <w:r w:rsidRPr="008B1C9F">
        <w:t xml:space="preserve">. </w:t>
      </w:r>
    </w:p>
    <w:p w:rsidR="00EA4F9B" w:rsidRPr="00D214C3" w:rsidRDefault="008B1C9F" w:rsidP="00EB274A">
      <w:pPr>
        <w:jc w:val="both"/>
      </w:pPr>
      <w:r>
        <w:t xml:space="preserve">Съгласно длъжностното разписание в МОСВ в рамките на отдел ПП </w:t>
      </w:r>
      <w:r w:rsidR="00371C48">
        <w:t xml:space="preserve">началник отдела и </w:t>
      </w:r>
      <w:r w:rsidR="00EA4F9B">
        <w:t xml:space="preserve">общо </w:t>
      </w:r>
      <w:r w:rsidR="00C90818">
        <w:t>5</w:t>
      </w:r>
      <w:r w:rsidR="00EA4F9B">
        <w:t xml:space="preserve"> експерти са</w:t>
      </w:r>
      <w:r w:rsidR="00371C48">
        <w:t xml:space="preserve"> </w:t>
      </w:r>
      <w:r w:rsidR="00EA4F9B">
        <w:t>пряко и постоянно ангажирани с изпълнението на отговорностите по оценка –</w:t>
      </w:r>
      <w:r w:rsidR="00C90818">
        <w:t xml:space="preserve"> 2</w:t>
      </w:r>
      <w:r w:rsidR="00371C48">
        <w:t xml:space="preserve">-ма държавни </w:t>
      </w:r>
      <w:r w:rsidR="00EA4F9B">
        <w:t>експерт</w:t>
      </w:r>
      <w:r w:rsidR="00371C48">
        <w:t xml:space="preserve">и, 1 главен експерт, </w:t>
      </w:r>
      <w:r w:rsidR="00EA4F9B">
        <w:t>1 старши експерт</w:t>
      </w:r>
      <w:r w:rsidR="00371C48">
        <w:t xml:space="preserve"> и 1 </w:t>
      </w:r>
      <w:r w:rsidR="00C90818">
        <w:t xml:space="preserve">главен </w:t>
      </w:r>
      <w:proofErr w:type="spellStart"/>
      <w:r w:rsidR="00371C48">
        <w:rPr>
          <w:lang w:val="ru-RU"/>
        </w:rPr>
        <w:t>сътрудник</w:t>
      </w:r>
      <w:proofErr w:type="spellEnd"/>
      <w:r w:rsidR="00371C48">
        <w:rPr>
          <w:lang w:val="ru-RU"/>
        </w:rPr>
        <w:t xml:space="preserve"> </w:t>
      </w:r>
      <w:r w:rsidR="00371C48">
        <w:rPr>
          <w:lang w:val="ru-RU"/>
        </w:rPr>
        <w:lastRenderedPageBreak/>
        <w:t xml:space="preserve">по управление на европейски </w:t>
      </w:r>
      <w:proofErr w:type="spellStart"/>
      <w:r w:rsidR="00371C48">
        <w:rPr>
          <w:lang w:val="ru-RU"/>
        </w:rPr>
        <w:t>проекти</w:t>
      </w:r>
      <w:proofErr w:type="spellEnd"/>
      <w:r w:rsidR="00371C48">
        <w:rPr>
          <w:lang w:val="ru-RU"/>
        </w:rPr>
        <w:t xml:space="preserve"> и </w:t>
      </w:r>
      <w:proofErr w:type="spellStart"/>
      <w:r w:rsidR="00371C48">
        <w:rPr>
          <w:lang w:val="ru-RU"/>
        </w:rPr>
        <w:t>програми</w:t>
      </w:r>
      <w:proofErr w:type="spellEnd"/>
      <w:r w:rsidR="00EA4F9B">
        <w:t xml:space="preserve">. Те изпълняват своите задължения в областта на оценката на ОПОС 2014-2020 г. </w:t>
      </w:r>
      <w:r w:rsidR="00437084">
        <w:t xml:space="preserve">под </w:t>
      </w:r>
      <w:proofErr w:type="spellStart"/>
      <w:r w:rsidR="00437084">
        <w:t>ръковоството</w:t>
      </w:r>
      <w:proofErr w:type="spellEnd"/>
      <w:r w:rsidR="00437084">
        <w:t xml:space="preserve"> на началник отдел ПП. </w:t>
      </w:r>
      <w:r w:rsidR="00EA4F9B">
        <w:t xml:space="preserve">Съгласно </w:t>
      </w:r>
      <w:r w:rsidR="00437084">
        <w:t xml:space="preserve">утвърдените </w:t>
      </w:r>
      <w:r w:rsidR="00EA4F9B">
        <w:t xml:space="preserve">длъжностните характеристики </w:t>
      </w:r>
      <w:r w:rsidR="00437084">
        <w:t xml:space="preserve">за тези длъжности </w:t>
      </w:r>
      <w:r w:rsidR="00EA4F9B">
        <w:t xml:space="preserve">в областите на дейност на служителите е включено </w:t>
      </w:r>
      <w:r w:rsidR="00EA4F9B" w:rsidRPr="00EA4F9B">
        <w:t>извършване</w:t>
      </w:r>
      <w:r w:rsidR="00EA4F9B">
        <w:t>то</w:t>
      </w:r>
      <w:r w:rsidR="00EA4F9B" w:rsidRPr="00EA4F9B">
        <w:t xml:space="preserve"> на оценки на </w:t>
      </w:r>
      <w:r w:rsidR="00EA4F9B">
        <w:t>ОПОС</w:t>
      </w:r>
      <w:r w:rsidR="00EA4F9B" w:rsidRPr="00EA4F9B">
        <w:t>.</w:t>
      </w:r>
      <w:r w:rsidR="00D214C3">
        <w:t xml:space="preserve"> За всеки служител са разписани ясно и точно конкретните задължения в областта на оценката, като в зависимост от нивото в длъжностната йерархия отговорностите обхващат задължения, свързани както с разработването и актуализацията на Плана за оценка, така и с управлението на процеса по извършване на планираните оценки на ОПОС.</w:t>
      </w:r>
    </w:p>
    <w:p w:rsidR="002A2348" w:rsidRPr="00836B42" w:rsidRDefault="00437084" w:rsidP="00EB274A">
      <w:pPr>
        <w:pStyle w:val="ListBullet"/>
        <w:numPr>
          <w:ilvl w:val="0"/>
          <w:numId w:val="0"/>
        </w:numPr>
        <w:jc w:val="both"/>
        <w:rPr>
          <w:b/>
          <w:lang w:val="ru-RU"/>
        </w:rPr>
      </w:pPr>
      <w:r w:rsidRPr="00836B42">
        <w:rPr>
          <w:b/>
          <w:lang w:val="ru-RU"/>
        </w:rPr>
        <w:t xml:space="preserve">В рамките на ГД ОПОС отношение </w:t>
      </w:r>
      <w:proofErr w:type="spellStart"/>
      <w:r w:rsidRPr="00836B42">
        <w:rPr>
          <w:b/>
          <w:lang w:val="ru-RU"/>
        </w:rPr>
        <w:t>към</w:t>
      </w:r>
      <w:proofErr w:type="spellEnd"/>
      <w:r w:rsidRPr="00836B42">
        <w:rPr>
          <w:b/>
          <w:lang w:val="ru-RU"/>
        </w:rPr>
        <w:t xml:space="preserve"> </w:t>
      </w:r>
      <w:proofErr w:type="spellStart"/>
      <w:r w:rsidRPr="00836B42">
        <w:rPr>
          <w:b/>
          <w:lang w:val="ru-RU"/>
        </w:rPr>
        <w:t>ефективното</w:t>
      </w:r>
      <w:proofErr w:type="spellEnd"/>
      <w:r w:rsidRPr="00836B42">
        <w:rPr>
          <w:b/>
          <w:lang w:val="ru-RU"/>
        </w:rPr>
        <w:t xml:space="preserve"> </w:t>
      </w:r>
      <w:proofErr w:type="spellStart"/>
      <w:r w:rsidRPr="00836B42">
        <w:rPr>
          <w:b/>
          <w:lang w:val="ru-RU"/>
        </w:rPr>
        <w:t>изпълнение</w:t>
      </w:r>
      <w:proofErr w:type="spellEnd"/>
      <w:r w:rsidRPr="00836B42">
        <w:rPr>
          <w:b/>
          <w:lang w:val="ru-RU"/>
        </w:rPr>
        <w:t xml:space="preserve"> на </w:t>
      </w:r>
      <w:proofErr w:type="spellStart"/>
      <w:r w:rsidRPr="00836B42">
        <w:rPr>
          <w:b/>
          <w:lang w:val="ru-RU"/>
        </w:rPr>
        <w:t>отговорностите</w:t>
      </w:r>
      <w:proofErr w:type="spellEnd"/>
      <w:r w:rsidRPr="00836B42">
        <w:rPr>
          <w:b/>
          <w:lang w:val="ru-RU"/>
        </w:rPr>
        <w:t xml:space="preserve"> на УО в </w:t>
      </w:r>
      <w:proofErr w:type="spellStart"/>
      <w:r w:rsidRPr="00836B42">
        <w:rPr>
          <w:b/>
          <w:lang w:val="ru-RU"/>
        </w:rPr>
        <w:t>областта</w:t>
      </w:r>
      <w:proofErr w:type="spellEnd"/>
      <w:r w:rsidRPr="00836B42">
        <w:rPr>
          <w:b/>
          <w:lang w:val="ru-RU"/>
        </w:rPr>
        <w:t xml:space="preserve"> на </w:t>
      </w:r>
      <w:proofErr w:type="spellStart"/>
      <w:r w:rsidRPr="00836B42">
        <w:rPr>
          <w:b/>
          <w:lang w:val="ru-RU"/>
        </w:rPr>
        <w:t>оценката</w:t>
      </w:r>
      <w:proofErr w:type="spellEnd"/>
      <w:r w:rsidRPr="00836B42">
        <w:rPr>
          <w:b/>
          <w:lang w:val="ru-RU"/>
        </w:rPr>
        <w:t xml:space="preserve"> </w:t>
      </w:r>
      <w:proofErr w:type="spellStart"/>
      <w:r w:rsidRPr="00836B42">
        <w:rPr>
          <w:b/>
          <w:lang w:val="ru-RU"/>
        </w:rPr>
        <w:t>имат</w:t>
      </w:r>
      <w:proofErr w:type="spellEnd"/>
      <w:r w:rsidRPr="00836B42">
        <w:rPr>
          <w:b/>
          <w:lang w:val="ru-RU"/>
        </w:rPr>
        <w:t xml:space="preserve"> и </w:t>
      </w:r>
      <w:proofErr w:type="spellStart"/>
      <w:r w:rsidRPr="00836B42">
        <w:rPr>
          <w:b/>
          <w:lang w:val="ru-RU"/>
        </w:rPr>
        <w:t>следните</w:t>
      </w:r>
      <w:proofErr w:type="spellEnd"/>
      <w:r w:rsidRPr="00836B42">
        <w:rPr>
          <w:b/>
          <w:lang w:val="ru-RU"/>
        </w:rPr>
        <w:t xml:space="preserve"> отдели:</w:t>
      </w:r>
    </w:p>
    <w:p w:rsidR="00E46772" w:rsidRPr="00E46772" w:rsidRDefault="00353761" w:rsidP="00EB274A">
      <w:pPr>
        <w:pStyle w:val="ListBullet"/>
        <w:jc w:val="both"/>
        <w:rPr>
          <w:lang w:val="ru-RU"/>
        </w:rPr>
      </w:pPr>
      <w:r w:rsidRPr="00E46772">
        <w:rPr>
          <w:b/>
          <w:noProof/>
        </w:rPr>
        <w:t>Отдел „Координация, комуникация и техническа помощ”(ККТП)</w:t>
      </w:r>
      <w:r>
        <w:rPr>
          <w:noProof/>
        </w:rPr>
        <w:t xml:space="preserve"> </w:t>
      </w:r>
    </w:p>
    <w:p w:rsidR="00353761" w:rsidRPr="00836B42" w:rsidRDefault="00E46772" w:rsidP="00EB274A">
      <w:pPr>
        <w:jc w:val="both"/>
      </w:pPr>
      <w:proofErr w:type="spellStart"/>
      <w:r>
        <w:rPr>
          <w:lang w:val="ru-RU"/>
        </w:rPr>
        <w:t>Съгласно</w:t>
      </w:r>
      <w:proofErr w:type="spellEnd"/>
      <w:r>
        <w:rPr>
          <w:lang w:val="ru-RU"/>
        </w:rPr>
        <w:t xml:space="preserve"> СУК отдел ККТП </w:t>
      </w:r>
      <w:proofErr w:type="spellStart"/>
      <w:r w:rsidR="00353761">
        <w:rPr>
          <w:lang w:val="ru-RU"/>
        </w:rPr>
        <w:t>координира</w:t>
      </w:r>
      <w:proofErr w:type="spellEnd"/>
      <w:r w:rsidR="00353761">
        <w:rPr>
          <w:lang w:val="ru-RU"/>
        </w:rPr>
        <w:t xml:space="preserve"> </w:t>
      </w:r>
      <w:proofErr w:type="spellStart"/>
      <w:r w:rsidR="00353761">
        <w:rPr>
          <w:lang w:val="ru-RU"/>
        </w:rPr>
        <w:t>изпълнението</w:t>
      </w:r>
      <w:proofErr w:type="spellEnd"/>
      <w:r w:rsidR="00353761">
        <w:rPr>
          <w:lang w:val="ru-RU"/>
        </w:rPr>
        <w:t xml:space="preserve"> на </w:t>
      </w:r>
      <w:proofErr w:type="spellStart"/>
      <w:r w:rsidR="00353761">
        <w:rPr>
          <w:lang w:val="ru-RU"/>
        </w:rPr>
        <w:t>всички</w:t>
      </w:r>
      <w:proofErr w:type="spellEnd"/>
      <w:r w:rsidR="00353761">
        <w:rPr>
          <w:lang w:val="ru-RU"/>
        </w:rPr>
        <w:t xml:space="preserve"> </w:t>
      </w:r>
      <w:proofErr w:type="spellStart"/>
      <w:r w:rsidR="00353761">
        <w:rPr>
          <w:lang w:val="ru-RU"/>
        </w:rPr>
        <w:t>административни</w:t>
      </w:r>
      <w:proofErr w:type="spellEnd"/>
      <w:r w:rsidR="00353761">
        <w:rPr>
          <w:lang w:val="ru-RU"/>
        </w:rPr>
        <w:t xml:space="preserve"> функции на </w:t>
      </w:r>
      <w:proofErr w:type="spellStart"/>
      <w:r w:rsidR="00353761">
        <w:rPr>
          <w:lang w:val="ru-RU"/>
        </w:rPr>
        <w:t>дирекцията</w:t>
      </w:r>
      <w:proofErr w:type="spellEnd"/>
      <w:r w:rsidR="00353761">
        <w:rPr>
          <w:lang w:val="ru-RU"/>
        </w:rPr>
        <w:t xml:space="preserve">, </w:t>
      </w:r>
      <w:proofErr w:type="spellStart"/>
      <w:r w:rsidR="00353761">
        <w:rPr>
          <w:lang w:val="ru-RU"/>
        </w:rPr>
        <w:t>организира</w:t>
      </w:r>
      <w:proofErr w:type="spellEnd"/>
      <w:r w:rsidR="00353761">
        <w:rPr>
          <w:lang w:val="ru-RU"/>
        </w:rPr>
        <w:t xml:space="preserve"> </w:t>
      </w:r>
      <w:proofErr w:type="spellStart"/>
      <w:r w:rsidR="00353761">
        <w:rPr>
          <w:lang w:val="ru-RU"/>
        </w:rPr>
        <w:t>управлението</w:t>
      </w:r>
      <w:proofErr w:type="spellEnd"/>
      <w:r w:rsidR="00353761">
        <w:rPr>
          <w:lang w:val="ru-RU"/>
        </w:rPr>
        <w:t xml:space="preserve"> на </w:t>
      </w:r>
      <w:proofErr w:type="spellStart"/>
      <w:r w:rsidR="00353761">
        <w:rPr>
          <w:lang w:val="ru-RU"/>
        </w:rPr>
        <w:t>човешките</w:t>
      </w:r>
      <w:proofErr w:type="spellEnd"/>
      <w:r w:rsidR="00353761">
        <w:rPr>
          <w:lang w:val="ru-RU"/>
        </w:rPr>
        <w:t xml:space="preserve"> </w:t>
      </w:r>
      <w:proofErr w:type="spellStart"/>
      <w:r w:rsidR="00353761">
        <w:rPr>
          <w:lang w:val="ru-RU"/>
        </w:rPr>
        <w:t>ресурси</w:t>
      </w:r>
      <w:proofErr w:type="spellEnd"/>
      <w:r w:rsidR="00353761">
        <w:rPr>
          <w:lang w:val="ru-RU"/>
        </w:rPr>
        <w:t xml:space="preserve">, вкл. </w:t>
      </w:r>
      <w:proofErr w:type="spellStart"/>
      <w:r w:rsidR="00353761">
        <w:rPr>
          <w:lang w:val="ru-RU"/>
        </w:rPr>
        <w:t>извършването</w:t>
      </w:r>
      <w:proofErr w:type="spellEnd"/>
      <w:r w:rsidR="00353761">
        <w:rPr>
          <w:lang w:val="ru-RU"/>
        </w:rPr>
        <w:t xml:space="preserve"> на анализ на </w:t>
      </w:r>
      <w:proofErr w:type="spellStart"/>
      <w:r w:rsidR="00353761">
        <w:rPr>
          <w:lang w:val="ru-RU"/>
        </w:rPr>
        <w:t>нуждите</w:t>
      </w:r>
      <w:proofErr w:type="spellEnd"/>
      <w:r w:rsidR="00353761">
        <w:rPr>
          <w:lang w:val="ru-RU"/>
        </w:rPr>
        <w:t xml:space="preserve"> от обучение, </w:t>
      </w:r>
      <w:proofErr w:type="spellStart"/>
      <w:r w:rsidR="00353761">
        <w:rPr>
          <w:lang w:val="ru-RU"/>
        </w:rPr>
        <w:t>изготвянето</w:t>
      </w:r>
      <w:proofErr w:type="spellEnd"/>
      <w:r w:rsidR="00353761">
        <w:rPr>
          <w:lang w:val="ru-RU"/>
        </w:rPr>
        <w:t xml:space="preserve"> на </w:t>
      </w:r>
      <w:proofErr w:type="spellStart"/>
      <w:r w:rsidR="00353761">
        <w:rPr>
          <w:lang w:val="ru-RU"/>
        </w:rPr>
        <w:t>планове</w:t>
      </w:r>
      <w:proofErr w:type="spellEnd"/>
      <w:r w:rsidR="00353761">
        <w:rPr>
          <w:lang w:val="ru-RU"/>
        </w:rPr>
        <w:t xml:space="preserve"> за обучение и </w:t>
      </w:r>
      <w:proofErr w:type="spellStart"/>
      <w:r w:rsidR="00353761">
        <w:rPr>
          <w:lang w:val="ru-RU"/>
        </w:rPr>
        <w:t>подпомага</w:t>
      </w:r>
      <w:proofErr w:type="spellEnd"/>
      <w:r w:rsidR="00353761">
        <w:rPr>
          <w:lang w:val="ru-RU"/>
        </w:rPr>
        <w:t xml:space="preserve"> </w:t>
      </w:r>
      <w:proofErr w:type="spellStart"/>
      <w:r w:rsidR="00353761">
        <w:rPr>
          <w:lang w:val="ru-RU"/>
        </w:rPr>
        <w:t>изпълнението</w:t>
      </w:r>
      <w:proofErr w:type="spellEnd"/>
      <w:r w:rsidR="00353761">
        <w:rPr>
          <w:lang w:val="ru-RU"/>
        </w:rPr>
        <w:t xml:space="preserve"> на </w:t>
      </w:r>
      <w:proofErr w:type="spellStart"/>
      <w:r w:rsidR="00353761">
        <w:rPr>
          <w:lang w:val="ru-RU"/>
        </w:rPr>
        <w:t>обучителни</w:t>
      </w:r>
      <w:proofErr w:type="spellEnd"/>
      <w:r w:rsidR="00353761">
        <w:rPr>
          <w:lang w:val="ru-RU"/>
        </w:rPr>
        <w:t xml:space="preserve"> </w:t>
      </w:r>
      <w:proofErr w:type="spellStart"/>
      <w:r w:rsidR="00353761">
        <w:rPr>
          <w:lang w:val="ru-RU"/>
        </w:rPr>
        <w:t>програми</w:t>
      </w:r>
      <w:proofErr w:type="spellEnd"/>
      <w:r w:rsidR="00353761">
        <w:rPr>
          <w:lang w:val="ru-RU"/>
        </w:rPr>
        <w:t xml:space="preserve">, </w:t>
      </w:r>
      <w:proofErr w:type="spellStart"/>
      <w:r w:rsidR="00353761">
        <w:rPr>
          <w:lang w:val="ru-RU"/>
        </w:rPr>
        <w:t>изпълнява</w:t>
      </w:r>
      <w:proofErr w:type="spellEnd"/>
      <w:r w:rsidR="00353761">
        <w:rPr>
          <w:lang w:val="ru-RU"/>
        </w:rPr>
        <w:t xml:space="preserve"> </w:t>
      </w:r>
      <w:r w:rsidR="00353761">
        <w:t xml:space="preserve">дейностите по информация </w:t>
      </w:r>
      <w:r w:rsidR="00C90818">
        <w:t>и</w:t>
      </w:r>
      <w:r w:rsidR="00353761">
        <w:t xml:space="preserve"> комуникация</w:t>
      </w:r>
      <w:r w:rsidR="00353761">
        <w:rPr>
          <w:lang w:val="ru-RU"/>
        </w:rPr>
        <w:t xml:space="preserve"> на ОПОС, </w:t>
      </w:r>
      <w:proofErr w:type="spellStart"/>
      <w:r>
        <w:rPr>
          <w:lang w:val="ru-RU"/>
        </w:rPr>
        <w:t>организира</w:t>
      </w:r>
      <w:proofErr w:type="spellEnd"/>
      <w:r>
        <w:rPr>
          <w:lang w:val="ru-RU"/>
        </w:rPr>
        <w:t xml:space="preserve"> </w:t>
      </w:r>
      <w:proofErr w:type="spellStart"/>
      <w:r w:rsidR="00353761">
        <w:rPr>
          <w:lang w:val="ru-RU"/>
        </w:rPr>
        <w:t>подготовката</w:t>
      </w:r>
      <w:proofErr w:type="spellEnd"/>
      <w:r w:rsidR="00353761">
        <w:rPr>
          <w:lang w:val="ru-RU"/>
        </w:rPr>
        <w:t xml:space="preserve"> на технически спецификации, методики за оценка на </w:t>
      </w:r>
      <w:proofErr w:type="spellStart"/>
      <w:r w:rsidR="00353761">
        <w:rPr>
          <w:lang w:val="ru-RU"/>
        </w:rPr>
        <w:t>оферти</w:t>
      </w:r>
      <w:proofErr w:type="spellEnd"/>
      <w:r w:rsidR="00353761">
        <w:rPr>
          <w:lang w:val="ru-RU"/>
        </w:rPr>
        <w:t xml:space="preserve"> и </w:t>
      </w:r>
      <w:proofErr w:type="spellStart"/>
      <w:r w:rsidR="00353761">
        <w:rPr>
          <w:lang w:val="ru-RU"/>
        </w:rPr>
        <w:t>изисквания</w:t>
      </w:r>
      <w:proofErr w:type="spellEnd"/>
      <w:r w:rsidR="00353761">
        <w:rPr>
          <w:lang w:val="ru-RU"/>
        </w:rPr>
        <w:t xml:space="preserve"> за финансово и </w:t>
      </w:r>
      <w:proofErr w:type="spellStart"/>
      <w:r w:rsidR="00353761">
        <w:rPr>
          <w:lang w:val="ru-RU"/>
        </w:rPr>
        <w:t>икономическо</w:t>
      </w:r>
      <w:proofErr w:type="spellEnd"/>
      <w:r w:rsidR="00353761">
        <w:rPr>
          <w:lang w:val="ru-RU"/>
        </w:rPr>
        <w:t xml:space="preserve"> </w:t>
      </w:r>
      <w:proofErr w:type="spellStart"/>
      <w:r w:rsidR="00353761">
        <w:rPr>
          <w:lang w:val="ru-RU"/>
        </w:rPr>
        <w:t>състояние</w:t>
      </w:r>
      <w:proofErr w:type="spellEnd"/>
      <w:r w:rsidR="00353761">
        <w:rPr>
          <w:lang w:val="ru-RU"/>
        </w:rPr>
        <w:t xml:space="preserve">, технически </w:t>
      </w:r>
      <w:proofErr w:type="spellStart"/>
      <w:r w:rsidR="00353761">
        <w:rPr>
          <w:lang w:val="ru-RU"/>
        </w:rPr>
        <w:t>възможности</w:t>
      </w:r>
      <w:proofErr w:type="spellEnd"/>
      <w:r w:rsidR="00353761">
        <w:rPr>
          <w:lang w:val="ru-RU"/>
        </w:rPr>
        <w:t xml:space="preserve">  и/или </w:t>
      </w:r>
      <w:proofErr w:type="spellStart"/>
      <w:r w:rsidR="00353761">
        <w:rPr>
          <w:lang w:val="ru-RU"/>
        </w:rPr>
        <w:t>квалификацията</w:t>
      </w:r>
      <w:proofErr w:type="spellEnd"/>
      <w:r w:rsidR="00353761">
        <w:rPr>
          <w:lang w:val="ru-RU"/>
        </w:rPr>
        <w:t xml:space="preserve"> на </w:t>
      </w:r>
      <w:proofErr w:type="spellStart"/>
      <w:r w:rsidR="00353761">
        <w:rPr>
          <w:lang w:val="ru-RU"/>
        </w:rPr>
        <w:t>кандидатите</w:t>
      </w:r>
      <w:proofErr w:type="spellEnd"/>
      <w:r w:rsidR="00353761">
        <w:rPr>
          <w:lang w:val="ru-RU"/>
        </w:rPr>
        <w:t xml:space="preserve"> или </w:t>
      </w:r>
      <w:proofErr w:type="spellStart"/>
      <w:r w:rsidR="00353761">
        <w:rPr>
          <w:lang w:val="ru-RU"/>
        </w:rPr>
        <w:t>участниците</w:t>
      </w:r>
      <w:proofErr w:type="spellEnd"/>
      <w:r w:rsidR="00353761">
        <w:rPr>
          <w:lang w:val="ru-RU"/>
        </w:rPr>
        <w:t xml:space="preserve"> за </w:t>
      </w:r>
      <w:proofErr w:type="spellStart"/>
      <w:r w:rsidR="00353761">
        <w:rPr>
          <w:lang w:val="ru-RU"/>
        </w:rPr>
        <w:t>обществените</w:t>
      </w:r>
      <w:proofErr w:type="spellEnd"/>
      <w:r w:rsidR="00353761">
        <w:rPr>
          <w:lang w:val="ru-RU"/>
        </w:rPr>
        <w:t xml:space="preserve"> </w:t>
      </w:r>
      <w:proofErr w:type="spellStart"/>
      <w:r w:rsidR="00353761">
        <w:rPr>
          <w:lang w:val="ru-RU"/>
        </w:rPr>
        <w:t>поръчки</w:t>
      </w:r>
      <w:proofErr w:type="spellEnd"/>
      <w:r w:rsidR="00353761">
        <w:rPr>
          <w:lang w:val="ru-RU"/>
        </w:rPr>
        <w:t xml:space="preserve"> на </w:t>
      </w:r>
      <w:proofErr w:type="spellStart"/>
      <w:r w:rsidR="00353761">
        <w:rPr>
          <w:lang w:val="ru-RU"/>
        </w:rPr>
        <w:t>дирекцията</w:t>
      </w:r>
      <w:proofErr w:type="spellEnd"/>
      <w:r w:rsidR="00353761">
        <w:rPr>
          <w:lang w:val="ru-RU"/>
        </w:rPr>
        <w:t xml:space="preserve"> и </w:t>
      </w:r>
      <w:proofErr w:type="spellStart"/>
      <w:r w:rsidR="00353761">
        <w:rPr>
          <w:lang w:val="ru-RU"/>
        </w:rPr>
        <w:t>проект</w:t>
      </w:r>
      <w:r w:rsidR="00C90818">
        <w:rPr>
          <w:lang w:val="ru-RU"/>
        </w:rPr>
        <w:t>и</w:t>
      </w:r>
      <w:proofErr w:type="spellEnd"/>
      <w:r w:rsidR="00353761">
        <w:rPr>
          <w:lang w:val="ru-RU"/>
        </w:rPr>
        <w:t xml:space="preserve"> на договор</w:t>
      </w:r>
      <w:r w:rsidR="00C90818">
        <w:rPr>
          <w:lang w:val="ru-RU"/>
        </w:rPr>
        <w:t>и</w:t>
      </w:r>
      <w:r w:rsidR="00353761">
        <w:rPr>
          <w:lang w:val="ru-RU"/>
        </w:rPr>
        <w:t xml:space="preserve">, </w:t>
      </w:r>
      <w:proofErr w:type="spellStart"/>
      <w:r w:rsidR="00353761">
        <w:rPr>
          <w:lang w:val="ru-RU"/>
        </w:rPr>
        <w:t>които</w:t>
      </w:r>
      <w:proofErr w:type="spellEnd"/>
      <w:r w:rsidR="00353761">
        <w:rPr>
          <w:lang w:val="ru-RU"/>
        </w:rPr>
        <w:t xml:space="preserve"> се </w:t>
      </w:r>
      <w:proofErr w:type="spellStart"/>
      <w:r w:rsidR="00353761">
        <w:rPr>
          <w:lang w:val="ru-RU"/>
        </w:rPr>
        <w:t>финансират</w:t>
      </w:r>
      <w:proofErr w:type="spellEnd"/>
      <w:r w:rsidR="00353761">
        <w:rPr>
          <w:lang w:val="ru-RU"/>
        </w:rPr>
        <w:t xml:space="preserve"> от приоритетна ос 6 „</w:t>
      </w:r>
      <w:proofErr w:type="spellStart"/>
      <w:r w:rsidR="00353761">
        <w:rPr>
          <w:lang w:val="ru-RU"/>
        </w:rPr>
        <w:t>Техническа</w:t>
      </w:r>
      <w:proofErr w:type="spellEnd"/>
      <w:r w:rsidR="00353761">
        <w:rPr>
          <w:lang w:val="ru-RU"/>
        </w:rPr>
        <w:t xml:space="preserve"> </w:t>
      </w:r>
      <w:proofErr w:type="spellStart"/>
      <w:r w:rsidR="00353761">
        <w:rPr>
          <w:lang w:val="ru-RU"/>
        </w:rPr>
        <w:t>помощ</w:t>
      </w:r>
      <w:proofErr w:type="spellEnd"/>
      <w:r w:rsidR="00353761">
        <w:rPr>
          <w:lang w:val="ru-RU"/>
        </w:rPr>
        <w:t>” на ОПОС 2014-2020 г.</w:t>
      </w:r>
      <w:r>
        <w:rPr>
          <w:lang w:val="ru-RU"/>
        </w:rPr>
        <w:t xml:space="preserve"> С </w:t>
      </w:r>
      <w:proofErr w:type="spellStart"/>
      <w:r>
        <w:rPr>
          <w:lang w:val="ru-RU"/>
        </w:rPr>
        <w:t>оглед</w:t>
      </w:r>
      <w:proofErr w:type="spellEnd"/>
      <w:r>
        <w:rPr>
          <w:lang w:val="ru-RU"/>
        </w:rPr>
        <w:t xml:space="preserve"> на </w:t>
      </w:r>
      <w:proofErr w:type="spellStart"/>
      <w:r>
        <w:rPr>
          <w:lang w:val="ru-RU"/>
        </w:rPr>
        <w:t>отговорностите</w:t>
      </w:r>
      <w:proofErr w:type="spellEnd"/>
      <w:r>
        <w:rPr>
          <w:lang w:val="ru-RU"/>
        </w:rPr>
        <w:t xml:space="preserve"> си отдел ККТП </w:t>
      </w:r>
      <w:proofErr w:type="spellStart"/>
      <w:r>
        <w:rPr>
          <w:lang w:val="ru-RU"/>
        </w:rPr>
        <w:t>взаимодейства</w:t>
      </w:r>
      <w:proofErr w:type="spellEnd"/>
      <w:r>
        <w:rPr>
          <w:lang w:val="ru-RU"/>
        </w:rPr>
        <w:t xml:space="preserve"> с отдел ПП </w:t>
      </w:r>
      <w:proofErr w:type="spellStart"/>
      <w:r>
        <w:rPr>
          <w:lang w:val="ru-RU"/>
        </w:rPr>
        <w:t>във</w:t>
      </w:r>
      <w:proofErr w:type="spellEnd"/>
      <w:r>
        <w:rPr>
          <w:lang w:val="ru-RU"/>
        </w:rPr>
        <w:t xml:space="preserve"> </w:t>
      </w:r>
      <w:proofErr w:type="spellStart"/>
      <w:r>
        <w:rPr>
          <w:lang w:val="ru-RU"/>
        </w:rPr>
        <w:t>връзка</w:t>
      </w:r>
      <w:proofErr w:type="spellEnd"/>
      <w:r>
        <w:rPr>
          <w:lang w:val="ru-RU"/>
        </w:rPr>
        <w:t xml:space="preserve"> с </w:t>
      </w:r>
      <w:proofErr w:type="spellStart"/>
      <w:r>
        <w:rPr>
          <w:lang w:val="ru-RU"/>
        </w:rPr>
        <w:t>подготовката</w:t>
      </w:r>
      <w:proofErr w:type="spellEnd"/>
      <w:r>
        <w:rPr>
          <w:lang w:val="ru-RU"/>
        </w:rPr>
        <w:t xml:space="preserve"> на технически задания за </w:t>
      </w:r>
      <w:proofErr w:type="spellStart"/>
      <w:r>
        <w:rPr>
          <w:lang w:val="ru-RU"/>
        </w:rPr>
        <w:t>възлагане</w:t>
      </w:r>
      <w:proofErr w:type="spellEnd"/>
      <w:r>
        <w:rPr>
          <w:lang w:val="ru-RU"/>
        </w:rPr>
        <w:t xml:space="preserve"> на </w:t>
      </w:r>
      <w:proofErr w:type="spellStart"/>
      <w:r>
        <w:rPr>
          <w:lang w:val="ru-RU"/>
        </w:rPr>
        <w:t>планираните</w:t>
      </w:r>
      <w:proofErr w:type="spellEnd"/>
      <w:r>
        <w:rPr>
          <w:lang w:val="ru-RU"/>
        </w:rPr>
        <w:t xml:space="preserve"> оценки от Плана за оценка на ОПОС на </w:t>
      </w:r>
      <w:proofErr w:type="spellStart"/>
      <w:r>
        <w:rPr>
          <w:lang w:val="ru-RU"/>
        </w:rPr>
        <w:t>външен</w:t>
      </w:r>
      <w:proofErr w:type="spellEnd"/>
      <w:r>
        <w:rPr>
          <w:lang w:val="ru-RU"/>
        </w:rPr>
        <w:t xml:space="preserve"> </w:t>
      </w:r>
      <w:proofErr w:type="spellStart"/>
      <w:r>
        <w:rPr>
          <w:lang w:val="ru-RU"/>
        </w:rPr>
        <w:t>изпълнител</w:t>
      </w:r>
      <w:proofErr w:type="spellEnd"/>
      <w:r>
        <w:rPr>
          <w:lang w:val="ru-RU"/>
        </w:rPr>
        <w:t xml:space="preserve"> по </w:t>
      </w:r>
      <w:proofErr w:type="spellStart"/>
      <w:r>
        <w:rPr>
          <w:lang w:val="ru-RU"/>
        </w:rPr>
        <w:t>реда</w:t>
      </w:r>
      <w:proofErr w:type="spellEnd"/>
      <w:r>
        <w:rPr>
          <w:lang w:val="ru-RU"/>
        </w:rPr>
        <w:t xml:space="preserve"> на Закона за </w:t>
      </w:r>
      <w:proofErr w:type="spellStart"/>
      <w:r>
        <w:rPr>
          <w:lang w:val="ru-RU"/>
        </w:rPr>
        <w:t>обществените</w:t>
      </w:r>
      <w:proofErr w:type="spellEnd"/>
      <w:r>
        <w:rPr>
          <w:lang w:val="ru-RU"/>
        </w:rPr>
        <w:t xml:space="preserve"> </w:t>
      </w:r>
      <w:proofErr w:type="spellStart"/>
      <w:r>
        <w:rPr>
          <w:lang w:val="ru-RU"/>
        </w:rPr>
        <w:t>поръчки</w:t>
      </w:r>
      <w:proofErr w:type="spellEnd"/>
      <w:r>
        <w:rPr>
          <w:lang w:val="ru-RU"/>
        </w:rPr>
        <w:t xml:space="preserve"> </w:t>
      </w:r>
      <w:r w:rsidRPr="00BF074F">
        <w:rPr>
          <w:lang w:val="ru-RU"/>
        </w:rPr>
        <w:t>(</w:t>
      </w:r>
      <w:r>
        <w:t>ЗОП</w:t>
      </w:r>
      <w:r w:rsidRPr="00BF074F">
        <w:rPr>
          <w:lang w:val="ru-RU"/>
        </w:rPr>
        <w:t>)</w:t>
      </w:r>
      <w:r w:rsidR="00836B42">
        <w:t xml:space="preserve">. </w:t>
      </w:r>
      <w:r w:rsidR="00C90818">
        <w:t>Планирането и провеждането на специализирани обучения в областта на оценката</w:t>
      </w:r>
      <w:r w:rsidR="00836B42">
        <w:t xml:space="preserve"> на служителите </w:t>
      </w:r>
      <w:r w:rsidR="00C90818">
        <w:t>от отдел ПП</w:t>
      </w:r>
      <w:r w:rsidR="00836B42">
        <w:t>, ангажирани с оценката на програмата</w:t>
      </w:r>
      <w:r w:rsidR="00C90818">
        <w:t>,</w:t>
      </w:r>
      <w:r w:rsidR="00836B42">
        <w:t xml:space="preserve"> </w:t>
      </w:r>
      <w:r w:rsidR="00C90818">
        <w:t xml:space="preserve">в рамките на Годишния план за обучения на ГД ОПОС </w:t>
      </w:r>
      <w:r w:rsidR="00836B42">
        <w:t>също следва да бъде координирано с отдел ККТП, както и изпълнението на мерките за оповестяване на резултатите от оценките сред партньорите, заинтересованите страни и широката общественост.</w:t>
      </w:r>
    </w:p>
    <w:p w:rsidR="00E46772" w:rsidRDefault="00353761" w:rsidP="00EB274A">
      <w:pPr>
        <w:pStyle w:val="ListBullet"/>
        <w:jc w:val="both"/>
        <w:rPr>
          <w:noProof/>
        </w:rPr>
      </w:pPr>
      <w:r w:rsidRPr="00E46772">
        <w:rPr>
          <w:b/>
          <w:noProof/>
        </w:rPr>
        <w:t xml:space="preserve">Отдел „Мониторинг” </w:t>
      </w:r>
    </w:p>
    <w:p w:rsidR="00836B42" w:rsidRDefault="00E46772" w:rsidP="00EB274A">
      <w:pPr>
        <w:pStyle w:val="ListBullet"/>
        <w:numPr>
          <w:ilvl w:val="0"/>
          <w:numId w:val="0"/>
        </w:numPr>
        <w:jc w:val="both"/>
        <w:rPr>
          <w:noProof/>
        </w:rPr>
      </w:pPr>
      <w:r>
        <w:rPr>
          <w:noProof/>
        </w:rPr>
        <w:t xml:space="preserve">Съгласно СУК отдел </w:t>
      </w:r>
      <w:r w:rsidR="00C90818">
        <w:rPr>
          <w:noProof/>
        </w:rPr>
        <w:t>„</w:t>
      </w:r>
      <w:r>
        <w:rPr>
          <w:noProof/>
        </w:rPr>
        <w:t>М</w:t>
      </w:r>
      <w:r w:rsidR="00C90818">
        <w:rPr>
          <w:noProof/>
        </w:rPr>
        <w:t>ониторинг“</w:t>
      </w:r>
      <w:r>
        <w:rPr>
          <w:noProof/>
        </w:rPr>
        <w:t xml:space="preserve"> </w:t>
      </w:r>
      <w:r w:rsidRPr="00E46772">
        <w:t>извършва дейностите, свързани с мониторинга и докладването по ОПОС 2014-2020 г., извършва анализ и обобщава информацията за напредъка на ниво оперативна програма, в т.ч. следи за изпълнението на индикаторите на ниво проект, приоритетна ос и програма и анализира на годишна база получената информация, изготвя годишни доклади за напредък и окончателен доклад за изпълнение на ОПОС 2014-2020 г.</w:t>
      </w:r>
      <w:r w:rsidR="00836B42">
        <w:t xml:space="preserve"> С оглед на своята компетентност отдел </w:t>
      </w:r>
      <w:r w:rsidR="00C90818">
        <w:rPr>
          <w:noProof/>
        </w:rPr>
        <w:t xml:space="preserve">„Мониторинг“ </w:t>
      </w:r>
      <w:r w:rsidR="00836B42">
        <w:t xml:space="preserve"> извършва </w:t>
      </w:r>
      <w:r w:rsidR="00836B42">
        <w:lastRenderedPageBreak/>
        <w:t xml:space="preserve">постоянно взаимодействие с отдел ПП във връзка с набирането на необходимите мониторингови данни, съгласно изискванията на европейското законодателство, за проследяване напредъка на изпълнението на всички нива – проект, приоритетна ос и програма. Пълнотата и качеството на събраните данни е от ключово значение за </w:t>
      </w:r>
      <w:r w:rsidR="00C90818">
        <w:t xml:space="preserve"> </w:t>
      </w:r>
      <w:r w:rsidR="00836B42">
        <w:t>изпълнението на планираните оценки в настоящия План за оценка на ОПОС.</w:t>
      </w:r>
    </w:p>
    <w:p w:rsidR="004D6B0B" w:rsidRDefault="004D6B0B" w:rsidP="00EB274A">
      <w:pPr>
        <w:pStyle w:val="Heading2"/>
        <w:jc w:val="both"/>
      </w:pPr>
      <w:bookmarkStart w:id="28" w:name="_Toc453078512"/>
      <w:r w:rsidRPr="00836B42">
        <w:t xml:space="preserve">Описание на процеса на оценка по ОПОС 2014-2020 г. </w:t>
      </w:r>
      <w:r w:rsidR="00B161A7" w:rsidRPr="00836B42">
        <w:t xml:space="preserve">под ръководството на УО </w:t>
      </w:r>
      <w:r w:rsidR="00791F09" w:rsidRPr="00836B42">
        <w:t>и функции на другите основни участници</w:t>
      </w:r>
      <w:bookmarkEnd w:id="28"/>
    </w:p>
    <w:p w:rsidR="00C90818" w:rsidRPr="00836B42" w:rsidRDefault="00836B42" w:rsidP="00EB274A">
      <w:pPr>
        <w:jc w:val="both"/>
      </w:pPr>
      <w:r>
        <w:t>Настоящия</w:t>
      </w:r>
      <w:r w:rsidR="005E315B">
        <w:t>т</w:t>
      </w:r>
      <w:r>
        <w:t xml:space="preserve"> раздел от Плана за оценка на ОПОС представя детайлно описание на основните етапи в процеса на оценка на ОПОС 2014-2020 г., извършван под ръководството на </w:t>
      </w:r>
      <w:r w:rsidR="00C46D74">
        <w:t>УО</w:t>
      </w:r>
      <w:r>
        <w:t xml:space="preserve"> в тясно взаимодействие с другите основни участници в процеса. Т. 3.2.1 предоставя описание на действащите процедури в рамките на </w:t>
      </w:r>
      <w:r w:rsidR="00C46D74">
        <w:t>УО</w:t>
      </w:r>
      <w:r>
        <w:t xml:space="preserve"> по </w:t>
      </w:r>
      <w:r w:rsidR="00C90818">
        <w:t>управление</w:t>
      </w:r>
      <w:r w:rsidR="00517AFA">
        <w:t xml:space="preserve"> и координация на проц</w:t>
      </w:r>
      <w:r w:rsidR="00C90818">
        <w:t>еса на оценка, а т.  3.2.2-3.2.5</w:t>
      </w:r>
      <w:r w:rsidR="00517AFA">
        <w:t xml:space="preserve"> описват ролята на всеки от основните участници в процеса на оценка на ОПОС и начина на взаимодействие с </w:t>
      </w:r>
      <w:r w:rsidR="00C46D74">
        <w:t>УО</w:t>
      </w:r>
      <w:r w:rsidR="00517AFA">
        <w:t>.</w:t>
      </w:r>
    </w:p>
    <w:p w:rsidR="005168C7" w:rsidRDefault="00B161A7" w:rsidP="00EB274A">
      <w:pPr>
        <w:pStyle w:val="Heading3"/>
        <w:jc w:val="both"/>
      </w:pPr>
      <w:bookmarkStart w:id="29" w:name="_Toc453078513"/>
      <w:r>
        <w:t>Процед</w:t>
      </w:r>
      <w:r w:rsidR="00517AFA">
        <w:t xml:space="preserve">урен ред по </w:t>
      </w:r>
      <w:r w:rsidR="00C90818">
        <w:t>управление</w:t>
      </w:r>
      <w:r w:rsidR="00517AFA">
        <w:t xml:space="preserve"> и координация на оценката на ОПОС в УО</w:t>
      </w:r>
      <w:bookmarkEnd w:id="29"/>
    </w:p>
    <w:p w:rsidR="00517AFA" w:rsidRPr="00DE0BDC" w:rsidRDefault="00003D3D" w:rsidP="00EB274A">
      <w:pPr>
        <w:pStyle w:val="ListParagraph"/>
        <w:numPr>
          <w:ilvl w:val="0"/>
          <w:numId w:val="9"/>
        </w:numPr>
        <w:jc w:val="both"/>
        <w:rPr>
          <w:b/>
        </w:rPr>
      </w:pPr>
      <w:r w:rsidRPr="00DE0BDC">
        <w:rPr>
          <w:b/>
        </w:rPr>
        <w:t>Разработване, одобрение и изменение на План за оценка на ОПОС</w:t>
      </w:r>
    </w:p>
    <w:p w:rsidR="00003D3D" w:rsidRDefault="00003D3D" w:rsidP="00EB274A">
      <w:pPr>
        <w:jc w:val="both"/>
      </w:pPr>
      <w:r>
        <w:t>Отдел ПП е отговорен за разработването на проект на План за оценка на ОПОС за съответния програмен период в рамките на 1 календарна година от датата на одобрение на оперативнат</w:t>
      </w:r>
      <w:r w:rsidR="0028724A">
        <w:t>а програма от ЕК или на проект з</w:t>
      </w:r>
      <w:r>
        <w:t xml:space="preserve">а изменение на Плана за оценка на ОПОС при възникване на такава необходимост. </w:t>
      </w:r>
    </w:p>
    <w:p w:rsidR="00003D3D" w:rsidRPr="00F65C5F" w:rsidRDefault="00003D3D" w:rsidP="00EB274A">
      <w:pPr>
        <w:jc w:val="both"/>
        <w:rPr>
          <w:rFonts w:ascii="Times New Roman" w:hAnsi="Times New Roman"/>
          <w:sz w:val="20"/>
          <w:lang w:val="ru-RU"/>
        </w:rPr>
      </w:pPr>
      <w:r>
        <w:t xml:space="preserve">Проектът на </w:t>
      </w:r>
      <w:r w:rsidR="00DE0BDC">
        <w:t xml:space="preserve">документа </w:t>
      </w:r>
      <w:r>
        <w:t xml:space="preserve">се предоставя за становище по компетентност на другите отдели в ГД ОПОС. При необходимост проектът може да бъде предоставян за становище и на други заинтересовани страни (ЦКЗ, </w:t>
      </w:r>
      <w:r w:rsidR="0028724A">
        <w:t>П</w:t>
      </w:r>
      <w:r w:rsidR="00DE0BDC">
        <w:t xml:space="preserve">остоянната междуведомствена група за оценка на ЕСИФ 2014-2020 г., </w:t>
      </w:r>
      <w:r>
        <w:t>министерства и др.).</w:t>
      </w:r>
    </w:p>
    <w:p w:rsidR="00003D3D" w:rsidRDefault="00DE0BDC" w:rsidP="00EB274A">
      <w:pPr>
        <w:jc w:val="both"/>
      </w:pPr>
      <w:r>
        <w:t xml:space="preserve">След обобщаване на получените становища в рамките на процеса по съгласуване и отразяване на необходими промени документът </w:t>
      </w:r>
      <w:r w:rsidR="00003D3D">
        <w:t>се представя на ръководителя на УО за съгласуване.</w:t>
      </w:r>
    </w:p>
    <w:p w:rsidR="00367837" w:rsidRDefault="00003D3D" w:rsidP="00EB274A">
      <w:pPr>
        <w:jc w:val="both"/>
      </w:pPr>
      <w:r>
        <w:t>Проек</w:t>
      </w:r>
      <w:r w:rsidR="0028724A">
        <w:t>тът на План за оценка/проектът за изменение на П</w:t>
      </w:r>
      <w:r>
        <w:t xml:space="preserve">лана за оценка се представя на </w:t>
      </w:r>
      <w:r w:rsidR="00DE0BDC">
        <w:t>КН</w:t>
      </w:r>
      <w:r>
        <w:t xml:space="preserve"> на ОПОС за </w:t>
      </w:r>
      <w:r w:rsidR="00DE0BDC">
        <w:t xml:space="preserve">обсъждане и </w:t>
      </w:r>
      <w:r>
        <w:t>одобрение.</w:t>
      </w:r>
      <w:r w:rsidR="00DE0BDC">
        <w:t xml:space="preserve"> </w:t>
      </w:r>
    </w:p>
    <w:p w:rsidR="00003D3D" w:rsidRPr="00DE0BDC" w:rsidRDefault="00DE0BDC" w:rsidP="00EB274A">
      <w:pPr>
        <w:pStyle w:val="ListParagraph"/>
        <w:numPr>
          <w:ilvl w:val="0"/>
          <w:numId w:val="10"/>
        </w:numPr>
        <w:jc w:val="both"/>
        <w:rPr>
          <w:b/>
        </w:rPr>
      </w:pPr>
      <w:r w:rsidRPr="00DE0BDC">
        <w:rPr>
          <w:b/>
        </w:rPr>
        <w:t>Планиране и изпълнение на оценка на ОПОС</w:t>
      </w:r>
    </w:p>
    <w:p w:rsidR="00DE0BDC" w:rsidRDefault="00D72772" w:rsidP="00EB274A">
      <w:pPr>
        <w:jc w:val="both"/>
      </w:pPr>
      <w:r>
        <w:t xml:space="preserve">УО инициира извършването на </w:t>
      </w:r>
      <w:r w:rsidR="006C0B98">
        <w:t xml:space="preserve">конкретна </w:t>
      </w:r>
      <w:r>
        <w:t xml:space="preserve">оценка в съответствие с </w:t>
      </w:r>
      <w:r w:rsidR="006C0B98">
        <w:t>предвидените оценки и график, описани в</w:t>
      </w:r>
      <w:r>
        <w:t xml:space="preserve"> Плана за оценка на ОПОС, както и при необходимост </w:t>
      </w:r>
      <w:r w:rsidR="0028724A">
        <w:t xml:space="preserve">от </w:t>
      </w:r>
      <w:r>
        <w:t xml:space="preserve">извършването </w:t>
      </w:r>
      <w:r>
        <w:lastRenderedPageBreak/>
        <w:t xml:space="preserve">на </w:t>
      </w:r>
      <w:r w:rsidR="006C0B98">
        <w:t xml:space="preserve">допълнителни </w:t>
      </w:r>
      <w:r>
        <w:t>ad hoc оценки, съгласно идентифицирани</w:t>
      </w:r>
      <w:r w:rsidR="0028724A">
        <w:t xml:space="preserve"> потребности, както е указано в </w:t>
      </w:r>
      <w:r w:rsidR="0028724A" w:rsidRPr="0028724A">
        <w:t>Ръководство</w:t>
      </w:r>
      <w:r w:rsidR="0028724A">
        <w:t>то</w:t>
      </w:r>
      <w:r w:rsidR="0028724A" w:rsidRPr="0028724A">
        <w:t xml:space="preserve"> на ЕК за планове за оценки</w:t>
      </w:r>
      <w:r>
        <w:t xml:space="preserve">. </w:t>
      </w:r>
    </w:p>
    <w:p w:rsidR="006C0B98" w:rsidRDefault="006C0B98" w:rsidP="00EB274A">
      <w:pPr>
        <w:jc w:val="both"/>
      </w:pPr>
      <w:r>
        <w:t xml:space="preserve">За изпълнението на Плана за оценка на ОПОС и осъществяването на предвидените оценки </w:t>
      </w:r>
      <w:r w:rsidR="00C46D74">
        <w:t>УО</w:t>
      </w:r>
      <w:r>
        <w:t xml:space="preserve"> предвижда да бъде използвана само външна експертиза от страна на </w:t>
      </w:r>
      <w:r w:rsidR="006125B4">
        <w:t xml:space="preserve">независими </w:t>
      </w:r>
      <w:r>
        <w:t>оценители, определени за изпълнители по реда на ЗОП и подзаконовите нормативни актове по прилагането му (външна оценка).</w:t>
      </w:r>
    </w:p>
    <w:p w:rsidR="004E1F1D" w:rsidRPr="004E1F1D" w:rsidRDefault="006C0B98" w:rsidP="00EB274A">
      <w:pPr>
        <w:jc w:val="both"/>
        <w:rPr>
          <w:b/>
        </w:rPr>
      </w:pPr>
      <w:r>
        <w:t xml:space="preserve">Процедурата по планиране и изпълнение </w:t>
      </w:r>
      <w:r w:rsidR="004E1F1D">
        <w:t>на</w:t>
      </w:r>
      <w:r>
        <w:t xml:space="preserve"> </w:t>
      </w:r>
      <w:r w:rsidR="004E1F1D">
        <w:t>оценките</w:t>
      </w:r>
      <w:r w:rsidR="00406F53">
        <w:t xml:space="preserve"> </w:t>
      </w:r>
      <w:r w:rsidR="004E1F1D">
        <w:t xml:space="preserve">на ОПОС, заложени в Плана за оценка или допълнителни </w:t>
      </w:r>
      <w:r w:rsidR="004E1F1D">
        <w:rPr>
          <w:lang w:val="en-US"/>
        </w:rPr>
        <w:t>ad</w:t>
      </w:r>
      <w:r w:rsidR="004E1F1D" w:rsidRPr="00DF5FC4">
        <w:rPr>
          <w:lang w:val="ru-RU"/>
        </w:rPr>
        <w:t xml:space="preserve"> </w:t>
      </w:r>
      <w:r w:rsidR="004E1F1D">
        <w:rPr>
          <w:lang w:val="en-US"/>
        </w:rPr>
        <w:t>hoc</w:t>
      </w:r>
      <w:r w:rsidR="004E1F1D" w:rsidRPr="00DF5FC4">
        <w:rPr>
          <w:lang w:val="ru-RU"/>
        </w:rPr>
        <w:t xml:space="preserve"> </w:t>
      </w:r>
      <w:r w:rsidR="004E1F1D">
        <w:t xml:space="preserve">оценки, </w:t>
      </w:r>
      <w:r w:rsidR="00A95D69">
        <w:t xml:space="preserve">от външен изпълнител </w:t>
      </w:r>
      <w:r w:rsidR="004E1F1D">
        <w:t xml:space="preserve">преминава през следните </w:t>
      </w:r>
      <w:r w:rsidR="004E1F1D" w:rsidRPr="004E1F1D">
        <w:rPr>
          <w:b/>
        </w:rPr>
        <w:t>4 основни етапа:</w:t>
      </w:r>
    </w:p>
    <w:p w:rsidR="00BC3444" w:rsidRPr="00BC3444" w:rsidRDefault="00406F53" w:rsidP="00EB274A">
      <w:pPr>
        <w:jc w:val="both"/>
        <w:rPr>
          <w:b/>
        </w:rPr>
      </w:pPr>
      <w:r w:rsidRPr="00406F53">
        <w:rPr>
          <w:rFonts w:ascii="Cambria Math" w:hAnsi="Cambria Math" w:cs="Cambria Math"/>
          <w:color w:val="98C723" w:themeColor="accent1"/>
        </w:rPr>
        <w:t>❶</w:t>
      </w:r>
      <w:r>
        <w:rPr>
          <w:rFonts w:ascii="Cambria Math" w:hAnsi="Cambria Math" w:cs="Cambria Math"/>
          <w:color w:val="59B0B9" w:themeColor="accent2"/>
        </w:rPr>
        <w:t xml:space="preserve"> </w:t>
      </w:r>
      <w:r w:rsidR="004E1F1D" w:rsidRPr="00401DB7">
        <w:rPr>
          <w:b/>
        </w:rPr>
        <w:t>Планиране на външна оценка на ОПОС, в т.ч. при необходимост</w:t>
      </w:r>
      <w:r w:rsidR="00F50C37">
        <w:rPr>
          <w:b/>
        </w:rPr>
        <w:t xml:space="preserve"> на</w:t>
      </w:r>
      <w:r w:rsidR="004E1F1D" w:rsidRPr="00401DB7">
        <w:rPr>
          <w:b/>
        </w:rPr>
        <w:t xml:space="preserve"> ad hoc оценка</w:t>
      </w:r>
    </w:p>
    <w:p w:rsidR="00FA25EE" w:rsidRDefault="00FA25EE" w:rsidP="00EB274A">
      <w:pPr>
        <w:jc w:val="both"/>
      </w:pPr>
      <w:r>
        <w:t xml:space="preserve">В изпълнение на Плана за оценка на ОПОС и одобрения график за оценките отдел ПП инициира планирането на отделните оценки по ОПОС. Съвместно с останалите отдели в ГД ОПОС той определя предмета, целите и обосновка на необходимостта от оценката, дефинира подхода, основните въпроси за оценката, методите за извършване на оценката, изискванията по отношение на необходимите данни, продължителността и индикативния период за провеждане на оценката, бюджета за провеждане на </w:t>
      </w:r>
      <w:r w:rsidR="00401DB7">
        <w:t xml:space="preserve">оценката. Разработената информация за параметрите </w:t>
      </w:r>
      <w:r>
        <w:t xml:space="preserve">на оценката се съгласува от главния директор на ГД ОПОС в срок от 10 работни дни от представянето на окончателния модел. </w:t>
      </w:r>
    </w:p>
    <w:p w:rsidR="00FA25EE" w:rsidRDefault="00FA25EE" w:rsidP="00EB274A">
      <w:pPr>
        <w:jc w:val="both"/>
      </w:pPr>
      <w:r>
        <w:rPr>
          <w:rFonts w:cs="Garamond"/>
        </w:rPr>
        <w:t>Отдел ПП предоставя необходимата информация за планираната оценка на отдел ККТП за р</w:t>
      </w:r>
      <w:r>
        <w:t xml:space="preserve">азработване на техническо задание във връзка с подготовка на документация за възлагане на обществена поръчка за извършване на оценка на ОПОС по реда на ЗОП. Провеждането на обществената поръчка за избор на външен изпълнител на оценка на ОПОС се извършва съобразно </w:t>
      </w:r>
      <w:r w:rsidRPr="00A95D69">
        <w:rPr>
          <w:i/>
        </w:rPr>
        <w:t>Вътрешните правила за  организиране, провеждане и възлагане на обществени поръчки на МОСВ</w:t>
      </w:r>
      <w:r>
        <w:t xml:space="preserve"> и при спазване на всички нормативни изисква</w:t>
      </w:r>
      <w:r w:rsidR="007537E1">
        <w:t>н</w:t>
      </w:r>
      <w:r>
        <w:t>ия относно обществените поръчки в националното и европейското законодателство.</w:t>
      </w:r>
    </w:p>
    <w:p w:rsidR="009C36CD" w:rsidRDefault="009C36CD" w:rsidP="00EB274A">
      <w:pPr>
        <w:jc w:val="both"/>
        <w:rPr>
          <w:rFonts w:cs="Garamond"/>
        </w:rPr>
      </w:pPr>
      <w:r w:rsidRPr="00CB6AF2">
        <w:rPr>
          <w:rFonts w:cs="Garamond"/>
        </w:rPr>
        <w:t>След провеждане на процедурата по ЗОП</w:t>
      </w:r>
      <w:r>
        <w:rPr>
          <w:rFonts w:cs="Garamond"/>
        </w:rPr>
        <w:t xml:space="preserve"> за възлагане на оценките, предвидени в Плана за оценка на ОПОС,</w:t>
      </w:r>
      <w:r w:rsidRPr="00CB6AF2">
        <w:rPr>
          <w:rFonts w:cs="Garamond"/>
        </w:rPr>
        <w:t xml:space="preserve"> с избрани</w:t>
      </w:r>
      <w:r w:rsidR="00BA684B">
        <w:rPr>
          <w:rFonts w:cs="Garamond"/>
        </w:rPr>
        <w:t>я</w:t>
      </w:r>
      <w:r w:rsidR="00062101">
        <w:rPr>
          <w:rFonts w:cs="Garamond"/>
        </w:rPr>
        <w:t>/те</w:t>
      </w:r>
      <w:r w:rsidRPr="00CB6AF2">
        <w:rPr>
          <w:rFonts w:cs="Garamond"/>
        </w:rPr>
        <w:t xml:space="preserve"> външ</w:t>
      </w:r>
      <w:r w:rsidR="00BA684B">
        <w:rPr>
          <w:rFonts w:cs="Garamond"/>
        </w:rPr>
        <w:t>е</w:t>
      </w:r>
      <w:r w:rsidRPr="00CB6AF2">
        <w:rPr>
          <w:rFonts w:cs="Garamond"/>
        </w:rPr>
        <w:t>н</w:t>
      </w:r>
      <w:r w:rsidR="00062101">
        <w:rPr>
          <w:rFonts w:cs="Garamond"/>
        </w:rPr>
        <w:t>/и</w:t>
      </w:r>
      <w:r>
        <w:rPr>
          <w:rFonts w:cs="Garamond"/>
        </w:rPr>
        <w:t xml:space="preserve"> </w:t>
      </w:r>
      <w:r w:rsidRPr="00CB6AF2">
        <w:rPr>
          <w:rFonts w:cs="Garamond"/>
        </w:rPr>
        <w:t>изпълнител</w:t>
      </w:r>
      <w:r w:rsidR="00062101">
        <w:rPr>
          <w:rFonts w:cs="Garamond"/>
        </w:rPr>
        <w:t>/и</w:t>
      </w:r>
      <w:r w:rsidRPr="00CB6AF2">
        <w:rPr>
          <w:rFonts w:cs="Garamond"/>
        </w:rPr>
        <w:t xml:space="preserve"> се сключва рамково споразумение</w:t>
      </w:r>
      <w:r w:rsidR="00627884">
        <w:rPr>
          <w:rFonts w:cs="Garamond"/>
        </w:rPr>
        <w:t>/договор</w:t>
      </w:r>
      <w:r w:rsidRPr="00CB6AF2">
        <w:rPr>
          <w:rFonts w:cs="Garamond"/>
        </w:rPr>
        <w:t xml:space="preserve"> за изпълнение на оценки</w:t>
      </w:r>
      <w:r>
        <w:rPr>
          <w:rFonts w:cs="Garamond"/>
        </w:rPr>
        <w:t>те в Плана за оценка на ОПОС през целия програмен период. Процедурата за възлагане на оценката ще бъде проведена в пълно съответствие с изискванията на ЗОП и действащата подзаконова нормативна база.</w:t>
      </w:r>
    </w:p>
    <w:p w:rsidR="00627884" w:rsidRDefault="00627884" w:rsidP="00EB274A">
      <w:pPr>
        <w:jc w:val="both"/>
      </w:pPr>
    </w:p>
    <w:p w:rsidR="00FA25EE" w:rsidRDefault="00627884" w:rsidP="00EB274A">
      <w:pPr>
        <w:jc w:val="both"/>
      </w:pPr>
      <w:r>
        <w:lastRenderedPageBreak/>
        <w:t>Съгласно допълнително идентифицирани потребности в хода на изпълнение на ОПОС 2014-2020 г</w:t>
      </w:r>
      <w:r>
        <w:rPr>
          <w:bCs/>
        </w:rPr>
        <w:t xml:space="preserve">. и </w:t>
      </w:r>
      <w:r>
        <w:rPr>
          <w:rFonts w:cs="Garamond"/>
        </w:rPr>
        <w:t>с</w:t>
      </w:r>
      <w:r w:rsidR="00CB6AF2" w:rsidRPr="00CB6AF2">
        <w:rPr>
          <w:rFonts w:cs="Garamond"/>
        </w:rPr>
        <w:t xml:space="preserve">лед провеждане на процедура </w:t>
      </w:r>
      <w:r>
        <w:rPr>
          <w:rFonts w:cs="Garamond"/>
        </w:rPr>
        <w:t xml:space="preserve">за избор на изпълнител </w:t>
      </w:r>
      <w:r w:rsidR="00CB6AF2" w:rsidRPr="00CB6AF2">
        <w:rPr>
          <w:rFonts w:cs="Garamond"/>
        </w:rPr>
        <w:t>по</w:t>
      </w:r>
      <w:r>
        <w:rPr>
          <w:rFonts w:cs="Garamond"/>
        </w:rPr>
        <w:t xml:space="preserve"> реда на</w:t>
      </w:r>
      <w:r w:rsidR="00CB6AF2" w:rsidRPr="00CB6AF2">
        <w:rPr>
          <w:rFonts w:cs="Garamond"/>
        </w:rPr>
        <w:t xml:space="preserve"> ЗОП</w:t>
      </w:r>
      <w:r w:rsidR="00CB6AF2">
        <w:rPr>
          <w:rFonts w:cs="Garamond"/>
        </w:rPr>
        <w:t>,</w:t>
      </w:r>
      <w:r w:rsidR="00CB6AF2" w:rsidRPr="00CB6AF2">
        <w:t xml:space="preserve"> </w:t>
      </w:r>
      <w:r w:rsidRPr="00CB6AF2">
        <w:rPr>
          <w:rFonts w:cs="Garamond"/>
        </w:rPr>
        <w:t>се сключва</w:t>
      </w:r>
      <w:r>
        <w:rPr>
          <w:rFonts w:cs="Garamond"/>
        </w:rPr>
        <w:t xml:space="preserve"> договор за извършване на </w:t>
      </w:r>
      <w:r w:rsidR="00CB6AF2">
        <w:rPr>
          <w:rFonts w:cs="Garamond"/>
        </w:rPr>
        <w:t>съответната</w:t>
      </w:r>
      <w:r w:rsidR="00CB6AF2" w:rsidRPr="00CB6AF2">
        <w:rPr>
          <w:rFonts w:cs="Garamond"/>
        </w:rPr>
        <w:t xml:space="preserve"> </w:t>
      </w:r>
      <w:r w:rsidR="00CB6AF2">
        <w:rPr>
          <w:rFonts w:cs="Garamond"/>
          <w:lang w:val="en-US"/>
        </w:rPr>
        <w:t>ad</w:t>
      </w:r>
      <w:r w:rsidR="00CB6AF2" w:rsidRPr="00DF5FC4">
        <w:rPr>
          <w:rFonts w:cs="Garamond"/>
          <w:lang w:val="ru-RU"/>
        </w:rPr>
        <w:t xml:space="preserve"> </w:t>
      </w:r>
      <w:r w:rsidR="00CB6AF2">
        <w:rPr>
          <w:rFonts w:cs="Garamond"/>
          <w:lang w:val="en-US"/>
        </w:rPr>
        <w:t>hoc</w:t>
      </w:r>
      <w:r w:rsidR="00CB6AF2" w:rsidRPr="00DF5FC4">
        <w:rPr>
          <w:rFonts w:cs="Garamond"/>
          <w:lang w:val="ru-RU"/>
        </w:rPr>
        <w:t xml:space="preserve"> </w:t>
      </w:r>
      <w:r w:rsidR="00CB6AF2">
        <w:rPr>
          <w:rFonts w:cs="Garamond"/>
        </w:rPr>
        <w:t>оценка</w:t>
      </w:r>
      <w:r>
        <w:rPr>
          <w:rFonts w:cs="Garamond"/>
        </w:rPr>
        <w:t>.</w:t>
      </w:r>
      <w:r w:rsidR="00CB6AF2">
        <w:rPr>
          <w:rFonts w:cs="Garamond"/>
        </w:rPr>
        <w:t xml:space="preserve"> </w:t>
      </w:r>
    </w:p>
    <w:p w:rsidR="004E1F1D" w:rsidRPr="00401DB7" w:rsidRDefault="00406F53" w:rsidP="00EB274A">
      <w:pPr>
        <w:jc w:val="both"/>
        <w:rPr>
          <w:b/>
        </w:rPr>
      </w:pPr>
      <w:r w:rsidRPr="00406F53">
        <w:rPr>
          <w:rFonts w:ascii="Cambria Math" w:hAnsi="Cambria Math" w:cs="Cambria Math"/>
          <w:color w:val="98C723" w:themeColor="accent1"/>
        </w:rPr>
        <w:t>❷</w:t>
      </w:r>
      <w:r>
        <w:rPr>
          <w:rFonts w:ascii="Cambria Math" w:hAnsi="Cambria Math" w:cs="Cambria Math"/>
          <w:color w:val="59B0B9" w:themeColor="accent2"/>
        </w:rPr>
        <w:t xml:space="preserve"> </w:t>
      </w:r>
      <w:r w:rsidR="004E1F1D" w:rsidRPr="00401DB7">
        <w:rPr>
          <w:b/>
        </w:rPr>
        <w:t>Извършване на външна оценка на ОПОС</w:t>
      </w:r>
    </w:p>
    <w:p w:rsidR="00401DB7" w:rsidRDefault="006125B4" w:rsidP="00EB274A">
      <w:pPr>
        <w:jc w:val="both"/>
      </w:pPr>
      <w:r>
        <w:t xml:space="preserve">По време на изпълнението на договора за обществена поръчка с независимия </w:t>
      </w:r>
      <w:r w:rsidR="00A95D69">
        <w:t xml:space="preserve">външен </w:t>
      </w:r>
      <w:r>
        <w:t>оценител отдел ККТП съвместно с отдел ПП осъществява у</w:t>
      </w:r>
      <w:r w:rsidR="00401DB7">
        <w:t>правление/ администриране на договора</w:t>
      </w:r>
      <w:r>
        <w:t xml:space="preserve"> чрез</w:t>
      </w:r>
      <w:r w:rsidR="00401DB7">
        <w:t>:</w:t>
      </w:r>
    </w:p>
    <w:p w:rsidR="00401DB7" w:rsidRDefault="00A95D69" w:rsidP="00EB274A">
      <w:pPr>
        <w:pStyle w:val="ListBullet"/>
        <w:jc w:val="both"/>
      </w:pPr>
      <w:r>
        <w:t>о</w:t>
      </w:r>
      <w:r w:rsidR="00401DB7">
        <w:t xml:space="preserve">сигуряване </w:t>
      </w:r>
      <w:r>
        <w:t>предоставянето</w:t>
      </w:r>
      <w:r w:rsidR="00401DB7">
        <w:t xml:space="preserve"> на необходима</w:t>
      </w:r>
      <w:r>
        <w:t>та</w:t>
      </w:r>
      <w:r w:rsidR="00401DB7">
        <w:t xml:space="preserve"> информация за оценката</w:t>
      </w:r>
      <w:r>
        <w:t xml:space="preserve"> на изпълнителя</w:t>
      </w:r>
      <w:r w:rsidR="00401DB7">
        <w:t>;</w:t>
      </w:r>
    </w:p>
    <w:p w:rsidR="00401DB7" w:rsidRDefault="00A95D69" w:rsidP="00EB274A">
      <w:pPr>
        <w:pStyle w:val="ListBullet"/>
        <w:jc w:val="both"/>
      </w:pPr>
      <w:r>
        <w:t>п</w:t>
      </w:r>
      <w:r w:rsidR="00401DB7">
        <w:t>роследяване изпълнението на задълженията на изпълнителя по договора;</w:t>
      </w:r>
    </w:p>
    <w:p w:rsidR="00401DB7" w:rsidRDefault="00A95D69" w:rsidP="00EB274A">
      <w:pPr>
        <w:pStyle w:val="ListBullet"/>
        <w:jc w:val="both"/>
      </w:pPr>
      <w:r>
        <w:t>о</w:t>
      </w:r>
      <w:r w:rsidR="00401DB7">
        <w:t>съществяване на контрол на качеството на извършване на оценката през целия процес на нейното из</w:t>
      </w:r>
      <w:r>
        <w:t>пълнение</w:t>
      </w:r>
      <w:r w:rsidR="00401DB7">
        <w:t>.</w:t>
      </w:r>
    </w:p>
    <w:p w:rsidR="004E1F1D" w:rsidRPr="00401DB7" w:rsidRDefault="00406F53" w:rsidP="00EB274A">
      <w:pPr>
        <w:jc w:val="both"/>
        <w:rPr>
          <w:b/>
        </w:rPr>
      </w:pPr>
      <w:r w:rsidRPr="00406F53">
        <w:rPr>
          <w:rFonts w:ascii="Cambria Math" w:hAnsi="Cambria Math" w:cs="Cambria Math"/>
          <w:color w:val="98C723" w:themeColor="accent1"/>
        </w:rPr>
        <w:t>❸</w:t>
      </w:r>
      <w:r>
        <w:rPr>
          <w:rFonts w:ascii="Cambria Math" w:hAnsi="Cambria Math" w:cs="Cambria Math"/>
          <w:color w:val="59B0B9" w:themeColor="accent2"/>
        </w:rPr>
        <w:t xml:space="preserve"> </w:t>
      </w:r>
      <w:r w:rsidR="004E1F1D" w:rsidRPr="00401DB7">
        <w:rPr>
          <w:b/>
        </w:rPr>
        <w:t xml:space="preserve">Приемане на резултата от извършена външна оценка </w:t>
      </w:r>
    </w:p>
    <w:p w:rsidR="006125B4" w:rsidRDefault="00C9177F" w:rsidP="00EB274A">
      <w:pPr>
        <w:jc w:val="both"/>
      </w:pPr>
      <w:r>
        <w:t>В</w:t>
      </w:r>
      <w:r w:rsidR="006125B4">
        <w:t xml:space="preserve"> срока по договора </w:t>
      </w:r>
      <w:proofErr w:type="spellStart"/>
      <w:r w:rsidR="006125B4">
        <w:t>оценителският</w:t>
      </w:r>
      <w:proofErr w:type="spellEnd"/>
      <w:r w:rsidR="006125B4">
        <w:t xml:space="preserve"> екип представя доклад и резюме от извършената оценка</w:t>
      </w:r>
      <w:r w:rsidR="00A90E40">
        <w:t xml:space="preserve"> на български и английски език</w:t>
      </w:r>
      <w:r w:rsidR="006125B4">
        <w:t xml:space="preserve">. Съдържанието на доклада трябва да е в съответствие с </w:t>
      </w:r>
      <w:r w:rsidR="00A95D69">
        <w:t xml:space="preserve">ръководствата и насоките </w:t>
      </w:r>
      <w:r w:rsidR="006125B4">
        <w:t>на ЕК във връзка с извършването на оценки на оперативни програми</w:t>
      </w:r>
      <w:r w:rsidR="00387D20">
        <w:t xml:space="preserve">, както и </w:t>
      </w:r>
      <w:r w:rsidR="00A90E40">
        <w:t>с изискванията на възложителя</w:t>
      </w:r>
      <w:r w:rsidR="006125B4">
        <w:t>.</w:t>
      </w:r>
    </w:p>
    <w:p w:rsidR="006125B4" w:rsidRDefault="006125B4" w:rsidP="00EB274A">
      <w:pPr>
        <w:jc w:val="both"/>
      </w:pPr>
      <w:r>
        <w:t>Като минимум докладът от извършена оценка следва да съдържа следните компоненти:</w:t>
      </w:r>
    </w:p>
    <w:p w:rsidR="006125B4" w:rsidRDefault="006125B4" w:rsidP="00EB274A">
      <w:pPr>
        <w:pStyle w:val="ListBullet"/>
        <w:jc w:val="both"/>
      </w:pPr>
      <w:r>
        <w:t>Резюме</w:t>
      </w:r>
      <w:r w:rsidR="00725F08">
        <w:t xml:space="preserve"> на български и английски език, съдържащо кратко описание на методологията за оценка, източниците на информация и основните изводи по всеки от въпросите за оценка</w:t>
      </w:r>
      <w:r>
        <w:t>;</w:t>
      </w:r>
    </w:p>
    <w:p w:rsidR="008063CE" w:rsidRDefault="008063CE" w:rsidP="00EB274A">
      <w:pPr>
        <w:pStyle w:val="ListBullet"/>
        <w:jc w:val="both"/>
      </w:pPr>
      <w:r>
        <w:t>Цели на оценката</w:t>
      </w:r>
    </w:p>
    <w:p w:rsidR="006125B4" w:rsidRPr="008A4A3F" w:rsidRDefault="006125B4" w:rsidP="00EB274A">
      <w:pPr>
        <w:pStyle w:val="ListBullet"/>
        <w:jc w:val="both"/>
      </w:pPr>
      <w:r>
        <w:t>Използван</w:t>
      </w:r>
      <w:r w:rsidR="008A4A3F">
        <w:t xml:space="preserve">а методология - </w:t>
      </w:r>
      <w:r w:rsidR="007C15D7" w:rsidRPr="008A4A3F">
        <w:t>методи за оценка</w:t>
      </w:r>
      <w:r w:rsidR="008A4A3F">
        <w:t>, източници на информация, основни въпроси на оценката, извадки и изследователски инструменти за провеждане на необходимите проучвания</w:t>
      </w:r>
    </w:p>
    <w:p w:rsidR="006125B4" w:rsidRDefault="007C15D7" w:rsidP="00EB274A">
      <w:pPr>
        <w:pStyle w:val="ListBullet"/>
        <w:jc w:val="both"/>
      </w:pPr>
      <w:r>
        <w:t>А</w:t>
      </w:r>
      <w:r w:rsidR="006125B4">
        <w:t>нализ</w:t>
      </w:r>
      <w:r>
        <w:t xml:space="preserve"> и оценка на събраните данни и информация</w:t>
      </w:r>
      <w:r w:rsidR="006125B4">
        <w:t>;</w:t>
      </w:r>
    </w:p>
    <w:p w:rsidR="006125B4" w:rsidRDefault="00514D97" w:rsidP="00EB274A">
      <w:pPr>
        <w:pStyle w:val="ListBullet"/>
        <w:jc w:val="both"/>
      </w:pPr>
      <w:r>
        <w:t>Заключения и препоръки</w:t>
      </w:r>
    </w:p>
    <w:p w:rsidR="00C01976" w:rsidRDefault="00C01976">
      <w:pPr>
        <w:spacing w:before="40" w:after="160"/>
      </w:pPr>
      <w:r>
        <w:br w:type="page"/>
      </w:r>
    </w:p>
    <w:p w:rsidR="00C01976" w:rsidRDefault="00C01976" w:rsidP="00C01976">
      <w:pPr>
        <w:pStyle w:val="ListBullet"/>
        <w:numPr>
          <w:ilvl w:val="0"/>
          <w:numId w:val="0"/>
        </w:numPr>
        <w:ind w:left="360"/>
        <w:jc w:val="both"/>
      </w:pPr>
    </w:p>
    <w:p w:rsidR="004E1F1D" w:rsidRPr="007C15D7" w:rsidRDefault="00406F53" w:rsidP="00EB274A">
      <w:pPr>
        <w:jc w:val="both"/>
        <w:rPr>
          <w:b/>
        </w:rPr>
      </w:pPr>
      <w:r w:rsidRPr="00406F53">
        <w:rPr>
          <w:rFonts w:ascii="Cambria Math" w:hAnsi="Cambria Math" w:cs="Cambria Math"/>
          <w:color w:val="98C723" w:themeColor="accent1"/>
        </w:rPr>
        <w:t>❹</w:t>
      </w:r>
      <w:r>
        <w:rPr>
          <w:rFonts w:ascii="Cambria Math" w:hAnsi="Cambria Math" w:cs="Cambria Math"/>
          <w:color w:val="59B0B9" w:themeColor="accent2"/>
        </w:rPr>
        <w:t xml:space="preserve"> </w:t>
      </w:r>
      <w:r w:rsidR="004E1F1D" w:rsidRPr="007C15D7">
        <w:rPr>
          <w:b/>
        </w:rPr>
        <w:t>Разпространение на информация от извършена външна оценка</w:t>
      </w:r>
    </w:p>
    <w:p w:rsidR="00C14168" w:rsidRDefault="007C15D7" w:rsidP="00EB274A">
      <w:pPr>
        <w:jc w:val="both"/>
      </w:pPr>
      <w:r>
        <w:t xml:space="preserve">След приемането на изпълнението на договора отдел ККТП е отговорен </w:t>
      </w:r>
      <w:r w:rsidRPr="007C15D7">
        <w:t>за публикуване на резултатите от извършена външна оценка на интернет страницата на ОПОС.</w:t>
      </w:r>
      <w:r>
        <w:t xml:space="preserve"> Докладите от оценката на ОПОС ще бъдат предоставяни на членовете на КН на ОПОС за преглед и обсъждане, както и ще бъдат представяни в резюме в рамките</w:t>
      </w:r>
      <w:r w:rsidR="008A3D62">
        <w:t xml:space="preserve"> на</w:t>
      </w:r>
      <w:r>
        <w:t xml:space="preserve"> </w:t>
      </w:r>
      <w:r w:rsidR="0029267D">
        <w:t xml:space="preserve">различни </w:t>
      </w:r>
      <w:r>
        <w:t xml:space="preserve">семинари и работни срещи, свързани с оценката по оперативните програми. </w:t>
      </w:r>
    </w:p>
    <w:p w:rsidR="00B41E72" w:rsidRDefault="00C14168" w:rsidP="00EB274A">
      <w:pPr>
        <w:jc w:val="both"/>
      </w:pPr>
      <w:r>
        <w:t xml:space="preserve">Всички извършени оценки се изпращат от </w:t>
      </w:r>
      <w:r w:rsidR="00C46D74">
        <w:t>УО</w:t>
      </w:r>
      <w:r>
        <w:t xml:space="preserve"> до ЕК.</w:t>
      </w:r>
    </w:p>
    <w:p w:rsidR="00C14168" w:rsidRDefault="00C14168" w:rsidP="00EB274A">
      <w:pPr>
        <w:jc w:val="both"/>
      </w:pPr>
      <w:r>
        <w:t xml:space="preserve">В съответствие с чл. 114 </w:t>
      </w:r>
      <w:r w:rsidRPr="00AE1C84">
        <w:rPr>
          <w:lang w:val="ru-RU"/>
        </w:rPr>
        <w:t>(1)</w:t>
      </w:r>
      <w:r w:rsidRPr="00C14168">
        <w:t xml:space="preserve"> </w:t>
      </w:r>
      <w:r w:rsidR="00066C27">
        <w:t xml:space="preserve">на Регламент 1303/2013 </w:t>
      </w:r>
      <w:r w:rsidR="00C46D74">
        <w:t>УО</w:t>
      </w:r>
      <w:r w:rsidR="00066C27">
        <w:t xml:space="preserve"> ще изготви и представи </w:t>
      </w:r>
      <w:r>
        <w:t xml:space="preserve">на ЕК доклад, обобщаващ констатациите от </w:t>
      </w:r>
      <w:r w:rsidR="00066C27">
        <w:t>всички оценки на ОПОС</w:t>
      </w:r>
      <w:r>
        <w:t>, извършени през програмния период</w:t>
      </w:r>
      <w:r w:rsidR="00B41E72">
        <w:t>,</w:t>
      </w:r>
      <w:r>
        <w:t xml:space="preserve"> основните крайни продукти и резултати от оперативната програма</w:t>
      </w:r>
      <w:r w:rsidR="00990C40">
        <w:t xml:space="preserve"> </w:t>
      </w:r>
      <w:r w:rsidR="008A3D62">
        <w:t xml:space="preserve">в срок </w:t>
      </w:r>
      <w:r w:rsidR="00990C40">
        <w:t>до 31.12.2022 г</w:t>
      </w:r>
      <w:r w:rsidR="00066C27">
        <w:t>.</w:t>
      </w:r>
    </w:p>
    <w:p w:rsidR="00532054" w:rsidRPr="00066C27" w:rsidRDefault="00532054" w:rsidP="00EB274A">
      <w:pPr>
        <w:jc w:val="both"/>
      </w:pPr>
      <w:r>
        <w:t xml:space="preserve">УО задължително включва в годишните доклади за изпълнение на програмата информация относно напредъка в изпълнението на Плана за оценка,  </w:t>
      </w:r>
      <w:proofErr w:type="spellStart"/>
      <w:r>
        <w:t>последващите</w:t>
      </w:r>
      <w:proofErr w:type="spellEnd"/>
      <w:r>
        <w:t xml:space="preserve"> мерки във връзка с констатациите от оценките, участието на партньорите в оценката на оперативната програма и резюме на констатациите от всички оценки на програмата, представени през предходната финансова година. В разширените доклади</w:t>
      </w:r>
      <w:r w:rsidRPr="00066C27">
        <w:t xml:space="preserve"> за 2017 и 2019 г. за напредъка в пости</w:t>
      </w:r>
      <w:r>
        <w:t>гането на целите на програмата УО задължително включва и информация относно приноса</w:t>
      </w:r>
      <w:r w:rsidRPr="00066C27">
        <w:t xml:space="preserve"> на ЕСИФ за промените в стойнос</w:t>
      </w:r>
      <w:r>
        <w:t xml:space="preserve">тта на индикаторите за резултат и приноса на програмата към постигането целите на Стратегията за </w:t>
      </w:r>
      <w:r w:rsidRPr="00066C27">
        <w:t>интелигенте</w:t>
      </w:r>
      <w:r>
        <w:t>н, устойчив и приобщаващ растеж</w:t>
      </w:r>
      <w:r w:rsidRPr="00066C27">
        <w:t xml:space="preserve"> в случаите, в които е налице </w:t>
      </w:r>
      <w:proofErr w:type="spellStart"/>
      <w:r w:rsidRPr="00066C27">
        <w:t>доказателствен</w:t>
      </w:r>
      <w:proofErr w:type="spellEnd"/>
      <w:r w:rsidRPr="00066C27">
        <w:t xml:space="preserve"> материал от </w:t>
      </w:r>
      <w:r>
        <w:t>извършените оценки.</w:t>
      </w:r>
    </w:p>
    <w:p w:rsidR="006C0B98" w:rsidRDefault="007C15D7" w:rsidP="00EB274A">
      <w:pPr>
        <w:jc w:val="both"/>
      </w:pPr>
      <w:r>
        <w:t xml:space="preserve">С оглед отговорностите на </w:t>
      </w:r>
      <w:r w:rsidR="00C46D74">
        <w:t>УО</w:t>
      </w:r>
      <w:r>
        <w:t xml:space="preserve"> в рамките на Постоянната междуведомствена група за оценка на ЕСИФ 2014-2020 г.</w:t>
      </w:r>
      <w:r w:rsidR="00B41E72">
        <w:t>,</w:t>
      </w:r>
      <w:r>
        <w:t xml:space="preserve"> информация за резултатите от провежданите оценки на ОПОС и напредъка по изпълнението на Плана за оценка на ОПОС ще бъде предоставяна регулярно </w:t>
      </w:r>
      <w:r w:rsidR="00990C40">
        <w:t xml:space="preserve">на </w:t>
      </w:r>
      <w:r w:rsidR="00C14168">
        <w:t>всички членове на работна</w:t>
      </w:r>
      <w:r w:rsidR="006B4C9E">
        <w:t>та</w:t>
      </w:r>
      <w:r w:rsidR="00C14168">
        <w:t xml:space="preserve"> група.</w:t>
      </w:r>
    </w:p>
    <w:p w:rsidR="00D743A1" w:rsidRPr="004E1F1D" w:rsidRDefault="00D743A1" w:rsidP="00EB274A">
      <w:pPr>
        <w:jc w:val="both"/>
      </w:pPr>
      <w:r>
        <w:t>Коректното и точно изпълнение на задълженията на съответните длъжностни лица по гореописания процедурен ред се проследява чрез попълването на контролни лист</w:t>
      </w:r>
      <w:r w:rsidR="00F761C1">
        <w:t>ове</w:t>
      </w:r>
      <w:r>
        <w:t>, които са неразделна част от Процедурния наръчник на ОПОС.</w:t>
      </w:r>
    </w:p>
    <w:p w:rsidR="00791F09" w:rsidRDefault="00791F09" w:rsidP="00EB274A">
      <w:pPr>
        <w:pStyle w:val="Heading3"/>
        <w:jc w:val="both"/>
      </w:pPr>
      <w:bookmarkStart w:id="30" w:name="_Toc453078514"/>
      <w:r>
        <w:t>Функции на Комитета за наблюдение на ОПОС 2014-2020 г. в областта на оценката</w:t>
      </w:r>
      <w:bookmarkEnd w:id="30"/>
    </w:p>
    <w:p w:rsidR="00066C27" w:rsidRDefault="00D743A1" w:rsidP="00EB274A">
      <w:pPr>
        <w:jc w:val="both"/>
      </w:pPr>
      <w:r w:rsidRPr="00751E70">
        <w:rPr>
          <w:b/>
          <w:i/>
          <w:color w:val="5B6973" w:themeColor="text2"/>
          <w:lang w:val="ru-RU"/>
        </w:rPr>
        <w:t xml:space="preserve">КН на ОПОС е </w:t>
      </w:r>
      <w:proofErr w:type="spellStart"/>
      <w:r w:rsidRPr="00751E70">
        <w:rPr>
          <w:b/>
          <w:i/>
          <w:color w:val="5B6973" w:themeColor="text2"/>
          <w:lang w:val="ru-RU"/>
        </w:rPr>
        <w:t>създаден</w:t>
      </w:r>
      <w:proofErr w:type="spellEnd"/>
      <w:r w:rsidR="00C14168" w:rsidRPr="00751E70">
        <w:rPr>
          <w:b/>
          <w:i/>
          <w:color w:val="5B6973" w:themeColor="text2"/>
          <w:lang w:val="ru-RU"/>
        </w:rPr>
        <w:t xml:space="preserve"> при </w:t>
      </w:r>
      <w:proofErr w:type="spellStart"/>
      <w:r w:rsidR="00C14168" w:rsidRPr="00751E70">
        <w:rPr>
          <w:b/>
          <w:i/>
          <w:color w:val="5B6973" w:themeColor="text2"/>
          <w:lang w:val="ru-RU"/>
        </w:rPr>
        <w:t>спазване</w:t>
      </w:r>
      <w:proofErr w:type="spellEnd"/>
      <w:r w:rsidR="00C14168" w:rsidRPr="00751E70">
        <w:rPr>
          <w:b/>
          <w:i/>
          <w:color w:val="5B6973" w:themeColor="text2"/>
          <w:lang w:val="ru-RU"/>
        </w:rPr>
        <w:t xml:space="preserve"> на принципа на </w:t>
      </w:r>
      <w:proofErr w:type="spellStart"/>
      <w:r w:rsidR="00C14168" w:rsidRPr="00751E70">
        <w:rPr>
          <w:b/>
          <w:i/>
          <w:color w:val="5B6973" w:themeColor="text2"/>
          <w:lang w:val="ru-RU"/>
        </w:rPr>
        <w:t>партньорство</w:t>
      </w:r>
      <w:proofErr w:type="spellEnd"/>
      <w:r w:rsidR="00C14168">
        <w:rPr>
          <w:lang w:val="ru-RU"/>
        </w:rPr>
        <w:t xml:space="preserve">, </w:t>
      </w:r>
      <w:proofErr w:type="spellStart"/>
      <w:r w:rsidR="00C14168">
        <w:rPr>
          <w:lang w:val="ru-RU"/>
        </w:rPr>
        <w:t>уреден</w:t>
      </w:r>
      <w:proofErr w:type="spellEnd"/>
      <w:r w:rsidR="00C14168">
        <w:rPr>
          <w:lang w:val="ru-RU"/>
        </w:rPr>
        <w:t xml:space="preserve"> в Регламент 1303/2013 г. </w:t>
      </w:r>
      <w:proofErr w:type="spellStart"/>
      <w:r w:rsidR="00C14168">
        <w:rPr>
          <w:lang w:val="ru-RU"/>
        </w:rPr>
        <w:t>Принципният</w:t>
      </w:r>
      <w:proofErr w:type="spellEnd"/>
      <w:r w:rsidR="00C14168">
        <w:rPr>
          <w:lang w:val="ru-RU"/>
        </w:rPr>
        <w:t xml:space="preserve"> </w:t>
      </w:r>
      <w:proofErr w:type="spellStart"/>
      <w:r w:rsidR="00C14168">
        <w:rPr>
          <w:lang w:val="ru-RU"/>
        </w:rPr>
        <w:t>състав</w:t>
      </w:r>
      <w:proofErr w:type="spellEnd"/>
      <w:r w:rsidR="00C14168">
        <w:rPr>
          <w:lang w:val="ru-RU"/>
        </w:rPr>
        <w:t xml:space="preserve"> на КН на ОПОС 2014-2020 г. е </w:t>
      </w:r>
      <w:proofErr w:type="spellStart"/>
      <w:r w:rsidR="00C14168">
        <w:rPr>
          <w:lang w:val="ru-RU"/>
        </w:rPr>
        <w:t>посочен</w:t>
      </w:r>
      <w:proofErr w:type="spellEnd"/>
      <w:r w:rsidR="00C14168">
        <w:rPr>
          <w:lang w:val="ru-RU"/>
        </w:rPr>
        <w:t xml:space="preserve"> в чл. 12 от ПМС № 79/2014 г. </w:t>
      </w:r>
      <w:proofErr w:type="spellStart"/>
      <w:r w:rsidR="00C14168">
        <w:rPr>
          <w:lang w:val="ru-RU"/>
        </w:rPr>
        <w:t>Поименният</w:t>
      </w:r>
      <w:proofErr w:type="spellEnd"/>
      <w:r w:rsidR="00C14168">
        <w:rPr>
          <w:lang w:val="ru-RU"/>
        </w:rPr>
        <w:t xml:space="preserve"> </w:t>
      </w:r>
      <w:proofErr w:type="spellStart"/>
      <w:r w:rsidR="00C14168">
        <w:rPr>
          <w:lang w:val="ru-RU"/>
        </w:rPr>
        <w:t>съст</w:t>
      </w:r>
      <w:r>
        <w:rPr>
          <w:lang w:val="ru-RU"/>
        </w:rPr>
        <w:t>ав</w:t>
      </w:r>
      <w:proofErr w:type="spellEnd"/>
      <w:r>
        <w:rPr>
          <w:lang w:val="ru-RU"/>
        </w:rPr>
        <w:t xml:space="preserve"> на КН на ОПОС 2014-2020 г. е определен</w:t>
      </w:r>
      <w:r w:rsidR="00C14168">
        <w:rPr>
          <w:lang w:val="ru-RU"/>
        </w:rPr>
        <w:t xml:space="preserve"> </w:t>
      </w:r>
      <w:proofErr w:type="spellStart"/>
      <w:r w:rsidR="00C14168">
        <w:rPr>
          <w:lang w:val="ru-RU"/>
        </w:rPr>
        <w:t>със</w:t>
      </w:r>
      <w:proofErr w:type="spellEnd"/>
      <w:r w:rsidR="00C14168">
        <w:rPr>
          <w:lang w:val="ru-RU"/>
        </w:rPr>
        <w:t xml:space="preserve"> </w:t>
      </w:r>
      <w:proofErr w:type="spellStart"/>
      <w:r w:rsidR="00C14168">
        <w:rPr>
          <w:lang w:val="ru-RU"/>
        </w:rPr>
        <w:t>заповед</w:t>
      </w:r>
      <w:proofErr w:type="spellEnd"/>
      <w:r w:rsidR="00C14168">
        <w:rPr>
          <w:lang w:val="ru-RU"/>
        </w:rPr>
        <w:t xml:space="preserve"> </w:t>
      </w:r>
      <w:r w:rsidR="00990C40">
        <w:t>№</w:t>
      </w:r>
      <w:r w:rsidRPr="00D743A1">
        <w:t xml:space="preserve"> Р</w:t>
      </w:r>
      <w:proofErr w:type="gramStart"/>
      <w:r w:rsidRPr="00D743A1">
        <w:t>Д-</w:t>
      </w:r>
      <w:proofErr w:type="gramEnd"/>
      <w:r w:rsidRPr="00D743A1">
        <w:t xml:space="preserve"> </w:t>
      </w:r>
      <w:r w:rsidRPr="00D743A1">
        <w:lastRenderedPageBreak/>
        <w:t xml:space="preserve">ОП- 4/14.01.2016 г. </w:t>
      </w:r>
      <w:r w:rsidR="00C14168" w:rsidRPr="00D743A1">
        <w:t>на минис</w:t>
      </w:r>
      <w:r>
        <w:t xml:space="preserve">търа на околната среда и водите и включва </w:t>
      </w:r>
      <w:r w:rsidRPr="00751E70">
        <w:rPr>
          <w:b/>
          <w:i/>
          <w:color w:val="5B6973" w:themeColor="text2"/>
        </w:rPr>
        <w:t>представители на всички партньори и заинтересовани страни във връзка с изпълнението на ОПОС 2014-2020 г.</w:t>
      </w:r>
      <w:r>
        <w:t xml:space="preserve"> </w:t>
      </w:r>
      <w:r w:rsidR="00751E70">
        <w:t>–</w:t>
      </w:r>
      <w:r>
        <w:t xml:space="preserve"> </w:t>
      </w:r>
      <w:r w:rsidR="00751E70">
        <w:t>представители на национално представителните организации на работниците и служителите, на работодателите, Националното сдружение на общините в Република България, регионалните съвети за развитие в районите за планиране, академичната общност, национално представителните организации на и за хората с увреждания, признати от МС, НПО, работещи в сферата на равенство между мъжете и жените, недискриминацията и равните възможности,</w:t>
      </w:r>
      <w:r w:rsidR="00751E70" w:rsidRPr="00751E70">
        <w:t xml:space="preserve"> </w:t>
      </w:r>
      <w:r w:rsidR="00751E70">
        <w:t xml:space="preserve">социалното включване и интегрирането на </w:t>
      </w:r>
      <w:proofErr w:type="spellStart"/>
      <w:r w:rsidR="00751E70">
        <w:t>маргинализираните</w:t>
      </w:r>
      <w:proofErr w:type="spellEnd"/>
      <w:r w:rsidR="00751E70">
        <w:t xml:space="preserve"> групи, както и НПО, свързани с финансираните мерки по програмата, екологичните организации и релевантните държавни институции, в т.ч. администрацията на МС, останалите УО на оперативни програми, министерства, агенции и други институции.</w:t>
      </w:r>
    </w:p>
    <w:p w:rsidR="00066C27" w:rsidRPr="00751E70" w:rsidRDefault="00751E70" w:rsidP="00EB274A">
      <w:pPr>
        <w:jc w:val="both"/>
      </w:pPr>
      <w:r>
        <w:t xml:space="preserve">Съгласно </w:t>
      </w:r>
      <w:r w:rsidRPr="00990C40">
        <w:rPr>
          <w:i/>
        </w:rPr>
        <w:t>Вътрешните правила за работа на КН на ОПОС</w:t>
      </w:r>
      <w:r>
        <w:t xml:space="preserve"> в областта на оценката КН на ОПОС:</w:t>
      </w:r>
    </w:p>
    <w:p w:rsidR="00066C27" w:rsidRPr="00751E70" w:rsidRDefault="00990C40" w:rsidP="00EB274A">
      <w:pPr>
        <w:pStyle w:val="ListBullet"/>
        <w:jc w:val="both"/>
      </w:pPr>
      <w:r>
        <w:t>р</w:t>
      </w:r>
      <w:r w:rsidR="00066C27">
        <w:t xml:space="preserve">азглежда изпълнението на програмата и следи за напредъка, докладван от </w:t>
      </w:r>
      <w:r w:rsidR="007D307D">
        <w:t>УО</w:t>
      </w:r>
      <w:r w:rsidR="00066C27">
        <w:t>, в постигането на целите и приоритетите на ОПОС</w:t>
      </w:r>
      <w:r w:rsidR="007D307D">
        <w:t xml:space="preserve"> 2014-2020 г.</w:t>
      </w:r>
      <w:r w:rsidR="00066C27">
        <w:t xml:space="preserve"> въз основа на дефинираните в нея индикатори, включително индикаторите, заложени в рамката за изпълнение; </w:t>
      </w:r>
    </w:p>
    <w:p w:rsidR="00066C27" w:rsidRPr="00434F57" w:rsidRDefault="00990C40" w:rsidP="00EB274A">
      <w:pPr>
        <w:pStyle w:val="ListBullet"/>
        <w:jc w:val="both"/>
        <w:rPr>
          <w:kern w:val="0"/>
          <w:lang w:val="ru-RU"/>
        </w:rPr>
      </w:pPr>
      <w:r>
        <w:t>о</w:t>
      </w:r>
      <w:r w:rsidR="00066C27" w:rsidRPr="00751E70">
        <w:t>добрява и следи за изпълнение</w:t>
      </w:r>
      <w:r w:rsidR="007D307D">
        <w:t>то на П</w:t>
      </w:r>
      <w:r w:rsidR="00066C27" w:rsidRPr="00751E70">
        <w:t xml:space="preserve">лана за оценка на ОПОС и разглежда предоставена от </w:t>
      </w:r>
      <w:r w:rsidR="00C46D74">
        <w:t>УО</w:t>
      </w:r>
      <w:r w:rsidR="00066C27" w:rsidRPr="00751E70">
        <w:t xml:space="preserve"> информация за резултатите, заключенията и препоръките от извършените оценки на програмата, както и предприетите действия за изпълнение на препоръките</w:t>
      </w:r>
      <w:r w:rsidR="00066C27" w:rsidRPr="00434F57">
        <w:rPr>
          <w:color w:val="595959" w:themeColor="text1" w:themeTint="A6"/>
          <w:kern w:val="0"/>
          <w:lang w:val="ru-RU"/>
        </w:rPr>
        <w:t xml:space="preserve">; </w:t>
      </w:r>
    </w:p>
    <w:p w:rsidR="00C14168" w:rsidRPr="00C14168" w:rsidRDefault="00751E70" w:rsidP="00EB274A">
      <w:pPr>
        <w:jc w:val="both"/>
        <w:rPr>
          <w:kern w:val="0"/>
        </w:rPr>
      </w:pPr>
      <w:r>
        <w:rPr>
          <w:kern w:val="0"/>
        </w:rPr>
        <w:t xml:space="preserve">С оглед чл. 49 </w:t>
      </w:r>
      <w:r w:rsidRPr="00434F57">
        <w:rPr>
          <w:kern w:val="0"/>
          <w:lang w:val="ru-RU"/>
        </w:rPr>
        <w:t xml:space="preserve">(4) </w:t>
      </w:r>
      <w:r>
        <w:rPr>
          <w:kern w:val="0"/>
        </w:rPr>
        <w:t xml:space="preserve">на Регламент </w:t>
      </w:r>
      <w:r w:rsidR="00813B2C">
        <w:rPr>
          <w:kern w:val="0"/>
        </w:rPr>
        <w:t>1303/2013 в</w:t>
      </w:r>
      <w:r>
        <w:rPr>
          <w:kern w:val="0"/>
        </w:rPr>
        <w:t xml:space="preserve"> рамките на своята компетентност в областта на оценката КН на ОПОС </w:t>
      </w:r>
      <w:r w:rsidR="00813B2C">
        <w:t>има право да отправя коментари/препоръки към УО относно изпълнението и качеството оценката на програмата и да осъществява мониторинг на действията, предприети вследствие на неговите коментари/препоръки.</w:t>
      </w:r>
    </w:p>
    <w:p w:rsidR="00791F09" w:rsidRDefault="00791F09" w:rsidP="00EB274A">
      <w:pPr>
        <w:pStyle w:val="Heading3"/>
        <w:jc w:val="both"/>
      </w:pPr>
      <w:bookmarkStart w:id="31" w:name="_Toc453078515"/>
      <w:r>
        <w:t xml:space="preserve">Роля на външните </w:t>
      </w:r>
      <w:r w:rsidR="006A7AE3">
        <w:t xml:space="preserve">независими </w:t>
      </w:r>
      <w:r>
        <w:t>оценители в процеса на оценка по ОПОС</w:t>
      </w:r>
      <w:bookmarkEnd w:id="31"/>
    </w:p>
    <w:p w:rsidR="005E159E" w:rsidRPr="00BC3444" w:rsidRDefault="00231539" w:rsidP="00EB274A">
      <w:pPr>
        <w:jc w:val="both"/>
      </w:pPr>
      <w:r>
        <w:t>Всички оценки</w:t>
      </w:r>
      <w:r w:rsidR="00BC3444">
        <w:t xml:space="preserve">, </w:t>
      </w:r>
      <w:r>
        <w:t>предвидени</w:t>
      </w:r>
      <w:r w:rsidR="00BC3444">
        <w:t xml:space="preserve"> в </w:t>
      </w:r>
      <w:r>
        <w:t>П</w:t>
      </w:r>
      <w:r w:rsidR="00BC3444">
        <w:t>лана за оценка</w:t>
      </w:r>
      <w:r>
        <w:t xml:space="preserve"> на ОПОС</w:t>
      </w:r>
      <w:r w:rsidR="00BC3444">
        <w:t>, ще се извършват под формата на външни услуги</w:t>
      </w:r>
      <w:r>
        <w:t>, предоставяни от квалифицирани и независ</w:t>
      </w:r>
      <w:r w:rsidR="007C0B45">
        <w:t>ими външни</w:t>
      </w:r>
      <w:r w:rsidR="007D307D">
        <w:t xml:space="preserve"> </w:t>
      </w:r>
      <w:r w:rsidR="007C0B45">
        <w:t>оценители</w:t>
      </w:r>
      <w:r w:rsidR="00BC3444">
        <w:t xml:space="preserve">. Изборът на външни оценители се осъществява в съответствие с разпоредбите на </w:t>
      </w:r>
      <w:r>
        <w:t>ЗОП</w:t>
      </w:r>
      <w:r w:rsidR="00BC3444">
        <w:t xml:space="preserve"> и приложимата подзаконова нормативна база</w:t>
      </w:r>
    </w:p>
    <w:p w:rsidR="00BC3444" w:rsidRDefault="005E159E" w:rsidP="00EB274A">
      <w:pPr>
        <w:jc w:val="both"/>
        <w:rPr>
          <w:b/>
          <w:bCs/>
        </w:rPr>
      </w:pPr>
      <w:r>
        <w:t xml:space="preserve">При подготовката на съответните технически спецификации </w:t>
      </w:r>
      <w:r w:rsidR="00BC3444">
        <w:t xml:space="preserve">за </w:t>
      </w:r>
      <w:r>
        <w:t>възлагане</w:t>
      </w:r>
      <w:r w:rsidR="00231539">
        <w:t xml:space="preserve"> на </w:t>
      </w:r>
      <w:r w:rsidR="00BC3444">
        <w:t>оценка</w:t>
      </w:r>
      <w:r w:rsidR="00231539">
        <w:t>та по ОПОС</w:t>
      </w:r>
      <w:r w:rsidR="00BC3444">
        <w:t>,</w:t>
      </w:r>
      <w:r w:rsidR="007C0B45">
        <w:t xml:space="preserve"> отдел ККТП </w:t>
      </w:r>
      <w:r w:rsidR="00422CC8">
        <w:t xml:space="preserve">съвместно с отдел ПП </w:t>
      </w:r>
      <w:r w:rsidR="007C0B45">
        <w:t>на ГД на ОПОС</w:t>
      </w:r>
      <w:r w:rsidR="00422CC8">
        <w:t xml:space="preserve"> детайлизират изискванията към </w:t>
      </w:r>
      <w:r w:rsidR="00422CC8">
        <w:lastRenderedPageBreak/>
        <w:t xml:space="preserve">оценката на база на информацията, съдържаща се в Плана за оценка на ОПОС относно </w:t>
      </w:r>
      <w:r w:rsidR="007C0B45">
        <w:t xml:space="preserve">фокуса, тематичния обхват, </w:t>
      </w:r>
      <w:r w:rsidR="007D307D">
        <w:t>основните въпроси</w:t>
      </w:r>
      <w:r w:rsidR="007C0B45">
        <w:t xml:space="preserve"> на оценка, методи</w:t>
      </w:r>
      <w:r w:rsidR="00422CC8">
        <w:t>те</w:t>
      </w:r>
      <w:r w:rsidR="007C0B45">
        <w:t xml:space="preserve"> за оценка, бюджет</w:t>
      </w:r>
      <w:r w:rsidR="00422CC8">
        <w:t>а</w:t>
      </w:r>
      <w:r w:rsidR="007C0B45">
        <w:t xml:space="preserve"> и времеви</w:t>
      </w:r>
      <w:r w:rsidR="00422CC8">
        <w:t>я</w:t>
      </w:r>
      <w:r w:rsidR="007C0B45">
        <w:t xml:space="preserve"> график</w:t>
      </w:r>
      <w:r w:rsidR="00422CC8">
        <w:t xml:space="preserve"> за оценката</w:t>
      </w:r>
      <w:r w:rsidR="007C0B45">
        <w:t xml:space="preserve">, </w:t>
      </w:r>
      <w:r w:rsidR="00422CC8">
        <w:t xml:space="preserve">и </w:t>
      </w:r>
      <w:r w:rsidR="007C0B45">
        <w:t>определя</w:t>
      </w:r>
      <w:r w:rsidR="00422CC8">
        <w:t>т</w:t>
      </w:r>
      <w:r w:rsidR="007C0B45">
        <w:t xml:space="preserve"> ясно</w:t>
      </w:r>
      <w:r w:rsidR="00BC3444">
        <w:t xml:space="preserve"> отговорности</w:t>
      </w:r>
      <w:r w:rsidR="007C0B45">
        <w:t>те</w:t>
      </w:r>
      <w:r w:rsidR="00BC3444">
        <w:t xml:space="preserve"> на </w:t>
      </w:r>
      <w:r w:rsidR="00B54B74">
        <w:t>външния изпълнител</w:t>
      </w:r>
      <w:r w:rsidR="00BC3444">
        <w:t>.</w:t>
      </w:r>
    </w:p>
    <w:p w:rsidR="009148E6" w:rsidRDefault="009148E6" w:rsidP="00EB274A">
      <w:pPr>
        <w:jc w:val="both"/>
      </w:pPr>
      <w:r>
        <w:t xml:space="preserve">За ефективна организация на работата на независимия външен оценител по изпълнение на договора за оценка </w:t>
      </w:r>
      <w:r w:rsidR="00C46D74">
        <w:t>УО</w:t>
      </w:r>
      <w:r>
        <w:t xml:space="preserve"> следва да изисква и залага в съответния договор за оценка следните задължения</w:t>
      </w:r>
      <w:r w:rsidR="00AC261E">
        <w:t xml:space="preserve"> към външния оценител</w:t>
      </w:r>
      <w:r>
        <w:t>:</w:t>
      </w:r>
    </w:p>
    <w:p w:rsidR="00BC3444" w:rsidRDefault="009148E6" w:rsidP="00EB274A">
      <w:pPr>
        <w:pStyle w:val="ListBullet"/>
        <w:jc w:val="both"/>
        <w:rPr>
          <w:b/>
          <w:bCs/>
        </w:rPr>
      </w:pPr>
      <w:r>
        <w:t>Изпъ</w:t>
      </w:r>
      <w:r w:rsidR="00F50C37">
        <w:t>лнениет</w:t>
      </w:r>
      <w:r>
        <w:t>о на оценката да се осъществява в съответствие с приложимото европейско и национално законодателство и релевантните ръководства на ЕК</w:t>
      </w:r>
      <w:r w:rsidR="00514D97">
        <w:t xml:space="preserve"> в областта на оценката на оперативните програми</w:t>
      </w:r>
    </w:p>
    <w:p w:rsidR="00BC3444" w:rsidRDefault="00AC261E" w:rsidP="00EB274A">
      <w:pPr>
        <w:pStyle w:val="ListBullet"/>
        <w:jc w:val="both"/>
      </w:pPr>
      <w:r>
        <w:t>Р</w:t>
      </w:r>
      <w:r w:rsidR="00514D97">
        <w:t>азработва</w:t>
      </w:r>
      <w:r>
        <w:t>нето на</w:t>
      </w:r>
      <w:r w:rsidR="00514D97">
        <w:t xml:space="preserve"> доклада от оценката </w:t>
      </w:r>
      <w:r>
        <w:t xml:space="preserve">да се извършва </w:t>
      </w:r>
      <w:r w:rsidR="00514D97">
        <w:t>при спазване на минималните изисквания към структурата на доклада, посочени в т. 3.2.1 на настоящия документ. В него задължително следва да</w:t>
      </w:r>
      <w:r>
        <w:t xml:space="preserve"> има резюме на оценката, както и раздел с основните изводи и препоръки от оценката</w:t>
      </w:r>
      <w:r w:rsidR="00514D97">
        <w:t>.</w:t>
      </w:r>
    </w:p>
    <w:p w:rsidR="00BC3444" w:rsidRDefault="00AC261E" w:rsidP="00EB274A">
      <w:pPr>
        <w:pStyle w:val="ListBullet"/>
        <w:jc w:val="both"/>
      </w:pPr>
      <w:r>
        <w:t>Осигуряване на възможност за обсъждане</w:t>
      </w:r>
      <w:r w:rsidR="00422CC8">
        <w:t xml:space="preserve"> на проекта на доклад от оценката със звената в рамките на </w:t>
      </w:r>
      <w:r w:rsidR="00C46D74">
        <w:t>УО</w:t>
      </w:r>
      <w:r w:rsidR="00422CC8">
        <w:t>, ангажир</w:t>
      </w:r>
      <w:r>
        <w:t>ани с дейности по оценката, и отразяване</w:t>
      </w:r>
      <w:r w:rsidR="00422CC8">
        <w:t xml:space="preserve"> на всички получени коментари по подходящ начин</w:t>
      </w:r>
      <w:r>
        <w:t xml:space="preserve"> в доклада</w:t>
      </w:r>
      <w:r w:rsidR="00BC3444">
        <w:t>.</w:t>
      </w:r>
    </w:p>
    <w:p w:rsidR="004E6445" w:rsidRDefault="004E6445" w:rsidP="00EB274A">
      <w:pPr>
        <w:pStyle w:val="Heading3"/>
        <w:jc w:val="both"/>
      </w:pPr>
      <w:bookmarkStart w:id="32" w:name="_Toc453078516"/>
      <w:r>
        <w:t>Роля на Постоянната междуведомствена работна група за оценка на ЕСИФ 2014-2020 г.</w:t>
      </w:r>
      <w:r w:rsidR="00D2135E">
        <w:t xml:space="preserve"> в процеса на оценка на ОПОС</w:t>
      </w:r>
      <w:bookmarkEnd w:id="32"/>
    </w:p>
    <w:p w:rsidR="004E6445" w:rsidRPr="00BC3444" w:rsidRDefault="004E6445" w:rsidP="00EB274A">
      <w:pPr>
        <w:jc w:val="both"/>
      </w:pPr>
      <w:r>
        <w:t>Постоянната междуведомствена работна група към МС е важно междуведомствено формирование на национално ниво, обединяващо експертите на отделните Управляващи органи и ЦКЗ, ангажирани с управление на процеса на оценка на ниво отделни оперативни програми и СП.</w:t>
      </w:r>
      <w:r w:rsidRPr="007260AA">
        <w:t xml:space="preserve"> </w:t>
      </w:r>
      <w:r>
        <w:t xml:space="preserve">Работната група е ангажирана с </w:t>
      </w:r>
      <w:r w:rsidR="008B0C75">
        <w:t xml:space="preserve">разглеждането </w:t>
      </w:r>
      <w:r>
        <w:t>на разработения П</w:t>
      </w:r>
      <w:r w:rsidRPr="003B4EBE">
        <w:t xml:space="preserve">лана за оценка </w:t>
      </w:r>
      <w:r>
        <w:t xml:space="preserve">на ОПОС, както и на всички бъдещи </w:t>
      </w:r>
      <w:r w:rsidRPr="003B4EBE">
        <w:t>оценки</w:t>
      </w:r>
      <w:r w:rsidR="00D2135E">
        <w:t xml:space="preserve"> на</w:t>
      </w:r>
      <w:r>
        <w:t xml:space="preserve"> ОПОС</w:t>
      </w:r>
      <w:r w:rsidR="00D2135E">
        <w:t xml:space="preserve"> 2014-2020 г</w:t>
      </w:r>
      <w:r>
        <w:t xml:space="preserve">. Групата </w:t>
      </w:r>
      <w:r w:rsidR="00D2135E">
        <w:t xml:space="preserve">осигурява поле </w:t>
      </w:r>
      <w:r>
        <w:t xml:space="preserve">за </w:t>
      </w:r>
      <w:r>
        <w:rPr>
          <w:lang w:eastAsia="en-US"/>
        </w:rPr>
        <w:t>обмен на добри практики по отношение оценката на програмите, съфинансирани от ЕСИФ, между управляващите органи,  ЦКЗ и НСИ.</w:t>
      </w:r>
    </w:p>
    <w:p w:rsidR="00791F09" w:rsidRPr="005168C7" w:rsidRDefault="00791F09" w:rsidP="00EB274A">
      <w:pPr>
        <w:pStyle w:val="Heading3"/>
        <w:jc w:val="both"/>
      </w:pPr>
      <w:bookmarkStart w:id="33" w:name="_Toc453078517"/>
      <w:r>
        <w:t>Роля на Европейската комисия в процеса на оценка на ОПОС</w:t>
      </w:r>
      <w:bookmarkEnd w:id="33"/>
    </w:p>
    <w:p w:rsidR="00791F09" w:rsidRDefault="003B7D87" w:rsidP="00EB274A">
      <w:pPr>
        <w:jc w:val="both"/>
      </w:pPr>
      <w:r>
        <w:t xml:space="preserve">Съгласно чл. 56 </w:t>
      </w:r>
      <w:r w:rsidRPr="00434F57">
        <w:rPr>
          <w:lang w:val="ru-RU"/>
        </w:rPr>
        <w:t xml:space="preserve">(3) </w:t>
      </w:r>
      <w:r w:rsidR="00D2135E">
        <w:t xml:space="preserve">от Регламент </w:t>
      </w:r>
      <w:r>
        <w:t>1303/2013 докладите от всички</w:t>
      </w:r>
      <w:r w:rsidR="00E93F3D">
        <w:t xml:space="preserve"> проведени</w:t>
      </w:r>
      <w:r w:rsidR="00DE0BDC">
        <w:t xml:space="preserve"> оценки</w:t>
      </w:r>
      <w:r>
        <w:t xml:space="preserve"> на ОПОС, съгласно П</w:t>
      </w:r>
      <w:r w:rsidR="00DE0BDC">
        <w:t>лана</w:t>
      </w:r>
      <w:r>
        <w:t xml:space="preserve"> за оценка, </w:t>
      </w:r>
      <w:r w:rsidR="00DE0BDC">
        <w:t>ще бъдат предоставяни</w:t>
      </w:r>
      <w:r>
        <w:t xml:space="preserve"> от </w:t>
      </w:r>
      <w:r w:rsidR="00C46D74">
        <w:t>УО</w:t>
      </w:r>
      <w:r w:rsidR="00DE0BDC">
        <w:t xml:space="preserve"> на ЕК. В съответствие с чл.</w:t>
      </w:r>
      <w:r w:rsidR="00813B2C">
        <w:t xml:space="preserve"> 56 </w:t>
      </w:r>
      <w:r w:rsidR="00813B2C" w:rsidRPr="00434F57">
        <w:rPr>
          <w:lang w:val="ru-RU"/>
        </w:rPr>
        <w:t>(</w:t>
      </w:r>
      <w:r w:rsidR="00DE0BDC">
        <w:t>4</w:t>
      </w:r>
      <w:r w:rsidR="00813B2C" w:rsidRPr="00434F57">
        <w:rPr>
          <w:lang w:val="ru-RU"/>
        </w:rPr>
        <w:t>)</w:t>
      </w:r>
      <w:r w:rsidR="00E93F3D">
        <w:t xml:space="preserve"> от Регламент </w:t>
      </w:r>
      <w:r w:rsidR="00DE0BDC">
        <w:t xml:space="preserve">1303/2013, </w:t>
      </w:r>
      <w:r>
        <w:t>ЕК</w:t>
      </w:r>
      <w:r w:rsidR="00DE0BDC">
        <w:t xml:space="preserve"> може по собствена инициатива да извършва оценки на </w:t>
      </w:r>
      <w:r>
        <w:t xml:space="preserve">ОПОС 2014-2020 </w:t>
      </w:r>
      <w:r w:rsidR="00E93F3D">
        <w:t xml:space="preserve">г. </w:t>
      </w:r>
      <w:r>
        <w:t>през програмния период</w:t>
      </w:r>
      <w:r w:rsidR="00DE0BDC">
        <w:t xml:space="preserve">, като тя следва да информира за това </w:t>
      </w:r>
      <w:r w:rsidR="00C46D74">
        <w:t>УО</w:t>
      </w:r>
      <w:r w:rsidR="00DE0BDC">
        <w:t xml:space="preserve"> и да изпрати резултатите</w:t>
      </w:r>
      <w:r>
        <w:t xml:space="preserve"> от извършената оценка</w:t>
      </w:r>
      <w:r w:rsidR="00DE0BDC">
        <w:t xml:space="preserve"> на него и на КН</w:t>
      </w:r>
      <w:r>
        <w:t xml:space="preserve"> на ОПОС</w:t>
      </w:r>
      <w:r w:rsidR="00DE0BDC">
        <w:t>. Съгласно чл. 57 от</w:t>
      </w:r>
      <w:r w:rsidR="00E93F3D">
        <w:t xml:space="preserve"> Регламент </w:t>
      </w:r>
      <w:r>
        <w:t>1303/2013</w:t>
      </w:r>
      <w:r w:rsidR="00DE0BDC">
        <w:t xml:space="preserve">, </w:t>
      </w:r>
      <w:r>
        <w:t xml:space="preserve">ЕК </w:t>
      </w:r>
      <w:r w:rsidR="00DE0BDC">
        <w:t>изготвя доклад за последваща оценка на програмата в тясно сътрудничество с държавите-членки.</w:t>
      </w:r>
    </w:p>
    <w:p w:rsidR="00B161A7" w:rsidRDefault="00B161A7" w:rsidP="00EB274A">
      <w:pPr>
        <w:pStyle w:val="Heading2"/>
        <w:jc w:val="both"/>
      </w:pPr>
      <w:bookmarkStart w:id="34" w:name="_Toc453078518"/>
      <w:r>
        <w:lastRenderedPageBreak/>
        <w:t xml:space="preserve">Участие на партньорите </w:t>
      </w:r>
      <w:r w:rsidR="005168C7">
        <w:t xml:space="preserve">в процеса на оценка </w:t>
      </w:r>
      <w:r>
        <w:t>на ОПОС</w:t>
      </w:r>
      <w:bookmarkEnd w:id="34"/>
    </w:p>
    <w:p w:rsidR="00DE0BDC" w:rsidRDefault="0030342B" w:rsidP="00EB274A">
      <w:pPr>
        <w:jc w:val="both"/>
      </w:pPr>
      <w:r>
        <w:t>Осигуряването на активното</w:t>
      </w:r>
      <w:r w:rsidR="007260AA">
        <w:t xml:space="preserve"> участие</w:t>
      </w:r>
      <w:r>
        <w:t xml:space="preserve"> на партньорите и заинтересованите страни в процеса по оценка на ОПОС 2014-2020 г. ще се осъществява </w:t>
      </w:r>
      <w:r w:rsidR="00E93F3D">
        <w:t>основно</w:t>
      </w:r>
      <w:r>
        <w:t xml:space="preserve"> по линията на включването на всички релевантни партньори в КН на ОПОС, като орган</w:t>
      </w:r>
      <w:r w:rsidR="000353E8">
        <w:t>,</w:t>
      </w:r>
      <w:r>
        <w:t xml:space="preserve"> олицетворяващ принципа на партньорство при изпълнението на оперативните програми. </w:t>
      </w:r>
      <w:r w:rsidR="00DE0BDC">
        <w:t xml:space="preserve">В </w:t>
      </w:r>
      <w:r>
        <w:t>рамките на КН на ОПОС взимат участие</w:t>
      </w:r>
      <w:r w:rsidR="00DE0BDC">
        <w:t xml:space="preserve"> представители на браншов</w:t>
      </w:r>
      <w:r>
        <w:t>и</w:t>
      </w:r>
      <w:r w:rsidR="00E93F3D">
        <w:t>те</w:t>
      </w:r>
      <w:r>
        <w:t xml:space="preserve"> организации, неправителствените </w:t>
      </w:r>
      <w:r w:rsidR="00DE0BDC">
        <w:t>организации, включително в областта на опазване на околната среда, експерти от научни организации, представители на ЦКЗ и на други заинтересовани държавни институ</w:t>
      </w:r>
      <w:r>
        <w:t xml:space="preserve">ции и редица социални партньори. В рамките на </w:t>
      </w:r>
      <w:r w:rsidR="007260AA">
        <w:t>своите отговорности като членове на КН на ОПОС всички партньори и заинтересовани страни ще имат възможност да</w:t>
      </w:r>
      <w:r w:rsidR="00E93F3D">
        <w:t xml:space="preserve"> участват в обсъждането и окончателното одобрение на Плана за оценка на ОПОС и в проследяването </w:t>
      </w:r>
      <w:r w:rsidR="007260AA">
        <w:t xml:space="preserve">изпълнението на Плана за оценка на ОПОС, да дават своите становища и коментари по докладите от извършените оценки, да бъдат информирани от </w:t>
      </w:r>
      <w:r w:rsidR="00C46D74">
        <w:t>УО</w:t>
      </w:r>
      <w:r w:rsidR="007260AA">
        <w:t xml:space="preserve"> за изпълнението на препоръките от оценките и да отправят препоръки към </w:t>
      </w:r>
      <w:r w:rsidR="00C46D74">
        <w:t>УО</w:t>
      </w:r>
      <w:r w:rsidR="007260AA">
        <w:t xml:space="preserve"> относно процеса на оценка. </w:t>
      </w:r>
    </w:p>
    <w:p w:rsidR="00DE0BDC" w:rsidRDefault="003B7D87" w:rsidP="00EB274A">
      <w:pPr>
        <w:pStyle w:val="Heading2"/>
        <w:jc w:val="both"/>
      </w:pPr>
      <w:bookmarkStart w:id="35" w:name="_Toc453078519"/>
      <w:r>
        <w:t>Външен източник на експертиза за провеждане на оценката на опос</w:t>
      </w:r>
      <w:bookmarkEnd w:id="35"/>
    </w:p>
    <w:p w:rsidR="00BC19DF" w:rsidRDefault="00995079" w:rsidP="00EB274A">
      <w:pPr>
        <w:jc w:val="both"/>
      </w:pPr>
      <w:r>
        <w:t xml:space="preserve">В съответствие с препоръките на ЕК за използването на външна експертиза за извършване на оценката през програмния период, изложени в Насоките за мониторинг и оценка за програмен период 2014-2020 г. от март, 2014 г., </w:t>
      </w:r>
      <w:r w:rsidR="00C46D74">
        <w:t>УО</w:t>
      </w:r>
      <w:r>
        <w:t xml:space="preserve"> предвижда използването на независими външни оценители за изпълнението на всички планирани оценки в рамките на Плана за оценка на ОПОС. </w:t>
      </w:r>
      <w:r w:rsidR="00C46D74">
        <w:t>УО</w:t>
      </w:r>
      <w:r>
        <w:t xml:space="preserve"> възприема този подход въз основа на определянето му от ЕК като добра практика за осигуряване на функционална независимост на оценителите от институциите, ангажирани с програмирането и изпълнението на оперативните програми, </w:t>
      </w:r>
      <w:proofErr w:type="spellStart"/>
      <w:r>
        <w:t>съгасно</w:t>
      </w:r>
      <w:proofErr w:type="spellEnd"/>
      <w:r>
        <w:t xml:space="preserve"> изискването на чл. 54 на Регламент 1303/2013.</w:t>
      </w:r>
      <w:r w:rsidR="00BC19DF">
        <w:t xml:space="preserve"> По този начин </w:t>
      </w:r>
      <w:r w:rsidR="00C46D74">
        <w:t>УО</w:t>
      </w:r>
      <w:r w:rsidR="00BC19DF">
        <w:t xml:space="preserve"> ще може да гарантира качеството на оценкат</w:t>
      </w:r>
      <w:r w:rsidR="00B07D73">
        <w:t>а на</w:t>
      </w:r>
      <w:r w:rsidR="00BC19DF">
        <w:t xml:space="preserve"> ОПОС</w:t>
      </w:r>
      <w:r w:rsidR="00B07D73">
        <w:t xml:space="preserve"> 2014-2020 г.</w:t>
      </w:r>
      <w:r w:rsidR="00BC19DF">
        <w:t>, като обезпечи необходимото ниво на независимост на оценителите, така че те да могат да отправят конструктивна критика и да извършват експертна оценка на различни елементи от ОПОС без намеса и влияние от страна на самия УО.</w:t>
      </w:r>
    </w:p>
    <w:p w:rsidR="008503F1" w:rsidRDefault="00995079" w:rsidP="00EB274A">
      <w:pPr>
        <w:jc w:val="both"/>
      </w:pPr>
      <w:r>
        <w:t>Детайли относно функциите на външните независими оценители са предоставени в т. 3.2.3 на настоящия план.</w:t>
      </w:r>
    </w:p>
    <w:p w:rsidR="00F50C37" w:rsidRDefault="00F974CD" w:rsidP="00EB274A">
      <w:pPr>
        <w:pStyle w:val="Heading2"/>
        <w:jc w:val="both"/>
      </w:pPr>
      <w:bookmarkStart w:id="36" w:name="_Toc453078520"/>
      <w:r>
        <w:t xml:space="preserve">Осигурен </w:t>
      </w:r>
      <w:r w:rsidR="00F50C37">
        <w:t>в</w:t>
      </w:r>
      <w:r w:rsidR="005B0A9A">
        <w:t>ътрешен капацитет на УО</w:t>
      </w:r>
      <w:r w:rsidR="003824D6">
        <w:t xml:space="preserve"> за управление на оценката</w:t>
      </w:r>
      <w:bookmarkEnd w:id="36"/>
      <w:r w:rsidR="003824D6">
        <w:t xml:space="preserve"> </w:t>
      </w:r>
    </w:p>
    <w:p w:rsidR="004E6445" w:rsidRDefault="004E6445" w:rsidP="00EB274A">
      <w:pPr>
        <w:jc w:val="both"/>
      </w:pPr>
      <w:r>
        <w:t xml:space="preserve">Човешките ресурси, необходими за планиране и провеждане на процеса на оценка по ОПОС 2014-2020 г., са ясно идентифицирани и планирани в длъжностното разписание на </w:t>
      </w:r>
      <w:r>
        <w:lastRenderedPageBreak/>
        <w:t xml:space="preserve">ГД ОПОС и в СУК. </w:t>
      </w:r>
      <w:r>
        <w:rPr>
          <w:lang w:eastAsia="bg-BG"/>
        </w:rPr>
        <w:t xml:space="preserve">В рамките на отдел ПП на ГД ОПОС са определени </w:t>
      </w:r>
      <w:r w:rsidR="007A7E16">
        <w:rPr>
          <w:lang w:eastAsia="bg-BG"/>
        </w:rPr>
        <w:t>общо 5</w:t>
      </w:r>
      <w:r>
        <w:rPr>
          <w:lang w:eastAsia="bg-BG"/>
        </w:rPr>
        <w:t xml:space="preserve"> експерт</w:t>
      </w:r>
      <w:r w:rsidR="000353E8">
        <w:rPr>
          <w:lang w:eastAsia="bg-BG"/>
        </w:rPr>
        <w:t>а</w:t>
      </w:r>
      <w:r>
        <w:rPr>
          <w:lang w:eastAsia="bg-BG"/>
        </w:rPr>
        <w:t xml:space="preserve">, </w:t>
      </w:r>
      <w:r w:rsidR="007A7E16">
        <w:rPr>
          <w:lang w:eastAsia="bg-BG"/>
        </w:rPr>
        <w:t xml:space="preserve">които съгласно </w:t>
      </w:r>
      <w:r>
        <w:rPr>
          <w:lang w:eastAsia="bg-BG"/>
        </w:rPr>
        <w:t>длъжностни</w:t>
      </w:r>
      <w:r w:rsidR="007A7E16">
        <w:rPr>
          <w:lang w:eastAsia="bg-BG"/>
        </w:rPr>
        <w:t xml:space="preserve">те си характеристики изпълняват под ръководството на началник отдел ПП пряко </w:t>
      </w:r>
      <w:r>
        <w:rPr>
          <w:lang w:eastAsia="bg-BG"/>
        </w:rPr>
        <w:t>функции</w:t>
      </w:r>
      <w:r w:rsidR="007A7E16">
        <w:rPr>
          <w:lang w:eastAsia="bg-BG"/>
        </w:rPr>
        <w:t>те</w:t>
      </w:r>
      <w:r>
        <w:rPr>
          <w:lang w:eastAsia="bg-BG"/>
        </w:rPr>
        <w:t xml:space="preserve"> по планиране и изпълнение на Плана за оценка на ОПОС и по координация </w:t>
      </w:r>
      <w:r w:rsidR="007A7E16">
        <w:rPr>
          <w:lang w:eastAsia="bg-BG"/>
        </w:rPr>
        <w:t>на процеса по</w:t>
      </w:r>
      <w:r>
        <w:rPr>
          <w:lang w:eastAsia="bg-BG"/>
        </w:rPr>
        <w:t xml:space="preserve"> иницииране, възлагане и извършване на оценки от външни независими изпълнители. </w:t>
      </w:r>
    </w:p>
    <w:p w:rsidR="00BE0BEE" w:rsidRDefault="00BE0BEE" w:rsidP="00EB274A">
      <w:pPr>
        <w:jc w:val="both"/>
      </w:pPr>
      <w:r>
        <w:t>Следва да се отбележи, че към датата на изготвяне на настоящия План за оценка въпросните д</w:t>
      </w:r>
      <w:r w:rsidR="007A7E16">
        <w:t>лъжности</w:t>
      </w:r>
      <w:r w:rsidR="00725F08">
        <w:t>, включително и ръководните позиции,</w:t>
      </w:r>
      <w:r w:rsidR="007A7E16">
        <w:t xml:space="preserve"> в рамките на отдел ПП</w:t>
      </w:r>
      <w:r>
        <w:t xml:space="preserve"> се заемат от служители</w:t>
      </w:r>
      <w:r w:rsidR="00725F08">
        <w:t>/ръководители</w:t>
      </w:r>
      <w:r>
        <w:t xml:space="preserve"> с опит в областта на програмирането и оценката на ОПОС. Въпросните служители</w:t>
      </w:r>
      <w:r w:rsidR="00725F08">
        <w:t xml:space="preserve"> и ръководни кадри</w:t>
      </w:r>
      <w:r>
        <w:t xml:space="preserve"> са пр</w:t>
      </w:r>
      <w:r w:rsidR="0020673B">
        <w:t>е</w:t>
      </w:r>
      <w:r>
        <w:t>ки участници в процеса на оценка на ОПОС 2007-2013 г.</w:t>
      </w:r>
      <w:r w:rsidR="00C01976">
        <w:t>.</w:t>
      </w:r>
      <w:r>
        <w:t xml:space="preserve"> Опитът в оценката от предходния програмен период 2007-2013 г. е ценен с оглед използване на „научените уроци” в областта на организацията и управлението на процеса на оценка за целите на правилното и ефек</w:t>
      </w:r>
      <w:r w:rsidR="0020673B">
        <w:t>т</w:t>
      </w:r>
      <w:r>
        <w:t xml:space="preserve">ивно </w:t>
      </w:r>
      <w:r w:rsidR="003824D6">
        <w:t>осъществяване на оценката по настоящата програма.</w:t>
      </w:r>
    </w:p>
    <w:p w:rsidR="00F50C37" w:rsidRDefault="00F50C37" w:rsidP="00EB274A">
      <w:pPr>
        <w:pStyle w:val="Heading2"/>
        <w:jc w:val="both"/>
      </w:pPr>
      <w:bookmarkStart w:id="37" w:name="_Toc453078521"/>
      <w:r>
        <w:t>План за обучение на човешките ресурси в УО, ангажирани с оценката</w:t>
      </w:r>
      <w:bookmarkEnd w:id="37"/>
    </w:p>
    <w:p w:rsidR="00871A8E" w:rsidRDefault="00C46D74" w:rsidP="00EB274A">
      <w:pPr>
        <w:jc w:val="both"/>
      </w:pPr>
      <w:r>
        <w:t>УО</w:t>
      </w:r>
      <w:r w:rsidR="008A6D79">
        <w:t xml:space="preserve"> е отговорен за </w:t>
      </w:r>
      <w:r w:rsidR="00871A8E">
        <w:t xml:space="preserve">осигуряване развитието на административния капацитет и човешките ресурси с оглед обезпечаване качествено управление и изпълнение на ОПОС 2014-2020 г. В тази връзка </w:t>
      </w:r>
      <w:r>
        <w:t>УО</w:t>
      </w:r>
      <w:r w:rsidR="00871A8E">
        <w:t xml:space="preserve"> разполага с разработен </w:t>
      </w:r>
      <w:r w:rsidR="00871A8E" w:rsidRPr="007A7E16">
        <w:rPr>
          <w:i/>
        </w:rPr>
        <w:t>План за развитие на административния капацитет и човешките ресурси на ГД ОПОС</w:t>
      </w:r>
      <w:r w:rsidR="00871A8E">
        <w:t xml:space="preserve">, утвърден </w:t>
      </w:r>
      <w:r w:rsidR="007A7E16">
        <w:t xml:space="preserve">през </w:t>
      </w:r>
      <w:r w:rsidR="00871A8E">
        <w:t>март, 2015 г. В Приложение №</w:t>
      </w:r>
      <w:r w:rsidR="007A7E16">
        <w:t xml:space="preserve"> </w:t>
      </w:r>
      <w:r w:rsidR="00871A8E">
        <w:t>1 към Плана се набелязват конкретни дейности, насочени към повишаване капацитета н</w:t>
      </w:r>
      <w:r w:rsidR="00391062">
        <w:t xml:space="preserve">а служителите, работещи в ГД </w:t>
      </w:r>
      <w:r w:rsidR="00871A8E">
        <w:t xml:space="preserve">ОПОС. Сред тези дейности са предвидени и конкретни мерки за </w:t>
      </w:r>
      <w:r w:rsidR="00391062">
        <w:t>р</w:t>
      </w:r>
      <w:r w:rsidR="00871A8E" w:rsidRPr="00871A8E">
        <w:t>азвитие на необходимите знания и умения, квалификация, професионални и технически качества</w:t>
      </w:r>
      <w:r w:rsidR="00391062">
        <w:t xml:space="preserve"> на екипа на ГД ОПОС, както следва:</w:t>
      </w:r>
    </w:p>
    <w:p w:rsidR="00391062" w:rsidRDefault="00391062" w:rsidP="00EB274A">
      <w:pPr>
        <w:pStyle w:val="ListBullet"/>
        <w:jc w:val="both"/>
      </w:pPr>
      <w:r w:rsidRPr="00391062">
        <w:t>Провеждане на фокусирани обучения, укрепващи капацитета на служителите в ГД ОПОС</w:t>
      </w:r>
      <w:r w:rsidR="0053241E">
        <w:t>;</w:t>
      </w:r>
    </w:p>
    <w:p w:rsidR="00391062" w:rsidRPr="00434F57" w:rsidRDefault="00391062" w:rsidP="00EB274A">
      <w:pPr>
        <w:pStyle w:val="ListBullet"/>
        <w:jc w:val="both"/>
        <w:rPr>
          <w:lang w:val="ru-RU"/>
        </w:rPr>
      </w:pPr>
      <w:r>
        <w:t>Регулярно идентифициране на индивидуа</w:t>
      </w:r>
      <w:r w:rsidR="00FA3DDC">
        <w:t>лните потребности</w:t>
      </w:r>
      <w:r>
        <w:t xml:space="preserve"> от обучение на служителите по отдели в ГД ОПОС </w:t>
      </w:r>
      <w:r w:rsidRPr="00434F57">
        <w:rPr>
          <w:lang w:val="ru-RU"/>
        </w:rPr>
        <w:t>(</w:t>
      </w:r>
      <w:r>
        <w:t xml:space="preserve">до края на м. </w:t>
      </w:r>
      <w:r w:rsidR="005B2461">
        <w:t>я</w:t>
      </w:r>
      <w:r>
        <w:t>нуари всяка календарна година чрез изготвяне на индивидуал</w:t>
      </w:r>
      <w:r w:rsidR="005B2461">
        <w:t>ни</w:t>
      </w:r>
      <w:r>
        <w:t xml:space="preserve"> план</w:t>
      </w:r>
      <w:r w:rsidR="005B2461">
        <w:t>ове</w:t>
      </w:r>
      <w:r>
        <w:t xml:space="preserve"> за обучения</w:t>
      </w:r>
      <w:r w:rsidR="005B2461">
        <w:t xml:space="preserve"> на служителите</w:t>
      </w:r>
      <w:r w:rsidRPr="00434F57">
        <w:rPr>
          <w:lang w:val="ru-RU"/>
        </w:rPr>
        <w:t>)</w:t>
      </w:r>
      <w:r w:rsidR="0053241E">
        <w:rPr>
          <w:lang w:val="ru-RU"/>
        </w:rPr>
        <w:t>;</w:t>
      </w:r>
    </w:p>
    <w:p w:rsidR="003D00D9" w:rsidRPr="00434F57" w:rsidRDefault="003D00D9" w:rsidP="00EB274A">
      <w:pPr>
        <w:pStyle w:val="ListBullet"/>
        <w:jc w:val="both"/>
        <w:rPr>
          <w:lang w:val="ru-RU"/>
        </w:rPr>
      </w:pPr>
      <w:proofErr w:type="spellStart"/>
      <w:r w:rsidRPr="00434F57">
        <w:rPr>
          <w:lang w:val="ru-RU"/>
        </w:rPr>
        <w:t>Провеждане</w:t>
      </w:r>
      <w:proofErr w:type="spellEnd"/>
      <w:r w:rsidRPr="00434F57">
        <w:rPr>
          <w:lang w:val="ru-RU"/>
        </w:rPr>
        <w:t xml:space="preserve"> на обучения в </w:t>
      </w:r>
      <w:proofErr w:type="spellStart"/>
      <w:r w:rsidRPr="00434F57">
        <w:rPr>
          <w:lang w:val="ru-RU"/>
        </w:rPr>
        <w:t>страни-членки</w:t>
      </w:r>
      <w:proofErr w:type="spellEnd"/>
      <w:r w:rsidRPr="00434F57">
        <w:rPr>
          <w:lang w:val="ru-RU"/>
        </w:rPr>
        <w:t xml:space="preserve"> на ЕС с цел </w:t>
      </w:r>
      <w:proofErr w:type="spellStart"/>
      <w:r w:rsidRPr="00434F57">
        <w:rPr>
          <w:lang w:val="ru-RU"/>
        </w:rPr>
        <w:t>обмяна</w:t>
      </w:r>
      <w:proofErr w:type="spellEnd"/>
      <w:r w:rsidRPr="00434F57">
        <w:rPr>
          <w:lang w:val="ru-RU"/>
        </w:rPr>
        <w:t xml:space="preserve"> на опит и информация за </w:t>
      </w:r>
      <w:proofErr w:type="spellStart"/>
      <w:r w:rsidRPr="00434F57">
        <w:rPr>
          <w:lang w:val="ru-RU"/>
        </w:rPr>
        <w:t>управлението</w:t>
      </w:r>
      <w:proofErr w:type="spellEnd"/>
      <w:r w:rsidRPr="00434F57">
        <w:rPr>
          <w:lang w:val="ru-RU"/>
        </w:rPr>
        <w:t xml:space="preserve"> на </w:t>
      </w:r>
      <w:proofErr w:type="spellStart"/>
      <w:r w:rsidRPr="00434F57">
        <w:rPr>
          <w:lang w:val="ru-RU"/>
        </w:rPr>
        <w:t>програми</w:t>
      </w:r>
      <w:proofErr w:type="spellEnd"/>
      <w:r>
        <w:t>,</w:t>
      </w:r>
      <w:r w:rsidRPr="00434F57">
        <w:rPr>
          <w:lang w:val="ru-RU"/>
        </w:rPr>
        <w:t xml:space="preserve"> </w:t>
      </w:r>
      <w:proofErr w:type="spellStart"/>
      <w:r>
        <w:t>съ</w:t>
      </w:r>
      <w:r w:rsidRPr="00434F57">
        <w:rPr>
          <w:lang w:val="ru-RU"/>
        </w:rPr>
        <w:t>финансирани</w:t>
      </w:r>
      <w:proofErr w:type="spellEnd"/>
      <w:r w:rsidRPr="00434F57">
        <w:rPr>
          <w:lang w:val="ru-RU"/>
        </w:rPr>
        <w:t xml:space="preserve"> от КФ и ЕФРР</w:t>
      </w:r>
      <w:r>
        <w:t xml:space="preserve"> </w:t>
      </w:r>
      <w:r w:rsidRPr="00434F57">
        <w:rPr>
          <w:lang w:val="ru-RU"/>
        </w:rPr>
        <w:t>(</w:t>
      </w:r>
      <w:r>
        <w:t>периодично съобразно потребностите и осигурен ресурс</w:t>
      </w:r>
      <w:r w:rsidRPr="00434F57">
        <w:rPr>
          <w:lang w:val="ru-RU"/>
        </w:rPr>
        <w:t>)</w:t>
      </w:r>
      <w:r w:rsidR="0053241E">
        <w:rPr>
          <w:lang w:val="ru-RU"/>
        </w:rPr>
        <w:t>.</w:t>
      </w:r>
    </w:p>
    <w:p w:rsidR="00C01976" w:rsidRDefault="00C01976" w:rsidP="00EB274A">
      <w:pPr>
        <w:jc w:val="both"/>
      </w:pPr>
      <w:r>
        <w:t xml:space="preserve">Общият бюджет за повишаване административния капацитет на служителите в ГД ОПОС чрез провеждането на регулярни обучения през периода 2016-2023 г. възлиза на 3 936 000 </w:t>
      </w:r>
      <w:r>
        <w:lastRenderedPageBreak/>
        <w:t xml:space="preserve">лв. </w:t>
      </w:r>
      <w:r w:rsidR="00B658EA">
        <w:t>В рамките на този бюджет общо 160 000 лв. са предвидени за покриване на нуждите от обучение на служителите, отговарящи за управлението на оценката.</w:t>
      </w:r>
    </w:p>
    <w:p w:rsidR="00F865BE" w:rsidRDefault="006C5CCC" w:rsidP="00EB274A">
      <w:pPr>
        <w:jc w:val="both"/>
      </w:pPr>
      <w:r>
        <w:t xml:space="preserve">С оглед повишаването на компетентността на служителите в ГД ОПОС </w:t>
      </w:r>
      <w:r w:rsidR="00F974CD">
        <w:t xml:space="preserve">всяка година </w:t>
      </w:r>
      <w:r>
        <w:t xml:space="preserve">се разработва </w:t>
      </w:r>
      <w:r w:rsidRPr="00CB1353">
        <w:rPr>
          <w:b/>
          <w:i/>
          <w:color w:val="5B6973" w:themeColor="text2"/>
        </w:rPr>
        <w:t>Годишен план за обучения на ГД ОПОС, съгласно Приложение № 2 към  План за развитие на административния капацитет и човешките ресурси на ГД ОПОС</w:t>
      </w:r>
      <w:r>
        <w:t xml:space="preserve">. </w:t>
      </w:r>
      <w:r w:rsidR="003D4442">
        <w:t xml:space="preserve">Той се </w:t>
      </w:r>
      <w:r w:rsidR="00F974CD">
        <w:t xml:space="preserve">изготвя </w:t>
      </w:r>
      <w:r w:rsidR="003D4442">
        <w:t>н</w:t>
      </w:r>
      <w:r>
        <w:t xml:space="preserve">а базата на периодичен анализ на потребностите от обучения за придобиване на необходимите знания и умения за всяка длъжност и разработените индивидуални планове за обучение на </w:t>
      </w:r>
      <w:r w:rsidR="003D4442">
        <w:t>служителите.</w:t>
      </w:r>
      <w:r w:rsidR="00C01976">
        <w:t xml:space="preserve"> </w:t>
      </w:r>
      <w:r w:rsidR="00E459BD">
        <w:t>Стойността на б</w:t>
      </w:r>
      <w:r w:rsidR="00C01976">
        <w:t>юджет</w:t>
      </w:r>
      <w:r w:rsidR="00E459BD">
        <w:t>а</w:t>
      </w:r>
      <w:r w:rsidR="00C01976">
        <w:t xml:space="preserve"> за </w:t>
      </w:r>
      <w:r w:rsidR="00E459BD">
        <w:t>изпълнение на всеки Годишен план за обучения на ГД ОПОС се определя на годишна база при отчитане на конкретните нужди от повишаване на компетенциите на служителите.</w:t>
      </w:r>
    </w:p>
    <w:p w:rsidR="00F865BE" w:rsidRDefault="00F865BE" w:rsidP="00EB274A">
      <w:pPr>
        <w:jc w:val="both"/>
      </w:pPr>
      <w:r>
        <w:t xml:space="preserve">В рамките на Годишните планове за обучения на ГД ОПОС ще се осигури включването на   експертите от отдел ПП, които отговарят за координация и управление на процеса по оценка на ОПОС, </w:t>
      </w:r>
      <w:r w:rsidR="007A7E16">
        <w:t xml:space="preserve">в </w:t>
      </w:r>
      <w:r>
        <w:t>подходящи обучения, семинари и работни групи за повишаване знанията и уменията</w:t>
      </w:r>
      <w:r w:rsidR="00F0391E">
        <w:t xml:space="preserve"> им в областта на оценката.</w:t>
      </w:r>
    </w:p>
    <w:p w:rsidR="003D00D9" w:rsidRPr="00F865BE" w:rsidRDefault="00C46D74" w:rsidP="00EB274A">
      <w:pPr>
        <w:jc w:val="both"/>
        <w:rPr>
          <w:rFonts w:ascii="Times New Roman" w:hAnsi="Times New Roman" w:cs="Times New Roman"/>
          <w:szCs w:val="24"/>
        </w:rPr>
      </w:pPr>
      <w:r>
        <w:t>УО</w:t>
      </w:r>
      <w:r w:rsidR="003D00D9">
        <w:t xml:space="preserve"> се ангажира </w:t>
      </w:r>
      <w:r w:rsidR="00F865BE">
        <w:t xml:space="preserve">с осигуряването на необходимите обучения за повишаване </w:t>
      </w:r>
      <w:r w:rsidR="00F865BE" w:rsidRPr="003D00D9">
        <w:t xml:space="preserve">компетентността на служителите на отдел ПП в областта на оценката </w:t>
      </w:r>
      <w:r w:rsidR="003D00D9">
        <w:t xml:space="preserve">в съответствие с </w:t>
      </w:r>
      <w:r w:rsidR="00F865BE">
        <w:t xml:space="preserve">отговорностите си </w:t>
      </w:r>
      <w:r w:rsidR="003D00D9" w:rsidRPr="003D00D9">
        <w:t xml:space="preserve">по чл. </w:t>
      </w:r>
      <w:r w:rsidR="00F865BE">
        <w:t xml:space="preserve">56 </w:t>
      </w:r>
      <w:r w:rsidR="00F865BE" w:rsidRPr="00434F57">
        <w:rPr>
          <w:lang w:val="ru-RU"/>
        </w:rPr>
        <w:t xml:space="preserve">(2) </w:t>
      </w:r>
      <w:r w:rsidR="00F865BE">
        <w:t>от Регламент 1303/2013.</w:t>
      </w:r>
    </w:p>
    <w:p w:rsidR="00F0391E" w:rsidRDefault="00F0391E" w:rsidP="00EB274A">
      <w:pPr>
        <w:jc w:val="both"/>
      </w:pPr>
      <w:r>
        <w:t>О</w:t>
      </w:r>
      <w:r w:rsidR="003D00D9">
        <w:t>бучения</w:t>
      </w:r>
      <w:r>
        <w:t>та</w:t>
      </w:r>
      <w:r w:rsidR="003D00D9">
        <w:t xml:space="preserve"> на служителите на отдел ПП, които отговарят за дейностите по оценка</w:t>
      </w:r>
      <w:r>
        <w:t xml:space="preserve">, ще се финансират по линия на Приоритетна ос 6 „Техническа помощ“ на програмата в рамките на предвидените разходи за дейности, насочени към осигуряване на необходимата подкрепа за управлението и изпълнението на ОПОС 2014-2020 г., включително подготовката, организирането и провеждането на обучения за служители на </w:t>
      </w:r>
      <w:r w:rsidR="00C46D74">
        <w:t>УО</w:t>
      </w:r>
      <w:r>
        <w:t xml:space="preserve"> и членове на КН на ОПОС. </w:t>
      </w:r>
      <w:r w:rsidR="003731B6">
        <w:t xml:space="preserve">Обученията в областта на оценката ще включват теми като </w:t>
      </w:r>
      <w:r w:rsidR="00574A10">
        <w:t xml:space="preserve">планиране на оценки, </w:t>
      </w:r>
      <w:r w:rsidR="003731B6">
        <w:t>управление, координация, орган</w:t>
      </w:r>
      <w:r w:rsidR="00574A10">
        <w:t>изация и провеждане на оценки на оперативните програми</w:t>
      </w:r>
      <w:r w:rsidR="003731B6">
        <w:t xml:space="preserve">, подходи и методи </w:t>
      </w:r>
      <w:r w:rsidR="00574A10">
        <w:t>за оценка</w:t>
      </w:r>
      <w:r w:rsidR="003731B6">
        <w:t xml:space="preserve"> на оперативните програми</w:t>
      </w:r>
      <w:r w:rsidR="00574A10">
        <w:t>, подготовка на качествени технически задания за избор на външен оценител</w:t>
      </w:r>
      <w:r w:rsidR="003731B6">
        <w:t xml:space="preserve"> и др.</w:t>
      </w:r>
      <w:r w:rsidR="000B6F14">
        <w:t xml:space="preserve"> </w:t>
      </w:r>
      <w:r>
        <w:t xml:space="preserve">Тъй като </w:t>
      </w:r>
      <w:r w:rsidR="003731B6">
        <w:t xml:space="preserve">конкретното определяне на подходящите обучения в областта на оценката е част от процеса на текущо планиране на обученията в рамките на Годишните планове за обучения за цялата дирекция ГД ОПОС, те не са обект на </w:t>
      </w:r>
      <w:r w:rsidR="00574A10">
        <w:t xml:space="preserve">детайлно </w:t>
      </w:r>
      <w:r w:rsidR="003731B6">
        <w:t>представяне в настоящия План за оценка на ОПОС.</w:t>
      </w:r>
    </w:p>
    <w:p w:rsidR="003D4442" w:rsidRDefault="003731B6" w:rsidP="00EB274A">
      <w:pPr>
        <w:jc w:val="both"/>
      </w:pPr>
      <w:r>
        <w:t xml:space="preserve">За целите на обученията в областта на оценката могат да бъдат използвани специализираните обучения, провеждани от Европейският институт за публична администрация, </w:t>
      </w:r>
      <w:r w:rsidR="002B6759">
        <w:t xml:space="preserve">както и да се осигури </w:t>
      </w:r>
      <w:r>
        <w:t xml:space="preserve">участие в международни конференции за оценка на въздействието на ЕСИФ 2014-2020 г. (включително такива, организирани от Европейското общество за оценка – </w:t>
      </w:r>
      <w:proofErr w:type="spellStart"/>
      <w:r>
        <w:t>Еигореа</w:t>
      </w:r>
      <w:proofErr w:type="spellEnd"/>
      <w:r>
        <w:rPr>
          <w:lang w:val="en-US"/>
        </w:rPr>
        <w:t>n</w:t>
      </w:r>
      <w:r w:rsidRPr="00434F57">
        <w:rPr>
          <w:lang w:val="ru-RU"/>
        </w:rPr>
        <w:t xml:space="preserve"> </w:t>
      </w:r>
      <w:r>
        <w:rPr>
          <w:lang w:val="en-US"/>
        </w:rPr>
        <w:t>Evaluation</w:t>
      </w:r>
      <w:r w:rsidRPr="00434F57">
        <w:rPr>
          <w:lang w:val="ru-RU"/>
        </w:rPr>
        <w:t xml:space="preserve"> </w:t>
      </w:r>
      <w:r>
        <w:rPr>
          <w:lang w:val="en-US"/>
        </w:rPr>
        <w:t>Society</w:t>
      </w:r>
      <w:r>
        <w:t>), както и подобни инициатив</w:t>
      </w:r>
      <w:r w:rsidR="000B6F14">
        <w:t xml:space="preserve">и, </w:t>
      </w:r>
      <w:r w:rsidR="000B6F14">
        <w:lastRenderedPageBreak/>
        <w:t xml:space="preserve">организирани в България. </w:t>
      </w:r>
      <w:r w:rsidR="003D4442">
        <w:t xml:space="preserve">Непрекъснатото изграждане на капацитета на </w:t>
      </w:r>
      <w:r w:rsidR="00C46D74">
        <w:t>УО</w:t>
      </w:r>
      <w:r w:rsidR="000B6F14">
        <w:t xml:space="preserve"> в областта на оценката</w:t>
      </w:r>
      <w:r w:rsidR="003D4442">
        <w:t xml:space="preserve"> </w:t>
      </w:r>
      <w:r w:rsidR="000B6F14">
        <w:t>ще</w:t>
      </w:r>
      <w:r w:rsidR="003D4442">
        <w:t xml:space="preserve"> бъде осигурено и чрез </w:t>
      </w:r>
      <w:r w:rsidR="000B6F14">
        <w:t xml:space="preserve">постоянната </w:t>
      </w:r>
      <w:r w:rsidR="003D4442">
        <w:t xml:space="preserve">обмяна на опит </w:t>
      </w:r>
      <w:r w:rsidR="000B6F14">
        <w:t xml:space="preserve">и добри практики </w:t>
      </w:r>
      <w:r w:rsidR="003D4442">
        <w:t>с други</w:t>
      </w:r>
      <w:r w:rsidR="000B6F14">
        <w:t>те</w:t>
      </w:r>
      <w:r w:rsidR="003D4442">
        <w:t xml:space="preserve"> УО</w:t>
      </w:r>
      <w:r w:rsidR="000B6F14">
        <w:t xml:space="preserve"> в рамките на дейността на Постоянната междуведомствена работна група за оценка на ЕСИФ 2014-2020 г.</w:t>
      </w:r>
      <w:r w:rsidR="003D4442">
        <w:t xml:space="preserve">, както и </w:t>
      </w:r>
      <w:r w:rsidR="000B6F14">
        <w:t xml:space="preserve">чрез възможностите за </w:t>
      </w:r>
      <w:r w:rsidR="003D4442">
        <w:t>провеждане на партньорски преглед (</w:t>
      </w:r>
      <w:proofErr w:type="spellStart"/>
      <w:r w:rsidR="003D4442">
        <w:t>peer</w:t>
      </w:r>
      <w:proofErr w:type="spellEnd"/>
      <w:r w:rsidR="003D4442">
        <w:t xml:space="preserve"> </w:t>
      </w:r>
      <w:proofErr w:type="spellStart"/>
      <w:r w:rsidR="003D4442">
        <w:t>review</w:t>
      </w:r>
      <w:proofErr w:type="spellEnd"/>
      <w:r w:rsidR="003D4442">
        <w:t>) на изградените в тези УО системи за мониторинг и оценка.</w:t>
      </w:r>
    </w:p>
    <w:p w:rsidR="006F742F" w:rsidRDefault="00620A98" w:rsidP="00EB274A">
      <w:pPr>
        <w:pStyle w:val="Heading2"/>
        <w:jc w:val="both"/>
      </w:pPr>
      <w:bookmarkStart w:id="38" w:name="_Toc453078522"/>
      <w:r>
        <w:t>Стратегия за използване и оповестяване на резултатите от оценката на ОПОС</w:t>
      </w:r>
      <w:bookmarkEnd w:id="38"/>
    </w:p>
    <w:p w:rsidR="00E7126F" w:rsidRDefault="00E7126F" w:rsidP="00EB274A">
      <w:pPr>
        <w:jc w:val="both"/>
      </w:pPr>
      <w:r>
        <w:t xml:space="preserve">Оценките имат значение единствено като средство за правилно насочване на усилията по управление и изпълнение на програмата, постоянно учене в хода на изпълнението й и постигане на ясно разбиране за оказаното въздействие от програмата. Ето защо е от изключителна важност </w:t>
      </w:r>
      <w:r w:rsidR="00C46D74">
        <w:t>УО</w:t>
      </w:r>
      <w:r>
        <w:t xml:space="preserve"> да осигури ефективното използване на резултатите от оценката. Смисълът на оценките е в извличане на знание, опит и уроци за практиката</w:t>
      </w:r>
      <w:r w:rsidR="00661A3A">
        <w:t xml:space="preserve"> по управление и изпълнение на програмите</w:t>
      </w:r>
      <w:r>
        <w:t xml:space="preserve">. </w:t>
      </w:r>
    </w:p>
    <w:p w:rsidR="00E7126F" w:rsidRDefault="00E7126F" w:rsidP="00EB274A">
      <w:pPr>
        <w:jc w:val="both"/>
      </w:pPr>
      <w:r>
        <w:t xml:space="preserve">Използването на резултатите от оценката се изразява в осигуряването на реална възможност изводите и препоръките от осъществените оценки да повлияят на процеса на вземане на решения и предприемане на действия за осигуряване на изпълнението на оперативната програма и за </w:t>
      </w:r>
      <w:r w:rsidR="00661A3A">
        <w:t>правилното и обективно отчитане на реалния принос на програмата,</w:t>
      </w:r>
      <w:r>
        <w:t xml:space="preserve"> нейната ефективност, ефикасност и въздействие. </w:t>
      </w:r>
    </w:p>
    <w:p w:rsidR="00310E57" w:rsidRDefault="00E7126F" w:rsidP="00EB274A">
      <w:pPr>
        <w:jc w:val="both"/>
      </w:pPr>
      <w:r>
        <w:t xml:space="preserve">Използването на заключенията и </w:t>
      </w:r>
      <w:r w:rsidR="00310E57">
        <w:t xml:space="preserve">препоръките </w:t>
      </w:r>
      <w:r>
        <w:t>от извършените оценки на ОП</w:t>
      </w:r>
      <w:r w:rsidR="00310E57">
        <w:t xml:space="preserve">ОС е гарантирано чрез залагане на необходимите дейности в рамките на процедурния ред по управление и координация на оценката в </w:t>
      </w:r>
      <w:r w:rsidR="00C46D74">
        <w:t>УО</w:t>
      </w:r>
      <w:r w:rsidR="00310E57">
        <w:t>, съгласно действащ</w:t>
      </w:r>
      <w:r w:rsidR="0053241E">
        <w:t>ите</w:t>
      </w:r>
      <w:r w:rsidR="00310E57">
        <w:t xml:space="preserve"> СУК от 16.03.2016 г. и Процедурния наръчник на ГД ОПОС.</w:t>
      </w:r>
    </w:p>
    <w:p w:rsidR="00310E57" w:rsidRPr="00310E57" w:rsidRDefault="00310E57" w:rsidP="00EB274A">
      <w:pPr>
        <w:jc w:val="both"/>
        <w:rPr>
          <w:b/>
        </w:rPr>
      </w:pPr>
      <w:r w:rsidRPr="00310E57">
        <w:rPr>
          <w:b/>
        </w:rPr>
        <w:t xml:space="preserve">Конкретните мерки, предвидени от </w:t>
      </w:r>
      <w:r w:rsidR="00C46D74">
        <w:rPr>
          <w:b/>
        </w:rPr>
        <w:t>УО</w:t>
      </w:r>
      <w:r w:rsidRPr="00310E57">
        <w:rPr>
          <w:b/>
        </w:rPr>
        <w:t>, за гарантиране ефективното използване на резултатите от оценките на ОПОС включват:</w:t>
      </w:r>
    </w:p>
    <w:p w:rsidR="00310E57" w:rsidRDefault="0073653D" w:rsidP="00EB274A">
      <w:pPr>
        <w:pStyle w:val="ListBullet"/>
        <w:jc w:val="both"/>
      </w:pPr>
      <w:r>
        <w:t>в</w:t>
      </w:r>
      <w:r w:rsidR="00310E57">
        <w:t xml:space="preserve">ключване в техническите спецификации за избор на външен изпълнител за провеждане на оценка по ОПОС на </w:t>
      </w:r>
      <w:r w:rsidR="00310E57" w:rsidRPr="00310E57">
        <w:rPr>
          <w:b/>
        </w:rPr>
        <w:t>задължително изискване за изготвяне на изрични, ясни и конкретни препоръки в рамките на докладите по оценка;</w:t>
      </w:r>
    </w:p>
    <w:p w:rsidR="00310E57" w:rsidRDefault="0073653D" w:rsidP="00EB274A">
      <w:pPr>
        <w:pStyle w:val="ListBullet"/>
        <w:jc w:val="both"/>
      </w:pPr>
      <w:r>
        <w:t>и</w:t>
      </w:r>
      <w:r w:rsidR="00310E57">
        <w:t xml:space="preserve">зрично въведено задължение в длъжностните характеристики на служителите от отдел ПП за </w:t>
      </w:r>
      <w:r w:rsidR="00310E57" w:rsidRPr="0073653D">
        <w:rPr>
          <w:b/>
        </w:rPr>
        <w:t>изготвян</w:t>
      </w:r>
      <w:r w:rsidRPr="0073653D">
        <w:rPr>
          <w:b/>
        </w:rPr>
        <w:t>е на П</w:t>
      </w:r>
      <w:r w:rsidR="00310E57" w:rsidRPr="0073653D">
        <w:rPr>
          <w:b/>
        </w:rPr>
        <w:t>лан за действие по препоръките</w:t>
      </w:r>
      <w:r w:rsidRPr="0073653D">
        <w:rPr>
          <w:b/>
        </w:rPr>
        <w:t xml:space="preserve"> от всеки оценителен доклад</w:t>
      </w:r>
      <w:r>
        <w:t xml:space="preserve"> и осигуряване</w:t>
      </w:r>
      <w:r w:rsidR="00310E57">
        <w:t xml:space="preserve"> проследяван</w:t>
      </w:r>
      <w:r>
        <w:t>ето на напредъка по</w:t>
      </w:r>
      <w:r w:rsidR="00661A3A">
        <w:t xml:space="preserve"> изпълнението му;</w:t>
      </w:r>
    </w:p>
    <w:p w:rsidR="0073653D" w:rsidRDefault="0073653D" w:rsidP="00EB274A">
      <w:pPr>
        <w:pStyle w:val="ListBullet"/>
        <w:jc w:val="both"/>
      </w:pPr>
      <w:r w:rsidRPr="0073653D">
        <w:rPr>
          <w:b/>
        </w:rPr>
        <w:t>представяне на резултатите от оценките, основните из</w:t>
      </w:r>
      <w:r w:rsidR="004440AB">
        <w:rPr>
          <w:b/>
        </w:rPr>
        <w:t>в</w:t>
      </w:r>
      <w:r w:rsidRPr="0073653D">
        <w:rPr>
          <w:b/>
        </w:rPr>
        <w:t>оди и препоръки пред КН на ОПОС</w:t>
      </w:r>
      <w:r>
        <w:t xml:space="preserve"> и докладване на напредъка по изпълнение на плановете за действие по препоръките от отделните оценки;</w:t>
      </w:r>
    </w:p>
    <w:p w:rsidR="005E3F07" w:rsidRPr="005E3F07" w:rsidRDefault="004440AB" w:rsidP="00EB274A">
      <w:pPr>
        <w:pStyle w:val="ListBullet"/>
        <w:jc w:val="both"/>
      </w:pPr>
      <w:r>
        <w:rPr>
          <w:b/>
        </w:rPr>
        <w:lastRenderedPageBreak/>
        <w:t xml:space="preserve">представяне </w:t>
      </w:r>
      <w:r w:rsidR="00661A3A">
        <w:rPr>
          <w:b/>
        </w:rPr>
        <w:t>на резултатите от оценките на</w:t>
      </w:r>
      <w:r w:rsidR="005E3F07">
        <w:rPr>
          <w:b/>
        </w:rPr>
        <w:t xml:space="preserve"> ОПОС в рамките на Постоянната междуведомствена работна група за оценката на ЕСИФ 2014-2020 </w:t>
      </w:r>
      <w:r w:rsidR="005E3F07" w:rsidRPr="005E3F07">
        <w:t>с оглед обмена на опит и добри практики с останалите УО</w:t>
      </w:r>
      <w:r w:rsidR="0053241E">
        <w:t>;</w:t>
      </w:r>
      <w:r w:rsidR="005E3F07" w:rsidRPr="005E3F07">
        <w:t xml:space="preserve"> </w:t>
      </w:r>
    </w:p>
    <w:p w:rsidR="0073653D" w:rsidRDefault="0073653D" w:rsidP="00EB274A">
      <w:pPr>
        <w:pStyle w:val="ListBullet"/>
        <w:jc w:val="both"/>
      </w:pPr>
      <w:r w:rsidRPr="0073653D">
        <w:rPr>
          <w:b/>
        </w:rPr>
        <w:t>отчитане на основните резултати от оценките в годишните доклади за изпълнението</w:t>
      </w:r>
      <w:r>
        <w:t xml:space="preserve"> на ОПОС 2014-2020</w:t>
      </w:r>
      <w:r w:rsidR="0053241E">
        <w:t xml:space="preserve"> г</w:t>
      </w:r>
      <w:r>
        <w:t>.</w:t>
      </w:r>
      <w:r w:rsidR="0053241E">
        <w:t>;</w:t>
      </w:r>
    </w:p>
    <w:p w:rsidR="00310E57" w:rsidRDefault="0073653D" w:rsidP="00EB274A">
      <w:pPr>
        <w:pStyle w:val="ListBullet"/>
        <w:jc w:val="both"/>
      </w:pPr>
      <w:r>
        <w:rPr>
          <w:b/>
        </w:rPr>
        <w:t>о</w:t>
      </w:r>
      <w:r w:rsidRPr="0073653D">
        <w:rPr>
          <w:b/>
        </w:rPr>
        <w:t>сигуряване оповестяването на резултатите от оценките по ОПОС до всички заинтересовани страни</w:t>
      </w:r>
      <w:r w:rsidR="006F742F">
        <w:rPr>
          <w:b/>
        </w:rPr>
        <w:t>, вкл. бенефициентите по програмата</w:t>
      </w:r>
      <w:r w:rsidRPr="0073653D">
        <w:rPr>
          <w:b/>
        </w:rPr>
        <w:t xml:space="preserve"> и широката общественост</w:t>
      </w:r>
      <w:r>
        <w:t xml:space="preserve"> чрез използването на подходящи комуникационни канали;</w:t>
      </w:r>
    </w:p>
    <w:p w:rsidR="006F742F" w:rsidRDefault="006F742F" w:rsidP="00EB274A">
      <w:pPr>
        <w:pStyle w:val="ListBullet"/>
        <w:jc w:val="both"/>
      </w:pPr>
      <w:r>
        <w:rPr>
          <w:b/>
        </w:rPr>
        <w:t xml:space="preserve">представяне на докладите от извършени оценки на ЕК чрез системата </w:t>
      </w:r>
      <w:r>
        <w:rPr>
          <w:b/>
          <w:lang w:val="en-US"/>
        </w:rPr>
        <w:t>SFC</w:t>
      </w:r>
      <w:r w:rsidRPr="006F742F">
        <w:t xml:space="preserve">, вкл. и </w:t>
      </w:r>
      <w:r w:rsidR="00661A3A">
        <w:t xml:space="preserve">частта от </w:t>
      </w:r>
      <w:r w:rsidRPr="006F742F">
        <w:t>техническите спецификации,</w:t>
      </w:r>
      <w:r w:rsidR="00661A3A">
        <w:t xml:space="preserve"> описваща</w:t>
      </w:r>
      <w:r w:rsidRPr="006F742F">
        <w:t xml:space="preserve"> бюджета и методологията за оценка</w:t>
      </w:r>
      <w:r w:rsidRPr="00434F57">
        <w:rPr>
          <w:lang w:val="ru-RU"/>
        </w:rPr>
        <w:t xml:space="preserve"> </w:t>
      </w:r>
      <w:r w:rsidRPr="006F742F">
        <w:t>с оглед подпомагане на ЕК в обмена на добри практики и знание в областта на оценката</w:t>
      </w:r>
      <w:r w:rsidR="0053241E">
        <w:t>;</w:t>
      </w:r>
    </w:p>
    <w:p w:rsidR="00BC171A" w:rsidRPr="005E3F07" w:rsidRDefault="005E3F07" w:rsidP="00EB274A">
      <w:pPr>
        <w:pStyle w:val="ListBullet"/>
        <w:jc w:val="both"/>
      </w:pPr>
      <w:r w:rsidRPr="005E3F07">
        <w:rPr>
          <w:b/>
        </w:rPr>
        <w:t>предоставяне на резюме на констатациите от всички оценки на програмата на ЕК</w:t>
      </w:r>
      <w:r>
        <w:t xml:space="preserve">, както и информация за </w:t>
      </w:r>
      <w:proofErr w:type="spellStart"/>
      <w:r>
        <w:t>последващите</w:t>
      </w:r>
      <w:proofErr w:type="spellEnd"/>
      <w:r>
        <w:t xml:space="preserve"> мерки във връзка с констатациите от оценките, в съответствие с изискванията на Регламент 1303/2013</w:t>
      </w:r>
      <w:r w:rsidR="0053241E">
        <w:t>.</w:t>
      </w:r>
    </w:p>
    <w:p w:rsidR="00BC171A" w:rsidRDefault="00BC171A" w:rsidP="00EB274A">
      <w:pPr>
        <w:jc w:val="both"/>
      </w:pPr>
      <w:r>
        <w:t xml:space="preserve">Важни фактори за </w:t>
      </w:r>
      <w:r w:rsidR="005E3F07">
        <w:t xml:space="preserve">осигуряване ефективното </w:t>
      </w:r>
      <w:r>
        <w:t>използване на резултатите</w:t>
      </w:r>
      <w:r w:rsidR="005E3F07">
        <w:t xml:space="preserve"> от оценките</w:t>
      </w:r>
      <w:r>
        <w:t>, които са адресирани</w:t>
      </w:r>
      <w:r w:rsidR="005E3F07">
        <w:t xml:space="preserve"> в т. 3.9</w:t>
      </w:r>
      <w:r>
        <w:t xml:space="preserve">, са </w:t>
      </w:r>
      <w:r w:rsidR="005E3F07">
        <w:t xml:space="preserve">осигуряването на </w:t>
      </w:r>
      <w:r>
        <w:t xml:space="preserve">качеството на оценките и </w:t>
      </w:r>
      <w:r w:rsidR="005E3F07">
        <w:t xml:space="preserve">правилното им планиране </w:t>
      </w:r>
      <w:r>
        <w:t>във времет</w:t>
      </w:r>
      <w:r w:rsidR="005E3F07">
        <w:t xml:space="preserve">о, така че </w:t>
      </w:r>
      <w:r>
        <w:t>резултатите (и препоръките) да са налице в момента, когато те имат значение за вземането на решения</w:t>
      </w:r>
      <w:r w:rsidR="005E3F07">
        <w:t xml:space="preserve"> по управлението и изпълнението на ОПОС 2014-2020 г.</w:t>
      </w:r>
    </w:p>
    <w:p w:rsidR="002D4C71" w:rsidRPr="00091834" w:rsidRDefault="002D4C71" w:rsidP="00EB274A">
      <w:pPr>
        <w:jc w:val="both"/>
        <w:rPr>
          <w:b/>
        </w:rPr>
      </w:pPr>
      <w:r>
        <w:t xml:space="preserve">Прилагането на гореописаните механизми ще гарантира, че </w:t>
      </w:r>
      <w:r w:rsidRPr="00091834">
        <w:rPr>
          <w:b/>
        </w:rPr>
        <w:t>резултатите от оценката се използват за:</w:t>
      </w:r>
    </w:p>
    <w:p w:rsidR="002D4C71" w:rsidRDefault="002D4C71" w:rsidP="00EB274A">
      <w:pPr>
        <w:pStyle w:val="ListBullet"/>
        <w:jc w:val="both"/>
      </w:pPr>
      <w:r>
        <w:t>получаване на информация за ефективността и ефикасността на изпълнението на ОПОС 2014-2020</w:t>
      </w:r>
      <w:r w:rsidR="0041256B">
        <w:t xml:space="preserve"> г.</w:t>
      </w:r>
      <w:r>
        <w:t>, адекватността на механизмите за управление, идентифицирани</w:t>
      </w:r>
      <w:r w:rsidR="00661A3A">
        <w:t>те проблеми и добри практики (</w:t>
      </w:r>
      <w:r w:rsidR="00661A3A" w:rsidRPr="00661A3A">
        <w:rPr>
          <w:i/>
        </w:rPr>
        <w:t>„К</w:t>
      </w:r>
      <w:r w:rsidRPr="00661A3A">
        <w:rPr>
          <w:i/>
        </w:rPr>
        <w:t>акво работи и какво не</w:t>
      </w:r>
      <w:r w:rsidR="00661A3A" w:rsidRPr="00661A3A">
        <w:rPr>
          <w:i/>
        </w:rPr>
        <w:t>?</w:t>
      </w:r>
      <w:r w:rsidRPr="00661A3A">
        <w:rPr>
          <w:i/>
        </w:rPr>
        <w:t>”);</w:t>
      </w:r>
    </w:p>
    <w:p w:rsidR="002D4C71" w:rsidRDefault="002D4C71" w:rsidP="00EB274A">
      <w:pPr>
        <w:pStyle w:val="ListBullet"/>
        <w:jc w:val="both"/>
      </w:pPr>
      <w:r>
        <w:t>получаване на информация и анализ на оказаното въздействие от изпълнението на ОПОС 2014-2020</w:t>
      </w:r>
      <w:r w:rsidR="0041256B">
        <w:t xml:space="preserve"> г.</w:t>
      </w:r>
      <w:r>
        <w:t>;</w:t>
      </w:r>
    </w:p>
    <w:p w:rsidR="002D4C71" w:rsidRDefault="00725F08" w:rsidP="00EB274A">
      <w:pPr>
        <w:pStyle w:val="ListBullet"/>
        <w:jc w:val="both"/>
      </w:pPr>
      <w:r>
        <w:t>н</w:t>
      </w:r>
      <w:r w:rsidR="002D4C71">
        <w:t>авременно установяване на необходимостта от промени в ОПОС 2014-2020</w:t>
      </w:r>
      <w:r w:rsidR="00661A3A">
        <w:t xml:space="preserve"> г.</w:t>
      </w:r>
      <w:r w:rsidR="002D4C71">
        <w:t>;</w:t>
      </w:r>
    </w:p>
    <w:p w:rsidR="002D4C71" w:rsidRDefault="00725F08" w:rsidP="00EB274A">
      <w:pPr>
        <w:pStyle w:val="ListBullet"/>
        <w:jc w:val="both"/>
      </w:pPr>
      <w:r>
        <w:t>о</w:t>
      </w:r>
      <w:r w:rsidR="002D4C71">
        <w:t>сигуряване на надеждна информационна база за следващи оценки;</w:t>
      </w:r>
    </w:p>
    <w:p w:rsidR="002D4C71" w:rsidRDefault="00725F08" w:rsidP="00EB274A">
      <w:pPr>
        <w:pStyle w:val="ListBullet"/>
        <w:jc w:val="both"/>
      </w:pPr>
      <w:r>
        <w:t>и</w:t>
      </w:r>
      <w:r w:rsidR="002D4C71">
        <w:t>звличане на поуки за следващия програмен период;</w:t>
      </w:r>
    </w:p>
    <w:p w:rsidR="002D4C71" w:rsidRDefault="00725F08" w:rsidP="00EB274A">
      <w:pPr>
        <w:pStyle w:val="ListBullet"/>
        <w:jc w:val="both"/>
      </w:pPr>
      <w:r>
        <w:t>р</w:t>
      </w:r>
      <w:r w:rsidR="002D4C71">
        <w:t>азвитие на административен капацитет в областта на оценката и насърчаване на дебата за качеството на програмите</w:t>
      </w:r>
      <w:r w:rsidR="00661A3A">
        <w:t xml:space="preserve">, изпълнявани с финансовата подкрепа на ЕСИФ </w:t>
      </w:r>
      <w:r w:rsidR="002D4C71">
        <w:t xml:space="preserve">и оценките им. </w:t>
      </w:r>
    </w:p>
    <w:p w:rsidR="0029267D" w:rsidRDefault="0029267D" w:rsidP="00EB274A">
      <w:pPr>
        <w:jc w:val="both"/>
      </w:pPr>
      <w:r>
        <w:lastRenderedPageBreak/>
        <w:t xml:space="preserve">Съгласно чл. 54 от Регламент 1303/2013, всички оценки се правят обществено достояние. </w:t>
      </w:r>
      <w:r>
        <w:rPr>
          <w:lang w:eastAsia="bg-BG"/>
        </w:rPr>
        <w:t>Целта на широкото разпространение на резултатите от оценките е да се осигури достъп до резултатите от оценките на всички заинтересовани страни, като това съществено ще повиши общия ефект от провеждането на оценките, ще подпомогне по-доброто разбиране на ОПОС 2014-2020</w:t>
      </w:r>
      <w:r w:rsidR="00661A3A">
        <w:rPr>
          <w:lang w:eastAsia="bg-BG"/>
        </w:rPr>
        <w:t xml:space="preserve"> г.</w:t>
      </w:r>
      <w:r>
        <w:rPr>
          <w:lang w:eastAsia="bg-BG"/>
        </w:rPr>
        <w:t>,</w:t>
      </w:r>
      <w:r w:rsidR="00661A3A">
        <w:rPr>
          <w:lang w:eastAsia="bg-BG"/>
        </w:rPr>
        <w:t xml:space="preserve"> постигнатите резултати и въздействие</w:t>
      </w:r>
      <w:r>
        <w:rPr>
          <w:lang w:eastAsia="bg-BG"/>
        </w:rPr>
        <w:t>, и популяризирането и обмена на добри практики при изпълнението на ОПОС 2014-2020</w:t>
      </w:r>
      <w:r w:rsidR="00661A3A">
        <w:rPr>
          <w:lang w:eastAsia="bg-BG"/>
        </w:rPr>
        <w:t xml:space="preserve"> г.</w:t>
      </w:r>
      <w:r>
        <w:rPr>
          <w:lang w:eastAsia="bg-BG"/>
        </w:rPr>
        <w:t xml:space="preserve"> и др.</w:t>
      </w:r>
    </w:p>
    <w:p w:rsidR="00D25B71" w:rsidRDefault="0029267D" w:rsidP="00EB274A">
      <w:pPr>
        <w:jc w:val="both"/>
      </w:pPr>
      <w:r>
        <w:t xml:space="preserve">Широкото </w:t>
      </w:r>
      <w:proofErr w:type="spellStart"/>
      <w:r>
        <w:t>опевестяване</w:t>
      </w:r>
      <w:proofErr w:type="spellEnd"/>
      <w:r>
        <w:t xml:space="preserve"> на резултатите от оценките на ОПОС е гарантирано чрез залагане на необходимите дейности в рамките на процедурния ред по управление и координация на оценката в </w:t>
      </w:r>
      <w:r w:rsidR="00C46D74">
        <w:t>УО</w:t>
      </w:r>
      <w:r>
        <w:t>, съгласно действащ</w:t>
      </w:r>
      <w:r w:rsidR="00DF499E">
        <w:t>ите</w:t>
      </w:r>
      <w:r>
        <w:t xml:space="preserve"> СУК от 16.03.2016 г. и Процедурния наръчник на ГД ОПОС. В рамките на процедурата е заложено задължение на отдел ККТП </w:t>
      </w:r>
      <w:r w:rsidR="00F9600C">
        <w:t xml:space="preserve">да обезпечи </w:t>
      </w:r>
      <w:r w:rsidRPr="007C15D7">
        <w:t>публикуване</w:t>
      </w:r>
      <w:r w:rsidR="00F9600C">
        <w:t>то</w:t>
      </w:r>
      <w:r w:rsidRPr="007C15D7">
        <w:t xml:space="preserve"> на резултатите от </w:t>
      </w:r>
      <w:r w:rsidR="00F9600C">
        <w:t xml:space="preserve">всяка </w:t>
      </w:r>
      <w:r w:rsidRPr="007C15D7">
        <w:t xml:space="preserve">извършена външна оценка </w:t>
      </w:r>
      <w:r w:rsidR="00F9600C">
        <w:t xml:space="preserve">на ОПОС </w:t>
      </w:r>
      <w:r w:rsidRPr="007C15D7">
        <w:t>на интернет страницата на ОПОС</w:t>
      </w:r>
      <w:r w:rsidR="00D25B71">
        <w:t xml:space="preserve"> </w:t>
      </w:r>
      <w:r w:rsidR="00D25B71" w:rsidRPr="00434F57">
        <w:rPr>
          <w:lang w:val="ru-RU"/>
        </w:rPr>
        <w:t>(</w:t>
      </w:r>
      <w:r w:rsidR="00D25B71" w:rsidRPr="00D25B71">
        <w:t xml:space="preserve"> </w:t>
      </w:r>
      <w:hyperlink r:id="rId14" w:history="1">
        <w:r w:rsidR="00D25B71" w:rsidRPr="00C47832">
          <w:rPr>
            <w:rStyle w:val="Hyperlink"/>
          </w:rPr>
          <w:t>http://ope.moew.government.bg</w:t>
        </w:r>
      </w:hyperlink>
      <w:r w:rsidR="00D25B71" w:rsidRPr="00434F57">
        <w:rPr>
          <w:lang w:val="ru-RU"/>
        </w:rPr>
        <w:t>)</w:t>
      </w:r>
      <w:r w:rsidR="00D25B71">
        <w:t xml:space="preserve">. </w:t>
      </w:r>
      <w:r>
        <w:t xml:space="preserve"> </w:t>
      </w:r>
    </w:p>
    <w:p w:rsidR="0029267D" w:rsidRDefault="00D25B71" w:rsidP="00EB274A">
      <w:pPr>
        <w:jc w:val="both"/>
      </w:pPr>
      <w:r>
        <w:t xml:space="preserve">За осигуряване на максимално широко оповестяване на резултатите от оценката </w:t>
      </w:r>
      <w:r w:rsidR="00C46D74">
        <w:t>УО</w:t>
      </w:r>
      <w:r>
        <w:t xml:space="preserve"> ще гарантира разпространението на информацията от оценките сред широк кръг от потенциални</w:t>
      </w:r>
      <w:r w:rsidR="0029267D">
        <w:t xml:space="preserve"> потребители</w:t>
      </w:r>
      <w:r>
        <w:t xml:space="preserve"> на информацията</w:t>
      </w:r>
      <w:r w:rsidR="00DF499E">
        <w:t xml:space="preserve"> </w:t>
      </w:r>
      <w:r w:rsidR="0029267D">
        <w:t xml:space="preserve">– от </w:t>
      </w:r>
      <w:r>
        <w:t>представители на институции, ангажирани с изпълнението на ЕСИФ 2014-2020 в България, през потен</w:t>
      </w:r>
      <w:r w:rsidR="00661A3A">
        <w:t xml:space="preserve">циални и реални бенефициенти по </w:t>
      </w:r>
      <w:r>
        <w:t>ОПОС 2014-2020</w:t>
      </w:r>
      <w:r w:rsidR="00661A3A">
        <w:t xml:space="preserve"> г.</w:t>
      </w:r>
      <w:r>
        <w:t xml:space="preserve"> и представители на всички партньори и заинтересовани страни, включени в КН на ОПОС, </w:t>
      </w:r>
      <w:r w:rsidR="0029267D">
        <w:t>до широката обще</w:t>
      </w:r>
      <w:r>
        <w:t xml:space="preserve">ственост. За целта </w:t>
      </w:r>
      <w:r w:rsidR="00C46D74">
        <w:t>УО</w:t>
      </w:r>
      <w:r>
        <w:t xml:space="preserve"> предвижда използването на разнообразни к</w:t>
      </w:r>
      <w:r w:rsidR="0029267D">
        <w:t>анали за комуникация</w:t>
      </w:r>
      <w:r>
        <w:t>, съобразени с естеството на раз</w:t>
      </w:r>
      <w:r w:rsidR="00DF499E">
        <w:t>л</w:t>
      </w:r>
      <w:r>
        <w:t>ичните потребители на информацията.</w:t>
      </w:r>
    </w:p>
    <w:p w:rsidR="00BC171A" w:rsidRPr="00D25B71" w:rsidRDefault="00D25B71" w:rsidP="00EB274A">
      <w:pPr>
        <w:jc w:val="both"/>
        <w:rPr>
          <w:b/>
          <w:lang w:eastAsia="bg-BG"/>
        </w:rPr>
      </w:pPr>
      <w:bookmarkStart w:id="39" w:name="_Toc435519808"/>
      <w:r w:rsidRPr="00D25B71">
        <w:rPr>
          <w:b/>
          <w:lang w:eastAsia="bg-BG"/>
        </w:rPr>
        <w:t>Основни комуникационни к</w:t>
      </w:r>
      <w:r w:rsidR="00BC171A" w:rsidRPr="00D25B71">
        <w:rPr>
          <w:b/>
          <w:lang w:eastAsia="bg-BG"/>
        </w:rPr>
        <w:t>анали за разпространение на информацията</w:t>
      </w:r>
      <w:bookmarkEnd w:id="39"/>
    </w:p>
    <w:p w:rsidR="00BC171A" w:rsidRDefault="00BC171A" w:rsidP="00EB274A">
      <w:pPr>
        <w:pStyle w:val="ListBullet"/>
        <w:jc w:val="both"/>
        <w:rPr>
          <w:lang w:eastAsia="bg-BG"/>
        </w:rPr>
      </w:pPr>
      <w:r>
        <w:rPr>
          <w:lang w:eastAsia="bg-BG"/>
        </w:rPr>
        <w:t xml:space="preserve">Разпространение на докладите за оценка по </w:t>
      </w:r>
      <w:r w:rsidRPr="001838DA">
        <w:rPr>
          <w:b/>
          <w:lang w:eastAsia="bg-BG"/>
        </w:rPr>
        <w:t>поща или електронна поща</w:t>
      </w:r>
      <w:r>
        <w:rPr>
          <w:lang w:eastAsia="bg-BG"/>
        </w:rPr>
        <w:t>;</w:t>
      </w:r>
    </w:p>
    <w:p w:rsidR="00BC171A" w:rsidRDefault="00434E1C" w:rsidP="00EB274A">
      <w:pPr>
        <w:pStyle w:val="ListBullet"/>
        <w:jc w:val="both"/>
        <w:rPr>
          <w:lang w:eastAsia="bg-BG"/>
        </w:rPr>
      </w:pPr>
      <w:r w:rsidRPr="001838DA">
        <w:rPr>
          <w:b/>
          <w:lang w:eastAsia="bg-BG"/>
        </w:rPr>
        <w:t>Интернет</w:t>
      </w:r>
      <w:r>
        <w:rPr>
          <w:lang w:eastAsia="bg-BG"/>
        </w:rPr>
        <w:t xml:space="preserve"> - и</w:t>
      </w:r>
      <w:r w:rsidR="00BC171A">
        <w:rPr>
          <w:lang w:eastAsia="bg-BG"/>
        </w:rPr>
        <w:t xml:space="preserve">нтернет-страницата на </w:t>
      </w:r>
      <w:r w:rsidR="00C46D74">
        <w:rPr>
          <w:lang w:eastAsia="bg-BG"/>
        </w:rPr>
        <w:t>УО</w:t>
      </w:r>
      <w:r>
        <w:rPr>
          <w:lang w:eastAsia="bg-BG"/>
        </w:rPr>
        <w:t xml:space="preserve"> </w:t>
      </w:r>
      <w:r w:rsidRPr="00434F57">
        <w:rPr>
          <w:lang w:val="ru-RU"/>
        </w:rPr>
        <w:t>(</w:t>
      </w:r>
      <w:r w:rsidRPr="00D25B71">
        <w:t xml:space="preserve"> </w:t>
      </w:r>
      <w:hyperlink r:id="rId15" w:history="1">
        <w:r w:rsidRPr="00C47832">
          <w:rPr>
            <w:rStyle w:val="Hyperlink"/>
          </w:rPr>
          <w:t>http://ope.moew.government.bg</w:t>
        </w:r>
      </w:hyperlink>
      <w:r w:rsidRPr="00434F57">
        <w:rPr>
          <w:lang w:val="ru-RU"/>
        </w:rPr>
        <w:t>)</w:t>
      </w:r>
      <w:r w:rsidR="00BC171A">
        <w:rPr>
          <w:lang w:eastAsia="bg-BG"/>
        </w:rPr>
        <w:t xml:space="preserve">, </w:t>
      </w:r>
      <w:r w:rsidR="00DF499E">
        <w:rPr>
          <w:lang w:eastAsia="bg-BG"/>
        </w:rPr>
        <w:t>Е</w:t>
      </w:r>
      <w:r w:rsidR="00BC171A">
        <w:rPr>
          <w:lang w:eastAsia="bg-BG"/>
        </w:rPr>
        <w:t>динния информационен портал за структурните фондове на ЕС</w:t>
      </w:r>
      <w:r>
        <w:rPr>
          <w:lang w:eastAsia="bg-BG"/>
        </w:rPr>
        <w:t xml:space="preserve"> </w:t>
      </w:r>
      <w:r w:rsidRPr="00434F57">
        <w:rPr>
          <w:lang w:val="ru-RU" w:eastAsia="bg-BG"/>
        </w:rPr>
        <w:t>(</w:t>
      </w:r>
      <w:hyperlink r:id="rId16" w:history="1">
        <w:r w:rsidRPr="00C47832">
          <w:rPr>
            <w:rStyle w:val="Hyperlink"/>
            <w:lang w:val="en-US" w:eastAsia="bg-BG"/>
          </w:rPr>
          <w:t>www</w:t>
        </w:r>
        <w:r w:rsidRPr="00434F57">
          <w:rPr>
            <w:rStyle w:val="Hyperlink"/>
            <w:lang w:val="ru-RU" w:eastAsia="bg-BG"/>
          </w:rPr>
          <w:t>.</w:t>
        </w:r>
        <w:proofErr w:type="spellStart"/>
        <w:r w:rsidRPr="00C47832">
          <w:rPr>
            <w:rStyle w:val="Hyperlink"/>
            <w:lang w:val="en-US" w:eastAsia="bg-BG"/>
          </w:rPr>
          <w:t>eufunds</w:t>
        </w:r>
        <w:proofErr w:type="spellEnd"/>
        <w:r w:rsidRPr="00434F57">
          <w:rPr>
            <w:rStyle w:val="Hyperlink"/>
            <w:lang w:val="ru-RU" w:eastAsia="bg-BG"/>
          </w:rPr>
          <w:t>.</w:t>
        </w:r>
        <w:proofErr w:type="spellStart"/>
        <w:r w:rsidRPr="00C47832">
          <w:rPr>
            <w:rStyle w:val="Hyperlink"/>
            <w:lang w:val="en-US" w:eastAsia="bg-BG"/>
          </w:rPr>
          <w:t>bg</w:t>
        </w:r>
        <w:proofErr w:type="spellEnd"/>
      </w:hyperlink>
      <w:r w:rsidRPr="00434F57">
        <w:rPr>
          <w:lang w:val="ru-RU" w:eastAsia="bg-BG"/>
        </w:rPr>
        <w:t xml:space="preserve"> )</w:t>
      </w:r>
      <w:r w:rsidR="00BC171A">
        <w:rPr>
          <w:lang w:eastAsia="bg-BG"/>
        </w:rPr>
        <w:t xml:space="preserve"> и други подходящи страници</w:t>
      </w:r>
      <w:r>
        <w:rPr>
          <w:lang w:eastAsia="bg-BG"/>
        </w:rPr>
        <w:t>, които бъдат идентифицирани текущо в хода на изпълнението на Плана за оценка</w:t>
      </w:r>
      <w:r w:rsidR="00BC171A">
        <w:rPr>
          <w:lang w:eastAsia="bg-BG"/>
        </w:rPr>
        <w:t>;</w:t>
      </w:r>
    </w:p>
    <w:p w:rsidR="00BC171A" w:rsidRDefault="00434E1C" w:rsidP="00EB274A">
      <w:pPr>
        <w:pStyle w:val="ListBullet"/>
        <w:jc w:val="both"/>
        <w:rPr>
          <w:lang w:eastAsia="bg-BG"/>
        </w:rPr>
      </w:pPr>
      <w:r w:rsidRPr="001838DA">
        <w:rPr>
          <w:b/>
          <w:lang w:eastAsia="bg-BG"/>
        </w:rPr>
        <w:t>Медии</w:t>
      </w:r>
      <w:r>
        <w:rPr>
          <w:lang w:eastAsia="bg-BG"/>
        </w:rPr>
        <w:t xml:space="preserve"> – </w:t>
      </w:r>
      <w:proofErr w:type="spellStart"/>
      <w:r>
        <w:rPr>
          <w:lang w:eastAsia="bg-BG"/>
        </w:rPr>
        <w:t>прессъобщения</w:t>
      </w:r>
      <w:proofErr w:type="spellEnd"/>
      <w:r>
        <w:rPr>
          <w:lang w:eastAsia="bg-BG"/>
        </w:rPr>
        <w:t>, публикации и бюлетини</w:t>
      </w:r>
      <w:r w:rsidR="00BC171A">
        <w:rPr>
          <w:lang w:eastAsia="bg-BG"/>
        </w:rPr>
        <w:t>;</w:t>
      </w:r>
    </w:p>
    <w:p w:rsidR="00BC171A" w:rsidRDefault="00BC171A" w:rsidP="00EB274A">
      <w:pPr>
        <w:pStyle w:val="ListBullet"/>
        <w:jc w:val="both"/>
        <w:rPr>
          <w:lang w:eastAsia="bg-BG"/>
        </w:rPr>
      </w:pPr>
      <w:r w:rsidRPr="001838DA">
        <w:rPr>
          <w:b/>
          <w:lang w:eastAsia="bg-BG"/>
        </w:rPr>
        <w:t>Семинари, тематични събития, работни срещи</w:t>
      </w:r>
      <w:r>
        <w:rPr>
          <w:lang w:eastAsia="bg-BG"/>
        </w:rPr>
        <w:t xml:space="preserve"> и др. </w:t>
      </w:r>
      <w:r w:rsidR="00434E1C">
        <w:rPr>
          <w:lang w:eastAsia="bg-BG"/>
        </w:rPr>
        <w:t>на национално и международно ниво</w:t>
      </w:r>
      <w:r w:rsidR="00DF499E">
        <w:rPr>
          <w:lang w:eastAsia="bg-BG"/>
        </w:rPr>
        <w:t>;</w:t>
      </w:r>
    </w:p>
    <w:p w:rsidR="00434E1C" w:rsidRDefault="00A9413F" w:rsidP="00EB274A">
      <w:pPr>
        <w:pStyle w:val="ListBullet"/>
        <w:jc w:val="both"/>
        <w:rPr>
          <w:lang w:eastAsia="bg-BG"/>
        </w:rPr>
      </w:pPr>
      <w:r>
        <w:rPr>
          <w:lang w:eastAsia="bg-BG"/>
        </w:rPr>
        <w:t xml:space="preserve">Публикуване на докладите от оценките на ОПОС в </w:t>
      </w:r>
      <w:r w:rsidRPr="001838DA">
        <w:rPr>
          <w:b/>
          <w:lang w:eastAsia="bg-BG"/>
        </w:rPr>
        <w:t xml:space="preserve">системата </w:t>
      </w:r>
      <w:r w:rsidR="00434E1C" w:rsidRPr="001838DA">
        <w:rPr>
          <w:b/>
          <w:lang w:val="en-US" w:eastAsia="bg-BG"/>
        </w:rPr>
        <w:t>SFC</w:t>
      </w:r>
      <w:r>
        <w:rPr>
          <w:lang w:eastAsia="bg-BG"/>
        </w:rPr>
        <w:t xml:space="preserve"> на ЕК за целите на представянето им пред ЕК и обмена на опит в областта на оценката на европейско ниво</w:t>
      </w:r>
      <w:r w:rsidR="00DF499E">
        <w:rPr>
          <w:lang w:eastAsia="bg-BG"/>
        </w:rPr>
        <w:t>.</w:t>
      </w:r>
    </w:p>
    <w:p w:rsidR="00BC171A" w:rsidRDefault="00A9413F" w:rsidP="00EB274A">
      <w:pPr>
        <w:jc w:val="both"/>
        <w:rPr>
          <w:lang w:eastAsia="bg-BG"/>
        </w:rPr>
      </w:pPr>
      <w:r>
        <w:rPr>
          <w:lang w:eastAsia="bg-BG"/>
        </w:rPr>
        <w:lastRenderedPageBreak/>
        <w:t>Приложимостта на гореописаните комуникационни канали спрямо различните</w:t>
      </w:r>
      <w:r w:rsidR="00434E1C">
        <w:rPr>
          <w:lang w:eastAsia="bg-BG"/>
        </w:rPr>
        <w:t xml:space="preserve"> групи</w:t>
      </w:r>
      <w:r>
        <w:rPr>
          <w:lang w:eastAsia="bg-BG"/>
        </w:rPr>
        <w:t xml:space="preserve"> от </w:t>
      </w:r>
      <w:r w:rsidR="00434E1C">
        <w:rPr>
          <w:lang w:eastAsia="bg-BG"/>
        </w:rPr>
        <w:t xml:space="preserve">потребители на информация за резултатите от оценките на ОПОС </w:t>
      </w:r>
      <w:r>
        <w:rPr>
          <w:lang w:eastAsia="bg-BG"/>
        </w:rPr>
        <w:t>е описана за всеки комуникационен канал по-долу:</w:t>
      </w:r>
    </w:p>
    <w:p w:rsidR="00A9413F" w:rsidRPr="008A5A58" w:rsidRDefault="00A9413F" w:rsidP="00EB274A">
      <w:pPr>
        <w:pStyle w:val="ListParagraph"/>
        <w:numPr>
          <w:ilvl w:val="0"/>
          <w:numId w:val="9"/>
        </w:numPr>
        <w:jc w:val="both"/>
        <w:rPr>
          <w:b/>
          <w:lang w:eastAsia="bg-BG"/>
        </w:rPr>
      </w:pPr>
      <w:r w:rsidRPr="008A5A58">
        <w:rPr>
          <w:b/>
          <w:lang w:eastAsia="bg-BG"/>
        </w:rPr>
        <w:t xml:space="preserve">Изпращане на информация по електронна поща/ </w:t>
      </w:r>
      <w:proofErr w:type="spellStart"/>
      <w:r w:rsidRPr="008A5A58">
        <w:rPr>
          <w:b/>
          <w:lang w:eastAsia="bg-BG"/>
        </w:rPr>
        <w:t>поща</w:t>
      </w:r>
      <w:proofErr w:type="spellEnd"/>
    </w:p>
    <w:p w:rsidR="00BC171A" w:rsidRDefault="00BC171A" w:rsidP="00EB274A">
      <w:pPr>
        <w:jc w:val="both"/>
        <w:rPr>
          <w:lang w:eastAsia="bg-BG"/>
        </w:rPr>
      </w:pPr>
      <w:r>
        <w:rPr>
          <w:lang w:eastAsia="bg-BG"/>
        </w:rPr>
        <w:t>Информация с резултатите от докладите за оценка</w:t>
      </w:r>
      <w:r w:rsidR="00A9413F">
        <w:rPr>
          <w:lang w:eastAsia="bg-BG"/>
        </w:rPr>
        <w:t>, планираните дейности за отразяване на препоръките от оценката и проследяването на изпълнението им</w:t>
      </w:r>
      <w:r>
        <w:rPr>
          <w:lang w:eastAsia="bg-BG"/>
        </w:rPr>
        <w:t xml:space="preserve"> ще бъде изпращана</w:t>
      </w:r>
      <w:r w:rsidR="00434E1C">
        <w:rPr>
          <w:lang w:eastAsia="bg-BG"/>
        </w:rPr>
        <w:t xml:space="preserve"> по поща и електронна поща</w:t>
      </w:r>
      <w:r>
        <w:rPr>
          <w:lang w:eastAsia="bg-BG"/>
        </w:rPr>
        <w:t xml:space="preserve"> до </w:t>
      </w:r>
      <w:r w:rsidR="00434E1C">
        <w:rPr>
          <w:lang w:eastAsia="bg-BG"/>
        </w:rPr>
        <w:t>останалите</w:t>
      </w:r>
      <w:r>
        <w:rPr>
          <w:lang w:eastAsia="bg-BG"/>
        </w:rPr>
        <w:t xml:space="preserve"> отдели на </w:t>
      </w:r>
      <w:r w:rsidR="00C46D74">
        <w:rPr>
          <w:lang w:eastAsia="bg-BG"/>
        </w:rPr>
        <w:t>УО</w:t>
      </w:r>
      <w:r w:rsidR="00434E1C">
        <w:rPr>
          <w:lang w:eastAsia="bg-BG"/>
        </w:rPr>
        <w:t>,</w:t>
      </w:r>
      <w:r w:rsidR="00A9413F">
        <w:rPr>
          <w:lang w:eastAsia="bg-BG"/>
        </w:rPr>
        <w:t xml:space="preserve"> релевантни други звена в структурата на МОСВ,</w:t>
      </w:r>
      <w:r w:rsidR="00434E1C">
        <w:rPr>
          <w:lang w:eastAsia="bg-BG"/>
        </w:rPr>
        <w:t xml:space="preserve"> членовете на КН на ОПОС 2014-2020</w:t>
      </w:r>
      <w:r w:rsidR="0041256B">
        <w:rPr>
          <w:lang w:eastAsia="bg-BG"/>
        </w:rPr>
        <w:t xml:space="preserve"> г.</w:t>
      </w:r>
      <w:r w:rsidR="00434E1C">
        <w:rPr>
          <w:lang w:eastAsia="bg-BG"/>
        </w:rPr>
        <w:t>, членовете на Постоянната междуведомствена</w:t>
      </w:r>
      <w:r>
        <w:rPr>
          <w:lang w:eastAsia="bg-BG"/>
        </w:rPr>
        <w:t xml:space="preserve"> работна група за оценка на ЕСИФ</w:t>
      </w:r>
      <w:r w:rsidR="00A9413F">
        <w:rPr>
          <w:lang w:eastAsia="bg-BG"/>
        </w:rPr>
        <w:t xml:space="preserve"> 2014-2020 г., ЦКЗ и други представители на партньорите и заинтересованите страни на национално ниво.</w:t>
      </w:r>
    </w:p>
    <w:p w:rsidR="00BC171A" w:rsidRPr="008A5A58" w:rsidRDefault="00BC171A" w:rsidP="00EB274A">
      <w:pPr>
        <w:pStyle w:val="ListParagraph"/>
        <w:numPr>
          <w:ilvl w:val="0"/>
          <w:numId w:val="9"/>
        </w:numPr>
        <w:jc w:val="both"/>
        <w:rPr>
          <w:b/>
          <w:iCs/>
        </w:rPr>
      </w:pPr>
      <w:r w:rsidRPr="008A5A58">
        <w:rPr>
          <w:b/>
          <w:iCs/>
        </w:rPr>
        <w:t xml:space="preserve">Интернет </w:t>
      </w:r>
    </w:p>
    <w:p w:rsidR="00E31C3E" w:rsidRPr="00E31C3E" w:rsidRDefault="00BC171A" w:rsidP="00EB274A">
      <w:pPr>
        <w:jc w:val="both"/>
        <w:rPr>
          <w:lang w:eastAsia="bg-BG"/>
        </w:rPr>
      </w:pPr>
      <w:r>
        <w:rPr>
          <w:lang w:eastAsia="bg-BG"/>
        </w:rPr>
        <w:t>За да се</w:t>
      </w:r>
      <w:r w:rsidR="00A9413F">
        <w:rPr>
          <w:lang w:eastAsia="bg-BG"/>
        </w:rPr>
        <w:t xml:space="preserve"> осигури максимална публичност след окончателното им одобрение от страна на </w:t>
      </w:r>
      <w:r w:rsidR="00C46D74">
        <w:rPr>
          <w:lang w:eastAsia="bg-BG"/>
        </w:rPr>
        <w:t>УО</w:t>
      </w:r>
      <w:r w:rsidR="00A9413F">
        <w:rPr>
          <w:lang w:eastAsia="bg-BG"/>
        </w:rPr>
        <w:t xml:space="preserve"> </w:t>
      </w:r>
      <w:r>
        <w:rPr>
          <w:lang w:eastAsia="bg-BG"/>
        </w:rPr>
        <w:t>доклад</w:t>
      </w:r>
      <w:r w:rsidR="00A9413F">
        <w:rPr>
          <w:lang w:eastAsia="bg-BG"/>
        </w:rPr>
        <w:t>ите</w:t>
      </w:r>
      <w:r>
        <w:rPr>
          <w:lang w:eastAsia="bg-BG"/>
        </w:rPr>
        <w:t xml:space="preserve"> от оценката </w:t>
      </w:r>
      <w:r w:rsidR="00A9413F">
        <w:rPr>
          <w:lang w:eastAsia="bg-BG"/>
        </w:rPr>
        <w:t>ще бъдат публикувани на интернет страницата но ОПОС 2014-2020</w:t>
      </w:r>
      <w:r w:rsidR="001838DA">
        <w:rPr>
          <w:lang w:eastAsia="bg-BG"/>
        </w:rPr>
        <w:t xml:space="preserve"> г</w:t>
      </w:r>
      <w:r w:rsidR="00A9413F">
        <w:rPr>
          <w:lang w:eastAsia="bg-BG"/>
        </w:rPr>
        <w:t xml:space="preserve">. </w:t>
      </w:r>
      <w:r w:rsidR="00C46D74">
        <w:rPr>
          <w:lang w:eastAsia="bg-BG"/>
        </w:rPr>
        <w:t>УО</w:t>
      </w:r>
      <w:r w:rsidR="00A9413F">
        <w:rPr>
          <w:lang w:eastAsia="bg-BG"/>
        </w:rPr>
        <w:t xml:space="preserve"> ще осигури подходящ начин за предоставяне на информация за предприетите дейности с оглед отразяване на препоръките от докладите за оценка</w:t>
      </w:r>
      <w:r w:rsidR="0064545C">
        <w:rPr>
          <w:lang w:eastAsia="bg-BG"/>
        </w:rPr>
        <w:t xml:space="preserve"> на интернет страницата си, така че да осигури максимална прозрачност на оценката за широката общественост</w:t>
      </w:r>
      <w:r w:rsidR="00A9413F">
        <w:rPr>
          <w:lang w:eastAsia="bg-BG"/>
        </w:rPr>
        <w:t xml:space="preserve">. </w:t>
      </w:r>
    </w:p>
    <w:p w:rsidR="00BC171A" w:rsidRPr="008A5A58" w:rsidRDefault="00BC171A" w:rsidP="00EB274A">
      <w:pPr>
        <w:pStyle w:val="ListParagraph"/>
        <w:numPr>
          <w:ilvl w:val="0"/>
          <w:numId w:val="9"/>
        </w:numPr>
        <w:jc w:val="both"/>
        <w:rPr>
          <w:b/>
          <w:iCs/>
        </w:rPr>
      </w:pPr>
      <w:r w:rsidRPr="008A5A58">
        <w:rPr>
          <w:b/>
          <w:iCs/>
        </w:rPr>
        <w:t>Събития</w:t>
      </w:r>
    </w:p>
    <w:p w:rsidR="00BC171A" w:rsidRDefault="00BC171A" w:rsidP="00EB274A">
      <w:pPr>
        <w:jc w:val="both"/>
        <w:rPr>
          <w:lang w:eastAsia="bg-BG"/>
        </w:rPr>
      </w:pPr>
      <w:r>
        <w:rPr>
          <w:lang w:eastAsia="bg-BG"/>
        </w:rPr>
        <w:t>След одобрението на доклад</w:t>
      </w:r>
      <w:r w:rsidR="0064545C">
        <w:rPr>
          <w:lang w:eastAsia="bg-BG"/>
        </w:rPr>
        <w:t>ите</w:t>
      </w:r>
      <w:r>
        <w:rPr>
          <w:lang w:eastAsia="bg-BG"/>
        </w:rPr>
        <w:t xml:space="preserve"> от </w:t>
      </w:r>
      <w:r w:rsidR="0064545C">
        <w:rPr>
          <w:lang w:eastAsia="bg-BG"/>
        </w:rPr>
        <w:t>оценките</w:t>
      </w:r>
      <w:r w:rsidR="00EE4B05">
        <w:rPr>
          <w:lang w:eastAsia="bg-BG"/>
        </w:rPr>
        <w:t xml:space="preserve"> от УО</w:t>
      </w:r>
      <w:r w:rsidR="0064545C">
        <w:rPr>
          <w:lang w:eastAsia="bg-BG"/>
        </w:rPr>
        <w:t>, основните изводи и препоръки от оценките могат да бъдат</w:t>
      </w:r>
      <w:r>
        <w:rPr>
          <w:lang w:eastAsia="bg-BG"/>
        </w:rPr>
        <w:t xml:space="preserve"> представян</w:t>
      </w:r>
      <w:r w:rsidR="0064545C">
        <w:rPr>
          <w:lang w:eastAsia="bg-BG"/>
        </w:rPr>
        <w:t>и</w:t>
      </w:r>
      <w:r>
        <w:rPr>
          <w:lang w:eastAsia="bg-BG"/>
        </w:rPr>
        <w:t xml:space="preserve"> под формата на презентации по време на тематични събития, семинари, конференции и др. подходящи форуми</w:t>
      </w:r>
      <w:r w:rsidR="0064545C" w:rsidRPr="0064545C">
        <w:rPr>
          <w:lang w:eastAsia="bg-BG"/>
        </w:rPr>
        <w:t xml:space="preserve"> </w:t>
      </w:r>
      <w:r w:rsidR="0064545C">
        <w:rPr>
          <w:lang w:eastAsia="bg-BG"/>
        </w:rPr>
        <w:t>на национално и международно ниво</w:t>
      </w:r>
      <w:r>
        <w:rPr>
          <w:lang w:eastAsia="bg-BG"/>
        </w:rPr>
        <w:t xml:space="preserve">. Презентациите от своя страна ще бъдат достъпни за широката общественост </w:t>
      </w:r>
      <w:bookmarkStart w:id="40" w:name="_Toc183923598"/>
      <w:r>
        <w:rPr>
          <w:lang w:eastAsia="bg-BG"/>
        </w:rPr>
        <w:t xml:space="preserve">на интернет страниците на организаторите на съответните събития.  </w:t>
      </w:r>
      <w:bookmarkEnd w:id="40"/>
    </w:p>
    <w:p w:rsidR="003B0D53" w:rsidRPr="008A5A58" w:rsidRDefault="003B0D53" w:rsidP="00EB274A">
      <w:pPr>
        <w:pStyle w:val="ListParagraph"/>
        <w:numPr>
          <w:ilvl w:val="0"/>
          <w:numId w:val="9"/>
        </w:numPr>
        <w:jc w:val="both"/>
        <w:rPr>
          <w:b/>
          <w:lang w:val="en-US" w:eastAsia="bg-BG"/>
        </w:rPr>
      </w:pPr>
      <w:r w:rsidRPr="008A5A58">
        <w:rPr>
          <w:b/>
          <w:lang w:eastAsia="bg-BG"/>
        </w:rPr>
        <w:t xml:space="preserve">Система </w:t>
      </w:r>
      <w:r w:rsidRPr="008A5A58">
        <w:rPr>
          <w:b/>
          <w:lang w:val="en-US" w:eastAsia="bg-BG"/>
        </w:rPr>
        <w:t>SFC</w:t>
      </w:r>
      <w:r w:rsidR="00EE4B05">
        <w:rPr>
          <w:b/>
          <w:lang w:eastAsia="bg-BG"/>
        </w:rPr>
        <w:t xml:space="preserve"> </w:t>
      </w:r>
      <w:r w:rsidR="005D39A8">
        <w:rPr>
          <w:b/>
          <w:lang w:eastAsia="bg-BG"/>
        </w:rPr>
        <w:t xml:space="preserve">2014 </w:t>
      </w:r>
      <w:r w:rsidR="00EE4B05">
        <w:rPr>
          <w:b/>
          <w:lang w:eastAsia="bg-BG"/>
        </w:rPr>
        <w:t>на ЕК</w:t>
      </w:r>
    </w:p>
    <w:p w:rsidR="003B0D53" w:rsidRDefault="003B0D53" w:rsidP="00EB274A">
      <w:pPr>
        <w:jc w:val="both"/>
        <w:rPr>
          <w:lang w:eastAsia="bg-BG"/>
        </w:rPr>
      </w:pPr>
      <w:r>
        <w:rPr>
          <w:lang w:eastAsia="bg-BG"/>
        </w:rPr>
        <w:t xml:space="preserve">В съответствие с европейските изисквания и препоръки всички доклади от оценките на ОПОС заедно с прилежащите части от техническите спецификации, описващи изискванията към оценката и планирания финансов ресурс за осъществяването й, ще бъдат представени на ЕК чрез системата </w:t>
      </w:r>
      <w:r>
        <w:rPr>
          <w:lang w:val="en-US" w:eastAsia="bg-BG"/>
        </w:rPr>
        <w:t>SFC</w:t>
      </w:r>
      <w:r>
        <w:rPr>
          <w:lang w:eastAsia="bg-BG"/>
        </w:rPr>
        <w:t xml:space="preserve"> и следва да послужат за обмяната на опит и добри практики в областта на оценката на европейско ниво.</w:t>
      </w:r>
    </w:p>
    <w:p w:rsidR="005B0A9A" w:rsidRPr="003B0D53" w:rsidRDefault="005B0A9A" w:rsidP="00EB274A">
      <w:pPr>
        <w:jc w:val="both"/>
        <w:rPr>
          <w:lang w:eastAsia="bg-BG"/>
        </w:rPr>
      </w:pPr>
    </w:p>
    <w:p w:rsidR="00620A98" w:rsidRDefault="00620A98" w:rsidP="00EB274A">
      <w:pPr>
        <w:pStyle w:val="Heading2"/>
        <w:jc w:val="both"/>
      </w:pPr>
      <w:bookmarkStart w:id="41" w:name="_Toc453078523"/>
      <w:r>
        <w:lastRenderedPageBreak/>
        <w:t xml:space="preserve">Индикативен </w:t>
      </w:r>
      <w:r w:rsidR="001B0812">
        <w:t xml:space="preserve">бюджет </w:t>
      </w:r>
      <w:r>
        <w:t>на оценката на ОПОС</w:t>
      </w:r>
      <w:bookmarkEnd w:id="41"/>
    </w:p>
    <w:p w:rsidR="001B0812" w:rsidRPr="00C9177F" w:rsidRDefault="001B0812" w:rsidP="00EB274A">
      <w:pPr>
        <w:jc w:val="both"/>
        <w:rPr>
          <w:b/>
          <w:lang w:val="ru-RU"/>
        </w:rPr>
      </w:pPr>
      <w:r w:rsidRPr="00722295">
        <w:rPr>
          <w:b/>
        </w:rPr>
        <w:t xml:space="preserve">Индикативният общ бюджет за изпълнение на Плана за оценка на ОПОС е 1 100 000 лева. </w:t>
      </w:r>
      <w:r>
        <w:t xml:space="preserve">Финансовият ресурс за провеждане на оценката на ОПОС се осигурява от Приоритетна ос 6 „Техническа помощ“, чрез която се </w:t>
      </w:r>
      <w:r w:rsidR="00EE4B05">
        <w:t>подпомага</w:t>
      </w:r>
      <w:r>
        <w:t xml:space="preserve"> ефективното изпълнение на ОПОС 2014-2020</w:t>
      </w:r>
      <w:r w:rsidR="00EE4B05">
        <w:t xml:space="preserve"> г</w:t>
      </w:r>
      <w:r>
        <w:t xml:space="preserve">. </w:t>
      </w:r>
      <w:r w:rsidR="002A36E7" w:rsidRPr="002A36E7">
        <w:t xml:space="preserve">Съгласно одобрената ОПОС 2014-2020 г. по област на интервенция 122. „Оценка и проучвания“ са предвидени средства в размер на общо 5 000 </w:t>
      </w:r>
      <w:proofErr w:type="spellStart"/>
      <w:r w:rsidR="002A36E7" w:rsidRPr="002A36E7">
        <w:t>000</w:t>
      </w:r>
      <w:proofErr w:type="spellEnd"/>
      <w:r w:rsidR="002A36E7" w:rsidRPr="002A36E7">
        <w:t xml:space="preserve"> евро. </w:t>
      </w:r>
      <w:r w:rsidR="002A36E7">
        <w:t>С</w:t>
      </w:r>
      <w:r w:rsidR="002A36E7" w:rsidRPr="002A36E7">
        <w:t xml:space="preserve">ъгласно Стратегическия план за техническа помощ на ОПОС 2014 – 2020 г. е </w:t>
      </w:r>
      <w:r w:rsidR="002A36E7">
        <w:t xml:space="preserve">заложен </w:t>
      </w:r>
      <w:r w:rsidR="002A36E7" w:rsidRPr="002A36E7">
        <w:t>общ бюджет от 11 504 882 лева по н</w:t>
      </w:r>
      <w:r w:rsidR="002A36E7">
        <w:t xml:space="preserve">аправление </w:t>
      </w:r>
      <w:r w:rsidR="00DD1B2C">
        <w:t xml:space="preserve">122. </w:t>
      </w:r>
      <w:r w:rsidR="00DD1B2C" w:rsidRPr="002A36E7">
        <w:t>„</w:t>
      </w:r>
      <w:r w:rsidR="00DD1B2C">
        <w:t>О</w:t>
      </w:r>
      <w:r w:rsidR="002A36E7">
        <w:t>ценка и проучвания</w:t>
      </w:r>
      <w:r w:rsidR="00DD1B2C">
        <w:t>“</w:t>
      </w:r>
      <w:r w:rsidR="002A36E7">
        <w:t xml:space="preserve">. В рамките на този бюджет е </w:t>
      </w:r>
      <w:r w:rsidR="002A36E7" w:rsidRPr="002A36E7">
        <w:t>предвидено средствата да се</w:t>
      </w:r>
      <w:r w:rsidR="002A36E7">
        <w:t xml:space="preserve"> разходват</w:t>
      </w:r>
      <w:r w:rsidR="002A36E7" w:rsidRPr="002A36E7">
        <w:t xml:space="preserve"> за дейности, насочени към осигуряване на техническа помощ при набиране, обобщаване и анализ на информация и статистически данни за изпълнението на ОПОС във връзка с мониторинга и докладването по програмата и в подкрепа на програмирането на средствата от ЕС през следващия програмен период – 2021-2027 г.; подготовка на становища, тестове,  доклади, </w:t>
      </w:r>
      <w:r w:rsidR="002A36E7" w:rsidRPr="004F78A9">
        <w:rPr>
          <w:b/>
        </w:rPr>
        <w:t>провеждане на проучвания, изследвания и оценки, вкл. извършване на текущи оценки на ОПОС 2014 – 2020 г., съобразно плана за оценка на програмата.</w:t>
      </w:r>
      <w:r w:rsidR="002A36E7" w:rsidRPr="002A36E7">
        <w:t xml:space="preserve"> В този смисъл предвиденият в настоящия План за оценка на ОПОС бюджет конкретизира размера на финансовите средства, в рамките на общия бюджет по област на интервенция 122. „Оценка и проучвания“, които УО ще използва директно за финансиране на оценките на ОПОС през целия програмен период 2014-2020 г.</w:t>
      </w:r>
    </w:p>
    <w:p w:rsidR="001B0812" w:rsidRDefault="001B0812" w:rsidP="00EB274A">
      <w:pPr>
        <w:jc w:val="both"/>
      </w:pPr>
      <w:r>
        <w:t xml:space="preserve">Съгласно новия подход и изисквания на ЕК </w:t>
      </w:r>
      <w:r w:rsidR="001C18AF">
        <w:t>към</w:t>
      </w:r>
      <w:r>
        <w:t xml:space="preserve"> оценките през програмен период 2014-2020 г. </w:t>
      </w:r>
      <w:r w:rsidR="00EE4B05">
        <w:t>като задължителна дейност по всяка оценка ще бъде заложено</w:t>
      </w:r>
      <w:r>
        <w:t xml:space="preserve"> извършването на </w:t>
      </w:r>
      <w:r>
        <w:rPr>
          <w:b/>
        </w:rPr>
        <w:t>проучвания за събиране на данни</w:t>
      </w:r>
      <w:r>
        <w:t>, необходими, както за извършване на оценките, така и за изготвянето на годишните доклади по изпълнение на програмата.</w:t>
      </w:r>
      <w:r w:rsidR="00EE4B05">
        <w:t xml:space="preserve"> </w:t>
      </w:r>
    </w:p>
    <w:p w:rsidR="001B0812" w:rsidRDefault="00EE4B05" w:rsidP="00EB274A">
      <w:pPr>
        <w:jc w:val="both"/>
      </w:pPr>
      <w:r>
        <w:t xml:space="preserve">В индикативния </w:t>
      </w:r>
      <w:r w:rsidR="001B0812">
        <w:t>бюджет</w:t>
      </w:r>
      <w:r w:rsidR="001B0812" w:rsidRPr="00434F57">
        <w:rPr>
          <w:lang w:val="ru-RU"/>
        </w:rPr>
        <w:t xml:space="preserve"> </w:t>
      </w:r>
      <w:r w:rsidR="001B0812">
        <w:t>на всяка оценка са включени прогнозните разходи</w:t>
      </w:r>
      <w:r w:rsidR="001B0812">
        <w:rPr>
          <w:b/>
        </w:rPr>
        <w:t xml:space="preserve"> </w:t>
      </w:r>
      <w:r w:rsidR="001B0812" w:rsidRPr="001C18AF">
        <w:t>за:</w:t>
      </w:r>
    </w:p>
    <w:p w:rsidR="001B0812" w:rsidRDefault="001B0812" w:rsidP="00EB274A">
      <w:pPr>
        <w:pStyle w:val="ListBullet"/>
        <w:jc w:val="both"/>
      </w:pPr>
      <w:r>
        <w:t>Извършване на съответната оценка;</w:t>
      </w:r>
    </w:p>
    <w:p w:rsidR="001B0812" w:rsidRDefault="001B0812" w:rsidP="00EB274A">
      <w:pPr>
        <w:pStyle w:val="ListBullet"/>
        <w:jc w:val="both"/>
      </w:pPr>
      <w:r>
        <w:t>Извършване на проучвания и събиране на данни за нуждите на оценката и за изготвяне на годишните доклади по изпълнението на програмата;</w:t>
      </w:r>
    </w:p>
    <w:p w:rsidR="001B0812" w:rsidRDefault="001B0812" w:rsidP="00EB274A">
      <w:pPr>
        <w:pStyle w:val="ListBullet"/>
        <w:jc w:val="both"/>
      </w:pPr>
      <w:r>
        <w:t xml:space="preserve">Други подкрепящи дейности, необходими за изготвянето на оценките и пряко свързани с тях (посещения на място, онлайн </w:t>
      </w:r>
      <w:r w:rsidR="001C18AF">
        <w:t>дейности</w:t>
      </w:r>
      <w:r>
        <w:t xml:space="preserve"> и др.).</w:t>
      </w:r>
    </w:p>
    <w:p w:rsidR="001C18AF" w:rsidRDefault="001C18AF" w:rsidP="00EB274A">
      <w:pPr>
        <w:jc w:val="both"/>
      </w:pPr>
      <w:r>
        <w:t>Индикативният бюджет за всяка планирана оценка е представен в табл. 1</w:t>
      </w:r>
      <w:r w:rsidR="00AF772D">
        <w:t>.</w:t>
      </w:r>
    </w:p>
    <w:p w:rsidR="00713F8B" w:rsidRDefault="00713F8B" w:rsidP="00EB274A">
      <w:pPr>
        <w:jc w:val="both"/>
      </w:pPr>
    </w:p>
    <w:p w:rsidR="007D5F8C" w:rsidRDefault="007D5F8C" w:rsidP="00EB274A">
      <w:pPr>
        <w:jc w:val="both"/>
      </w:pPr>
    </w:p>
    <w:p w:rsidR="007D5F8C" w:rsidRDefault="007D5F8C" w:rsidP="00EB274A">
      <w:pPr>
        <w:jc w:val="both"/>
      </w:pPr>
    </w:p>
    <w:p w:rsidR="001B0812" w:rsidRDefault="001C18AF" w:rsidP="00EB274A">
      <w:pPr>
        <w:pStyle w:val="Caption"/>
        <w:jc w:val="both"/>
      </w:pPr>
      <w:r>
        <w:lastRenderedPageBreak/>
        <w:t xml:space="preserve">Табл. </w:t>
      </w:r>
      <w:r>
        <w:fldChar w:fldCharType="begin"/>
      </w:r>
      <w:r>
        <w:instrText xml:space="preserve"> SEQ Табл. \* ARABIC </w:instrText>
      </w:r>
      <w:r>
        <w:fldChar w:fldCharType="separate"/>
      </w:r>
      <w:r w:rsidR="00803501">
        <w:rPr>
          <w:noProof/>
        </w:rPr>
        <w:t>1</w:t>
      </w:r>
      <w:r>
        <w:fldChar w:fldCharType="end"/>
      </w:r>
      <w:r>
        <w:t xml:space="preserve"> Индикативен бюджет на оценката на ОПОС 2014-2020 г.</w:t>
      </w:r>
    </w:p>
    <w:tbl>
      <w:tblPr>
        <w:tblStyle w:val="LightList-Accent11"/>
        <w:tblW w:w="5000" w:type="pct"/>
        <w:tblLook w:val="0660" w:firstRow="1" w:lastRow="1" w:firstColumn="0" w:lastColumn="0" w:noHBand="1" w:noVBand="1"/>
      </w:tblPr>
      <w:tblGrid>
        <w:gridCol w:w="471"/>
        <w:gridCol w:w="7717"/>
        <w:gridCol w:w="1434"/>
      </w:tblGrid>
      <w:tr w:rsidR="001B0812" w:rsidRPr="001C18AF" w:rsidTr="001F7844">
        <w:trPr>
          <w:cnfStyle w:val="100000000000" w:firstRow="1" w:lastRow="0" w:firstColumn="0" w:lastColumn="0" w:oddVBand="0" w:evenVBand="0" w:oddHBand="0" w:evenHBand="0" w:firstRowFirstColumn="0" w:firstRowLastColumn="0" w:lastRowFirstColumn="0" w:lastRowLastColumn="0"/>
          <w:trHeight w:val="693"/>
        </w:trPr>
        <w:tc>
          <w:tcPr>
            <w:tcW w:w="245" w:type="pct"/>
            <w:tcBorders>
              <w:bottom w:val="single" w:sz="8" w:space="0" w:color="98C723" w:themeColor="accent1"/>
            </w:tcBorders>
          </w:tcPr>
          <w:p w:rsidR="001B0812" w:rsidRPr="001C18AF" w:rsidRDefault="001B0812" w:rsidP="00EB274A">
            <w:pPr>
              <w:spacing w:before="0" w:after="0"/>
              <w:jc w:val="both"/>
              <w:rPr>
                <w:b w:val="0"/>
                <w:sz w:val="22"/>
                <w:szCs w:val="22"/>
              </w:rPr>
            </w:pPr>
          </w:p>
        </w:tc>
        <w:tc>
          <w:tcPr>
            <w:tcW w:w="4010" w:type="pct"/>
            <w:tcBorders>
              <w:bottom w:val="single" w:sz="8" w:space="0" w:color="98C723" w:themeColor="accent1"/>
            </w:tcBorders>
            <w:vAlign w:val="center"/>
            <w:hideMark/>
          </w:tcPr>
          <w:p w:rsidR="001B0812" w:rsidRPr="001C18AF" w:rsidRDefault="001C18AF" w:rsidP="00EB274A">
            <w:pPr>
              <w:spacing w:before="0" w:after="0"/>
              <w:jc w:val="both"/>
              <w:rPr>
                <w:b w:val="0"/>
                <w:sz w:val="22"/>
                <w:szCs w:val="22"/>
              </w:rPr>
            </w:pPr>
            <w:r>
              <w:rPr>
                <w:sz w:val="22"/>
                <w:szCs w:val="22"/>
              </w:rPr>
              <w:t>Планирани оценки</w:t>
            </w:r>
          </w:p>
        </w:tc>
        <w:tc>
          <w:tcPr>
            <w:tcW w:w="745" w:type="pct"/>
            <w:tcBorders>
              <w:bottom w:val="single" w:sz="8" w:space="0" w:color="98C723" w:themeColor="accent1"/>
            </w:tcBorders>
            <w:vAlign w:val="center"/>
            <w:hideMark/>
          </w:tcPr>
          <w:p w:rsidR="001B0812" w:rsidRPr="001C18AF" w:rsidRDefault="001C18AF" w:rsidP="00EB274A">
            <w:pPr>
              <w:spacing w:before="0" w:after="0"/>
              <w:jc w:val="both"/>
              <w:rPr>
                <w:rFonts w:eastAsia="Calibri" w:cs="Times New Roman"/>
                <w:b w:val="0"/>
                <w:sz w:val="22"/>
                <w:szCs w:val="22"/>
              </w:rPr>
            </w:pPr>
            <w:r>
              <w:rPr>
                <w:sz w:val="22"/>
                <w:szCs w:val="22"/>
              </w:rPr>
              <w:t>Бюджет</w:t>
            </w:r>
          </w:p>
          <w:p w:rsidR="001B0812" w:rsidRPr="001C18AF" w:rsidRDefault="001B0812" w:rsidP="00EB274A">
            <w:pPr>
              <w:spacing w:before="0" w:after="0"/>
              <w:jc w:val="both"/>
              <w:rPr>
                <w:b w:val="0"/>
                <w:sz w:val="22"/>
                <w:szCs w:val="22"/>
              </w:rPr>
            </w:pPr>
            <w:r w:rsidRPr="001C18AF">
              <w:rPr>
                <w:b w:val="0"/>
                <w:sz w:val="22"/>
                <w:szCs w:val="22"/>
              </w:rPr>
              <w:t>(в лева)</w:t>
            </w:r>
          </w:p>
        </w:tc>
      </w:tr>
      <w:tr w:rsidR="001C18AF" w:rsidRPr="001C18AF" w:rsidTr="001F7844">
        <w:trPr>
          <w:trHeight w:val="603"/>
        </w:trPr>
        <w:tc>
          <w:tcPr>
            <w:tcW w:w="245" w:type="pct"/>
            <w:tcBorders>
              <w:top w:val="single" w:sz="8" w:space="0" w:color="98C723" w:themeColor="accent1"/>
              <w:bottom w:val="single" w:sz="8" w:space="0" w:color="98C723" w:themeColor="accent1"/>
              <w:right w:val="single" w:sz="8" w:space="0" w:color="98C723" w:themeColor="accent1"/>
            </w:tcBorders>
            <w:vAlign w:val="center"/>
            <w:hideMark/>
          </w:tcPr>
          <w:p w:rsidR="001C18AF" w:rsidRPr="001C18AF" w:rsidRDefault="001C18AF" w:rsidP="00EB274A">
            <w:pPr>
              <w:spacing w:before="0" w:after="0"/>
              <w:jc w:val="both"/>
              <w:rPr>
                <w:sz w:val="22"/>
                <w:szCs w:val="22"/>
              </w:rPr>
            </w:pPr>
            <w:r w:rsidRPr="001C18AF">
              <w:rPr>
                <w:sz w:val="22"/>
                <w:szCs w:val="22"/>
              </w:rPr>
              <w:t>1</w:t>
            </w:r>
          </w:p>
        </w:tc>
        <w:tc>
          <w:tcPr>
            <w:tcW w:w="4010" w:type="pct"/>
            <w:tcBorders>
              <w:top w:val="single" w:sz="8" w:space="0" w:color="98C723" w:themeColor="accent1"/>
              <w:left w:val="single" w:sz="8" w:space="0" w:color="98C723" w:themeColor="accent1"/>
              <w:bottom w:val="single" w:sz="8" w:space="0" w:color="98C723" w:themeColor="accent1"/>
              <w:right w:val="single" w:sz="8" w:space="0" w:color="98C723" w:themeColor="accent1"/>
            </w:tcBorders>
            <w:vAlign w:val="center"/>
            <w:hideMark/>
          </w:tcPr>
          <w:p w:rsidR="001C18AF" w:rsidRPr="001C18AF" w:rsidRDefault="001C18AF" w:rsidP="00EB274A">
            <w:pPr>
              <w:spacing w:before="0" w:after="0"/>
              <w:jc w:val="both"/>
              <w:rPr>
                <w:rFonts w:cs="Arial"/>
                <w:sz w:val="22"/>
                <w:szCs w:val="22"/>
              </w:rPr>
            </w:pPr>
            <w:r w:rsidRPr="001C18AF">
              <w:rPr>
                <w:rFonts w:cs="Arial"/>
                <w:sz w:val="22"/>
                <w:szCs w:val="22"/>
              </w:rPr>
              <w:t>Оценка на ефективността и ефикасността на изпълнението на приоритетна ос 5 „Подобряване качеството на атмосферния въздух” на ОПОС 2014-2020</w:t>
            </w:r>
            <w:r w:rsidR="00AA6E4B">
              <w:rPr>
                <w:rFonts w:cs="Arial"/>
                <w:sz w:val="22"/>
                <w:szCs w:val="22"/>
              </w:rPr>
              <w:t xml:space="preserve"> г.</w:t>
            </w:r>
          </w:p>
        </w:tc>
        <w:tc>
          <w:tcPr>
            <w:tcW w:w="745" w:type="pct"/>
            <w:tcBorders>
              <w:top w:val="single" w:sz="8" w:space="0" w:color="98C723" w:themeColor="accent1"/>
              <w:left w:val="single" w:sz="8" w:space="0" w:color="98C723" w:themeColor="accent1"/>
              <w:bottom w:val="single" w:sz="8" w:space="0" w:color="98C723" w:themeColor="accent1"/>
            </w:tcBorders>
            <w:vAlign w:val="center"/>
            <w:hideMark/>
          </w:tcPr>
          <w:p w:rsidR="001C18AF" w:rsidRPr="001C18AF" w:rsidRDefault="001C18AF" w:rsidP="00EB274A">
            <w:pPr>
              <w:spacing w:before="0" w:after="0"/>
              <w:jc w:val="both"/>
              <w:rPr>
                <w:sz w:val="22"/>
                <w:szCs w:val="22"/>
              </w:rPr>
            </w:pPr>
            <w:r>
              <w:rPr>
                <w:sz w:val="22"/>
                <w:szCs w:val="22"/>
              </w:rPr>
              <w:t>10</w:t>
            </w:r>
            <w:r w:rsidRPr="001C18AF">
              <w:rPr>
                <w:sz w:val="22"/>
                <w:szCs w:val="22"/>
              </w:rPr>
              <w:t>0 000</w:t>
            </w:r>
          </w:p>
        </w:tc>
      </w:tr>
      <w:tr w:rsidR="001C18AF" w:rsidRPr="001C18AF" w:rsidTr="001F7844">
        <w:trPr>
          <w:trHeight w:val="603"/>
        </w:trPr>
        <w:tc>
          <w:tcPr>
            <w:tcW w:w="245" w:type="pct"/>
            <w:tcBorders>
              <w:top w:val="single" w:sz="8" w:space="0" w:color="98C723" w:themeColor="accent1"/>
              <w:bottom w:val="single" w:sz="8" w:space="0" w:color="98C723" w:themeColor="accent1"/>
              <w:right w:val="single" w:sz="8" w:space="0" w:color="98C723" w:themeColor="accent1"/>
            </w:tcBorders>
            <w:vAlign w:val="center"/>
            <w:hideMark/>
          </w:tcPr>
          <w:p w:rsidR="001C18AF" w:rsidRPr="001C18AF" w:rsidRDefault="001C18AF" w:rsidP="00EB274A">
            <w:pPr>
              <w:spacing w:before="0" w:after="0"/>
              <w:jc w:val="both"/>
              <w:rPr>
                <w:sz w:val="22"/>
                <w:szCs w:val="22"/>
              </w:rPr>
            </w:pPr>
            <w:r w:rsidRPr="001C18AF">
              <w:rPr>
                <w:sz w:val="22"/>
                <w:szCs w:val="22"/>
              </w:rPr>
              <w:t>2</w:t>
            </w:r>
          </w:p>
        </w:tc>
        <w:tc>
          <w:tcPr>
            <w:tcW w:w="4010" w:type="pct"/>
            <w:tcBorders>
              <w:top w:val="single" w:sz="8" w:space="0" w:color="98C723" w:themeColor="accent1"/>
              <w:left w:val="single" w:sz="8" w:space="0" w:color="98C723" w:themeColor="accent1"/>
              <w:bottom w:val="single" w:sz="8" w:space="0" w:color="98C723" w:themeColor="accent1"/>
              <w:right w:val="single" w:sz="8" w:space="0" w:color="98C723" w:themeColor="accent1"/>
            </w:tcBorders>
            <w:vAlign w:val="center"/>
            <w:hideMark/>
          </w:tcPr>
          <w:p w:rsidR="001C18AF" w:rsidRPr="001C18AF" w:rsidRDefault="00953268" w:rsidP="00EB274A">
            <w:pPr>
              <w:spacing w:before="0" w:after="0"/>
              <w:jc w:val="both"/>
              <w:rPr>
                <w:rFonts w:cs="Arial"/>
                <w:sz w:val="22"/>
                <w:szCs w:val="22"/>
              </w:rPr>
            </w:pPr>
            <w:r w:rsidRPr="00773E72">
              <w:rPr>
                <w:rFonts w:cs="Arial"/>
                <w:sz w:val="22"/>
                <w:szCs w:val="22"/>
              </w:rPr>
              <w:t xml:space="preserve">Оценка на </w:t>
            </w:r>
            <w:r w:rsidR="00AA6E4B">
              <w:rPr>
                <w:rFonts w:cs="Arial"/>
                <w:sz w:val="22"/>
                <w:szCs w:val="22"/>
              </w:rPr>
              <w:t>напредъка по</w:t>
            </w:r>
            <w:r>
              <w:rPr>
                <w:rFonts w:cs="Arial"/>
                <w:sz w:val="22"/>
                <w:szCs w:val="22"/>
              </w:rPr>
              <w:t xml:space="preserve"> изпълнението </w:t>
            </w:r>
            <w:r w:rsidRPr="00773E72">
              <w:rPr>
                <w:rFonts w:cs="Arial"/>
                <w:sz w:val="22"/>
                <w:szCs w:val="22"/>
              </w:rPr>
              <w:t xml:space="preserve">на приоритетни </w:t>
            </w:r>
            <w:r w:rsidR="00AA6E4B">
              <w:rPr>
                <w:rFonts w:cs="Arial"/>
                <w:sz w:val="22"/>
                <w:szCs w:val="22"/>
              </w:rPr>
              <w:t>оси 1, 2, 3, 4 и 6 на ОПОС 2014-</w:t>
            </w:r>
            <w:r w:rsidRPr="00773E72">
              <w:rPr>
                <w:rFonts w:cs="Arial"/>
                <w:sz w:val="22"/>
                <w:szCs w:val="22"/>
              </w:rPr>
              <w:t>2020 г.</w:t>
            </w:r>
          </w:p>
        </w:tc>
        <w:tc>
          <w:tcPr>
            <w:tcW w:w="745" w:type="pct"/>
            <w:tcBorders>
              <w:top w:val="single" w:sz="8" w:space="0" w:color="98C723" w:themeColor="accent1"/>
              <w:left w:val="single" w:sz="8" w:space="0" w:color="98C723" w:themeColor="accent1"/>
              <w:bottom w:val="single" w:sz="8" w:space="0" w:color="98C723" w:themeColor="accent1"/>
            </w:tcBorders>
            <w:vAlign w:val="center"/>
            <w:hideMark/>
          </w:tcPr>
          <w:p w:rsidR="001C18AF" w:rsidRPr="001C18AF" w:rsidRDefault="001C18AF" w:rsidP="00EB274A">
            <w:pPr>
              <w:spacing w:before="0" w:after="0"/>
              <w:jc w:val="both"/>
              <w:rPr>
                <w:sz w:val="22"/>
                <w:szCs w:val="22"/>
              </w:rPr>
            </w:pPr>
            <w:r>
              <w:rPr>
                <w:sz w:val="22"/>
                <w:szCs w:val="22"/>
              </w:rPr>
              <w:t>3</w:t>
            </w:r>
            <w:r w:rsidR="008E6C55">
              <w:rPr>
                <w:sz w:val="22"/>
                <w:szCs w:val="22"/>
              </w:rPr>
              <w:t>0</w:t>
            </w:r>
            <w:r w:rsidRPr="001C18AF">
              <w:rPr>
                <w:sz w:val="22"/>
                <w:szCs w:val="22"/>
              </w:rPr>
              <w:t>0 000</w:t>
            </w:r>
          </w:p>
        </w:tc>
      </w:tr>
      <w:tr w:rsidR="001C18AF" w:rsidRPr="001C18AF" w:rsidTr="001F7844">
        <w:trPr>
          <w:trHeight w:val="603"/>
        </w:trPr>
        <w:tc>
          <w:tcPr>
            <w:tcW w:w="245" w:type="pct"/>
            <w:tcBorders>
              <w:top w:val="single" w:sz="8" w:space="0" w:color="98C723" w:themeColor="accent1"/>
              <w:bottom w:val="single" w:sz="8" w:space="0" w:color="98C723" w:themeColor="accent1"/>
              <w:right w:val="single" w:sz="8" w:space="0" w:color="98C723" w:themeColor="accent1"/>
            </w:tcBorders>
            <w:vAlign w:val="center"/>
            <w:hideMark/>
          </w:tcPr>
          <w:p w:rsidR="001C18AF" w:rsidRPr="001C18AF" w:rsidRDefault="001C18AF" w:rsidP="00EB274A">
            <w:pPr>
              <w:spacing w:before="0" w:after="0"/>
              <w:jc w:val="both"/>
              <w:rPr>
                <w:sz w:val="22"/>
                <w:szCs w:val="22"/>
              </w:rPr>
            </w:pPr>
            <w:r w:rsidRPr="001C18AF">
              <w:rPr>
                <w:sz w:val="22"/>
                <w:szCs w:val="22"/>
              </w:rPr>
              <w:t>3</w:t>
            </w:r>
          </w:p>
        </w:tc>
        <w:tc>
          <w:tcPr>
            <w:tcW w:w="4010" w:type="pct"/>
            <w:tcBorders>
              <w:top w:val="single" w:sz="8" w:space="0" w:color="98C723" w:themeColor="accent1"/>
              <w:left w:val="single" w:sz="8" w:space="0" w:color="98C723" w:themeColor="accent1"/>
              <w:bottom w:val="single" w:sz="8" w:space="0" w:color="98C723" w:themeColor="accent1"/>
              <w:right w:val="single" w:sz="8" w:space="0" w:color="98C723" w:themeColor="accent1"/>
            </w:tcBorders>
            <w:vAlign w:val="center"/>
            <w:hideMark/>
          </w:tcPr>
          <w:p w:rsidR="001C18AF" w:rsidRPr="001C18AF" w:rsidRDefault="001C18AF" w:rsidP="00EB274A">
            <w:pPr>
              <w:spacing w:before="0" w:after="0"/>
              <w:jc w:val="both"/>
              <w:rPr>
                <w:rFonts w:cs="Times New Roman"/>
                <w:sz w:val="22"/>
                <w:szCs w:val="22"/>
              </w:rPr>
            </w:pPr>
            <w:r w:rsidRPr="001C18AF">
              <w:rPr>
                <w:sz w:val="22"/>
                <w:szCs w:val="22"/>
              </w:rPr>
              <w:t>Оценка на въздействието на ОПОС 2014–2020</w:t>
            </w:r>
            <w:r w:rsidR="001F7844">
              <w:rPr>
                <w:sz w:val="22"/>
                <w:szCs w:val="22"/>
              </w:rPr>
              <w:t xml:space="preserve"> г.</w:t>
            </w:r>
            <w:r w:rsidRPr="001C18AF">
              <w:rPr>
                <w:rFonts w:cs="Arial"/>
                <w:i/>
                <w:sz w:val="22"/>
                <w:szCs w:val="22"/>
              </w:rPr>
              <w:t xml:space="preserve"> </w:t>
            </w:r>
            <w:r w:rsidRPr="001C18AF">
              <w:rPr>
                <w:rFonts w:cs="Arial"/>
                <w:sz w:val="22"/>
                <w:szCs w:val="22"/>
              </w:rPr>
              <w:t xml:space="preserve">и на </w:t>
            </w:r>
            <w:r w:rsidRPr="001C18AF">
              <w:rPr>
                <w:sz w:val="22"/>
                <w:szCs w:val="22"/>
              </w:rPr>
              <w:t xml:space="preserve">приноса на подкрепата от ЕСИФ за постигането </w:t>
            </w:r>
            <w:r w:rsidRPr="001C18AF">
              <w:rPr>
                <w:rFonts w:cs="Times New Roman"/>
                <w:sz w:val="22"/>
                <w:szCs w:val="22"/>
              </w:rPr>
              <w:t>на специфичните цели по всеки приоритет</w:t>
            </w:r>
          </w:p>
        </w:tc>
        <w:tc>
          <w:tcPr>
            <w:tcW w:w="745" w:type="pct"/>
            <w:tcBorders>
              <w:top w:val="single" w:sz="8" w:space="0" w:color="98C723" w:themeColor="accent1"/>
              <w:left w:val="single" w:sz="8" w:space="0" w:color="98C723" w:themeColor="accent1"/>
              <w:bottom w:val="single" w:sz="8" w:space="0" w:color="98C723" w:themeColor="accent1"/>
            </w:tcBorders>
            <w:vAlign w:val="center"/>
            <w:hideMark/>
          </w:tcPr>
          <w:p w:rsidR="001C18AF" w:rsidRPr="001C18AF" w:rsidRDefault="008E6C55" w:rsidP="00EB274A">
            <w:pPr>
              <w:spacing w:before="0" w:after="0"/>
              <w:jc w:val="both"/>
              <w:rPr>
                <w:sz w:val="22"/>
                <w:szCs w:val="22"/>
              </w:rPr>
            </w:pPr>
            <w:r>
              <w:rPr>
                <w:sz w:val="22"/>
                <w:szCs w:val="22"/>
              </w:rPr>
              <w:t>6</w:t>
            </w:r>
            <w:r w:rsidR="001C18AF" w:rsidRPr="001C18AF">
              <w:rPr>
                <w:sz w:val="22"/>
                <w:szCs w:val="22"/>
              </w:rPr>
              <w:t>00 000</w:t>
            </w:r>
          </w:p>
        </w:tc>
      </w:tr>
      <w:tr w:rsidR="001C18AF" w:rsidRPr="001C18AF" w:rsidTr="001F7844">
        <w:trPr>
          <w:trHeight w:val="603"/>
        </w:trPr>
        <w:tc>
          <w:tcPr>
            <w:tcW w:w="245" w:type="pct"/>
            <w:tcBorders>
              <w:top w:val="single" w:sz="8" w:space="0" w:color="98C723" w:themeColor="accent1"/>
              <w:bottom w:val="double" w:sz="6" w:space="0" w:color="98C723" w:themeColor="accent1"/>
              <w:right w:val="single" w:sz="8" w:space="0" w:color="98C723" w:themeColor="accent1"/>
            </w:tcBorders>
            <w:vAlign w:val="center"/>
            <w:hideMark/>
          </w:tcPr>
          <w:p w:rsidR="001C18AF" w:rsidRPr="001C18AF" w:rsidRDefault="001C18AF" w:rsidP="00EB274A">
            <w:pPr>
              <w:spacing w:before="0" w:after="0"/>
              <w:jc w:val="both"/>
              <w:rPr>
                <w:sz w:val="22"/>
                <w:szCs w:val="22"/>
              </w:rPr>
            </w:pPr>
            <w:r w:rsidRPr="001C18AF">
              <w:rPr>
                <w:sz w:val="22"/>
                <w:szCs w:val="22"/>
              </w:rPr>
              <w:t>4</w:t>
            </w:r>
          </w:p>
        </w:tc>
        <w:tc>
          <w:tcPr>
            <w:tcW w:w="4010" w:type="pct"/>
            <w:tcBorders>
              <w:top w:val="single" w:sz="8" w:space="0" w:color="98C723" w:themeColor="accent1"/>
              <w:left w:val="single" w:sz="8" w:space="0" w:color="98C723" w:themeColor="accent1"/>
              <w:bottom w:val="double" w:sz="6" w:space="0" w:color="98C723" w:themeColor="accent1"/>
              <w:right w:val="single" w:sz="8" w:space="0" w:color="98C723" w:themeColor="accent1"/>
            </w:tcBorders>
            <w:vAlign w:val="center"/>
            <w:hideMark/>
          </w:tcPr>
          <w:p w:rsidR="001C18AF" w:rsidRPr="001C18AF" w:rsidRDefault="001C18AF" w:rsidP="00EB274A">
            <w:pPr>
              <w:spacing w:before="0" w:after="0"/>
              <w:jc w:val="both"/>
              <w:rPr>
                <w:sz w:val="22"/>
                <w:szCs w:val="22"/>
                <w:lang w:val="en-US"/>
              </w:rPr>
            </w:pPr>
            <w:r w:rsidRPr="001C18AF">
              <w:rPr>
                <w:sz w:val="22"/>
                <w:szCs w:val="22"/>
              </w:rPr>
              <w:t xml:space="preserve">Допълнителни </w:t>
            </w:r>
            <w:r w:rsidRPr="001C18AF">
              <w:rPr>
                <w:sz w:val="22"/>
                <w:szCs w:val="22"/>
                <w:lang w:val="en-US"/>
              </w:rPr>
              <w:t xml:space="preserve">ad hoc </w:t>
            </w:r>
            <w:r w:rsidRPr="001C18AF">
              <w:rPr>
                <w:sz w:val="22"/>
                <w:szCs w:val="22"/>
              </w:rPr>
              <w:t>оценки</w:t>
            </w:r>
          </w:p>
        </w:tc>
        <w:tc>
          <w:tcPr>
            <w:tcW w:w="745" w:type="pct"/>
            <w:tcBorders>
              <w:top w:val="single" w:sz="8" w:space="0" w:color="98C723" w:themeColor="accent1"/>
              <w:left w:val="single" w:sz="8" w:space="0" w:color="98C723" w:themeColor="accent1"/>
              <w:bottom w:val="double" w:sz="6" w:space="0" w:color="98C723" w:themeColor="accent1"/>
            </w:tcBorders>
            <w:vAlign w:val="center"/>
            <w:hideMark/>
          </w:tcPr>
          <w:p w:rsidR="001C18AF" w:rsidRPr="001C18AF" w:rsidRDefault="008E6C55" w:rsidP="00EB274A">
            <w:pPr>
              <w:spacing w:before="0" w:after="0"/>
              <w:jc w:val="both"/>
              <w:rPr>
                <w:sz w:val="22"/>
                <w:szCs w:val="22"/>
              </w:rPr>
            </w:pPr>
            <w:r>
              <w:rPr>
                <w:sz w:val="22"/>
                <w:szCs w:val="22"/>
              </w:rPr>
              <w:t>10</w:t>
            </w:r>
            <w:r w:rsidR="001C18AF">
              <w:rPr>
                <w:sz w:val="22"/>
                <w:szCs w:val="22"/>
              </w:rPr>
              <w:t>0</w:t>
            </w:r>
            <w:r w:rsidR="001C18AF" w:rsidRPr="001C18AF">
              <w:rPr>
                <w:sz w:val="22"/>
                <w:szCs w:val="22"/>
              </w:rPr>
              <w:t xml:space="preserve"> 000</w:t>
            </w:r>
          </w:p>
        </w:tc>
      </w:tr>
      <w:tr w:rsidR="001B0812" w:rsidRPr="001C18AF" w:rsidTr="001F7844">
        <w:trPr>
          <w:cnfStyle w:val="010000000000" w:firstRow="0" w:lastRow="1" w:firstColumn="0" w:lastColumn="0" w:oddVBand="0" w:evenVBand="0" w:oddHBand="0" w:evenHBand="0" w:firstRowFirstColumn="0" w:firstRowLastColumn="0" w:lastRowFirstColumn="0" w:lastRowLastColumn="0"/>
          <w:trHeight w:val="368"/>
        </w:trPr>
        <w:tc>
          <w:tcPr>
            <w:tcW w:w="245" w:type="pct"/>
          </w:tcPr>
          <w:p w:rsidR="001B0812" w:rsidRPr="001C18AF" w:rsidRDefault="001B0812" w:rsidP="00EB274A">
            <w:pPr>
              <w:spacing w:before="0" w:after="0"/>
              <w:jc w:val="both"/>
              <w:rPr>
                <w:b w:val="0"/>
                <w:sz w:val="22"/>
                <w:szCs w:val="22"/>
              </w:rPr>
            </w:pPr>
          </w:p>
        </w:tc>
        <w:tc>
          <w:tcPr>
            <w:tcW w:w="4010" w:type="pct"/>
            <w:tcBorders>
              <w:right w:val="single" w:sz="8" w:space="0" w:color="98C723" w:themeColor="accent1"/>
            </w:tcBorders>
            <w:vAlign w:val="center"/>
            <w:hideMark/>
          </w:tcPr>
          <w:p w:rsidR="001B0812" w:rsidRPr="00773E72" w:rsidRDefault="001B0812" w:rsidP="00EB274A">
            <w:pPr>
              <w:spacing w:before="0" w:after="0"/>
              <w:jc w:val="both"/>
              <w:rPr>
                <w:sz w:val="22"/>
                <w:szCs w:val="22"/>
              </w:rPr>
            </w:pPr>
            <w:r w:rsidRPr="00773E72">
              <w:rPr>
                <w:sz w:val="22"/>
                <w:szCs w:val="22"/>
              </w:rPr>
              <w:t>Обща стойност</w:t>
            </w:r>
            <w:r w:rsidR="001C18AF" w:rsidRPr="00773E72">
              <w:rPr>
                <w:sz w:val="22"/>
                <w:szCs w:val="22"/>
              </w:rPr>
              <w:t xml:space="preserve"> / без ДДС /</w:t>
            </w:r>
          </w:p>
        </w:tc>
        <w:tc>
          <w:tcPr>
            <w:tcW w:w="745" w:type="pct"/>
            <w:tcBorders>
              <w:left w:val="single" w:sz="8" w:space="0" w:color="98C723" w:themeColor="accent1"/>
            </w:tcBorders>
            <w:vAlign w:val="center"/>
            <w:hideMark/>
          </w:tcPr>
          <w:p w:rsidR="001B0812" w:rsidRPr="00773E72" w:rsidRDefault="001C18AF" w:rsidP="00EB274A">
            <w:pPr>
              <w:spacing w:before="0" w:after="0"/>
              <w:jc w:val="both"/>
              <w:rPr>
                <w:sz w:val="22"/>
                <w:szCs w:val="22"/>
              </w:rPr>
            </w:pPr>
            <w:r w:rsidRPr="00773E72">
              <w:rPr>
                <w:sz w:val="22"/>
                <w:szCs w:val="22"/>
              </w:rPr>
              <w:t>1 1</w:t>
            </w:r>
            <w:r w:rsidR="001B0812" w:rsidRPr="00773E72">
              <w:rPr>
                <w:sz w:val="22"/>
                <w:szCs w:val="22"/>
              </w:rPr>
              <w:t>00 000</w:t>
            </w:r>
          </w:p>
        </w:tc>
      </w:tr>
    </w:tbl>
    <w:p w:rsidR="005B0A9A" w:rsidRDefault="005B0A9A" w:rsidP="00EB274A">
      <w:pPr>
        <w:jc w:val="both"/>
      </w:pPr>
    </w:p>
    <w:p w:rsidR="00B750B7" w:rsidRDefault="00B750B7" w:rsidP="00EB274A">
      <w:pPr>
        <w:pStyle w:val="Heading2"/>
        <w:jc w:val="both"/>
      </w:pPr>
      <w:bookmarkStart w:id="42" w:name="_Toc453078524"/>
      <w:r>
        <w:t>Индикативен времеви график за оценка на ОПОС</w:t>
      </w:r>
      <w:bookmarkEnd w:id="42"/>
    </w:p>
    <w:p w:rsidR="006C45E9" w:rsidRDefault="00B750B7" w:rsidP="00EB274A">
      <w:pPr>
        <w:jc w:val="both"/>
      </w:pPr>
      <w:r>
        <w:t>Индикативният времеви график на оценката на ОПОС 2014-2020</w:t>
      </w:r>
      <w:r w:rsidR="00185F83">
        <w:t xml:space="preserve"> г.</w:t>
      </w:r>
      <w:r>
        <w:t xml:space="preserve">, представен в Табл. </w:t>
      </w:r>
      <w:r w:rsidR="00B54B74">
        <w:t>2</w:t>
      </w:r>
      <w:r>
        <w:t>,</w:t>
      </w:r>
      <w:r w:rsidR="00073DDB">
        <w:t xml:space="preserve"> </w:t>
      </w:r>
      <w:r>
        <w:t xml:space="preserve">осигурява адекватно, логично и балансирано разпределение във времето на планираните оценки на ОПОС до приключване на програмния период. Графикът </w:t>
      </w:r>
      <w:r w:rsidR="00073DDB">
        <w:t>е съобразен с препоръките на Ръководството на ЕК за</w:t>
      </w:r>
      <w:r w:rsidR="0011040F">
        <w:t xml:space="preserve"> плановете за оценка, според кои</w:t>
      </w:r>
      <w:r w:rsidR="00073DDB">
        <w:t>то, оц</w:t>
      </w:r>
      <w:r w:rsidR="00185F83">
        <w:t xml:space="preserve">енката </w:t>
      </w:r>
      <w:r>
        <w:t>на въздействие</w:t>
      </w:r>
      <w:r w:rsidR="00185F83">
        <w:t xml:space="preserve">то следва да се планира </w:t>
      </w:r>
      <w:r>
        <w:t xml:space="preserve">обикновено към </w:t>
      </w:r>
      <w:r w:rsidR="00073DDB">
        <w:t xml:space="preserve">края на </w:t>
      </w:r>
      <w:r>
        <w:t xml:space="preserve">програмния </w:t>
      </w:r>
      <w:r w:rsidR="00073DDB">
        <w:t>период, за да бъдат налични очакваните</w:t>
      </w:r>
      <w:r>
        <w:t xml:space="preserve"> резултати, но същевременно така</w:t>
      </w:r>
      <w:r w:rsidR="005D39A8" w:rsidRPr="005D39A8">
        <w:rPr>
          <w:lang w:val="ru-RU"/>
        </w:rPr>
        <w:t>,</w:t>
      </w:r>
      <w:r>
        <w:t xml:space="preserve"> че заключенията им</w:t>
      </w:r>
      <w:r w:rsidR="00073DDB">
        <w:t xml:space="preserve"> да бъдат полезни при вземане на управленски решения.</w:t>
      </w:r>
      <w:r>
        <w:t xml:space="preserve"> Времевото планиране на оценките отчита и необходимостта периода за провеждане на последната планирана оценка на ОПОС </w:t>
      </w:r>
      <w:r w:rsidR="00185F83">
        <w:t>да бъде съобразено с изискването</w:t>
      </w:r>
      <w:r>
        <w:t xml:space="preserve"> </w:t>
      </w:r>
      <w:r w:rsidR="00C46D74">
        <w:t>УО</w:t>
      </w:r>
      <w:r>
        <w:t xml:space="preserve"> да представи на ЕК </w:t>
      </w:r>
      <w:r w:rsidRPr="00B750B7">
        <w:t xml:space="preserve">обобщаващ доклад за констатациите от </w:t>
      </w:r>
      <w:r w:rsidR="00185F83">
        <w:t>всички оценки</w:t>
      </w:r>
      <w:r w:rsidRPr="00B750B7">
        <w:t>, извършени през програмния период най-късно до 31.12.2022 г.</w:t>
      </w:r>
    </w:p>
    <w:p w:rsidR="000216AC" w:rsidRDefault="000216AC" w:rsidP="00EB274A">
      <w:pPr>
        <w:jc w:val="both"/>
        <w:rPr>
          <w:lang w:eastAsia="bg-BG"/>
        </w:rPr>
      </w:pPr>
      <w:r>
        <w:t xml:space="preserve">Не на последно място индикативният времеви график на оценката на ОПОС е съобразен със </w:t>
      </w:r>
      <w:r>
        <w:rPr>
          <w:lang w:eastAsia="bg-BG"/>
        </w:rPr>
        <w:t xml:space="preserve"> спецификите в изпълнението на проекти по ОПОС 2014-2020 г. и необходимото време за получаване на резултати</w:t>
      </w:r>
      <w:r w:rsidR="00185F83">
        <w:rPr>
          <w:lang w:eastAsia="bg-BG"/>
        </w:rPr>
        <w:t xml:space="preserve"> и реален ефект</w:t>
      </w:r>
      <w:r w:rsidR="00185F83" w:rsidRPr="00434F57">
        <w:rPr>
          <w:lang w:val="ru-RU" w:eastAsia="bg-BG"/>
        </w:rPr>
        <w:t xml:space="preserve"> </w:t>
      </w:r>
      <w:r w:rsidR="00185F83">
        <w:rPr>
          <w:lang w:eastAsia="bg-BG"/>
        </w:rPr>
        <w:t>от изпълняваните интервенции</w:t>
      </w:r>
      <w:r>
        <w:rPr>
          <w:lang w:eastAsia="bg-BG"/>
        </w:rPr>
        <w:t>.</w:t>
      </w:r>
    </w:p>
    <w:p w:rsidR="006C45E9" w:rsidRPr="006C45E9" w:rsidRDefault="006C45E9" w:rsidP="00EB274A">
      <w:pPr>
        <w:jc w:val="both"/>
        <w:rPr>
          <w:lang w:eastAsia="bg-BG"/>
        </w:rPr>
      </w:pPr>
      <w:r>
        <w:rPr>
          <w:lang w:eastAsia="bg-BG"/>
        </w:rPr>
        <w:t>В резултат на гореизложените препоръки на ЕК относно планирането на оценките и факта, че първите процедури по ОПОС 2014-2020 г. са обявени през късната есен на 2015 г., първите договори за предоставяне на безвъзмездна помощ</w:t>
      </w:r>
      <w:r w:rsidR="0082437E">
        <w:rPr>
          <w:lang w:eastAsia="bg-BG"/>
        </w:rPr>
        <w:t xml:space="preserve"> </w:t>
      </w:r>
      <w:r w:rsidR="0082437E" w:rsidRPr="00434F57">
        <w:rPr>
          <w:lang w:val="ru-RU" w:eastAsia="bg-BG"/>
        </w:rPr>
        <w:t>(</w:t>
      </w:r>
      <w:r w:rsidR="0082437E">
        <w:rPr>
          <w:lang w:eastAsia="bg-BG"/>
        </w:rPr>
        <w:t>БФП</w:t>
      </w:r>
      <w:r w:rsidR="0082437E" w:rsidRPr="00434F57">
        <w:rPr>
          <w:lang w:val="ru-RU" w:eastAsia="bg-BG"/>
        </w:rPr>
        <w:t>)</w:t>
      </w:r>
      <w:r>
        <w:rPr>
          <w:lang w:eastAsia="bg-BG"/>
        </w:rPr>
        <w:t xml:space="preserve"> по програмата са сключ</w:t>
      </w:r>
      <w:r w:rsidR="0082437E">
        <w:rPr>
          <w:lang w:eastAsia="bg-BG"/>
        </w:rPr>
        <w:t>ени в ранната пролет на 2016 г.</w:t>
      </w:r>
      <w:r>
        <w:rPr>
          <w:lang w:eastAsia="bg-BG"/>
        </w:rPr>
        <w:t xml:space="preserve"> и обикновено са обвързани с продължителни срокове за изпълнение</w:t>
      </w:r>
      <w:r w:rsidR="0082437E">
        <w:rPr>
          <w:lang w:eastAsia="bg-BG"/>
        </w:rPr>
        <w:t>,</w:t>
      </w:r>
      <w:r>
        <w:rPr>
          <w:lang w:eastAsia="bg-BG"/>
        </w:rPr>
        <w:t xml:space="preserve"> </w:t>
      </w:r>
      <w:r w:rsidR="00C46D74">
        <w:rPr>
          <w:lang w:eastAsia="bg-BG"/>
        </w:rPr>
        <w:t>УО</w:t>
      </w:r>
      <w:r>
        <w:rPr>
          <w:lang w:eastAsia="bg-BG"/>
        </w:rPr>
        <w:t xml:space="preserve"> не счита за обосновано залагането на оценка в периода 2017-2018 г., тъй като на този етап няма да са налице достатъчно мониторингови данни, които </w:t>
      </w:r>
      <w:r>
        <w:rPr>
          <w:lang w:eastAsia="bg-BG"/>
        </w:rPr>
        <w:lastRenderedPageBreak/>
        <w:t xml:space="preserve">да позволят проследяването на ефективността и ефикасността на изпълнението на програмата.  Ето защо </w:t>
      </w:r>
      <w:r w:rsidR="00C46D74">
        <w:rPr>
          <w:lang w:eastAsia="bg-BG"/>
        </w:rPr>
        <w:t>УО</w:t>
      </w:r>
      <w:r>
        <w:rPr>
          <w:lang w:eastAsia="bg-BG"/>
        </w:rPr>
        <w:t xml:space="preserve"> планира провеждането на първите две оценки </w:t>
      </w:r>
      <w:r w:rsidR="0082437E">
        <w:rPr>
          <w:lang w:eastAsia="bg-BG"/>
        </w:rPr>
        <w:t xml:space="preserve">с фокус върху ефективността и ефикасността на изпълнението </w:t>
      </w:r>
      <w:r w:rsidRPr="00434F57">
        <w:rPr>
          <w:lang w:val="ru-RU" w:eastAsia="bg-BG"/>
        </w:rPr>
        <w:t>(</w:t>
      </w:r>
      <w:r>
        <w:rPr>
          <w:lang w:eastAsia="bg-BG"/>
        </w:rPr>
        <w:t>специфичната оценка на изпълнението на приоритетна ос 5 и оценката на напредъка по всички останали оси на ОПОС 2014-2020</w:t>
      </w:r>
      <w:r w:rsidR="0082437E">
        <w:rPr>
          <w:lang w:eastAsia="bg-BG"/>
        </w:rPr>
        <w:t xml:space="preserve"> г.</w:t>
      </w:r>
      <w:r w:rsidRPr="00434F57">
        <w:rPr>
          <w:lang w:val="ru-RU" w:eastAsia="bg-BG"/>
        </w:rPr>
        <w:t>)</w:t>
      </w:r>
      <w:r>
        <w:rPr>
          <w:lang w:eastAsia="bg-BG"/>
        </w:rPr>
        <w:t xml:space="preserve"> да бъда</w:t>
      </w:r>
      <w:r w:rsidR="0082437E">
        <w:rPr>
          <w:lang w:eastAsia="bg-BG"/>
        </w:rPr>
        <w:t>т проведени през 2019 г. Р</w:t>
      </w:r>
      <w:r>
        <w:rPr>
          <w:lang w:eastAsia="bg-BG"/>
        </w:rPr>
        <w:t xml:space="preserve">езултатите от тях ще захранят с данни от оценката разширения Годишен доклад по изпълнението за 2019 г., съгласно изискванията на Регламент 1303/2013.  </w:t>
      </w:r>
      <w:r w:rsidR="00C46D74">
        <w:rPr>
          <w:lang w:eastAsia="bg-BG"/>
        </w:rPr>
        <w:t>УО</w:t>
      </w:r>
      <w:r>
        <w:rPr>
          <w:lang w:eastAsia="bg-BG"/>
        </w:rPr>
        <w:t xml:space="preserve"> планира провеждането на задължителната оценка на въздействието на ОПОС 2014-2020</w:t>
      </w:r>
      <w:r w:rsidR="0082437E">
        <w:rPr>
          <w:lang w:eastAsia="bg-BG"/>
        </w:rPr>
        <w:t xml:space="preserve"> г.</w:t>
      </w:r>
      <w:r>
        <w:rPr>
          <w:lang w:eastAsia="bg-BG"/>
        </w:rPr>
        <w:t xml:space="preserve"> по всички приоритетни оси да бъде извършено през 2022 г., като резултатите от оценката ще бъдат </w:t>
      </w:r>
      <w:r w:rsidR="0082437E">
        <w:rPr>
          <w:lang w:eastAsia="bg-BG"/>
        </w:rPr>
        <w:t xml:space="preserve">получени достатъчно рано, за да бъдат </w:t>
      </w:r>
      <w:r>
        <w:rPr>
          <w:lang w:eastAsia="bg-BG"/>
        </w:rPr>
        <w:t xml:space="preserve">използвани заедно с резултатите от предходните оценки за изготвяне на </w:t>
      </w:r>
      <w:r w:rsidRPr="00B750B7">
        <w:t>обобщаващ</w:t>
      </w:r>
      <w:r>
        <w:t>ия</w:t>
      </w:r>
      <w:r w:rsidRPr="00B750B7">
        <w:t xml:space="preserve"> доклад за констатациите от оценките, извършени през програмния период</w:t>
      </w:r>
      <w:r>
        <w:t xml:space="preserve">, който </w:t>
      </w:r>
      <w:r w:rsidR="00C46D74">
        <w:t>УО</w:t>
      </w:r>
      <w:r>
        <w:t xml:space="preserve"> следва да представи на ЕК</w:t>
      </w:r>
      <w:r w:rsidRPr="00B750B7">
        <w:t xml:space="preserve"> най-късно до 31.12.2022 г.</w:t>
      </w:r>
    </w:p>
    <w:p w:rsidR="00B750B7" w:rsidRPr="00722295" w:rsidRDefault="0082437E" w:rsidP="00EB274A">
      <w:pPr>
        <w:jc w:val="both"/>
      </w:pPr>
      <w:r>
        <w:t>Предвид</w:t>
      </w:r>
      <w:r w:rsidR="000216AC" w:rsidRPr="0011040F">
        <w:t xml:space="preserve"> индикативния характер на настоящия график </w:t>
      </w:r>
      <w:r w:rsidR="00C46D74">
        <w:t>УО</w:t>
      </w:r>
      <w:r w:rsidR="000216AC" w:rsidRPr="0011040F">
        <w:t xml:space="preserve"> ще извършва</w:t>
      </w:r>
      <w:r w:rsidR="00B750B7" w:rsidRPr="0011040F">
        <w:t xml:space="preserve"> </w:t>
      </w:r>
      <w:r w:rsidR="000216AC" w:rsidRPr="0011040F">
        <w:t>регулярен</w:t>
      </w:r>
      <w:r w:rsidR="00B750B7" w:rsidRPr="0011040F">
        <w:t xml:space="preserve"> преглед и актуали</w:t>
      </w:r>
      <w:r w:rsidR="000216AC" w:rsidRPr="0011040F">
        <w:t xml:space="preserve">зация </w:t>
      </w:r>
      <w:r w:rsidR="00773E72">
        <w:t xml:space="preserve">на </w:t>
      </w:r>
      <w:r>
        <w:t>времевото планиране на</w:t>
      </w:r>
      <w:r w:rsidR="00773E72">
        <w:t xml:space="preserve"> оценка</w:t>
      </w:r>
      <w:r>
        <w:t>та на ОПОС 2014-2020 г.</w:t>
      </w:r>
      <w:r w:rsidR="00773E72">
        <w:t>, за да отчита евентуа</w:t>
      </w:r>
      <w:r w:rsidR="002F34E4">
        <w:t>л</w:t>
      </w:r>
      <w:r w:rsidR="00773E72">
        <w:t xml:space="preserve">ни </w:t>
      </w:r>
      <w:r w:rsidR="0011040F">
        <w:t xml:space="preserve"> и</w:t>
      </w:r>
      <w:r w:rsidR="00773E72">
        <w:t>зменения в програмната среда и</w:t>
      </w:r>
      <w:r w:rsidR="0011040F">
        <w:t xml:space="preserve"> възникващи нови потребности </w:t>
      </w:r>
      <w:r w:rsidR="0011040F" w:rsidRPr="0011040F">
        <w:t xml:space="preserve">в областта на оценката. </w:t>
      </w:r>
      <w:r w:rsidR="0011040F">
        <w:t>Прегледът на Плана за оценка</w:t>
      </w:r>
      <w:r w:rsidR="00B750B7" w:rsidRPr="0011040F">
        <w:t xml:space="preserve"> ще се осъществява от </w:t>
      </w:r>
      <w:r w:rsidR="0011040F">
        <w:t xml:space="preserve">служителите в отдел ПП, ангажирани с оценката на ОПОС, </w:t>
      </w:r>
      <w:r w:rsidR="00B750B7" w:rsidRPr="0011040F">
        <w:t>веднъж годишно, преди пролетното заседание на КН</w:t>
      </w:r>
      <w:r w:rsidR="0011040F">
        <w:t xml:space="preserve"> на ОПОС</w:t>
      </w:r>
      <w:r w:rsidR="00B750B7" w:rsidRPr="0011040F">
        <w:t xml:space="preserve">. </w:t>
      </w:r>
      <w:r w:rsidR="0011040F">
        <w:t xml:space="preserve">В рамките на прегледа експертите на отдел ПП ще </w:t>
      </w:r>
      <w:r w:rsidR="005A3156">
        <w:t xml:space="preserve">използват актуална информация за развитието на програмата и препоръките от вече </w:t>
      </w:r>
      <w:r w:rsidR="005A3156" w:rsidRPr="00722295">
        <w:t xml:space="preserve">изпълнени оценки на ОПОС. </w:t>
      </w:r>
      <w:r w:rsidR="00CF335A">
        <w:t>Евентуалните изменения в П</w:t>
      </w:r>
      <w:r w:rsidR="00B750B7" w:rsidRPr="00722295">
        <w:t>лана</w:t>
      </w:r>
      <w:r w:rsidR="00CF335A">
        <w:t xml:space="preserve"> за оценка</w:t>
      </w:r>
      <w:r w:rsidR="00B750B7" w:rsidRPr="00722295">
        <w:t xml:space="preserve"> (добавяне на нови оценки, сливане или отпадане на заложени оценки</w:t>
      </w:r>
      <w:r w:rsidR="00CF335A">
        <w:t>, изменения в тематичния обхват или актуализация на основните въпроси за оценка</w:t>
      </w:r>
      <w:r w:rsidR="00B750B7" w:rsidRPr="00722295">
        <w:t xml:space="preserve">) </w:t>
      </w:r>
      <w:r w:rsidR="005A3156" w:rsidRPr="00722295">
        <w:t>се разработват от експертите на отдел ПП, ангажирани с оценката,</w:t>
      </w:r>
      <w:r w:rsidR="001B0812">
        <w:t xml:space="preserve"> одобряват се от ръководството на </w:t>
      </w:r>
      <w:r w:rsidR="00C46D74">
        <w:t>УО</w:t>
      </w:r>
      <w:r w:rsidR="005A3156" w:rsidRPr="00722295">
        <w:t xml:space="preserve"> и подлежат на задължително одобрение </w:t>
      </w:r>
      <w:r w:rsidR="00B750B7" w:rsidRPr="00722295">
        <w:t xml:space="preserve">от КН </w:t>
      </w:r>
      <w:r w:rsidR="001B0812">
        <w:t xml:space="preserve">на ОПОС </w:t>
      </w:r>
      <w:r w:rsidR="00B750B7" w:rsidRPr="00722295">
        <w:t>по предложе</w:t>
      </w:r>
      <w:r w:rsidR="001B0812">
        <w:t xml:space="preserve">ние на Ръководителя на </w:t>
      </w:r>
      <w:r w:rsidR="00C46D74">
        <w:t>УО</w:t>
      </w:r>
      <w:r w:rsidR="00B750B7" w:rsidRPr="00722295">
        <w:t xml:space="preserve">. </w:t>
      </w:r>
    </w:p>
    <w:p w:rsidR="00722295" w:rsidRDefault="00722295" w:rsidP="00EB274A">
      <w:pPr>
        <w:jc w:val="both"/>
        <w:sectPr w:rsidR="00722295" w:rsidSect="00D54BDC">
          <w:headerReference w:type="default" r:id="rId17"/>
          <w:footerReference w:type="default" r:id="rId18"/>
          <w:headerReference w:type="first" r:id="rId19"/>
          <w:footerReference w:type="first" r:id="rId20"/>
          <w:pgSz w:w="12240" w:h="15840" w:code="1"/>
          <w:pgMar w:top="1417" w:right="1417" w:bottom="1417" w:left="1417" w:header="567" w:footer="567" w:gutter="0"/>
          <w:pgNumType w:start="0"/>
          <w:cols w:space="720"/>
          <w:titlePg/>
          <w:docGrid w:linePitch="360"/>
        </w:sectPr>
      </w:pPr>
    </w:p>
    <w:p w:rsidR="001B0812" w:rsidRPr="001B0812" w:rsidRDefault="001B0812" w:rsidP="00EB274A">
      <w:pPr>
        <w:pStyle w:val="Caption"/>
        <w:jc w:val="both"/>
        <w:rPr>
          <w:szCs w:val="22"/>
        </w:rPr>
      </w:pPr>
      <w:r w:rsidRPr="001B0812">
        <w:lastRenderedPageBreak/>
        <w:t xml:space="preserve">Табл. </w:t>
      </w:r>
      <w:r w:rsidRPr="001B0812">
        <w:fldChar w:fldCharType="begin"/>
      </w:r>
      <w:r w:rsidRPr="001B0812">
        <w:instrText xml:space="preserve"> SEQ Табл. \* ARABIC </w:instrText>
      </w:r>
      <w:r w:rsidRPr="001B0812">
        <w:fldChar w:fldCharType="separate"/>
      </w:r>
      <w:r w:rsidR="00803501">
        <w:rPr>
          <w:noProof/>
        </w:rPr>
        <w:t>2</w:t>
      </w:r>
      <w:r w:rsidRPr="001B0812">
        <w:fldChar w:fldCharType="end"/>
      </w:r>
      <w:r w:rsidRPr="001B0812">
        <w:t xml:space="preserve"> Индикативен времеви график за изпълнение на Плана за оценка на ОПОС</w:t>
      </w:r>
    </w:p>
    <w:tbl>
      <w:tblPr>
        <w:tblStyle w:val="MediumShading1-Accent11"/>
        <w:tblW w:w="0" w:type="auto"/>
        <w:tblInd w:w="-318" w:type="dxa"/>
        <w:tblBorders>
          <w:top w:val="single" w:sz="8" w:space="0" w:color="98C723" w:themeColor="accent1"/>
          <w:left w:val="single" w:sz="8" w:space="0" w:color="98C723" w:themeColor="accent1"/>
          <w:bottom w:val="single" w:sz="8" w:space="0" w:color="98C723" w:themeColor="accent1"/>
          <w:right w:val="single" w:sz="8" w:space="0" w:color="98C723" w:themeColor="accent1"/>
          <w:insideH w:val="single" w:sz="8" w:space="0" w:color="98C723" w:themeColor="accent1"/>
          <w:insideV w:val="single" w:sz="8" w:space="0" w:color="98C723" w:themeColor="accent1"/>
        </w:tblBorders>
        <w:tblLook w:val="06A0" w:firstRow="1" w:lastRow="0" w:firstColumn="1" w:lastColumn="0" w:noHBand="1" w:noVBand="1"/>
      </w:tblPr>
      <w:tblGrid>
        <w:gridCol w:w="328"/>
        <w:gridCol w:w="3880"/>
        <w:gridCol w:w="383"/>
        <w:gridCol w:w="397"/>
        <w:gridCol w:w="318"/>
        <w:gridCol w:w="327"/>
        <w:gridCol w:w="383"/>
        <w:gridCol w:w="397"/>
        <w:gridCol w:w="318"/>
        <w:gridCol w:w="327"/>
        <w:gridCol w:w="383"/>
        <w:gridCol w:w="397"/>
        <w:gridCol w:w="318"/>
        <w:gridCol w:w="327"/>
        <w:gridCol w:w="383"/>
        <w:gridCol w:w="397"/>
        <w:gridCol w:w="318"/>
        <w:gridCol w:w="327"/>
        <w:gridCol w:w="383"/>
        <w:gridCol w:w="397"/>
        <w:gridCol w:w="318"/>
        <w:gridCol w:w="327"/>
        <w:gridCol w:w="383"/>
        <w:gridCol w:w="397"/>
        <w:gridCol w:w="318"/>
        <w:gridCol w:w="327"/>
        <w:gridCol w:w="383"/>
        <w:gridCol w:w="397"/>
      </w:tblGrid>
      <w:tr w:rsidR="00773E72" w:rsidRPr="000F3467" w:rsidTr="00773E72">
        <w:trPr>
          <w:cnfStyle w:val="100000000000" w:firstRow="1" w:lastRow="0" w:firstColumn="0" w:lastColumn="0" w:oddVBand="0" w:evenVBand="0" w:oddHBand="0" w:evenHBand="0" w:firstRowFirstColumn="0" w:firstRowLastColumn="0" w:lastRowFirstColumn="0" w:lastRowLastColumn="0"/>
          <w:trHeight w:val="412"/>
        </w:trPr>
        <w:tc>
          <w:tcPr>
            <w:cnfStyle w:val="001000000000" w:firstRow="0" w:lastRow="0" w:firstColumn="1" w:lastColumn="0" w:oddVBand="0" w:evenVBand="0" w:oddHBand="0" w:evenHBand="0" w:firstRowFirstColumn="0" w:firstRowLastColumn="0" w:lastRowFirstColumn="0" w:lastRowLastColumn="0"/>
            <w:tcW w:w="0" w:type="auto"/>
            <w:gridSpan w:val="2"/>
            <w:vMerge w:val="restart"/>
            <w:shd w:val="clear" w:color="auto" w:fill="C4E672" w:themeFill="accent1" w:themeFillTint="99"/>
            <w:vAlign w:val="center"/>
          </w:tcPr>
          <w:p w:rsidR="00773E72" w:rsidRPr="00434F57" w:rsidRDefault="00773E72" w:rsidP="00EB274A">
            <w:pPr>
              <w:pStyle w:val="Default"/>
              <w:jc w:val="both"/>
              <w:rPr>
                <w:rFonts w:ascii="Calibri" w:hAnsi="Calibri" w:cs="Arial"/>
                <w:sz w:val="22"/>
                <w:szCs w:val="22"/>
                <w:lang w:val="ru-RU"/>
              </w:rPr>
            </w:pPr>
            <w:r w:rsidRPr="003B6D44">
              <w:rPr>
                <w:rFonts w:ascii="Calibri" w:hAnsi="Calibri" w:cs="Arial"/>
                <w:sz w:val="22"/>
                <w:szCs w:val="22"/>
                <w:lang w:val="bg-BG"/>
              </w:rPr>
              <w:t>Планирани оценки</w:t>
            </w:r>
          </w:p>
          <w:p w:rsidR="00773E72" w:rsidRPr="00434F57" w:rsidRDefault="00773E72" w:rsidP="00EB274A">
            <w:pPr>
              <w:pStyle w:val="Default"/>
              <w:jc w:val="both"/>
              <w:rPr>
                <w:rFonts w:ascii="Calibri" w:hAnsi="Calibri" w:cs="Arial"/>
                <w:b w:val="0"/>
                <w:sz w:val="22"/>
                <w:szCs w:val="22"/>
                <w:lang w:val="ru-RU"/>
              </w:rPr>
            </w:pPr>
            <w:r w:rsidRPr="00434F57">
              <w:rPr>
                <w:rFonts w:ascii="Calibri" w:hAnsi="Calibri" w:cs="Arial"/>
                <w:sz w:val="22"/>
                <w:szCs w:val="22"/>
                <w:lang w:val="ru-RU"/>
              </w:rPr>
              <w:t>(</w:t>
            </w:r>
            <w:r w:rsidRPr="00C42C0E">
              <w:rPr>
                <w:rFonts w:ascii="Calibri" w:hAnsi="Calibri" w:cs="Arial"/>
                <w:b w:val="0"/>
                <w:sz w:val="22"/>
                <w:szCs w:val="22"/>
                <w:lang w:val="bg-BG"/>
              </w:rPr>
              <w:t>вкл. процедура по възлагане</w:t>
            </w:r>
            <w:r w:rsidRPr="00434F57">
              <w:rPr>
                <w:rFonts w:ascii="Calibri" w:hAnsi="Calibri" w:cs="Arial"/>
                <w:sz w:val="22"/>
                <w:szCs w:val="22"/>
                <w:lang w:val="ru-RU"/>
              </w:rPr>
              <w:t>)</w:t>
            </w:r>
          </w:p>
          <w:p w:rsidR="00773E72" w:rsidRPr="003B6D44" w:rsidRDefault="00773E72" w:rsidP="00EB274A">
            <w:pPr>
              <w:pStyle w:val="Default"/>
              <w:jc w:val="both"/>
              <w:rPr>
                <w:rFonts w:ascii="Calibri" w:hAnsi="Calibri" w:cs="Arial"/>
                <w:sz w:val="22"/>
                <w:szCs w:val="22"/>
                <w:lang w:val="bg-BG"/>
              </w:rPr>
            </w:pPr>
          </w:p>
        </w:tc>
        <w:tc>
          <w:tcPr>
            <w:tcW w:w="0" w:type="auto"/>
            <w:gridSpan w:val="26"/>
            <w:shd w:val="clear" w:color="auto" w:fill="C4E672" w:themeFill="accent1" w:themeFillTint="99"/>
            <w:hideMark/>
          </w:tcPr>
          <w:p w:rsidR="00773E72" w:rsidRPr="00E9240D" w:rsidRDefault="00773E72" w:rsidP="00EB274A">
            <w:pPr>
              <w:pStyle w:val="Default"/>
              <w:jc w:val="both"/>
              <w:cnfStyle w:val="100000000000" w:firstRow="1" w:lastRow="0" w:firstColumn="0" w:lastColumn="0" w:oddVBand="0" w:evenVBand="0" w:oddHBand="0" w:evenHBand="0" w:firstRowFirstColumn="0" w:firstRowLastColumn="0" w:lastRowFirstColumn="0" w:lastRowLastColumn="0"/>
              <w:rPr>
                <w:rFonts w:ascii="Calibri" w:hAnsi="Calibri" w:cs="Arial"/>
                <w:bCs w:val="0"/>
                <w:sz w:val="22"/>
                <w:szCs w:val="22"/>
                <w:lang w:val="bg-BG"/>
              </w:rPr>
            </w:pPr>
            <w:r>
              <w:rPr>
                <w:rFonts w:ascii="Calibri" w:hAnsi="Calibri" w:cs="Arial"/>
                <w:bCs w:val="0"/>
                <w:sz w:val="22"/>
                <w:szCs w:val="22"/>
                <w:lang w:val="bg-BG"/>
              </w:rPr>
              <w:t>Времеви период по години и тримесечия</w:t>
            </w:r>
          </w:p>
        </w:tc>
      </w:tr>
      <w:tr w:rsidR="00773E72" w:rsidRPr="000F3467" w:rsidTr="00773E72">
        <w:trPr>
          <w:trHeight w:val="399"/>
        </w:trPr>
        <w:tc>
          <w:tcPr>
            <w:cnfStyle w:val="001000000000" w:firstRow="0" w:lastRow="0" w:firstColumn="1" w:lastColumn="0" w:oddVBand="0" w:evenVBand="0" w:oddHBand="0" w:evenHBand="0" w:firstRowFirstColumn="0" w:firstRowLastColumn="0" w:lastRowFirstColumn="0" w:lastRowLastColumn="0"/>
            <w:tcW w:w="0" w:type="auto"/>
            <w:gridSpan w:val="2"/>
            <w:vMerge/>
            <w:shd w:val="clear" w:color="auto" w:fill="C4E672" w:themeFill="accent1" w:themeFillTint="99"/>
          </w:tcPr>
          <w:p w:rsidR="00773E72" w:rsidRPr="007D5F8C" w:rsidRDefault="00773E72" w:rsidP="00EB274A">
            <w:pPr>
              <w:spacing w:before="0" w:after="0"/>
              <w:jc w:val="both"/>
              <w:rPr>
                <w:rFonts w:cs="Arial"/>
                <w:b w:val="0"/>
                <w:sz w:val="22"/>
                <w:szCs w:val="22"/>
                <w:lang w:val="ru-RU"/>
              </w:rPr>
            </w:pPr>
          </w:p>
        </w:tc>
        <w:tc>
          <w:tcPr>
            <w:tcW w:w="0" w:type="auto"/>
            <w:gridSpan w:val="2"/>
            <w:shd w:val="clear" w:color="auto" w:fill="C4E672" w:themeFill="accent1" w:themeFillTint="99"/>
            <w:vAlign w:val="center"/>
          </w:tcPr>
          <w:p w:rsidR="00773E72" w:rsidRPr="00E9240D" w:rsidRDefault="00F30AA3" w:rsidP="00EB274A">
            <w:pPr>
              <w:pStyle w:val="Default"/>
              <w:jc w:val="center"/>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r>
              <w:rPr>
                <w:rFonts w:ascii="Calibri" w:hAnsi="Calibri" w:cs="Arial"/>
                <w:sz w:val="22"/>
                <w:szCs w:val="22"/>
                <w:lang w:val="bg-BG"/>
              </w:rPr>
              <w:t>20</w:t>
            </w:r>
            <w:r w:rsidR="00773E72">
              <w:rPr>
                <w:rFonts w:ascii="Calibri" w:hAnsi="Calibri" w:cs="Arial"/>
                <w:sz w:val="22"/>
                <w:szCs w:val="22"/>
                <w:lang w:val="bg-BG"/>
              </w:rPr>
              <w:t>16</w:t>
            </w:r>
          </w:p>
        </w:tc>
        <w:tc>
          <w:tcPr>
            <w:tcW w:w="0" w:type="auto"/>
            <w:gridSpan w:val="4"/>
            <w:shd w:val="clear" w:color="auto" w:fill="C4E672" w:themeFill="accent1" w:themeFillTint="99"/>
            <w:vAlign w:val="center"/>
          </w:tcPr>
          <w:p w:rsidR="00773E72" w:rsidRPr="00E9240D" w:rsidRDefault="00F30AA3" w:rsidP="00EB274A">
            <w:pPr>
              <w:pStyle w:val="Default"/>
              <w:jc w:val="center"/>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r>
              <w:rPr>
                <w:rFonts w:ascii="Calibri" w:hAnsi="Calibri" w:cs="Arial"/>
                <w:sz w:val="22"/>
                <w:szCs w:val="22"/>
                <w:lang w:val="bg-BG"/>
              </w:rPr>
              <w:t>20</w:t>
            </w:r>
            <w:r w:rsidR="00773E72">
              <w:rPr>
                <w:rFonts w:ascii="Calibri" w:hAnsi="Calibri" w:cs="Arial"/>
                <w:sz w:val="22"/>
                <w:szCs w:val="22"/>
                <w:lang w:val="bg-BG"/>
              </w:rPr>
              <w:t>17</w:t>
            </w:r>
          </w:p>
        </w:tc>
        <w:tc>
          <w:tcPr>
            <w:tcW w:w="0" w:type="auto"/>
            <w:gridSpan w:val="4"/>
            <w:shd w:val="clear" w:color="auto" w:fill="C4E672" w:themeFill="accent1" w:themeFillTint="99"/>
            <w:vAlign w:val="center"/>
          </w:tcPr>
          <w:p w:rsidR="00773E72" w:rsidRPr="00E9240D" w:rsidRDefault="00F30AA3" w:rsidP="00EB274A">
            <w:pPr>
              <w:pStyle w:val="Default"/>
              <w:jc w:val="center"/>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r>
              <w:rPr>
                <w:rFonts w:ascii="Calibri" w:hAnsi="Calibri" w:cs="Arial"/>
                <w:sz w:val="22"/>
                <w:szCs w:val="22"/>
                <w:lang w:val="bg-BG"/>
              </w:rPr>
              <w:t>20</w:t>
            </w:r>
            <w:r w:rsidR="00773E72">
              <w:rPr>
                <w:rFonts w:ascii="Calibri" w:hAnsi="Calibri" w:cs="Arial"/>
                <w:sz w:val="22"/>
                <w:szCs w:val="22"/>
                <w:lang w:val="bg-BG"/>
              </w:rPr>
              <w:t>18</w:t>
            </w:r>
          </w:p>
        </w:tc>
        <w:tc>
          <w:tcPr>
            <w:tcW w:w="0" w:type="auto"/>
            <w:gridSpan w:val="4"/>
            <w:shd w:val="clear" w:color="auto" w:fill="C4E672" w:themeFill="accent1" w:themeFillTint="99"/>
            <w:vAlign w:val="center"/>
          </w:tcPr>
          <w:p w:rsidR="00773E72" w:rsidRPr="00E9240D" w:rsidRDefault="00F30AA3" w:rsidP="00EB274A">
            <w:pPr>
              <w:pStyle w:val="Default"/>
              <w:jc w:val="center"/>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r>
              <w:rPr>
                <w:rFonts w:ascii="Calibri" w:hAnsi="Calibri" w:cs="Arial"/>
                <w:sz w:val="22"/>
                <w:szCs w:val="22"/>
                <w:lang w:val="bg-BG"/>
              </w:rPr>
              <w:t>20</w:t>
            </w:r>
            <w:r w:rsidR="00773E72">
              <w:rPr>
                <w:rFonts w:ascii="Calibri" w:hAnsi="Calibri" w:cs="Arial"/>
                <w:sz w:val="22"/>
                <w:szCs w:val="22"/>
                <w:lang w:val="bg-BG"/>
              </w:rPr>
              <w:t>19</w:t>
            </w:r>
          </w:p>
        </w:tc>
        <w:tc>
          <w:tcPr>
            <w:tcW w:w="0" w:type="auto"/>
            <w:gridSpan w:val="3"/>
            <w:shd w:val="clear" w:color="auto" w:fill="C4E672" w:themeFill="accent1" w:themeFillTint="99"/>
            <w:vAlign w:val="center"/>
          </w:tcPr>
          <w:p w:rsidR="00773E72" w:rsidRPr="00E9240D" w:rsidRDefault="00F30AA3" w:rsidP="00EB274A">
            <w:pPr>
              <w:pStyle w:val="Default"/>
              <w:jc w:val="center"/>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r>
              <w:rPr>
                <w:rFonts w:ascii="Calibri" w:hAnsi="Calibri" w:cs="Arial"/>
                <w:sz w:val="22"/>
                <w:szCs w:val="22"/>
                <w:lang w:val="bg-BG"/>
              </w:rPr>
              <w:t>20</w:t>
            </w:r>
            <w:r w:rsidR="00773E72">
              <w:rPr>
                <w:rFonts w:ascii="Calibri" w:hAnsi="Calibri" w:cs="Arial"/>
                <w:sz w:val="22"/>
                <w:szCs w:val="22"/>
                <w:lang w:val="bg-BG"/>
              </w:rPr>
              <w:t>20</w:t>
            </w:r>
          </w:p>
        </w:tc>
        <w:tc>
          <w:tcPr>
            <w:tcW w:w="0" w:type="auto"/>
            <w:gridSpan w:val="5"/>
            <w:shd w:val="clear" w:color="auto" w:fill="C4E672" w:themeFill="accent1" w:themeFillTint="99"/>
            <w:vAlign w:val="center"/>
          </w:tcPr>
          <w:p w:rsidR="00773E72" w:rsidRPr="00E9240D" w:rsidRDefault="00F30AA3" w:rsidP="00EB274A">
            <w:pPr>
              <w:pStyle w:val="Default"/>
              <w:jc w:val="center"/>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r>
              <w:rPr>
                <w:rFonts w:ascii="Calibri" w:hAnsi="Calibri" w:cs="Arial"/>
                <w:sz w:val="22"/>
                <w:szCs w:val="22"/>
                <w:lang w:val="bg-BG"/>
              </w:rPr>
              <w:t>20</w:t>
            </w:r>
            <w:r w:rsidR="00773E72">
              <w:rPr>
                <w:rFonts w:ascii="Calibri" w:hAnsi="Calibri" w:cs="Arial"/>
                <w:sz w:val="22"/>
                <w:szCs w:val="22"/>
                <w:lang w:val="bg-BG"/>
              </w:rPr>
              <w:t>21</w:t>
            </w:r>
          </w:p>
        </w:tc>
        <w:tc>
          <w:tcPr>
            <w:tcW w:w="0" w:type="auto"/>
            <w:gridSpan w:val="4"/>
            <w:shd w:val="clear" w:color="auto" w:fill="C4E672" w:themeFill="accent1" w:themeFillTint="99"/>
            <w:vAlign w:val="center"/>
          </w:tcPr>
          <w:p w:rsidR="00773E72" w:rsidRPr="00E9240D" w:rsidRDefault="00F30AA3" w:rsidP="00EB274A">
            <w:pPr>
              <w:pStyle w:val="Default"/>
              <w:jc w:val="center"/>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r>
              <w:rPr>
                <w:rFonts w:ascii="Calibri" w:hAnsi="Calibri" w:cs="Arial"/>
                <w:sz w:val="22"/>
                <w:szCs w:val="22"/>
                <w:lang w:val="bg-BG"/>
              </w:rPr>
              <w:t>20</w:t>
            </w:r>
            <w:r w:rsidR="00773E72">
              <w:rPr>
                <w:rFonts w:ascii="Calibri" w:hAnsi="Calibri" w:cs="Arial"/>
                <w:sz w:val="22"/>
                <w:szCs w:val="22"/>
                <w:lang w:val="bg-BG"/>
              </w:rPr>
              <w:t>22</w:t>
            </w:r>
          </w:p>
        </w:tc>
      </w:tr>
      <w:tr w:rsidR="007D5F8C" w:rsidRPr="000F3467" w:rsidTr="00773E72">
        <w:trPr>
          <w:trHeight w:val="418"/>
        </w:trPr>
        <w:tc>
          <w:tcPr>
            <w:cnfStyle w:val="001000000000" w:firstRow="0" w:lastRow="0" w:firstColumn="1" w:lastColumn="0" w:oddVBand="0" w:evenVBand="0" w:oddHBand="0" w:evenHBand="0" w:firstRowFirstColumn="0" w:firstRowLastColumn="0" w:lastRowFirstColumn="0" w:lastRowLastColumn="0"/>
            <w:tcW w:w="0" w:type="auto"/>
            <w:gridSpan w:val="2"/>
            <w:vMerge/>
            <w:shd w:val="clear" w:color="auto" w:fill="C4E672" w:themeFill="accent1" w:themeFillTint="99"/>
          </w:tcPr>
          <w:p w:rsidR="00773E72" w:rsidRPr="000F3467" w:rsidRDefault="00773E72" w:rsidP="00EB274A">
            <w:pPr>
              <w:spacing w:before="0" w:after="0"/>
              <w:jc w:val="both"/>
              <w:rPr>
                <w:rFonts w:cs="Arial"/>
                <w:b w:val="0"/>
                <w:sz w:val="22"/>
                <w:szCs w:val="22"/>
                <w:lang w:val="en-GB"/>
              </w:rPr>
            </w:pPr>
          </w:p>
        </w:tc>
        <w:tc>
          <w:tcPr>
            <w:tcW w:w="0" w:type="auto"/>
            <w:shd w:val="clear" w:color="auto" w:fill="C4E672" w:themeFill="accent1" w:themeFillTint="99"/>
            <w:vAlign w:val="center"/>
          </w:tcPr>
          <w:p w:rsidR="00773E72" w:rsidRPr="00E9240D"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IV</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w:t>
            </w:r>
          </w:p>
        </w:tc>
        <w:tc>
          <w:tcPr>
            <w:tcW w:w="0" w:type="auto"/>
            <w:shd w:val="clear" w:color="auto" w:fill="C4E672" w:themeFill="accent1" w:themeFillTint="99"/>
            <w:vAlign w:val="center"/>
            <w:hideMark/>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IV</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IV</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IV</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IV</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IV</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III</w:t>
            </w:r>
          </w:p>
        </w:tc>
        <w:tc>
          <w:tcPr>
            <w:tcW w:w="0" w:type="auto"/>
            <w:shd w:val="clear" w:color="auto" w:fill="C4E672" w:themeFill="accent1" w:themeFillTint="99"/>
            <w:vAlign w:val="center"/>
          </w:tcPr>
          <w:p w:rsidR="00773E72" w:rsidRPr="00126A2A"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rPr>
            </w:pPr>
            <w:r>
              <w:rPr>
                <w:rFonts w:ascii="Calibri" w:hAnsi="Calibri" w:cs="Arial"/>
                <w:sz w:val="22"/>
                <w:szCs w:val="22"/>
              </w:rPr>
              <w:t>IV</w:t>
            </w:r>
          </w:p>
        </w:tc>
      </w:tr>
      <w:tr w:rsidR="00773E72" w:rsidRPr="000F3467" w:rsidTr="0082437E">
        <w:trPr>
          <w:trHeight w:val="376"/>
        </w:trPr>
        <w:tc>
          <w:tcPr>
            <w:cnfStyle w:val="001000000000" w:firstRow="0" w:lastRow="0" w:firstColumn="1" w:lastColumn="0" w:oddVBand="0" w:evenVBand="0" w:oddHBand="0" w:evenHBand="0" w:firstRowFirstColumn="0" w:firstRowLastColumn="0" w:lastRowFirstColumn="0" w:lastRowLastColumn="0"/>
            <w:tcW w:w="0" w:type="auto"/>
            <w:vAlign w:val="center"/>
          </w:tcPr>
          <w:p w:rsidR="00773E72" w:rsidRPr="00773E72" w:rsidRDefault="00773E72" w:rsidP="00EB274A">
            <w:pPr>
              <w:spacing w:before="0" w:after="0"/>
              <w:jc w:val="both"/>
              <w:rPr>
                <w:rFonts w:cs="Arial"/>
                <w:b w:val="0"/>
                <w:i/>
                <w:sz w:val="22"/>
                <w:szCs w:val="22"/>
              </w:rPr>
            </w:pPr>
          </w:p>
        </w:tc>
        <w:tc>
          <w:tcPr>
            <w:tcW w:w="0" w:type="auto"/>
            <w:vAlign w:val="center"/>
            <w:hideMark/>
          </w:tcPr>
          <w:p w:rsidR="00773E72" w:rsidRPr="00773E72" w:rsidRDefault="00773E72" w:rsidP="00EB274A">
            <w:pPr>
              <w:spacing w:before="0" w:after="0"/>
              <w:jc w:val="both"/>
              <w:cnfStyle w:val="000000000000" w:firstRow="0" w:lastRow="0" w:firstColumn="0" w:lastColumn="0" w:oddVBand="0" w:evenVBand="0" w:oddHBand="0" w:evenHBand="0" w:firstRowFirstColumn="0" w:firstRowLastColumn="0" w:lastRowFirstColumn="0" w:lastRowLastColumn="0"/>
              <w:rPr>
                <w:rFonts w:cs="Arial"/>
                <w:i/>
                <w:sz w:val="22"/>
                <w:szCs w:val="22"/>
                <w:lang w:val="en-US"/>
              </w:rPr>
            </w:pPr>
            <w:r w:rsidRPr="00773E72">
              <w:rPr>
                <w:rFonts w:cs="Arial"/>
                <w:i/>
                <w:sz w:val="22"/>
                <w:szCs w:val="22"/>
              </w:rPr>
              <w:t>Процедура по възлагане</w:t>
            </w:r>
            <w:r w:rsidRPr="00773E72">
              <w:rPr>
                <w:rFonts w:cs="Arial"/>
                <w:i/>
                <w:sz w:val="22"/>
                <w:szCs w:val="22"/>
                <w:lang w:val="en-US"/>
              </w:rPr>
              <w:t>*</w:t>
            </w: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hideMark/>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773E72" w:rsidRDefault="00773E72"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B16E48">
              <w:rPr>
                <w:rFonts w:cs="Arial"/>
                <w:b/>
                <w:sz w:val="22"/>
                <w:szCs w:val="22"/>
                <w:lang w:val="en-US"/>
              </w:rPr>
              <w:t>x</w:t>
            </w:r>
          </w:p>
        </w:tc>
        <w:tc>
          <w:tcPr>
            <w:tcW w:w="0" w:type="auto"/>
            <w:vAlign w:val="center"/>
          </w:tcPr>
          <w:p w:rsidR="00773E72" w:rsidRDefault="00773E72"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B16E48">
              <w:rPr>
                <w:rFonts w:cs="Arial"/>
                <w:b/>
                <w:sz w:val="22"/>
                <w:szCs w:val="22"/>
                <w:lang w:val="en-US"/>
              </w:rPr>
              <w:t>x</w:t>
            </w:r>
          </w:p>
        </w:tc>
        <w:tc>
          <w:tcPr>
            <w:tcW w:w="0" w:type="auto"/>
            <w:vAlign w:val="center"/>
          </w:tcPr>
          <w:p w:rsidR="00773E72" w:rsidRDefault="00773E72"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B16E48">
              <w:rPr>
                <w:rFonts w:cs="Arial"/>
                <w:b/>
                <w:sz w:val="22"/>
                <w:szCs w:val="22"/>
                <w:lang w:val="en-US"/>
              </w:rPr>
              <w:t>x</w:t>
            </w: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773E72" w:rsidRPr="000F3467" w:rsidRDefault="00773E72"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r>
      <w:tr w:rsidR="008B0C75" w:rsidRPr="000F3467" w:rsidTr="0082437E">
        <w:trPr>
          <w:trHeight w:val="1233"/>
        </w:trPr>
        <w:tc>
          <w:tcPr>
            <w:cnfStyle w:val="001000000000" w:firstRow="0" w:lastRow="0" w:firstColumn="1" w:lastColumn="0" w:oddVBand="0" w:evenVBand="0" w:oddHBand="0" w:evenHBand="0" w:firstRowFirstColumn="0" w:firstRowLastColumn="0" w:lastRowFirstColumn="0" w:lastRowLastColumn="0"/>
            <w:tcW w:w="0" w:type="auto"/>
            <w:vAlign w:val="center"/>
          </w:tcPr>
          <w:p w:rsidR="008B0C75" w:rsidRPr="00773E72" w:rsidRDefault="008B0C75" w:rsidP="00EB274A">
            <w:pPr>
              <w:spacing w:before="0" w:after="0"/>
              <w:jc w:val="both"/>
              <w:rPr>
                <w:rFonts w:cs="Arial"/>
                <w:b w:val="0"/>
                <w:sz w:val="22"/>
                <w:szCs w:val="22"/>
              </w:rPr>
            </w:pPr>
            <w:r w:rsidRPr="00773E72">
              <w:rPr>
                <w:rFonts w:cs="Arial"/>
                <w:b w:val="0"/>
                <w:sz w:val="22"/>
                <w:szCs w:val="22"/>
              </w:rPr>
              <w:t>1</w:t>
            </w:r>
          </w:p>
        </w:tc>
        <w:tc>
          <w:tcPr>
            <w:tcW w:w="0" w:type="auto"/>
            <w:vAlign w:val="center"/>
            <w:hideMark/>
          </w:tcPr>
          <w:p w:rsidR="008B0C75" w:rsidRPr="00773E72"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sidRPr="00773E72">
              <w:rPr>
                <w:rFonts w:cs="Arial"/>
                <w:sz w:val="22"/>
                <w:szCs w:val="22"/>
              </w:rPr>
              <w:t>Оценка на ефективността и ефикасността на изпълнението на приоритетна ос 5 „Подобряване качеството на атмосферния въздух” на ОПОС 2014-2020</w:t>
            </w:r>
            <w:r>
              <w:rPr>
                <w:rFonts w:cs="Arial"/>
                <w:sz w:val="22"/>
                <w:szCs w:val="22"/>
              </w:rPr>
              <w:t xml:space="preserve"> г.</w:t>
            </w: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hideMark/>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540DD0">
              <w:rPr>
                <w:rFonts w:cs="Arial"/>
                <w:b/>
                <w:sz w:val="22"/>
                <w:szCs w:val="22"/>
                <w:lang w:val="en-US"/>
              </w:rPr>
              <w:t>x</w:t>
            </w: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540DD0">
              <w:rPr>
                <w:rFonts w:cs="Arial"/>
                <w:b/>
                <w:sz w:val="22"/>
                <w:szCs w:val="22"/>
                <w:lang w:val="en-US"/>
              </w:rPr>
              <w:t>x</w:t>
            </w:r>
          </w:p>
        </w:tc>
        <w:tc>
          <w:tcPr>
            <w:tcW w:w="0" w:type="auto"/>
            <w:vAlign w:val="center"/>
          </w:tcPr>
          <w:p w:rsidR="008B0C75" w:rsidRPr="00E52AD9"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r>
      <w:tr w:rsidR="008B0C75" w:rsidRPr="000F3467" w:rsidTr="0082437E">
        <w:trPr>
          <w:trHeight w:val="816"/>
        </w:trPr>
        <w:tc>
          <w:tcPr>
            <w:cnfStyle w:val="001000000000" w:firstRow="0" w:lastRow="0" w:firstColumn="1" w:lastColumn="0" w:oddVBand="0" w:evenVBand="0" w:oddHBand="0" w:evenHBand="0" w:firstRowFirstColumn="0" w:firstRowLastColumn="0" w:lastRowFirstColumn="0" w:lastRowLastColumn="0"/>
            <w:tcW w:w="0" w:type="auto"/>
            <w:vAlign w:val="center"/>
          </w:tcPr>
          <w:p w:rsidR="008B0C75" w:rsidRPr="00773E72" w:rsidRDefault="008B0C75" w:rsidP="00EB274A">
            <w:pPr>
              <w:spacing w:before="0" w:after="0"/>
              <w:jc w:val="both"/>
              <w:rPr>
                <w:rFonts w:cs="Arial"/>
                <w:b w:val="0"/>
                <w:sz w:val="22"/>
                <w:szCs w:val="22"/>
              </w:rPr>
            </w:pPr>
            <w:r w:rsidRPr="00773E72">
              <w:rPr>
                <w:rFonts w:cs="Arial"/>
                <w:b w:val="0"/>
                <w:sz w:val="22"/>
                <w:szCs w:val="22"/>
              </w:rPr>
              <w:t>2</w:t>
            </w:r>
          </w:p>
        </w:tc>
        <w:tc>
          <w:tcPr>
            <w:tcW w:w="0" w:type="auto"/>
            <w:vAlign w:val="center"/>
            <w:hideMark/>
          </w:tcPr>
          <w:p w:rsidR="008B0C75" w:rsidRPr="00773E72"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rPr>
                <w:rFonts w:cs="Arial"/>
                <w:sz w:val="22"/>
                <w:szCs w:val="22"/>
              </w:rPr>
            </w:pPr>
            <w:r w:rsidRPr="00773E72">
              <w:rPr>
                <w:rFonts w:cs="Arial"/>
                <w:sz w:val="22"/>
                <w:szCs w:val="22"/>
              </w:rPr>
              <w:t xml:space="preserve">Оценка на </w:t>
            </w:r>
            <w:r>
              <w:rPr>
                <w:rFonts w:cs="Arial"/>
                <w:sz w:val="22"/>
                <w:szCs w:val="22"/>
              </w:rPr>
              <w:t xml:space="preserve">напредъка по изпълнението </w:t>
            </w:r>
            <w:r w:rsidRPr="00773E72">
              <w:rPr>
                <w:rFonts w:cs="Arial"/>
                <w:sz w:val="22"/>
                <w:szCs w:val="22"/>
              </w:rPr>
              <w:t xml:space="preserve">на приоритетни оси 1, 2, 3, 4 и 6 на ОПОС 2014-2020 г. </w:t>
            </w: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hideMark/>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9E28E4">
              <w:rPr>
                <w:rFonts w:cs="Arial"/>
                <w:b/>
                <w:sz w:val="22"/>
                <w:szCs w:val="22"/>
                <w:lang w:val="en-US"/>
              </w:rPr>
              <w:t>x</w:t>
            </w: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9E28E4">
              <w:rPr>
                <w:rFonts w:cs="Arial"/>
                <w:b/>
                <w:sz w:val="22"/>
                <w:szCs w:val="22"/>
                <w:lang w:val="en-US"/>
              </w:rPr>
              <w:t>x</w:t>
            </w: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9E28E4">
              <w:rPr>
                <w:rFonts w:cs="Arial"/>
                <w:b/>
                <w:sz w:val="22"/>
                <w:szCs w:val="22"/>
                <w:lang w:val="en-US"/>
              </w:rPr>
              <w:t>x</w:t>
            </w: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r>
      <w:tr w:rsidR="008B0C75" w:rsidRPr="000F3467" w:rsidTr="0082437E">
        <w:trPr>
          <w:trHeight w:val="1416"/>
        </w:trPr>
        <w:tc>
          <w:tcPr>
            <w:cnfStyle w:val="001000000000" w:firstRow="0" w:lastRow="0" w:firstColumn="1" w:lastColumn="0" w:oddVBand="0" w:evenVBand="0" w:oddHBand="0" w:evenHBand="0" w:firstRowFirstColumn="0" w:firstRowLastColumn="0" w:lastRowFirstColumn="0" w:lastRowLastColumn="0"/>
            <w:tcW w:w="0" w:type="auto"/>
            <w:vAlign w:val="center"/>
          </w:tcPr>
          <w:p w:rsidR="008B0C75" w:rsidRPr="00773E72" w:rsidRDefault="008B0C75" w:rsidP="00EB274A">
            <w:pPr>
              <w:spacing w:before="0" w:after="0"/>
              <w:jc w:val="both"/>
              <w:rPr>
                <w:b w:val="0"/>
                <w:sz w:val="22"/>
                <w:szCs w:val="22"/>
              </w:rPr>
            </w:pPr>
            <w:r w:rsidRPr="00773E72">
              <w:rPr>
                <w:b w:val="0"/>
                <w:sz w:val="22"/>
                <w:szCs w:val="22"/>
              </w:rPr>
              <w:t>3</w:t>
            </w:r>
          </w:p>
        </w:tc>
        <w:tc>
          <w:tcPr>
            <w:tcW w:w="0" w:type="auto"/>
            <w:vAlign w:val="center"/>
            <w:hideMark/>
          </w:tcPr>
          <w:p w:rsidR="008B0C75" w:rsidRPr="00773E72"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rPr>
                <w:rFonts w:cs="Times New Roman"/>
                <w:sz w:val="22"/>
                <w:szCs w:val="22"/>
              </w:rPr>
            </w:pPr>
            <w:r>
              <w:rPr>
                <w:sz w:val="22"/>
                <w:szCs w:val="22"/>
              </w:rPr>
              <w:t>Оценка на въздействието на</w:t>
            </w:r>
            <w:r w:rsidRPr="00773E72">
              <w:rPr>
                <w:sz w:val="22"/>
                <w:szCs w:val="22"/>
              </w:rPr>
              <w:t xml:space="preserve"> ОПОС 2014 – 2020</w:t>
            </w:r>
            <w:r>
              <w:rPr>
                <w:sz w:val="22"/>
                <w:szCs w:val="22"/>
              </w:rPr>
              <w:t xml:space="preserve"> г.</w:t>
            </w:r>
            <w:r w:rsidRPr="00773E72">
              <w:rPr>
                <w:rFonts w:cs="Arial"/>
                <w:i/>
                <w:sz w:val="22"/>
                <w:szCs w:val="22"/>
              </w:rPr>
              <w:t xml:space="preserve"> </w:t>
            </w:r>
            <w:r w:rsidRPr="00773E72">
              <w:rPr>
                <w:rFonts w:cs="Arial"/>
                <w:sz w:val="22"/>
                <w:szCs w:val="22"/>
              </w:rPr>
              <w:t xml:space="preserve">и на </w:t>
            </w:r>
            <w:r w:rsidRPr="00773E72">
              <w:rPr>
                <w:sz w:val="22"/>
                <w:szCs w:val="22"/>
              </w:rPr>
              <w:t xml:space="preserve">приноса на подкрепата от ЕСИФ за постигането </w:t>
            </w:r>
            <w:r w:rsidRPr="00773E72">
              <w:rPr>
                <w:rFonts w:cs="Times New Roman"/>
                <w:sz w:val="22"/>
                <w:szCs w:val="22"/>
              </w:rPr>
              <w:t>на специфичните цели по всеки приоритет</w:t>
            </w: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bg-BG"/>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hideMark/>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Pr="00434F5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lang w:val="ru-RU"/>
              </w:rPr>
            </w:pP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9E28E4">
              <w:rPr>
                <w:rFonts w:cs="Arial"/>
                <w:b/>
                <w:sz w:val="22"/>
                <w:szCs w:val="22"/>
                <w:lang w:val="en-US"/>
              </w:rPr>
              <w:t>x</w:t>
            </w: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9E28E4">
              <w:rPr>
                <w:rFonts w:cs="Arial"/>
                <w:b/>
                <w:sz w:val="22"/>
                <w:szCs w:val="22"/>
                <w:lang w:val="en-US"/>
              </w:rPr>
              <w:t>x</w:t>
            </w:r>
          </w:p>
        </w:tc>
        <w:tc>
          <w:tcPr>
            <w:tcW w:w="0" w:type="auto"/>
            <w:vAlign w:val="center"/>
          </w:tcPr>
          <w:p w:rsidR="008B0C75"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pPr>
            <w:r w:rsidRPr="009E28E4">
              <w:rPr>
                <w:rFonts w:cs="Arial"/>
                <w:b/>
                <w:sz w:val="22"/>
                <w:szCs w:val="22"/>
                <w:lang w:val="en-US"/>
              </w:rPr>
              <w:t>x</w:t>
            </w: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b/>
                <w:sz w:val="22"/>
                <w:szCs w:val="22"/>
              </w:rPr>
            </w:pPr>
          </w:p>
        </w:tc>
      </w:tr>
      <w:tr w:rsidR="008B0C75" w:rsidRPr="000F3467" w:rsidTr="0082437E">
        <w:trPr>
          <w:trHeight w:val="513"/>
        </w:trPr>
        <w:tc>
          <w:tcPr>
            <w:cnfStyle w:val="001000000000" w:firstRow="0" w:lastRow="0" w:firstColumn="1" w:lastColumn="0" w:oddVBand="0" w:evenVBand="0" w:oddHBand="0" w:evenHBand="0" w:firstRowFirstColumn="0" w:firstRowLastColumn="0" w:lastRowFirstColumn="0" w:lastRowLastColumn="0"/>
            <w:tcW w:w="0" w:type="auto"/>
            <w:vAlign w:val="center"/>
          </w:tcPr>
          <w:p w:rsidR="008B0C75" w:rsidRPr="00773E72" w:rsidRDefault="008B0C75" w:rsidP="00EB274A">
            <w:pPr>
              <w:spacing w:before="0" w:after="0"/>
              <w:jc w:val="both"/>
              <w:rPr>
                <w:b w:val="0"/>
                <w:sz w:val="22"/>
                <w:szCs w:val="22"/>
              </w:rPr>
            </w:pPr>
            <w:r w:rsidRPr="00773E72">
              <w:rPr>
                <w:b w:val="0"/>
                <w:sz w:val="22"/>
                <w:szCs w:val="22"/>
              </w:rPr>
              <w:t>4</w:t>
            </w:r>
          </w:p>
        </w:tc>
        <w:tc>
          <w:tcPr>
            <w:tcW w:w="0" w:type="auto"/>
            <w:vAlign w:val="center"/>
            <w:hideMark/>
          </w:tcPr>
          <w:p w:rsidR="008B0C75" w:rsidRPr="00773E72" w:rsidRDefault="008B0C75" w:rsidP="00EB274A">
            <w:pPr>
              <w:spacing w:before="0" w:after="0"/>
              <w:jc w:val="both"/>
              <w:cnfStyle w:val="000000000000" w:firstRow="0" w:lastRow="0" w:firstColumn="0" w:lastColumn="0" w:oddVBand="0" w:evenVBand="0" w:oddHBand="0" w:evenHBand="0" w:firstRowFirstColumn="0" w:firstRowLastColumn="0" w:lastRowFirstColumn="0" w:lastRowLastColumn="0"/>
              <w:rPr>
                <w:i/>
                <w:sz w:val="22"/>
                <w:szCs w:val="22"/>
                <w:lang w:val="en-US"/>
              </w:rPr>
            </w:pPr>
            <w:r w:rsidRPr="00773E72">
              <w:rPr>
                <w:i/>
                <w:sz w:val="22"/>
                <w:szCs w:val="22"/>
              </w:rPr>
              <w:t xml:space="preserve">Допълнителни </w:t>
            </w:r>
            <w:r w:rsidRPr="00773E72">
              <w:rPr>
                <w:i/>
                <w:sz w:val="22"/>
                <w:szCs w:val="22"/>
                <w:lang w:val="en-US"/>
              </w:rPr>
              <w:t xml:space="preserve">ad hoc </w:t>
            </w:r>
            <w:r w:rsidRPr="00773E72">
              <w:rPr>
                <w:i/>
                <w:sz w:val="22"/>
                <w:szCs w:val="22"/>
              </w:rPr>
              <w:t>оценки</w:t>
            </w:r>
            <w:r w:rsidRPr="00773E72">
              <w:rPr>
                <w:i/>
                <w:sz w:val="22"/>
                <w:szCs w:val="22"/>
                <w:lang w:val="en-US"/>
              </w:rPr>
              <w:t>**</w:t>
            </w: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Pr="000F3467" w:rsidRDefault="008B0C75" w:rsidP="00EB274A">
            <w:pPr>
              <w:pStyle w:val="Default"/>
              <w:jc w:val="both"/>
              <w:cnfStyle w:val="000000000000" w:firstRow="0" w:lastRow="0" w:firstColumn="0" w:lastColumn="0" w:oddVBand="0" w:evenVBand="0" w:oddHBand="0" w:evenHBand="0" w:firstRowFirstColumn="0" w:firstRowLastColumn="0" w:lastRowFirstColumn="0" w:lastRowLastColumn="0"/>
              <w:rPr>
                <w:rFonts w:ascii="Calibri" w:hAnsi="Calibri" w:cs="Arial"/>
                <w:sz w:val="22"/>
                <w:szCs w:val="22"/>
                <w:lang w:val="bg-BG"/>
              </w:rPr>
            </w:pP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hideMark/>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c>
          <w:tcPr>
            <w:tcW w:w="0" w:type="auto"/>
            <w:vAlign w:val="center"/>
          </w:tcPr>
          <w:p w:rsidR="008B0C75" w:rsidRDefault="008B0C75" w:rsidP="00EB274A">
            <w:pPr>
              <w:jc w:val="both"/>
              <w:cnfStyle w:val="000000000000" w:firstRow="0" w:lastRow="0" w:firstColumn="0" w:lastColumn="0" w:oddVBand="0" w:evenVBand="0" w:oddHBand="0" w:evenHBand="0" w:firstRowFirstColumn="0" w:firstRowLastColumn="0" w:lastRowFirstColumn="0" w:lastRowLastColumn="0"/>
            </w:pPr>
            <w:r w:rsidRPr="009C7C82">
              <w:rPr>
                <w:rFonts w:cs="Arial"/>
                <w:b/>
                <w:sz w:val="22"/>
                <w:szCs w:val="22"/>
                <w:lang w:val="en-US"/>
              </w:rPr>
              <w:t>x</w:t>
            </w:r>
          </w:p>
        </w:tc>
      </w:tr>
    </w:tbl>
    <w:p w:rsidR="003B6D44" w:rsidRPr="00434F57" w:rsidRDefault="003B6D44" w:rsidP="00EB274A">
      <w:pPr>
        <w:jc w:val="both"/>
        <w:rPr>
          <w:i/>
          <w:sz w:val="22"/>
          <w:szCs w:val="22"/>
          <w:lang w:val="ru-RU"/>
        </w:rPr>
      </w:pPr>
      <w:r w:rsidRPr="00434F57">
        <w:rPr>
          <w:i/>
          <w:sz w:val="22"/>
          <w:szCs w:val="22"/>
          <w:lang w:val="ru-RU"/>
        </w:rPr>
        <w:t>*</w:t>
      </w:r>
      <w:r w:rsidRPr="003B6D44">
        <w:rPr>
          <w:i/>
          <w:sz w:val="22"/>
          <w:szCs w:val="22"/>
        </w:rPr>
        <w:t>За по-голяма прегледност на индикативния времеви график е отразен и индикативния период за подготовка и провеждане на процедурата за възлагане на оценката на ОПОС 2014-2020</w:t>
      </w:r>
      <w:r w:rsidR="0041256B">
        <w:rPr>
          <w:i/>
          <w:sz w:val="22"/>
          <w:szCs w:val="22"/>
        </w:rPr>
        <w:t xml:space="preserve"> г.</w:t>
      </w:r>
      <w:r w:rsidRPr="003B6D44">
        <w:rPr>
          <w:i/>
          <w:sz w:val="22"/>
          <w:szCs w:val="22"/>
        </w:rPr>
        <w:t xml:space="preserve"> на външен изпълнител чрез обществена поръчка по </w:t>
      </w:r>
      <w:r w:rsidR="007C4AD9">
        <w:rPr>
          <w:i/>
          <w:sz w:val="22"/>
          <w:szCs w:val="22"/>
        </w:rPr>
        <w:t xml:space="preserve">реда на </w:t>
      </w:r>
      <w:r w:rsidRPr="003B6D44">
        <w:rPr>
          <w:i/>
          <w:sz w:val="22"/>
          <w:szCs w:val="22"/>
        </w:rPr>
        <w:t>ЗОП за провеждане на всички планирани оценки, съгласно Плана за оценка на ОПОС</w:t>
      </w:r>
      <w:r w:rsidR="00CF335A">
        <w:rPr>
          <w:i/>
          <w:sz w:val="22"/>
          <w:szCs w:val="22"/>
        </w:rPr>
        <w:t xml:space="preserve"> през целия програмен период</w:t>
      </w:r>
      <w:r w:rsidR="007C4AD9">
        <w:rPr>
          <w:i/>
          <w:sz w:val="22"/>
          <w:szCs w:val="22"/>
        </w:rPr>
        <w:t>.</w:t>
      </w:r>
    </w:p>
    <w:p w:rsidR="003B6D44" w:rsidRPr="003B6D44" w:rsidRDefault="003B6D44" w:rsidP="00EB274A">
      <w:pPr>
        <w:jc w:val="both"/>
        <w:rPr>
          <w:i/>
          <w:sz w:val="22"/>
          <w:szCs w:val="22"/>
        </w:rPr>
      </w:pPr>
      <w:r w:rsidRPr="00434F57">
        <w:rPr>
          <w:i/>
          <w:sz w:val="22"/>
          <w:szCs w:val="22"/>
          <w:lang w:val="ru-RU"/>
        </w:rPr>
        <w:t>**</w:t>
      </w:r>
      <w:r w:rsidRPr="003B6D44">
        <w:rPr>
          <w:i/>
          <w:sz w:val="22"/>
          <w:szCs w:val="22"/>
        </w:rPr>
        <w:t xml:space="preserve">Допълнителните </w:t>
      </w:r>
      <w:r w:rsidRPr="003B6D44">
        <w:rPr>
          <w:i/>
          <w:sz w:val="22"/>
          <w:szCs w:val="22"/>
          <w:lang w:val="en-US"/>
        </w:rPr>
        <w:t>ad</w:t>
      </w:r>
      <w:r w:rsidRPr="00434F57">
        <w:rPr>
          <w:i/>
          <w:sz w:val="22"/>
          <w:szCs w:val="22"/>
          <w:lang w:val="ru-RU"/>
        </w:rPr>
        <w:t xml:space="preserve"> </w:t>
      </w:r>
      <w:r w:rsidRPr="003B6D44">
        <w:rPr>
          <w:i/>
          <w:sz w:val="22"/>
          <w:szCs w:val="22"/>
          <w:lang w:val="en-US"/>
        </w:rPr>
        <w:t>hoc</w:t>
      </w:r>
      <w:r w:rsidRPr="00434F57">
        <w:rPr>
          <w:i/>
          <w:sz w:val="22"/>
          <w:szCs w:val="22"/>
          <w:lang w:val="ru-RU"/>
        </w:rPr>
        <w:t xml:space="preserve"> </w:t>
      </w:r>
      <w:r w:rsidRPr="003B6D44">
        <w:rPr>
          <w:i/>
          <w:sz w:val="22"/>
          <w:szCs w:val="22"/>
        </w:rPr>
        <w:t xml:space="preserve">оценки, които </w:t>
      </w:r>
      <w:r w:rsidR="00CF335A">
        <w:rPr>
          <w:i/>
          <w:sz w:val="22"/>
          <w:szCs w:val="22"/>
        </w:rPr>
        <w:t>могат да се наложат при</w:t>
      </w:r>
      <w:r w:rsidRPr="003B6D44">
        <w:rPr>
          <w:i/>
          <w:sz w:val="22"/>
          <w:szCs w:val="22"/>
        </w:rPr>
        <w:t xml:space="preserve"> възникване на допълнителни нужди от оценка, не могат да бъдат фиксирани в настоящия времеви график. </w:t>
      </w:r>
      <w:r w:rsidR="004854F1">
        <w:rPr>
          <w:i/>
          <w:sz w:val="22"/>
          <w:szCs w:val="22"/>
        </w:rPr>
        <w:t xml:space="preserve">При възникване на необходимост от провеждане на такива </w:t>
      </w:r>
      <w:r w:rsidR="004854F1">
        <w:rPr>
          <w:i/>
          <w:sz w:val="22"/>
          <w:szCs w:val="22"/>
          <w:lang w:val="en-US"/>
        </w:rPr>
        <w:t>ad</w:t>
      </w:r>
      <w:r w:rsidR="004854F1" w:rsidRPr="00BA684B">
        <w:rPr>
          <w:i/>
          <w:sz w:val="22"/>
          <w:szCs w:val="22"/>
          <w:lang w:val="ru-RU"/>
        </w:rPr>
        <w:t xml:space="preserve"> </w:t>
      </w:r>
      <w:r w:rsidR="004854F1">
        <w:rPr>
          <w:i/>
          <w:sz w:val="22"/>
          <w:szCs w:val="22"/>
          <w:lang w:val="en-US"/>
        </w:rPr>
        <w:t>hoc</w:t>
      </w:r>
      <w:r w:rsidR="004854F1" w:rsidRPr="00BA684B">
        <w:rPr>
          <w:i/>
          <w:sz w:val="22"/>
          <w:szCs w:val="22"/>
          <w:lang w:val="ru-RU"/>
        </w:rPr>
        <w:t xml:space="preserve"> </w:t>
      </w:r>
      <w:r w:rsidR="004854F1">
        <w:rPr>
          <w:i/>
          <w:sz w:val="22"/>
          <w:szCs w:val="22"/>
        </w:rPr>
        <w:t>оценки, те ще бъдат възлагани при спазване на всички правила на ЗОП</w:t>
      </w:r>
      <w:r w:rsidRPr="003B6D44">
        <w:rPr>
          <w:i/>
          <w:sz w:val="22"/>
          <w:szCs w:val="22"/>
        </w:rPr>
        <w:t>.</w:t>
      </w:r>
    </w:p>
    <w:p w:rsidR="00722295" w:rsidRDefault="00722295" w:rsidP="00EB274A">
      <w:pPr>
        <w:jc w:val="both"/>
        <w:sectPr w:rsidR="00722295" w:rsidSect="004D26A1">
          <w:headerReference w:type="first" r:id="rId21"/>
          <w:pgSz w:w="15840" w:h="12240" w:orient="landscape" w:code="1"/>
          <w:pgMar w:top="1418" w:right="1418" w:bottom="1418" w:left="1418" w:header="567" w:footer="567" w:gutter="0"/>
          <w:cols w:space="720"/>
          <w:docGrid w:linePitch="360"/>
        </w:sectPr>
      </w:pPr>
    </w:p>
    <w:p w:rsidR="009232B4" w:rsidRDefault="00620A98" w:rsidP="00EB274A">
      <w:pPr>
        <w:pStyle w:val="Heading2"/>
        <w:jc w:val="both"/>
      </w:pPr>
      <w:bookmarkStart w:id="43" w:name="_Toc453078525"/>
      <w:r>
        <w:lastRenderedPageBreak/>
        <w:t>Стратегия за осигуряване качеството на оценката на ОПОС</w:t>
      </w:r>
      <w:bookmarkEnd w:id="43"/>
    </w:p>
    <w:p w:rsidR="00AC7E4D" w:rsidRDefault="00C46D74" w:rsidP="00EB274A">
      <w:pPr>
        <w:jc w:val="both"/>
      </w:pPr>
      <w:r>
        <w:t>УО</w:t>
      </w:r>
      <w:r w:rsidR="00AC7E4D">
        <w:t xml:space="preserve"> е отговорен за г</w:t>
      </w:r>
      <w:r w:rsidR="003B0D53">
        <w:t>арантирането на качество</w:t>
      </w:r>
      <w:r w:rsidR="00AC7E4D">
        <w:t>то</w:t>
      </w:r>
      <w:r w:rsidR="003B0D53">
        <w:t xml:space="preserve"> на оценителния процес</w:t>
      </w:r>
      <w:r w:rsidR="00AC7E4D">
        <w:t>. Установяването на ясна стратегия за осигуряв</w:t>
      </w:r>
      <w:r w:rsidR="007008E2">
        <w:t>ане на качеството на оценката на</w:t>
      </w:r>
      <w:r w:rsidR="00AC7E4D">
        <w:t xml:space="preserve"> ОПОС 2014-2020</w:t>
      </w:r>
      <w:r w:rsidR="007008E2">
        <w:t xml:space="preserve"> г.</w:t>
      </w:r>
      <w:r w:rsidR="003B0D53">
        <w:t xml:space="preserve"> е от съществено значение за получаване на стойностен и използваем краен продукт от всяка оценка. </w:t>
      </w:r>
    </w:p>
    <w:p w:rsidR="008A5A58" w:rsidRDefault="008A5A58" w:rsidP="00EB274A">
      <w:pPr>
        <w:jc w:val="both"/>
        <w:rPr>
          <w:b/>
        </w:rPr>
      </w:pPr>
      <w:r>
        <w:t xml:space="preserve">С оглед осигуряването на високо качество на оценката </w:t>
      </w:r>
      <w:r w:rsidR="00C46D74">
        <w:t>УО</w:t>
      </w:r>
      <w:r>
        <w:t xml:space="preserve"> ще организира планирането и провеждането на оценка на ОПОС през програмния период на базата на следните </w:t>
      </w:r>
      <w:r w:rsidRPr="008A5A58">
        <w:rPr>
          <w:b/>
        </w:rPr>
        <w:t>стандарти за оценка:</w:t>
      </w:r>
    </w:p>
    <w:p w:rsidR="0076659A" w:rsidRDefault="007008E2" w:rsidP="00EB274A">
      <w:pPr>
        <w:pStyle w:val="ListBullet"/>
        <w:jc w:val="both"/>
      </w:pPr>
      <w:r>
        <w:t>о</w:t>
      </w:r>
      <w:r w:rsidR="0076659A">
        <w:t xml:space="preserve">безпечаване на необходимия капацитет за оценка </w:t>
      </w:r>
      <w:r w:rsidR="0076659A" w:rsidRPr="00434F57">
        <w:rPr>
          <w:lang w:val="ru-RU"/>
        </w:rPr>
        <w:t>(</w:t>
      </w:r>
      <w:r w:rsidR="0076659A">
        <w:t>достатъчен финансов и човешки ресурс</w:t>
      </w:r>
      <w:r w:rsidR="0076659A" w:rsidRPr="00434F57">
        <w:rPr>
          <w:lang w:val="ru-RU"/>
        </w:rPr>
        <w:t>)</w:t>
      </w:r>
      <w:r w:rsidR="009F1238">
        <w:rPr>
          <w:lang w:val="ru-RU"/>
        </w:rPr>
        <w:t>;</w:t>
      </w:r>
    </w:p>
    <w:p w:rsidR="0076659A" w:rsidRDefault="007008E2" w:rsidP="00EB274A">
      <w:pPr>
        <w:pStyle w:val="ListBullet"/>
        <w:jc w:val="both"/>
      </w:pPr>
      <w:r>
        <w:t>ясно определяне и разпределение на отговорностите в областта на оценката</w:t>
      </w:r>
      <w:r w:rsidR="009F1238">
        <w:t>;</w:t>
      </w:r>
    </w:p>
    <w:p w:rsidR="008A5A58" w:rsidRDefault="007008E2" w:rsidP="00EB274A">
      <w:pPr>
        <w:pStyle w:val="ListBullet"/>
        <w:jc w:val="both"/>
      </w:pPr>
      <w:r>
        <w:t>добро планиране на процеса на оценка</w:t>
      </w:r>
      <w:r w:rsidR="009F1238">
        <w:t>;</w:t>
      </w:r>
    </w:p>
    <w:p w:rsidR="0076659A" w:rsidRDefault="007008E2" w:rsidP="00EB274A">
      <w:pPr>
        <w:pStyle w:val="ListBullet"/>
        <w:jc w:val="both"/>
      </w:pPr>
      <w:r>
        <w:t>осигуряване активно участие на партньорите и заинтересованите страни в процеса на оценка</w:t>
      </w:r>
      <w:r w:rsidR="009F1238">
        <w:t>;</w:t>
      </w:r>
    </w:p>
    <w:p w:rsidR="0076659A" w:rsidRDefault="007008E2" w:rsidP="00EB274A">
      <w:pPr>
        <w:pStyle w:val="ListBullet"/>
        <w:jc w:val="both"/>
      </w:pPr>
      <w:r>
        <w:t>навременност на оценките – резултатите от оценката да са налице тогава, когато те имат значение за вземането на управленски решения</w:t>
      </w:r>
      <w:r w:rsidR="009F1238">
        <w:t>;</w:t>
      </w:r>
      <w:r>
        <w:t xml:space="preserve"> </w:t>
      </w:r>
    </w:p>
    <w:p w:rsidR="0076659A" w:rsidRDefault="007008E2" w:rsidP="00EB274A">
      <w:pPr>
        <w:pStyle w:val="ListBullet"/>
        <w:jc w:val="both"/>
      </w:pPr>
      <w:r>
        <w:t>осигуряване прозрачност на процеса на оценка</w:t>
      </w:r>
      <w:r w:rsidR="009F1238">
        <w:t>;</w:t>
      </w:r>
    </w:p>
    <w:p w:rsidR="0076659A" w:rsidRDefault="007008E2" w:rsidP="00EB274A">
      <w:pPr>
        <w:pStyle w:val="ListBullet"/>
        <w:jc w:val="both"/>
      </w:pPr>
      <w:r>
        <w:t>функционална независимост на оценителите</w:t>
      </w:r>
      <w:r w:rsidR="009F1238">
        <w:t>;</w:t>
      </w:r>
    </w:p>
    <w:p w:rsidR="0076659A" w:rsidRDefault="007008E2" w:rsidP="00EB274A">
      <w:pPr>
        <w:pStyle w:val="ListBullet"/>
        <w:jc w:val="both"/>
      </w:pPr>
      <w:r>
        <w:t>използване на утвърдени и подходящи методи за оценка</w:t>
      </w:r>
      <w:r w:rsidR="009F1238">
        <w:t>;</w:t>
      </w:r>
    </w:p>
    <w:p w:rsidR="0076659A" w:rsidRDefault="007008E2" w:rsidP="00EB274A">
      <w:pPr>
        <w:pStyle w:val="ListBullet"/>
        <w:jc w:val="both"/>
      </w:pPr>
      <w:r>
        <w:t>надеждност и достоверност на резултатите от оценката</w:t>
      </w:r>
      <w:r w:rsidR="009F1238">
        <w:t>;</w:t>
      </w:r>
    </w:p>
    <w:p w:rsidR="0076659A" w:rsidRDefault="007008E2" w:rsidP="00EB274A">
      <w:pPr>
        <w:pStyle w:val="ListBullet"/>
        <w:jc w:val="both"/>
      </w:pPr>
      <w:r>
        <w:t>осигуряване на широко оповестяване на резултатите от оценката</w:t>
      </w:r>
      <w:r w:rsidR="009F1238">
        <w:t>;</w:t>
      </w:r>
    </w:p>
    <w:p w:rsidR="008063CE" w:rsidRDefault="007008E2" w:rsidP="00EB274A">
      <w:pPr>
        <w:pStyle w:val="ListBullet"/>
        <w:jc w:val="both"/>
      </w:pPr>
      <w:r>
        <w:t xml:space="preserve">задължителни компоненти в структурата на доклада за оценка: резюме, цели на оценката, методология, източници на информация, </w:t>
      </w:r>
      <w:r w:rsidR="00D10C3C">
        <w:t>основни въпроси</w:t>
      </w:r>
      <w:r>
        <w:t xml:space="preserve"> на оценката, анализ </w:t>
      </w:r>
      <w:r w:rsidR="00D10C3C">
        <w:t xml:space="preserve">и оценка </w:t>
      </w:r>
      <w:r>
        <w:t>на събраната информация, изводи и препоръки</w:t>
      </w:r>
      <w:r w:rsidR="009F1238">
        <w:t>.</w:t>
      </w:r>
    </w:p>
    <w:p w:rsidR="008063CE" w:rsidRDefault="008063CE" w:rsidP="00EB274A">
      <w:pPr>
        <w:jc w:val="both"/>
      </w:pPr>
      <w:r>
        <w:t>Гореописаните стандарти за оценка са задължителни и се прилагат от всички участници в процеса на оценка на ОПОС 2014-2020</w:t>
      </w:r>
      <w:r w:rsidR="00D10C3C">
        <w:t xml:space="preserve"> г.</w:t>
      </w:r>
      <w:r w:rsidR="009A1C4C">
        <w:t xml:space="preserve"> съобразно тяхната роля и компетентност в рамките на дейностите по оценка на ОПОС.</w:t>
      </w:r>
      <w:r w:rsidR="007008E2">
        <w:t xml:space="preserve"> Те са съобразени с препоръките на ЕК, изложени в ръководствата и насоките за оценка на оперативните програми.</w:t>
      </w:r>
    </w:p>
    <w:p w:rsidR="00643406" w:rsidRDefault="00643406" w:rsidP="00EB274A">
      <w:pPr>
        <w:jc w:val="both"/>
        <w:rPr>
          <w:b/>
        </w:rPr>
      </w:pPr>
      <w:r>
        <w:t xml:space="preserve">За да осигури качеството на оценката на ОПОС </w:t>
      </w:r>
      <w:r w:rsidR="00C46D74">
        <w:t>УО</w:t>
      </w:r>
      <w:r>
        <w:t xml:space="preserve"> ще прилага </w:t>
      </w:r>
      <w:r w:rsidRPr="00643406">
        <w:rPr>
          <w:b/>
        </w:rPr>
        <w:t>подходяща комбинация от вътрешни и външни мерки за контрол на качеството.</w:t>
      </w:r>
    </w:p>
    <w:p w:rsidR="00FE28A7" w:rsidRDefault="00FE28A7" w:rsidP="00EB274A">
      <w:pPr>
        <w:pStyle w:val="ListParagraph"/>
        <w:numPr>
          <w:ilvl w:val="0"/>
          <w:numId w:val="11"/>
        </w:numPr>
        <w:jc w:val="both"/>
      </w:pPr>
      <w:r w:rsidRPr="00FE28A7">
        <w:rPr>
          <w:b/>
        </w:rPr>
        <w:lastRenderedPageBreak/>
        <w:t xml:space="preserve">Вътрешни мерки за контрол на качеството </w:t>
      </w:r>
      <w:r>
        <w:rPr>
          <w:b/>
        </w:rPr>
        <w:t>на оценката на ОПОС</w:t>
      </w:r>
    </w:p>
    <w:p w:rsidR="003B0D53" w:rsidRDefault="00AC7E4D" w:rsidP="00EB274A">
      <w:pPr>
        <w:jc w:val="both"/>
      </w:pPr>
      <w:r>
        <w:t xml:space="preserve">В СУК и Процедурния наръчник на ГД ОПОС са разписани всички </w:t>
      </w:r>
      <w:r w:rsidRPr="00E31C3E">
        <w:rPr>
          <w:b/>
        </w:rPr>
        <w:t xml:space="preserve">вътрешни мерки, използвани </w:t>
      </w:r>
      <w:r w:rsidR="009A1C4C">
        <w:rPr>
          <w:b/>
        </w:rPr>
        <w:t xml:space="preserve">от </w:t>
      </w:r>
      <w:r w:rsidR="00C46D74">
        <w:rPr>
          <w:b/>
        </w:rPr>
        <w:t>УО</w:t>
      </w:r>
      <w:r w:rsidR="009A1C4C">
        <w:rPr>
          <w:b/>
        </w:rPr>
        <w:t>, за осигуряване</w:t>
      </w:r>
      <w:r w:rsidRPr="00E31C3E">
        <w:rPr>
          <w:b/>
        </w:rPr>
        <w:t xml:space="preserve"> качеството на оценката:</w:t>
      </w:r>
      <w:r w:rsidR="003B0D53">
        <w:t xml:space="preserve"> </w:t>
      </w:r>
    </w:p>
    <w:p w:rsidR="003B0D53" w:rsidRDefault="00AC7E4D" w:rsidP="00EB274A">
      <w:pPr>
        <w:pStyle w:val="ListBullet"/>
        <w:jc w:val="both"/>
      </w:pPr>
      <w:r w:rsidRPr="00E31C3E">
        <w:rPr>
          <w:b/>
        </w:rPr>
        <w:t>Мерки за ефективно</w:t>
      </w:r>
      <w:r w:rsidR="003B0D53">
        <w:t xml:space="preserve"> </w:t>
      </w:r>
      <w:r>
        <w:rPr>
          <w:b/>
        </w:rPr>
        <w:t>планиране</w:t>
      </w:r>
      <w:r w:rsidR="003B0D53">
        <w:rPr>
          <w:b/>
        </w:rPr>
        <w:t xml:space="preserve"> и дизайн на оценките</w:t>
      </w:r>
      <w:r w:rsidR="003B0D53">
        <w:t xml:space="preserve"> (</w:t>
      </w:r>
      <w:r>
        <w:t xml:space="preserve">в т.ч. разработване на </w:t>
      </w:r>
      <w:r w:rsidR="0003049A">
        <w:t>документация</w:t>
      </w:r>
      <w:r>
        <w:t xml:space="preserve"> за </w:t>
      </w:r>
      <w:r w:rsidR="00CE3C06">
        <w:t>възлагане</w:t>
      </w:r>
      <w:r>
        <w:t xml:space="preserve"> на обществени поръчки за избор на външни независими оценители за провеждане на оценка</w:t>
      </w:r>
      <w:r w:rsidR="003B0D53">
        <w:t>);</w:t>
      </w:r>
    </w:p>
    <w:p w:rsidR="003B0D53" w:rsidRDefault="00E31C3E" w:rsidP="00EB274A">
      <w:pPr>
        <w:pStyle w:val="ListBullet"/>
        <w:jc w:val="both"/>
      </w:pPr>
      <w:r w:rsidRPr="00E31C3E">
        <w:rPr>
          <w:b/>
        </w:rPr>
        <w:t>Мерки за гарантиране на качеството на</w:t>
      </w:r>
      <w:r w:rsidR="003B0D53">
        <w:t xml:space="preserve"> </w:t>
      </w:r>
      <w:r>
        <w:rPr>
          <w:b/>
        </w:rPr>
        <w:t xml:space="preserve">провежданите </w:t>
      </w:r>
      <w:r w:rsidR="003B0D53">
        <w:rPr>
          <w:b/>
        </w:rPr>
        <w:t>оценки</w:t>
      </w:r>
      <w:r>
        <w:rPr>
          <w:b/>
        </w:rPr>
        <w:t xml:space="preserve"> и </w:t>
      </w:r>
      <w:r w:rsidR="001059B9">
        <w:rPr>
          <w:b/>
        </w:rPr>
        <w:t>качеството на докладите за оценка</w:t>
      </w:r>
      <w:r w:rsidR="005A3CA3">
        <w:rPr>
          <w:b/>
        </w:rPr>
        <w:t>;</w:t>
      </w:r>
    </w:p>
    <w:p w:rsidR="003B0D53" w:rsidRDefault="00E31C3E" w:rsidP="00EB274A">
      <w:pPr>
        <w:pStyle w:val="ListBullet"/>
        <w:jc w:val="both"/>
      </w:pPr>
      <w:r>
        <w:t>Мерки за гарантиране на качеството на</w:t>
      </w:r>
      <w:r w:rsidR="003B0D53">
        <w:t xml:space="preserve"> </w:t>
      </w:r>
      <w:r w:rsidR="003B0D53">
        <w:rPr>
          <w:b/>
        </w:rPr>
        <w:t xml:space="preserve">системата за </w:t>
      </w:r>
      <w:r w:rsidR="009D130A">
        <w:rPr>
          <w:b/>
        </w:rPr>
        <w:t>мониторинг</w:t>
      </w:r>
      <w:r w:rsidR="003B0D53">
        <w:rPr>
          <w:b/>
        </w:rPr>
        <w:t xml:space="preserve"> и генерираните от нея данни</w:t>
      </w:r>
      <w:r w:rsidR="005A3CA3">
        <w:rPr>
          <w:b/>
        </w:rPr>
        <w:t>.</w:t>
      </w:r>
    </w:p>
    <w:p w:rsidR="003B0D53" w:rsidRDefault="001059B9" w:rsidP="00EB274A">
      <w:pPr>
        <w:jc w:val="both"/>
      </w:pPr>
      <w:r>
        <w:t>Е</w:t>
      </w:r>
      <w:r w:rsidR="003B0D53">
        <w:t xml:space="preserve">кспертите </w:t>
      </w:r>
      <w:r>
        <w:t>от</w:t>
      </w:r>
      <w:r w:rsidR="003B0D53">
        <w:t xml:space="preserve"> отдел П</w:t>
      </w:r>
      <w:r>
        <w:t>П, ангажирани с процеса на оценка,</w:t>
      </w:r>
      <w:r w:rsidR="003B0D53">
        <w:t xml:space="preserve"> ще спазват стриктно </w:t>
      </w:r>
      <w:r>
        <w:t>процедурния ред за планиране и изпълнение на оценки на ОПОС, описан в Процедурния наръчник на ГД ОПОС и представен в т. 3.2.1 на настоящия документ. Експертите изпълняват задълженията си при спазване на европейските и национални нормативни</w:t>
      </w:r>
      <w:r w:rsidR="003B0D53">
        <w:t xml:space="preserve"> </w:t>
      </w:r>
      <w:r>
        <w:t>изисква</w:t>
      </w:r>
      <w:r w:rsidR="007571C2">
        <w:t>н</w:t>
      </w:r>
      <w:r>
        <w:t>ия към оценката,</w:t>
      </w:r>
      <w:r w:rsidR="003B0D53">
        <w:t xml:space="preserve"> </w:t>
      </w:r>
      <w:r>
        <w:t xml:space="preserve">методическите ръководства и насоки на ЕК в областта на оценката </w:t>
      </w:r>
      <w:r w:rsidR="003B0D53">
        <w:t>и Закона за обществените поръчки</w:t>
      </w:r>
      <w:r>
        <w:t xml:space="preserve"> по отношение организацията на самото възлагане на оценката на външен изпълнител</w:t>
      </w:r>
      <w:r w:rsidR="003B0D53">
        <w:t>.</w:t>
      </w:r>
    </w:p>
    <w:p w:rsidR="00DA2630" w:rsidRDefault="007571C2" w:rsidP="00EB274A">
      <w:pPr>
        <w:jc w:val="both"/>
      </w:pPr>
      <w:r>
        <w:t>При</w:t>
      </w:r>
      <w:r w:rsidR="00DA2630">
        <w:t xml:space="preserve"> планирането на дизайна на бъдещите оценки и разработването на техническите спецификации за</w:t>
      </w:r>
      <w:r w:rsidR="00643406">
        <w:t xml:space="preserve"> възлагане на оценка</w:t>
      </w:r>
      <w:r w:rsidR="00DA2630">
        <w:t xml:space="preserve">, експертите от отдел ПП съвместно с отдел ККТП, се ръководят от минималните изисквания към съдържанието на този вид документация, посочени в насоките на ЕК. Техническите спецификации ще съдържат като минимум следната информация: обща информация за ОПОС </w:t>
      </w:r>
      <w:r>
        <w:t xml:space="preserve">2014-2020 г. </w:t>
      </w:r>
      <w:r w:rsidR="00DA2630">
        <w:t xml:space="preserve">и контекст; предназначение и целева аудитория на оценката; цел и обхват на оценката; </w:t>
      </w:r>
      <w:r w:rsidR="00C51F5C">
        <w:t>основни въпроси</w:t>
      </w:r>
      <w:r w:rsidR="00DA2630">
        <w:t xml:space="preserve"> на оценката; методология на оценката; график и очаквани резултати от оценката; изисквания към числеността и компетенциите на оценителния екип; условия по изпълнение на поръчката; прогнозен бюджет и условия за плащане; условия за изготвяне на оферта за оценката</w:t>
      </w:r>
      <w:r w:rsidR="00643406">
        <w:t>.</w:t>
      </w:r>
    </w:p>
    <w:p w:rsidR="00C51F5C" w:rsidRPr="00FE28A7" w:rsidRDefault="00C51F5C" w:rsidP="00EB274A">
      <w:pPr>
        <w:jc w:val="both"/>
      </w:pPr>
      <w:r>
        <w:t xml:space="preserve">Друг </w:t>
      </w:r>
      <w:r w:rsidR="00FE28A7">
        <w:t>важен момент в обезпечаването на качествено изпълнение на оценката</w:t>
      </w:r>
      <w:r>
        <w:t xml:space="preserve"> е включване</w:t>
      </w:r>
      <w:r w:rsidR="00FE28A7">
        <w:t>то в условията на техническата спецификация на</w:t>
      </w:r>
      <w:r>
        <w:t xml:space="preserve"> изискване към външните оценители да представят </w:t>
      </w:r>
      <w:r w:rsidR="00FE28A7">
        <w:t xml:space="preserve">като резултати от изпълнението на договора за оценка встъпителен доклад, проект на доклад за оценка и окончателен доклад от оценката. При отчитане на </w:t>
      </w:r>
      <w:proofErr w:type="spellStart"/>
      <w:r w:rsidR="00FE28A7">
        <w:t>комплексността</w:t>
      </w:r>
      <w:proofErr w:type="spellEnd"/>
      <w:r w:rsidR="00FE28A7">
        <w:t xml:space="preserve"> на планираните оценки </w:t>
      </w:r>
      <w:r w:rsidR="00C46D74">
        <w:t>УО</w:t>
      </w:r>
      <w:r w:rsidR="00FE28A7">
        <w:t xml:space="preserve"> предвижда и възможността за залагане на изискване за представяне и на междинен доклад в разработваните технически </w:t>
      </w:r>
      <w:r w:rsidR="00FE28A7">
        <w:lastRenderedPageBreak/>
        <w:t xml:space="preserve">спецификации. Това ще увеличи възможностите на </w:t>
      </w:r>
      <w:r w:rsidR="00C46D74">
        <w:t>УО</w:t>
      </w:r>
      <w:r w:rsidR="00FE28A7">
        <w:t xml:space="preserve"> да осигурява ефективен и навременен контрол върху качеството на изпълняваната външна оценка. </w:t>
      </w:r>
    </w:p>
    <w:p w:rsidR="003B0D53" w:rsidRDefault="00643406" w:rsidP="00EB274A">
      <w:pPr>
        <w:jc w:val="both"/>
      </w:pPr>
      <w:r>
        <w:t xml:space="preserve">Впоследствие в хода на изпълнение на възложените оценки </w:t>
      </w:r>
      <w:r w:rsidR="00CE3C06">
        <w:t>документацията за възлагане на обществена поръчка</w:t>
      </w:r>
      <w:r w:rsidR="003B0D53">
        <w:t xml:space="preserve"> ще служ</w:t>
      </w:r>
      <w:r w:rsidR="00CE3C06">
        <w:t>и</w:t>
      </w:r>
      <w:r w:rsidR="003B0D53">
        <w:t xml:space="preserve"> и като инструмент за последващ контрол на изпълнението от страна на външния оценител и за гарантиране на качеството на </w:t>
      </w:r>
      <w:r>
        <w:t>докладите за оценка</w:t>
      </w:r>
      <w:r w:rsidR="003B0D53">
        <w:t>.</w:t>
      </w:r>
    </w:p>
    <w:p w:rsidR="00BF37FF" w:rsidRDefault="00643406" w:rsidP="00EB274A">
      <w:pPr>
        <w:jc w:val="both"/>
      </w:pPr>
      <w:r>
        <w:t>К</w:t>
      </w:r>
      <w:r w:rsidR="00BF37FF">
        <w:t>онтролът върху качеството на провежданите</w:t>
      </w:r>
      <w:r>
        <w:t xml:space="preserve"> </w:t>
      </w:r>
      <w:r w:rsidR="00BF37FF">
        <w:t xml:space="preserve">оценки от външни изпълнители и предоставяните доклади от оценки се извършва съвместно от </w:t>
      </w:r>
      <w:r>
        <w:t>експерти</w:t>
      </w:r>
      <w:r w:rsidR="00BF37FF">
        <w:t>те</w:t>
      </w:r>
      <w:r>
        <w:t xml:space="preserve"> по оценка на отдел ПП и отдел ККТП по</w:t>
      </w:r>
      <w:r w:rsidR="00BF37FF">
        <w:t xml:space="preserve"> установена процедура, съгласно Процедурния наръчник на ГД ОПОС</w:t>
      </w:r>
      <w:r>
        <w:t xml:space="preserve">. </w:t>
      </w:r>
    </w:p>
    <w:p w:rsidR="00643406" w:rsidRPr="00643406" w:rsidRDefault="00643406" w:rsidP="00EB274A">
      <w:pPr>
        <w:jc w:val="both"/>
      </w:pPr>
      <w:r w:rsidRPr="00643406">
        <w:t xml:space="preserve">За онагледяване на резултатите от осъществявания контрол </w:t>
      </w:r>
      <w:r w:rsidR="00BF37FF">
        <w:t xml:space="preserve">по време на фазите на планиране, изпълнение и одобрение на резултатите от конкретни оценки </w:t>
      </w:r>
      <w:r w:rsidRPr="00643406">
        <w:t>е разработен специален контролен лист</w:t>
      </w:r>
      <w:r w:rsidR="00BF37FF">
        <w:t xml:space="preserve"> в Процедурния наръчник на ГД ОПОС</w:t>
      </w:r>
      <w:r w:rsidRPr="00643406">
        <w:t xml:space="preserve">, по който да се проследява и проверява изпълнението на оценките и съответствието на съдържанието и обхвата на докладите с всички изисквания на </w:t>
      </w:r>
      <w:r w:rsidR="00C46D74">
        <w:t>УО</w:t>
      </w:r>
      <w:r w:rsidR="00073DDB">
        <w:t>, на приложимото законодателство и насоките на ЕК в областта на оценката</w:t>
      </w:r>
      <w:r w:rsidRPr="00643406">
        <w:t>.</w:t>
      </w:r>
    </w:p>
    <w:p w:rsidR="000C76B9" w:rsidRDefault="000C76B9" w:rsidP="00EB274A">
      <w:pPr>
        <w:jc w:val="both"/>
        <w:rPr>
          <w:lang w:val="ru-RU"/>
        </w:rPr>
      </w:pPr>
      <w:proofErr w:type="spellStart"/>
      <w:r>
        <w:rPr>
          <w:lang w:val="ru-RU"/>
        </w:rPr>
        <w:t>Мерките</w:t>
      </w:r>
      <w:proofErr w:type="spellEnd"/>
      <w:r>
        <w:rPr>
          <w:lang w:val="ru-RU"/>
        </w:rPr>
        <w:t xml:space="preserve"> за </w:t>
      </w:r>
      <w:proofErr w:type="spellStart"/>
      <w:r>
        <w:rPr>
          <w:lang w:val="ru-RU"/>
        </w:rPr>
        <w:t>осигуряване</w:t>
      </w:r>
      <w:proofErr w:type="spellEnd"/>
      <w:r>
        <w:rPr>
          <w:lang w:val="ru-RU"/>
        </w:rPr>
        <w:t xml:space="preserve"> </w:t>
      </w:r>
      <w:proofErr w:type="spellStart"/>
      <w:r>
        <w:rPr>
          <w:lang w:val="ru-RU"/>
        </w:rPr>
        <w:t>качеството</w:t>
      </w:r>
      <w:proofErr w:type="spellEnd"/>
      <w:r>
        <w:rPr>
          <w:lang w:val="ru-RU"/>
        </w:rPr>
        <w:t xml:space="preserve"> по отношение </w:t>
      </w:r>
      <w:proofErr w:type="spellStart"/>
      <w:r>
        <w:rPr>
          <w:lang w:val="ru-RU"/>
        </w:rPr>
        <w:t>процеса</w:t>
      </w:r>
      <w:proofErr w:type="spellEnd"/>
      <w:r>
        <w:rPr>
          <w:lang w:val="ru-RU"/>
        </w:rPr>
        <w:t xml:space="preserve"> на </w:t>
      </w:r>
      <w:proofErr w:type="spellStart"/>
      <w:r>
        <w:rPr>
          <w:lang w:val="ru-RU"/>
        </w:rPr>
        <w:t>събиране</w:t>
      </w:r>
      <w:proofErr w:type="spellEnd"/>
      <w:r>
        <w:rPr>
          <w:lang w:val="ru-RU"/>
        </w:rPr>
        <w:t xml:space="preserve"> и обработка на мониторингови </w:t>
      </w:r>
      <w:proofErr w:type="spellStart"/>
      <w:r>
        <w:rPr>
          <w:lang w:val="ru-RU"/>
        </w:rPr>
        <w:t>данни</w:t>
      </w:r>
      <w:proofErr w:type="spellEnd"/>
      <w:r>
        <w:rPr>
          <w:lang w:val="ru-RU"/>
        </w:rPr>
        <w:t xml:space="preserve">, </w:t>
      </w:r>
      <w:proofErr w:type="spellStart"/>
      <w:r>
        <w:rPr>
          <w:lang w:val="ru-RU"/>
        </w:rPr>
        <w:t>които</w:t>
      </w:r>
      <w:proofErr w:type="spellEnd"/>
      <w:r>
        <w:rPr>
          <w:lang w:val="ru-RU"/>
        </w:rPr>
        <w:t xml:space="preserve"> служат за </w:t>
      </w:r>
      <w:proofErr w:type="spellStart"/>
      <w:r>
        <w:rPr>
          <w:lang w:val="ru-RU"/>
        </w:rPr>
        <w:t>обезпечаване</w:t>
      </w:r>
      <w:proofErr w:type="spellEnd"/>
      <w:r>
        <w:rPr>
          <w:lang w:val="ru-RU"/>
        </w:rPr>
        <w:t xml:space="preserve"> на </w:t>
      </w:r>
      <w:proofErr w:type="spellStart"/>
      <w:r>
        <w:rPr>
          <w:lang w:val="ru-RU"/>
        </w:rPr>
        <w:t>оценката</w:t>
      </w:r>
      <w:proofErr w:type="spellEnd"/>
      <w:r>
        <w:rPr>
          <w:lang w:val="ru-RU"/>
        </w:rPr>
        <w:t xml:space="preserve">, се </w:t>
      </w:r>
      <w:proofErr w:type="spellStart"/>
      <w:r>
        <w:rPr>
          <w:lang w:val="ru-RU"/>
        </w:rPr>
        <w:t>реализират</w:t>
      </w:r>
      <w:proofErr w:type="spellEnd"/>
      <w:r>
        <w:rPr>
          <w:lang w:val="ru-RU"/>
        </w:rPr>
        <w:t xml:space="preserve"> в 2 </w:t>
      </w:r>
      <w:proofErr w:type="spellStart"/>
      <w:r>
        <w:rPr>
          <w:lang w:val="ru-RU"/>
        </w:rPr>
        <w:t>основни</w:t>
      </w:r>
      <w:proofErr w:type="spellEnd"/>
      <w:r>
        <w:rPr>
          <w:lang w:val="ru-RU"/>
        </w:rPr>
        <w:t xml:space="preserve"> направления – </w:t>
      </w:r>
      <w:proofErr w:type="spellStart"/>
      <w:r>
        <w:rPr>
          <w:lang w:val="ru-RU"/>
        </w:rPr>
        <w:t>обезпечаване</w:t>
      </w:r>
      <w:proofErr w:type="spellEnd"/>
      <w:r>
        <w:rPr>
          <w:lang w:val="ru-RU"/>
        </w:rPr>
        <w:t xml:space="preserve"> </w:t>
      </w:r>
      <w:proofErr w:type="spellStart"/>
      <w:r>
        <w:rPr>
          <w:lang w:val="ru-RU"/>
        </w:rPr>
        <w:t>качеството</w:t>
      </w:r>
      <w:proofErr w:type="spellEnd"/>
      <w:r>
        <w:rPr>
          <w:lang w:val="ru-RU"/>
        </w:rPr>
        <w:t xml:space="preserve"> </w:t>
      </w:r>
      <w:proofErr w:type="gramStart"/>
      <w:r>
        <w:rPr>
          <w:lang w:val="ru-RU"/>
        </w:rPr>
        <w:t>на</w:t>
      </w:r>
      <w:proofErr w:type="gramEnd"/>
      <w:r>
        <w:rPr>
          <w:lang w:val="ru-RU"/>
        </w:rPr>
        <w:t xml:space="preserve"> </w:t>
      </w:r>
      <w:proofErr w:type="spellStart"/>
      <w:r>
        <w:rPr>
          <w:lang w:val="ru-RU"/>
        </w:rPr>
        <w:t>компютъризираната</w:t>
      </w:r>
      <w:proofErr w:type="spellEnd"/>
      <w:r>
        <w:rPr>
          <w:lang w:val="ru-RU"/>
        </w:rPr>
        <w:t xml:space="preserve"> система за мониторинг и </w:t>
      </w:r>
      <w:proofErr w:type="spellStart"/>
      <w:r>
        <w:rPr>
          <w:lang w:val="ru-RU"/>
        </w:rPr>
        <w:t>установяване</w:t>
      </w:r>
      <w:proofErr w:type="spellEnd"/>
      <w:r>
        <w:rPr>
          <w:lang w:val="ru-RU"/>
        </w:rPr>
        <w:t xml:space="preserve"> на </w:t>
      </w:r>
      <w:proofErr w:type="spellStart"/>
      <w:r w:rsidR="00CB18E7">
        <w:rPr>
          <w:lang w:val="ru-RU"/>
        </w:rPr>
        <w:t>ползотворно</w:t>
      </w:r>
      <w:proofErr w:type="spellEnd"/>
      <w:r w:rsidR="00CB18E7">
        <w:rPr>
          <w:lang w:val="ru-RU"/>
        </w:rPr>
        <w:t xml:space="preserve"> </w:t>
      </w:r>
      <w:proofErr w:type="spellStart"/>
      <w:r>
        <w:rPr>
          <w:lang w:val="ru-RU"/>
        </w:rPr>
        <w:t>сътрудничество</w:t>
      </w:r>
      <w:proofErr w:type="spellEnd"/>
      <w:r>
        <w:rPr>
          <w:lang w:val="ru-RU"/>
        </w:rPr>
        <w:t xml:space="preserve"> с НСИ.</w:t>
      </w:r>
    </w:p>
    <w:p w:rsidR="00FD1A79" w:rsidRDefault="00FE30E7" w:rsidP="00EB274A">
      <w:pPr>
        <w:jc w:val="both"/>
        <w:rPr>
          <w:lang w:val="ru-RU"/>
        </w:rPr>
      </w:pPr>
      <w:proofErr w:type="spellStart"/>
      <w:r>
        <w:rPr>
          <w:lang w:val="ru-RU"/>
        </w:rPr>
        <w:t>Записването</w:t>
      </w:r>
      <w:proofErr w:type="spellEnd"/>
      <w:r>
        <w:rPr>
          <w:lang w:val="ru-RU"/>
        </w:rPr>
        <w:t xml:space="preserve"> и </w:t>
      </w:r>
      <w:proofErr w:type="spellStart"/>
      <w:r>
        <w:rPr>
          <w:lang w:val="ru-RU"/>
        </w:rPr>
        <w:t>съхранението</w:t>
      </w:r>
      <w:proofErr w:type="spellEnd"/>
      <w:r>
        <w:rPr>
          <w:lang w:val="ru-RU"/>
        </w:rPr>
        <w:t xml:space="preserve"> на </w:t>
      </w:r>
      <w:proofErr w:type="spellStart"/>
      <w:r>
        <w:rPr>
          <w:lang w:val="ru-RU"/>
        </w:rPr>
        <w:t>данни</w:t>
      </w:r>
      <w:proofErr w:type="spellEnd"/>
      <w:r>
        <w:rPr>
          <w:lang w:val="ru-RU"/>
        </w:rPr>
        <w:t xml:space="preserve">, </w:t>
      </w:r>
      <w:proofErr w:type="spellStart"/>
      <w:r>
        <w:rPr>
          <w:lang w:val="ru-RU"/>
        </w:rPr>
        <w:t>отнасящи</w:t>
      </w:r>
      <w:proofErr w:type="spellEnd"/>
      <w:r>
        <w:rPr>
          <w:lang w:val="ru-RU"/>
        </w:rPr>
        <w:t xml:space="preserve"> се до ОПОС 2014-2020 г., </w:t>
      </w:r>
      <w:proofErr w:type="spellStart"/>
      <w:r>
        <w:rPr>
          <w:lang w:val="ru-RU"/>
        </w:rPr>
        <w:t>включително</w:t>
      </w:r>
      <w:proofErr w:type="spellEnd"/>
      <w:r>
        <w:rPr>
          <w:lang w:val="ru-RU"/>
        </w:rPr>
        <w:t xml:space="preserve"> мониторингови </w:t>
      </w:r>
      <w:proofErr w:type="spellStart"/>
      <w:r>
        <w:rPr>
          <w:lang w:val="ru-RU"/>
        </w:rPr>
        <w:t>данни</w:t>
      </w:r>
      <w:proofErr w:type="spellEnd"/>
      <w:r w:rsidR="000C76B9">
        <w:rPr>
          <w:lang w:val="ru-RU"/>
        </w:rPr>
        <w:t xml:space="preserve">, </w:t>
      </w:r>
      <w:proofErr w:type="spellStart"/>
      <w:r w:rsidR="000C76B9">
        <w:rPr>
          <w:lang w:val="ru-RU"/>
        </w:rPr>
        <w:t>които</w:t>
      </w:r>
      <w:proofErr w:type="spellEnd"/>
      <w:r w:rsidR="000C76B9">
        <w:rPr>
          <w:lang w:val="ru-RU"/>
        </w:rPr>
        <w:t xml:space="preserve"> </w:t>
      </w:r>
      <w:proofErr w:type="spellStart"/>
      <w:r w:rsidR="000C76B9">
        <w:rPr>
          <w:lang w:val="ru-RU"/>
        </w:rPr>
        <w:t>са</w:t>
      </w:r>
      <w:proofErr w:type="spellEnd"/>
      <w:r w:rsidR="000C76B9">
        <w:rPr>
          <w:lang w:val="ru-RU"/>
        </w:rPr>
        <w:t xml:space="preserve"> </w:t>
      </w:r>
      <w:proofErr w:type="spellStart"/>
      <w:r w:rsidR="000C76B9">
        <w:rPr>
          <w:lang w:val="ru-RU"/>
        </w:rPr>
        <w:t>значими</w:t>
      </w:r>
      <w:proofErr w:type="spellEnd"/>
      <w:r w:rsidR="000C76B9">
        <w:rPr>
          <w:lang w:val="ru-RU"/>
        </w:rPr>
        <w:t xml:space="preserve"> за </w:t>
      </w:r>
      <w:proofErr w:type="spellStart"/>
      <w:r w:rsidR="000C76B9">
        <w:rPr>
          <w:lang w:val="ru-RU"/>
        </w:rPr>
        <w:t>правилното</w:t>
      </w:r>
      <w:proofErr w:type="spellEnd"/>
      <w:r w:rsidR="000C76B9">
        <w:rPr>
          <w:lang w:val="ru-RU"/>
        </w:rPr>
        <w:t xml:space="preserve"> </w:t>
      </w:r>
      <w:proofErr w:type="spellStart"/>
      <w:r w:rsidR="000C76B9">
        <w:rPr>
          <w:lang w:val="ru-RU"/>
        </w:rPr>
        <w:t>провеждане</w:t>
      </w:r>
      <w:proofErr w:type="spellEnd"/>
      <w:r w:rsidR="000C76B9">
        <w:rPr>
          <w:lang w:val="ru-RU"/>
        </w:rPr>
        <w:t xml:space="preserve"> на оценка на ОПОС</w:t>
      </w:r>
      <w:r>
        <w:rPr>
          <w:lang w:val="ru-RU"/>
        </w:rPr>
        <w:t xml:space="preserve"> и </w:t>
      </w:r>
      <w:proofErr w:type="spellStart"/>
      <w:r>
        <w:rPr>
          <w:lang w:val="ru-RU"/>
        </w:rPr>
        <w:t>обменът</w:t>
      </w:r>
      <w:proofErr w:type="spellEnd"/>
      <w:r>
        <w:rPr>
          <w:lang w:val="ru-RU"/>
        </w:rPr>
        <w:t xml:space="preserve"> на информация с </w:t>
      </w:r>
      <w:proofErr w:type="spellStart"/>
      <w:r w:rsidR="000C76B9">
        <w:rPr>
          <w:lang w:val="ru-RU"/>
        </w:rPr>
        <w:t>бенефициентите</w:t>
      </w:r>
      <w:proofErr w:type="spellEnd"/>
      <w:r w:rsidR="000C76B9">
        <w:rPr>
          <w:lang w:val="ru-RU"/>
        </w:rPr>
        <w:t xml:space="preserve"> на </w:t>
      </w:r>
      <w:proofErr w:type="spellStart"/>
      <w:r w:rsidR="000C76B9">
        <w:rPr>
          <w:lang w:val="ru-RU"/>
        </w:rPr>
        <w:t>програмата</w:t>
      </w:r>
      <w:proofErr w:type="spellEnd"/>
      <w:r w:rsidR="000C76B9">
        <w:rPr>
          <w:lang w:val="ru-RU"/>
        </w:rPr>
        <w:t xml:space="preserve"> </w:t>
      </w:r>
      <w:r>
        <w:rPr>
          <w:lang w:val="ru-RU"/>
        </w:rPr>
        <w:t xml:space="preserve">се </w:t>
      </w:r>
      <w:proofErr w:type="spellStart"/>
      <w:r>
        <w:rPr>
          <w:lang w:val="ru-RU"/>
        </w:rPr>
        <w:t>извършва</w:t>
      </w:r>
      <w:proofErr w:type="spellEnd"/>
      <w:r>
        <w:rPr>
          <w:lang w:val="ru-RU"/>
        </w:rPr>
        <w:t xml:space="preserve"> чрез </w:t>
      </w:r>
      <w:proofErr w:type="spellStart"/>
      <w:r>
        <w:rPr>
          <w:lang w:val="ru-RU"/>
        </w:rPr>
        <w:t>Информационната</w:t>
      </w:r>
      <w:proofErr w:type="spellEnd"/>
      <w:r>
        <w:rPr>
          <w:lang w:val="ru-RU"/>
        </w:rPr>
        <w:t xml:space="preserve"> система за управление и наблюдение за </w:t>
      </w:r>
      <w:proofErr w:type="spellStart"/>
      <w:r>
        <w:rPr>
          <w:lang w:val="ru-RU"/>
        </w:rPr>
        <w:t>програмния</w:t>
      </w:r>
      <w:proofErr w:type="spellEnd"/>
      <w:r>
        <w:rPr>
          <w:lang w:val="ru-RU"/>
        </w:rPr>
        <w:t xml:space="preserve"> период 2014-2020 г. (ИСУН 2020). ИСУН 2020 е </w:t>
      </w:r>
      <w:proofErr w:type="spellStart"/>
      <w:r>
        <w:rPr>
          <w:lang w:val="ru-RU"/>
        </w:rPr>
        <w:t>изградена</w:t>
      </w:r>
      <w:proofErr w:type="spellEnd"/>
      <w:r>
        <w:rPr>
          <w:lang w:val="ru-RU"/>
        </w:rPr>
        <w:t xml:space="preserve"> </w:t>
      </w:r>
      <w:proofErr w:type="spellStart"/>
      <w:r>
        <w:rPr>
          <w:lang w:val="ru-RU"/>
        </w:rPr>
        <w:t>като</w:t>
      </w:r>
      <w:proofErr w:type="spellEnd"/>
      <w:r>
        <w:rPr>
          <w:lang w:val="ru-RU"/>
        </w:rPr>
        <w:t xml:space="preserve"> </w:t>
      </w:r>
      <w:proofErr w:type="spellStart"/>
      <w:r>
        <w:rPr>
          <w:lang w:val="ru-RU"/>
        </w:rPr>
        <w:t>централизирана</w:t>
      </w:r>
      <w:proofErr w:type="spellEnd"/>
      <w:r>
        <w:rPr>
          <w:lang w:val="ru-RU"/>
        </w:rPr>
        <w:t xml:space="preserve"> база </w:t>
      </w:r>
      <w:proofErr w:type="spellStart"/>
      <w:r>
        <w:rPr>
          <w:lang w:val="ru-RU"/>
        </w:rPr>
        <w:t>данни</w:t>
      </w:r>
      <w:proofErr w:type="spellEnd"/>
      <w:r>
        <w:rPr>
          <w:lang w:val="ru-RU"/>
        </w:rPr>
        <w:t xml:space="preserve">, </w:t>
      </w:r>
      <w:proofErr w:type="spellStart"/>
      <w:r>
        <w:rPr>
          <w:lang w:val="ru-RU"/>
        </w:rPr>
        <w:t>инсталирана</w:t>
      </w:r>
      <w:proofErr w:type="spellEnd"/>
      <w:r>
        <w:rPr>
          <w:lang w:val="ru-RU"/>
        </w:rPr>
        <w:t xml:space="preserve"> в </w:t>
      </w:r>
      <w:proofErr w:type="spellStart"/>
      <w:r>
        <w:rPr>
          <w:lang w:val="ru-RU"/>
        </w:rPr>
        <w:t>Министерския</w:t>
      </w:r>
      <w:proofErr w:type="spellEnd"/>
      <w:r>
        <w:rPr>
          <w:lang w:val="ru-RU"/>
        </w:rPr>
        <w:t xml:space="preserve"> </w:t>
      </w:r>
      <w:proofErr w:type="spellStart"/>
      <w:r>
        <w:rPr>
          <w:lang w:val="ru-RU"/>
        </w:rPr>
        <w:t>съвет</w:t>
      </w:r>
      <w:proofErr w:type="spellEnd"/>
      <w:r>
        <w:rPr>
          <w:lang w:val="ru-RU"/>
        </w:rPr>
        <w:t xml:space="preserve">. ИСУН 2020 </w:t>
      </w:r>
      <w:proofErr w:type="spellStart"/>
      <w:r>
        <w:rPr>
          <w:lang w:val="ru-RU"/>
        </w:rPr>
        <w:t>има</w:t>
      </w:r>
      <w:proofErr w:type="spellEnd"/>
      <w:r>
        <w:rPr>
          <w:lang w:val="ru-RU"/>
        </w:rPr>
        <w:t xml:space="preserve"> </w:t>
      </w:r>
      <w:proofErr w:type="spellStart"/>
      <w:r>
        <w:rPr>
          <w:lang w:val="ru-RU"/>
        </w:rPr>
        <w:t>модулна</w:t>
      </w:r>
      <w:proofErr w:type="spellEnd"/>
      <w:r>
        <w:rPr>
          <w:lang w:val="ru-RU"/>
        </w:rPr>
        <w:t xml:space="preserve"> структура, </w:t>
      </w:r>
      <w:proofErr w:type="spellStart"/>
      <w:r>
        <w:rPr>
          <w:lang w:val="ru-RU"/>
        </w:rPr>
        <w:t>която</w:t>
      </w:r>
      <w:proofErr w:type="spellEnd"/>
      <w:r>
        <w:rPr>
          <w:lang w:val="ru-RU"/>
        </w:rPr>
        <w:t xml:space="preserve"> </w:t>
      </w:r>
      <w:proofErr w:type="spellStart"/>
      <w:r>
        <w:rPr>
          <w:lang w:val="ru-RU"/>
        </w:rPr>
        <w:t>обхваща</w:t>
      </w:r>
      <w:proofErr w:type="spellEnd"/>
      <w:r>
        <w:rPr>
          <w:lang w:val="ru-RU"/>
        </w:rPr>
        <w:t xml:space="preserve"> </w:t>
      </w:r>
      <w:proofErr w:type="spellStart"/>
      <w:r>
        <w:rPr>
          <w:lang w:val="ru-RU"/>
        </w:rPr>
        <w:t>изпълнението</w:t>
      </w:r>
      <w:proofErr w:type="spellEnd"/>
      <w:r>
        <w:rPr>
          <w:lang w:val="ru-RU"/>
        </w:rPr>
        <w:t xml:space="preserve">, </w:t>
      </w:r>
      <w:proofErr w:type="spellStart"/>
      <w:r>
        <w:rPr>
          <w:lang w:val="ru-RU"/>
        </w:rPr>
        <w:t>наблюдението</w:t>
      </w:r>
      <w:proofErr w:type="spellEnd"/>
      <w:r>
        <w:rPr>
          <w:lang w:val="ru-RU"/>
        </w:rPr>
        <w:t xml:space="preserve">, </w:t>
      </w:r>
      <w:proofErr w:type="spellStart"/>
      <w:r>
        <w:rPr>
          <w:lang w:val="ru-RU"/>
        </w:rPr>
        <w:t>финансовото</w:t>
      </w:r>
      <w:proofErr w:type="spellEnd"/>
      <w:r>
        <w:rPr>
          <w:lang w:val="ru-RU"/>
        </w:rPr>
        <w:t xml:space="preserve"> управление и </w:t>
      </w:r>
      <w:proofErr w:type="spellStart"/>
      <w:r>
        <w:rPr>
          <w:lang w:val="ru-RU"/>
        </w:rPr>
        <w:t>контрола</w:t>
      </w:r>
      <w:proofErr w:type="spellEnd"/>
      <w:r>
        <w:rPr>
          <w:lang w:val="ru-RU"/>
        </w:rPr>
        <w:t xml:space="preserve"> на </w:t>
      </w:r>
      <w:proofErr w:type="spellStart"/>
      <w:r>
        <w:rPr>
          <w:lang w:val="ru-RU"/>
        </w:rPr>
        <w:t>оперативните</w:t>
      </w:r>
      <w:proofErr w:type="spellEnd"/>
      <w:r>
        <w:rPr>
          <w:lang w:val="ru-RU"/>
        </w:rPr>
        <w:t xml:space="preserve"> </w:t>
      </w:r>
      <w:proofErr w:type="spellStart"/>
      <w:r>
        <w:rPr>
          <w:lang w:val="ru-RU"/>
        </w:rPr>
        <w:t>програми</w:t>
      </w:r>
      <w:proofErr w:type="spellEnd"/>
      <w:r>
        <w:rPr>
          <w:lang w:val="ru-RU"/>
        </w:rPr>
        <w:t xml:space="preserve">. </w:t>
      </w:r>
      <w:proofErr w:type="spellStart"/>
      <w:r>
        <w:rPr>
          <w:lang w:val="ru-RU"/>
        </w:rPr>
        <w:t>Тя</w:t>
      </w:r>
      <w:proofErr w:type="spellEnd"/>
      <w:r>
        <w:rPr>
          <w:lang w:val="ru-RU"/>
        </w:rPr>
        <w:t xml:space="preserve"> </w:t>
      </w:r>
      <w:proofErr w:type="spellStart"/>
      <w:r>
        <w:rPr>
          <w:lang w:val="ru-RU"/>
        </w:rPr>
        <w:t>събира</w:t>
      </w:r>
      <w:proofErr w:type="spellEnd"/>
      <w:r>
        <w:rPr>
          <w:lang w:val="ru-RU"/>
        </w:rPr>
        <w:t xml:space="preserve"> </w:t>
      </w:r>
      <w:proofErr w:type="spellStart"/>
      <w:r>
        <w:rPr>
          <w:lang w:val="ru-RU"/>
        </w:rPr>
        <w:t>финансова</w:t>
      </w:r>
      <w:proofErr w:type="spellEnd"/>
      <w:r>
        <w:rPr>
          <w:lang w:val="ru-RU"/>
        </w:rPr>
        <w:t xml:space="preserve"> и </w:t>
      </w:r>
      <w:proofErr w:type="spellStart"/>
      <w:r>
        <w:rPr>
          <w:lang w:val="ru-RU"/>
        </w:rPr>
        <w:t>статистическа</w:t>
      </w:r>
      <w:proofErr w:type="spellEnd"/>
      <w:r>
        <w:rPr>
          <w:lang w:val="ru-RU"/>
        </w:rPr>
        <w:t xml:space="preserve"> информация за целите на </w:t>
      </w:r>
      <w:proofErr w:type="spellStart"/>
      <w:r>
        <w:rPr>
          <w:lang w:val="ru-RU"/>
        </w:rPr>
        <w:t>финансовото</w:t>
      </w:r>
      <w:proofErr w:type="spellEnd"/>
      <w:r>
        <w:rPr>
          <w:lang w:val="ru-RU"/>
        </w:rPr>
        <w:t xml:space="preserve"> управление и </w:t>
      </w:r>
      <w:proofErr w:type="spellStart"/>
      <w:r>
        <w:rPr>
          <w:lang w:val="ru-RU"/>
        </w:rPr>
        <w:t>сертифицирането</w:t>
      </w:r>
      <w:proofErr w:type="spellEnd"/>
      <w:r>
        <w:rPr>
          <w:lang w:val="ru-RU"/>
        </w:rPr>
        <w:t xml:space="preserve"> на </w:t>
      </w:r>
      <w:proofErr w:type="spellStart"/>
      <w:r>
        <w:rPr>
          <w:lang w:val="ru-RU"/>
        </w:rPr>
        <w:t>разходите</w:t>
      </w:r>
      <w:proofErr w:type="spellEnd"/>
      <w:r>
        <w:rPr>
          <w:lang w:val="ru-RU"/>
        </w:rPr>
        <w:t xml:space="preserve">, </w:t>
      </w:r>
      <w:proofErr w:type="spellStart"/>
      <w:r>
        <w:rPr>
          <w:lang w:val="ru-RU"/>
        </w:rPr>
        <w:t>както</w:t>
      </w:r>
      <w:proofErr w:type="spellEnd"/>
      <w:r>
        <w:rPr>
          <w:lang w:val="ru-RU"/>
        </w:rPr>
        <w:t xml:space="preserve"> и </w:t>
      </w:r>
      <w:proofErr w:type="gramStart"/>
      <w:r>
        <w:rPr>
          <w:lang w:val="ru-RU"/>
        </w:rPr>
        <w:t>за</w:t>
      </w:r>
      <w:proofErr w:type="gramEnd"/>
      <w:r>
        <w:rPr>
          <w:lang w:val="ru-RU"/>
        </w:rPr>
        <w:t xml:space="preserve"> целите на </w:t>
      </w:r>
      <w:r w:rsidR="00911824">
        <w:rPr>
          <w:lang w:val="ru-RU"/>
        </w:rPr>
        <w:t>мониторинга</w:t>
      </w:r>
      <w:r>
        <w:rPr>
          <w:lang w:val="ru-RU"/>
        </w:rPr>
        <w:t xml:space="preserve">, </w:t>
      </w:r>
      <w:proofErr w:type="spellStart"/>
      <w:r>
        <w:rPr>
          <w:lang w:val="ru-RU"/>
        </w:rPr>
        <w:t>оценката</w:t>
      </w:r>
      <w:proofErr w:type="spellEnd"/>
      <w:r>
        <w:rPr>
          <w:lang w:val="ru-RU"/>
        </w:rPr>
        <w:t xml:space="preserve">, </w:t>
      </w:r>
      <w:proofErr w:type="spellStart"/>
      <w:r>
        <w:rPr>
          <w:lang w:val="ru-RU"/>
        </w:rPr>
        <w:t>одита</w:t>
      </w:r>
      <w:proofErr w:type="spellEnd"/>
      <w:r>
        <w:rPr>
          <w:lang w:val="ru-RU"/>
        </w:rPr>
        <w:t xml:space="preserve"> и </w:t>
      </w:r>
      <w:proofErr w:type="spellStart"/>
      <w:r>
        <w:rPr>
          <w:lang w:val="ru-RU"/>
        </w:rPr>
        <w:t>контрола</w:t>
      </w:r>
      <w:proofErr w:type="spellEnd"/>
      <w:r>
        <w:rPr>
          <w:lang w:val="ru-RU"/>
        </w:rPr>
        <w:t xml:space="preserve">. </w:t>
      </w:r>
    </w:p>
    <w:p w:rsidR="00FE30E7" w:rsidRPr="000C76B9" w:rsidRDefault="00FD1A79" w:rsidP="00EB274A">
      <w:pPr>
        <w:jc w:val="both"/>
        <w:rPr>
          <w:lang w:val="ru-RU"/>
        </w:rPr>
      </w:pPr>
      <w:r>
        <w:rPr>
          <w:lang w:val="ru-RU"/>
        </w:rPr>
        <w:t xml:space="preserve">В </w:t>
      </w:r>
      <w:proofErr w:type="spellStart"/>
      <w:r>
        <w:rPr>
          <w:lang w:val="ru-RU"/>
        </w:rPr>
        <w:t>съответствие</w:t>
      </w:r>
      <w:proofErr w:type="spellEnd"/>
      <w:r>
        <w:rPr>
          <w:lang w:val="ru-RU"/>
        </w:rPr>
        <w:t xml:space="preserve"> с </w:t>
      </w:r>
      <w:proofErr w:type="spellStart"/>
      <w:r>
        <w:rPr>
          <w:lang w:val="ru-RU"/>
        </w:rPr>
        <w:t>необходимостта</w:t>
      </w:r>
      <w:proofErr w:type="spellEnd"/>
      <w:r>
        <w:rPr>
          <w:lang w:val="ru-RU"/>
        </w:rPr>
        <w:t xml:space="preserve"> от </w:t>
      </w:r>
      <w:proofErr w:type="spellStart"/>
      <w:r>
        <w:rPr>
          <w:lang w:val="ru-RU"/>
        </w:rPr>
        <w:t>обезпечаване</w:t>
      </w:r>
      <w:proofErr w:type="spellEnd"/>
      <w:r>
        <w:rPr>
          <w:lang w:val="ru-RU"/>
        </w:rPr>
        <w:t xml:space="preserve"> на мониторинга и </w:t>
      </w:r>
      <w:proofErr w:type="spellStart"/>
      <w:r>
        <w:rPr>
          <w:lang w:val="ru-RU"/>
        </w:rPr>
        <w:t>оценката</w:t>
      </w:r>
      <w:proofErr w:type="spellEnd"/>
      <w:r>
        <w:rPr>
          <w:lang w:val="ru-RU"/>
        </w:rPr>
        <w:t xml:space="preserve"> с </w:t>
      </w:r>
      <w:proofErr w:type="spellStart"/>
      <w:r>
        <w:rPr>
          <w:lang w:val="ru-RU"/>
        </w:rPr>
        <w:t>необходимите</w:t>
      </w:r>
      <w:proofErr w:type="spellEnd"/>
      <w:r>
        <w:rPr>
          <w:lang w:val="ru-RU"/>
        </w:rPr>
        <w:t xml:space="preserve"> мониторингови </w:t>
      </w:r>
      <w:proofErr w:type="spellStart"/>
      <w:r>
        <w:rPr>
          <w:lang w:val="ru-RU"/>
        </w:rPr>
        <w:t>данни</w:t>
      </w:r>
      <w:proofErr w:type="spellEnd"/>
      <w:r>
        <w:rPr>
          <w:lang w:val="ru-RU"/>
        </w:rPr>
        <w:t xml:space="preserve"> и </w:t>
      </w:r>
      <w:proofErr w:type="spellStart"/>
      <w:r>
        <w:rPr>
          <w:lang w:val="ru-RU"/>
        </w:rPr>
        <w:t>отчетената</w:t>
      </w:r>
      <w:proofErr w:type="spellEnd"/>
      <w:r>
        <w:rPr>
          <w:lang w:val="ru-RU"/>
        </w:rPr>
        <w:t xml:space="preserve"> нужда от </w:t>
      </w:r>
      <w:proofErr w:type="spellStart"/>
      <w:r>
        <w:rPr>
          <w:lang w:val="ru-RU"/>
        </w:rPr>
        <w:t>подходяща</w:t>
      </w:r>
      <w:proofErr w:type="spellEnd"/>
      <w:r>
        <w:rPr>
          <w:lang w:val="ru-RU"/>
        </w:rPr>
        <w:t xml:space="preserve"> система за </w:t>
      </w:r>
      <w:proofErr w:type="spellStart"/>
      <w:r>
        <w:rPr>
          <w:lang w:val="ru-RU"/>
        </w:rPr>
        <w:t>въвеждането</w:t>
      </w:r>
      <w:proofErr w:type="spellEnd"/>
      <w:r>
        <w:rPr>
          <w:lang w:val="ru-RU"/>
        </w:rPr>
        <w:t xml:space="preserve">, </w:t>
      </w:r>
      <w:proofErr w:type="spellStart"/>
      <w:r>
        <w:rPr>
          <w:lang w:val="ru-RU"/>
        </w:rPr>
        <w:t>съхраняването</w:t>
      </w:r>
      <w:proofErr w:type="spellEnd"/>
      <w:r>
        <w:rPr>
          <w:lang w:val="ru-RU"/>
        </w:rPr>
        <w:t xml:space="preserve"> и </w:t>
      </w:r>
      <w:proofErr w:type="spellStart"/>
      <w:r>
        <w:rPr>
          <w:lang w:val="ru-RU"/>
        </w:rPr>
        <w:t>обработката</w:t>
      </w:r>
      <w:proofErr w:type="spellEnd"/>
      <w:r>
        <w:rPr>
          <w:lang w:val="ru-RU"/>
        </w:rPr>
        <w:t xml:space="preserve"> на </w:t>
      </w:r>
      <w:proofErr w:type="spellStart"/>
      <w:r>
        <w:rPr>
          <w:lang w:val="ru-RU"/>
        </w:rPr>
        <w:t>въпросните</w:t>
      </w:r>
      <w:proofErr w:type="spellEnd"/>
      <w:r>
        <w:rPr>
          <w:lang w:val="ru-RU"/>
        </w:rPr>
        <w:t xml:space="preserve"> </w:t>
      </w:r>
      <w:proofErr w:type="spellStart"/>
      <w:r>
        <w:rPr>
          <w:lang w:val="ru-RU"/>
        </w:rPr>
        <w:t>данни</w:t>
      </w:r>
      <w:proofErr w:type="spellEnd"/>
      <w:r>
        <w:t>, както на национално ниво</w:t>
      </w:r>
      <w:bookmarkStart w:id="44" w:name="_GoBack"/>
      <w:bookmarkEnd w:id="44"/>
      <w:r>
        <w:t xml:space="preserve"> за всички оперативни програми, така и конкретно</w:t>
      </w:r>
      <w:r>
        <w:rPr>
          <w:lang w:val="ru-RU"/>
        </w:rPr>
        <w:t xml:space="preserve"> </w:t>
      </w:r>
      <w:r>
        <w:t xml:space="preserve">в докладите от оценката на ОПОС </w:t>
      </w:r>
      <w:r w:rsidRPr="00EA0471">
        <w:rPr>
          <w:lang w:val="ru-RU"/>
        </w:rPr>
        <w:lastRenderedPageBreak/>
        <w:t>(</w:t>
      </w:r>
      <w:r>
        <w:t>2007-2013 г.</w:t>
      </w:r>
      <w:r w:rsidRPr="00EA0471">
        <w:rPr>
          <w:lang w:val="ru-RU"/>
        </w:rPr>
        <w:t>)</w:t>
      </w:r>
      <w:r>
        <w:t xml:space="preserve">, системата ИСУН е доразвита и надградена съществено през програмен период 2014-2020 г. </w:t>
      </w:r>
      <w:proofErr w:type="spellStart"/>
      <w:r w:rsidR="00F447F2">
        <w:rPr>
          <w:lang w:val="ru-RU"/>
        </w:rPr>
        <w:t>П</w:t>
      </w:r>
      <w:r>
        <w:rPr>
          <w:lang w:val="ru-RU"/>
        </w:rPr>
        <w:t>онастоящем</w:t>
      </w:r>
      <w:proofErr w:type="spellEnd"/>
      <w:r>
        <w:rPr>
          <w:lang w:val="ru-RU"/>
        </w:rPr>
        <w:t xml:space="preserve"> </w:t>
      </w:r>
      <w:proofErr w:type="spellStart"/>
      <w:r>
        <w:rPr>
          <w:lang w:val="ru-RU"/>
        </w:rPr>
        <w:t>с</w:t>
      </w:r>
      <w:r w:rsidR="00FE30E7">
        <w:rPr>
          <w:lang w:val="ru-RU"/>
        </w:rPr>
        <w:t>истемата</w:t>
      </w:r>
      <w:proofErr w:type="spellEnd"/>
      <w:r w:rsidR="00FE30E7">
        <w:rPr>
          <w:lang w:val="ru-RU"/>
        </w:rPr>
        <w:t xml:space="preserve"> </w:t>
      </w:r>
      <w:proofErr w:type="spellStart"/>
      <w:r w:rsidR="00FE30E7">
        <w:rPr>
          <w:lang w:val="ru-RU"/>
        </w:rPr>
        <w:t>позволява</w:t>
      </w:r>
      <w:proofErr w:type="spellEnd"/>
      <w:r w:rsidR="00FE30E7">
        <w:rPr>
          <w:lang w:val="ru-RU"/>
        </w:rPr>
        <w:t xml:space="preserve"> </w:t>
      </w:r>
      <w:proofErr w:type="spellStart"/>
      <w:r w:rsidR="00133CDB">
        <w:rPr>
          <w:lang w:val="ru-RU"/>
        </w:rPr>
        <w:t>подаването</w:t>
      </w:r>
      <w:proofErr w:type="spellEnd"/>
      <w:r w:rsidR="00133CDB">
        <w:rPr>
          <w:lang w:val="ru-RU"/>
        </w:rPr>
        <w:t xml:space="preserve"> на </w:t>
      </w:r>
      <w:proofErr w:type="spellStart"/>
      <w:r w:rsidR="00133CDB">
        <w:rPr>
          <w:lang w:val="ru-RU"/>
        </w:rPr>
        <w:t>проектни</w:t>
      </w:r>
      <w:proofErr w:type="spellEnd"/>
      <w:r w:rsidR="00133CDB">
        <w:rPr>
          <w:lang w:val="ru-RU"/>
        </w:rPr>
        <w:t xml:space="preserve"> предложения и </w:t>
      </w:r>
      <w:proofErr w:type="spellStart"/>
      <w:r w:rsidR="00133CDB">
        <w:rPr>
          <w:lang w:val="ru-RU"/>
        </w:rPr>
        <w:t>междинни</w:t>
      </w:r>
      <w:proofErr w:type="spellEnd"/>
      <w:r w:rsidR="00133CDB">
        <w:rPr>
          <w:lang w:val="ru-RU"/>
        </w:rPr>
        <w:t xml:space="preserve"> и </w:t>
      </w:r>
      <w:proofErr w:type="spellStart"/>
      <w:r w:rsidR="00133CDB">
        <w:rPr>
          <w:lang w:val="ru-RU"/>
        </w:rPr>
        <w:t>окончателни</w:t>
      </w:r>
      <w:proofErr w:type="spellEnd"/>
      <w:r w:rsidR="00133CDB">
        <w:rPr>
          <w:lang w:val="ru-RU"/>
        </w:rPr>
        <w:t xml:space="preserve"> </w:t>
      </w:r>
      <w:proofErr w:type="spellStart"/>
      <w:r w:rsidR="00133CDB">
        <w:rPr>
          <w:lang w:val="ru-RU"/>
        </w:rPr>
        <w:t>отчети</w:t>
      </w:r>
      <w:proofErr w:type="spellEnd"/>
      <w:r w:rsidR="00133CDB">
        <w:rPr>
          <w:lang w:val="ru-RU"/>
        </w:rPr>
        <w:t xml:space="preserve"> за </w:t>
      </w:r>
      <w:proofErr w:type="spellStart"/>
      <w:r w:rsidR="00133CDB">
        <w:rPr>
          <w:lang w:val="ru-RU"/>
        </w:rPr>
        <w:t>изпълнението</w:t>
      </w:r>
      <w:proofErr w:type="spellEnd"/>
      <w:r w:rsidR="00133CDB">
        <w:rPr>
          <w:lang w:val="ru-RU"/>
        </w:rPr>
        <w:t xml:space="preserve"> на </w:t>
      </w:r>
      <w:proofErr w:type="spellStart"/>
      <w:r w:rsidR="00133CDB">
        <w:rPr>
          <w:lang w:val="ru-RU"/>
        </w:rPr>
        <w:t>проектите</w:t>
      </w:r>
      <w:proofErr w:type="spellEnd"/>
      <w:r w:rsidR="00133CDB">
        <w:rPr>
          <w:lang w:val="ru-RU"/>
        </w:rPr>
        <w:t xml:space="preserve"> онлайн, в </w:t>
      </w:r>
      <w:proofErr w:type="spellStart"/>
      <w:r w:rsidR="00133CDB">
        <w:rPr>
          <w:lang w:val="ru-RU"/>
        </w:rPr>
        <w:t>т.ч</w:t>
      </w:r>
      <w:proofErr w:type="spellEnd"/>
      <w:r w:rsidR="00133CDB">
        <w:rPr>
          <w:lang w:val="ru-RU"/>
        </w:rPr>
        <w:t xml:space="preserve">. и </w:t>
      </w:r>
      <w:proofErr w:type="spellStart"/>
      <w:r w:rsidR="00133CDB">
        <w:rPr>
          <w:lang w:val="ru-RU"/>
        </w:rPr>
        <w:t>електронно</w:t>
      </w:r>
      <w:proofErr w:type="spellEnd"/>
      <w:r w:rsidR="00133CDB">
        <w:rPr>
          <w:lang w:val="ru-RU"/>
        </w:rPr>
        <w:t xml:space="preserve"> </w:t>
      </w:r>
      <w:proofErr w:type="spellStart"/>
      <w:r w:rsidR="00133CDB">
        <w:rPr>
          <w:lang w:val="ru-RU"/>
        </w:rPr>
        <w:t>отчитане</w:t>
      </w:r>
      <w:proofErr w:type="spellEnd"/>
      <w:r w:rsidR="00133CDB">
        <w:rPr>
          <w:lang w:val="ru-RU"/>
        </w:rPr>
        <w:t xml:space="preserve"> на </w:t>
      </w:r>
      <w:proofErr w:type="spellStart"/>
      <w:r w:rsidR="00133CDB">
        <w:rPr>
          <w:lang w:val="ru-RU"/>
        </w:rPr>
        <w:t>базовите</w:t>
      </w:r>
      <w:proofErr w:type="spellEnd"/>
      <w:r w:rsidR="00133CDB">
        <w:rPr>
          <w:lang w:val="ru-RU"/>
        </w:rPr>
        <w:t xml:space="preserve"> и </w:t>
      </w:r>
      <w:proofErr w:type="spellStart"/>
      <w:r w:rsidR="00F447F2">
        <w:rPr>
          <w:lang w:val="ru-RU"/>
        </w:rPr>
        <w:t>целевите</w:t>
      </w:r>
      <w:proofErr w:type="spellEnd"/>
      <w:r w:rsidR="00133CDB">
        <w:rPr>
          <w:lang w:val="ru-RU"/>
        </w:rPr>
        <w:t xml:space="preserve"> </w:t>
      </w:r>
      <w:proofErr w:type="spellStart"/>
      <w:r w:rsidR="00133CDB">
        <w:rPr>
          <w:lang w:val="ru-RU"/>
        </w:rPr>
        <w:t>стойности</w:t>
      </w:r>
      <w:proofErr w:type="spellEnd"/>
      <w:r w:rsidR="00133CDB">
        <w:rPr>
          <w:lang w:val="ru-RU"/>
        </w:rPr>
        <w:t xml:space="preserve"> </w:t>
      </w:r>
      <w:r>
        <w:rPr>
          <w:lang w:val="ru-RU"/>
        </w:rPr>
        <w:t>на</w:t>
      </w:r>
      <w:r w:rsidR="00133CDB">
        <w:rPr>
          <w:lang w:val="ru-RU"/>
        </w:rPr>
        <w:t xml:space="preserve"> </w:t>
      </w:r>
      <w:proofErr w:type="spellStart"/>
      <w:r w:rsidR="00133CDB">
        <w:rPr>
          <w:lang w:val="ru-RU"/>
        </w:rPr>
        <w:t>заложените</w:t>
      </w:r>
      <w:proofErr w:type="spellEnd"/>
      <w:r w:rsidR="00133CDB">
        <w:rPr>
          <w:lang w:val="ru-RU"/>
        </w:rPr>
        <w:t xml:space="preserve"> </w:t>
      </w:r>
      <w:proofErr w:type="spellStart"/>
      <w:r w:rsidR="00133CDB">
        <w:rPr>
          <w:lang w:val="ru-RU"/>
        </w:rPr>
        <w:t>индикатори</w:t>
      </w:r>
      <w:proofErr w:type="spellEnd"/>
      <w:r w:rsidR="00133CDB">
        <w:rPr>
          <w:lang w:val="ru-RU"/>
        </w:rPr>
        <w:t xml:space="preserve"> за </w:t>
      </w:r>
      <w:proofErr w:type="spellStart"/>
      <w:r w:rsidR="00133CDB">
        <w:rPr>
          <w:lang w:val="ru-RU"/>
        </w:rPr>
        <w:t>резултат</w:t>
      </w:r>
      <w:proofErr w:type="spellEnd"/>
      <w:r>
        <w:rPr>
          <w:lang w:val="ru-RU"/>
        </w:rPr>
        <w:t xml:space="preserve">, </w:t>
      </w:r>
      <w:proofErr w:type="spellStart"/>
      <w:r>
        <w:rPr>
          <w:lang w:val="ru-RU"/>
        </w:rPr>
        <w:t>както</w:t>
      </w:r>
      <w:proofErr w:type="spellEnd"/>
      <w:r>
        <w:rPr>
          <w:lang w:val="ru-RU"/>
        </w:rPr>
        <w:t xml:space="preserve"> и </w:t>
      </w:r>
      <w:r w:rsidR="00FE30E7">
        <w:rPr>
          <w:lang w:val="ru-RU"/>
        </w:rPr>
        <w:t xml:space="preserve">автоматично </w:t>
      </w:r>
      <w:proofErr w:type="spellStart"/>
      <w:r w:rsidR="00FE30E7">
        <w:rPr>
          <w:lang w:val="ru-RU"/>
        </w:rPr>
        <w:t>генериране</w:t>
      </w:r>
      <w:proofErr w:type="spellEnd"/>
      <w:r w:rsidR="00FE30E7">
        <w:rPr>
          <w:lang w:val="ru-RU"/>
        </w:rPr>
        <w:t xml:space="preserve"> на </w:t>
      </w:r>
      <w:proofErr w:type="spellStart"/>
      <w:r w:rsidR="00FE30E7">
        <w:rPr>
          <w:lang w:val="ru-RU"/>
        </w:rPr>
        <w:t>информацията</w:t>
      </w:r>
      <w:proofErr w:type="spellEnd"/>
      <w:r w:rsidR="00FE30E7">
        <w:rPr>
          <w:lang w:val="ru-RU"/>
        </w:rPr>
        <w:t xml:space="preserve">, необходима за </w:t>
      </w:r>
      <w:proofErr w:type="spellStart"/>
      <w:r w:rsidR="00FE30E7">
        <w:rPr>
          <w:lang w:val="ru-RU"/>
        </w:rPr>
        <w:t>изготвянето</w:t>
      </w:r>
      <w:proofErr w:type="spellEnd"/>
      <w:r w:rsidR="00FE30E7">
        <w:rPr>
          <w:lang w:val="ru-RU"/>
        </w:rPr>
        <w:t xml:space="preserve"> на </w:t>
      </w:r>
      <w:proofErr w:type="spellStart"/>
      <w:r w:rsidR="00FE30E7">
        <w:rPr>
          <w:lang w:val="ru-RU"/>
        </w:rPr>
        <w:t>отчетите</w:t>
      </w:r>
      <w:proofErr w:type="spellEnd"/>
      <w:r w:rsidR="00FE30E7">
        <w:rPr>
          <w:lang w:val="ru-RU"/>
        </w:rPr>
        <w:t xml:space="preserve"> за </w:t>
      </w:r>
      <w:proofErr w:type="spellStart"/>
      <w:r w:rsidR="00FE30E7">
        <w:rPr>
          <w:lang w:val="ru-RU"/>
        </w:rPr>
        <w:t>изпълнението</w:t>
      </w:r>
      <w:proofErr w:type="spellEnd"/>
      <w:r w:rsidR="00FE30E7">
        <w:rPr>
          <w:lang w:val="ru-RU"/>
        </w:rPr>
        <w:t xml:space="preserve"> на </w:t>
      </w:r>
      <w:proofErr w:type="spellStart"/>
      <w:r w:rsidR="00FE30E7">
        <w:rPr>
          <w:lang w:val="ru-RU"/>
        </w:rPr>
        <w:t>оперативните</w:t>
      </w:r>
      <w:proofErr w:type="spellEnd"/>
      <w:r w:rsidR="00FE30E7">
        <w:rPr>
          <w:lang w:val="ru-RU"/>
        </w:rPr>
        <w:t xml:space="preserve"> </w:t>
      </w:r>
      <w:proofErr w:type="spellStart"/>
      <w:r w:rsidR="00FE30E7">
        <w:rPr>
          <w:lang w:val="ru-RU"/>
        </w:rPr>
        <w:t>програми</w:t>
      </w:r>
      <w:proofErr w:type="spellEnd"/>
      <w:r w:rsidR="00FE30E7">
        <w:rPr>
          <w:lang w:val="ru-RU"/>
        </w:rPr>
        <w:t xml:space="preserve">, на информация по </w:t>
      </w:r>
      <w:proofErr w:type="spellStart"/>
      <w:r w:rsidR="00FE30E7">
        <w:rPr>
          <w:lang w:val="ru-RU"/>
        </w:rPr>
        <w:t>проекти</w:t>
      </w:r>
      <w:proofErr w:type="spellEnd"/>
      <w:r w:rsidR="00FE30E7">
        <w:rPr>
          <w:lang w:val="ru-RU"/>
        </w:rPr>
        <w:t xml:space="preserve"> за целите на </w:t>
      </w:r>
      <w:proofErr w:type="spellStart"/>
      <w:r w:rsidR="00FE30E7">
        <w:rPr>
          <w:lang w:val="ru-RU"/>
        </w:rPr>
        <w:t>одита</w:t>
      </w:r>
      <w:proofErr w:type="spellEnd"/>
      <w:r w:rsidR="00FE30E7">
        <w:rPr>
          <w:lang w:val="ru-RU"/>
        </w:rPr>
        <w:t xml:space="preserve"> и др. информация. В </w:t>
      </w:r>
      <w:proofErr w:type="spellStart"/>
      <w:r w:rsidR="00FE30E7">
        <w:rPr>
          <w:lang w:val="ru-RU"/>
        </w:rPr>
        <w:t>съответ</w:t>
      </w:r>
      <w:r w:rsidR="00911824">
        <w:rPr>
          <w:lang w:val="ru-RU"/>
        </w:rPr>
        <w:t>ствие</w:t>
      </w:r>
      <w:proofErr w:type="spellEnd"/>
      <w:r w:rsidR="00911824">
        <w:rPr>
          <w:lang w:val="ru-RU"/>
        </w:rPr>
        <w:t xml:space="preserve"> с </w:t>
      </w:r>
      <w:proofErr w:type="spellStart"/>
      <w:r w:rsidR="00911824">
        <w:rPr>
          <w:lang w:val="ru-RU"/>
        </w:rPr>
        <w:t>изискванията</w:t>
      </w:r>
      <w:proofErr w:type="spellEnd"/>
      <w:r w:rsidR="00911824">
        <w:rPr>
          <w:lang w:val="ru-RU"/>
        </w:rPr>
        <w:t xml:space="preserve"> на чл. 125</w:t>
      </w:r>
      <w:r w:rsidR="00FE30E7">
        <w:rPr>
          <w:lang w:val="ru-RU"/>
        </w:rPr>
        <w:t xml:space="preserve"> </w:t>
      </w:r>
      <w:r w:rsidR="00911824" w:rsidRPr="00434F57">
        <w:rPr>
          <w:lang w:val="ru-RU"/>
        </w:rPr>
        <w:t>(</w:t>
      </w:r>
      <w:r w:rsidR="00911824">
        <w:rPr>
          <w:lang w:val="ru-RU"/>
        </w:rPr>
        <w:t>2</w:t>
      </w:r>
      <w:r w:rsidR="00911824" w:rsidRPr="00434F57">
        <w:rPr>
          <w:lang w:val="ru-RU"/>
        </w:rPr>
        <w:t xml:space="preserve">) </w:t>
      </w:r>
      <w:proofErr w:type="spellStart"/>
      <w:r w:rsidR="00FE30E7">
        <w:rPr>
          <w:lang w:val="ru-RU"/>
        </w:rPr>
        <w:t>букви</w:t>
      </w:r>
      <w:proofErr w:type="spellEnd"/>
      <w:r w:rsidR="00FE30E7">
        <w:rPr>
          <w:lang w:val="ru-RU"/>
        </w:rPr>
        <w:t xml:space="preserve"> „г“ и „д“ от Регламент 1303/2013, </w:t>
      </w:r>
      <w:r w:rsidR="00C46D74">
        <w:rPr>
          <w:lang w:val="ru-RU"/>
        </w:rPr>
        <w:t>УО</w:t>
      </w:r>
      <w:r w:rsidR="000C76B9">
        <w:rPr>
          <w:lang w:val="ru-RU"/>
        </w:rPr>
        <w:t xml:space="preserve"> </w:t>
      </w:r>
      <w:proofErr w:type="spellStart"/>
      <w:r w:rsidR="000C76B9">
        <w:rPr>
          <w:lang w:val="ru-RU"/>
        </w:rPr>
        <w:t>предприема</w:t>
      </w:r>
      <w:proofErr w:type="spellEnd"/>
      <w:r w:rsidR="000C76B9">
        <w:rPr>
          <w:lang w:val="ru-RU"/>
        </w:rPr>
        <w:t xml:space="preserve"> </w:t>
      </w:r>
      <w:proofErr w:type="spellStart"/>
      <w:r w:rsidR="00FE30E7">
        <w:rPr>
          <w:lang w:val="ru-RU"/>
        </w:rPr>
        <w:t>необходимите</w:t>
      </w:r>
      <w:proofErr w:type="spellEnd"/>
      <w:r w:rsidR="00FE30E7">
        <w:rPr>
          <w:lang w:val="ru-RU"/>
        </w:rPr>
        <w:t xml:space="preserve"> мерки в ИСУН 2020, </w:t>
      </w:r>
      <w:proofErr w:type="spellStart"/>
      <w:r w:rsidR="00FE30E7">
        <w:rPr>
          <w:lang w:val="ru-RU"/>
        </w:rPr>
        <w:t>където</w:t>
      </w:r>
      <w:proofErr w:type="spellEnd"/>
      <w:r w:rsidR="00FE30E7">
        <w:rPr>
          <w:lang w:val="ru-RU"/>
        </w:rPr>
        <w:t xml:space="preserve"> е приложимо в </w:t>
      </w:r>
      <w:proofErr w:type="spellStart"/>
      <w:r w:rsidR="00FE30E7">
        <w:rPr>
          <w:lang w:val="ru-RU"/>
        </w:rPr>
        <w:t>компютъризирана</w:t>
      </w:r>
      <w:proofErr w:type="spellEnd"/>
      <w:r w:rsidR="00FE30E7">
        <w:rPr>
          <w:lang w:val="ru-RU"/>
        </w:rPr>
        <w:t xml:space="preserve"> форма да се </w:t>
      </w:r>
      <w:proofErr w:type="spellStart"/>
      <w:r w:rsidR="00FE30E7">
        <w:rPr>
          <w:lang w:val="ru-RU"/>
        </w:rPr>
        <w:t>събират</w:t>
      </w:r>
      <w:proofErr w:type="spellEnd"/>
      <w:r w:rsidR="00FE30E7">
        <w:rPr>
          <w:lang w:val="ru-RU"/>
        </w:rPr>
        <w:t xml:space="preserve">, </w:t>
      </w:r>
      <w:proofErr w:type="spellStart"/>
      <w:r w:rsidR="00FE30E7">
        <w:rPr>
          <w:lang w:val="ru-RU"/>
        </w:rPr>
        <w:t>въвеждат</w:t>
      </w:r>
      <w:proofErr w:type="spellEnd"/>
      <w:r w:rsidR="00FE30E7">
        <w:rPr>
          <w:lang w:val="ru-RU"/>
        </w:rPr>
        <w:t xml:space="preserve"> и </w:t>
      </w:r>
      <w:proofErr w:type="spellStart"/>
      <w:r w:rsidR="00FE30E7">
        <w:rPr>
          <w:lang w:val="ru-RU"/>
        </w:rPr>
        <w:t>съхраняват</w:t>
      </w:r>
      <w:proofErr w:type="spellEnd"/>
      <w:r w:rsidR="00FE30E7">
        <w:rPr>
          <w:lang w:val="ru-RU"/>
        </w:rPr>
        <w:t xml:space="preserve"> в </w:t>
      </w:r>
      <w:proofErr w:type="spellStart"/>
      <w:r w:rsidR="00FE30E7">
        <w:rPr>
          <w:lang w:val="ru-RU"/>
        </w:rPr>
        <w:t>системата</w:t>
      </w:r>
      <w:proofErr w:type="spellEnd"/>
      <w:r w:rsidR="00FE30E7">
        <w:rPr>
          <w:lang w:val="ru-RU"/>
        </w:rPr>
        <w:t xml:space="preserve"> </w:t>
      </w:r>
      <w:proofErr w:type="spellStart"/>
      <w:r w:rsidR="00FE30E7">
        <w:rPr>
          <w:lang w:val="ru-RU"/>
        </w:rPr>
        <w:t>данни</w:t>
      </w:r>
      <w:proofErr w:type="spellEnd"/>
      <w:r w:rsidR="00FE30E7">
        <w:rPr>
          <w:lang w:val="ru-RU"/>
        </w:rPr>
        <w:t xml:space="preserve"> за </w:t>
      </w:r>
      <w:proofErr w:type="spellStart"/>
      <w:r w:rsidR="00FE30E7">
        <w:rPr>
          <w:lang w:val="ru-RU"/>
        </w:rPr>
        <w:t>всички</w:t>
      </w:r>
      <w:proofErr w:type="spellEnd"/>
      <w:r w:rsidR="00FE30E7">
        <w:rPr>
          <w:lang w:val="ru-RU"/>
        </w:rPr>
        <w:t xml:space="preserve"> операции, </w:t>
      </w:r>
      <w:proofErr w:type="spellStart"/>
      <w:r w:rsidR="00FE30E7">
        <w:rPr>
          <w:lang w:val="ru-RU"/>
        </w:rPr>
        <w:t>които</w:t>
      </w:r>
      <w:proofErr w:type="spellEnd"/>
      <w:r w:rsidR="00FE30E7">
        <w:rPr>
          <w:lang w:val="ru-RU"/>
        </w:rPr>
        <w:t xml:space="preserve"> се </w:t>
      </w:r>
      <w:proofErr w:type="spellStart"/>
      <w:r w:rsidR="00FE30E7">
        <w:rPr>
          <w:lang w:val="ru-RU"/>
        </w:rPr>
        <w:t>изпълняват</w:t>
      </w:r>
      <w:proofErr w:type="spellEnd"/>
      <w:r w:rsidR="00FE30E7">
        <w:rPr>
          <w:lang w:val="ru-RU"/>
        </w:rPr>
        <w:t xml:space="preserve"> по ОПОС 2014-2020 г. За </w:t>
      </w:r>
      <w:proofErr w:type="spellStart"/>
      <w:r w:rsidR="00FE30E7">
        <w:rPr>
          <w:lang w:val="ru-RU"/>
        </w:rPr>
        <w:t>целта</w:t>
      </w:r>
      <w:proofErr w:type="spellEnd"/>
      <w:r w:rsidR="00FE30E7">
        <w:rPr>
          <w:lang w:val="ru-RU"/>
        </w:rPr>
        <w:t xml:space="preserve"> е </w:t>
      </w:r>
      <w:proofErr w:type="spellStart"/>
      <w:r w:rsidR="00FE30E7">
        <w:rPr>
          <w:lang w:val="ru-RU"/>
        </w:rPr>
        <w:t>разработена</w:t>
      </w:r>
      <w:proofErr w:type="spellEnd"/>
      <w:r w:rsidR="00FE30E7">
        <w:rPr>
          <w:lang w:val="ru-RU"/>
        </w:rPr>
        <w:t xml:space="preserve"> „Процедура </w:t>
      </w:r>
      <w:r w:rsidR="00911824">
        <w:t xml:space="preserve">за </w:t>
      </w:r>
      <w:proofErr w:type="spellStart"/>
      <w:r w:rsidR="00FE30E7">
        <w:rPr>
          <w:lang w:val="ru-RU"/>
        </w:rPr>
        <w:t>администриране</w:t>
      </w:r>
      <w:proofErr w:type="spellEnd"/>
      <w:r w:rsidR="00FE30E7">
        <w:rPr>
          <w:lang w:val="ru-RU"/>
        </w:rPr>
        <w:t xml:space="preserve"> и управление на </w:t>
      </w:r>
      <w:proofErr w:type="spellStart"/>
      <w:r w:rsidR="00FE30E7">
        <w:rPr>
          <w:lang w:val="ru-RU"/>
        </w:rPr>
        <w:t>потребителските</w:t>
      </w:r>
      <w:proofErr w:type="spellEnd"/>
      <w:r w:rsidR="00FE30E7">
        <w:rPr>
          <w:lang w:val="ru-RU"/>
        </w:rPr>
        <w:t xml:space="preserve"> профили в </w:t>
      </w:r>
      <w:proofErr w:type="spellStart"/>
      <w:r w:rsidR="00FE30E7">
        <w:rPr>
          <w:lang w:val="ru-RU"/>
        </w:rPr>
        <w:t>Информационната</w:t>
      </w:r>
      <w:proofErr w:type="spellEnd"/>
      <w:r w:rsidR="00FE30E7">
        <w:rPr>
          <w:lang w:val="ru-RU"/>
        </w:rPr>
        <w:t xml:space="preserve"> система за управление и наблюдение 2020“, част от </w:t>
      </w:r>
      <w:proofErr w:type="spellStart"/>
      <w:r w:rsidR="00FE30E7">
        <w:rPr>
          <w:lang w:val="ru-RU"/>
        </w:rPr>
        <w:t>Процедурния</w:t>
      </w:r>
      <w:proofErr w:type="spellEnd"/>
      <w:r w:rsidR="00FE30E7">
        <w:rPr>
          <w:lang w:val="ru-RU"/>
        </w:rPr>
        <w:t xml:space="preserve"> </w:t>
      </w:r>
      <w:proofErr w:type="spellStart"/>
      <w:r w:rsidR="00FE30E7">
        <w:rPr>
          <w:lang w:val="ru-RU"/>
        </w:rPr>
        <w:t>наръчник</w:t>
      </w:r>
      <w:proofErr w:type="spellEnd"/>
      <w:r w:rsidR="00FE30E7">
        <w:rPr>
          <w:lang w:val="ru-RU"/>
        </w:rPr>
        <w:t xml:space="preserve"> за ОПОС 2014-2020 г. </w:t>
      </w:r>
      <w:r w:rsidR="000C76B9">
        <w:rPr>
          <w:lang w:val="ru-RU"/>
        </w:rPr>
        <w:t xml:space="preserve"> В рамките на ГД ОПОС </w:t>
      </w:r>
      <w:r w:rsidR="000C76B9">
        <w:t>о</w:t>
      </w:r>
      <w:r w:rsidR="000C76B9" w:rsidRPr="000C76B9">
        <w:t>тдел „Мониторинг” извършва дейностите, свързани с мониторинга и докладването по ОПОС 2014-2020 г., като следи за изпълнението на индикаторите на ниво проект, приоритетна ос и про</w:t>
      </w:r>
      <w:r w:rsidR="00911824">
        <w:t>грама и</w:t>
      </w:r>
      <w:r w:rsidR="000C76B9" w:rsidRPr="000C76B9">
        <w:t xml:space="preserve"> извършва анализ и обобщава информацията за напредъка на ниво оперативна програма на годишна база.</w:t>
      </w:r>
      <w:r w:rsidR="000C76B9">
        <w:t xml:space="preserve"> Въведените процедури за мониторинг гарантират качеството на поддържаната база данни с </w:t>
      </w:r>
      <w:r w:rsidR="00CB18E7">
        <w:t>мониторингови данни за напредъка.</w:t>
      </w:r>
    </w:p>
    <w:p w:rsidR="00FE30E7" w:rsidRDefault="00CB18E7" w:rsidP="00EB274A">
      <w:pPr>
        <w:jc w:val="both"/>
      </w:pPr>
      <w:r>
        <w:t xml:space="preserve">С оглед гарантиране на качествени данни за извършване на оценката на ОПОС, </w:t>
      </w:r>
      <w:r w:rsidR="00C46D74">
        <w:t>УО</w:t>
      </w:r>
      <w:r>
        <w:t xml:space="preserve"> координира работата си</w:t>
      </w:r>
      <w:r w:rsidR="00316B22">
        <w:t xml:space="preserve"> и с НСИ, където е приложимо.  </w:t>
      </w:r>
    </w:p>
    <w:p w:rsidR="00FE28A7" w:rsidRPr="00FE28A7" w:rsidRDefault="00FE28A7" w:rsidP="00EB274A">
      <w:pPr>
        <w:pStyle w:val="ListParagraph"/>
        <w:numPr>
          <w:ilvl w:val="0"/>
          <w:numId w:val="12"/>
        </w:numPr>
        <w:jc w:val="both"/>
        <w:rPr>
          <w:b/>
          <w:color w:val="auto"/>
        </w:rPr>
      </w:pPr>
      <w:r w:rsidRPr="00FE28A7">
        <w:rPr>
          <w:b/>
        </w:rPr>
        <w:t>Външни мерки за контрол на качеството на оценката на ОПОС</w:t>
      </w:r>
    </w:p>
    <w:p w:rsidR="00FE28A7" w:rsidRDefault="00FE28A7" w:rsidP="00EB274A">
      <w:pPr>
        <w:jc w:val="both"/>
      </w:pPr>
      <w:r>
        <w:t>Външните мерки за контрол на к</w:t>
      </w:r>
      <w:r w:rsidR="003B0D53">
        <w:t xml:space="preserve">ачеството на оценките на </w:t>
      </w:r>
      <w:r>
        <w:t xml:space="preserve">ОПОС се </w:t>
      </w:r>
      <w:r w:rsidR="002708EA">
        <w:t>реализират чрез осъществяване</w:t>
      </w:r>
      <w:r>
        <w:t xml:space="preserve"> </w:t>
      </w:r>
      <w:r w:rsidR="002708EA">
        <w:t xml:space="preserve">на контрол на </w:t>
      </w:r>
      <w:r>
        <w:t xml:space="preserve">няколко нива от страна на звена, външни за </w:t>
      </w:r>
      <w:r w:rsidR="00C46D74">
        <w:t>УО</w:t>
      </w:r>
      <w:r>
        <w:t>:</w:t>
      </w:r>
    </w:p>
    <w:p w:rsidR="00FE28A7" w:rsidRDefault="003B0D53" w:rsidP="00EB274A">
      <w:pPr>
        <w:pStyle w:val="ListBullet"/>
        <w:jc w:val="both"/>
      </w:pPr>
      <w:r>
        <w:t xml:space="preserve">отчетност </w:t>
      </w:r>
      <w:r w:rsidR="00FE28A7">
        <w:t>и контрол на качеството на оценките в рамките на</w:t>
      </w:r>
      <w:r w:rsidR="00D15BED">
        <w:t xml:space="preserve"> </w:t>
      </w:r>
      <w:r>
        <w:t xml:space="preserve">КН </w:t>
      </w:r>
      <w:r w:rsidR="00D15BED">
        <w:t>на ОПОС с</w:t>
      </w:r>
      <w:r w:rsidR="00FE28A7">
        <w:t xml:space="preserve"> участието на вси</w:t>
      </w:r>
      <w:r w:rsidR="00D15BED">
        <w:t>чки</w:t>
      </w:r>
      <w:r>
        <w:t xml:space="preserve"> заинтересовани страни</w:t>
      </w:r>
      <w:r w:rsidR="00FE28A7">
        <w:t xml:space="preserve"> и партньори</w:t>
      </w:r>
      <w:r w:rsidR="00D15BED">
        <w:t xml:space="preserve"> и използване на възможността КН на ОПОС да отправя препоръки към </w:t>
      </w:r>
      <w:r w:rsidR="00C46D74">
        <w:t>УО</w:t>
      </w:r>
      <w:r w:rsidR="00D15BED">
        <w:t xml:space="preserve"> по отношение качеството на провежданите оценки</w:t>
      </w:r>
      <w:r w:rsidR="002708EA">
        <w:t xml:space="preserve"> и да проследява тяхното изпълнение</w:t>
      </w:r>
      <w:r w:rsidR="00427670">
        <w:t>;</w:t>
      </w:r>
    </w:p>
    <w:p w:rsidR="00FE28A7" w:rsidRDefault="00FE28A7" w:rsidP="00EB274A">
      <w:pPr>
        <w:pStyle w:val="ListBullet"/>
        <w:jc w:val="both"/>
      </w:pPr>
      <w:r>
        <w:t>обсъждане, обмен на опит и добри практики в областта на оценката в рамките на Постоянната междуведомствена работна група за оценка на ЕСИФ 2014-2020</w:t>
      </w:r>
      <w:r w:rsidR="00427670">
        <w:t>;</w:t>
      </w:r>
    </w:p>
    <w:p w:rsidR="00D15BED" w:rsidRDefault="00D15BED" w:rsidP="00EB274A">
      <w:pPr>
        <w:pStyle w:val="ListBullet"/>
        <w:jc w:val="both"/>
      </w:pPr>
      <w:r>
        <w:t>постоянен контакт с ЕК по въпросите на оценката</w:t>
      </w:r>
      <w:r w:rsidR="00427670">
        <w:t>.</w:t>
      </w:r>
      <w:r>
        <w:t xml:space="preserve"> </w:t>
      </w:r>
    </w:p>
    <w:p w:rsidR="00FD1A79" w:rsidRDefault="00FD1A79">
      <w:pPr>
        <w:spacing w:before="40" w:after="160"/>
      </w:pPr>
      <w:r>
        <w:br w:type="page"/>
      </w:r>
    </w:p>
    <w:p w:rsidR="003B0D53" w:rsidRDefault="003B0D53" w:rsidP="00EB274A">
      <w:pPr>
        <w:jc w:val="both"/>
      </w:pPr>
    </w:p>
    <w:p w:rsidR="002257B3" w:rsidRDefault="002257B3" w:rsidP="00EB274A">
      <w:pPr>
        <w:pStyle w:val="Heading1"/>
        <w:jc w:val="both"/>
      </w:pPr>
      <w:bookmarkStart w:id="45" w:name="_Toc453078526"/>
      <w:r>
        <w:t xml:space="preserve">4 </w:t>
      </w:r>
      <w:r w:rsidRPr="00434F57">
        <w:rPr>
          <w:lang w:val="ru-RU"/>
        </w:rPr>
        <w:t xml:space="preserve">| </w:t>
      </w:r>
      <w:r>
        <w:t>Индикативен списък на планираните оценки</w:t>
      </w:r>
      <w:bookmarkEnd w:id="45"/>
      <w:r>
        <w:t xml:space="preserve"> </w:t>
      </w:r>
    </w:p>
    <w:p w:rsidR="002708EA" w:rsidRDefault="002708EA" w:rsidP="00EB274A">
      <w:pPr>
        <w:jc w:val="both"/>
      </w:pPr>
    </w:p>
    <w:p w:rsidR="005E315B" w:rsidRDefault="005E315B" w:rsidP="00EB274A">
      <w:pPr>
        <w:jc w:val="both"/>
      </w:pPr>
      <w:r>
        <w:t>Настоящият раздел от Плана за оценка на ОПОС представя списък на планираните оценки на ОПОС 2014-2020</w:t>
      </w:r>
      <w:r w:rsidR="0041256B">
        <w:t xml:space="preserve"> г</w:t>
      </w:r>
      <w:r>
        <w:t xml:space="preserve">. </w:t>
      </w:r>
    </w:p>
    <w:p w:rsidR="000A2266" w:rsidRDefault="000A2266" w:rsidP="00EB274A">
      <w:pPr>
        <w:jc w:val="both"/>
      </w:pPr>
      <w:r>
        <w:t xml:space="preserve">С оглед </w:t>
      </w:r>
      <w:r w:rsidR="005E315B">
        <w:t xml:space="preserve"> </w:t>
      </w:r>
      <w:r>
        <w:t>комплексния характер на оценката през програмния период</w:t>
      </w:r>
      <w:r w:rsidR="00A304E0" w:rsidRPr="00434F57">
        <w:rPr>
          <w:lang w:val="ru-RU"/>
        </w:rPr>
        <w:t xml:space="preserve"> 2014-2020 </w:t>
      </w:r>
      <w:r w:rsidR="00A304E0">
        <w:t xml:space="preserve">г., изискващ </w:t>
      </w:r>
      <w:r>
        <w:t xml:space="preserve">извършването както на оценки на ефективността и ефикасността на изпълнението </w:t>
      </w:r>
      <w:r w:rsidR="00A304E0">
        <w:t>на програмите</w:t>
      </w:r>
      <w:r w:rsidR="00A076CD">
        <w:t xml:space="preserve"> </w:t>
      </w:r>
      <w:r w:rsidRPr="00434F57">
        <w:rPr>
          <w:lang w:val="ru-RU"/>
        </w:rPr>
        <w:t>(</w:t>
      </w:r>
      <w:r w:rsidR="00A304E0">
        <w:rPr>
          <w:lang w:val="en-US"/>
        </w:rPr>
        <w:t>implementation</w:t>
      </w:r>
      <w:r w:rsidR="00A304E0" w:rsidRPr="00434F57">
        <w:rPr>
          <w:lang w:val="ru-RU"/>
        </w:rPr>
        <w:t xml:space="preserve"> </w:t>
      </w:r>
      <w:r>
        <w:rPr>
          <w:lang w:val="en-US"/>
        </w:rPr>
        <w:t>evaluation</w:t>
      </w:r>
      <w:r w:rsidRPr="00434F57">
        <w:rPr>
          <w:lang w:val="ru-RU"/>
        </w:rPr>
        <w:t>)</w:t>
      </w:r>
      <w:r>
        <w:t>, така и на оценки на въздействието</w:t>
      </w:r>
      <w:r w:rsidRPr="00434F57">
        <w:rPr>
          <w:lang w:val="ru-RU"/>
        </w:rPr>
        <w:t xml:space="preserve"> (</w:t>
      </w:r>
      <w:r>
        <w:rPr>
          <w:lang w:val="en-US"/>
        </w:rPr>
        <w:t>impact</w:t>
      </w:r>
      <w:r w:rsidRPr="00434F57">
        <w:rPr>
          <w:lang w:val="ru-RU"/>
        </w:rPr>
        <w:t xml:space="preserve"> </w:t>
      </w:r>
      <w:r>
        <w:rPr>
          <w:lang w:val="en-US"/>
        </w:rPr>
        <w:t>evaluation</w:t>
      </w:r>
      <w:r w:rsidRPr="00434F57">
        <w:rPr>
          <w:lang w:val="ru-RU"/>
        </w:rPr>
        <w:t>)</w:t>
      </w:r>
      <w:r w:rsidR="00A076CD">
        <w:rPr>
          <w:lang w:val="ru-RU"/>
        </w:rPr>
        <w:t>,</w:t>
      </w:r>
      <w:r>
        <w:t xml:space="preserve"> </w:t>
      </w:r>
      <w:r w:rsidR="00A304E0">
        <w:t xml:space="preserve">настоящият раздел съдържа и информация за методите за оценка, които </w:t>
      </w:r>
      <w:r w:rsidR="00C46D74">
        <w:t>УО</w:t>
      </w:r>
      <w:r w:rsidR="00A304E0">
        <w:t xml:space="preserve"> определя като приложими за целите на провеждането на задължителната оценка на въздействието на ОПОС 2014-2020 г. Подбраните м</w:t>
      </w:r>
      <w:r w:rsidR="002708EA">
        <w:t>етоди са п</w:t>
      </w:r>
      <w:r w:rsidR="00F359BB">
        <w:t>ре</w:t>
      </w:r>
      <w:r w:rsidR="002708EA">
        <w:t xml:space="preserve">дставени в т. 4.1 </w:t>
      </w:r>
      <w:r w:rsidR="00A304E0">
        <w:t>и са напълно съобразени с препоръчаните методи в Насоките на ЕК за мониторинг и оценка през програмен период 2014-2020 г.</w:t>
      </w:r>
    </w:p>
    <w:p w:rsidR="00DC7F1F" w:rsidRPr="00DC7F1F" w:rsidRDefault="00DC7F1F" w:rsidP="00EB274A">
      <w:pPr>
        <w:pStyle w:val="ListParagraph"/>
        <w:keepNext/>
        <w:keepLines/>
        <w:numPr>
          <w:ilvl w:val="0"/>
          <w:numId w:val="8"/>
        </w:numPr>
        <w:spacing w:before="360" w:after="240" w:line="240" w:lineRule="auto"/>
        <w:contextualSpacing w:val="0"/>
        <w:jc w:val="both"/>
        <w:outlineLvl w:val="1"/>
        <w:rPr>
          <w:rFonts w:asciiTheme="majorHAnsi" w:eastAsiaTheme="majorEastAsia" w:hAnsiTheme="majorHAnsi" w:cstheme="majorBidi"/>
          <w:caps/>
          <w:vanish/>
          <w:color w:val="71941A" w:themeColor="accent1" w:themeShade="BF"/>
          <w:sz w:val="26"/>
          <w:szCs w:val="26"/>
        </w:rPr>
      </w:pPr>
      <w:bookmarkStart w:id="46" w:name="_Toc449523161"/>
      <w:bookmarkStart w:id="47" w:name="_Toc453078527"/>
      <w:bookmarkEnd w:id="46"/>
      <w:bookmarkEnd w:id="47"/>
    </w:p>
    <w:p w:rsidR="000A2266" w:rsidRDefault="00DC7F1F" w:rsidP="00EB274A">
      <w:pPr>
        <w:pStyle w:val="Heading2"/>
        <w:jc w:val="both"/>
      </w:pPr>
      <w:bookmarkStart w:id="48" w:name="_Toc453078528"/>
      <w:r>
        <w:t>Основни методи за оценка</w:t>
      </w:r>
      <w:bookmarkEnd w:id="48"/>
    </w:p>
    <w:p w:rsidR="00147ED6" w:rsidRPr="00147ED6" w:rsidRDefault="00147ED6" w:rsidP="00EB274A">
      <w:pPr>
        <w:jc w:val="both"/>
        <w:rPr>
          <w:b/>
        </w:rPr>
      </w:pPr>
      <w:r w:rsidRPr="00147ED6">
        <w:rPr>
          <w:b/>
        </w:rPr>
        <w:t>Оценката на въздействието на ОПОС 2014-2020 г. следва да отговори едновременно на 2 ключови въпроса на оценката:</w:t>
      </w:r>
    </w:p>
    <w:p w:rsidR="00147ED6" w:rsidRPr="00147ED6" w:rsidRDefault="00147ED6" w:rsidP="00EB274A">
      <w:pPr>
        <w:pStyle w:val="ListBullet"/>
        <w:jc w:val="both"/>
        <w:rPr>
          <w:i/>
          <w:kern w:val="0"/>
          <w:lang w:val="en-US"/>
        </w:rPr>
      </w:pPr>
      <w:r w:rsidRPr="00147ED6">
        <w:rPr>
          <w:i/>
          <w:kern w:val="0"/>
        </w:rPr>
        <w:t>Има ли резултат от изпълнението на интервен</w:t>
      </w:r>
      <w:r>
        <w:rPr>
          <w:i/>
          <w:kern w:val="0"/>
        </w:rPr>
        <w:t xml:space="preserve">циите </w:t>
      </w:r>
      <w:r w:rsidRPr="00147ED6">
        <w:rPr>
          <w:i/>
          <w:kern w:val="0"/>
        </w:rPr>
        <w:t xml:space="preserve">въобще? Какво работи добре и какво не? </w:t>
      </w:r>
      <w:r>
        <w:rPr>
          <w:i/>
          <w:kern w:val="0"/>
          <w:lang w:val="en-US"/>
        </w:rPr>
        <w:t>(</w:t>
      </w:r>
      <w:r>
        <w:rPr>
          <w:i/>
          <w:kern w:val="0"/>
        </w:rPr>
        <w:t xml:space="preserve">въпроси, характерни за </w:t>
      </w:r>
      <w:proofErr w:type="spellStart"/>
      <w:r>
        <w:rPr>
          <w:i/>
          <w:kern w:val="0"/>
        </w:rPr>
        <w:t>контрафактологични</w:t>
      </w:r>
      <w:proofErr w:type="spellEnd"/>
      <w:r>
        <w:rPr>
          <w:i/>
          <w:kern w:val="0"/>
        </w:rPr>
        <w:t xml:space="preserve"> оценки на въздействието</w:t>
      </w:r>
      <w:r>
        <w:rPr>
          <w:i/>
          <w:kern w:val="0"/>
          <w:lang w:val="en-US"/>
        </w:rPr>
        <w:t>)</w:t>
      </w:r>
      <w:r w:rsidR="00F02207">
        <w:rPr>
          <w:i/>
          <w:kern w:val="0"/>
        </w:rPr>
        <w:t>;</w:t>
      </w:r>
    </w:p>
    <w:p w:rsidR="00147ED6" w:rsidRPr="00434F57" w:rsidRDefault="00147ED6" w:rsidP="00EB274A">
      <w:pPr>
        <w:pStyle w:val="ListBullet"/>
        <w:jc w:val="both"/>
        <w:rPr>
          <w:i/>
          <w:kern w:val="0"/>
          <w:lang w:val="ru-RU"/>
        </w:rPr>
      </w:pPr>
      <w:r w:rsidRPr="00147ED6">
        <w:rPr>
          <w:i/>
          <w:kern w:val="0"/>
        </w:rPr>
        <w:t xml:space="preserve">Защо </w:t>
      </w:r>
      <w:r>
        <w:rPr>
          <w:i/>
          <w:kern w:val="0"/>
        </w:rPr>
        <w:t xml:space="preserve">интервенциите </w:t>
      </w:r>
      <w:r w:rsidRPr="00147ED6">
        <w:rPr>
          <w:i/>
          <w:kern w:val="0"/>
        </w:rPr>
        <w:t>оказва</w:t>
      </w:r>
      <w:r>
        <w:rPr>
          <w:i/>
          <w:kern w:val="0"/>
        </w:rPr>
        <w:t>т</w:t>
      </w:r>
      <w:r w:rsidRPr="00147ED6">
        <w:rPr>
          <w:i/>
          <w:kern w:val="0"/>
        </w:rPr>
        <w:t xml:space="preserve"> въздействие</w:t>
      </w:r>
      <w:r>
        <w:rPr>
          <w:i/>
          <w:kern w:val="0"/>
        </w:rPr>
        <w:t xml:space="preserve"> и как се случва това</w:t>
      </w:r>
      <w:r w:rsidRPr="00147ED6">
        <w:rPr>
          <w:i/>
          <w:kern w:val="0"/>
        </w:rPr>
        <w:t>?</w:t>
      </w:r>
      <w:r w:rsidRPr="00434F57">
        <w:rPr>
          <w:i/>
          <w:kern w:val="0"/>
          <w:lang w:val="ru-RU"/>
        </w:rPr>
        <w:t xml:space="preserve"> (</w:t>
      </w:r>
      <w:r>
        <w:rPr>
          <w:i/>
          <w:kern w:val="0"/>
        </w:rPr>
        <w:t>въпроси, характерни за оценки на въздействието, базирани на теорията</w:t>
      </w:r>
      <w:r w:rsidRPr="00434F57">
        <w:rPr>
          <w:i/>
          <w:kern w:val="0"/>
          <w:lang w:val="ru-RU"/>
        </w:rPr>
        <w:t>)</w:t>
      </w:r>
      <w:r w:rsidR="00F02207">
        <w:rPr>
          <w:i/>
          <w:kern w:val="0"/>
          <w:lang w:val="ru-RU"/>
        </w:rPr>
        <w:t>.</w:t>
      </w:r>
    </w:p>
    <w:p w:rsidR="008620F5" w:rsidRDefault="00147ED6" w:rsidP="00EB274A">
      <w:pPr>
        <w:jc w:val="both"/>
      </w:pPr>
      <w:r>
        <w:t>С оглед необходимос</w:t>
      </w:r>
      <w:r w:rsidR="00C51818">
        <w:t>тта оценката на въздействието на</w:t>
      </w:r>
      <w:r>
        <w:t xml:space="preserve"> ОПОС 2014-2020</w:t>
      </w:r>
      <w:r w:rsidR="00C51818">
        <w:t xml:space="preserve"> г.</w:t>
      </w:r>
      <w:r>
        <w:t xml:space="preserve"> да покрие и двата вид</w:t>
      </w:r>
      <w:r w:rsidR="00F916EB">
        <w:t>а</w:t>
      </w:r>
      <w:r>
        <w:t xml:space="preserve"> въпроси, </w:t>
      </w:r>
      <w:r w:rsidR="00C46D74">
        <w:t>УО</w:t>
      </w:r>
      <w:r>
        <w:t xml:space="preserve"> </w:t>
      </w:r>
      <w:r w:rsidR="00AD0E95">
        <w:t xml:space="preserve">ще изисква от външните независими оценители да използват </w:t>
      </w:r>
      <w:r>
        <w:t xml:space="preserve"> </w:t>
      </w:r>
      <w:r w:rsidRPr="008620F5">
        <w:rPr>
          <w:b/>
        </w:rPr>
        <w:t xml:space="preserve">триангулация на методите за оценка </w:t>
      </w:r>
      <w:r w:rsidR="00F916EB" w:rsidRPr="008620F5">
        <w:rPr>
          <w:b/>
        </w:rPr>
        <w:t>на въздействието</w:t>
      </w:r>
      <w:r w:rsidR="00F916EB">
        <w:t xml:space="preserve">. </w:t>
      </w:r>
    </w:p>
    <w:p w:rsidR="00AD0E95" w:rsidRDefault="00F916EB" w:rsidP="00EB274A">
      <w:pPr>
        <w:jc w:val="both"/>
      </w:pPr>
      <w:r>
        <w:t xml:space="preserve">При подхода на триангулация в рамките на оценката се използват минимум два метода за оценка с цел получаване на високо ниво на достоверност на изводите и заключенията. </w:t>
      </w:r>
      <w:r w:rsidR="00AD0E95">
        <w:t>При триангулация на методите на оценка</w:t>
      </w:r>
      <w:r>
        <w:t xml:space="preserve"> се използват максимално широк кръг от източници на количествена и качествена информация, които могат да бъдат анализирани и съпоставени едновременно</w:t>
      </w:r>
      <w:r w:rsidR="00F02207">
        <w:t>,</w:t>
      </w:r>
      <w:r>
        <w:t xml:space="preserve"> така че да се формират валидни заключения по всички въпроси на оценката.  </w:t>
      </w:r>
      <w:proofErr w:type="spellStart"/>
      <w:r>
        <w:t>Небоходимата</w:t>
      </w:r>
      <w:proofErr w:type="spellEnd"/>
      <w:r>
        <w:t xml:space="preserve"> информ</w:t>
      </w:r>
      <w:r w:rsidR="00F02207">
        <w:t>а</w:t>
      </w:r>
      <w:r>
        <w:t xml:space="preserve">ция се набира посредством разнообразни методи като </w:t>
      </w:r>
      <w:r>
        <w:lastRenderedPageBreak/>
        <w:t>количествени проучвания</w:t>
      </w:r>
      <w:r w:rsidR="00AD0E95">
        <w:t xml:space="preserve"> за набиране на първични количествени данни</w:t>
      </w:r>
      <w:r>
        <w:t>, използване на вторични статистически данни, фокус групи</w:t>
      </w:r>
      <w:r w:rsidR="00AD0E95">
        <w:t xml:space="preserve">, дълбочинни интервюта и др. </w:t>
      </w:r>
    </w:p>
    <w:p w:rsidR="00147ED6" w:rsidRPr="00C51818" w:rsidRDefault="00AD0E95" w:rsidP="00EB274A">
      <w:pPr>
        <w:jc w:val="both"/>
        <w:rPr>
          <w:b/>
        </w:rPr>
      </w:pPr>
      <w:r w:rsidRPr="00C51818">
        <w:rPr>
          <w:b/>
        </w:rPr>
        <w:t xml:space="preserve">За </w:t>
      </w:r>
      <w:r w:rsidR="008620F5" w:rsidRPr="00C51818">
        <w:rPr>
          <w:b/>
        </w:rPr>
        <w:t>целите на триангулацията при</w:t>
      </w:r>
      <w:r w:rsidRPr="00C51818">
        <w:rPr>
          <w:b/>
        </w:rPr>
        <w:t xml:space="preserve"> оценка</w:t>
      </w:r>
      <w:r w:rsidR="008620F5" w:rsidRPr="00C51818">
        <w:rPr>
          <w:b/>
        </w:rPr>
        <w:t>та</w:t>
      </w:r>
      <w:r w:rsidRPr="00C51818">
        <w:rPr>
          <w:b/>
        </w:rPr>
        <w:t xml:space="preserve"> на въздействието на ОПОС </w:t>
      </w:r>
      <w:r w:rsidR="00C51818" w:rsidRPr="00C51818">
        <w:rPr>
          <w:b/>
        </w:rPr>
        <w:t>2014-2020 г. от външните независ</w:t>
      </w:r>
      <w:r w:rsidRPr="00C51818">
        <w:rPr>
          <w:b/>
        </w:rPr>
        <w:t xml:space="preserve">ими оценители </w:t>
      </w:r>
      <w:r w:rsidR="008620F5" w:rsidRPr="00C51818">
        <w:rPr>
          <w:b/>
        </w:rPr>
        <w:t xml:space="preserve">ще </w:t>
      </w:r>
      <w:r w:rsidRPr="00C51818">
        <w:rPr>
          <w:b/>
        </w:rPr>
        <w:t xml:space="preserve">се изисква </w:t>
      </w:r>
      <w:r w:rsidR="008620F5" w:rsidRPr="00C51818">
        <w:rPr>
          <w:b/>
        </w:rPr>
        <w:t>като</w:t>
      </w:r>
      <w:r w:rsidRPr="00C51818">
        <w:rPr>
          <w:b/>
        </w:rPr>
        <w:t xml:space="preserve"> минимум </w:t>
      </w:r>
      <w:r w:rsidR="008620F5" w:rsidRPr="00C51818">
        <w:rPr>
          <w:b/>
        </w:rPr>
        <w:t xml:space="preserve">съчетаването </w:t>
      </w:r>
      <w:r w:rsidRPr="00C51818">
        <w:rPr>
          <w:b/>
        </w:rPr>
        <w:t>на следните</w:t>
      </w:r>
      <w:r w:rsidR="00147ED6" w:rsidRPr="00C51818">
        <w:rPr>
          <w:b/>
        </w:rPr>
        <w:t xml:space="preserve"> 2 метода</w:t>
      </w:r>
      <w:r w:rsidRPr="00C51818">
        <w:rPr>
          <w:b/>
        </w:rPr>
        <w:t xml:space="preserve"> на оценка</w:t>
      </w:r>
      <w:r w:rsidR="00147ED6" w:rsidRPr="00C51818">
        <w:rPr>
          <w:b/>
        </w:rPr>
        <w:t xml:space="preserve"> при съобразяване със спецификата на ОПОС 2014-2020</w:t>
      </w:r>
      <w:r w:rsidR="00C51818">
        <w:rPr>
          <w:b/>
        </w:rPr>
        <w:t xml:space="preserve"> г.</w:t>
      </w:r>
      <w:r w:rsidR="00147ED6" w:rsidRPr="00C51818">
        <w:rPr>
          <w:b/>
        </w:rPr>
        <w:t xml:space="preserve"> и подпомаганите интервенции:</w:t>
      </w:r>
    </w:p>
    <w:p w:rsidR="00AD0E95" w:rsidRPr="00AD0E95" w:rsidRDefault="00AD0E95" w:rsidP="00EB274A">
      <w:pPr>
        <w:pStyle w:val="ListBullet"/>
        <w:jc w:val="both"/>
        <w:rPr>
          <w:b/>
        </w:rPr>
      </w:pPr>
      <w:proofErr w:type="spellStart"/>
      <w:r w:rsidRPr="00AD0E95">
        <w:rPr>
          <w:b/>
        </w:rPr>
        <w:t>Контрафактол</w:t>
      </w:r>
      <w:r>
        <w:rPr>
          <w:b/>
        </w:rPr>
        <w:t>огич</w:t>
      </w:r>
      <w:r w:rsidR="00C23BCC">
        <w:rPr>
          <w:b/>
        </w:rPr>
        <w:t>ни</w:t>
      </w:r>
      <w:proofErr w:type="spellEnd"/>
      <w:r>
        <w:rPr>
          <w:b/>
        </w:rPr>
        <w:t xml:space="preserve"> метод</w:t>
      </w:r>
      <w:r w:rsidR="00C23BCC">
        <w:rPr>
          <w:b/>
        </w:rPr>
        <w:t>и</w:t>
      </w:r>
      <w:r>
        <w:rPr>
          <w:b/>
        </w:rPr>
        <w:t xml:space="preserve"> на оценка</w:t>
      </w:r>
      <w:r w:rsidRPr="00AD0E95">
        <w:rPr>
          <w:b/>
        </w:rPr>
        <w:t xml:space="preserve"> на въздействието чрез подход „оценка на разлика в разликите”</w:t>
      </w:r>
    </w:p>
    <w:p w:rsidR="00AD0E95" w:rsidRPr="00645AED" w:rsidRDefault="00C51818" w:rsidP="00EB274A">
      <w:pPr>
        <w:jc w:val="both"/>
        <w:rPr>
          <w:i/>
          <w:u w:val="single"/>
        </w:rPr>
      </w:pPr>
      <w:r>
        <w:t>Този тип методи служат</w:t>
      </w:r>
      <w:r w:rsidR="00645AED">
        <w:t xml:space="preserve"> за</w:t>
      </w:r>
      <w:r w:rsidR="00AD0E95">
        <w:t xml:space="preserve"> изясн</w:t>
      </w:r>
      <w:r w:rsidR="00645AED">
        <w:t xml:space="preserve">яване на въпроса до каква степен полученият резултат </w:t>
      </w:r>
      <w:r w:rsidR="00AD0E95">
        <w:t xml:space="preserve">се дължи на </w:t>
      </w:r>
      <w:r w:rsidR="00645AED">
        <w:t xml:space="preserve">изпълнената </w:t>
      </w:r>
      <w:r w:rsidR="00AD0E95">
        <w:t>интервенция.</w:t>
      </w:r>
      <w:r w:rsidR="00645AED">
        <w:t xml:space="preserve"> За целта обикновено методът се базира на сравнителното изследване на две групи (основна и контролна), които притежават сходни характеристики – напр. бенефициенти по дадена интервенция и контролна група от лица със сходни характеристики, които не са били обект на подпомагане. </w:t>
      </w:r>
      <w:r w:rsidR="00AD0E95">
        <w:t>След това се сравняват данните за двете групи по</w:t>
      </w:r>
      <w:r w:rsidR="00645AED">
        <w:t xml:space="preserve"> даден показател</w:t>
      </w:r>
      <w:r w:rsidR="00AD0E95">
        <w:t>. Чрез изчисление на разликата в разликите между двет</w:t>
      </w:r>
      <w:r w:rsidR="00645AED">
        <w:t xml:space="preserve">е групи се получава </w:t>
      </w:r>
      <w:r w:rsidR="00AD0E95">
        <w:t>„чист</w:t>
      </w:r>
      <w:r w:rsidR="00645AED">
        <w:t>ият“ ефект от интервенцията</w:t>
      </w:r>
      <w:r w:rsidR="00AD0E95">
        <w:t>. Методът дава резултати за въздействия, които са по-достоверни спрямо тези</w:t>
      </w:r>
      <w:r w:rsidR="00F02207">
        <w:t>,</w:t>
      </w:r>
      <w:r w:rsidR="00AD0E95">
        <w:t xml:space="preserve"> получени само при сравнения между две групи или между два периода.</w:t>
      </w:r>
      <w:r>
        <w:t xml:space="preserve"> Този вид методи базират заключенията от оценката изцяло на количествени данни и затова са по-широко приложими при интервенции, които обхващат широк кръг бенефициенти и позволяват събирането на валидни данни на база извадка от сравнително голяма генерална съвкупност.</w:t>
      </w:r>
    </w:p>
    <w:p w:rsidR="00F916EB" w:rsidRPr="00B55986" w:rsidRDefault="00AD0E95" w:rsidP="00EB274A">
      <w:pPr>
        <w:pStyle w:val="ListBullet"/>
        <w:jc w:val="both"/>
        <w:rPr>
          <w:b/>
        </w:rPr>
      </w:pPr>
      <w:r w:rsidRPr="00B55986">
        <w:rPr>
          <w:b/>
        </w:rPr>
        <w:t>Метод</w:t>
      </w:r>
      <w:r w:rsidR="00C23BCC" w:rsidRPr="00B55986">
        <w:rPr>
          <w:b/>
        </w:rPr>
        <w:t>и</w:t>
      </w:r>
      <w:r w:rsidRPr="00B55986">
        <w:rPr>
          <w:b/>
        </w:rPr>
        <w:t xml:space="preserve"> на оценка, базиран</w:t>
      </w:r>
      <w:r w:rsidR="00C23BCC" w:rsidRPr="00B55986">
        <w:rPr>
          <w:b/>
        </w:rPr>
        <w:t>и</w:t>
      </w:r>
      <w:r w:rsidRPr="00B55986">
        <w:rPr>
          <w:b/>
        </w:rPr>
        <w:t xml:space="preserve"> на теорията </w:t>
      </w:r>
    </w:p>
    <w:p w:rsidR="008620F5" w:rsidRPr="002768F1" w:rsidRDefault="008620F5" w:rsidP="00EB274A">
      <w:pPr>
        <w:jc w:val="both"/>
      </w:pPr>
      <w:r>
        <w:t xml:space="preserve">Този тип методи </w:t>
      </w:r>
      <w:r w:rsidR="002768F1">
        <w:t>се опират на т.нар. теория на промяната</w:t>
      </w:r>
      <w:r w:rsidR="00EA4340">
        <w:t xml:space="preserve"> </w:t>
      </w:r>
      <w:r w:rsidR="00EA4340" w:rsidRPr="00434F57">
        <w:rPr>
          <w:lang w:val="ru-RU"/>
        </w:rPr>
        <w:t>(</w:t>
      </w:r>
      <w:r w:rsidR="00EA4340">
        <w:rPr>
          <w:lang w:val="en-US"/>
        </w:rPr>
        <w:t>theory</w:t>
      </w:r>
      <w:r w:rsidR="00EA4340" w:rsidRPr="00434F57">
        <w:rPr>
          <w:lang w:val="ru-RU"/>
        </w:rPr>
        <w:t xml:space="preserve"> </w:t>
      </w:r>
      <w:r w:rsidR="00EA4340">
        <w:rPr>
          <w:lang w:val="en-US"/>
        </w:rPr>
        <w:t>of</w:t>
      </w:r>
      <w:r w:rsidR="00EA4340" w:rsidRPr="00434F57">
        <w:rPr>
          <w:lang w:val="ru-RU"/>
        </w:rPr>
        <w:t xml:space="preserve"> </w:t>
      </w:r>
      <w:r w:rsidR="00EA4340">
        <w:rPr>
          <w:lang w:val="en-US"/>
        </w:rPr>
        <w:t>change</w:t>
      </w:r>
      <w:r w:rsidR="00EA4340" w:rsidRPr="00434F57">
        <w:rPr>
          <w:lang w:val="ru-RU"/>
        </w:rPr>
        <w:t>)</w:t>
      </w:r>
      <w:r w:rsidR="002768F1">
        <w:t xml:space="preserve"> и имат за цел да определят дали интервенцията се е осъществила според планираното и е произвела очаквания ефект и въздействие. Те </w:t>
      </w:r>
      <w:proofErr w:type="spellStart"/>
      <w:r>
        <w:t>надграждат</w:t>
      </w:r>
      <w:proofErr w:type="spellEnd"/>
      <w:r>
        <w:t xml:space="preserve"> и обогатяват оценката на въздействието, като излизат извън предимно количественото измерване на „чистия” ефект на интервенциите, характерно за </w:t>
      </w:r>
      <w:proofErr w:type="spellStart"/>
      <w:r>
        <w:t>контрафактологичните</w:t>
      </w:r>
      <w:proofErr w:type="spellEnd"/>
      <w:r>
        <w:t xml:space="preserve"> методи на оценка. Оценките, базирани на теорията, изграждат теоретични модели и целят навлизането в дълбочина на изпълняваните интервенции, така че да достигнат до отговора на въпросите </w:t>
      </w:r>
      <w:r w:rsidRPr="008620F5">
        <w:rPr>
          <w:i/>
        </w:rPr>
        <w:t>Защо?</w:t>
      </w:r>
      <w:r>
        <w:t xml:space="preserve"> и </w:t>
      </w:r>
      <w:r w:rsidRPr="008620F5">
        <w:rPr>
          <w:i/>
        </w:rPr>
        <w:t>Как?</w:t>
      </w:r>
      <w:r>
        <w:t xml:space="preserve">  </w:t>
      </w:r>
      <w:r w:rsidR="00644D21">
        <w:t>и</w:t>
      </w:r>
      <w:r>
        <w:t>зпълняваните интервенции въздействат на социално-икономическия живот. Резултатите от подобен тип оценки формират своеобразна история/разказ за въздействието на интервенцията, вместо да определят чрез количествени данни каква би била ситуацията, ако интервенцията не е била реализирана.</w:t>
      </w:r>
      <w:r w:rsidR="002768F1">
        <w:t xml:space="preserve"> Обикновено информацията за прилагане на тези методи се набира не само чрез количествени проучвания, но и чрез прилагането на </w:t>
      </w:r>
      <w:proofErr w:type="spellStart"/>
      <w:r w:rsidR="002768F1">
        <w:t>разнобразни</w:t>
      </w:r>
      <w:proofErr w:type="spellEnd"/>
      <w:r w:rsidR="002768F1">
        <w:t xml:space="preserve"> качествени методи – кабинетни проучвания, преглед на документи, </w:t>
      </w:r>
      <w:r w:rsidR="002768F1">
        <w:lastRenderedPageBreak/>
        <w:t xml:space="preserve">дълбочинни интервюта и фокус групи, описание на индивидуални случаи </w:t>
      </w:r>
      <w:r w:rsidR="002768F1" w:rsidRPr="00434F57">
        <w:rPr>
          <w:lang w:val="ru-RU"/>
        </w:rPr>
        <w:t>(</w:t>
      </w:r>
      <w:r w:rsidR="002768F1">
        <w:rPr>
          <w:lang w:val="en-US"/>
        </w:rPr>
        <w:t>case</w:t>
      </w:r>
      <w:r w:rsidR="002768F1" w:rsidRPr="00434F57">
        <w:rPr>
          <w:lang w:val="ru-RU"/>
        </w:rPr>
        <w:t xml:space="preserve"> </w:t>
      </w:r>
      <w:r w:rsidR="002768F1">
        <w:rPr>
          <w:lang w:val="en-US"/>
        </w:rPr>
        <w:t>studies</w:t>
      </w:r>
      <w:r w:rsidR="002768F1" w:rsidRPr="00434F57">
        <w:rPr>
          <w:lang w:val="ru-RU"/>
        </w:rPr>
        <w:t xml:space="preserve">) </w:t>
      </w:r>
      <w:r w:rsidR="002768F1">
        <w:t>и др.</w:t>
      </w:r>
    </w:p>
    <w:p w:rsidR="009F0BA0" w:rsidRDefault="00ED043F" w:rsidP="00EB274A">
      <w:pPr>
        <w:pStyle w:val="Heading2"/>
        <w:jc w:val="both"/>
      </w:pPr>
      <w:bookmarkStart w:id="49" w:name="_Toc453078529"/>
      <w:r>
        <w:t>Списък на планираните оценки на ОПОС 2014-2020</w:t>
      </w:r>
      <w:r w:rsidR="0041256B">
        <w:t xml:space="preserve"> г.</w:t>
      </w:r>
      <w:bookmarkEnd w:id="49"/>
    </w:p>
    <w:p w:rsidR="00ED043F" w:rsidRDefault="00ED043F" w:rsidP="00EB274A">
      <w:pPr>
        <w:jc w:val="both"/>
      </w:pPr>
      <w:r>
        <w:t>В съответствие с препоръките на ЕК в Ръководството за планове за оценки предложеният списък описва за всяка оценка следните параметри: 1/тема на оценката</w:t>
      </w:r>
      <w:r w:rsidR="005411EE">
        <w:t xml:space="preserve">; 2/предмет и обосновка, </w:t>
      </w:r>
      <w:r>
        <w:t xml:space="preserve">в т.ч. </w:t>
      </w:r>
      <w:r w:rsidR="005411EE">
        <w:t xml:space="preserve">цели, контекст, основен подход </w:t>
      </w:r>
      <w:r w:rsidR="005411EE" w:rsidRPr="00434F57">
        <w:rPr>
          <w:lang w:val="ru-RU"/>
        </w:rPr>
        <w:t>(</w:t>
      </w:r>
      <w:r>
        <w:t>оценка на ефективността и ефикасността на изпълнението</w:t>
      </w:r>
      <w:r w:rsidR="005411EE">
        <w:t xml:space="preserve"> </w:t>
      </w:r>
      <w:r>
        <w:t>/ оценка на въздействието</w:t>
      </w:r>
      <w:r w:rsidR="005411EE" w:rsidRPr="00434F57">
        <w:rPr>
          <w:lang w:val="ru-RU"/>
        </w:rPr>
        <w:t>)</w:t>
      </w:r>
      <w:r>
        <w:t>, основни въпроси на оценката</w:t>
      </w:r>
      <w:r w:rsidR="005411EE">
        <w:t>; 3/ методи н</w:t>
      </w:r>
      <w:r>
        <w:t xml:space="preserve">а оценка; 4/ необходими данни за прилагане на методите и подходите за обезпечаване на наличността им; 5/ продължителност и прогнозна начална дата; 6/ индикативен бюджет. </w:t>
      </w:r>
    </w:p>
    <w:p w:rsidR="00667FB2" w:rsidRDefault="00667FB2" w:rsidP="00EB274A">
      <w:pPr>
        <w:jc w:val="both"/>
      </w:pPr>
      <w:r>
        <w:t>Темите, дейности</w:t>
      </w:r>
      <w:r w:rsidR="005411EE">
        <w:t>те</w:t>
      </w:r>
      <w:r>
        <w:t xml:space="preserve"> и графикът на планираните оценки са съобразени с:</w:t>
      </w:r>
    </w:p>
    <w:p w:rsidR="00667FB2" w:rsidRDefault="00667FB2" w:rsidP="00EB274A">
      <w:pPr>
        <w:pStyle w:val="ListBullet"/>
        <w:jc w:val="both"/>
      </w:pPr>
      <w:r>
        <w:t>Изисквания</w:t>
      </w:r>
      <w:r w:rsidR="00F04BE2">
        <w:t>та</w:t>
      </w:r>
      <w:r>
        <w:t xml:space="preserve"> и насоки</w:t>
      </w:r>
      <w:r w:rsidR="00F04BE2">
        <w:t>те</w:t>
      </w:r>
      <w:r>
        <w:t xml:space="preserve"> на ЕК за оценка през програмен период 2014-2020 г.</w:t>
      </w:r>
      <w:r w:rsidR="00C716A8">
        <w:t>,</w:t>
      </w:r>
      <w:r>
        <w:t xml:space="preserve"> за изготвянето на годишните доклади за изпълнение, които трябва да бъдат представени през 2017, 2019 г. и за представяне на доклад, обобщаващ констатациите от оценките, извършени през програмния период и основните крайни продукти и резултати от оперативната програма до 31.12.2022 г.</w:t>
      </w:r>
      <w:r w:rsidR="00F02207">
        <w:t>;</w:t>
      </w:r>
    </w:p>
    <w:p w:rsidR="00F04BE2" w:rsidRDefault="00F04BE2" w:rsidP="00EB274A">
      <w:pPr>
        <w:pStyle w:val="ListBullet"/>
        <w:jc w:val="both"/>
      </w:pPr>
      <w:r>
        <w:t>Препоръките от Доклада за предварителната оценка на ОПОС 2014-2020</w:t>
      </w:r>
      <w:r w:rsidR="00C716A8">
        <w:t xml:space="preserve"> г.</w:t>
      </w:r>
      <w:r>
        <w:t>;</w:t>
      </w:r>
    </w:p>
    <w:p w:rsidR="00667FB2" w:rsidRDefault="00F04BE2" w:rsidP="00EB274A">
      <w:pPr>
        <w:pStyle w:val="ListBullet"/>
        <w:jc w:val="both"/>
      </w:pPr>
      <w:r>
        <w:t>Поуките и научените уроци от проведените оценки на ОПОС</w:t>
      </w:r>
      <w:r w:rsidR="00667FB2">
        <w:t xml:space="preserve"> 2007-2013</w:t>
      </w:r>
      <w:r w:rsidR="00C716A8">
        <w:t xml:space="preserve"> г.</w:t>
      </w:r>
      <w:r w:rsidR="00667FB2">
        <w:t xml:space="preserve"> (времеви ограничения при провеждане на обществените поръчки и приемане на продуктите на оценките</w:t>
      </w:r>
      <w:r>
        <w:t>, планиране на твърде голям брой текущи оценки</w:t>
      </w:r>
      <w:r w:rsidR="00667FB2">
        <w:t>)</w:t>
      </w:r>
      <w:r w:rsidR="00F02207">
        <w:t>.</w:t>
      </w:r>
    </w:p>
    <w:p w:rsidR="00ED043F" w:rsidRPr="00ED043F" w:rsidRDefault="00ED043F" w:rsidP="00EB274A">
      <w:pPr>
        <w:jc w:val="both"/>
      </w:pPr>
      <w:r w:rsidRPr="00ED043F">
        <w:t>При разработването на техническата спецификация за избор на изпълнител на оценката на ОПОС 2014-2020 г. основните въпроси за оценка по всяка от планираните оценки ще бъдат адаптирани и допълнително детайлизирани с оглед постигане целите на оценката.</w:t>
      </w:r>
    </w:p>
    <w:p w:rsidR="008B2C88" w:rsidRDefault="008B2C88" w:rsidP="00EB274A">
      <w:pPr>
        <w:jc w:val="both"/>
      </w:pPr>
    </w:p>
    <w:p w:rsidR="008B2C88" w:rsidRDefault="008B2C88" w:rsidP="00EB274A">
      <w:pPr>
        <w:jc w:val="both"/>
      </w:pPr>
    </w:p>
    <w:p w:rsidR="008B2C88" w:rsidRDefault="008B2C88" w:rsidP="00EB274A">
      <w:pPr>
        <w:jc w:val="both"/>
      </w:pPr>
    </w:p>
    <w:p w:rsidR="008B2C88" w:rsidRDefault="008B2C88" w:rsidP="00EB274A">
      <w:pPr>
        <w:jc w:val="both"/>
      </w:pPr>
    </w:p>
    <w:p w:rsidR="008B2C88" w:rsidRDefault="008B2C88" w:rsidP="00EB274A">
      <w:pPr>
        <w:jc w:val="both"/>
      </w:pPr>
    </w:p>
    <w:p w:rsidR="008B2C88" w:rsidRDefault="008B2C88" w:rsidP="00EB274A">
      <w:pPr>
        <w:jc w:val="both"/>
      </w:pPr>
    </w:p>
    <w:p w:rsidR="008B2C88" w:rsidRDefault="008B2C88" w:rsidP="00EB274A">
      <w:pPr>
        <w:jc w:val="both"/>
      </w:pPr>
    </w:p>
    <w:p w:rsidR="008B2C88" w:rsidRDefault="008B2C88" w:rsidP="00EB274A">
      <w:pPr>
        <w:spacing w:before="40" w:after="160"/>
        <w:jc w:val="both"/>
      </w:pPr>
      <w:r>
        <w:br w:type="page"/>
      </w:r>
    </w:p>
    <w:p w:rsidR="008B2C88" w:rsidRDefault="008B2C88" w:rsidP="00EB274A">
      <w:pPr>
        <w:jc w:val="both"/>
        <w:sectPr w:rsidR="008B2C88" w:rsidSect="00CB18E7">
          <w:headerReference w:type="default" r:id="rId22"/>
          <w:pgSz w:w="12240" w:h="15840" w:code="1"/>
          <w:pgMar w:top="1418" w:right="1418" w:bottom="1418" w:left="1418" w:header="567" w:footer="567" w:gutter="0"/>
          <w:cols w:space="720"/>
          <w:docGrid w:linePitch="360"/>
        </w:sectPr>
      </w:pPr>
    </w:p>
    <w:p w:rsidR="008B2C88" w:rsidRPr="008B2C88" w:rsidRDefault="008E6C55" w:rsidP="00EB274A">
      <w:pPr>
        <w:pStyle w:val="Heading3"/>
        <w:jc w:val="both"/>
      </w:pPr>
      <w:bookmarkStart w:id="50" w:name="_Toc453078530"/>
      <w:r w:rsidRPr="00533994">
        <w:lastRenderedPageBreak/>
        <w:t>Оценка на ефективността и ефикасността на изпълнението на приоритетна ос 5 „Подобряване качеството на атмосферния въздух” на ОПОС 2014-2020</w:t>
      </w:r>
      <w:r w:rsidR="00C716A8">
        <w:t xml:space="preserve"> г.</w:t>
      </w:r>
      <w:bookmarkEnd w:id="50"/>
    </w:p>
    <w:tbl>
      <w:tblPr>
        <w:tblStyle w:val="LightList-Accent11"/>
        <w:tblW w:w="13433" w:type="dxa"/>
        <w:tblBorders>
          <w:insideH w:val="single" w:sz="8" w:space="0" w:color="98C723" w:themeColor="accent1"/>
          <w:insideV w:val="single" w:sz="8" w:space="0" w:color="98C723" w:themeColor="accent1"/>
        </w:tblBorders>
        <w:tblLook w:val="0620" w:firstRow="1" w:lastRow="0" w:firstColumn="0" w:lastColumn="0" w:noHBand="1" w:noVBand="1"/>
      </w:tblPr>
      <w:tblGrid>
        <w:gridCol w:w="2555"/>
        <w:gridCol w:w="10878"/>
      </w:tblGrid>
      <w:tr w:rsidR="009F0BA0" w:rsidRPr="00C728E0" w:rsidTr="009D6101">
        <w:trPr>
          <w:cnfStyle w:val="100000000000" w:firstRow="1" w:lastRow="0" w:firstColumn="0" w:lastColumn="0" w:oddVBand="0" w:evenVBand="0" w:oddHBand="0" w:evenHBand="0" w:firstRowFirstColumn="0" w:firstRowLastColumn="0" w:lastRowFirstColumn="0" w:lastRowLastColumn="0"/>
        </w:trPr>
        <w:tc>
          <w:tcPr>
            <w:tcW w:w="0" w:type="auto"/>
            <w:shd w:val="clear" w:color="auto" w:fill="C4E672" w:themeFill="accent1" w:themeFillTint="99"/>
            <w:hideMark/>
          </w:tcPr>
          <w:p w:rsidR="009F0BA0" w:rsidRPr="00C728E0" w:rsidRDefault="000A2266" w:rsidP="00EB274A">
            <w:pPr>
              <w:spacing w:before="60" w:after="60"/>
              <w:jc w:val="both"/>
              <w:rPr>
                <w:rFonts w:cs="Arial"/>
                <w:sz w:val="22"/>
                <w:szCs w:val="22"/>
                <w:lang w:val="en-GB"/>
              </w:rPr>
            </w:pPr>
            <w:r w:rsidRPr="00C728E0">
              <w:rPr>
                <w:rFonts w:cs="Arial"/>
                <w:sz w:val="22"/>
                <w:szCs w:val="22"/>
              </w:rPr>
              <w:t>Тема на оценката</w:t>
            </w:r>
            <w:r w:rsidR="009F0BA0" w:rsidRPr="00C728E0">
              <w:rPr>
                <w:rFonts w:cs="Arial"/>
                <w:sz w:val="22"/>
                <w:szCs w:val="22"/>
                <w:lang w:val="en-GB"/>
              </w:rPr>
              <w:t xml:space="preserve"> </w:t>
            </w:r>
          </w:p>
        </w:tc>
        <w:tc>
          <w:tcPr>
            <w:tcW w:w="10878" w:type="dxa"/>
            <w:shd w:val="clear" w:color="auto" w:fill="C4E672" w:themeFill="accent1" w:themeFillTint="99"/>
            <w:hideMark/>
          </w:tcPr>
          <w:p w:rsidR="009F0BA0" w:rsidRPr="00894291" w:rsidRDefault="00ED043F" w:rsidP="00EB274A">
            <w:pPr>
              <w:spacing w:before="60" w:after="60"/>
              <w:jc w:val="both"/>
              <w:rPr>
                <w:rFonts w:cs="Arial"/>
                <w:sz w:val="22"/>
                <w:szCs w:val="22"/>
                <w:lang w:val="ru-RU"/>
              </w:rPr>
            </w:pPr>
            <w:r w:rsidRPr="00C728E0">
              <w:rPr>
                <w:rFonts w:cs="Arial"/>
                <w:sz w:val="22"/>
                <w:szCs w:val="22"/>
              </w:rPr>
              <w:t>Оценка на ефективността и ефикасността на изпълнението на приоритетна ос 5 „Подобряване качеството на атмосферния въздух” на ОПОС 2014-2020</w:t>
            </w:r>
            <w:r w:rsidR="00C716A8">
              <w:rPr>
                <w:rFonts w:cs="Arial"/>
                <w:sz w:val="22"/>
                <w:szCs w:val="22"/>
              </w:rPr>
              <w:t xml:space="preserve"> г.</w:t>
            </w:r>
          </w:p>
        </w:tc>
      </w:tr>
      <w:tr w:rsidR="009F0BA0" w:rsidRPr="00C728E0" w:rsidTr="009D6101">
        <w:tc>
          <w:tcPr>
            <w:tcW w:w="0" w:type="auto"/>
            <w:hideMark/>
          </w:tcPr>
          <w:p w:rsidR="009F0BA0" w:rsidRPr="00C716A8" w:rsidRDefault="00F04BE2" w:rsidP="00EB274A">
            <w:pPr>
              <w:spacing w:before="60" w:after="60"/>
              <w:jc w:val="both"/>
              <w:rPr>
                <w:rFonts w:cs="Arial"/>
                <w:b/>
                <w:sz w:val="22"/>
                <w:szCs w:val="22"/>
              </w:rPr>
            </w:pPr>
            <w:r w:rsidRPr="00C716A8">
              <w:rPr>
                <w:rFonts w:cs="Arial"/>
                <w:b/>
                <w:sz w:val="22"/>
                <w:szCs w:val="22"/>
              </w:rPr>
              <w:t>Предмет и обосновка на фокуса на оценката</w:t>
            </w:r>
          </w:p>
        </w:tc>
        <w:tc>
          <w:tcPr>
            <w:tcW w:w="10878" w:type="dxa"/>
            <w:hideMark/>
          </w:tcPr>
          <w:p w:rsidR="00026A39" w:rsidRPr="00C728E0" w:rsidRDefault="00B85325" w:rsidP="00EB274A">
            <w:pPr>
              <w:spacing w:before="60" w:after="60"/>
              <w:jc w:val="both"/>
              <w:rPr>
                <w:sz w:val="22"/>
                <w:szCs w:val="22"/>
              </w:rPr>
            </w:pPr>
            <w:r w:rsidRPr="00C728E0">
              <w:rPr>
                <w:rFonts w:cs="Arial"/>
                <w:sz w:val="22"/>
                <w:szCs w:val="22"/>
              </w:rPr>
              <w:t xml:space="preserve">Приоритетна ос 5 на ОПОС 2014-2020 г. очертава същностно </w:t>
            </w:r>
            <w:r w:rsidRPr="00C728E0">
              <w:rPr>
                <w:sz w:val="22"/>
                <w:szCs w:val="22"/>
              </w:rPr>
              <w:t>нов приоритет в дизайна на ОПОС 2014-2020 г.</w:t>
            </w:r>
            <w:r w:rsidR="002F683E" w:rsidRPr="00C728E0">
              <w:rPr>
                <w:sz w:val="22"/>
                <w:szCs w:val="22"/>
              </w:rPr>
              <w:t xml:space="preserve"> Тя </w:t>
            </w:r>
            <w:r w:rsidRPr="00C728E0">
              <w:rPr>
                <w:sz w:val="22"/>
                <w:szCs w:val="22"/>
              </w:rPr>
              <w:t>е насочена към намаляване замърсяването на атмосферния въздух чрез понижаване количествата на ФПЧ</w:t>
            </w:r>
            <w:r w:rsidRPr="00894291">
              <w:rPr>
                <w:sz w:val="22"/>
                <w:szCs w:val="22"/>
                <w:vertAlign w:val="subscript"/>
              </w:rPr>
              <w:t>10</w:t>
            </w:r>
            <w:r w:rsidRPr="00C728E0">
              <w:rPr>
                <w:sz w:val="22"/>
                <w:szCs w:val="22"/>
              </w:rPr>
              <w:t xml:space="preserve"> /</w:t>
            </w:r>
            <w:proofErr w:type="spellStart"/>
            <w:r w:rsidR="00894291" w:rsidRPr="00C728E0">
              <w:rPr>
                <w:sz w:val="22"/>
                <w:szCs w:val="22"/>
              </w:rPr>
              <w:t>N</w:t>
            </w:r>
            <w:r w:rsidR="00894291">
              <w:rPr>
                <w:sz w:val="22"/>
                <w:szCs w:val="22"/>
              </w:rPr>
              <w:t>О</w:t>
            </w:r>
            <w:r w:rsidR="00894291" w:rsidRPr="00C728E0">
              <w:rPr>
                <w:sz w:val="22"/>
                <w:szCs w:val="22"/>
              </w:rPr>
              <w:t>x</w:t>
            </w:r>
            <w:proofErr w:type="spellEnd"/>
            <w:r w:rsidR="00894291" w:rsidRPr="00C728E0">
              <w:rPr>
                <w:sz w:val="22"/>
                <w:szCs w:val="22"/>
              </w:rPr>
              <w:t xml:space="preserve"> </w:t>
            </w:r>
            <w:r w:rsidRPr="00894291">
              <w:rPr>
                <w:sz w:val="22"/>
                <w:szCs w:val="22"/>
                <w:lang w:val="ru-RU"/>
              </w:rPr>
              <w:t>(</w:t>
            </w:r>
            <w:r w:rsidRPr="00C728E0">
              <w:rPr>
                <w:sz w:val="22"/>
                <w:szCs w:val="22"/>
              </w:rPr>
              <w:t>специфична цел на оста)</w:t>
            </w:r>
            <w:r w:rsidR="002F683E" w:rsidRPr="00C728E0">
              <w:rPr>
                <w:sz w:val="22"/>
                <w:szCs w:val="22"/>
              </w:rPr>
              <w:t>. Това е единствената приоритетна ос</w:t>
            </w:r>
            <w:r w:rsidR="001406E5" w:rsidRPr="00C728E0">
              <w:rPr>
                <w:sz w:val="22"/>
                <w:szCs w:val="22"/>
              </w:rPr>
              <w:t xml:space="preserve"> на ОПОС 2014-2020</w:t>
            </w:r>
            <w:r w:rsidR="00C716A8">
              <w:rPr>
                <w:sz w:val="22"/>
                <w:szCs w:val="22"/>
              </w:rPr>
              <w:t xml:space="preserve"> г.</w:t>
            </w:r>
            <w:r w:rsidR="002F683E" w:rsidRPr="00C728E0">
              <w:rPr>
                <w:sz w:val="22"/>
                <w:szCs w:val="22"/>
              </w:rPr>
              <w:t xml:space="preserve">, </w:t>
            </w:r>
            <w:r w:rsidR="00437FD2">
              <w:rPr>
                <w:sz w:val="22"/>
                <w:szCs w:val="22"/>
              </w:rPr>
              <w:t>за</w:t>
            </w:r>
            <w:r w:rsidR="002F683E" w:rsidRPr="00C728E0">
              <w:rPr>
                <w:sz w:val="22"/>
                <w:szCs w:val="22"/>
              </w:rPr>
              <w:t xml:space="preserve"> която </w:t>
            </w:r>
            <w:r w:rsidR="00437FD2">
              <w:rPr>
                <w:sz w:val="22"/>
                <w:szCs w:val="22"/>
              </w:rPr>
              <w:t xml:space="preserve">е договорено </w:t>
            </w:r>
            <w:r w:rsidR="002F683E" w:rsidRPr="00C728E0">
              <w:rPr>
                <w:sz w:val="22"/>
                <w:szCs w:val="22"/>
              </w:rPr>
              <w:t xml:space="preserve">определянето на </w:t>
            </w:r>
            <w:r w:rsidR="001406E5" w:rsidRPr="00C728E0">
              <w:rPr>
                <w:sz w:val="22"/>
                <w:szCs w:val="22"/>
              </w:rPr>
              <w:t xml:space="preserve">базовата стойност и целевата стойност на </w:t>
            </w:r>
            <w:r w:rsidR="00953268" w:rsidRPr="00C728E0">
              <w:rPr>
                <w:sz w:val="22"/>
                <w:szCs w:val="22"/>
              </w:rPr>
              <w:t xml:space="preserve">показателите за резултат </w:t>
            </w:r>
            <w:r w:rsidR="001406E5" w:rsidRPr="00C728E0">
              <w:rPr>
                <w:sz w:val="22"/>
                <w:szCs w:val="22"/>
              </w:rPr>
              <w:t xml:space="preserve">да бъде осъществено </w:t>
            </w:r>
            <w:r w:rsidR="002B3499" w:rsidRPr="00C728E0">
              <w:rPr>
                <w:sz w:val="22"/>
                <w:szCs w:val="22"/>
              </w:rPr>
              <w:t xml:space="preserve">след одобрението на ОПОС </w:t>
            </w:r>
            <w:r w:rsidR="001406E5" w:rsidRPr="00C728E0">
              <w:rPr>
                <w:sz w:val="22"/>
                <w:szCs w:val="22"/>
              </w:rPr>
              <w:t>до края на 2016 г., съгласно приет план з</w:t>
            </w:r>
            <w:r w:rsidR="00C716A8">
              <w:rPr>
                <w:sz w:val="22"/>
                <w:szCs w:val="22"/>
              </w:rPr>
              <w:t xml:space="preserve">а действие. </w:t>
            </w:r>
            <w:r w:rsidR="00894291">
              <w:rPr>
                <w:sz w:val="22"/>
                <w:szCs w:val="22"/>
              </w:rPr>
              <w:t>О</w:t>
            </w:r>
            <w:r w:rsidR="00C716A8">
              <w:rPr>
                <w:sz w:val="22"/>
                <w:szCs w:val="22"/>
              </w:rPr>
              <w:t xml:space="preserve">бявяването </w:t>
            </w:r>
            <w:r w:rsidR="001406E5" w:rsidRPr="00C728E0">
              <w:rPr>
                <w:sz w:val="22"/>
                <w:szCs w:val="22"/>
              </w:rPr>
              <w:t xml:space="preserve">на </w:t>
            </w:r>
            <w:r w:rsidR="002B3499" w:rsidRPr="00C728E0">
              <w:rPr>
                <w:sz w:val="22"/>
                <w:szCs w:val="22"/>
              </w:rPr>
              <w:t>първите</w:t>
            </w:r>
            <w:r w:rsidR="001406E5" w:rsidRPr="00C728E0">
              <w:rPr>
                <w:sz w:val="22"/>
                <w:szCs w:val="22"/>
              </w:rPr>
              <w:t xml:space="preserve"> процедури по ос 5 е планирано за </w:t>
            </w:r>
            <w:r w:rsidR="002738B8">
              <w:rPr>
                <w:sz w:val="22"/>
                <w:szCs w:val="22"/>
              </w:rPr>
              <w:t>трето</w:t>
            </w:r>
            <w:r w:rsidR="00847A29">
              <w:rPr>
                <w:sz w:val="22"/>
                <w:szCs w:val="22"/>
              </w:rPr>
              <w:t>то</w:t>
            </w:r>
            <w:r w:rsidR="002738B8">
              <w:rPr>
                <w:sz w:val="22"/>
                <w:szCs w:val="22"/>
              </w:rPr>
              <w:t>/четвърто</w:t>
            </w:r>
            <w:r w:rsidR="00847A29">
              <w:rPr>
                <w:sz w:val="22"/>
                <w:szCs w:val="22"/>
              </w:rPr>
              <w:t>то</w:t>
            </w:r>
            <w:r w:rsidR="001406E5" w:rsidRPr="00C728E0">
              <w:rPr>
                <w:sz w:val="22"/>
                <w:szCs w:val="22"/>
              </w:rPr>
              <w:t xml:space="preserve"> тримесечие на 2016 г. С оглед на изложената специфика на оста </w:t>
            </w:r>
            <w:r w:rsidR="00533994" w:rsidRPr="00C728E0">
              <w:rPr>
                <w:sz w:val="22"/>
                <w:szCs w:val="22"/>
              </w:rPr>
              <w:t>и пилотното й въвеждане в дизайна на програмата</w:t>
            </w:r>
            <w:r w:rsidR="00C333C3">
              <w:rPr>
                <w:sz w:val="22"/>
                <w:szCs w:val="22"/>
              </w:rPr>
              <w:t>,</w:t>
            </w:r>
            <w:r w:rsidR="00533994" w:rsidRPr="00C728E0">
              <w:rPr>
                <w:sz w:val="22"/>
                <w:szCs w:val="22"/>
              </w:rPr>
              <w:t xml:space="preserve"> </w:t>
            </w:r>
            <w:r w:rsidR="00C46D74">
              <w:rPr>
                <w:sz w:val="22"/>
                <w:szCs w:val="22"/>
              </w:rPr>
              <w:t>УО</w:t>
            </w:r>
            <w:r w:rsidR="00392D61">
              <w:rPr>
                <w:sz w:val="22"/>
                <w:szCs w:val="22"/>
              </w:rPr>
              <w:t xml:space="preserve"> </w:t>
            </w:r>
            <w:r w:rsidR="00C716A8">
              <w:rPr>
                <w:sz w:val="22"/>
                <w:szCs w:val="22"/>
              </w:rPr>
              <w:t>предвижда</w:t>
            </w:r>
            <w:r w:rsidR="00392D61">
              <w:rPr>
                <w:sz w:val="22"/>
                <w:szCs w:val="22"/>
              </w:rPr>
              <w:t xml:space="preserve"> извършването на специфична оценка, която да </w:t>
            </w:r>
            <w:r w:rsidR="00F05E16" w:rsidRPr="00C728E0">
              <w:rPr>
                <w:sz w:val="22"/>
                <w:szCs w:val="22"/>
              </w:rPr>
              <w:t xml:space="preserve">се фокусира изцяло върху </w:t>
            </w:r>
            <w:r w:rsidR="001406E5" w:rsidRPr="00C728E0">
              <w:rPr>
                <w:sz w:val="22"/>
                <w:szCs w:val="22"/>
              </w:rPr>
              <w:t>установ</w:t>
            </w:r>
            <w:r w:rsidR="00F05E16" w:rsidRPr="00C728E0">
              <w:rPr>
                <w:sz w:val="22"/>
                <w:szCs w:val="22"/>
              </w:rPr>
              <w:t>яването на</w:t>
            </w:r>
            <w:r w:rsidR="001406E5" w:rsidRPr="00C728E0">
              <w:rPr>
                <w:rFonts w:eastAsia="TimesNewRomanPS-BoldMT" w:cs="TimesNewRomanPS-BoldMT"/>
                <w:b/>
                <w:bCs/>
                <w:color w:val="595959" w:themeColor="text1" w:themeTint="A6"/>
                <w:kern w:val="0"/>
                <w:sz w:val="22"/>
                <w:szCs w:val="22"/>
              </w:rPr>
              <w:t xml:space="preserve"> </w:t>
            </w:r>
            <w:r w:rsidR="001406E5" w:rsidRPr="00C728E0">
              <w:rPr>
                <w:sz w:val="22"/>
                <w:szCs w:val="22"/>
              </w:rPr>
              <w:t>ефективността и ефикасността на процеса по изпълнение на обявените процедури по ос 5 с оглед навременно набелязване на евентуални корективни дейс</w:t>
            </w:r>
            <w:r w:rsidR="00F05E16" w:rsidRPr="00C728E0">
              <w:rPr>
                <w:sz w:val="22"/>
                <w:szCs w:val="22"/>
              </w:rPr>
              <w:t xml:space="preserve">твия за оптимизиране на процеса, както и да </w:t>
            </w:r>
            <w:r w:rsidR="00C716A8">
              <w:rPr>
                <w:sz w:val="22"/>
                <w:szCs w:val="22"/>
              </w:rPr>
              <w:t>се</w:t>
            </w:r>
            <w:r w:rsidR="00C333C3">
              <w:rPr>
                <w:sz w:val="22"/>
                <w:szCs w:val="22"/>
              </w:rPr>
              <w:t xml:space="preserve"> </w:t>
            </w:r>
            <w:r w:rsidR="00F05E16" w:rsidRPr="00C728E0">
              <w:rPr>
                <w:sz w:val="22"/>
                <w:szCs w:val="22"/>
              </w:rPr>
              <w:t>проследи напредък</w:t>
            </w:r>
            <w:r w:rsidR="00C333C3">
              <w:rPr>
                <w:sz w:val="22"/>
                <w:szCs w:val="22"/>
              </w:rPr>
              <w:t>ът</w:t>
            </w:r>
            <w:r w:rsidR="00F05E16" w:rsidRPr="00C728E0">
              <w:rPr>
                <w:sz w:val="22"/>
                <w:szCs w:val="22"/>
              </w:rPr>
              <w:t xml:space="preserve"> в постигането на заложените цели по този приоритет</w:t>
            </w:r>
            <w:r w:rsidR="00392D61">
              <w:rPr>
                <w:sz w:val="22"/>
                <w:szCs w:val="22"/>
              </w:rPr>
              <w:t xml:space="preserve"> към </w:t>
            </w:r>
            <w:r w:rsidR="00776E4C">
              <w:rPr>
                <w:sz w:val="22"/>
                <w:szCs w:val="22"/>
              </w:rPr>
              <w:t xml:space="preserve">средата на </w:t>
            </w:r>
            <w:r w:rsidR="00392D61">
              <w:rPr>
                <w:sz w:val="22"/>
                <w:szCs w:val="22"/>
              </w:rPr>
              <w:t>2019 г.</w:t>
            </w:r>
          </w:p>
          <w:p w:rsidR="00026A39" w:rsidRPr="00C728E0" w:rsidRDefault="00026A39" w:rsidP="00EB274A">
            <w:pPr>
              <w:spacing w:before="60" w:after="60"/>
              <w:jc w:val="both"/>
              <w:rPr>
                <w:sz w:val="22"/>
                <w:szCs w:val="22"/>
              </w:rPr>
            </w:pPr>
            <w:r w:rsidRPr="00392D61">
              <w:rPr>
                <w:b/>
                <w:i/>
                <w:sz w:val="22"/>
                <w:szCs w:val="22"/>
              </w:rPr>
              <w:t>Тип на оценката:</w:t>
            </w:r>
            <w:r w:rsidRPr="00C728E0">
              <w:rPr>
                <w:sz w:val="22"/>
                <w:szCs w:val="22"/>
              </w:rPr>
              <w:t xml:space="preserve"> оценка на изпълнението</w:t>
            </w:r>
            <w:r w:rsidR="00D86F8E" w:rsidRPr="00C728E0">
              <w:rPr>
                <w:sz w:val="22"/>
                <w:szCs w:val="22"/>
              </w:rPr>
              <w:t xml:space="preserve"> </w:t>
            </w:r>
            <w:r w:rsidR="00D86F8E" w:rsidRPr="00006D6A">
              <w:rPr>
                <w:sz w:val="22"/>
                <w:szCs w:val="22"/>
                <w:lang w:val="ru-RU"/>
              </w:rPr>
              <w:t>(</w:t>
            </w:r>
            <w:r w:rsidR="00D86F8E" w:rsidRPr="00C728E0">
              <w:rPr>
                <w:sz w:val="22"/>
                <w:szCs w:val="22"/>
                <w:lang w:val="en-US"/>
              </w:rPr>
              <w:t>implementation</w:t>
            </w:r>
            <w:r w:rsidR="00D86F8E" w:rsidRPr="00006D6A">
              <w:rPr>
                <w:sz w:val="22"/>
                <w:szCs w:val="22"/>
                <w:lang w:val="ru-RU"/>
              </w:rPr>
              <w:t xml:space="preserve"> </w:t>
            </w:r>
            <w:r w:rsidR="00D86F8E" w:rsidRPr="00C728E0">
              <w:rPr>
                <w:sz w:val="22"/>
                <w:szCs w:val="22"/>
                <w:lang w:val="en-US"/>
              </w:rPr>
              <w:t>evaluation</w:t>
            </w:r>
            <w:r w:rsidR="00D86F8E" w:rsidRPr="00006D6A">
              <w:rPr>
                <w:sz w:val="22"/>
                <w:szCs w:val="22"/>
                <w:lang w:val="ru-RU"/>
              </w:rPr>
              <w:t xml:space="preserve">) </w:t>
            </w:r>
          </w:p>
        </w:tc>
      </w:tr>
      <w:tr w:rsidR="009F0BA0" w:rsidRPr="00C728E0" w:rsidTr="009D6101">
        <w:trPr>
          <w:trHeight w:val="669"/>
        </w:trPr>
        <w:tc>
          <w:tcPr>
            <w:tcW w:w="0" w:type="auto"/>
            <w:hideMark/>
          </w:tcPr>
          <w:p w:rsidR="009F0BA0" w:rsidRPr="00C716A8" w:rsidRDefault="00C55850" w:rsidP="00EB274A">
            <w:pPr>
              <w:spacing w:before="60" w:after="60"/>
              <w:jc w:val="both"/>
              <w:rPr>
                <w:rFonts w:cs="Arial"/>
                <w:b/>
                <w:sz w:val="22"/>
                <w:szCs w:val="22"/>
              </w:rPr>
            </w:pPr>
            <w:r w:rsidRPr="00C716A8">
              <w:rPr>
                <w:rFonts w:cs="Arial"/>
                <w:b/>
                <w:sz w:val="22"/>
                <w:szCs w:val="22"/>
              </w:rPr>
              <w:t>Основни въпроси на оценката</w:t>
            </w:r>
          </w:p>
        </w:tc>
        <w:tc>
          <w:tcPr>
            <w:tcW w:w="10878" w:type="dxa"/>
            <w:hideMark/>
          </w:tcPr>
          <w:p w:rsidR="00026A39" w:rsidRPr="00C728E0" w:rsidRDefault="00026A39" w:rsidP="00EB274A">
            <w:pPr>
              <w:spacing w:before="60" w:after="60"/>
              <w:jc w:val="both"/>
              <w:rPr>
                <w:rFonts w:cs="Arial"/>
                <w:sz w:val="22"/>
                <w:szCs w:val="22"/>
              </w:rPr>
            </w:pPr>
            <w:r w:rsidRPr="00C728E0">
              <w:rPr>
                <w:rFonts w:cs="Arial"/>
                <w:sz w:val="22"/>
                <w:szCs w:val="22"/>
              </w:rPr>
              <w:t>Оценката ще изследва, но няма да се ограничава, до следните основни въпроси на оценка:</w:t>
            </w:r>
          </w:p>
          <w:p w:rsidR="001435CE" w:rsidRPr="008E743B" w:rsidRDefault="001435CE" w:rsidP="00EB274A">
            <w:pPr>
              <w:pStyle w:val="ListBullet"/>
              <w:spacing w:before="60" w:after="60"/>
              <w:jc w:val="both"/>
              <w:rPr>
                <w:sz w:val="22"/>
                <w:szCs w:val="22"/>
              </w:rPr>
            </w:pPr>
            <w:r w:rsidRPr="008E743B">
              <w:rPr>
                <w:sz w:val="22"/>
                <w:szCs w:val="22"/>
              </w:rPr>
              <w:t xml:space="preserve">Какъв е напредъкът в постигането на целите </w:t>
            </w:r>
            <w:r>
              <w:rPr>
                <w:sz w:val="22"/>
                <w:szCs w:val="22"/>
              </w:rPr>
              <w:t>по приоритетна ос 5 на ОПОС 2014-2020</w:t>
            </w:r>
            <w:r w:rsidR="00124306">
              <w:rPr>
                <w:sz w:val="22"/>
                <w:szCs w:val="22"/>
              </w:rPr>
              <w:t xml:space="preserve"> г. </w:t>
            </w:r>
            <w:r w:rsidRPr="008E743B">
              <w:rPr>
                <w:sz w:val="22"/>
                <w:szCs w:val="22"/>
              </w:rPr>
              <w:t xml:space="preserve">към </w:t>
            </w:r>
            <w:r w:rsidR="00C12CDC">
              <w:rPr>
                <w:sz w:val="22"/>
                <w:szCs w:val="22"/>
              </w:rPr>
              <w:t>средата</w:t>
            </w:r>
            <w:r w:rsidR="00C12CDC" w:rsidRPr="008E743B">
              <w:rPr>
                <w:sz w:val="22"/>
                <w:szCs w:val="22"/>
              </w:rPr>
              <w:t xml:space="preserve"> </w:t>
            </w:r>
            <w:r w:rsidRPr="008E743B">
              <w:rPr>
                <w:sz w:val="22"/>
                <w:szCs w:val="22"/>
              </w:rPr>
              <w:t>на 201</w:t>
            </w:r>
            <w:r w:rsidR="00C12CDC">
              <w:rPr>
                <w:sz w:val="22"/>
                <w:szCs w:val="22"/>
              </w:rPr>
              <w:t>9</w:t>
            </w:r>
            <w:r w:rsidRPr="008E743B">
              <w:rPr>
                <w:sz w:val="22"/>
                <w:szCs w:val="22"/>
              </w:rPr>
              <w:t xml:space="preserve"> г.? Какво е изпълнението на </w:t>
            </w:r>
            <w:r>
              <w:rPr>
                <w:sz w:val="22"/>
                <w:szCs w:val="22"/>
              </w:rPr>
              <w:t>ос 5</w:t>
            </w:r>
            <w:r w:rsidRPr="008E743B">
              <w:rPr>
                <w:sz w:val="22"/>
                <w:szCs w:val="22"/>
              </w:rPr>
              <w:t xml:space="preserve"> по отношение  на финансовите данни, общите и специфичните индикатори за резултат и количествени целеви стойности? Какви са промените в стойностите на индикаторите за резултат и етапните цели към </w:t>
            </w:r>
            <w:r w:rsidR="006565A6">
              <w:rPr>
                <w:sz w:val="22"/>
                <w:szCs w:val="22"/>
              </w:rPr>
              <w:t>средата на 2019</w:t>
            </w:r>
            <w:r w:rsidRPr="008E743B">
              <w:rPr>
                <w:sz w:val="22"/>
                <w:szCs w:val="22"/>
              </w:rPr>
              <w:t xml:space="preserve"> г.? </w:t>
            </w:r>
          </w:p>
          <w:p w:rsidR="001435CE" w:rsidRPr="008E743B" w:rsidRDefault="001435CE" w:rsidP="00EB274A">
            <w:pPr>
              <w:pStyle w:val="ListBullet"/>
              <w:jc w:val="both"/>
              <w:rPr>
                <w:sz w:val="22"/>
                <w:szCs w:val="22"/>
              </w:rPr>
            </w:pPr>
            <w:r w:rsidRPr="008E743B">
              <w:rPr>
                <w:sz w:val="22"/>
                <w:szCs w:val="22"/>
              </w:rPr>
              <w:t>Доколко</w:t>
            </w:r>
            <w:r w:rsidR="00124306">
              <w:rPr>
                <w:sz w:val="22"/>
                <w:szCs w:val="22"/>
              </w:rPr>
              <w:t xml:space="preserve"> стратегията по приоритетна ос </w:t>
            </w:r>
            <w:r>
              <w:rPr>
                <w:sz w:val="22"/>
                <w:szCs w:val="22"/>
              </w:rPr>
              <w:t xml:space="preserve">5 </w:t>
            </w:r>
            <w:r w:rsidRPr="008E743B">
              <w:rPr>
                <w:sz w:val="22"/>
                <w:szCs w:val="22"/>
              </w:rPr>
              <w:t>съответства на реалната ситуация в</w:t>
            </w:r>
            <w:r>
              <w:rPr>
                <w:sz w:val="22"/>
                <w:szCs w:val="22"/>
              </w:rPr>
              <w:t xml:space="preserve"> сектор „Въздух”</w:t>
            </w:r>
            <w:r w:rsidRPr="008E743B">
              <w:rPr>
                <w:sz w:val="22"/>
                <w:szCs w:val="22"/>
              </w:rPr>
              <w:t xml:space="preserve">? Необходима ли е промяна в стратегията и ако да, какви са основанията за това? Ефективни ли са съществуващите </w:t>
            </w:r>
            <w:r>
              <w:rPr>
                <w:sz w:val="22"/>
                <w:szCs w:val="22"/>
              </w:rPr>
              <w:t xml:space="preserve">процедури и изпълняваните </w:t>
            </w:r>
            <w:r w:rsidRPr="008E743B">
              <w:rPr>
                <w:sz w:val="22"/>
                <w:szCs w:val="22"/>
              </w:rPr>
              <w:t xml:space="preserve">интервенции за </w:t>
            </w:r>
            <w:r w:rsidR="00124306">
              <w:rPr>
                <w:sz w:val="22"/>
                <w:szCs w:val="22"/>
              </w:rPr>
              <w:t>постигане</w:t>
            </w:r>
            <w:r w:rsidRPr="008E743B">
              <w:rPr>
                <w:sz w:val="22"/>
                <w:szCs w:val="22"/>
              </w:rPr>
              <w:t xml:space="preserve"> на </w:t>
            </w:r>
            <w:r>
              <w:rPr>
                <w:sz w:val="22"/>
                <w:szCs w:val="22"/>
              </w:rPr>
              <w:t>поставените цели по ос 5</w:t>
            </w:r>
            <w:r w:rsidRPr="008E743B">
              <w:rPr>
                <w:sz w:val="22"/>
                <w:szCs w:val="22"/>
              </w:rPr>
              <w:t>? Съществуват ли критични фактори, които да оказват негативно влияние върху изпълнението и ефективността на</w:t>
            </w:r>
            <w:r>
              <w:rPr>
                <w:sz w:val="22"/>
                <w:szCs w:val="22"/>
              </w:rPr>
              <w:t xml:space="preserve"> интервенциите по ос 5</w:t>
            </w:r>
            <w:r w:rsidRPr="008E743B">
              <w:rPr>
                <w:sz w:val="22"/>
                <w:szCs w:val="22"/>
              </w:rPr>
              <w:t>?</w:t>
            </w:r>
          </w:p>
          <w:p w:rsidR="00533994" w:rsidRPr="00006D6A" w:rsidRDefault="00533994" w:rsidP="00EB274A">
            <w:pPr>
              <w:pStyle w:val="ListBullet"/>
              <w:spacing w:before="60" w:after="60"/>
              <w:jc w:val="both"/>
              <w:rPr>
                <w:sz w:val="22"/>
                <w:szCs w:val="22"/>
                <w:lang w:val="ru-RU"/>
              </w:rPr>
            </w:pPr>
            <w:r w:rsidRPr="00C728E0">
              <w:rPr>
                <w:sz w:val="22"/>
                <w:szCs w:val="22"/>
              </w:rPr>
              <w:t>В каква степен разработените процедури и правила за провеждане на процедурите по ос 5 са достатъчно ясни и опростени за потенциалните бенефициенти?</w:t>
            </w:r>
            <w:r w:rsidR="00453092">
              <w:rPr>
                <w:sz w:val="22"/>
                <w:szCs w:val="22"/>
              </w:rPr>
              <w:t xml:space="preserve"> </w:t>
            </w:r>
            <w:r w:rsidRPr="00453092">
              <w:rPr>
                <w:sz w:val="22"/>
                <w:szCs w:val="22"/>
              </w:rPr>
              <w:t xml:space="preserve">Доколко ясни и подходящи са въведените критерии за оценка на проектни предложения? Има ли нужда от корективни </w:t>
            </w:r>
            <w:r w:rsidR="00453092" w:rsidRPr="00453092">
              <w:rPr>
                <w:sz w:val="22"/>
                <w:szCs w:val="22"/>
              </w:rPr>
              <w:t xml:space="preserve">действия в </w:t>
            </w:r>
            <w:r w:rsidR="00453092">
              <w:rPr>
                <w:sz w:val="22"/>
                <w:szCs w:val="22"/>
              </w:rPr>
              <w:t>процедурите и реда за и</w:t>
            </w:r>
            <w:r w:rsidR="00453092" w:rsidRPr="00453092">
              <w:rPr>
                <w:sz w:val="22"/>
                <w:szCs w:val="22"/>
              </w:rPr>
              <w:t>зпълнение на интервенциите по ос 5?</w:t>
            </w:r>
          </w:p>
          <w:p w:rsidR="00533994" w:rsidRPr="00006D6A" w:rsidRDefault="00533994" w:rsidP="00EB274A">
            <w:pPr>
              <w:pStyle w:val="ListBullet"/>
              <w:spacing w:before="60" w:after="60"/>
              <w:jc w:val="both"/>
              <w:rPr>
                <w:sz w:val="22"/>
                <w:szCs w:val="22"/>
                <w:lang w:val="ru-RU"/>
              </w:rPr>
            </w:pPr>
            <w:r w:rsidRPr="00C728E0">
              <w:rPr>
                <w:sz w:val="22"/>
                <w:szCs w:val="22"/>
              </w:rPr>
              <w:lastRenderedPageBreak/>
              <w:t>Какви са най-често допусканите грешки от кандидати</w:t>
            </w:r>
            <w:r w:rsidR="00453092">
              <w:rPr>
                <w:sz w:val="22"/>
                <w:szCs w:val="22"/>
              </w:rPr>
              <w:t xml:space="preserve">те в процеса на кандидатстване и </w:t>
            </w:r>
            <w:r w:rsidRPr="00453092">
              <w:rPr>
                <w:sz w:val="22"/>
                <w:szCs w:val="22"/>
              </w:rPr>
              <w:t xml:space="preserve">в процеса на изпълнение на одобрени проекти по ос 5? Кои са възможностите за оптимизиране на процедурите </w:t>
            </w:r>
            <w:r w:rsidR="00D86F8E" w:rsidRPr="00453092">
              <w:rPr>
                <w:sz w:val="22"/>
                <w:szCs w:val="22"/>
              </w:rPr>
              <w:t>по кандидатстване, изпълнение и отчитане на проектите по ос 5?</w:t>
            </w:r>
          </w:p>
          <w:p w:rsidR="001435CE" w:rsidRPr="008E743B" w:rsidRDefault="001435CE" w:rsidP="00EB274A">
            <w:pPr>
              <w:pStyle w:val="ListBullet"/>
              <w:spacing w:before="60" w:after="60"/>
              <w:jc w:val="both"/>
              <w:rPr>
                <w:sz w:val="22"/>
                <w:szCs w:val="22"/>
              </w:rPr>
            </w:pPr>
            <w:r w:rsidRPr="008E743B">
              <w:rPr>
                <w:sz w:val="22"/>
                <w:szCs w:val="22"/>
              </w:rPr>
              <w:t>Какви са качеството и ефективността на оценката на проектните предложения по процедурите за предоставяне на безвъзмездна финансова помощ</w:t>
            </w:r>
            <w:r>
              <w:rPr>
                <w:sz w:val="22"/>
                <w:szCs w:val="22"/>
              </w:rPr>
              <w:t xml:space="preserve"> по ос 5</w:t>
            </w:r>
            <w:r w:rsidRPr="008E743B">
              <w:rPr>
                <w:sz w:val="22"/>
                <w:szCs w:val="22"/>
              </w:rPr>
              <w:t>?</w:t>
            </w:r>
          </w:p>
          <w:p w:rsidR="001435CE" w:rsidRPr="001435CE" w:rsidRDefault="001435CE" w:rsidP="00EB274A">
            <w:pPr>
              <w:pStyle w:val="ListBullet"/>
              <w:spacing w:before="60" w:after="60"/>
              <w:jc w:val="both"/>
              <w:rPr>
                <w:sz w:val="22"/>
                <w:szCs w:val="22"/>
              </w:rPr>
            </w:pPr>
            <w:r w:rsidRPr="008E743B">
              <w:rPr>
                <w:sz w:val="22"/>
                <w:szCs w:val="22"/>
              </w:rPr>
              <w:t xml:space="preserve">Ефективна и функционална ли е системата за събиране на данни за индикаторите </w:t>
            </w:r>
            <w:r>
              <w:rPr>
                <w:sz w:val="22"/>
                <w:szCs w:val="22"/>
              </w:rPr>
              <w:t>по ос 5</w:t>
            </w:r>
            <w:r w:rsidRPr="008E743B">
              <w:rPr>
                <w:sz w:val="22"/>
                <w:szCs w:val="22"/>
              </w:rPr>
              <w:t xml:space="preserve"> с оглед регулярното отчитане на напредъка в изпълнението?</w:t>
            </w:r>
          </w:p>
          <w:p w:rsidR="00453092" w:rsidRPr="008E743B" w:rsidRDefault="00453092" w:rsidP="00EB274A">
            <w:pPr>
              <w:pStyle w:val="ListBullet"/>
              <w:spacing w:before="60" w:after="60"/>
              <w:jc w:val="both"/>
              <w:rPr>
                <w:sz w:val="22"/>
                <w:szCs w:val="22"/>
              </w:rPr>
            </w:pPr>
            <w:r w:rsidRPr="008E743B">
              <w:rPr>
                <w:sz w:val="22"/>
                <w:szCs w:val="22"/>
              </w:rPr>
              <w:t xml:space="preserve">Каква е ефикасността на изпълняваните интервенции по </w:t>
            </w:r>
            <w:r>
              <w:rPr>
                <w:sz w:val="22"/>
                <w:szCs w:val="22"/>
              </w:rPr>
              <w:t xml:space="preserve">ос 5 </w:t>
            </w:r>
            <w:r w:rsidRPr="008E743B">
              <w:rPr>
                <w:sz w:val="22"/>
                <w:szCs w:val="22"/>
              </w:rPr>
              <w:t xml:space="preserve">към </w:t>
            </w:r>
            <w:r w:rsidR="00776E4C">
              <w:rPr>
                <w:sz w:val="22"/>
                <w:szCs w:val="22"/>
              </w:rPr>
              <w:t>средата на</w:t>
            </w:r>
            <w:r w:rsidRPr="008E743B">
              <w:rPr>
                <w:sz w:val="22"/>
                <w:szCs w:val="22"/>
              </w:rPr>
              <w:t xml:space="preserve"> </w:t>
            </w:r>
            <w:r w:rsidR="00776E4C">
              <w:rPr>
                <w:sz w:val="22"/>
                <w:szCs w:val="22"/>
              </w:rPr>
              <w:t>2019</w:t>
            </w:r>
            <w:r w:rsidRPr="008E743B">
              <w:rPr>
                <w:sz w:val="22"/>
                <w:szCs w:val="22"/>
              </w:rPr>
              <w:t xml:space="preserve"> г.?</w:t>
            </w:r>
          </w:p>
          <w:p w:rsidR="00453092" w:rsidRPr="008E743B" w:rsidRDefault="00453092" w:rsidP="00EB274A">
            <w:pPr>
              <w:pStyle w:val="ListBullet"/>
              <w:jc w:val="both"/>
              <w:rPr>
                <w:sz w:val="22"/>
                <w:szCs w:val="22"/>
              </w:rPr>
            </w:pPr>
            <w:r w:rsidRPr="008E743B">
              <w:rPr>
                <w:sz w:val="22"/>
                <w:szCs w:val="22"/>
              </w:rPr>
              <w:t xml:space="preserve">Какво е </w:t>
            </w:r>
            <w:r>
              <w:rPr>
                <w:sz w:val="22"/>
                <w:szCs w:val="22"/>
              </w:rPr>
              <w:t>нивото на изпълнение</w:t>
            </w:r>
            <w:r w:rsidRPr="008E743B">
              <w:rPr>
                <w:sz w:val="22"/>
                <w:szCs w:val="22"/>
              </w:rPr>
              <w:t xml:space="preserve"> на финансовите инструменти </w:t>
            </w:r>
            <w:r>
              <w:rPr>
                <w:sz w:val="22"/>
                <w:szCs w:val="22"/>
              </w:rPr>
              <w:t xml:space="preserve">по ос 5 </w:t>
            </w:r>
            <w:r w:rsidRPr="008E743B">
              <w:rPr>
                <w:sz w:val="22"/>
                <w:szCs w:val="22"/>
              </w:rPr>
              <w:t xml:space="preserve">към </w:t>
            </w:r>
            <w:r w:rsidR="00050FC9">
              <w:rPr>
                <w:sz w:val="22"/>
                <w:szCs w:val="22"/>
              </w:rPr>
              <w:t xml:space="preserve">средата на </w:t>
            </w:r>
            <w:r w:rsidRPr="008E743B">
              <w:rPr>
                <w:sz w:val="22"/>
                <w:szCs w:val="22"/>
              </w:rPr>
              <w:t>201</w:t>
            </w:r>
            <w:r w:rsidR="00050FC9">
              <w:rPr>
                <w:sz w:val="22"/>
                <w:szCs w:val="22"/>
              </w:rPr>
              <w:t>9</w:t>
            </w:r>
            <w:r w:rsidRPr="008E743B">
              <w:rPr>
                <w:sz w:val="22"/>
                <w:szCs w:val="22"/>
              </w:rPr>
              <w:t xml:space="preserve"> г.</w:t>
            </w:r>
            <w:r w:rsidR="00F359BB" w:rsidRPr="00F359BB">
              <w:rPr>
                <w:sz w:val="22"/>
                <w:szCs w:val="22"/>
              </w:rPr>
              <w:t>, в случай че в хода на изпълнение на приоритетната ос се актуализира предварителната оценка на финансовите инструменти по програмата и се въведе възможността за прилагането им конкретно по ос 5?</w:t>
            </w:r>
            <w:r w:rsidRPr="008E743B">
              <w:rPr>
                <w:sz w:val="22"/>
                <w:szCs w:val="22"/>
              </w:rPr>
              <w:t xml:space="preserve"> </w:t>
            </w:r>
            <w:r w:rsidR="00F359BB">
              <w:rPr>
                <w:sz w:val="22"/>
                <w:szCs w:val="22"/>
              </w:rPr>
              <w:t>А</w:t>
            </w:r>
            <w:r w:rsidRPr="008E743B">
              <w:rPr>
                <w:sz w:val="22"/>
                <w:szCs w:val="22"/>
              </w:rPr>
              <w:t xml:space="preserve">декватни ли са те </w:t>
            </w:r>
            <w:r>
              <w:rPr>
                <w:sz w:val="22"/>
                <w:szCs w:val="22"/>
              </w:rPr>
              <w:t>спрямо потребностите в рамките на ос 5</w:t>
            </w:r>
            <w:r w:rsidRPr="008E743B">
              <w:rPr>
                <w:sz w:val="22"/>
                <w:szCs w:val="22"/>
              </w:rPr>
              <w:t>? Какви са основните трудности при използването на финансови инструменти? Пр</w:t>
            </w:r>
            <w:r w:rsidR="008968C1" w:rsidRPr="008E743B">
              <w:rPr>
                <w:sz w:val="22"/>
                <w:szCs w:val="22"/>
              </w:rPr>
              <w:t>е</w:t>
            </w:r>
            <w:r w:rsidRPr="008E743B">
              <w:rPr>
                <w:sz w:val="22"/>
                <w:szCs w:val="22"/>
              </w:rPr>
              <w:t>поръки за подобрения?</w:t>
            </w:r>
          </w:p>
          <w:p w:rsidR="00453092" w:rsidRPr="008E743B" w:rsidRDefault="00453092" w:rsidP="00EB274A">
            <w:pPr>
              <w:pStyle w:val="ListBullet"/>
              <w:spacing w:before="60" w:after="60"/>
              <w:jc w:val="both"/>
              <w:rPr>
                <w:sz w:val="22"/>
                <w:szCs w:val="22"/>
              </w:rPr>
            </w:pPr>
            <w:r w:rsidRPr="008E743B">
              <w:rPr>
                <w:sz w:val="22"/>
                <w:szCs w:val="22"/>
              </w:rPr>
              <w:t>Какви са изводите и препоръките от прегледа на системата за предоставяне на БФП</w:t>
            </w:r>
            <w:r>
              <w:rPr>
                <w:sz w:val="22"/>
                <w:szCs w:val="22"/>
              </w:rPr>
              <w:t xml:space="preserve"> по ос 5</w:t>
            </w:r>
            <w:r w:rsidR="00612DA1">
              <w:rPr>
                <w:sz w:val="22"/>
                <w:szCs w:val="22"/>
              </w:rPr>
              <w:t>?</w:t>
            </w:r>
            <w:r w:rsidRPr="008E743B">
              <w:rPr>
                <w:sz w:val="22"/>
                <w:szCs w:val="22"/>
              </w:rPr>
              <w:t xml:space="preserve"> Как обявените процедури за предоставяне на БФП </w:t>
            </w:r>
            <w:r>
              <w:rPr>
                <w:sz w:val="22"/>
                <w:szCs w:val="22"/>
              </w:rPr>
              <w:t>по ос 5 на ОПОС допринасят з</w:t>
            </w:r>
            <w:r w:rsidRPr="008E743B">
              <w:rPr>
                <w:sz w:val="22"/>
                <w:szCs w:val="22"/>
              </w:rPr>
              <w:t xml:space="preserve">а постигане на целите на </w:t>
            </w:r>
            <w:r>
              <w:rPr>
                <w:sz w:val="22"/>
                <w:szCs w:val="22"/>
              </w:rPr>
              <w:t>оста</w:t>
            </w:r>
            <w:r w:rsidRPr="008E743B">
              <w:rPr>
                <w:sz w:val="22"/>
                <w:szCs w:val="22"/>
              </w:rPr>
              <w:t>? Какво е съответствието на обявените процедури за предоставяне на БФП с постигане</w:t>
            </w:r>
            <w:r>
              <w:rPr>
                <w:sz w:val="22"/>
                <w:szCs w:val="22"/>
              </w:rPr>
              <w:t>то</w:t>
            </w:r>
            <w:r w:rsidRPr="008E743B">
              <w:rPr>
                <w:sz w:val="22"/>
                <w:szCs w:val="22"/>
              </w:rPr>
              <w:t xml:space="preserve"> на целите на </w:t>
            </w:r>
            <w:r>
              <w:rPr>
                <w:sz w:val="22"/>
                <w:szCs w:val="22"/>
              </w:rPr>
              <w:t>оста</w:t>
            </w:r>
            <w:r w:rsidRPr="008E743B">
              <w:rPr>
                <w:sz w:val="22"/>
                <w:szCs w:val="22"/>
              </w:rPr>
              <w:t xml:space="preserve">? Какви са изводите и препоръките за оптимизиране на насоките за кандидатстване, указанията към бенефициентите и др. документи, разработени от </w:t>
            </w:r>
            <w:r w:rsidR="00C46D74">
              <w:rPr>
                <w:sz w:val="22"/>
                <w:szCs w:val="22"/>
              </w:rPr>
              <w:t>УО</w:t>
            </w:r>
            <w:r w:rsidRPr="008E743B">
              <w:rPr>
                <w:sz w:val="22"/>
                <w:szCs w:val="22"/>
              </w:rPr>
              <w:t xml:space="preserve">? </w:t>
            </w:r>
          </w:p>
          <w:p w:rsidR="009F0BA0" w:rsidRPr="00453092" w:rsidRDefault="00453092" w:rsidP="00EB274A">
            <w:pPr>
              <w:pStyle w:val="ListBullet"/>
              <w:spacing w:before="60" w:after="60"/>
              <w:jc w:val="both"/>
              <w:rPr>
                <w:sz w:val="22"/>
                <w:szCs w:val="22"/>
              </w:rPr>
            </w:pPr>
            <w:r w:rsidRPr="008E743B">
              <w:rPr>
                <w:sz w:val="22"/>
                <w:szCs w:val="22"/>
              </w:rPr>
              <w:t>Как</w:t>
            </w:r>
            <w:r>
              <w:rPr>
                <w:sz w:val="22"/>
                <w:szCs w:val="22"/>
              </w:rPr>
              <w:t xml:space="preserve">во е  финансовото изпълнение по ос 5 на </w:t>
            </w:r>
            <w:r w:rsidRPr="008E743B">
              <w:rPr>
                <w:sz w:val="22"/>
                <w:szCs w:val="22"/>
              </w:rPr>
              <w:t xml:space="preserve">ОПОС? Каква е степента на </w:t>
            </w:r>
            <w:proofErr w:type="spellStart"/>
            <w:r w:rsidRPr="008E743B">
              <w:rPr>
                <w:sz w:val="22"/>
                <w:szCs w:val="22"/>
              </w:rPr>
              <w:t>усвояемост</w:t>
            </w:r>
            <w:proofErr w:type="spellEnd"/>
            <w:r w:rsidRPr="008E743B">
              <w:rPr>
                <w:sz w:val="22"/>
                <w:szCs w:val="22"/>
              </w:rPr>
              <w:t xml:space="preserve"> на средствата по </w:t>
            </w:r>
            <w:r>
              <w:rPr>
                <w:sz w:val="22"/>
                <w:szCs w:val="22"/>
              </w:rPr>
              <w:t xml:space="preserve">ос 5 </w:t>
            </w:r>
            <w:r w:rsidRPr="008E743B">
              <w:rPr>
                <w:sz w:val="22"/>
                <w:szCs w:val="22"/>
              </w:rPr>
              <w:t xml:space="preserve">и какви са нуждите от подобрение на процеса на усвояване?  </w:t>
            </w:r>
            <w:r w:rsidR="006565A6" w:rsidRPr="008E743B">
              <w:rPr>
                <w:sz w:val="22"/>
                <w:szCs w:val="22"/>
              </w:rPr>
              <w:t>Необходим</w:t>
            </w:r>
            <w:r w:rsidR="006565A6">
              <w:rPr>
                <w:sz w:val="22"/>
                <w:szCs w:val="22"/>
              </w:rPr>
              <w:t>о</w:t>
            </w:r>
            <w:r w:rsidR="006565A6" w:rsidRPr="008E743B">
              <w:rPr>
                <w:sz w:val="22"/>
                <w:szCs w:val="22"/>
              </w:rPr>
              <w:t xml:space="preserve"> ли е </w:t>
            </w:r>
            <w:r w:rsidR="006565A6">
              <w:rPr>
                <w:sz w:val="22"/>
                <w:szCs w:val="22"/>
              </w:rPr>
              <w:t>прехвърляне</w:t>
            </w:r>
            <w:r w:rsidR="006565A6" w:rsidRPr="008E743B">
              <w:rPr>
                <w:sz w:val="22"/>
                <w:szCs w:val="22"/>
              </w:rPr>
              <w:t xml:space="preserve"> на средства между </w:t>
            </w:r>
            <w:proofErr w:type="spellStart"/>
            <w:r w:rsidR="006565A6" w:rsidRPr="008E743B">
              <w:rPr>
                <w:sz w:val="22"/>
                <w:szCs w:val="22"/>
              </w:rPr>
              <w:t>отдлените</w:t>
            </w:r>
            <w:proofErr w:type="spellEnd"/>
            <w:r w:rsidR="006565A6" w:rsidRPr="008E743B">
              <w:rPr>
                <w:sz w:val="22"/>
                <w:szCs w:val="22"/>
              </w:rPr>
              <w:t xml:space="preserve"> приоритетни оси/по години </w:t>
            </w:r>
            <w:r w:rsidR="006565A6">
              <w:rPr>
                <w:sz w:val="22"/>
                <w:szCs w:val="22"/>
              </w:rPr>
              <w:t xml:space="preserve"> във връзка с прилагането на ос 5 и ако е наложително, какви са причините за това?</w:t>
            </w:r>
          </w:p>
        </w:tc>
      </w:tr>
      <w:tr w:rsidR="009F0BA0" w:rsidRPr="00C728E0" w:rsidTr="009D6101">
        <w:tc>
          <w:tcPr>
            <w:tcW w:w="0" w:type="auto"/>
            <w:hideMark/>
          </w:tcPr>
          <w:p w:rsidR="009F0BA0" w:rsidRPr="00C716A8" w:rsidRDefault="00C55850" w:rsidP="00EB274A">
            <w:pPr>
              <w:spacing w:before="60" w:after="60"/>
              <w:jc w:val="both"/>
              <w:rPr>
                <w:rFonts w:cs="Arial"/>
                <w:b/>
                <w:sz w:val="22"/>
                <w:szCs w:val="22"/>
              </w:rPr>
            </w:pPr>
            <w:r w:rsidRPr="00C716A8">
              <w:rPr>
                <w:rFonts w:cs="Arial"/>
                <w:b/>
                <w:sz w:val="22"/>
                <w:szCs w:val="22"/>
              </w:rPr>
              <w:lastRenderedPageBreak/>
              <w:t>Методи за оценка</w:t>
            </w:r>
          </w:p>
        </w:tc>
        <w:tc>
          <w:tcPr>
            <w:tcW w:w="10878" w:type="dxa"/>
            <w:hideMark/>
          </w:tcPr>
          <w:p w:rsidR="008E743B" w:rsidRDefault="008E743B" w:rsidP="00EB274A">
            <w:pPr>
              <w:pStyle w:val="ListBullet"/>
              <w:spacing w:before="60" w:after="60"/>
              <w:ind w:left="720"/>
              <w:jc w:val="both"/>
              <w:rPr>
                <w:sz w:val="22"/>
                <w:szCs w:val="22"/>
              </w:rPr>
            </w:pPr>
            <w:r w:rsidRPr="008E743B">
              <w:rPr>
                <w:rFonts w:cs="Arial"/>
                <w:sz w:val="22"/>
                <w:szCs w:val="22"/>
              </w:rPr>
              <w:t>О</w:t>
            </w:r>
            <w:r w:rsidRPr="008E743B">
              <w:rPr>
                <w:sz w:val="22"/>
                <w:szCs w:val="22"/>
              </w:rPr>
              <w:t>ценката на изпълнението ще се реализира чрез съчетаването на следните изследователски методи:</w:t>
            </w:r>
          </w:p>
          <w:p w:rsidR="00C728E0" w:rsidRPr="00C728E0" w:rsidRDefault="00C728E0" w:rsidP="00EB274A">
            <w:pPr>
              <w:pStyle w:val="ListBullet"/>
              <w:spacing w:before="60" w:after="60"/>
              <w:ind w:left="1080"/>
              <w:jc w:val="both"/>
              <w:rPr>
                <w:sz w:val="22"/>
                <w:szCs w:val="22"/>
              </w:rPr>
            </w:pPr>
            <w:r w:rsidRPr="00C728E0">
              <w:rPr>
                <w:sz w:val="22"/>
                <w:szCs w:val="22"/>
              </w:rPr>
              <w:t>Кабинетни проучвания за набиране и анализ на вторична информация</w:t>
            </w:r>
            <w:r w:rsidR="00F75DAB">
              <w:rPr>
                <w:sz w:val="22"/>
                <w:szCs w:val="22"/>
              </w:rPr>
              <w:t>;</w:t>
            </w:r>
          </w:p>
          <w:p w:rsidR="00C728E0" w:rsidRPr="00C728E0" w:rsidRDefault="00C728E0" w:rsidP="00EB274A">
            <w:pPr>
              <w:pStyle w:val="ListBullet"/>
              <w:spacing w:before="60" w:after="60"/>
              <w:ind w:left="1080"/>
              <w:jc w:val="both"/>
              <w:rPr>
                <w:sz w:val="22"/>
                <w:szCs w:val="22"/>
              </w:rPr>
            </w:pPr>
            <w:r w:rsidRPr="00C728E0">
              <w:rPr>
                <w:sz w:val="22"/>
                <w:szCs w:val="22"/>
              </w:rPr>
              <w:t xml:space="preserve">Количествени проучвания за набиране на първични данни чрез анкети, вкл. онлайн анкети, сред заинтересовани страни </w:t>
            </w:r>
            <w:r w:rsidRPr="00006D6A">
              <w:rPr>
                <w:sz w:val="22"/>
                <w:szCs w:val="22"/>
                <w:lang w:val="ru-RU"/>
              </w:rPr>
              <w:t>(</w:t>
            </w:r>
            <w:r w:rsidRPr="00C728E0">
              <w:rPr>
                <w:sz w:val="22"/>
                <w:szCs w:val="22"/>
              </w:rPr>
              <w:t>бенефициенти, потенциални бенефициент</w:t>
            </w:r>
            <w:r w:rsidR="008E743B">
              <w:rPr>
                <w:sz w:val="22"/>
                <w:szCs w:val="22"/>
              </w:rPr>
              <w:t xml:space="preserve">и </w:t>
            </w:r>
            <w:r w:rsidRPr="00C728E0">
              <w:rPr>
                <w:sz w:val="22"/>
                <w:szCs w:val="22"/>
              </w:rPr>
              <w:t>и др.</w:t>
            </w:r>
            <w:r w:rsidRPr="00006D6A">
              <w:rPr>
                <w:sz w:val="22"/>
                <w:szCs w:val="22"/>
                <w:lang w:val="ru-RU"/>
              </w:rPr>
              <w:t>)</w:t>
            </w:r>
            <w:r w:rsidR="00F75DAB">
              <w:rPr>
                <w:sz w:val="22"/>
                <w:szCs w:val="22"/>
                <w:lang w:val="ru-RU"/>
              </w:rPr>
              <w:t>;</w:t>
            </w:r>
          </w:p>
          <w:p w:rsidR="00C728E0" w:rsidRPr="00C728E0" w:rsidRDefault="00C728E0" w:rsidP="00EB274A">
            <w:pPr>
              <w:pStyle w:val="ListBullet"/>
              <w:spacing w:before="60" w:after="60"/>
              <w:ind w:left="1080"/>
              <w:jc w:val="both"/>
              <w:rPr>
                <w:sz w:val="22"/>
                <w:szCs w:val="22"/>
              </w:rPr>
            </w:pPr>
            <w:r w:rsidRPr="00C728E0">
              <w:rPr>
                <w:sz w:val="22"/>
                <w:szCs w:val="22"/>
              </w:rPr>
              <w:t xml:space="preserve">Качествени проучвания чрез фокус групи, експертни панели, дълбочинни интервюта с </w:t>
            </w:r>
            <w:r w:rsidR="00C46D74">
              <w:rPr>
                <w:sz w:val="22"/>
                <w:szCs w:val="22"/>
              </w:rPr>
              <w:t>УО</w:t>
            </w:r>
            <w:r w:rsidRPr="00C728E0">
              <w:rPr>
                <w:sz w:val="22"/>
                <w:szCs w:val="22"/>
              </w:rPr>
              <w:t>, др. институционални партньори, членове на КН на ОПОС, бенефициенти и др.</w:t>
            </w:r>
            <w:r w:rsidR="00F75DAB">
              <w:rPr>
                <w:sz w:val="22"/>
                <w:szCs w:val="22"/>
              </w:rPr>
              <w:t>;</w:t>
            </w:r>
          </w:p>
          <w:p w:rsidR="009F0BA0" w:rsidRPr="00006D6A" w:rsidRDefault="00C728E0" w:rsidP="00EB274A">
            <w:pPr>
              <w:pStyle w:val="ListBullet"/>
              <w:spacing w:before="60" w:after="60"/>
              <w:ind w:left="1077"/>
              <w:jc w:val="both"/>
              <w:rPr>
                <w:rFonts w:cs="Arial"/>
                <w:sz w:val="22"/>
                <w:szCs w:val="22"/>
                <w:lang w:val="ru-RU"/>
              </w:rPr>
            </w:pPr>
            <w:r w:rsidRPr="00C728E0">
              <w:rPr>
                <w:sz w:val="22"/>
                <w:szCs w:val="22"/>
              </w:rPr>
              <w:t>Анализ разходи-ползи/ разходи-ефективност за целите на оценка на ефикасността на изпълнението на ос 5 на ОПОС 2014-2020</w:t>
            </w:r>
            <w:r w:rsidR="00F75DAB">
              <w:rPr>
                <w:sz w:val="22"/>
                <w:szCs w:val="22"/>
              </w:rPr>
              <w:t xml:space="preserve"> г.</w:t>
            </w:r>
          </w:p>
        </w:tc>
      </w:tr>
      <w:tr w:rsidR="009F0BA0" w:rsidRPr="00C728E0" w:rsidTr="009D6101">
        <w:tc>
          <w:tcPr>
            <w:tcW w:w="0" w:type="auto"/>
            <w:hideMark/>
          </w:tcPr>
          <w:p w:rsidR="009F0BA0" w:rsidRPr="00C716A8" w:rsidRDefault="00C55850" w:rsidP="00EB274A">
            <w:pPr>
              <w:spacing w:before="60" w:after="60"/>
              <w:jc w:val="both"/>
              <w:rPr>
                <w:rFonts w:cs="Arial"/>
                <w:b/>
                <w:sz w:val="22"/>
                <w:szCs w:val="22"/>
              </w:rPr>
            </w:pPr>
            <w:r w:rsidRPr="00C716A8">
              <w:rPr>
                <w:rFonts w:cs="Arial"/>
                <w:b/>
                <w:sz w:val="22"/>
                <w:szCs w:val="22"/>
              </w:rPr>
              <w:lastRenderedPageBreak/>
              <w:t>Източници на информация</w:t>
            </w:r>
          </w:p>
        </w:tc>
        <w:tc>
          <w:tcPr>
            <w:tcW w:w="10878" w:type="dxa"/>
            <w:hideMark/>
          </w:tcPr>
          <w:p w:rsidR="00C728E0" w:rsidRPr="00006D6A" w:rsidRDefault="00C728E0" w:rsidP="00EB274A">
            <w:pPr>
              <w:pStyle w:val="ListBullet"/>
              <w:spacing w:before="60" w:after="60"/>
              <w:jc w:val="both"/>
              <w:rPr>
                <w:sz w:val="22"/>
                <w:szCs w:val="22"/>
                <w:lang w:val="ru-RU"/>
              </w:rPr>
            </w:pPr>
            <w:r w:rsidRPr="00C728E0">
              <w:rPr>
                <w:sz w:val="22"/>
                <w:szCs w:val="22"/>
              </w:rPr>
              <w:t>Информация за изпълнението на ос 5</w:t>
            </w:r>
            <w:r w:rsidR="005259F8">
              <w:rPr>
                <w:sz w:val="22"/>
                <w:szCs w:val="22"/>
              </w:rPr>
              <w:t xml:space="preserve"> на ОПОС 2014-2020</w:t>
            </w:r>
            <w:r w:rsidR="00F75DAB">
              <w:rPr>
                <w:sz w:val="22"/>
                <w:szCs w:val="22"/>
              </w:rPr>
              <w:t xml:space="preserve"> г.</w:t>
            </w:r>
            <w:r w:rsidR="005259F8">
              <w:rPr>
                <w:sz w:val="22"/>
                <w:szCs w:val="22"/>
              </w:rPr>
              <w:t>, предоставена</w:t>
            </w:r>
            <w:r w:rsidRPr="00C728E0">
              <w:rPr>
                <w:sz w:val="22"/>
                <w:szCs w:val="22"/>
              </w:rPr>
              <w:t xml:space="preserve"> от </w:t>
            </w:r>
            <w:r w:rsidR="00C46D74">
              <w:rPr>
                <w:sz w:val="22"/>
                <w:szCs w:val="22"/>
              </w:rPr>
              <w:t>УО</w:t>
            </w:r>
            <w:r w:rsidR="00F80BEC">
              <w:rPr>
                <w:sz w:val="22"/>
                <w:szCs w:val="22"/>
              </w:rPr>
              <w:t>/ МОСВ</w:t>
            </w:r>
            <w:r w:rsidRPr="00C728E0">
              <w:rPr>
                <w:sz w:val="22"/>
                <w:szCs w:val="22"/>
              </w:rPr>
              <w:t>, в т.ч. данни за ос 5 от годишните доклади за изпълнението на програмата до 2018 г. включително и всички други релевантни документи</w:t>
            </w:r>
            <w:r w:rsidR="00F75DAB">
              <w:rPr>
                <w:sz w:val="22"/>
                <w:szCs w:val="22"/>
              </w:rPr>
              <w:t>;</w:t>
            </w:r>
          </w:p>
          <w:p w:rsidR="00C728E0" w:rsidRPr="00006D6A" w:rsidRDefault="00C728E0" w:rsidP="00EB274A">
            <w:pPr>
              <w:pStyle w:val="ListBullet"/>
              <w:spacing w:before="60" w:after="60"/>
              <w:jc w:val="both"/>
              <w:rPr>
                <w:sz w:val="22"/>
                <w:szCs w:val="22"/>
                <w:lang w:val="ru-RU"/>
              </w:rPr>
            </w:pPr>
            <w:r w:rsidRPr="00C728E0">
              <w:rPr>
                <w:sz w:val="22"/>
                <w:szCs w:val="22"/>
              </w:rPr>
              <w:t>Информация от доклади</w:t>
            </w:r>
            <w:r w:rsidR="00F80BEC">
              <w:rPr>
                <w:sz w:val="22"/>
                <w:szCs w:val="22"/>
              </w:rPr>
              <w:t xml:space="preserve"> за напредъка по одобрените проекти </w:t>
            </w:r>
            <w:r w:rsidRPr="00C728E0">
              <w:rPr>
                <w:sz w:val="22"/>
                <w:szCs w:val="22"/>
              </w:rPr>
              <w:t>по ос 5 на ОПОС 2014-2020</w:t>
            </w:r>
            <w:r w:rsidR="0041256B">
              <w:rPr>
                <w:sz w:val="22"/>
                <w:szCs w:val="22"/>
              </w:rPr>
              <w:t xml:space="preserve"> г.</w:t>
            </w:r>
            <w:r w:rsidR="00F80BEC">
              <w:rPr>
                <w:sz w:val="22"/>
                <w:szCs w:val="22"/>
              </w:rPr>
              <w:t>, подавани от бенефициентите</w:t>
            </w:r>
            <w:r w:rsidR="00F75DAB">
              <w:rPr>
                <w:sz w:val="22"/>
                <w:szCs w:val="22"/>
              </w:rPr>
              <w:t>;</w:t>
            </w:r>
          </w:p>
          <w:p w:rsidR="00C728E0" w:rsidRPr="00006D6A" w:rsidRDefault="00C728E0" w:rsidP="00EB274A">
            <w:pPr>
              <w:pStyle w:val="ListBullet"/>
              <w:spacing w:before="60" w:after="60"/>
              <w:jc w:val="both"/>
              <w:rPr>
                <w:sz w:val="22"/>
                <w:szCs w:val="22"/>
                <w:lang w:val="ru-RU"/>
              </w:rPr>
            </w:pPr>
            <w:r w:rsidRPr="00C728E0">
              <w:rPr>
                <w:sz w:val="22"/>
                <w:szCs w:val="22"/>
              </w:rPr>
              <w:t xml:space="preserve">Данни от ИСУН </w:t>
            </w:r>
            <w:r w:rsidR="00F75DAB">
              <w:rPr>
                <w:sz w:val="22"/>
                <w:szCs w:val="22"/>
              </w:rPr>
              <w:t xml:space="preserve">2020 </w:t>
            </w:r>
            <w:r w:rsidRPr="00C728E0">
              <w:rPr>
                <w:sz w:val="22"/>
                <w:szCs w:val="22"/>
              </w:rPr>
              <w:t xml:space="preserve">за </w:t>
            </w:r>
            <w:r w:rsidR="00F75DAB">
              <w:rPr>
                <w:sz w:val="22"/>
                <w:szCs w:val="22"/>
              </w:rPr>
              <w:t xml:space="preserve">приоритетна </w:t>
            </w:r>
            <w:r w:rsidRPr="00C728E0">
              <w:rPr>
                <w:sz w:val="22"/>
                <w:szCs w:val="22"/>
              </w:rPr>
              <w:t>ос 5 на ОПОС 2014-2020</w:t>
            </w:r>
            <w:r w:rsidR="00F75DAB">
              <w:rPr>
                <w:sz w:val="22"/>
                <w:szCs w:val="22"/>
              </w:rPr>
              <w:t xml:space="preserve"> г.</w:t>
            </w:r>
            <w:r w:rsidRPr="00C728E0">
              <w:rPr>
                <w:sz w:val="22"/>
                <w:szCs w:val="22"/>
              </w:rPr>
              <w:t xml:space="preserve"> </w:t>
            </w:r>
          </w:p>
          <w:p w:rsidR="00C728E0" w:rsidRPr="00006D6A" w:rsidRDefault="00C728E0" w:rsidP="00EB274A">
            <w:pPr>
              <w:pStyle w:val="ListBullet"/>
              <w:spacing w:before="60" w:after="60"/>
              <w:jc w:val="both"/>
              <w:rPr>
                <w:sz w:val="22"/>
                <w:szCs w:val="22"/>
                <w:lang w:val="ru-RU"/>
              </w:rPr>
            </w:pPr>
            <w:r w:rsidRPr="00C728E0">
              <w:rPr>
                <w:sz w:val="22"/>
                <w:szCs w:val="22"/>
              </w:rPr>
              <w:t xml:space="preserve">Данни от НСИ и </w:t>
            </w:r>
            <w:proofErr w:type="spellStart"/>
            <w:r w:rsidRPr="00C728E0">
              <w:rPr>
                <w:sz w:val="22"/>
                <w:szCs w:val="22"/>
              </w:rPr>
              <w:t>Евростат</w:t>
            </w:r>
            <w:proofErr w:type="spellEnd"/>
            <w:r w:rsidRPr="00C728E0">
              <w:rPr>
                <w:sz w:val="22"/>
                <w:szCs w:val="22"/>
              </w:rPr>
              <w:t xml:space="preserve"> във връзка с </w:t>
            </w:r>
            <w:r w:rsidRPr="00C728E0">
              <w:rPr>
                <w:rFonts w:cs="Arial"/>
                <w:sz w:val="22"/>
                <w:szCs w:val="22"/>
              </w:rPr>
              <w:t>качеството на атмосферния въздух на национално и европейско ниво</w:t>
            </w:r>
            <w:r w:rsidR="00F75DAB">
              <w:rPr>
                <w:rFonts w:cs="Arial"/>
                <w:sz w:val="22"/>
                <w:szCs w:val="22"/>
              </w:rPr>
              <w:t>;</w:t>
            </w:r>
          </w:p>
          <w:p w:rsidR="009F0BA0" w:rsidRPr="00006D6A" w:rsidRDefault="00C728E0" w:rsidP="00EB274A">
            <w:pPr>
              <w:pStyle w:val="ListBullet"/>
              <w:spacing w:before="60" w:after="60"/>
              <w:jc w:val="both"/>
              <w:rPr>
                <w:rFonts w:cs="Arial"/>
                <w:sz w:val="22"/>
                <w:szCs w:val="22"/>
                <w:lang w:val="ru-RU"/>
              </w:rPr>
            </w:pPr>
            <w:r w:rsidRPr="00C728E0">
              <w:rPr>
                <w:sz w:val="22"/>
                <w:szCs w:val="22"/>
              </w:rPr>
              <w:t>Първични данни от количествени и качествени проучвания</w:t>
            </w:r>
            <w:r w:rsidR="00F75DAB">
              <w:rPr>
                <w:sz w:val="22"/>
                <w:szCs w:val="22"/>
              </w:rPr>
              <w:t>.</w:t>
            </w:r>
          </w:p>
        </w:tc>
      </w:tr>
      <w:tr w:rsidR="009F0BA0" w:rsidRPr="00C728E0" w:rsidTr="009D6101">
        <w:tc>
          <w:tcPr>
            <w:tcW w:w="0" w:type="auto"/>
            <w:hideMark/>
          </w:tcPr>
          <w:p w:rsidR="009F0BA0" w:rsidRPr="00C716A8" w:rsidRDefault="00C55850" w:rsidP="00EB274A">
            <w:pPr>
              <w:spacing w:before="60" w:after="60"/>
              <w:jc w:val="both"/>
              <w:rPr>
                <w:rFonts w:cs="Arial"/>
                <w:b/>
                <w:sz w:val="22"/>
                <w:szCs w:val="22"/>
                <w:lang w:val="en-GB"/>
              </w:rPr>
            </w:pPr>
            <w:r w:rsidRPr="00C716A8">
              <w:rPr>
                <w:rFonts w:cs="Arial"/>
                <w:b/>
                <w:sz w:val="22"/>
                <w:szCs w:val="22"/>
              </w:rPr>
              <w:t>Времеви обхват на оценката</w:t>
            </w:r>
            <w:r w:rsidR="00970A3B">
              <w:rPr>
                <w:rStyle w:val="FootnoteReference"/>
                <w:rFonts w:cs="Arial"/>
                <w:b/>
                <w:sz w:val="22"/>
                <w:szCs w:val="22"/>
              </w:rPr>
              <w:footnoteReference w:id="9"/>
            </w:r>
            <w:r w:rsidR="009F0BA0" w:rsidRPr="00C716A8">
              <w:rPr>
                <w:rFonts w:cs="Arial"/>
                <w:b/>
                <w:sz w:val="22"/>
                <w:szCs w:val="22"/>
                <w:lang w:val="en-GB"/>
              </w:rPr>
              <w:t xml:space="preserve"> </w:t>
            </w:r>
          </w:p>
        </w:tc>
        <w:tc>
          <w:tcPr>
            <w:tcW w:w="10878" w:type="dxa"/>
            <w:hideMark/>
          </w:tcPr>
          <w:p w:rsidR="009F0BA0" w:rsidRPr="00C728E0" w:rsidRDefault="006565A6" w:rsidP="00EB274A">
            <w:pPr>
              <w:spacing w:before="60" w:after="60"/>
              <w:jc w:val="both"/>
              <w:rPr>
                <w:rFonts w:cs="Arial"/>
                <w:sz w:val="22"/>
                <w:szCs w:val="22"/>
              </w:rPr>
            </w:pPr>
            <w:r>
              <w:rPr>
                <w:rFonts w:cs="Arial"/>
                <w:sz w:val="22"/>
                <w:szCs w:val="22"/>
              </w:rPr>
              <w:t>юни 2015</w:t>
            </w:r>
            <w:r w:rsidR="00D27033">
              <w:rPr>
                <w:rFonts w:cs="Arial"/>
                <w:sz w:val="22"/>
                <w:szCs w:val="22"/>
              </w:rPr>
              <w:t xml:space="preserve"> г.</w:t>
            </w:r>
            <w:r>
              <w:rPr>
                <w:rFonts w:cs="Arial"/>
                <w:sz w:val="22"/>
                <w:szCs w:val="22"/>
              </w:rPr>
              <w:t xml:space="preserve"> -</w:t>
            </w:r>
            <w:r w:rsidR="00B21430">
              <w:rPr>
                <w:rFonts w:cs="Arial"/>
                <w:sz w:val="22"/>
                <w:szCs w:val="22"/>
              </w:rPr>
              <w:t xml:space="preserve"> </w:t>
            </w:r>
            <w:r w:rsidR="00E96950" w:rsidRPr="00E96950">
              <w:rPr>
                <w:rFonts w:cs="Arial"/>
                <w:sz w:val="22"/>
                <w:szCs w:val="22"/>
              </w:rPr>
              <w:t>юни 2019</w:t>
            </w:r>
            <w:r w:rsidR="00E548D9">
              <w:rPr>
                <w:rFonts w:cs="Arial"/>
                <w:sz w:val="22"/>
                <w:szCs w:val="22"/>
              </w:rPr>
              <w:t xml:space="preserve"> г.</w:t>
            </w:r>
          </w:p>
        </w:tc>
      </w:tr>
      <w:tr w:rsidR="009F0BA0" w:rsidRPr="00C728E0" w:rsidTr="009D6101">
        <w:trPr>
          <w:trHeight w:val="305"/>
        </w:trPr>
        <w:tc>
          <w:tcPr>
            <w:tcW w:w="0" w:type="auto"/>
            <w:hideMark/>
          </w:tcPr>
          <w:p w:rsidR="009F0BA0" w:rsidRPr="00C716A8" w:rsidRDefault="00ED043F" w:rsidP="00EB274A">
            <w:pPr>
              <w:spacing w:before="60" w:after="60"/>
              <w:jc w:val="both"/>
              <w:rPr>
                <w:rFonts w:cs="Arial"/>
                <w:b/>
                <w:sz w:val="22"/>
                <w:szCs w:val="22"/>
                <w:lang w:val="en-GB"/>
              </w:rPr>
            </w:pPr>
            <w:r w:rsidRPr="00C716A8">
              <w:rPr>
                <w:rFonts w:cs="Arial"/>
                <w:b/>
                <w:sz w:val="22"/>
                <w:szCs w:val="22"/>
              </w:rPr>
              <w:t>Продължителност</w:t>
            </w:r>
            <w:r w:rsidR="009F0BA0" w:rsidRPr="00C716A8">
              <w:rPr>
                <w:rFonts w:cs="Arial"/>
                <w:b/>
                <w:sz w:val="22"/>
                <w:szCs w:val="22"/>
                <w:lang w:val="en-GB"/>
              </w:rPr>
              <w:t xml:space="preserve"> </w:t>
            </w:r>
          </w:p>
        </w:tc>
        <w:tc>
          <w:tcPr>
            <w:tcW w:w="10878" w:type="dxa"/>
            <w:hideMark/>
          </w:tcPr>
          <w:p w:rsidR="009F0BA0" w:rsidRPr="00C728E0" w:rsidRDefault="009F0BA0" w:rsidP="00EB274A">
            <w:pPr>
              <w:spacing w:before="60" w:after="60"/>
              <w:jc w:val="both"/>
              <w:rPr>
                <w:rFonts w:cs="Arial"/>
                <w:sz w:val="22"/>
                <w:szCs w:val="22"/>
              </w:rPr>
            </w:pPr>
            <w:r w:rsidRPr="00C728E0">
              <w:rPr>
                <w:rFonts w:cs="Arial"/>
                <w:sz w:val="22"/>
                <w:szCs w:val="22"/>
                <w:lang w:val="en-GB"/>
              </w:rPr>
              <w:t xml:space="preserve">6 </w:t>
            </w:r>
            <w:r w:rsidR="00ED043F" w:rsidRPr="00C728E0">
              <w:rPr>
                <w:rFonts w:cs="Arial"/>
                <w:sz w:val="22"/>
                <w:szCs w:val="22"/>
              </w:rPr>
              <w:t>месеца</w:t>
            </w:r>
          </w:p>
        </w:tc>
      </w:tr>
      <w:tr w:rsidR="00667FB2" w:rsidRPr="00C728E0" w:rsidTr="009D6101">
        <w:tc>
          <w:tcPr>
            <w:tcW w:w="0" w:type="auto"/>
            <w:hideMark/>
          </w:tcPr>
          <w:p w:rsidR="00667FB2" w:rsidRPr="00C716A8" w:rsidRDefault="00667FB2" w:rsidP="00EB274A">
            <w:pPr>
              <w:spacing w:before="60" w:after="60"/>
              <w:jc w:val="both"/>
              <w:rPr>
                <w:rFonts w:cs="Arial"/>
                <w:b/>
                <w:sz w:val="22"/>
                <w:szCs w:val="22"/>
              </w:rPr>
            </w:pPr>
            <w:r w:rsidRPr="00C716A8">
              <w:rPr>
                <w:rFonts w:cs="Arial"/>
                <w:b/>
                <w:sz w:val="22"/>
                <w:szCs w:val="22"/>
              </w:rPr>
              <w:t>Индикативна начална дата</w:t>
            </w:r>
          </w:p>
        </w:tc>
        <w:tc>
          <w:tcPr>
            <w:tcW w:w="10878" w:type="dxa"/>
            <w:hideMark/>
          </w:tcPr>
          <w:p w:rsidR="00667FB2" w:rsidRPr="00C728E0" w:rsidRDefault="00667FB2" w:rsidP="00EB274A">
            <w:pPr>
              <w:spacing w:before="60" w:after="60"/>
              <w:jc w:val="both"/>
              <w:rPr>
                <w:rFonts w:cs="Arial"/>
                <w:sz w:val="22"/>
                <w:szCs w:val="22"/>
              </w:rPr>
            </w:pPr>
            <w:r w:rsidRPr="00C728E0">
              <w:rPr>
                <w:rFonts w:cs="Arial"/>
                <w:sz w:val="22"/>
                <w:szCs w:val="22"/>
              </w:rPr>
              <w:t>15.</w:t>
            </w:r>
            <w:r w:rsidRPr="00E30C91">
              <w:rPr>
                <w:rFonts w:cs="Arial"/>
                <w:sz w:val="22"/>
                <w:szCs w:val="22"/>
              </w:rPr>
              <w:t>02</w:t>
            </w:r>
            <w:r w:rsidRPr="00C728E0">
              <w:rPr>
                <w:rFonts w:cs="Arial"/>
                <w:sz w:val="22"/>
                <w:szCs w:val="22"/>
              </w:rPr>
              <w:t>.2019</w:t>
            </w:r>
            <w:r w:rsidR="00E548D9">
              <w:rPr>
                <w:rFonts w:cs="Arial"/>
                <w:sz w:val="22"/>
                <w:szCs w:val="22"/>
              </w:rPr>
              <w:t xml:space="preserve"> г.</w:t>
            </w:r>
          </w:p>
        </w:tc>
      </w:tr>
      <w:tr w:rsidR="009F0BA0" w:rsidRPr="00C728E0" w:rsidTr="009D6101">
        <w:tc>
          <w:tcPr>
            <w:tcW w:w="0" w:type="auto"/>
            <w:hideMark/>
          </w:tcPr>
          <w:p w:rsidR="009F0BA0" w:rsidRPr="00C716A8" w:rsidRDefault="00ED043F" w:rsidP="00EB274A">
            <w:pPr>
              <w:spacing w:before="60" w:after="60"/>
              <w:jc w:val="both"/>
              <w:rPr>
                <w:rFonts w:cs="Arial"/>
                <w:b/>
                <w:sz w:val="22"/>
                <w:szCs w:val="22"/>
                <w:lang w:val="en-GB"/>
              </w:rPr>
            </w:pPr>
            <w:r w:rsidRPr="00C716A8">
              <w:rPr>
                <w:rFonts w:cs="Arial"/>
                <w:b/>
                <w:sz w:val="22"/>
                <w:szCs w:val="22"/>
              </w:rPr>
              <w:t>Прогнозен бюджет</w:t>
            </w:r>
            <w:r w:rsidR="009F0BA0" w:rsidRPr="00C716A8">
              <w:rPr>
                <w:rFonts w:cs="Arial"/>
                <w:b/>
                <w:sz w:val="22"/>
                <w:szCs w:val="22"/>
                <w:lang w:val="en-GB"/>
              </w:rPr>
              <w:t xml:space="preserve"> </w:t>
            </w:r>
          </w:p>
        </w:tc>
        <w:tc>
          <w:tcPr>
            <w:tcW w:w="10878" w:type="dxa"/>
            <w:hideMark/>
          </w:tcPr>
          <w:p w:rsidR="009F0BA0" w:rsidRPr="00C728E0" w:rsidRDefault="00AF1339" w:rsidP="00EB274A">
            <w:pPr>
              <w:spacing w:before="60" w:after="60"/>
              <w:jc w:val="both"/>
              <w:rPr>
                <w:rFonts w:cs="Arial"/>
                <w:sz w:val="22"/>
                <w:szCs w:val="22"/>
              </w:rPr>
            </w:pPr>
            <w:r w:rsidRPr="00C728E0">
              <w:rPr>
                <w:rFonts w:cs="Arial"/>
                <w:sz w:val="22"/>
                <w:szCs w:val="22"/>
                <w:lang w:val="en-GB"/>
              </w:rPr>
              <w:t>1</w:t>
            </w:r>
            <w:r w:rsidRPr="00C728E0">
              <w:rPr>
                <w:rFonts w:cs="Arial"/>
                <w:sz w:val="22"/>
                <w:szCs w:val="22"/>
              </w:rPr>
              <w:t>0</w:t>
            </w:r>
            <w:r w:rsidR="009F0BA0" w:rsidRPr="00C728E0">
              <w:rPr>
                <w:rFonts w:cs="Arial"/>
                <w:sz w:val="22"/>
                <w:szCs w:val="22"/>
                <w:lang w:val="en-GB"/>
              </w:rPr>
              <w:t>0</w:t>
            </w:r>
            <w:r w:rsidR="00667FB2" w:rsidRPr="00C728E0">
              <w:rPr>
                <w:rFonts w:cs="Arial"/>
                <w:sz w:val="22"/>
                <w:szCs w:val="22"/>
                <w:lang w:val="en-GB"/>
              </w:rPr>
              <w:t> </w:t>
            </w:r>
            <w:r w:rsidR="009F0BA0" w:rsidRPr="00C728E0">
              <w:rPr>
                <w:rFonts w:cs="Arial"/>
                <w:sz w:val="22"/>
                <w:szCs w:val="22"/>
                <w:lang w:val="en-GB"/>
              </w:rPr>
              <w:t>000</w:t>
            </w:r>
            <w:r w:rsidR="00667FB2" w:rsidRPr="00C728E0">
              <w:rPr>
                <w:rFonts w:cs="Arial"/>
                <w:sz w:val="22"/>
                <w:szCs w:val="22"/>
              </w:rPr>
              <w:t xml:space="preserve"> лв.</w:t>
            </w:r>
          </w:p>
        </w:tc>
      </w:tr>
    </w:tbl>
    <w:p w:rsidR="00953268" w:rsidRDefault="008E6C55" w:rsidP="00EB274A">
      <w:pPr>
        <w:pStyle w:val="Heading3"/>
        <w:spacing w:before="320"/>
        <w:jc w:val="both"/>
      </w:pPr>
      <w:bookmarkStart w:id="51" w:name="_Toc453078531"/>
      <w:r w:rsidRPr="00773E72">
        <w:t xml:space="preserve">Оценка на </w:t>
      </w:r>
      <w:r>
        <w:t xml:space="preserve">напредъка по изпълнението </w:t>
      </w:r>
      <w:r w:rsidRPr="00773E72">
        <w:t>на приоритетни оси 1, 2, 3, 4 и 6 на ОПОС 2014-2020 г.</w:t>
      </w:r>
      <w:bookmarkEnd w:id="51"/>
    </w:p>
    <w:tbl>
      <w:tblPr>
        <w:tblStyle w:val="LightList-Accent11"/>
        <w:tblW w:w="13433" w:type="dxa"/>
        <w:tblBorders>
          <w:insideH w:val="single" w:sz="8" w:space="0" w:color="98C723" w:themeColor="accent1"/>
          <w:insideV w:val="single" w:sz="8" w:space="0" w:color="98C723" w:themeColor="accent1"/>
        </w:tblBorders>
        <w:tblLook w:val="0620" w:firstRow="1" w:lastRow="0" w:firstColumn="0" w:lastColumn="0" w:noHBand="1" w:noVBand="1"/>
      </w:tblPr>
      <w:tblGrid>
        <w:gridCol w:w="2592"/>
        <w:gridCol w:w="10841"/>
      </w:tblGrid>
      <w:tr w:rsidR="00953268" w:rsidRPr="008E743B" w:rsidTr="00696D7E">
        <w:trPr>
          <w:cnfStyle w:val="100000000000" w:firstRow="1" w:lastRow="0" w:firstColumn="0" w:lastColumn="0" w:oddVBand="0" w:evenVBand="0" w:oddHBand="0" w:evenHBand="0" w:firstRowFirstColumn="0" w:firstRowLastColumn="0" w:lastRowFirstColumn="0" w:lastRowLastColumn="0"/>
        </w:trPr>
        <w:tc>
          <w:tcPr>
            <w:tcW w:w="0" w:type="auto"/>
            <w:shd w:val="clear" w:color="auto" w:fill="C4E672" w:themeFill="accent1" w:themeFillTint="99"/>
            <w:hideMark/>
          </w:tcPr>
          <w:p w:rsidR="00953268" w:rsidRPr="008E743B" w:rsidRDefault="00953268" w:rsidP="007D5F8C">
            <w:pPr>
              <w:spacing w:before="60" w:after="60"/>
              <w:rPr>
                <w:rFonts w:cs="Arial"/>
                <w:sz w:val="22"/>
                <w:szCs w:val="22"/>
                <w:lang w:val="en-GB"/>
              </w:rPr>
            </w:pPr>
            <w:r w:rsidRPr="008E743B">
              <w:rPr>
                <w:rFonts w:cs="Arial"/>
                <w:sz w:val="22"/>
                <w:szCs w:val="22"/>
              </w:rPr>
              <w:t>Тема на оценката</w:t>
            </w:r>
            <w:r w:rsidRPr="008E743B">
              <w:rPr>
                <w:rFonts w:cs="Arial"/>
                <w:sz w:val="22"/>
                <w:szCs w:val="22"/>
                <w:lang w:val="en-GB"/>
              </w:rPr>
              <w:t xml:space="preserve"> </w:t>
            </w:r>
          </w:p>
        </w:tc>
        <w:tc>
          <w:tcPr>
            <w:tcW w:w="10841" w:type="dxa"/>
            <w:shd w:val="clear" w:color="auto" w:fill="C4E672" w:themeFill="accent1" w:themeFillTint="99"/>
            <w:hideMark/>
          </w:tcPr>
          <w:p w:rsidR="00953268" w:rsidRPr="003077BF" w:rsidRDefault="00953268" w:rsidP="00EB274A">
            <w:pPr>
              <w:spacing w:before="60" w:after="60"/>
              <w:jc w:val="both"/>
              <w:rPr>
                <w:rFonts w:cs="Arial"/>
                <w:sz w:val="22"/>
                <w:szCs w:val="22"/>
                <w:lang w:val="ru-RU"/>
              </w:rPr>
            </w:pPr>
            <w:r w:rsidRPr="008E743B">
              <w:rPr>
                <w:rFonts w:cs="Arial"/>
                <w:sz w:val="22"/>
                <w:szCs w:val="22"/>
              </w:rPr>
              <w:t xml:space="preserve">Оценка на </w:t>
            </w:r>
            <w:r w:rsidR="004750EC">
              <w:rPr>
                <w:rFonts w:cs="Arial"/>
                <w:sz w:val="22"/>
                <w:szCs w:val="22"/>
              </w:rPr>
              <w:t>напредъка по</w:t>
            </w:r>
            <w:r w:rsidRPr="008E743B">
              <w:rPr>
                <w:rFonts w:cs="Arial"/>
                <w:sz w:val="22"/>
                <w:szCs w:val="22"/>
              </w:rPr>
              <w:t xml:space="preserve"> изпълнението на приоритетни оси 1, 2, 3, 4 и 6 на ОПОС 2014-2020 г.</w:t>
            </w:r>
          </w:p>
        </w:tc>
      </w:tr>
      <w:tr w:rsidR="00953268" w:rsidRPr="008E743B"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t>Предмет и обосновка на фокуса на оценката</w:t>
            </w:r>
          </w:p>
        </w:tc>
        <w:tc>
          <w:tcPr>
            <w:tcW w:w="10841" w:type="dxa"/>
            <w:hideMark/>
          </w:tcPr>
          <w:p w:rsidR="00953268" w:rsidRPr="008E743B" w:rsidRDefault="008B2C88" w:rsidP="00EB274A">
            <w:pPr>
              <w:jc w:val="both"/>
              <w:rPr>
                <w:rFonts w:cs="Times New Roman"/>
                <w:sz w:val="22"/>
                <w:szCs w:val="22"/>
              </w:rPr>
            </w:pPr>
            <w:r w:rsidRPr="008E743B">
              <w:rPr>
                <w:sz w:val="22"/>
                <w:szCs w:val="22"/>
              </w:rPr>
              <w:t>Предмет</w:t>
            </w:r>
            <w:r w:rsidR="00E84071" w:rsidRPr="008E743B">
              <w:rPr>
                <w:sz w:val="22"/>
                <w:szCs w:val="22"/>
              </w:rPr>
              <w:t>ът</w:t>
            </w:r>
            <w:r w:rsidRPr="008E743B">
              <w:rPr>
                <w:sz w:val="22"/>
                <w:szCs w:val="22"/>
              </w:rPr>
              <w:t xml:space="preserve"> </w:t>
            </w:r>
            <w:r w:rsidR="00C97CD6" w:rsidRPr="008E743B">
              <w:rPr>
                <w:sz w:val="22"/>
                <w:szCs w:val="22"/>
              </w:rPr>
              <w:t xml:space="preserve">на оценката се фокусира върху осъществяването на цялостна </w:t>
            </w:r>
            <w:r w:rsidRPr="008E743B">
              <w:rPr>
                <w:sz w:val="22"/>
                <w:szCs w:val="22"/>
              </w:rPr>
              <w:t>оценка на напредъка</w:t>
            </w:r>
            <w:r w:rsidR="00C97CD6" w:rsidRPr="008E743B">
              <w:rPr>
                <w:sz w:val="22"/>
                <w:szCs w:val="22"/>
              </w:rPr>
              <w:t xml:space="preserve"> в изпълнението на програмата по всички приоритетни оси</w:t>
            </w:r>
            <w:r w:rsidR="00E84071" w:rsidRPr="008E743B">
              <w:rPr>
                <w:sz w:val="22"/>
                <w:szCs w:val="22"/>
              </w:rPr>
              <w:t xml:space="preserve">, с изключение на ос 5 </w:t>
            </w:r>
            <w:r w:rsidR="00E84071" w:rsidRPr="003077BF">
              <w:rPr>
                <w:sz w:val="22"/>
                <w:szCs w:val="22"/>
                <w:lang w:val="ru-RU"/>
              </w:rPr>
              <w:t>(</w:t>
            </w:r>
            <w:r w:rsidR="00C97CD6" w:rsidRPr="008E743B">
              <w:rPr>
                <w:sz w:val="22"/>
                <w:szCs w:val="22"/>
              </w:rPr>
              <w:t>обхваната от специфична оценка съгла</w:t>
            </w:r>
            <w:r w:rsidR="00E84071" w:rsidRPr="008E743B">
              <w:rPr>
                <w:sz w:val="22"/>
                <w:szCs w:val="22"/>
              </w:rPr>
              <w:t>сно т. 4.2.1 на Плана за оценка</w:t>
            </w:r>
            <w:r w:rsidR="00E84071" w:rsidRPr="003077BF">
              <w:rPr>
                <w:sz w:val="22"/>
                <w:szCs w:val="22"/>
                <w:lang w:val="ru-RU"/>
              </w:rPr>
              <w:t>)</w:t>
            </w:r>
            <w:r w:rsidR="00E84071" w:rsidRPr="008E743B">
              <w:rPr>
                <w:sz w:val="22"/>
                <w:szCs w:val="22"/>
              </w:rPr>
              <w:t>.</w:t>
            </w:r>
            <w:r w:rsidR="00C97CD6" w:rsidRPr="008E743B">
              <w:rPr>
                <w:sz w:val="22"/>
                <w:szCs w:val="22"/>
              </w:rPr>
              <w:t xml:space="preserve"> Оценката ще анализира и оцени</w:t>
            </w:r>
            <w:r w:rsidRPr="008E743B">
              <w:rPr>
                <w:sz w:val="22"/>
                <w:szCs w:val="22"/>
              </w:rPr>
              <w:t xml:space="preserve"> периода от </w:t>
            </w:r>
            <w:r w:rsidR="00A54236" w:rsidRPr="008E743B">
              <w:rPr>
                <w:sz w:val="22"/>
                <w:szCs w:val="22"/>
              </w:rPr>
              <w:t xml:space="preserve">старта </w:t>
            </w:r>
            <w:r w:rsidRPr="008E743B">
              <w:rPr>
                <w:sz w:val="22"/>
                <w:szCs w:val="22"/>
              </w:rPr>
              <w:t xml:space="preserve">на </w:t>
            </w:r>
            <w:r w:rsidR="00A54236" w:rsidRPr="008E743B">
              <w:rPr>
                <w:sz w:val="22"/>
                <w:szCs w:val="22"/>
              </w:rPr>
              <w:t xml:space="preserve">програмата до </w:t>
            </w:r>
            <w:r w:rsidR="002D5286">
              <w:rPr>
                <w:sz w:val="22"/>
                <w:szCs w:val="22"/>
              </w:rPr>
              <w:t>средата</w:t>
            </w:r>
            <w:r w:rsidR="00A54236" w:rsidRPr="008E743B">
              <w:rPr>
                <w:sz w:val="22"/>
                <w:szCs w:val="22"/>
              </w:rPr>
              <w:t xml:space="preserve"> на 201</w:t>
            </w:r>
            <w:r w:rsidR="002D5286">
              <w:rPr>
                <w:sz w:val="22"/>
                <w:szCs w:val="22"/>
              </w:rPr>
              <w:t>9</w:t>
            </w:r>
            <w:r w:rsidR="00A54236" w:rsidRPr="008E743B">
              <w:rPr>
                <w:sz w:val="22"/>
                <w:szCs w:val="22"/>
              </w:rPr>
              <w:t xml:space="preserve"> г., като </w:t>
            </w:r>
            <w:r w:rsidR="00E84071" w:rsidRPr="008E743B">
              <w:rPr>
                <w:sz w:val="22"/>
                <w:szCs w:val="22"/>
              </w:rPr>
              <w:t xml:space="preserve">ще </w:t>
            </w:r>
            <w:r w:rsidR="00A54236" w:rsidRPr="008E743B">
              <w:rPr>
                <w:sz w:val="22"/>
                <w:szCs w:val="22"/>
              </w:rPr>
              <w:t>изследва</w:t>
            </w:r>
            <w:r w:rsidRPr="008E743B">
              <w:rPr>
                <w:sz w:val="22"/>
                <w:szCs w:val="22"/>
              </w:rPr>
              <w:t xml:space="preserve"> ефективността и ефикасността</w:t>
            </w:r>
            <w:r w:rsidR="00A54236" w:rsidRPr="008E743B">
              <w:rPr>
                <w:sz w:val="22"/>
                <w:szCs w:val="22"/>
              </w:rPr>
              <w:t xml:space="preserve"> на интервенциите по ОПОС 2014-2020</w:t>
            </w:r>
            <w:r w:rsidR="004750EC">
              <w:rPr>
                <w:sz w:val="22"/>
                <w:szCs w:val="22"/>
              </w:rPr>
              <w:t xml:space="preserve"> г.</w:t>
            </w:r>
            <w:r w:rsidRPr="008E743B">
              <w:rPr>
                <w:sz w:val="22"/>
                <w:szCs w:val="22"/>
              </w:rPr>
              <w:t>, съответствие</w:t>
            </w:r>
            <w:r w:rsidR="004750EC">
              <w:rPr>
                <w:sz w:val="22"/>
                <w:szCs w:val="22"/>
              </w:rPr>
              <w:t>то</w:t>
            </w:r>
            <w:r w:rsidRPr="008E743B">
              <w:rPr>
                <w:sz w:val="22"/>
                <w:szCs w:val="22"/>
              </w:rPr>
              <w:t xml:space="preserve"> на </w:t>
            </w:r>
            <w:r w:rsidR="00A54236" w:rsidRPr="008E743B">
              <w:rPr>
                <w:sz w:val="22"/>
                <w:szCs w:val="22"/>
              </w:rPr>
              <w:t xml:space="preserve">постигнатите междинни резултати от </w:t>
            </w:r>
            <w:r w:rsidR="00E84071" w:rsidRPr="008E743B">
              <w:rPr>
                <w:sz w:val="22"/>
                <w:szCs w:val="22"/>
              </w:rPr>
              <w:t xml:space="preserve">изпълнението по всички обхванати приоритетни оси </w:t>
            </w:r>
            <w:r w:rsidRPr="008E743B">
              <w:rPr>
                <w:sz w:val="22"/>
                <w:szCs w:val="22"/>
              </w:rPr>
              <w:t>с целите и пр</w:t>
            </w:r>
            <w:r w:rsidR="004750EC">
              <w:rPr>
                <w:sz w:val="22"/>
                <w:szCs w:val="22"/>
              </w:rPr>
              <w:t>иоритетите на програмата, ще извърши оценка на</w:t>
            </w:r>
            <w:r w:rsidR="00E84071" w:rsidRPr="008E743B">
              <w:rPr>
                <w:sz w:val="22"/>
                <w:szCs w:val="22"/>
              </w:rPr>
              <w:t xml:space="preserve"> напредъка по постигане на</w:t>
            </w:r>
            <w:r w:rsidRPr="008E743B">
              <w:rPr>
                <w:sz w:val="22"/>
                <w:szCs w:val="22"/>
              </w:rPr>
              <w:t xml:space="preserve"> очакваното въздействие, </w:t>
            </w:r>
            <w:r w:rsidR="00A54236" w:rsidRPr="008E743B">
              <w:rPr>
                <w:sz w:val="22"/>
                <w:szCs w:val="22"/>
              </w:rPr>
              <w:t xml:space="preserve">оценка на функционалността и адекватността на изградените системи за управление и контрол </w:t>
            </w:r>
            <w:r w:rsidRPr="008E743B">
              <w:rPr>
                <w:sz w:val="22"/>
                <w:szCs w:val="22"/>
              </w:rPr>
              <w:t xml:space="preserve"> – програмиране, оценка на проектни предложения, финансово управление и контрол, мониторинг, оценка и </w:t>
            </w:r>
            <w:r w:rsidRPr="008E743B">
              <w:rPr>
                <w:sz w:val="22"/>
                <w:szCs w:val="22"/>
              </w:rPr>
              <w:lastRenderedPageBreak/>
              <w:t xml:space="preserve">отчитане/докладване, изпълнение на комуникационния план, прилагане на хоризонталните политики. </w:t>
            </w:r>
            <w:r w:rsidR="00437BD5" w:rsidRPr="008E743B">
              <w:rPr>
                <w:sz w:val="22"/>
                <w:szCs w:val="22"/>
              </w:rPr>
              <w:t>Оценката следва да оцени и нивото на изпълнение на програмата, вкл. финансовото изпълнение и даде предложения/препоръки за подобряване на процедурите и системите на УО.</w:t>
            </w:r>
          </w:p>
          <w:p w:rsidR="00E84071" w:rsidRPr="008E743B" w:rsidRDefault="00E84071" w:rsidP="00EB274A">
            <w:pPr>
              <w:spacing w:before="60" w:after="60"/>
              <w:jc w:val="both"/>
              <w:rPr>
                <w:sz w:val="22"/>
                <w:szCs w:val="22"/>
              </w:rPr>
            </w:pPr>
            <w:r w:rsidRPr="008E743B">
              <w:rPr>
                <w:b/>
                <w:i/>
                <w:sz w:val="22"/>
                <w:szCs w:val="22"/>
              </w:rPr>
              <w:t>Тип на оценката:</w:t>
            </w:r>
            <w:r w:rsidRPr="008E743B">
              <w:rPr>
                <w:sz w:val="22"/>
                <w:szCs w:val="22"/>
              </w:rPr>
              <w:t xml:space="preserve"> оценка на изпълнението </w:t>
            </w:r>
            <w:r w:rsidRPr="003077BF">
              <w:rPr>
                <w:sz w:val="22"/>
                <w:szCs w:val="22"/>
                <w:lang w:val="ru-RU"/>
              </w:rPr>
              <w:t>(</w:t>
            </w:r>
            <w:r w:rsidRPr="008E743B">
              <w:rPr>
                <w:sz w:val="22"/>
                <w:szCs w:val="22"/>
                <w:lang w:val="en-US"/>
              </w:rPr>
              <w:t>implementation</w:t>
            </w:r>
            <w:r w:rsidRPr="003077BF">
              <w:rPr>
                <w:sz w:val="22"/>
                <w:szCs w:val="22"/>
                <w:lang w:val="ru-RU"/>
              </w:rPr>
              <w:t xml:space="preserve"> </w:t>
            </w:r>
            <w:r w:rsidRPr="008E743B">
              <w:rPr>
                <w:sz w:val="22"/>
                <w:szCs w:val="22"/>
                <w:lang w:val="en-US"/>
              </w:rPr>
              <w:t>evaluation</w:t>
            </w:r>
            <w:r w:rsidRPr="003077BF">
              <w:rPr>
                <w:sz w:val="22"/>
                <w:szCs w:val="22"/>
                <w:lang w:val="ru-RU"/>
              </w:rPr>
              <w:t xml:space="preserve">) </w:t>
            </w:r>
          </w:p>
        </w:tc>
      </w:tr>
      <w:tr w:rsidR="00953268" w:rsidRPr="008E743B"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lastRenderedPageBreak/>
              <w:t>Основни въпроси на оценката</w:t>
            </w:r>
          </w:p>
        </w:tc>
        <w:tc>
          <w:tcPr>
            <w:tcW w:w="10841" w:type="dxa"/>
            <w:hideMark/>
          </w:tcPr>
          <w:p w:rsidR="00F05E16" w:rsidRPr="008E743B" w:rsidRDefault="00F05E16" w:rsidP="00EB274A">
            <w:pPr>
              <w:spacing w:before="60" w:after="60"/>
              <w:jc w:val="both"/>
              <w:rPr>
                <w:rFonts w:cs="Arial"/>
                <w:sz w:val="22"/>
                <w:szCs w:val="22"/>
              </w:rPr>
            </w:pPr>
            <w:r w:rsidRPr="008E743B">
              <w:rPr>
                <w:rFonts w:cs="Arial"/>
                <w:sz w:val="22"/>
                <w:szCs w:val="22"/>
              </w:rPr>
              <w:t>Оценката ще изследва, но няма да се ограничава, до следните основни въпроси на оценка:</w:t>
            </w:r>
          </w:p>
          <w:p w:rsidR="008B2C88" w:rsidRPr="008E743B" w:rsidRDefault="008B2C88" w:rsidP="00EB274A">
            <w:pPr>
              <w:pStyle w:val="ListBullet"/>
              <w:spacing w:before="60" w:after="60"/>
              <w:jc w:val="both"/>
              <w:rPr>
                <w:sz w:val="22"/>
                <w:szCs w:val="22"/>
              </w:rPr>
            </w:pPr>
            <w:r w:rsidRPr="008E743B">
              <w:rPr>
                <w:sz w:val="22"/>
                <w:szCs w:val="22"/>
              </w:rPr>
              <w:t xml:space="preserve">Какъв е напредъкът в постигането на целите и приоритетите на програмата към </w:t>
            </w:r>
            <w:r w:rsidR="002D5286">
              <w:rPr>
                <w:sz w:val="22"/>
                <w:szCs w:val="22"/>
              </w:rPr>
              <w:t>средата</w:t>
            </w:r>
            <w:r w:rsidRPr="008E743B">
              <w:rPr>
                <w:sz w:val="22"/>
                <w:szCs w:val="22"/>
              </w:rPr>
              <w:t xml:space="preserve"> на 201</w:t>
            </w:r>
            <w:r w:rsidR="002D5286">
              <w:rPr>
                <w:sz w:val="22"/>
                <w:szCs w:val="22"/>
              </w:rPr>
              <w:t>9</w:t>
            </w:r>
            <w:r w:rsidRPr="008E743B">
              <w:rPr>
                <w:sz w:val="22"/>
                <w:szCs w:val="22"/>
              </w:rPr>
              <w:t xml:space="preserve"> г.? Какво е изпълнението на програмата и на нейните приоритети по отношение  на финансовите данни, общите и специфичните индикатори </w:t>
            </w:r>
            <w:r w:rsidR="00644D21" w:rsidRPr="008E743B">
              <w:rPr>
                <w:sz w:val="22"/>
                <w:szCs w:val="22"/>
              </w:rPr>
              <w:t xml:space="preserve">за резултат </w:t>
            </w:r>
            <w:r w:rsidRPr="008E743B">
              <w:rPr>
                <w:sz w:val="22"/>
                <w:szCs w:val="22"/>
              </w:rPr>
              <w:t>и количествени целеви стойности? Какви са промените в стойностите на индикаторите за резултат и етапните цели</w:t>
            </w:r>
            <w:r w:rsidR="00644D21" w:rsidRPr="008E743B">
              <w:rPr>
                <w:sz w:val="22"/>
                <w:szCs w:val="22"/>
              </w:rPr>
              <w:t xml:space="preserve"> към </w:t>
            </w:r>
            <w:r w:rsidR="00050FC9">
              <w:rPr>
                <w:sz w:val="22"/>
                <w:szCs w:val="22"/>
              </w:rPr>
              <w:t>средата на</w:t>
            </w:r>
            <w:r w:rsidR="00644D21" w:rsidRPr="008E743B">
              <w:rPr>
                <w:sz w:val="22"/>
                <w:szCs w:val="22"/>
              </w:rPr>
              <w:t xml:space="preserve"> 201</w:t>
            </w:r>
            <w:r w:rsidR="00050FC9">
              <w:rPr>
                <w:sz w:val="22"/>
                <w:szCs w:val="22"/>
              </w:rPr>
              <w:t>9</w:t>
            </w:r>
            <w:r w:rsidR="00644D21" w:rsidRPr="008E743B">
              <w:rPr>
                <w:sz w:val="22"/>
                <w:szCs w:val="22"/>
              </w:rPr>
              <w:t xml:space="preserve"> г.</w:t>
            </w:r>
            <w:r w:rsidRPr="008E743B">
              <w:rPr>
                <w:sz w:val="22"/>
                <w:szCs w:val="22"/>
              </w:rPr>
              <w:t xml:space="preserve">? </w:t>
            </w:r>
          </w:p>
          <w:p w:rsidR="005B713E" w:rsidRPr="008E743B" w:rsidRDefault="005B713E" w:rsidP="00EB274A">
            <w:pPr>
              <w:pStyle w:val="ListBullet"/>
              <w:jc w:val="both"/>
              <w:rPr>
                <w:sz w:val="22"/>
                <w:szCs w:val="22"/>
              </w:rPr>
            </w:pPr>
            <w:r w:rsidRPr="008E743B">
              <w:rPr>
                <w:sz w:val="22"/>
                <w:szCs w:val="22"/>
              </w:rPr>
              <w:t>Доколко стратегията на ОПОС 2014-2020</w:t>
            </w:r>
            <w:r w:rsidR="004750EC">
              <w:rPr>
                <w:sz w:val="22"/>
                <w:szCs w:val="22"/>
              </w:rPr>
              <w:t xml:space="preserve"> г.</w:t>
            </w:r>
            <w:r w:rsidRPr="008E743B">
              <w:rPr>
                <w:sz w:val="22"/>
                <w:szCs w:val="22"/>
              </w:rPr>
              <w:t xml:space="preserve"> съответства на реалната ситуация в секторите, които програмата подпомага? Необходима ли е промяна в стратегията и ако да, какви са основанията за това? Ефективни ли са съществуващите приоритети и интервенции за изпълнение на поставените цели на ОПОС? Съществуват ли критични фактори, които да оказват негативно влияние върху изпълнението и ефективността на ОПОС?</w:t>
            </w:r>
          </w:p>
          <w:p w:rsidR="005B713E" w:rsidRDefault="005B713E" w:rsidP="00EB274A">
            <w:pPr>
              <w:pStyle w:val="ListBullet"/>
              <w:jc w:val="both"/>
              <w:rPr>
                <w:sz w:val="22"/>
                <w:szCs w:val="22"/>
              </w:rPr>
            </w:pPr>
            <w:r w:rsidRPr="008E743B">
              <w:rPr>
                <w:sz w:val="22"/>
                <w:szCs w:val="22"/>
              </w:rPr>
              <w:t>Формите на подкрепа, прилагани по отделните приоритетни оси на ОПОС</w:t>
            </w:r>
            <w:r w:rsidR="00D54D2B">
              <w:rPr>
                <w:sz w:val="22"/>
                <w:szCs w:val="22"/>
              </w:rPr>
              <w:t>,</w:t>
            </w:r>
            <w:r w:rsidRPr="008E743B">
              <w:rPr>
                <w:sz w:val="22"/>
                <w:szCs w:val="22"/>
              </w:rPr>
              <w:t xml:space="preserve"> релевантни ли са към конкретните нужди на подпомаганите сектори и бенефициенти? Специален фокус на оценката върху формите на подпомагане, прилагани по приоритетна ос 3, тяхната адекватност и ефективност? Извеждане на предложения за подобрение.</w:t>
            </w:r>
          </w:p>
          <w:p w:rsidR="00453092" w:rsidRPr="008E743B" w:rsidRDefault="00453092" w:rsidP="00EB274A">
            <w:pPr>
              <w:pStyle w:val="ListBullet"/>
              <w:jc w:val="both"/>
              <w:rPr>
                <w:sz w:val="22"/>
                <w:szCs w:val="22"/>
              </w:rPr>
            </w:pPr>
            <w:r w:rsidRPr="008E743B">
              <w:rPr>
                <w:sz w:val="22"/>
                <w:szCs w:val="22"/>
              </w:rPr>
              <w:t xml:space="preserve">Кои са </w:t>
            </w:r>
            <w:r>
              <w:rPr>
                <w:sz w:val="22"/>
                <w:szCs w:val="22"/>
              </w:rPr>
              <w:t>процедурите</w:t>
            </w:r>
            <w:r w:rsidRPr="008E743B">
              <w:rPr>
                <w:sz w:val="22"/>
                <w:szCs w:val="22"/>
              </w:rPr>
              <w:t>, къ</w:t>
            </w:r>
            <w:r>
              <w:rPr>
                <w:sz w:val="22"/>
                <w:szCs w:val="22"/>
              </w:rPr>
              <w:t>м които има най-</w:t>
            </w:r>
            <w:r w:rsidRPr="008E743B">
              <w:rPr>
                <w:sz w:val="22"/>
                <w:szCs w:val="22"/>
              </w:rPr>
              <w:t>голям интерес от страна на потенциални бенефициенти? Има ли промени в нуждите на бенефициентите и какви са те?</w:t>
            </w:r>
          </w:p>
          <w:p w:rsidR="00437BD5" w:rsidRPr="008E743B" w:rsidRDefault="00437BD5" w:rsidP="00EB274A">
            <w:pPr>
              <w:pStyle w:val="ListBullet"/>
              <w:spacing w:before="60" w:after="60"/>
              <w:jc w:val="both"/>
              <w:rPr>
                <w:sz w:val="22"/>
                <w:szCs w:val="22"/>
              </w:rPr>
            </w:pPr>
            <w:r w:rsidRPr="008E743B">
              <w:rPr>
                <w:sz w:val="22"/>
                <w:szCs w:val="22"/>
              </w:rPr>
              <w:t>Доколко ефективно функционират системите за управление и контрол</w:t>
            </w:r>
            <w:r w:rsidR="00D54D2B">
              <w:rPr>
                <w:sz w:val="22"/>
                <w:szCs w:val="22"/>
              </w:rPr>
              <w:t xml:space="preserve"> на</w:t>
            </w:r>
            <w:r w:rsidRPr="008E743B">
              <w:rPr>
                <w:sz w:val="22"/>
                <w:szCs w:val="22"/>
              </w:rPr>
              <w:t xml:space="preserve"> ОПОС 2014-2020</w:t>
            </w:r>
            <w:r w:rsidR="004750EC">
              <w:rPr>
                <w:sz w:val="22"/>
                <w:szCs w:val="22"/>
              </w:rPr>
              <w:t xml:space="preserve"> г.</w:t>
            </w:r>
            <w:r w:rsidRPr="008E743B">
              <w:rPr>
                <w:sz w:val="22"/>
                <w:szCs w:val="22"/>
              </w:rPr>
              <w:t xml:space="preserve">? </w:t>
            </w:r>
          </w:p>
          <w:p w:rsidR="00437BD5" w:rsidRPr="008E743B" w:rsidRDefault="00437BD5" w:rsidP="00EB274A">
            <w:pPr>
              <w:pStyle w:val="ListBullet"/>
              <w:spacing w:before="60" w:after="60"/>
              <w:jc w:val="both"/>
              <w:rPr>
                <w:sz w:val="22"/>
                <w:szCs w:val="22"/>
              </w:rPr>
            </w:pPr>
            <w:r w:rsidRPr="008E743B">
              <w:rPr>
                <w:sz w:val="22"/>
                <w:szCs w:val="22"/>
              </w:rPr>
              <w:t>Какви са качеството и ефективността на оценката на проектните предложения по процедурите за предоставяне на безвъзмездна финансова помощ?</w:t>
            </w:r>
          </w:p>
          <w:p w:rsidR="00437BD5" w:rsidRPr="008E743B" w:rsidRDefault="00437BD5" w:rsidP="00EB274A">
            <w:pPr>
              <w:pStyle w:val="ListBullet"/>
              <w:jc w:val="both"/>
              <w:rPr>
                <w:sz w:val="22"/>
                <w:szCs w:val="22"/>
              </w:rPr>
            </w:pPr>
            <w:r w:rsidRPr="008E743B">
              <w:rPr>
                <w:sz w:val="22"/>
                <w:szCs w:val="22"/>
              </w:rPr>
              <w:t>Какви са най-често срещани</w:t>
            </w:r>
            <w:r w:rsidR="005259F8">
              <w:rPr>
                <w:sz w:val="22"/>
                <w:szCs w:val="22"/>
              </w:rPr>
              <w:t>те</w:t>
            </w:r>
            <w:r w:rsidRPr="008E743B">
              <w:rPr>
                <w:sz w:val="22"/>
                <w:szCs w:val="22"/>
              </w:rPr>
              <w:t xml:space="preserve"> грешки при кандидатстване за отпускане на безвъзмездна помощ, както и при изпълнението на проектите? Какви са най-често срещаните рискови фактори за изпълнението по типове операции</w:t>
            </w:r>
            <w:r w:rsidR="000C3D8C">
              <w:rPr>
                <w:sz w:val="22"/>
                <w:szCs w:val="22"/>
              </w:rPr>
              <w:t>?</w:t>
            </w:r>
          </w:p>
          <w:p w:rsidR="005B713E" w:rsidRPr="008E743B" w:rsidRDefault="005B713E" w:rsidP="00EB274A">
            <w:pPr>
              <w:pStyle w:val="ListBullet"/>
              <w:spacing w:before="60" w:after="60"/>
              <w:jc w:val="both"/>
              <w:rPr>
                <w:sz w:val="22"/>
                <w:szCs w:val="22"/>
              </w:rPr>
            </w:pPr>
            <w:r w:rsidRPr="008E743B">
              <w:rPr>
                <w:sz w:val="22"/>
                <w:szCs w:val="22"/>
              </w:rPr>
              <w:t xml:space="preserve">Ефективна и функционална ли е системата за събиране на данни за индикаторите на </w:t>
            </w:r>
            <w:r w:rsidR="00437BD5" w:rsidRPr="008E743B">
              <w:rPr>
                <w:sz w:val="22"/>
                <w:szCs w:val="22"/>
              </w:rPr>
              <w:t xml:space="preserve"> ОПОС </w:t>
            </w:r>
            <w:r w:rsidRPr="008E743B">
              <w:rPr>
                <w:sz w:val="22"/>
                <w:szCs w:val="22"/>
              </w:rPr>
              <w:t>с оглед регулярното отчитане на напредъка в изпълнението?</w:t>
            </w:r>
          </w:p>
          <w:p w:rsidR="005B713E" w:rsidRPr="008E743B" w:rsidRDefault="00437BD5" w:rsidP="00EB274A">
            <w:pPr>
              <w:pStyle w:val="ListBullet"/>
              <w:spacing w:before="60" w:after="60"/>
              <w:jc w:val="both"/>
              <w:rPr>
                <w:sz w:val="22"/>
                <w:szCs w:val="22"/>
              </w:rPr>
            </w:pPr>
            <w:r w:rsidRPr="008E743B">
              <w:rPr>
                <w:sz w:val="22"/>
                <w:szCs w:val="22"/>
              </w:rPr>
              <w:t>Каква е ефикасността на изпълняваните интервенции</w:t>
            </w:r>
            <w:r w:rsidR="005B713E" w:rsidRPr="008E743B">
              <w:rPr>
                <w:sz w:val="22"/>
                <w:szCs w:val="22"/>
              </w:rPr>
              <w:t xml:space="preserve"> по ОПОС</w:t>
            </w:r>
            <w:r w:rsidRPr="008E743B">
              <w:rPr>
                <w:sz w:val="22"/>
                <w:szCs w:val="22"/>
              </w:rPr>
              <w:t xml:space="preserve"> към </w:t>
            </w:r>
            <w:r w:rsidR="00D27033">
              <w:rPr>
                <w:sz w:val="22"/>
                <w:szCs w:val="22"/>
              </w:rPr>
              <w:t>средата</w:t>
            </w:r>
            <w:r w:rsidRPr="008E743B">
              <w:rPr>
                <w:sz w:val="22"/>
                <w:szCs w:val="22"/>
              </w:rPr>
              <w:t xml:space="preserve"> </w:t>
            </w:r>
            <w:r w:rsidR="00D27033">
              <w:rPr>
                <w:sz w:val="22"/>
                <w:szCs w:val="22"/>
              </w:rPr>
              <w:t>на 2019</w:t>
            </w:r>
            <w:r w:rsidRPr="008E743B">
              <w:rPr>
                <w:sz w:val="22"/>
                <w:szCs w:val="22"/>
              </w:rPr>
              <w:t xml:space="preserve"> г.</w:t>
            </w:r>
            <w:r w:rsidR="005B713E" w:rsidRPr="008E743B">
              <w:rPr>
                <w:sz w:val="22"/>
                <w:szCs w:val="22"/>
              </w:rPr>
              <w:t>?</w:t>
            </w:r>
          </w:p>
          <w:p w:rsidR="00437BD5" w:rsidRPr="007D5F8C" w:rsidRDefault="00437BD5" w:rsidP="00EB274A">
            <w:pPr>
              <w:pStyle w:val="ListBullet"/>
              <w:jc w:val="both"/>
              <w:rPr>
                <w:sz w:val="22"/>
                <w:szCs w:val="22"/>
              </w:rPr>
            </w:pPr>
            <w:r w:rsidRPr="007D5F8C">
              <w:rPr>
                <w:sz w:val="22"/>
                <w:szCs w:val="22"/>
              </w:rPr>
              <w:t xml:space="preserve">Какво е изпълнението на финансовите инструменти </w:t>
            </w:r>
            <w:r w:rsidR="00F359BB" w:rsidRPr="00F359BB">
              <w:rPr>
                <w:sz w:val="22"/>
                <w:szCs w:val="22"/>
              </w:rPr>
              <w:t xml:space="preserve">по приоритетна ос 1 и 2 </w:t>
            </w:r>
            <w:r w:rsidR="00F359BB">
              <w:rPr>
                <w:sz w:val="22"/>
                <w:szCs w:val="22"/>
              </w:rPr>
              <w:t xml:space="preserve">на ОПОС 2014-2020 г. </w:t>
            </w:r>
            <w:r w:rsidRPr="007D5F8C">
              <w:rPr>
                <w:sz w:val="22"/>
                <w:szCs w:val="22"/>
              </w:rPr>
              <w:t xml:space="preserve">към </w:t>
            </w:r>
            <w:r w:rsidR="00050FC9" w:rsidRPr="007D5F8C">
              <w:rPr>
                <w:sz w:val="22"/>
                <w:szCs w:val="22"/>
              </w:rPr>
              <w:t xml:space="preserve">средата на </w:t>
            </w:r>
            <w:r w:rsidRPr="007D5F8C">
              <w:rPr>
                <w:sz w:val="22"/>
                <w:szCs w:val="22"/>
              </w:rPr>
              <w:t>201</w:t>
            </w:r>
            <w:r w:rsidR="00050FC9" w:rsidRPr="007D5F8C">
              <w:rPr>
                <w:sz w:val="22"/>
                <w:szCs w:val="22"/>
              </w:rPr>
              <w:t>9</w:t>
            </w:r>
            <w:r w:rsidRPr="007D5F8C">
              <w:rPr>
                <w:sz w:val="22"/>
                <w:szCs w:val="22"/>
              </w:rPr>
              <w:t xml:space="preserve"> г. и адекватни ли са те спрямо потребностите </w:t>
            </w:r>
            <w:r w:rsidR="00F359BB" w:rsidRPr="007D5F8C">
              <w:rPr>
                <w:sz w:val="22"/>
                <w:szCs w:val="22"/>
              </w:rPr>
              <w:t>по всяка от тези</w:t>
            </w:r>
            <w:r w:rsidRPr="007D5F8C">
              <w:rPr>
                <w:sz w:val="22"/>
                <w:szCs w:val="22"/>
              </w:rPr>
              <w:t xml:space="preserve"> приоритетни оси на ОПОС </w:t>
            </w:r>
            <w:r w:rsidRPr="007D5F8C">
              <w:rPr>
                <w:sz w:val="22"/>
                <w:szCs w:val="22"/>
              </w:rPr>
              <w:lastRenderedPageBreak/>
              <w:t>2014-2020</w:t>
            </w:r>
            <w:r w:rsidR="0041256B" w:rsidRPr="007D5F8C">
              <w:rPr>
                <w:sz w:val="22"/>
                <w:szCs w:val="22"/>
              </w:rPr>
              <w:t xml:space="preserve"> г.</w:t>
            </w:r>
            <w:r w:rsidRPr="007D5F8C">
              <w:rPr>
                <w:sz w:val="22"/>
                <w:szCs w:val="22"/>
              </w:rPr>
              <w:t>? Какви са основните трудности при използването на финансови инструменти? Пр</w:t>
            </w:r>
            <w:r w:rsidR="00D54D2B" w:rsidRPr="007D5F8C">
              <w:rPr>
                <w:sz w:val="22"/>
                <w:szCs w:val="22"/>
              </w:rPr>
              <w:t>е</w:t>
            </w:r>
            <w:r w:rsidRPr="007D5F8C">
              <w:rPr>
                <w:sz w:val="22"/>
                <w:szCs w:val="22"/>
              </w:rPr>
              <w:t>поръки за подобрения?</w:t>
            </w:r>
          </w:p>
          <w:p w:rsidR="005B713E" w:rsidRPr="008E743B" w:rsidRDefault="005B713E" w:rsidP="00EB274A">
            <w:pPr>
              <w:pStyle w:val="ListBullet"/>
              <w:spacing w:before="60" w:after="60"/>
              <w:jc w:val="both"/>
              <w:rPr>
                <w:sz w:val="22"/>
                <w:szCs w:val="22"/>
              </w:rPr>
            </w:pPr>
            <w:r w:rsidRPr="008E743B">
              <w:rPr>
                <w:sz w:val="22"/>
                <w:szCs w:val="22"/>
              </w:rPr>
              <w:t>Какви са изводите и препоръките от прегледа на системата за предоставяне на БФП</w:t>
            </w:r>
            <w:r w:rsidR="000679E3">
              <w:rPr>
                <w:sz w:val="22"/>
                <w:szCs w:val="22"/>
              </w:rPr>
              <w:t>?</w:t>
            </w:r>
            <w:r w:rsidRPr="008E743B">
              <w:rPr>
                <w:sz w:val="22"/>
                <w:szCs w:val="22"/>
              </w:rPr>
              <w:t xml:space="preserve"> Как обявените процедури за </w:t>
            </w:r>
            <w:r w:rsidR="005259F8">
              <w:rPr>
                <w:sz w:val="22"/>
                <w:szCs w:val="22"/>
              </w:rPr>
              <w:t>предоставяне на БФП допринасят з</w:t>
            </w:r>
            <w:r w:rsidRPr="008E743B">
              <w:rPr>
                <w:sz w:val="22"/>
                <w:szCs w:val="22"/>
              </w:rPr>
              <w:t>а постигане на целите на програмата? Какво е съответствието на обявените процедури за предоставяне на БФП с постигане</w:t>
            </w:r>
            <w:r w:rsidR="005259F8">
              <w:rPr>
                <w:sz w:val="22"/>
                <w:szCs w:val="22"/>
              </w:rPr>
              <w:t>то</w:t>
            </w:r>
            <w:r w:rsidRPr="008E743B">
              <w:rPr>
                <w:sz w:val="22"/>
                <w:szCs w:val="22"/>
              </w:rPr>
              <w:t xml:space="preserve"> на целите на програмата? Какви са изводите и препоръките за оптимизиране на насоките за кандидатстване, указанията към бенефициентите и др. документи, разработени от </w:t>
            </w:r>
            <w:r w:rsidR="00C46D74">
              <w:rPr>
                <w:sz w:val="22"/>
                <w:szCs w:val="22"/>
              </w:rPr>
              <w:t>УО</w:t>
            </w:r>
            <w:r w:rsidRPr="008E743B">
              <w:rPr>
                <w:sz w:val="22"/>
                <w:szCs w:val="22"/>
              </w:rPr>
              <w:t xml:space="preserve">? </w:t>
            </w:r>
          </w:p>
          <w:p w:rsidR="00953268" w:rsidRPr="009D6101" w:rsidRDefault="005B713E" w:rsidP="00EB274A">
            <w:pPr>
              <w:pStyle w:val="ListBullet"/>
              <w:spacing w:before="60" w:after="60"/>
              <w:jc w:val="both"/>
              <w:rPr>
                <w:sz w:val="22"/>
                <w:szCs w:val="22"/>
              </w:rPr>
            </w:pPr>
            <w:r w:rsidRPr="008E743B">
              <w:rPr>
                <w:sz w:val="22"/>
                <w:szCs w:val="22"/>
              </w:rPr>
              <w:t>Какво е  финансовото изпълнение на ОПОС</w:t>
            </w:r>
            <w:r w:rsidR="005259F8">
              <w:rPr>
                <w:sz w:val="22"/>
                <w:szCs w:val="22"/>
              </w:rPr>
              <w:t xml:space="preserve"> към </w:t>
            </w:r>
            <w:r w:rsidR="00050FC9">
              <w:rPr>
                <w:sz w:val="22"/>
                <w:szCs w:val="22"/>
              </w:rPr>
              <w:t>средата на</w:t>
            </w:r>
            <w:r w:rsidR="005259F8">
              <w:rPr>
                <w:sz w:val="22"/>
                <w:szCs w:val="22"/>
              </w:rPr>
              <w:t xml:space="preserve"> 201</w:t>
            </w:r>
            <w:r w:rsidR="00050FC9">
              <w:rPr>
                <w:sz w:val="22"/>
                <w:szCs w:val="22"/>
              </w:rPr>
              <w:t>9</w:t>
            </w:r>
            <w:r w:rsidR="005259F8">
              <w:rPr>
                <w:sz w:val="22"/>
                <w:szCs w:val="22"/>
              </w:rPr>
              <w:t xml:space="preserve"> г.</w:t>
            </w:r>
            <w:r w:rsidRPr="008E743B">
              <w:rPr>
                <w:sz w:val="22"/>
                <w:szCs w:val="22"/>
              </w:rPr>
              <w:t xml:space="preserve">? Каква е степента на </w:t>
            </w:r>
            <w:proofErr w:type="spellStart"/>
            <w:r w:rsidRPr="008E743B">
              <w:rPr>
                <w:sz w:val="22"/>
                <w:szCs w:val="22"/>
              </w:rPr>
              <w:t>усвояемост</w:t>
            </w:r>
            <w:proofErr w:type="spellEnd"/>
            <w:r w:rsidRPr="008E743B">
              <w:rPr>
                <w:sz w:val="22"/>
                <w:szCs w:val="22"/>
              </w:rPr>
              <w:t xml:space="preserve"> на средствата по ОПОС и какви са нуждите от подобрение на процеса на усвояване? </w:t>
            </w:r>
            <w:r w:rsidR="008B2C88" w:rsidRPr="008E743B">
              <w:rPr>
                <w:sz w:val="22"/>
                <w:szCs w:val="22"/>
              </w:rPr>
              <w:t xml:space="preserve"> </w:t>
            </w:r>
            <w:r w:rsidR="00D27033" w:rsidRPr="008E743B">
              <w:rPr>
                <w:sz w:val="22"/>
                <w:szCs w:val="22"/>
              </w:rPr>
              <w:t>Необходим</w:t>
            </w:r>
            <w:r w:rsidR="00D27033">
              <w:rPr>
                <w:sz w:val="22"/>
                <w:szCs w:val="22"/>
              </w:rPr>
              <w:t>о</w:t>
            </w:r>
            <w:r w:rsidR="00D27033" w:rsidRPr="008E743B">
              <w:rPr>
                <w:sz w:val="22"/>
                <w:szCs w:val="22"/>
              </w:rPr>
              <w:t xml:space="preserve"> ли е </w:t>
            </w:r>
            <w:r w:rsidR="00D27033">
              <w:rPr>
                <w:sz w:val="22"/>
                <w:szCs w:val="22"/>
              </w:rPr>
              <w:t>прехвърляне</w:t>
            </w:r>
            <w:r w:rsidR="00D27033" w:rsidRPr="008E743B">
              <w:rPr>
                <w:sz w:val="22"/>
                <w:szCs w:val="22"/>
              </w:rPr>
              <w:t xml:space="preserve"> на средства между </w:t>
            </w:r>
            <w:proofErr w:type="spellStart"/>
            <w:r w:rsidR="00D27033" w:rsidRPr="008E743B">
              <w:rPr>
                <w:sz w:val="22"/>
                <w:szCs w:val="22"/>
              </w:rPr>
              <w:t>отдлените</w:t>
            </w:r>
            <w:proofErr w:type="spellEnd"/>
            <w:r w:rsidR="00D27033" w:rsidRPr="008E743B">
              <w:rPr>
                <w:sz w:val="22"/>
                <w:szCs w:val="22"/>
              </w:rPr>
              <w:t xml:space="preserve"> приоритетни оси/по години </w:t>
            </w:r>
            <w:r w:rsidR="00D27033">
              <w:rPr>
                <w:sz w:val="22"/>
                <w:szCs w:val="22"/>
              </w:rPr>
              <w:t xml:space="preserve"> и ако е наложително, какви са причините за това?</w:t>
            </w:r>
          </w:p>
        </w:tc>
      </w:tr>
      <w:tr w:rsidR="00953268" w:rsidRPr="008E743B"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lastRenderedPageBreak/>
              <w:t>Методи за оценка</w:t>
            </w:r>
          </w:p>
        </w:tc>
        <w:tc>
          <w:tcPr>
            <w:tcW w:w="10841" w:type="dxa"/>
            <w:hideMark/>
          </w:tcPr>
          <w:p w:rsidR="00EF38F7" w:rsidRPr="008E743B" w:rsidRDefault="00953268" w:rsidP="00EB274A">
            <w:pPr>
              <w:pStyle w:val="ListBullet"/>
              <w:spacing w:before="60" w:after="60"/>
              <w:jc w:val="both"/>
              <w:rPr>
                <w:sz w:val="22"/>
                <w:szCs w:val="22"/>
              </w:rPr>
            </w:pPr>
            <w:r w:rsidRPr="00861F46">
              <w:rPr>
                <w:rFonts w:cs="Arial"/>
                <w:sz w:val="22"/>
                <w:szCs w:val="22"/>
                <w:lang w:val="ru-RU"/>
              </w:rPr>
              <w:t xml:space="preserve"> </w:t>
            </w:r>
            <w:r w:rsidR="00644D21" w:rsidRPr="008E743B">
              <w:rPr>
                <w:rFonts w:cs="Arial"/>
                <w:sz w:val="22"/>
                <w:szCs w:val="22"/>
              </w:rPr>
              <w:t>О</w:t>
            </w:r>
            <w:r w:rsidR="00644D21" w:rsidRPr="008E743B">
              <w:rPr>
                <w:sz w:val="22"/>
                <w:szCs w:val="22"/>
              </w:rPr>
              <w:t>ценката на изпълнението ще се реализира чрез съчетаването на следните изследователски методи</w:t>
            </w:r>
            <w:r w:rsidR="00EF38F7" w:rsidRPr="008E743B">
              <w:rPr>
                <w:sz w:val="22"/>
                <w:szCs w:val="22"/>
              </w:rPr>
              <w:t>:</w:t>
            </w:r>
          </w:p>
          <w:p w:rsidR="00EF38F7" w:rsidRPr="008E743B" w:rsidRDefault="00EF38F7" w:rsidP="00EB274A">
            <w:pPr>
              <w:pStyle w:val="ListBullet"/>
              <w:spacing w:before="60" w:after="60"/>
              <w:ind w:left="720"/>
              <w:jc w:val="both"/>
              <w:rPr>
                <w:sz w:val="22"/>
                <w:szCs w:val="22"/>
              </w:rPr>
            </w:pPr>
            <w:r w:rsidRPr="008E743B">
              <w:rPr>
                <w:sz w:val="22"/>
                <w:szCs w:val="22"/>
              </w:rPr>
              <w:t>Кабинетни проучвания за набиране и анализ на вторична информация</w:t>
            </w:r>
            <w:r w:rsidR="009639A0">
              <w:rPr>
                <w:sz w:val="22"/>
                <w:szCs w:val="22"/>
              </w:rPr>
              <w:t>;</w:t>
            </w:r>
          </w:p>
          <w:p w:rsidR="00EF38F7" w:rsidRPr="008E743B" w:rsidRDefault="00EF38F7" w:rsidP="00EB274A">
            <w:pPr>
              <w:pStyle w:val="ListBullet"/>
              <w:spacing w:before="60" w:after="60"/>
              <w:ind w:left="720"/>
              <w:jc w:val="both"/>
              <w:rPr>
                <w:sz w:val="22"/>
                <w:szCs w:val="22"/>
              </w:rPr>
            </w:pPr>
            <w:r w:rsidRPr="008E743B">
              <w:rPr>
                <w:sz w:val="22"/>
                <w:szCs w:val="22"/>
              </w:rPr>
              <w:t xml:space="preserve">Количествени проучвания за набиране на първични данни чрез анкети, вкл. онлайн анкети, сред заинтересовани страни </w:t>
            </w:r>
            <w:r w:rsidRPr="00861F46">
              <w:rPr>
                <w:sz w:val="22"/>
                <w:szCs w:val="22"/>
                <w:lang w:val="ru-RU"/>
              </w:rPr>
              <w:t>(</w:t>
            </w:r>
            <w:r w:rsidRPr="008E743B">
              <w:rPr>
                <w:sz w:val="22"/>
                <w:szCs w:val="22"/>
              </w:rPr>
              <w:t xml:space="preserve">бенефициенти, потенциални бенефициенти, контролни групи от субекти, необхванати от интервенциите по ОПОС за целите на </w:t>
            </w:r>
            <w:proofErr w:type="spellStart"/>
            <w:r w:rsidRPr="008E743B">
              <w:rPr>
                <w:sz w:val="22"/>
                <w:szCs w:val="22"/>
              </w:rPr>
              <w:t>контрафактологичната</w:t>
            </w:r>
            <w:proofErr w:type="spellEnd"/>
            <w:r w:rsidRPr="008E743B">
              <w:rPr>
                <w:sz w:val="22"/>
                <w:szCs w:val="22"/>
              </w:rPr>
              <w:t xml:space="preserve"> оценка и др.</w:t>
            </w:r>
            <w:r w:rsidRPr="00861F46">
              <w:rPr>
                <w:sz w:val="22"/>
                <w:szCs w:val="22"/>
                <w:lang w:val="ru-RU"/>
              </w:rPr>
              <w:t>)</w:t>
            </w:r>
            <w:r w:rsidR="009639A0">
              <w:rPr>
                <w:sz w:val="22"/>
                <w:szCs w:val="22"/>
                <w:lang w:val="ru-RU"/>
              </w:rPr>
              <w:t>;</w:t>
            </w:r>
          </w:p>
          <w:p w:rsidR="00EF38F7" w:rsidRPr="008E743B" w:rsidRDefault="00EF38F7" w:rsidP="00EB274A">
            <w:pPr>
              <w:pStyle w:val="ListBullet"/>
              <w:spacing w:before="60" w:after="60"/>
              <w:ind w:left="720"/>
              <w:jc w:val="both"/>
              <w:rPr>
                <w:sz w:val="22"/>
                <w:szCs w:val="22"/>
              </w:rPr>
            </w:pPr>
            <w:r w:rsidRPr="008E743B">
              <w:rPr>
                <w:sz w:val="22"/>
                <w:szCs w:val="22"/>
              </w:rPr>
              <w:t xml:space="preserve">Качествени проучвания чрез фокус групи, експертни панели, дълбочинни интервюта с </w:t>
            </w:r>
            <w:r w:rsidR="00C46D74">
              <w:rPr>
                <w:sz w:val="22"/>
                <w:szCs w:val="22"/>
              </w:rPr>
              <w:t>УО</w:t>
            </w:r>
            <w:r w:rsidRPr="008E743B">
              <w:rPr>
                <w:sz w:val="22"/>
                <w:szCs w:val="22"/>
              </w:rPr>
              <w:t>, др. институционални партньори, членове на КН на ОПОС, бенефициенти и др.</w:t>
            </w:r>
            <w:r w:rsidR="009639A0">
              <w:rPr>
                <w:sz w:val="22"/>
                <w:szCs w:val="22"/>
              </w:rPr>
              <w:t>;</w:t>
            </w:r>
          </w:p>
          <w:p w:rsidR="00953268" w:rsidRPr="00861F46" w:rsidRDefault="00EF38F7" w:rsidP="00EB274A">
            <w:pPr>
              <w:pStyle w:val="ListBullet"/>
              <w:spacing w:before="60" w:after="60"/>
              <w:ind w:left="714" w:hanging="357"/>
              <w:jc w:val="both"/>
              <w:rPr>
                <w:rFonts w:cs="Arial"/>
                <w:sz w:val="22"/>
                <w:szCs w:val="22"/>
                <w:lang w:val="ru-RU"/>
              </w:rPr>
            </w:pPr>
            <w:r w:rsidRPr="008E743B">
              <w:rPr>
                <w:sz w:val="22"/>
                <w:szCs w:val="22"/>
              </w:rPr>
              <w:t xml:space="preserve">Анализ разходи-ползи/ разходи-ефективност за целите на оценка на ефикасността на </w:t>
            </w:r>
            <w:r w:rsidR="008E743B">
              <w:rPr>
                <w:sz w:val="22"/>
                <w:szCs w:val="22"/>
              </w:rPr>
              <w:t xml:space="preserve">интервенциите по оси 1, 2, 3, 4 и 6 на </w:t>
            </w:r>
            <w:r w:rsidRPr="008E743B">
              <w:rPr>
                <w:sz w:val="22"/>
                <w:szCs w:val="22"/>
              </w:rPr>
              <w:t>ОПОС 2014-2020</w:t>
            </w:r>
            <w:r w:rsidR="0041256B">
              <w:rPr>
                <w:sz w:val="22"/>
                <w:szCs w:val="22"/>
              </w:rPr>
              <w:t xml:space="preserve"> г.</w:t>
            </w:r>
          </w:p>
        </w:tc>
      </w:tr>
      <w:tr w:rsidR="00953268" w:rsidRPr="008E743B"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t>Източници на информация</w:t>
            </w:r>
          </w:p>
        </w:tc>
        <w:tc>
          <w:tcPr>
            <w:tcW w:w="10841" w:type="dxa"/>
            <w:hideMark/>
          </w:tcPr>
          <w:p w:rsidR="00EF38F7" w:rsidRPr="00861F46" w:rsidRDefault="00EF38F7" w:rsidP="00EB274A">
            <w:pPr>
              <w:pStyle w:val="ListBullet"/>
              <w:spacing w:before="60" w:after="60"/>
              <w:jc w:val="both"/>
              <w:rPr>
                <w:sz w:val="22"/>
                <w:szCs w:val="22"/>
                <w:lang w:val="ru-RU"/>
              </w:rPr>
            </w:pPr>
            <w:r w:rsidRPr="008E743B">
              <w:rPr>
                <w:sz w:val="22"/>
                <w:szCs w:val="22"/>
              </w:rPr>
              <w:t>Информация за изпълнението на ОПОС 2014-2020</w:t>
            </w:r>
            <w:r w:rsidR="005259F8">
              <w:rPr>
                <w:sz w:val="22"/>
                <w:szCs w:val="22"/>
              </w:rPr>
              <w:t xml:space="preserve"> г., предоставена</w:t>
            </w:r>
            <w:r w:rsidRPr="008E743B">
              <w:rPr>
                <w:sz w:val="22"/>
                <w:szCs w:val="22"/>
              </w:rPr>
              <w:t xml:space="preserve"> от </w:t>
            </w:r>
            <w:r w:rsidR="00C46D74">
              <w:rPr>
                <w:sz w:val="22"/>
                <w:szCs w:val="22"/>
              </w:rPr>
              <w:t>УО</w:t>
            </w:r>
            <w:r w:rsidRPr="008E743B">
              <w:rPr>
                <w:sz w:val="22"/>
                <w:szCs w:val="22"/>
              </w:rPr>
              <w:t>, в т.ч. годишните доклади за изпълнението на програмата и всички други релевантни документи</w:t>
            </w:r>
            <w:r w:rsidR="009639A0">
              <w:rPr>
                <w:sz w:val="22"/>
                <w:szCs w:val="22"/>
              </w:rPr>
              <w:t>;</w:t>
            </w:r>
          </w:p>
          <w:p w:rsidR="00644D21" w:rsidRPr="00861F46" w:rsidRDefault="00644D21" w:rsidP="00EB274A">
            <w:pPr>
              <w:pStyle w:val="ListBullet"/>
              <w:spacing w:before="60" w:after="60"/>
              <w:jc w:val="both"/>
              <w:rPr>
                <w:sz w:val="22"/>
                <w:szCs w:val="22"/>
                <w:lang w:val="ru-RU"/>
              </w:rPr>
            </w:pPr>
            <w:r w:rsidRPr="008E743B">
              <w:rPr>
                <w:sz w:val="22"/>
                <w:szCs w:val="22"/>
              </w:rPr>
              <w:t xml:space="preserve">Информация от </w:t>
            </w:r>
            <w:r w:rsidR="00EF38F7" w:rsidRPr="008E743B">
              <w:rPr>
                <w:sz w:val="22"/>
                <w:szCs w:val="22"/>
              </w:rPr>
              <w:t xml:space="preserve"> доклади</w:t>
            </w:r>
            <w:r w:rsidRPr="008E743B">
              <w:rPr>
                <w:sz w:val="22"/>
                <w:szCs w:val="22"/>
              </w:rPr>
              <w:t xml:space="preserve"> за напредъка по одобрените проекти </w:t>
            </w:r>
            <w:r w:rsidR="00392D61" w:rsidRPr="008E743B">
              <w:rPr>
                <w:sz w:val="22"/>
                <w:szCs w:val="22"/>
              </w:rPr>
              <w:t>по оси 1, 2, 3, 4 и 6</w:t>
            </w:r>
            <w:r w:rsidRPr="008E743B">
              <w:rPr>
                <w:sz w:val="22"/>
                <w:szCs w:val="22"/>
              </w:rPr>
              <w:t>, представени от бенефициентите</w:t>
            </w:r>
            <w:r w:rsidR="009639A0">
              <w:rPr>
                <w:sz w:val="22"/>
                <w:szCs w:val="22"/>
              </w:rPr>
              <w:t>;</w:t>
            </w:r>
          </w:p>
          <w:p w:rsidR="00EF38F7" w:rsidRPr="00861F46" w:rsidRDefault="00EF38F7" w:rsidP="00EB274A">
            <w:pPr>
              <w:pStyle w:val="ListBullet"/>
              <w:spacing w:before="60" w:after="60"/>
              <w:jc w:val="both"/>
              <w:rPr>
                <w:sz w:val="22"/>
                <w:szCs w:val="22"/>
                <w:lang w:val="ru-RU"/>
              </w:rPr>
            </w:pPr>
            <w:r w:rsidRPr="008E743B">
              <w:rPr>
                <w:sz w:val="22"/>
                <w:szCs w:val="22"/>
              </w:rPr>
              <w:t>Данни от ИСУН</w:t>
            </w:r>
            <w:r w:rsidR="00392D61" w:rsidRPr="008E743B">
              <w:rPr>
                <w:sz w:val="22"/>
                <w:szCs w:val="22"/>
              </w:rPr>
              <w:t xml:space="preserve"> </w:t>
            </w:r>
            <w:r w:rsidR="00D45142">
              <w:rPr>
                <w:sz w:val="22"/>
                <w:szCs w:val="22"/>
              </w:rPr>
              <w:t xml:space="preserve">2020 </w:t>
            </w:r>
            <w:r w:rsidR="00392D61" w:rsidRPr="008E743B">
              <w:rPr>
                <w:sz w:val="22"/>
                <w:szCs w:val="22"/>
              </w:rPr>
              <w:t xml:space="preserve">за изпълнението на проекти по </w:t>
            </w:r>
            <w:r w:rsidR="00C97CD6" w:rsidRPr="008E743B">
              <w:rPr>
                <w:sz w:val="22"/>
                <w:szCs w:val="22"/>
              </w:rPr>
              <w:t>оси 1, 2, 3, 4 и 6 на ОПОС 2014-2020</w:t>
            </w:r>
            <w:r w:rsidR="005259F8">
              <w:rPr>
                <w:sz w:val="22"/>
                <w:szCs w:val="22"/>
              </w:rPr>
              <w:t xml:space="preserve"> г.</w:t>
            </w:r>
            <w:r w:rsidR="009639A0">
              <w:rPr>
                <w:sz w:val="22"/>
                <w:szCs w:val="22"/>
              </w:rPr>
              <w:t>;</w:t>
            </w:r>
          </w:p>
          <w:p w:rsidR="00EF38F7" w:rsidRPr="009639A0" w:rsidRDefault="00EF38F7" w:rsidP="00EB274A">
            <w:pPr>
              <w:pStyle w:val="ListBullet"/>
              <w:spacing w:before="60" w:after="60"/>
              <w:jc w:val="both"/>
              <w:rPr>
                <w:sz w:val="22"/>
                <w:szCs w:val="22"/>
                <w:lang w:val="ru-RU"/>
              </w:rPr>
            </w:pPr>
            <w:r w:rsidRPr="008E743B">
              <w:rPr>
                <w:sz w:val="22"/>
                <w:szCs w:val="22"/>
              </w:rPr>
              <w:t xml:space="preserve">Данни от НСИ и </w:t>
            </w:r>
            <w:proofErr w:type="spellStart"/>
            <w:r w:rsidRPr="008E743B">
              <w:rPr>
                <w:sz w:val="22"/>
                <w:szCs w:val="22"/>
              </w:rPr>
              <w:t>Евростат</w:t>
            </w:r>
            <w:proofErr w:type="spellEnd"/>
            <w:r w:rsidR="009639A0">
              <w:rPr>
                <w:sz w:val="22"/>
                <w:szCs w:val="22"/>
              </w:rPr>
              <w:t>;</w:t>
            </w:r>
          </w:p>
          <w:p w:rsidR="00953268" w:rsidRPr="00861F46" w:rsidRDefault="00EF38F7" w:rsidP="00EB274A">
            <w:pPr>
              <w:pStyle w:val="ListBullet"/>
              <w:jc w:val="both"/>
              <w:rPr>
                <w:rFonts w:cs="Arial"/>
                <w:sz w:val="22"/>
                <w:szCs w:val="22"/>
                <w:lang w:val="ru-RU"/>
              </w:rPr>
            </w:pPr>
            <w:r w:rsidRPr="008E743B">
              <w:rPr>
                <w:sz w:val="22"/>
                <w:szCs w:val="22"/>
              </w:rPr>
              <w:t>Първични данни от количествени и качествени проучвания</w:t>
            </w:r>
            <w:r w:rsidR="009639A0">
              <w:rPr>
                <w:sz w:val="22"/>
                <w:szCs w:val="22"/>
              </w:rPr>
              <w:t>.</w:t>
            </w:r>
          </w:p>
        </w:tc>
      </w:tr>
      <w:tr w:rsidR="00953268" w:rsidRPr="008E743B" w:rsidTr="00696D7E">
        <w:tc>
          <w:tcPr>
            <w:tcW w:w="0" w:type="auto"/>
            <w:hideMark/>
          </w:tcPr>
          <w:p w:rsidR="00953268" w:rsidRPr="0028711A" w:rsidRDefault="00953268" w:rsidP="007D5F8C">
            <w:pPr>
              <w:spacing w:before="60" w:after="60"/>
              <w:rPr>
                <w:rFonts w:cs="Arial"/>
                <w:b/>
                <w:sz w:val="22"/>
                <w:szCs w:val="22"/>
                <w:lang w:val="en-GB"/>
              </w:rPr>
            </w:pPr>
            <w:r w:rsidRPr="0028711A">
              <w:rPr>
                <w:rFonts w:cs="Arial"/>
                <w:b/>
                <w:sz w:val="22"/>
                <w:szCs w:val="22"/>
              </w:rPr>
              <w:t>Времеви обхват на оценката</w:t>
            </w:r>
            <w:r w:rsidRPr="0028711A">
              <w:rPr>
                <w:rFonts w:cs="Arial"/>
                <w:b/>
                <w:sz w:val="22"/>
                <w:szCs w:val="22"/>
                <w:lang w:val="en-GB"/>
              </w:rPr>
              <w:t xml:space="preserve"> </w:t>
            </w:r>
          </w:p>
        </w:tc>
        <w:tc>
          <w:tcPr>
            <w:tcW w:w="10841" w:type="dxa"/>
            <w:vAlign w:val="center"/>
            <w:hideMark/>
          </w:tcPr>
          <w:p w:rsidR="00953268" w:rsidRPr="008E743B" w:rsidRDefault="00D27033" w:rsidP="00EB274A">
            <w:pPr>
              <w:spacing w:before="60" w:after="60"/>
              <w:jc w:val="both"/>
              <w:rPr>
                <w:rFonts w:cs="Arial"/>
                <w:sz w:val="22"/>
                <w:szCs w:val="22"/>
              </w:rPr>
            </w:pPr>
            <w:r>
              <w:rPr>
                <w:rFonts w:cs="Arial"/>
                <w:sz w:val="22"/>
                <w:szCs w:val="22"/>
              </w:rPr>
              <w:t>юни 2015 г.</w:t>
            </w:r>
            <w:r w:rsidR="00953268" w:rsidRPr="008E743B">
              <w:rPr>
                <w:rFonts w:cs="Arial"/>
                <w:sz w:val="22"/>
                <w:szCs w:val="22"/>
                <w:lang w:val="en-GB"/>
              </w:rPr>
              <w:t xml:space="preserve"> –</w:t>
            </w:r>
            <w:r w:rsidR="001B1E8D" w:rsidRPr="008E743B">
              <w:rPr>
                <w:rFonts w:cs="Arial"/>
                <w:sz w:val="22"/>
                <w:szCs w:val="22"/>
              </w:rPr>
              <w:t xml:space="preserve"> </w:t>
            </w:r>
            <w:r w:rsidR="009639A0">
              <w:rPr>
                <w:rFonts w:cs="Arial"/>
                <w:sz w:val="22"/>
                <w:szCs w:val="22"/>
              </w:rPr>
              <w:t xml:space="preserve">септември </w:t>
            </w:r>
            <w:r w:rsidR="00953268" w:rsidRPr="008E743B">
              <w:rPr>
                <w:rFonts w:cs="Arial"/>
                <w:sz w:val="22"/>
                <w:szCs w:val="22"/>
              </w:rPr>
              <w:t>201</w:t>
            </w:r>
            <w:r w:rsidR="009639A0">
              <w:rPr>
                <w:rFonts w:cs="Arial"/>
                <w:sz w:val="22"/>
                <w:szCs w:val="22"/>
              </w:rPr>
              <w:t>9 г.</w:t>
            </w:r>
          </w:p>
        </w:tc>
      </w:tr>
      <w:tr w:rsidR="00953268" w:rsidRPr="008E743B" w:rsidTr="00696D7E">
        <w:trPr>
          <w:trHeight w:val="349"/>
        </w:trPr>
        <w:tc>
          <w:tcPr>
            <w:tcW w:w="0" w:type="auto"/>
            <w:hideMark/>
          </w:tcPr>
          <w:p w:rsidR="00953268" w:rsidRPr="0028711A" w:rsidRDefault="00953268" w:rsidP="007D5F8C">
            <w:pPr>
              <w:spacing w:before="60" w:after="60"/>
              <w:rPr>
                <w:rFonts w:cs="Arial"/>
                <w:b/>
                <w:sz w:val="22"/>
                <w:szCs w:val="22"/>
                <w:lang w:val="en-GB"/>
              </w:rPr>
            </w:pPr>
            <w:r w:rsidRPr="0028711A">
              <w:rPr>
                <w:rFonts w:cs="Arial"/>
                <w:b/>
                <w:sz w:val="22"/>
                <w:szCs w:val="22"/>
              </w:rPr>
              <w:lastRenderedPageBreak/>
              <w:t>Продължителност</w:t>
            </w:r>
            <w:r w:rsidRPr="0028711A">
              <w:rPr>
                <w:rFonts w:cs="Arial"/>
                <w:b/>
                <w:sz w:val="22"/>
                <w:szCs w:val="22"/>
                <w:lang w:val="en-GB"/>
              </w:rPr>
              <w:t xml:space="preserve"> </w:t>
            </w:r>
          </w:p>
        </w:tc>
        <w:tc>
          <w:tcPr>
            <w:tcW w:w="10841" w:type="dxa"/>
            <w:vAlign w:val="center"/>
            <w:hideMark/>
          </w:tcPr>
          <w:p w:rsidR="00953268" w:rsidRPr="008E743B" w:rsidRDefault="00050FC9" w:rsidP="00EB274A">
            <w:pPr>
              <w:spacing w:before="60" w:after="60"/>
              <w:jc w:val="both"/>
              <w:rPr>
                <w:rFonts w:cs="Arial"/>
                <w:sz w:val="22"/>
                <w:szCs w:val="22"/>
              </w:rPr>
            </w:pPr>
            <w:r>
              <w:rPr>
                <w:rFonts w:cs="Arial"/>
                <w:sz w:val="22"/>
                <w:szCs w:val="22"/>
              </w:rPr>
              <w:t>8</w:t>
            </w:r>
            <w:r w:rsidR="00953268" w:rsidRPr="008E743B">
              <w:rPr>
                <w:rFonts w:cs="Arial"/>
                <w:sz w:val="22"/>
                <w:szCs w:val="22"/>
                <w:lang w:val="en-GB"/>
              </w:rPr>
              <w:t xml:space="preserve"> </w:t>
            </w:r>
            <w:r w:rsidR="00953268" w:rsidRPr="008E743B">
              <w:rPr>
                <w:rFonts w:cs="Arial"/>
                <w:sz w:val="22"/>
                <w:szCs w:val="22"/>
              </w:rPr>
              <w:t>месеца</w:t>
            </w:r>
          </w:p>
        </w:tc>
      </w:tr>
      <w:tr w:rsidR="00953268" w:rsidRPr="008E743B"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t>Индикативна начална дата</w:t>
            </w:r>
          </w:p>
        </w:tc>
        <w:tc>
          <w:tcPr>
            <w:tcW w:w="10841" w:type="dxa"/>
            <w:vAlign w:val="center"/>
            <w:hideMark/>
          </w:tcPr>
          <w:p w:rsidR="00953268" w:rsidRPr="008E743B" w:rsidRDefault="00953268" w:rsidP="00EB274A">
            <w:pPr>
              <w:spacing w:before="60" w:after="60"/>
              <w:jc w:val="both"/>
              <w:rPr>
                <w:rFonts w:cs="Arial"/>
                <w:sz w:val="22"/>
                <w:szCs w:val="22"/>
              </w:rPr>
            </w:pPr>
            <w:r w:rsidRPr="008E743B">
              <w:rPr>
                <w:rFonts w:cs="Arial"/>
                <w:sz w:val="22"/>
                <w:szCs w:val="22"/>
              </w:rPr>
              <w:t>15.02.2019</w:t>
            </w:r>
            <w:r w:rsidR="009639A0">
              <w:rPr>
                <w:rFonts w:cs="Arial"/>
                <w:sz w:val="22"/>
                <w:szCs w:val="22"/>
              </w:rPr>
              <w:t xml:space="preserve"> г.</w:t>
            </w:r>
          </w:p>
        </w:tc>
      </w:tr>
      <w:tr w:rsidR="00953268" w:rsidRPr="008E743B" w:rsidTr="00696D7E">
        <w:tc>
          <w:tcPr>
            <w:tcW w:w="0" w:type="auto"/>
            <w:hideMark/>
          </w:tcPr>
          <w:p w:rsidR="00953268" w:rsidRPr="0028711A" w:rsidRDefault="00953268" w:rsidP="007D5F8C">
            <w:pPr>
              <w:spacing w:before="60" w:after="60"/>
              <w:rPr>
                <w:rFonts w:cs="Arial"/>
                <w:b/>
                <w:sz w:val="22"/>
                <w:szCs w:val="22"/>
                <w:lang w:val="en-GB"/>
              </w:rPr>
            </w:pPr>
            <w:r w:rsidRPr="0028711A">
              <w:rPr>
                <w:rFonts w:cs="Arial"/>
                <w:b/>
                <w:sz w:val="22"/>
                <w:szCs w:val="22"/>
              </w:rPr>
              <w:t>Прогнозен бюджет</w:t>
            </w:r>
            <w:r w:rsidRPr="0028711A">
              <w:rPr>
                <w:rFonts w:cs="Arial"/>
                <w:b/>
                <w:sz w:val="22"/>
                <w:szCs w:val="22"/>
                <w:lang w:val="en-GB"/>
              </w:rPr>
              <w:t xml:space="preserve"> </w:t>
            </w:r>
          </w:p>
        </w:tc>
        <w:tc>
          <w:tcPr>
            <w:tcW w:w="10841" w:type="dxa"/>
            <w:vAlign w:val="center"/>
            <w:hideMark/>
          </w:tcPr>
          <w:p w:rsidR="00953268" w:rsidRPr="008E743B" w:rsidRDefault="001B1E8D" w:rsidP="00EB274A">
            <w:pPr>
              <w:spacing w:before="60" w:after="60"/>
              <w:jc w:val="both"/>
              <w:rPr>
                <w:rFonts w:cs="Arial"/>
                <w:sz w:val="22"/>
                <w:szCs w:val="22"/>
              </w:rPr>
            </w:pPr>
            <w:r w:rsidRPr="008E743B">
              <w:rPr>
                <w:rFonts w:cs="Arial"/>
                <w:sz w:val="22"/>
                <w:szCs w:val="22"/>
              </w:rPr>
              <w:t>30</w:t>
            </w:r>
            <w:r w:rsidR="00953268" w:rsidRPr="008E743B">
              <w:rPr>
                <w:rFonts w:cs="Arial"/>
                <w:sz w:val="22"/>
                <w:szCs w:val="22"/>
                <w:lang w:val="en-GB"/>
              </w:rPr>
              <w:t>0 000</w:t>
            </w:r>
            <w:r w:rsidR="00953268" w:rsidRPr="008E743B">
              <w:rPr>
                <w:rFonts w:cs="Arial"/>
                <w:sz w:val="22"/>
                <w:szCs w:val="22"/>
              </w:rPr>
              <w:t xml:space="preserve"> лв.</w:t>
            </w:r>
          </w:p>
        </w:tc>
      </w:tr>
    </w:tbl>
    <w:p w:rsidR="008E6C55" w:rsidRDefault="008E6C55" w:rsidP="00EB274A">
      <w:pPr>
        <w:pStyle w:val="Heading3"/>
        <w:jc w:val="both"/>
      </w:pPr>
      <w:bookmarkStart w:id="52" w:name="_Toc453078532"/>
      <w:r w:rsidRPr="008B2C88">
        <w:t>Оценка на въздействието на ОПОС 2014 – 2020</w:t>
      </w:r>
      <w:r w:rsidR="004750EC">
        <w:t xml:space="preserve"> г.</w:t>
      </w:r>
      <w:r w:rsidRPr="008B2C88">
        <w:t xml:space="preserve"> и на приноса на подкрепата от ЕСИФ за постигането </w:t>
      </w:r>
      <w:r w:rsidRPr="008B2C88">
        <w:rPr>
          <w:rFonts w:cs="Times New Roman"/>
        </w:rPr>
        <w:t>на специфичните цели по всеки приоритет</w:t>
      </w:r>
      <w:r>
        <w:rPr>
          <w:rFonts w:cs="Times New Roman"/>
        </w:rPr>
        <w:t xml:space="preserve"> на програмата</w:t>
      </w:r>
      <w:bookmarkEnd w:id="52"/>
    </w:p>
    <w:tbl>
      <w:tblPr>
        <w:tblStyle w:val="LightList-Accent11"/>
        <w:tblW w:w="13433" w:type="dxa"/>
        <w:tblBorders>
          <w:insideH w:val="single" w:sz="8" w:space="0" w:color="98C723" w:themeColor="accent1"/>
          <w:insideV w:val="single" w:sz="8" w:space="0" w:color="98C723" w:themeColor="accent1"/>
        </w:tblBorders>
        <w:tblLook w:val="0620" w:firstRow="1" w:lastRow="0" w:firstColumn="0" w:lastColumn="0" w:noHBand="1" w:noVBand="1"/>
      </w:tblPr>
      <w:tblGrid>
        <w:gridCol w:w="2560"/>
        <w:gridCol w:w="10873"/>
      </w:tblGrid>
      <w:tr w:rsidR="00953268" w:rsidRPr="008B2C88" w:rsidTr="00696D7E">
        <w:trPr>
          <w:cnfStyle w:val="100000000000" w:firstRow="1" w:lastRow="0" w:firstColumn="0" w:lastColumn="0" w:oddVBand="0" w:evenVBand="0" w:oddHBand="0" w:evenHBand="0" w:firstRowFirstColumn="0" w:firstRowLastColumn="0" w:lastRowFirstColumn="0" w:lastRowLastColumn="0"/>
        </w:trPr>
        <w:tc>
          <w:tcPr>
            <w:tcW w:w="0" w:type="auto"/>
            <w:shd w:val="clear" w:color="auto" w:fill="C4E672" w:themeFill="accent1" w:themeFillTint="99"/>
            <w:hideMark/>
          </w:tcPr>
          <w:p w:rsidR="00953268" w:rsidRPr="008B2C88" w:rsidRDefault="00953268" w:rsidP="007D5F8C">
            <w:pPr>
              <w:spacing w:before="60" w:after="60"/>
              <w:rPr>
                <w:rFonts w:cs="Arial"/>
                <w:sz w:val="22"/>
                <w:szCs w:val="22"/>
                <w:lang w:val="en-GB"/>
              </w:rPr>
            </w:pPr>
            <w:r w:rsidRPr="008B2C88">
              <w:rPr>
                <w:rFonts w:cs="Arial"/>
                <w:sz w:val="22"/>
                <w:szCs w:val="22"/>
              </w:rPr>
              <w:t>Тема на оценката</w:t>
            </w:r>
            <w:r w:rsidRPr="008B2C88">
              <w:rPr>
                <w:rFonts w:cs="Arial"/>
                <w:sz w:val="22"/>
                <w:szCs w:val="22"/>
                <w:lang w:val="en-GB"/>
              </w:rPr>
              <w:t xml:space="preserve"> </w:t>
            </w:r>
          </w:p>
        </w:tc>
        <w:tc>
          <w:tcPr>
            <w:tcW w:w="10873" w:type="dxa"/>
            <w:shd w:val="clear" w:color="auto" w:fill="C4E672" w:themeFill="accent1" w:themeFillTint="99"/>
            <w:hideMark/>
          </w:tcPr>
          <w:p w:rsidR="00953268" w:rsidRPr="00861F46" w:rsidRDefault="00953268" w:rsidP="00EB274A">
            <w:pPr>
              <w:spacing w:before="60" w:after="60"/>
              <w:jc w:val="both"/>
              <w:rPr>
                <w:rFonts w:cs="Arial"/>
                <w:sz w:val="22"/>
                <w:szCs w:val="22"/>
                <w:lang w:val="ru-RU"/>
              </w:rPr>
            </w:pPr>
            <w:r w:rsidRPr="008B2C88">
              <w:rPr>
                <w:sz w:val="22"/>
                <w:szCs w:val="22"/>
              </w:rPr>
              <w:t xml:space="preserve">Оценка </w:t>
            </w:r>
            <w:r w:rsidR="004750EC">
              <w:rPr>
                <w:sz w:val="22"/>
                <w:szCs w:val="22"/>
              </w:rPr>
              <w:t>на въздействието на ОПОС 2014-</w:t>
            </w:r>
            <w:r w:rsidRPr="008B2C88">
              <w:rPr>
                <w:sz w:val="22"/>
                <w:szCs w:val="22"/>
              </w:rPr>
              <w:t>2020</w:t>
            </w:r>
            <w:r w:rsidR="004750EC">
              <w:rPr>
                <w:sz w:val="22"/>
                <w:szCs w:val="22"/>
              </w:rPr>
              <w:t xml:space="preserve"> г.</w:t>
            </w:r>
            <w:r w:rsidRPr="008B2C88">
              <w:rPr>
                <w:rFonts w:cs="Arial"/>
                <w:i/>
                <w:sz w:val="22"/>
                <w:szCs w:val="22"/>
              </w:rPr>
              <w:t xml:space="preserve"> </w:t>
            </w:r>
            <w:r w:rsidRPr="008B2C88">
              <w:rPr>
                <w:rFonts w:cs="Arial"/>
                <w:sz w:val="22"/>
                <w:szCs w:val="22"/>
              </w:rPr>
              <w:t xml:space="preserve">и на </w:t>
            </w:r>
            <w:r w:rsidRPr="008B2C88">
              <w:rPr>
                <w:sz w:val="22"/>
                <w:szCs w:val="22"/>
              </w:rPr>
              <w:t xml:space="preserve">приноса на подкрепата от ЕСИФ за постигането </w:t>
            </w:r>
            <w:r w:rsidRPr="008B2C88">
              <w:rPr>
                <w:rFonts w:cs="Times New Roman"/>
                <w:sz w:val="22"/>
                <w:szCs w:val="22"/>
              </w:rPr>
              <w:t>на специфичните цели по всеки приоритет</w:t>
            </w:r>
          </w:p>
        </w:tc>
      </w:tr>
      <w:tr w:rsidR="00953268" w:rsidRPr="008B2C88" w:rsidTr="00696D7E">
        <w:trPr>
          <w:trHeight w:val="953"/>
        </w:trPr>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t>Предмет и обосновка на фокуса на оценката</w:t>
            </w:r>
          </w:p>
        </w:tc>
        <w:tc>
          <w:tcPr>
            <w:tcW w:w="10873" w:type="dxa"/>
            <w:hideMark/>
          </w:tcPr>
          <w:p w:rsidR="00953268" w:rsidRPr="008B2C88" w:rsidRDefault="00626108" w:rsidP="00EB274A">
            <w:pPr>
              <w:spacing w:before="60" w:after="60"/>
              <w:jc w:val="both"/>
              <w:rPr>
                <w:sz w:val="22"/>
                <w:szCs w:val="22"/>
              </w:rPr>
            </w:pPr>
            <w:r w:rsidRPr="008B2C88">
              <w:rPr>
                <w:sz w:val="22"/>
                <w:szCs w:val="22"/>
              </w:rPr>
              <w:t>Оценката има за цел да установи приноса на ОПОС 2014-2020</w:t>
            </w:r>
            <w:r w:rsidR="005259F8">
              <w:rPr>
                <w:sz w:val="22"/>
                <w:szCs w:val="22"/>
              </w:rPr>
              <w:t xml:space="preserve"> г.</w:t>
            </w:r>
            <w:r w:rsidRPr="008B2C88">
              <w:rPr>
                <w:sz w:val="22"/>
                <w:szCs w:val="22"/>
              </w:rPr>
              <w:t xml:space="preserve"> за постигане на специфичните цели на всеки инвестиционен приоритет по всяка приоритетна ос на програмата, както и на въздействието на ОПОС като цяло </w:t>
            </w:r>
            <w:r w:rsidR="00E271B7" w:rsidRPr="00D27033">
              <w:rPr>
                <w:sz w:val="22"/>
                <w:szCs w:val="22"/>
              </w:rPr>
              <w:t>за</w:t>
            </w:r>
            <w:r w:rsidR="00E271B7">
              <w:t xml:space="preserve"> </w:t>
            </w:r>
            <w:r w:rsidR="00FA7592" w:rsidRPr="00FA7592">
              <w:rPr>
                <w:sz w:val="22"/>
                <w:szCs w:val="22"/>
              </w:rPr>
              <w:t>опазване и защита на околната среда и насърчаване на ефективното използване на ресурсите</w:t>
            </w:r>
            <w:r w:rsidR="00E271B7" w:rsidRPr="00FA7592">
              <w:rPr>
                <w:sz w:val="22"/>
                <w:szCs w:val="22"/>
              </w:rPr>
              <w:t>.</w:t>
            </w:r>
            <w:r w:rsidRPr="008B2C88">
              <w:rPr>
                <w:sz w:val="22"/>
                <w:szCs w:val="22"/>
              </w:rPr>
              <w:t xml:space="preserve"> Оценката ще обхване всички приоритетни оси и ще се фокусира върху оценка на постигането на всички специфични цели на ОПОС:</w:t>
            </w:r>
          </w:p>
          <w:p w:rsidR="00626108" w:rsidRDefault="00626108" w:rsidP="00EB274A">
            <w:pPr>
              <w:pStyle w:val="ListBullet"/>
              <w:spacing w:before="60" w:after="60"/>
              <w:jc w:val="both"/>
              <w:rPr>
                <w:kern w:val="0"/>
                <w:sz w:val="22"/>
                <w:szCs w:val="22"/>
              </w:rPr>
            </w:pPr>
            <w:proofErr w:type="spellStart"/>
            <w:r w:rsidRPr="00861F46">
              <w:rPr>
                <w:kern w:val="0"/>
                <w:sz w:val="22"/>
                <w:szCs w:val="22"/>
                <w:lang w:val="ru-RU"/>
              </w:rPr>
              <w:t>Опазване</w:t>
            </w:r>
            <w:proofErr w:type="spellEnd"/>
            <w:r w:rsidRPr="00861F46">
              <w:rPr>
                <w:kern w:val="0"/>
                <w:sz w:val="22"/>
                <w:szCs w:val="22"/>
                <w:lang w:val="ru-RU"/>
              </w:rPr>
              <w:t xml:space="preserve"> и </w:t>
            </w:r>
            <w:proofErr w:type="spellStart"/>
            <w:r w:rsidRPr="00861F46">
              <w:rPr>
                <w:kern w:val="0"/>
                <w:sz w:val="22"/>
                <w:szCs w:val="22"/>
                <w:lang w:val="ru-RU"/>
              </w:rPr>
              <w:t>подобряване</w:t>
            </w:r>
            <w:proofErr w:type="spellEnd"/>
            <w:r w:rsidRPr="00861F46">
              <w:rPr>
                <w:kern w:val="0"/>
                <w:sz w:val="22"/>
                <w:szCs w:val="22"/>
                <w:lang w:val="ru-RU"/>
              </w:rPr>
              <w:t xml:space="preserve"> </w:t>
            </w:r>
            <w:proofErr w:type="spellStart"/>
            <w:r w:rsidRPr="00861F46">
              <w:rPr>
                <w:kern w:val="0"/>
                <w:sz w:val="22"/>
                <w:szCs w:val="22"/>
                <w:lang w:val="ru-RU"/>
              </w:rPr>
              <w:t>състоянието</w:t>
            </w:r>
            <w:proofErr w:type="spellEnd"/>
            <w:r w:rsidRPr="00861F46">
              <w:rPr>
                <w:kern w:val="0"/>
                <w:sz w:val="22"/>
                <w:szCs w:val="22"/>
                <w:lang w:val="ru-RU"/>
              </w:rPr>
              <w:t xml:space="preserve"> на </w:t>
            </w:r>
            <w:proofErr w:type="spellStart"/>
            <w:r w:rsidRPr="00861F46">
              <w:rPr>
                <w:kern w:val="0"/>
                <w:sz w:val="22"/>
                <w:szCs w:val="22"/>
                <w:lang w:val="ru-RU"/>
              </w:rPr>
              <w:t>водните</w:t>
            </w:r>
            <w:proofErr w:type="spellEnd"/>
            <w:r w:rsidRPr="00861F46">
              <w:rPr>
                <w:kern w:val="0"/>
                <w:sz w:val="22"/>
                <w:szCs w:val="22"/>
                <w:lang w:val="ru-RU"/>
              </w:rPr>
              <w:t xml:space="preserve"> </w:t>
            </w:r>
            <w:proofErr w:type="spellStart"/>
            <w:r w:rsidRPr="00861F46">
              <w:rPr>
                <w:kern w:val="0"/>
                <w:sz w:val="22"/>
                <w:szCs w:val="22"/>
                <w:lang w:val="ru-RU"/>
              </w:rPr>
              <w:t>ресурси</w:t>
            </w:r>
            <w:proofErr w:type="spellEnd"/>
            <w:r w:rsidR="00B8303E">
              <w:rPr>
                <w:kern w:val="0"/>
                <w:sz w:val="22"/>
                <w:szCs w:val="22"/>
                <w:lang w:val="ru-RU"/>
              </w:rPr>
              <w:t>;</w:t>
            </w:r>
          </w:p>
          <w:p w:rsidR="00FA7592" w:rsidRPr="00861F46" w:rsidRDefault="00FA7592" w:rsidP="00EB274A">
            <w:pPr>
              <w:pStyle w:val="ListBullet"/>
              <w:spacing w:before="60" w:after="60"/>
              <w:jc w:val="both"/>
              <w:rPr>
                <w:kern w:val="0"/>
                <w:sz w:val="22"/>
                <w:szCs w:val="22"/>
                <w:lang w:val="ru-RU"/>
              </w:rPr>
            </w:pPr>
            <w:proofErr w:type="spellStart"/>
            <w:r w:rsidRPr="00861F46">
              <w:rPr>
                <w:kern w:val="0"/>
                <w:sz w:val="22"/>
                <w:szCs w:val="22"/>
                <w:lang w:val="ru-RU"/>
              </w:rPr>
              <w:t>Подобряване</w:t>
            </w:r>
            <w:proofErr w:type="spellEnd"/>
            <w:r w:rsidRPr="00861F46">
              <w:rPr>
                <w:kern w:val="0"/>
                <w:sz w:val="22"/>
                <w:szCs w:val="22"/>
                <w:lang w:val="ru-RU"/>
              </w:rPr>
              <w:t xml:space="preserve"> </w:t>
            </w:r>
            <w:proofErr w:type="spellStart"/>
            <w:r w:rsidRPr="00861F46">
              <w:rPr>
                <w:kern w:val="0"/>
                <w:sz w:val="22"/>
                <w:szCs w:val="22"/>
                <w:lang w:val="ru-RU"/>
              </w:rPr>
              <w:t>оценката</w:t>
            </w:r>
            <w:proofErr w:type="spellEnd"/>
            <w:r w:rsidRPr="00861F46">
              <w:rPr>
                <w:kern w:val="0"/>
                <w:sz w:val="22"/>
                <w:szCs w:val="22"/>
                <w:lang w:val="ru-RU"/>
              </w:rPr>
              <w:t xml:space="preserve"> на </w:t>
            </w:r>
            <w:proofErr w:type="spellStart"/>
            <w:r w:rsidRPr="00861F46">
              <w:rPr>
                <w:kern w:val="0"/>
                <w:sz w:val="22"/>
                <w:szCs w:val="22"/>
                <w:lang w:val="ru-RU"/>
              </w:rPr>
              <w:t>състоянието</w:t>
            </w:r>
            <w:proofErr w:type="spellEnd"/>
            <w:r w:rsidRPr="00861F46">
              <w:rPr>
                <w:kern w:val="0"/>
                <w:sz w:val="22"/>
                <w:szCs w:val="22"/>
                <w:lang w:val="ru-RU"/>
              </w:rPr>
              <w:t xml:space="preserve"> на водите</w:t>
            </w:r>
            <w:r w:rsidR="00B8303E">
              <w:rPr>
                <w:kern w:val="0"/>
                <w:sz w:val="22"/>
                <w:szCs w:val="22"/>
                <w:lang w:val="ru-RU"/>
              </w:rPr>
              <w:t>;</w:t>
            </w:r>
          </w:p>
          <w:p w:rsidR="00626108" w:rsidRPr="00861F46" w:rsidRDefault="00626108" w:rsidP="00EB274A">
            <w:pPr>
              <w:pStyle w:val="ListBullet"/>
              <w:spacing w:before="60" w:after="60"/>
              <w:jc w:val="both"/>
              <w:rPr>
                <w:kern w:val="0"/>
                <w:sz w:val="22"/>
                <w:szCs w:val="22"/>
                <w:lang w:val="ru-RU"/>
              </w:rPr>
            </w:pPr>
            <w:proofErr w:type="spellStart"/>
            <w:r w:rsidRPr="00861F46">
              <w:rPr>
                <w:kern w:val="0"/>
                <w:sz w:val="22"/>
                <w:szCs w:val="22"/>
                <w:lang w:val="ru-RU"/>
              </w:rPr>
              <w:t>Намаляване</w:t>
            </w:r>
            <w:proofErr w:type="spellEnd"/>
            <w:r w:rsidRPr="00861F46">
              <w:rPr>
                <w:kern w:val="0"/>
                <w:sz w:val="22"/>
                <w:szCs w:val="22"/>
                <w:lang w:val="ru-RU"/>
              </w:rPr>
              <w:t xml:space="preserve"> на </w:t>
            </w:r>
            <w:proofErr w:type="spellStart"/>
            <w:r w:rsidRPr="00861F46">
              <w:rPr>
                <w:kern w:val="0"/>
                <w:sz w:val="22"/>
                <w:szCs w:val="22"/>
                <w:lang w:val="ru-RU"/>
              </w:rPr>
              <w:t>количеството</w:t>
            </w:r>
            <w:proofErr w:type="spellEnd"/>
            <w:r w:rsidRPr="00861F46">
              <w:rPr>
                <w:kern w:val="0"/>
                <w:sz w:val="22"/>
                <w:szCs w:val="22"/>
                <w:lang w:val="ru-RU"/>
              </w:rPr>
              <w:t xml:space="preserve"> </w:t>
            </w:r>
            <w:proofErr w:type="spellStart"/>
            <w:r w:rsidRPr="00861F46">
              <w:rPr>
                <w:kern w:val="0"/>
                <w:sz w:val="22"/>
                <w:szCs w:val="22"/>
                <w:lang w:val="ru-RU"/>
              </w:rPr>
              <w:t>депонирани</w:t>
            </w:r>
            <w:proofErr w:type="spellEnd"/>
            <w:r w:rsidRPr="00861F46">
              <w:rPr>
                <w:kern w:val="0"/>
                <w:sz w:val="22"/>
                <w:szCs w:val="22"/>
                <w:lang w:val="ru-RU"/>
              </w:rPr>
              <w:t xml:space="preserve"> </w:t>
            </w:r>
            <w:proofErr w:type="spellStart"/>
            <w:r w:rsidRPr="00861F46">
              <w:rPr>
                <w:kern w:val="0"/>
                <w:sz w:val="22"/>
                <w:szCs w:val="22"/>
                <w:lang w:val="ru-RU"/>
              </w:rPr>
              <w:t>битови</w:t>
            </w:r>
            <w:proofErr w:type="spellEnd"/>
            <w:r w:rsidRPr="00861F46">
              <w:rPr>
                <w:kern w:val="0"/>
                <w:sz w:val="22"/>
                <w:szCs w:val="22"/>
                <w:lang w:val="ru-RU"/>
              </w:rPr>
              <w:t xml:space="preserve"> </w:t>
            </w:r>
            <w:proofErr w:type="spellStart"/>
            <w:r w:rsidRPr="00861F46">
              <w:rPr>
                <w:kern w:val="0"/>
                <w:sz w:val="22"/>
                <w:szCs w:val="22"/>
                <w:lang w:val="ru-RU"/>
              </w:rPr>
              <w:t>отпадъци</w:t>
            </w:r>
            <w:proofErr w:type="spellEnd"/>
            <w:r w:rsidR="00B8303E">
              <w:rPr>
                <w:kern w:val="0"/>
                <w:sz w:val="22"/>
                <w:szCs w:val="22"/>
                <w:lang w:val="ru-RU"/>
              </w:rPr>
              <w:t>;</w:t>
            </w:r>
          </w:p>
          <w:p w:rsidR="00626108" w:rsidRPr="00861F46" w:rsidRDefault="00626108" w:rsidP="00EB274A">
            <w:pPr>
              <w:pStyle w:val="ListBullet"/>
              <w:spacing w:before="60" w:after="60"/>
              <w:jc w:val="both"/>
              <w:rPr>
                <w:kern w:val="0"/>
                <w:sz w:val="22"/>
                <w:szCs w:val="22"/>
                <w:lang w:val="ru-RU"/>
              </w:rPr>
            </w:pPr>
            <w:proofErr w:type="spellStart"/>
            <w:r w:rsidRPr="00861F46">
              <w:rPr>
                <w:kern w:val="0"/>
                <w:sz w:val="22"/>
                <w:szCs w:val="22"/>
                <w:lang w:val="ru-RU"/>
              </w:rPr>
              <w:t>Подобряване</w:t>
            </w:r>
            <w:proofErr w:type="spellEnd"/>
            <w:r w:rsidRPr="00861F46">
              <w:rPr>
                <w:kern w:val="0"/>
                <w:sz w:val="22"/>
                <w:szCs w:val="22"/>
                <w:lang w:val="ru-RU"/>
              </w:rPr>
              <w:t xml:space="preserve"> на </w:t>
            </w:r>
            <w:proofErr w:type="spellStart"/>
            <w:r w:rsidRPr="00861F46">
              <w:rPr>
                <w:kern w:val="0"/>
                <w:sz w:val="22"/>
                <w:szCs w:val="22"/>
                <w:lang w:val="ru-RU"/>
              </w:rPr>
              <w:t>природозащитното</w:t>
            </w:r>
            <w:proofErr w:type="spellEnd"/>
            <w:r w:rsidRPr="00861F46">
              <w:rPr>
                <w:kern w:val="0"/>
                <w:sz w:val="22"/>
                <w:szCs w:val="22"/>
                <w:lang w:val="ru-RU"/>
              </w:rPr>
              <w:t xml:space="preserve"> </w:t>
            </w:r>
            <w:proofErr w:type="spellStart"/>
            <w:r w:rsidRPr="00861F46">
              <w:rPr>
                <w:kern w:val="0"/>
                <w:sz w:val="22"/>
                <w:szCs w:val="22"/>
                <w:lang w:val="ru-RU"/>
              </w:rPr>
              <w:t>състояние</w:t>
            </w:r>
            <w:proofErr w:type="spellEnd"/>
            <w:r w:rsidRPr="00861F46">
              <w:rPr>
                <w:kern w:val="0"/>
                <w:sz w:val="22"/>
                <w:szCs w:val="22"/>
                <w:lang w:val="ru-RU"/>
              </w:rPr>
              <w:t xml:space="preserve"> на </w:t>
            </w:r>
            <w:proofErr w:type="spellStart"/>
            <w:r w:rsidRPr="00861F46">
              <w:rPr>
                <w:kern w:val="0"/>
                <w:sz w:val="22"/>
                <w:szCs w:val="22"/>
                <w:lang w:val="ru-RU"/>
              </w:rPr>
              <w:t>видове</w:t>
            </w:r>
            <w:proofErr w:type="spellEnd"/>
            <w:r w:rsidRPr="00861F46">
              <w:rPr>
                <w:kern w:val="0"/>
                <w:sz w:val="22"/>
                <w:szCs w:val="22"/>
                <w:lang w:val="ru-RU"/>
              </w:rPr>
              <w:t xml:space="preserve"> и местообитания от </w:t>
            </w:r>
            <w:proofErr w:type="spellStart"/>
            <w:r w:rsidRPr="00861F46">
              <w:rPr>
                <w:kern w:val="0"/>
                <w:sz w:val="22"/>
                <w:szCs w:val="22"/>
                <w:lang w:val="ru-RU"/>
              </w:rPr>
              <w:t>мрежата</w:t>
            </w:r>
            <w:proofErr w:type="spellEnd"/>
            <w:r w:rsidRPr="00861F46">
              <w:rPr>
                <w:kern w:val="0"/>
                <w:sz w:val="22"/>
                <w:szCs w:val="22"/>
                <w:lang w:val="ru-RU"/>
              </w:rPr>
              <w:t xml:space="preserve"> Натура 2000</w:t>
            </w:r>
            <w:r w:rsidR="00B8303E">
              <w:rPr>
                <w:kern w:val="0"/>
                <w:sz w:val="22"/>
                <w:szCs w:val="22"/>
                <w:lang w:val="ru-RU"/>
              </w:rPr>
              <w:t>;</w:t>
            </w:r>
          </w:p>
          <w:p w:rsidR="00626108" w:rsidRPr="00861F46" w:rsidRDefault="00626108" w:rsidP="00EB274A">
            <w:pPr>
              <w:pStyle w:val="ListBullet"/>
              <w:spacing w:before="60" w:after="60"/>
              <w:jc w:val="both"/>
              <w:rPr>
                <w:kern w:val="0"/>
                <w:sz w:val="22"/>
                <w:szCs w:val="22"/>
                <w:lang w:val="ru-RU"/>
              </w:rPr>
            </w:pPr>
            <w:proofErr w:type="spellStart"/>
            <w:r w:rsidRPr="00861F46">
              <w:rPr>
                <w:kern w:val="0"/>
                <w:sz w:val="22"/>
                <w:szCs w:val="22"/>
                <w:lang w:val="ru-RU"/>
              </w:rPr>
              <w:t>Повишаване</w:t>
            </w:r>
            <w:proofErr w:type="spellEnd"/>
            <w:r w:rsidRPr="00861F46">
              <w:rPr>
                <w:kern w:val="0"/>
                <w:sz w:val="22"/>
                <w:szCs w:val="22"/>
                <w:lang w:val="ru-RU"/>
              </w:rPr>
              <w:t xml:space="preserve"> </w:t>
            </w:r>
            <w:proofErr w:type="spellStart"/>
            <w:r w:rsidRPr="00861F46">
              <w:rPr>
                <w:kern w:val="0"/>
                <w:sz w:val="22"/>
                <w:szCs w:val="22"/>
                <w:lang w:val="ru-RU"/>
              </w:rPr>
              <w:t>защитата</w:t>
            </w:r>
            <w:proofErr w:type="spellEnd"/>
            <w:r w:rsidRPr="00861F46">
              <w:rPr>
                <w:kern w:val="0"/>
                <w:sz w:val="22"/>
                <w:szCs w:val="22"/>
                <w:lang w:val="ru-RU"/>
              </w:rPr>
              <w:t xml:space="preserve"> и </w:t>
            </w:r>
            <w:proofErr w:type="spellStart"/>
            <w:r w:rsidRPr="00861F46">
              <w:rPr>
                <w:kern w:val="0"/>
                <w:sz w:val="22"/>
                <w:szCs w:val="22"/>
                <w:lang w:val="ru-RU"/>
              </w:rPr>
              <w:t>готовността</w:t>
            </w:r>
            <w:proofErr w:type="spellEnd"/>
            <w:r w:rsidRPr="00861F46">
              <w:rPr>
                <w:kern w:val="0"/>
                <w:sz w:val="22"/>
                <w:szCs w:val="22"/>
                <w:lang w:val="ru-RU"/>
              </w:rPr>
              <w:t xml:space="preserve"> за адекватна реакция на </w:t>
            </w:r>
            <w:proofErr w:type="spellStart"/>
            <w:r w:rsidRPr="00861F46">
              <w:rPr>
                <w:kern w:val="0"/>
                <w:sz w:val="22"/>
                <w:szCs w:val="22"/>
                <w:lang w:val="ru-RU"/>
              </w:rPr>
              <w:t>населението</w:t>
            </w:r>
            <w:proofErr w:type="spellEnd"/>
            <w:r w:rsidRPr="00861F46">
              <w:rPr>
                <w:kern w:val="0"/>
                <w:sz w:val="22"/>
                <w:szCs w:val="22"/>
                <w:lang w:val="ru-RU"/>
              </w:rPr>
              <w:t xml:space="preserve"> при наводнения</w:t>
            </w:r>
            <w:r w:rsidR="00B8303E">
              <w:rPr>
                <w:kern w:val="0"/>
                <w:sz w:val="22"/>
                <w:szCs w:val="22"/>
                <w:lang w:val="ru-RU"/>
              </w:rPr>
              <w:t>;</w:t>
            </w:r>
          </w:p>
          <w:p w:rsidR="00FA7592" w:rsidRPr="00861F46" w:rsidRDefault="00FA7592" w:rsidP="00EB274A">
            <w:pPr>
              <w:pStyle w:val="ListBullet"/>
              <w:spacing w:before="60" w:after="60"/>
              <w:jc w:val="both"/>
              <w:rPr>
                <w:kern w:val="0"/>
                <w:sz w:val="22"/>
                <w:szCs w:val="22"/>
                <w:lang w:val="ru-RU"/>
              </w:rPr>
            </w:pPr>
            <w:proofErr w:type="spellStart"/>
            <w:r w:rsidRPr="00861F46">
              <w:rPr>
                <w:kern w:val="0"/>
                <w:sz w:val="22"/>
                <w:szCs w:val="22"/>
                <w:lang w:val="ru-RU"/>
              </w:rPr>
              <w:t>Повишаване</w:t>
            </w:r>
            <w:proofErr w:type="spellEnd"/>
            <w:r w:rsidRPr="00861F46">
              <w:rPr>
                <w:kern w:val="0"/>
                <w:sz w:val="22"/>
                <w:szCs w:val="22"/>
                <w:lang w:val="ru-RU"/>
              </w:rPr>
              <w:t xml:space="preserve"> </w:t>
            </w:r>
            <w:proofErr w:type="spellStart"/>
            <w:r w:rsidRPr="00861F46">
              <w:rPr>
                <w:kern w:val="0"/>
                <w:sz w:val="22"/>
                <w:szCs w:val="22"/>
                <w:lang w:val="ru-RU"/>
              </w:rPr>
              <w:t>защитата</w:t>
            </w:r>
            <w:proofErr w:type="spellEnd"/>
            <w:r w:rsidRPr="00861F46">
              <w:rPr>
                <w:kern w:val="0"/>
                <w:sz w:val="22"/>
                <w:szCs w:val="22"/>
                <w:lang w:val="ru-RU"/>
              </w:rPr>
              <w:t xml:space="preserve"> на </w:t>
            </w:r>
            <w:proofErr w:type="spellStart"/>
            <w:r w:rsidRPr="00861F46">
              <w:rPr>
                <w:kern w:val="0"/>
                <w:sz w:val="22"/>
                <w:szCs w:val="22"/>
                <w:lang w:val="ru-RU"/>
              </w:rPr>
              <w:t>населението</w:t>
            </w:r>
            <w:proofErr w:type="spellEnd"/>
            <w:r w:rsidRPr="00861F46">
              <w:rPr>
                <w:kern w:val="0"/>
                <w:sz w:val="22"/>
                <w:szCs w:val="22"/>
                <w:lang w:val="ru-RU"/>
              </w:rPr>
              <w:t xml:space="preserve"> от свлачищни </w:t>
            </w:r>
            <w:proofErr w:type="spellStart"/>
            <w:r w:rsidRPr="00861F46">
              <w:rPr>
                <w:kern w:val="0"/>
                <w:sz w:val="22"/>
                <w:szCs w:val="22"/>
                <w:lang w:val="ru-RU"/>
              </w:rPr>
              <w:t>процеси</w:t>
            </w:r>
            <w:proofErr w:type="spellEnd"/>
            <w:r w:rsidR="00B8303E">
              <w:rPr>
                <w:kern w:val="0"/>
                <w:sz w:val="22"/>
                <w:szCs w:val="22"/>
                <w:lang w:val="ru-RU"/>
              </w:rPr>
              <w:t>;</w:t>
            </w:r>
          </w:p>
          <w:p w:rsidR="00953268" w:rsidRPr="00FA7592" w:rsidRDefault="00626108" w:rsidP="00EB274A">
            <w:pPr>
              <w:pStyle w:val="ListBullet"/>
              <w:spacing w:before="60" w:after="60"/>
              <w:jc w:val="both"/>
              <w:rPr>
                <w:rFonts w:cs="Arial"/>
                <w:sz w:val="22"/>
                <w:szCs w:val="22"/>
              </w:rPr>
            </w:pPr>
            <w:proofErr w:type="spellStart"/>
            <w:r w:rsidRPr="00861F46">
              <w:rPr>
                <w:kern w:val="0"/>
                <w:sz w:val="22"/>
                <w:szCs w:val="22"/>
                <w:lang w:val="ru-RU"/>
              </w:rPr>
              <w:t>Намаляване</w:t>
            </w:r>
            <w:proofErr w:type="spellEnd"/>
            <w:r w:rsidRPr="00861F46">
              <w:rPr>
                <w:kern w:val="0"/>
                <w:sz w:val="22"/>
                <w:szCs w:val="22"/>
                <w:lang w:val="ru-RU"/>
              </w:rPr>
              <w:t xml:space="preserve"> </w:t>
            </w:r>
            <w:proofErr w:type="spellStart"/>
            <w:r w:rsidRPr="00861F46">
              <w:rPr>
                <w:kern w:val="0"/>
                <w:sz w:val="22"/>
                <w:szCs w:val="22"/>
                <w:lang w:val="ru-RU"/>
              </w:rPr>
              <w:t>замърсяването</w:t>
            </w:r>
            <w:proofErr w:type="spellEnd"/>
            <w:r w:rsidRPr="00861F46">
              <w:rPr>
                <w:kern w:val="0"/>
                <w:sz w:val="22"/>
                <w:szCs w:val="22"/>
                <w:lang w:val="ru-RU"/>
              </w:rPr>
              <w:t xml:space="preserve"> на </w:t>
            </w:r>
            <w:proofErr w:type="spellStart"/>
            <w:r w:rsidRPr="00861F46">
              <w:rPr>
                <w:kern w:val="0"/>
                <w:sz w:val="22"/>
                <w:szCs w:val="22"/>
                <w:lang w:val="ru-RU"/>
              </w:rPr>
              <w:t>атмосферния</w:t>
            </w:r>
            <w:proofErr w:type="spellEnd"/>
            <w:r w:rsidRPr="00861F46">
              <w:rPr>
                <w:kern w:val="0"/>
                <w:sz w:val="22"/>
                <w:szCs w:val="22"/>
                <w:lang w:val="ru-RU"/>
              </w:rPr>
              <w:t xml:space="preserve"> </w:t>
            </w:r>
            <w:proofErr w:type="spellStart"/>
            <w:r w:rsidRPr="00861F46">
              <w:rPr>
                <w:kern w:val="0"/>
                <w:sz w:val="22"/>
                <w:szCs w:val="22"/>
                <w:lang w:val="ru-RU"/>
              </w:rPr>
              <w:t>въздух</w:t>
            </w:r>
            <w:proofErr w:type="spellEnd"/>
            <w:r w:rsidRPr="00861F46">
              <w:rPr>
                <w:kern w:val="0"/>
                <w:sz w:val="22"/>
                <w:szCs w:val="22"/>
                <w:lang w:val="ru-RU"/>
              </w:rPr>
              <w:t xml:space="preserve"> чрез </w:t>
            </w:r>
            <w:proofErr w:type="spellStart"/>
            <w:r w:rsidRPr="00861F46">
              <w:rPr>
                <w:kern w:val="0"/>
                <w:sz w:val="22"/>
                <w:szCs w:val="22"/>
                <w:lang w:val="ru-RU"/>
              </w:rPr>
              <w:t>понижаване</w:t>
            </w:r>
            <w:proofErr w:type="spellEnd"/>
            <w:r w:rsidRPr="00861F46">
              <w:rPr>
                <w:kern w:val="0"/>
                <w:sz w:val="22"/>
                <w:szCs w:val="22"/>
                <w:lang w:val="ru-RU"/>
              </w:rPr>
              <w:t xml:space="preserve"> </w:t>
            </w:r>
            <w:proofErr w:type="spellStart"/>
            <w:r w:rsidRPr="00861F46">
              <w:rPr>
                <w:kern w:val="0"/>
                <w:sz w:val="22"/>
                <w:szCs w:val="22"/>
                <w:lang w:val="ru-RU"/>
              </w:rPr>
              <w:t>количествата</w:t>
            </w:r>
            <w:proofErr w:type="spellEnd"/>
            <w:r w:rsidRPr="00861F46">
              <w:rPr>
                <w:kern w:val="0"/>
                <w:sz w:val="22"/>
                <w:szCs w:val="22"/>
                <w:lang w:val="ru-RU"/>
              </w:rPr>
              <w:t xml:space="preserve"> на ФПЧ</w:t>
            </w:r>
            <w:r w:rsidRPr="00D27033">
              <w:rPr>
                <w:kern w:val="0"/>
                <w:sz w:val="22"/>
                <w:szCs w:val="22"/>
                <w:vertAlign w:val="subscript"/>
                <w:lang w:val="ru-RU"/>
              </w:rPr>
              <w:t>10</w:t>
            </w:r>
            <w:r w:rsidRPr="00861F46">
              <w:rPr>
                <w:kern w:val="0"/>
                <w:sz w:val="22"/>
                <w:szCs w:val="22"/>
                <w:lang w:val="ru-RU"/>
              </w:rPr>
              <w:t xml:space="preserve"> /</w:t>
            </w:r>
            <w:r w:rsidRPr="008B2C88">
              <w:rPr>
                <w:kern w:val="0"/>
                <w:sz w:val="22"/>
                <w:szCs w:val="22"/>
                <w:lang w:val="en-US"/>
              </w:rPr>
              <w:t>NOx</w:t>
            </w:r>
            <w:r w:rsidR="00B8303E">
              <w:rPr>
                <w:kern w:val="0"/>
                <w:sz w:val="22"/>
                <w:szCs w:val="22"/>
              </w:rPr>
              <w:t>;</w:t>
            </w:r>
          </w:p>
          <w:p w:rsidR="00FA7592" w:rsidRPr="00861F46" w:rsidRDefault="00FA7592" w:rsidP="00EB274A">
            <w:pPr>
              <w:pStyle w:val="ListBullet"/>
              <w:spacing w:before="60" w:after="60"/>
              <w:jc w:val="both"/>
              <w:rPr>
                <w:kern w:val="0"/>
                <w:sz w:val="22"/>
                <w:szCs w:val="22"/>
                <w:lang w:val="ru-RU"/>
              </w:rPr>
            </w:pPr>
            <w:proofErr w:type="spellStart"/>
            <w:r w:rsidRPr="00861F46">
              <w:rPr>
                <w:kern w:val="0"/>
                <w:sz w:val="22"/>
                <w:szCs w:val="22"/>
                <w:lang w:val="ru-RU"/>
              </w:rPr>
              <w:t>Укрепване</w:t>
            </w:r>
            <w:proofErr w:type="spellEnd"/>
            <w:r w:rsidRPr="00861F46">
              <w:rPr>
                <w:kern w:val="0"/>
                <w:sz w:val="22"/>
                <w:szCs w:val="22"/>
                <w:lang w:val="ru-RU"/>
              </w:rPr>
              <w:t xml:space="preserve"> на </w:t>
            </w:r>
            <w:proofErr w:type="spellStart"/>
            <w:r w:rsidRPr="00861F46">
              <w:rPr>
                <w:kern w:val="0"/>
                <w:sz w:val="22"/>
                <w:szCs w:val="22"/>
                <w:lang w:val="ru-RU"/>
              </w:rPr>
              <w:t>административния</w:t>
            </w:r>
            <w:proofErr w:type="spellEnd"/>
            <w:r w:rsidRPr="00861F46">
              <w:rPr>
                <w:kern w:val="0"/>
                <w:sz w:val="22"/>
                <w:szCs w:val="22"/>
                <w:lang w:val="ru-RU"/>
              </w:rPr>
              <w:t xml:space="preserve"> </w:t>
            </w:r>
            <w:proofErr w:type="spellStart"/>
            <w:r w:rsidRPr="00861F46">
              <w:rPr>
                <w:kern w:val="0"/>
                <w:sz w:val="22"/>
                <w:szCs w:val="22"/>
                <w:lang w:val="ru-RU"/>
              </w:rPr>
              <w:t>капацитет</w:t>
            </w:r>
            <w:proofErr w:type="spellEnd"/>
            <w:r w:rsidRPr="00861F46">
              <w:rPr>
                <w:kern w:val="0"/>
                <w:sz w:val="22"/>
                <w:szCs w:val="22"/>
                <w:lang w:val="ru-RU"/>
              </w:rPr>
              <w:t xml:space="preserve"> на </w:t>
            </w:r>
            <w:proofErr w:type="spellStart"/>
            <w:r w:rsidRPr="00861F46">
              <w:rPr>
                <w:kern w:val="0"/>
                <w:sz w:val="22"/>
                <w:szCs w:val="22"/>
                <w:lang w:val="ru-RU"/>
              </w:rPr>
              <w:t>отговорните</w:t>
            </w:r>
            <w:proofErr w:type="spellEnd"/>
            <w:r w:rsidRPr="00861F46">
              <w:rPr>
                <w:kern w:val="0"/>
                <w:sz w:val="22"/>
                <w:szCs w:val="22"/>
                <w:lang w:val="ru-RU"/>
              </w:rPr>
              <w:t xml:space="preserve"> </w:t>
            </w:r>
            <w:proofErr w:type="spellStart"/>
            <w:r w:rsidRPr="00861F46">
              <w:rPr>
                <w:kern w:val="0"/>
                <w:sz w:val="22"/>
                <w:szCs w:val="22"/>
                <w:lang w:val="ru-RU"/>
              </w:rPr>
              <w:t>структури</w:t>
            </w:r>
            <w:proofErr w:type="spellEnd"/>
            <w:r w:rsidRPr="00861F46">
              <w:rPr>
                <w:kern w:val="0"/>
                <w:sz w:val="22"/>
                <w:szCs w:val="22"/>
                <w:lang w:val="ru-RU"/>
              </w:rPr>
              <w:t xml:space="preserve"> с цел </w:t>
            </w:r>
            <w:proofErr w:type="spellStart"/>
            <w:r w:rsidRPr="00861F46">
              <w:rPr>
                <w:kern w:val="0"/>
                <w:sz w:val="22"/>
                <w:szCs w:val="22"/>
                <w:lang w:val="ru-RU"/>
              </w:rPr>
              <w:t>ефективно</w:t>
            </w:r>
            <w:proofErr w:type="spellEnd"/>
            <w:r w:rsidRPr="00861F46">
              <w:rPr>
                <w:kern w:val="0"/>
                <w:sz w:val="22"/>
                <w:szCs w:val="22"/>
                <w:lang w:val="ru-RU"/>
              </w:rPr>
              <w:t xml:space="preserve"> и </w:t>
            </w:r>
            <w:proofErr w:type="spellStart"/>
            <w:r w:rsidRPr="00861F46">
              <w:rPr>
                <w:kern w:val="0"/>
                <w:sz w:val="22"/>
                <w:szCs w:val="22"/>
                <w:lang w:val="ru-RU"/>
              </w:rPr>
              <w:t>ефикасно</w:t>
            </w:r>
            <w:proofErr w:type="spellEnd"/>
            <w:r>
              <w:rPr>
                <w:kern w:val="0"/>
                <w:sz w:val="22"/>
                <w:szCs w:val="22"/>
              </w:rPr>
              <w:t xml:space="preserve"> </w:t>
            </w:r>
            <w:proofErr w:type="spellStart"/>
            <w:r w:rsidRPr="00861F46">
              <w:rPr>
                <w:kern w:val="0"/>
                <w:sz w:val="22"/>
                <w:szCs w:val="22"/>
                <w:lang w:val="ru-RU"/>
              </w:rPr>
              <w:t>изпълнение</w:t>
            </w:r>
            <w:proofErr w:type="spellEnd"/>
            <w:r w:rsidRPr="00861F46">
              <w:rPr>
                <w:kern w:val="0"/>
                <w:sz w:val="22"/>
                <w:szCs w:val="22"/>
                <w:lang w:val="ru-RU"/>
              </w:rPr>
              <w:t xml:space="preserve"> на </w:t>
            </w:r>
            <w:proofErr w:type="spellStart"/>
            <w:r w:rsidRPr="00861F46">
              <w:rPr>
                <w:kern w:val="0"/>
                <w:sz w:val="22"/>
                <w:szCs w:val="22"/>
                <w:lang w:val="ru-RU"/>
              </w:rPr>
              <w:t>дейностите</w:t>
            </w:r>
            <w:proofErr w:type="spellEnd"/>
            <w:r w:rsidRPr="00861F46">
              <w:rPr>
                <w:kern w:val="0"/>
                <w:sz w:val="22"/>
                <w:szCs w:val="22"/>
                <w:lang w:val="ru-RU"/>
              </w:rPr>
              <w:t xml:space="preserve">, свързани с </w:t>
            </w:r>
            <w:proofErr w:type="spellStart"/>
            <w:r w:rsidRPr="00861F46">
              <w:rPr>
                <w:kern w:val="0"/>
                <w:sz w:val="22"/>
                <w:szCs w:val="22"/>
                <w:lang w:val="ru-RU"/>
              </w:rPr>
              <w:t>програмирането</w:t>
            </w:r>
            <w:proofErr w:type="spellEnd"/>
            <w:r w:rsidRPr="00861F46">
              <w:rPr>
                <w:kern w:val="0"/>
                <w:sz w:val="22"/>
                <w:szCs w:val="22"/>
                <w:lang w:val="ru-RU"/>
              </w:rPr>
              <w:t xml:space="preserve">, </w:t>
            </w:r>
            <w:proofErr w:type="spellStart"/>
            <w:r w:rsidRPr="00861F46">
              <w:rPr>
                <w:kern w:val="0"/>
                <w:sz w:val="22"/>
                <w:szCs w:val="22"/>
                <w:lang w:val="ru-RU"/>
              </w:rPr>
              <w:t>управлението</w:t>
            </w:r>
            <w:proofErr w:type="spellEnd"/>
            <w:r w:rsidRPr="00861F46">
              <w:rPr>
                <w:kern w:val="0"/>
                <w:sz w:val="22"/>
                <w:szCs w:val="22"/>
                <w:lang w:val="ru-RU"/>
              </w:rPr>
              <w:t xml:space="preserve">, </w:t>
            </w:r>
            <w:proofErr w:type="spellStart"/>
            <w:r w:rsidRPr="00861F46">
              <w:rPr>
                <w:kern w:val="0"/>
                <w:sz w:val="22"/>
                <w:szCs w:val="22"/>
                <w:lang w:val="ru-RU"/>
              </w:rPr>
              <w:t>наблюдението</w:t>
            </w:r>
            <w:proofErr w:type="spellEnd"/>
            <w:r w:rsidRPr="00861F46">
              <w:rPr>
                <w:kern w:val="0"/>
                <w:sz w:val="22"/>
                <w:szCs w:val="22"/>
                <w:lang w:val="ru-RU"/>
              </w:rPr>
              <w:t xml:space="preserve">, </w:t>
            </w:r>
            <w:proofErr w:type="spellStart"/>
            <w:r w:rsidRPr="00861F46">
              <w:rPr>
                <w:kern w:val="0"/>
                <w:sz w:val="22"/>
                <w:szCs w:val="22"/>
                <w:lang w:val="ru-RU"/>
              </w:rPr>
              <w:t>оценката</w:t>
            </w:r>
            <w:proofErr w:type="spellEnd"/>
            <w:r w:rsidRPr="00861F46">
              <w:rPr>
                <w:kern w:val="0"/>
                <w:sz w:val="22"/>
                <w:szCs w:val="22"/>
                <w:lang w:val="ru-RU"/>
              </w:rPr>
              <w:t xml:space="preserve"> и </w:t>
            </w:r>
            <w:proofErr w:type="spellStart"/>
            <w:r w:rsidRPr="00861F46">
              <w:rPr>
                <w:kern w:val="0"/>
                <w:sz w:val="22"/>
                <w:szCs w:val="22"/>
                <w:lang w:val="ru-RU"/>
              </w:rPr>
              <w:t>контрола</w:t>
            </w:r>
            <w:proofErr w:type="spellEnd"/>
            <w:r>
              <w:rPr>
                <w:kern w:val="0"/>
                <w:sz w:val="22"/>
                <w:szCs w:val="22"/>
              </w:rPr>
              <w:t xml:space="preserve"> </w:t>
            </w:r>
            <w:r w:rsidRPr="00861F46">
              <w:rPr>
                <w:kern w:val="0"/>
                <w:sz w:val="22"/>
                <w:szCs w:val="22"/>
                <w:lang w:val="ru-RU"/>
              </w:rPr>
              <w:t>на ОПОС</w:t>
            </w:r>
            <w:r w:rsidR="00B8303E">
              <w:rPr>
                <w:kern w:val="0"/>
                <w:sz w:val="22"/>
                <w:szCs w:val="22"/>
                <w:lang w:val="ru-RU"/>
              </w:rPr>
              <w:t>;</w:t>
            </w:r>
          </w:p>
          <w:p w:rsidR="00FA7592" w:rsidRPr="00861F46" w:rsidRDefault="00FA7592" w:rsidP="00EB274A">
            <w:pPr>
              <w:pStyle w:val="ListBullet"/>
              <w:spacing w:before="60" w:after="60"/>
              <w:jc w:val="both"/>
              <w:rPr>
                <w:kern w:val="0"/>
                <w:sz w:val="22"/>
                <w:szCs w:val="22"/>
                <w:lang w:val="ru-RU"/>
              </w:rPr>
            </w:pPr>
            <w:proofErr w:type="spellStart"/>
            <w:r w:rsidRPr="00861F46">
              <w:rPr>
                <w:kern w:val="0"/>
                <w:sz w:val="22"/>
                <w:szCs w:val="22"/>
                <w:lang w:val="ru-RU"/>
              </w:rPr>
              <w:t>Повишаване</w:t>
            </w:r>
            <w:proofErr w:type="spellEnd"/>
            <w:r w:rsidRPr="00861F46">
              <w:rPr>
                <w:kern w:val="0"/>
                <w:sz w:val="22"/>
                <w:szCs w:val="22"/>
                <w:lang w:val="ru-RU"/>
              </w:rPr>
              <w:t xml:space="preserve"> на </w:t>
            </w:r>
            <w:proofErr w:type="spellStart"/>
            <w:r w:rsidRPr="00861F46">
              <w:rPr>
                <w:kern w:val="0"/>
                <w:sz w:val="22"/>
                <w:szCs w:val="22"/>
                <w:lang w:val="ru-RU"/>
              </w:rPr>
              <w:t>осведомеността</w:t>
            </w:r>
            <w:proofErr w:type="spellEnd"/>
            <w:r w:rsidRPr="00861F46">
              <w:rPr>
                <w:kern w:val="0"/>
                <w:sz w:val="22"/>
                <w:szCs w:val="22"/>
                <w:lang w:val="ru-RU"/>
              </w:rPr>
              <w:t xml:space="preserve"> сред </w:t>
            </w:r>
            <w:proofErr w:type="spellStart"/>
            <w:r w:rsidRPr="00861F46">
              <w:rPr>
                <w:kern w:val="0"/>
                <w:sz w:val="22"/>
                <w:szCs w:val="22"/>
                <w:lang w:val="ru-RU"/>
              </w:rPr>
              <w:t>широката</w:t>
            </w:r>
            <w:proofErr w:type="spellEnd"/>
            <w:r w:rsidRPr="00861F46">
              <w:rPr>
                <w:kern w:val="0"/>
                <w:sz w:val="22"/>
                <w:szCs w:val="22"/>
                <w:lang w:val="ru-RU"/>
              </w:rPr>
              <w:t xml:space="preserve"> </w:t>
            </w:r>
            <w:proofErr w:type="spellStart"/>
            <w:r w:rsidRPr="00861F46">
              <w:rPr>
                <w:kern w:val="0"/>
                <w:sz w:val="22"/>
                <w:szCs w:val="22"/>
                <w:lang w:val="ru-RU"/>
              </w:rPr>
              <w:t>общественост</w:t>
            </w:r>
            <w:proofErr w:type="spellEnd"/>
            <w:r w:rsidRPr="00861F46">
              <w:rPr>
                <w:kern w:val="0"/>
                <w:sz w:val="22"/>
                <w:szCs w:val="22"/>
                <w:lang w:val="ru-RU"/>
              </w:rPr>
              <w:t xml:space="preserve"> за </w:t>
            </w:r>
            <w:proofErr w:type="spellStart"/>
            <w:r w:rsidRPr="00861F46">
              <w:rPr>
                <w:kern w:val="0"/>
                <w:sz w:val="22"/>
                <w:szCs w:val="22"/>
                <w:lang w:val="ru-RU"/>
              </w:rPr>
              <w:t>програмата</w:t>
            </w:r>
            <w:proofErr w:type="spellEnd"/>
            <w:r w:rsidRPr="00861F46">
              <w:rPr>
                <w:kern w:val="0"/>
                <w:sz w:val="22"/>
                <w:szCs w:val="22"/>
                <w:lang w:val="ru-RU"/>
              </w:rPr>
              <w:t xml:space="preserve"> и за приноса на ЕСИФ и</w:t>
            </w:r>
            <w:r>
              <w:rPr>
                <w:kern w:val="0"/>
                <w:sz w:val="22"/>
                <w:szCs w:val="22"/>
              </w:rPr>
              <w:t xml:space="preserve"> </w:t>
            </w:r>
            <w:proofErr w:type="spellStart"/>
            <w:r w:rsidRPr="00861F46">
              <w:rPr>
                <w:kern w:val="0"/>
                <w:sz w:val="22"/>
                <w:szCs w:val="22"/>
                <w:lang w:val="ru-RU"/>
              </w:rPr>
              <w:t>осигуряване</w:t>
            </w:r>
            <w:proofErr w:type="spellEnd"/>
            <w:r w:rsidRPr="00861F46">
              <w:rPr>
                <w:kern w:val="0"/>
                <w:sz w:val="22"/>
                <w:szCs w:val="22"/>
                <w:lang w:val="ru-RU"/>
              </w:rPr>
              <w:t xml:space="preserve"> на </w:t>
            </w:r>
            <w:proofErr w:type="spellStart"/>
            <w:r w:rsidRPr="00861F46">
              <w:rPr>
                <w:kern w:val="0"/>
                <w:sz w:val="22"/>
                <w:szCs w:val="22"/>
                <w:lang w:val="ru-RU"/>
              </w:rPr>
              <w:t>прозрачност</w:t>
            </w:r>
            <w:proofErr w:type="spellEnd"/>
            <w:r w:rsidRPr="00861F46">
              <w:rPr>
                <w:kern w:val="0"/>
                <w:sz w:val="22"/>
                <w:szCs w:val="22"/>
                <w:lang w:val="ru-RU"/>
              </w:rPr>
              <w:t xml:space="preserve"> и информация от </w:t>
            </w:r>
            <w:proofErr w:type="spellStart"/>
            <w:r w:rsidRPr="00861F46">
              <w:rPr>
                <w:kern w:val="0"/>
                <w:sz w:val="22"/>
                <w:szCs w:val="22"/>
                <w:lang w:val="ru-RU"/>
              </w:rPr>
              <w:t>практическо</w:t>
            </w:r>
            <w:proofErr w:type="spellEnd"/>
            <w:r w:rsidRPr="00861F46">
              <w:rPr>
                <w:kern w:val="0"/>
                <w:sz w:val="22"/>
                <w:szCs w:val="22"/>
                <w:lang w:val="ru-RU"/>
              </w:rPr>
              <w:t xml:space="preserve"> значение за </w:t>
            </w:r>
            <w:proofErr w:type="spellStart"/>
            <w:r w:rsidRPr="00861F46">
              <w:rPr>
                <w:kern w:val="0"/>
                <w:sz w:val="22"/>
                <w:szCs w:val="22"/>
                <w:lang w:val="ru-RU"/>
              </w:rPr>
              <w:t>всички</w:t>
            </w:r>
            <w:proofErr w:type="spellEnd"/>
            <w:r w:rsidRPr="00861F46">
              <w:rPr>
                <w:kern w:val="0"/>
                <w:sz w:val="22"/>
                <w:szCs w:val="22"/>
                <w:lang w:val="ru-RU"/>
              </w:rPr>
              <w:t xml:space="preserve"> </w:t>
            </w:r>
            <w:proofErr w:type="spellStart"/>
            <w:r w:rsidRPr="00861F46">
              <w:rPr>
                <w:kern w:val="0"/>
                <w:sz w:val="22"/>
                <w:szCs w:val="22"/>
                <w:lang w:val="ru-RU"/>
              </w:rPr>
              <w:t>идентифицирани</w:t>
            </w:r>
            <w:proofErr w:type="spellEnd"/>
            <w:r w:rsidRPr="00861F46">
              <w:rPr>
                <w:kern w:val="0"/>
                <w:sz w:val="22"/>
                <w:szCs w:val="22"/>
                <w:lang w:val="ru-RU"/>
              </w:rPr>
              <w:t xml:space="preserve"> </w:t>
            </w:r>
            <w:proofErr w:type="spellStart"/>
            <w:r w:rsidRPr="00861F46">
              <w:rPr>
                <w:kern w:val="0"/>
                <w:sz w:val="22"/>
                <w:szCs w:val="22"/>
                <w:lang w:val="ru-RU"/>
              </w:rPr>
              <w:t>целеви</w:t>
            </w:r>
            <w:proofErr w:type="spellEnd"/>
            <w:r>
              <w:rPr>
                <w:kern w:val="0"/>
                <w:sz w:val="22"/>
                <w:szCs w:val="22"/>
              </w:rPr>
              <w:t xml:space="preserve"> </w:t>
            </w:r>
            <w:proofErr w:type="spellStart"/>
            <w:r w:rsidRPr="00861F46">
              <w:rPr>
                <w:kern w:val="0"/>
                <w:sz w:val="22"/>
                <w:szCs w:val="22"/>
                <w:lang w:val="ru-RU"/>
              </w:rPr>
              <w:t>групи</w:t>
            </w:r>
            <w:proofErr w:type="spellEnd"/>
            <w:r w:rsidR="00B8303E">
              <w:rPr>
                <w:kern w:val="0"/>
                <w:sz w:val="22"/>
                <w:szCs w:val="22"/>
                <w:lang w:val="ru-RU"/>
              </w:rPr>
              <w:t>;</w:t>
            </w:r>
          </w:p>
          <w:p w:rsidR="00FA7592" w:rsidRPr="00861F46" w:rsidRDefault="00FA7592" w:rsidP="00EB274A">
            <w:pPr>
              <w:pStyle w:val="ListBullet"/>
              <w:spacing w:before="60" w:after="60"/>
              <w:jc w:val="both"/>
              <w:rPr>
                <w:kern w:val="0"/>
                <w:sz w:val="22"/>
                <w:szCs w:val="22"/>
                <w:lang w:val="ru-RU"/>
              </w:rPr>
            </w:pPr>
            <w:r w:rsidRPr="00861F46">
              <w:rPr>
                <w:kern w:val="0"/>
                <w:sz w:val="22"/>
                <w:szCs w:val="22"/>
                <w:lang w:val="ru-RU"/>
              </w:rPr>
              <w:t xml:space="preserve"> </w:t>
            </w:r>
            <w:proofErr w:type="spellStart"/>
            <w:r w:rsidRPr="00861F46">
              <w:rPr>
                <w:kern w:val="0"/>
                <w:sz w:val="22"/>
                <w:szCs w:val="22"/>
                <w:lang w:val="ru-RU"/>
              </w:rPr>
              <w:t>Укрепване</w:t>
            </w:r>
            <w:proofErr w:type="spellEnd"/>
            <w:r w:rsidRPr="00861F46">
              <w:rPr>
                <w:kern w:val="0"/>
                <w:sz w:val="22"/>
                <w:szCs w:val="22"/>
                <w:lang w:val="ru-RU"/>
              </w:rPr>
              <w:t xml:space="preserve"> </w:t>
            </w:r>
            <w:proofErr w:type="spellStart"/>
            <w:r w:rsidRPr="00861F46">
              <w:rPr>
                <w:kern w:val="0"/>
                <w:sz w:val="22"/>
                <w:szCs w:val="22"/>
                <w:lang w:val="ru-RU"/>
              </w:rPr>
              <w:t>капацитета</w:t>
            </w:r>
            <w:proofErr w:type="spellEnd"/>
            <w:r w:rsidRPr="00861F46">
              <w:rPr>
                <w:kern w:val="0"/>
                <w:sz w:val="22"/>
                <w:szCs w:val="22"/>
                <w:lang w:val="ru-RU"/>
              </w:rPr>
              <w:t xml:space="preserve"> на </w:t>
            </w:r>
            <w:proofErr w:type="spellStart"/>
            <w:r w:rsidRPr="00861F46">
              <w:rPr>
                <w:kern w:val="0"/>
                <w:sz w:val="22"/>
                <w:szCs w:val="22"/>
                <w:lang w:val="ru-RU"/>
              </w:rPr>
              <w:t>бенефициентите</w:t>
            </w:r>
            <w:proofErr w:type="spellEnd"/>
            <w:r w:rsidRPr="00861F46">
              <w:rPr>
                <w:kern w:val="0"/>
                <w:sz w:val="22"/>
                <w:szCs w:val="22"/>
                <w:lang w:val="ru-RU"/>
              </w:rPr>
              <w:t xml:space="preserve"> на ОПОС за успешно </w:t>
            </w:r>
            <w:proofErr w:type="spellStart"/>
            <w:r w:rsidRPr="00861F46">
              <w:rPr>
                <w:kern w:val="0"/>
                <w:sz w:val="22"/>
                <w:szCs w:val="22"/>
                <w:lang w:val="ru-RU"/>
              </w:rPr>
              <w:t>реализиране</w:t>
            </w:r>
            <w:proofErr w:type="spellEnd"/>
            <w:r w:rsidRPr="00861F46">
              <w:rPr>
                <w:kern w:val="0"/>
                <w:sz w:val="22"/>
                <w:szCs w:val="22"/>
                <w:lang w:val="ru-RU"/>
              </w:rPr>
              <w:t xml:space="preserve"> на </w:t>
            </w:r>
            <w:proofErr w:type="spellStart"/>
            <w:r w:rsidRPr="00861F46">
              <w:rPr>
                <w:kern w:val="0"/>
                <w:sz w:val="22"/>
                <w:szCs w:val="22"/>
                <w:lang w:val="ru-RU"/>
              </w:rPr>
              <w:t>проекти</w:t>
            </w:r>
            <w:proofErr w:type="spellEnd"/>
            <w:r w:rsidRPr="00861F46">
              <w:rPr>
                <w:kern w:val="0"/>
                <w:sz w:val="22"/>
                <w:szCs w:val="22"/>
                <w:lang w:val="ru-RU"/>
              </w:rPr>
              <w:t xml:space="preserve"> по</w:t>
            </w:r>
            <w:r>
              <w:rPr>
                <w:kern w:val="0"/>
                <w:sz w:val="22"/>
                <w:szCs w:val="22"/>
              </w:rPr>
              <w:t xml:space="preserve"> </w:t>
            </w:r>
            <w:proofErr w:type="spellStart"/>
            <w:r w:rsidRPr="00861F46">
              <w:rPr>
                <w:kern w:val="0"/>
                <w:sz w:val="22"/>
                <w:szCs w:val="22"/>
                <w:lang w:val="ru-RU"/>
              </w:rPr>
              <w:t>програмата</w:t>
            </w:r>
            <w:proofErr w:type="spellEnd"/>
            <w:r w:rsidRPr="00861F46">
              <w:rPr>
                <w:kern w:val="0"/>
                <w:sz w:val="22"/>
                <w:szCs w:val="22"/>
                <w:lang w:val="ru-RU"/>
              </w:rPr>
              <w:t>.</w:t>
            </w:r>
          </w:p>
          <w:p w:rsidR="00626108" w:rsidRPr="008B2C88" w:rsidRDefault="00626108" w:rsidP="00EB274A">
            <w:pPr>
              <w:pStyle w:val="ListBullet"/>
              <w:numPr>
                <w:ilvl w:val="0"/>
                <w:numId w:val="0"/>
              </w:numPr>
              <w:spacing w:before="60" w:after="60"/>
              <w:jc w:val="both"/>
              <w:rPr>
                <w:rFonts w:cs="Arial"/>
                <w:sz w:val="22"/>
                <w:szCs w:val="22"/>
              </w:rPr>
            </w:pPr>
            <w:r w:rsidRPr="00050FC9">
              <w:rPr>
                <w:b/>
                <w:i/>
                <w:kern w:val="0"/>
                <w:sz w:val="22"/>
                <w:szCs w:val="22"/>
              </w:rPr>
              <w:lastRenderedPageBreak/>
              <w:t>Тип</w:t>
            </w:r>
            <w:r w:rsidR="00E271B7" w:rsidRPr="00050FC9">
              <w:rPr>
                <w:b/>
                <w:i/>
                <w:kern w:val="0"/>
                <w:sz w:val="22"/>
                <w:szCs w:val="22"/>
              </w:rPr>
              <w:t xml:space="preserve"> оценка</w:t>
            </w:r>
            <w:r w:rsidRPr="00050FC9">
              <w:rPr>
                <w:b/>
                <w:i/>
                <w:kern w:val="0"/>
                <w:sz w:val="22"/>
                <w:szCs w:val="22"/>
              </w:rPr>
              <w:t>:</w:t>
            </w:r>
            <w:r w:rsidRPr="008B2C88">
              <w:rPr>
                <w:kern w:val="0"/>
                <w:sz w:val="22"/>
                <w:szCs w:val="22"/>
              </w:rPr>
              <w:t xml:space="preserve"> </w:t>
            </w:r>
            <w:proofErr w:type="spellStart"/>
            <w:r w:rsidRPr="008B2C88">
              <w:rPr>
                <w:kern w:val="0"/>
                <w:sz w:val="22"/>
                <w:szCs w:val="22"/>
              </w:rPr>
              <w:t>оценка</w:t>
            </w:r>
            <w:proofErr w:type="spellEnd"/>
            <w:r w:rsidRPr="008B2C88">
              <w:rPr>
                <w:kern w:val="0"/>
                <w:sz w:val="22"/>
                <w:szCs w:val="22"/>
              </w:rPr>
              <w:t xml:space="preserve"> на въздействието</w:t>
            </w:r>
          </w:p>
        </w:tc>
      </w:tr>
      <w:tr w:rsidR="00953268" w:rsidRPr="008B2C88"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lastRenderedPageBreak/>
              <w:t>Основни въпроси на оценката</w:t>
            </w:r>
          </w:p>
        </w:tc>
        <w:tc>
          <w:tcPr>
            <w:tcW w:w="10873" w:type="dxa"/>
            <w:hideMark/>
          </w:tcPr>
          <w:p w:rsidR="00464B7E" w:rsidRPr="00EF38F7" w:rsidRDefault="00464B7E" w:rsidP="00EB274A">
            <w:pPr>
              <w:pStyle w:val="ListBullet"/>
              <w:spacing w:before="60" w:after="60"/>
              <w:jc w:val="both"/>
              <w:rPr>
                <w:sz w:val="22"/>
                <w:szCs w:val="22"/>
              </w:rPr>
            </w:pPr>
            <w:r w:rsidRPr="00EF38F7">
              <w:rPr>
                <w:sz w:val="22"/>
                <w:szCs w:val="22"/>
              </w:rPr>
              <w:t>Каква е ефективността на интервенциите по ОПОС 2014-2020</w:t>
            </w:r>
            <w:r w:rsidR="0041256B">
              <w:rPr>
                <w:sz w:val="22"/>
                <w:szCs w:val="22"/>
              </w:rPr>
              <w:t xml:space="preserve"> г.</w:t>
            </w:r>
            <w:r w:rsidRPr="00EF38F7">
              <w:rPr>
                <w:sz w:val="22"/>
                <w:szCs w:val="22"/>
              </w:rPr>
              <w:t xml:space="preserve">, разглеждана като съотношение между поставените цели и постигнатите резултати? Каква е разликата между очакваните и постигнатите реални резултати? До каква степен са постигнати планираните стойности на индикаторите за резултат по ОПОС? </w:t>
            </w:r>
          </w:p>
          <w:p w:rsidR="00464B7E" w:rsidRPr="00EF38F7" w:rsidRDefault="00464B7E" w:rsidP="00EB274A">
            <w:pPr>
              <w:pStyle w:val="ListBullet"/>
              <w:spacing w:before="60" w:after="60"/>
              <w:jc w:val="both"/>
              <w:rPr>
                <w:sz w:val="22"/>
                <w:szCs w:val="22"/>
              </w:rPr>
            </w:pPr>
            <w:r w:rsidRPr="00EF38F7">
              <w:rPr>
                <w:sz w:val="22"/>
                <w:szCs w:val="22"/>
              </w:rPr>
              <w:t>Каква е ефикасността на интервенциите по ОПОС 2014-2020</w:t>
            </w:r>
            <w:r w:rsidR="0041256B">
              <w:rPr>
                <w:sz w:val="22"/>
                <w:szCs w:val="22"/>
              </w:rPr>
              <w:t xml:space="preserve"> г.</w:t>
            </w:r>
            <w:r w:rsidRPr="00EF38F7">
              <w:rPr>
                <w:sz w:val="22"/>
                <w:szCs w:val="22"/>
              </w:rPr>
              <w:t>, разглеждана като съотношение между вложените ресурси и постигнатите резултати?</w:t>
            </w:r>
          </w:p>
          <w:p w:rsidR="00464B7E" w:rsidRPr="00EF38F7" w:rsidRDefault="00464B7E" w:rsidP="00EB274A">
            <w:pPr>
              <w:pStyle w:val="ListBullet"/>
              <w:spacing w:before="60" w:after="60"/>
              <w:jc w:val="both"/>
              <w:rPr>
                <w:sz w:val="22"/>
                <w:szCs w:val="22"/>
              </w:rPr>
            </w:pPr>
            <w:r w:rsidRPr="00EF38F7">
              <w:rPr>
                <w:sz w:val="22"/>
                <w:szCs w:val="22"/>
              </w:rPr>
              <w:t>Каква е устойчивостта на интервенциите по ОПОС 2014-2020</w:t>
            </w:r>
            <w:r w:rsidR="0041256B">
              <w:rPr>
                <w:sz w:val="22"/>
                <w:szCs w:val="22"/>
              </w:rPr>
              <w:t xml:space="preserve"> г.</w:t>
            </w:r>
            <w:r w:rsidRPr="00EF38F7">
              <w:rPr>
                <w:sz w:val="22"/>
                <w:szCs w:val="22"/>
              </w:rPr>
              <w:t>, разглеждана като съотношение между идентифицираните нужди и постигнатите резултати?</w:t>
            </w:r>
          </w:p>
          <w:p w:rsidR="00626108" w:rsidRPr="00EF38F7" w:rsidRDefault="00626108" w:rsidP="00EB274A">
            <w:pPr>
              <w:pStyle w:val="ListBullet"/>
              <w:spacing w:before="60" w:after="60"/>
              <w:jc w:val="both"/>
              <w:rPr>
                <w:sz w:val="22"/>
                <w:szCs w:val="22"/>
              </w:rPr>
            </w:pPr>
            <w:r w:rsidRPr="00EF38F7">
              <w:rPr>
                <w:sz w:val="22"/>
                <w:szCs w:val="22"/>
              </w:rPr>
              <w:t>Какъв е приносът на  подкрепата от ЕСИФ за постигане на ц</w:t>
            </w:r>
            <w:r w:rsidR="00E271B7" w:rsidRPr="00EF38F7">
              <w:rPr>
                <w:sz w:val="22"/>
                <w:szCs w:val="22"/>
              </w:rPr>
              <w:t>елите по всеки приоритет на ОПОС</w:t>
            </w:r>
            <w:r w:rsidRPr="00EF38F7">
              <w:rPr>
                <w:sz w:val="22"/>
                <w:szCs w:val="22"/>
              </w:rPr>
              <w:t xml:space="preserve">? </w:t>
            </w:r>
            <w:r w:rsidR="00E271B7" w:rsidRPr="00EF38F7">
              <w:rPr>
                <w:sz w:val="22"/>
                <w:szCs w:val="22"/>
              </w:rPr>
              <w:t>До каква степен са постигнати</w:t>
            </w:r>
            <w:r w:rsidRPr="00EF38F7">
              <w:rPr>
                <w:sz w:val="22"/>
                <w:szCs w:val="22"/>
              </w:rPr>
              <w:t xml:space="preserve"> целите, заложени за всеки приоритет? </w:t>
            </w:r>
            <w:r w:rsidR="00E271B7" w:rsidRPr="00EF38F7">
              <w:rPr>
                <w:sz w:val="22"/>
                <w:szCs w:val="22"/>
              </w:rPr>
              <w:t xml:space="preserve">Какви са причините за неизпълнение на целите, ако такова се идентифицира? </w:t>
            </w:r>
            <w:r w:rsidR="00FA7592" w:rsidRPr="00EF38F7">
              <w:rPr>
                <w:sz w:val="22"/>
                <w:szCs w:val="22"/>
              </w:rPr>
              <w:t xml:space="preserve">Има ли външни фактори, които влияят върху изпълнението, кои са те и как влияят </w:t>
            </w:r>
            <w:r w:rsidR="00FA7592" w:rsidRPr="003077BF">
              <w:rPr>
                <w:sz w:val="22"/>
                <w:szCs w:val="22"/>
                <w:lang w:val="ru-RU"/>
              </w:rPr>
              <w:t>(</w:t>
            </w:r>
            <w:r w:rsidR="00FA7592" w:rsidRPr="00EF38F7">
              <w:rPr>
                <w:sz w:val="22"/>
                <w:szCs w:val="22"/>
              </w:rPr>
              <w:t>положително/негативно</w:t>
            </w:r>
            <w:r w:rsidR="00FA7592" w:rsidRPr="003077BF">
              <w:rPr>
                <w:sz w:val="22"/>
                <w:szCs w:val="22"/>
                <w:lang w:val="ru-RU"/>
              </w:rPr>
              <w:t>)</w:t>
            </w:r>
            <w:r w:rsidR="00FA7592" w:rsidRPr="00EF38F7">
              <w:rPr>
                <w:sz w:val="22"/>
                <w:szCs w:val="22"/>
              </w:rPr>
              <w:t>? Какви мерки са необходими за ограничаване на негативното влияние на външни</w:t>
            </w:r>
            <w:r w:rsidR="007F57B7" w:rsidRPr="00EF38F7">
              <w:rPr>
                <w:sz w:val="22"/>
                <w:szCs w:val="22"/>
              </w:rPr>
              <w:t>те</w:t>
            </w:r>
            <w:r w:rsidR="00FA7592" w:rsidRPr="00EF38F7">
              <w:rPr>
                <w:sz w:val="22"/>
                <w:szCs w:val="22"/>
              </w:rPr>
              <w:t xml:space="preserve"> фактори?</w:t>
            </w:r>
            <w:r w:rsidR="007F57B7" w:rsidRPr="00EF38F7">
              <w:rPr>
                <w:sz w:val="22"/>
                <w:szCs w:val="22"/>
              </w:rPr>
              <w:t xml:space="preserve"> </w:t>
            </w:r>
            <w:r w:rsidRPr="00EF38F7">
              <w:rPr>
                <w:sz w:val="22"/>
                <w:szCs w:val="22"/>
              </w:rPr>
              <w:t xml:space="preserve">Реалистични ли са били заложените цели? В случай, че не са били реалистични – </w:t>
            </w:r>
            <w:r w:rsidR="00E271B7" w:rsidRPr="00EF38F7">
              <w:rPr>
                <w:sz w:val="22"/>
                <w:szCs w:val="22"/>
              </w:rPr>
              <w:t xml:space="preserve">какви е трябвало да бъдат целите </w:t>
            </w:r>
            <w:r w:rsidR="00E271B7" w:rsidRPr="003077BF">
              <w:rPr>
                <w:sz w:val="22"/>
                <w:szCs w:val="22"/>
                <w:lang w:val="ru-RU"/>
              </w:rPr>
              <w:t>(</w:t>
            </w:r>
            <w:r w:rsidR="00E271B7" w:rsidRPr="00EF38F7">
              <w:rPr>
                <w:sz w:val="22"/>
                <w:szCs w:val="22"/>
              </w:rPr>
              <w:t>по-ниски или по-високи</w:t>
            </w:r>
            <w:r w:rsidR="00E271B7" w:rsidRPr="003077BF">
              <w:rPr>
                <w:sz w:val="22"/>
                <w:szCs w:val="22"/>
                <w:lang w:val="ru-RU"/>
              </w:rPr>
              <w:t>)</w:t>
            </w:r>
            <w:r w:rsidR="00E271B7" w:rsidRPr="00EF38F7">
              <w:rPr>
                <w:sz w:val="22"/>
                <w:szCs w:val="22"/>
              </w:rPr>
              <w:t xml:space="preserve">? </w:t>
            </w:r>
          </w:p>
          <w:p w:rsidR="00464B7E" w:rsidRPr="00EF38F7" w:rsidRDefault="00464B7E" w:rsidP="00EB274A">
            <w:pPr>
              <w:pStyle w:val="ListBullet"/>
              <w:spacing w:before="60" w:after="60"/>
              <w:jc w:val="both"/>
              <w:rPr>
                <w:sz w:val="22"/>
                <w:szCs w:val="22"/>
              </w:rPr>
            </w:pPr>
            <w:r w:rsidRPr="00EF38F7">
              <w:rPr>
                <w:sz w:val="22"/>
                <w:szCs w:val="22"/>
              </w:rPr>
              <w:t>Какво е въздействието от реализацията на ОПОС за опазване и защита на околната среда и насърчаване на ефективното използване на ресурсите в България по всеки приоритет на програмата?</w:t>
            </w:r>
          </w:p>
          <w:p w:rsidR="00464B7E" w:rsidRPr="00EF38F7" w:rsidRDefault="00464B7E" w:rsidP="00EB274A">
            <w:pPr>
              <w:pStyle w:val="ListBullet"/>
              <w:spacing w:before="60" w:after="60"/>
              <w:jc w:val="both"/>
              <w:rPr>
                <w:sz w:val="22"/>
                <w:szCs w:val="22"/>
              </w:rPr>
            </w:pPr>
            <w:r w:rsidRPr="00EF38F7">
              <w:rPr>
                <w:sz w:val="22"/>
                <w:szCs w:val="22"/>
              </w:rPr>
              <w:t>Какъв е приносът на подкрепата от ЕСИФ чрез ОПОС за постигане на целите на Стратегия Европа 2020, на СП и др. релевантни национални и европейски стратегически документи в областта на подобряването, опазването и възстановяването на околната среда?</w:t>
            </w:r>
          </w:p>
          <w:p w:rsidR="00464B7E" w:rsidRPr="00EF38F7" w:rsidRDefault="00464B7E" w:rsidP="00EB274A">
            <w:pPr>
              <w:pStyle w:val="ListBullet"/>
              <w:spacing w:before="60" w:after="60"/>
              <w:jc w:val="both"/>
              <w:rPr>
                <w:sz w:val="22"/>
                <w:szCs w:val="22"/>
              </w:rPr>
            </w:pPr>
            <w:r w:rsidRPr="00EF38F7">
              <w:rPr>
                <w:sz w:val="22"/>
                <w:szCs w:val="22"/>
              </w:rPr>
              <w:t>Какъв е приносът на подкрепата от ЕСИФ чрез ОПОС за постигане на целите на хоризонталните принципи, които са адресирани в програмата - устойчиво развитие, равни възможности и недопускане на дискриминация, равенство между половете?</w:t>
            </w:r>
          </w:p>
          <w:p w:rsidR="007F57B7" w:rsidRPr="00EF38F7" w:rsidRDefault="007F57B7" w:rsidP="00EB274A">
            <w:pPr>
              <w:pStyle w:val="ListBullet"/>
              <w:spacing w:before="60" w:after="60"/>
              <w:jc w:val="both"/>
              <w:rPr>
                <w:sz w:val="22"/>
                <w:szCs w:val="22"/>
              </w:rPr>
            </w:pPr>
            <w:r w:rsidRPr="00EF38F7">
              <w:rPr>
                <w:sz w:val="22"/>
                <w:szCs w:val="22"/>
              </w:rPr>
              <w:t>Какви са основните поуки от гледна точка на дизайна на интервенциите и внедрените системи за управление и контрол? Какви подобрения са необходими с оглед подобряване процеса на изпълнение на ОПОС и олекотяване на административната тежест за бенефициентите?</w:t>
            </w:r>
          </w:p>
          <w:p w:rsidR="00464B7E" w:rsidRPr="00EF38F7" w:rsidRDefault="00464B7E" w:rsidP="00EB274A">
            <w:pPr>
              <w:pStyle w:val="ListBullet"/>
              <w:spacing w:before="60" w:after="60"/>
              <w:jc w:val="both"/>
              <w:rPr>
                <w:sz w:val="22"/>
                <w:szCs w:val="22"/>
              </w:rPr>
            </w:pPr>
            <w:r w:rsidRPr="00EF38F7">
              <w:rPr>
                <w:sz w:val="22"/>
                <w:szCs w:val="22"/>
              </w:rPr>
              <w:t>Какво е въздействието от изпълнението на финансовите инструменти по ОПОС 2014-2020</w:t>
            </w:r>
            <w:r w:rsidR="0041256B">
              <w:rPr>
                <w:sz w:val="22"/>
                <w:szCs w:val="22"/>
              </w:rPr>
              <w:t xml:space="preserve"> г.</w:t>
            </w:r>
            <w:r w:rsidRPr="00EF38F7">
              <w:rPr>
                <w:sz w:val="22"/>
                <w:szCs w:val="22"/>
              </w:rPr>
              <w:t>? Какви са външните фактори, които влияят върху изпълнението на финансовите инструменти по ОПОС 2014-2020</w:t>
            </w:r>
            <w:r w:rsidR="0041256B">
              <w:rPr>
                <w:sz w:val="22"/>
                <w:szCs w:val="22"/>
              </w:rPr>
              <w:t xml:space="preserve"> г.</w:t>
            </w:r>
            <w:r w:rsidRPr="00EF38F7">
              <w:rPr>
                <w:sz w:val="22"/>
                <w:szCs w:val="22"/>
              </w:rPr>
              <w:t>, какво е влиянието (положително/негативно) и в каква степен?</w:t>
            </w:r>
          </w:p>
          <w:p w:rsidR="00BE11D0" w:rsidRPr="00EF38F7" w:rsidRDefault="007F57B7" w:rsidP="00EB274A">
            <w:pPr>
              <w:pStyle w:val="ListBullet"/>
              <w:spacing w:before="60" w:after="60"/>
              <w:jc w:val="both"/>
              <w:rPr>
                <w:sz w:val="22"/>
                <w:szCs w:val="22"/>
              </w:rPr>
            </w:pPr>
            <w:r w:rsidRPr="00EF38F7">
              <w:rPr>
                <w:sz w:val="22"/>
                <w:szCs w:val="22"/>
              </w:rPr>
              <w:t>Кои са идентифицираните непланирани ефекти (положителни и отрицателни) от интервенциите на ОП</w:t>
            </w:r>
            <w:r w:rsidR="00464B7E" w:rsidRPr="00EF38F7">
              <w:rPr>
                <w:sz w:val="22"/>
                <w:szCs w:val="22"/>
              </w:rPr>
              <w:t xml:space="preserve">ОС? </w:t>
            </w:r>
            <w:r w:rsidRPr="00EF38F7">
              <w:rPr>
                <w:sz w:val="22"/>
                <w:szCs w:val="22"/>
              </w:rPr>
              <w:lastRenderedPageBreak/>
              <w:t xml:space="preserve">Какъв е постигнатият интегриран </w:t>
            </w:r>
            <w:r w:rsidR="00464B7E" w:rsidRPr="00EF38F7">
              <w:rPr>
                <w:sz w:val="22"/>
                <w:szCs w:val="22"/>
              </w:rPr>
              <w:t xml:space="preserve">нетен </w:t>
            </w:r>
            <w:r w:rsidRPr="00EF38F7">
              <w:rPr>
                <w:sz w:val="22"/>
                <w:szCs w:val="22"/>
              </w:rPr>
              <w:t xml:space="preserve">ефект </w:t>
            </w:r>
            <w:r w:rsidR="00464B7E" w:rsidRPr="00EF38F7">
              <w:rPr>
                <w:sz w:val="22"/>
                <w:szCs w:val="22"/>
              </w:rPr>
              <w:t>от изпълнението на ОПОС 2014-2020</w:t>
            </w:r>
            <w:r w:rsidR="0041256B">
              <w:rPr>
                <w:sz w:val="22"/>
                <w:szCs w:val="22"/>
              </w:rPr>
              <w:t xml:space="preserve"> г.</w:t>
            </w:r>
            <w:r w:rsidRPr="00EF38F7">
              <w:rPr>
                <w:sz w:val="22"/>
                <w:szCs w:val="22"/>
              </w:rPr>
              <w:t>?</w:t>
            </w:r>
          </w:p>
          <w:p w:rsidR="00FA7592" w:rsidRPr="00EF38F7" w:rsidRDefault="00FA7592" w:rsidP="00EB274A">
            <w:pPr>
              <w:pStyle w:val="ListBullet"/>
              <w:spacing w:before="60" w:after="60"/>
              <w:jc w:val="both"/>
              <w:rPr>
                <w:sz w:val="22"/>
                <w:szCs w:val="22"/>
              </w:rPr>
            </w:pPr>
            <w:r w:rsidRPr="00EF38F7">
              <w:rPr>
                <w:sz w:val="22"/>
                <w:szCs w:val="22"/>
              </w:rPr>
              <w:t>Кои са пр</w:t>
            </w:r>
            <w:r w:rsidR="00750D90" w:rsidRPr="00EF38F7">
              <w:rPr>
                <w:sz w:val="22"/>
                <w:szCs w:val="22"/>
              </w:rPr>
              <w:t>имерите за добри и лоши практики, които могат да бъдат изведени в резултат от изпълнението на ОПОС 2014-2020</w:t>
            </w:r>
            <w:r w:rsidR="0041256B">
              <w:rPr>
                <w:sz w:val="22"/>
                <w:szCs w:val="22"/>
              </w:rPr>
              <w:t xml:space="preserve"> г.</w:t>
            </w:r>
            <w:r w:rsidRPr="00EF38F7">
              <w:rPr>
                <w:sz w:val="22"/>
                <w:szCs w:val="22"/>
              </w:rPr>
              <w:t>?</w:t>
            </w:r>
            <w:r w:rsidR="00464B7E" w:rsidRPr="00EF38F7">
              <w:rPr>
                <w:sz w:val="22"/>
                <w:szCs w:val="22"/>
              </w:rPr>
              <w:t xml:space="preserve"> Кои са успешните проекти, реализирани с финансовата подкрепа на ОПОС 2014-2020</w:t>
            </w:r>
            <w:r w:rsidR="0041256B">
              <w:rPr>
                <w:sz w:val="22"/>
                <w:szCs w:val="22"/>
              </w:rPr>
              <w:t xml:space="preserve"> г.</w:t>
            </w:r>
            <w:r w:rsidR="00464B7E" w:rsidRPr="00EF38F7">
              <w:rPr>
                <w:sz w:val="22"/>
                <w:szCs w:val="22"/>
              </w:rPr>
              <w:t>?</w:t>
            </w:r>
          </w:p>
          <w:p w:rsidR="001B1E8D" w:rsidRPr="00EF38F7" w:rsidRDefault="00FA7592" w:rsidP="00EB274A">
            <w:pPr>
              <w:pStyle w:val="ListBullet"/>
              <w:spacing w:before="60" w:after="60"/>
              <w:jc w:val="both"/>
              <w:rPr>
                <w:sz w:val="22"/>
                <w:szCs w:val="22"/>
              </w:rPr>
            </w:pPr>
            <w:r w:rsidRPr="00EF38F7">
              <w:rPr>
                <w:sz w:val="22"/>
                <w:szCs w:val="22"/>
              </w:rPr>
              <w:t>Препоръки за следващия програмен период.</w:t>
            </w:r>
          </w:p>
        </w:tc>
      </w:tr>
      <w:tr w:rsidR="00953268" w:rsidRPr="008B2C88"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lastRenderedPageBreak/>
              <w:t>Методи за оценка</w:t>
            </w:r>
          </w:p>
        </w:tc>
        <w:tc>
          <w:tcPr>
            <w:tcW w:w="10873" w:type="dxa"/>
            <w:hideMark/>
          </w:tcPr>
          <w:p w:rsidR="00464B7E" w:rsidRPr="00EF38F7" w:rsidRDefault="00953268" w:rsidP="00EB274A">
            <w:pPr>
              <w:pStyle w:val="ListBullet"/>
              <w:spacing w:before="60" w:after="60"/>
              <w:jc w:val="both"/>
              <w:rPr>
                <w:sz w:val="22"/>
                <w:szCs w:val="22"/>
              </w:rPr>
            </w:pPr>
            <w:r w:rsidRPr="003077BF">
              <w:rPr>
                <w:rFonts w:cs="Arial"/>
                <w:sz w:val="22"/>
                <w:szCs w:val="22"/>
                <w:lang w:val="ru-RU"/>
              </w:rPr>
              <w:t xml:space="preserve"> </w:t>
            </w:r>
            <w:r w:rsidR="00464B7E" w:rsidRPr="00EF38F7">
              <w:rPr>
                <w:rFonts w:cs="Arial"/>
                <w:sz w:val="22"/>
                <w:szCs w:val="22"/>
              </w:rPr>
              <w:t>Подход на триангулация чрез съчетаване на минимум следните методи</w:t>
            </w:r>
            <w:r w:rsidR="00EF38F7">
              <w:rPr>
                <w:rFonts w:cs="Arial"/>
                <w:sz w:val="22"/>
                <w:szCs w:val="22"/>
              </w:rPr>
              <w:t xml:space="preserve"> за оценка на въздействието</w:t>
            </w:r>
            <w:r w:rsidR="00464B7E" w:rsidRPr="00EF38F7">
              <w:rPr>
                <w:rFonts w:cs="Arial"/>
                <w:sz w:val="22"/>
                <w:szCs w:val="22"/>
              </w:rPr>
              <w:t>:</w:t>
            </w:r>
          </w:p>
          <w:p w:rsidR="007F57B7" w:rsidRPr="00EF38F7" w:rsidRDefault="007F57B7" w:rsidP="00EB274A">
            <w:pPr>
              <w:pStyle w:val="ListBullet"/>
              <w:spacing w:before="60" w:after="60"/>
              <w:ind w:left="720"/>
              <w:jc w:val="both"/>
              <w:rPr>
                <w:sz w:val="22"/>
                <w:szCs w:val="22"/>
              </w:rPr>
            </w:pPr>
            <w:r w:rsidRPr="00EF38F7">
              <w:rPr>
                <w:sz w:val="22"/>
                <w:szCs w:val="22"/>
              </w:rPr>
              <w:t>Оценка, базирана на теорията</w:t>
            </w:r>
            <w:r w:rsidR="00B8303E">
              <w:rPr>
                <w:sz w:val="22"/>
                <w:szCs w:val="22"/>
              </w:rPr>
              <w:t>;</w:t>
            </w:r>
          </w:p>
          <w:p w:rsidR="007F57B7" w:rsidRPr="00EF38F7" w:rsidRDefault="007F57B7" w:rsidP="00EB274A">
            <w:pPr>
              <w:pStyle w:val="ListBullet"/>
              <w:spacing w:before="60" w:after="60"/>
              <w:ind w:left="720"/>
              <w:jc w:val="both"/>
              <w:rPr>
                <w:sz w:val="22"/>
                <w:szCs w:val="22"/>
              </w:rPr>
            </w:pPr>
            <w:proofErr w:type="spellStart"/>
            <w:r w:rsidRPr="00EF38F7">
              <w:rPr>
                <w:sz w:val="22"/>
                <w:szCs w:val="22"/>
              </w:rPr>
              <w:t>Контрафактологична</w:t>
            </w:r>
            <w:proofErr w:type="spellEnd"/>
            <w:r w:rsidRPr="00EF38F7">
              <w:rPr>
                <w:sz w:val="22"/>
                <w:szCs w:val="22"/>
              </w:rPr>
              <w:t xml:space="preserve"> оценка </w:t>
            </w:r>
            <w:r w:rsidR="00F80BEC">
              <w:rPr>
                <w:sz w:val="22"/>
                <w:szCs w:val="22"/>
              </w:rPr>
              <w:t xml:space="preserve">чрез използването на контролни групи </w:t>
            </w:r>
            <w:r w:rsidR="00F80BEC" w:rsidRPr="003077BF">
              <w:rPr>
                <w:sz w:val="22"/>
                <w:szCs w:val="22"/>
                <w:lang w:val="ru-RU"/>
              </w:rPr>
              <w:t>(</w:t>
            </w:r>
            <w:r w:rsidR="00F80BEC">
              <w:rPr>
                <w:sz w:val="22"/>
                <w:szCs w:val="22"/>
              </w:rPr>
              <w:t>само където е приложимо съобразно спецификите на интервенциите по ОПОС 2014-2020</w:t>
            </w:r>
            <w:r w:rsidR="0041256B">
              <w:rPr>
                <w:sz w:val="22"/>
                <w:szCs w:val="22"/>
              </w:rPr>
              <w:t xml:space="preserve"> г.</w:t>
            </w:r>
            <w:r w:rsidR="00F80BEC" w:rsidRPr="003077BF">
              <w:rPr>
                <w:sz w:val="22"/>
                <w:szCs w:val="22"/>
                <w:lang w:val="ru-RU"/>
              </w:rPr>
              <w:t>)</w:t>
            </w:r>
            <w:r w:rsidR="00B8303E">
              <w:rPr>
                <w:sz w:val="22"/>
                <w:szCs w:val="22"/>
                <w:lang w:val="ru-RU"/>
              </w:rPr>
              <w:t>.</w:t>
            </w:r>
          </w:p>
          <w:p w:rsidR="00464B7E" w:rsidRPr="00EF38F7" w:rsidRDefault="00464B7E" w:rsidP="00EB274A">
            <w:pPr>
              <w:pStyle w:val="ListBullet"/>
              <w:spacing w:before="60" w:after="60"/>
              <w:jc w:val="both"/>
              <w:rPr>
                <w:sz w:val="22"/>
                <w:szCs w:val="22"/>
              </w:rPr>
            </w:pPr>
            <w:r w:rsidRPr="00EF38F7">
              <w:rPr>
                <w:sz w:val="22"/>
                <w:szCs w:val="22"/>
              </w:rPr>
              <w:t>Методи за набиране на информация за целите на оценката:</w:t>
            </w:r>
          </w:p>
          <w:p w:rsidR="00464B7E" w:rsidRPr="00EF38F7" w:rsidRDefault="00464B7E" w:rsidP="00EB274A">
            <w:pPr>
              <w:pStyle w:val="ListBullet"/>
              <w:spacing w:before="60" w:after="60"/>
              <w:ind w:left="720"/>
              <w:jc w:val="both"/>
              <w:rPr>
                <w:sz w:val="22"/>
                <w:szCs w:val="22"/>
              </w:rPr>
            </w:pPr>
            <w:r w:rsidRPr="00EF38F7">
              <w:rPr>
                <w:sz w:val="22"/>
                <w:szCs w:val="22"/>
              </w:rPr>
              <w:t>Кабинетни проучвания</w:t>
            </w:r>
            <w:r w:rsidR="00CF197C" w:rsidRPr="00EF38F7">
              <w:rPr>
                <w:sz w:val="22"/>
                <w:szCs w:val="22"/>
              </w:rPr>
              <w:t xml:space="preserve"> за набиране и анализ на вторична информация</w:t>
            </w:r>
            <w:r w:rsidR="00B8303E">
              <w:rPr>
                <w:sz w:val="22"/>
                <w:szCs w:val="22"/>
              </w:rPr>
              <w:t>;</w:t>
            </w:r>
          </w:p>
          <w:p w:rsidR="00464B7E" w:rsidRPr="00EF38F7" w:rsidRDefault="00464B7E" w:rsidP="00EB274A">
            <w:pPr>
              <w:pStyle w:val="ListBullet"/>
              <w:spacing w:before="60" w:after="60"/>
              <w:ind w:left="720"/>
              <w:jc w:val="both"/>
              <w:rPr>
                <w:sz w:val="22"/>
                <w:szCs w:val="22"/>
              </w:rPr>
            </w:pPr>
            <w:r w:rsidRPr="00EF38F7">
              <w:rPr>
                <w:sz w:val="22"/>
                <w:szCs w:val="22"/>
              </w:rPr>
              <w:t xml:space="preserve">Количествени проучвания </w:t>
            </w:r>
            <w:r w:rsidR="00CF197C" w:rsidRPr="00EF38F7">
              <w:rPr>
                <w:sz w:val="22"/>
                <w:szCs w:val="22"/>
              </w:rPr>
              <w:t xml:space="preserve">за набиране на първични данни </w:t>
            </w:r>
            <w:r w:rsidRPr="00EF38F7">
              <w:rPr>
                <w:sz w:val="22"/>
                <w:szCs w:val="22"/>
              </w:rPr>
              <w:t>чрез анкети</w:t>
            </w:r>
            <w:r w:rsidR="00CF197C" w:rsidRPr="00EF38F7">
              <w:rPr>
                <w:sz w:val="22"/>
                <w:szCs w:val="22"/>
              </w:rPr>
              <w:t xml:space="preserve">, вкл. онлайн анкети, </w:t>
            </w:r>
            <w:r w:rsidRPr="00EF38F7">
              <w:rPr>
                <w:sz w:val="22"/>
                <w:szCs w:val="22"/>
              </w:rPr>
              <w:t xml:space="preserve">сред заинтересовани страни </w:t>
            </w:r>
            <w:r w:rsidRPr="003077BF">
              <w:rPr>
                <w:sz w:val="22"/>
                <w:szCs w:val="22"/>
                <w:lang w:val="ru-RU"/>
              </w:rPr>
              <w:t>(</w:t>
            </w:r>
            <w:r w:rsidRPr="00EF38F7">
              <w:rPr>
                <w:sz w:val="22"/>
                <w:szCs w:val="22"/>
              </w:rPr>
              <w:t xml:space="preserve">бенефициенти, потенциални бенефициенти, </w:t>
            </w:r>
            <w:r w:rsidR="00CF197C" w:rsidRPr="00EF38F7">
              <w:rPr>
                <w:sz w:val="22"/>
                <w:szCs w:val="22"/>
              </w:rPr>
              <w:t xml:space="preserve">контролни групи от субекти, </w:t>
            </w:r>
            <w:r w:rsidRPr="00EF38F7">
              <w:rPr>
                <w:sz w:val="22"/>
                <w:szCs w:val="22"/>
              </w:rPr>
              <w:t>необхванат</w:t>
            </w:r>
            <w:r w:rsidR="00CF197C" w:rsidRPr="00EF38F7">
              <w:rPr>
                <w:sz w:val="22"/>
                <w:szCs w:val="22"/>
              </w:rPr>
              <w:t>и</w:t>
            </w:r>
            <w:r w:rsidRPr="00EF38F7">
              <w:rPr>
                <w:sz w:val="22"/>
                <w:szCs w:val="22"/>
              </w:rPr>
              <w:t xml:space="preserve"> от интервенциите по ОПОС</w:t>
            </w:r>
            <w:r w:rsidR="00CF197C" w:rsidRPr="00EF38F7">
              <w:rPr>
                <w:sz w:val="22"/>
                <w:szCs w:val="22"/>
              </w:rPr>
              <w:t xml:space="preserve"> за целите на </w:t>
            </w:r>
            <w:proofErr w:type="spellStart"/>
            <w:r w:rsidR="00CF197C" w:rsidRPr="00EF38F7">
              <w:rPr>
                <w:sz w:val="22"/>
                <w:szCs w:val="22"/>
              </w:rPr>
              <w:t>контрафактологичната</w:t>
            </w:r>
            <w:proofErr w:type="spellEnd"/>
            <w:r w:rsidR="00CF197C" w:rsidRPr="00EF38F7">
              <w:rPr>
                <w:sz w:val="22"/>
                <w:szCs w:val="22"/>
              </w:rPr>
              <w:t xml:space="preserve"> оценка</w:t>
            </w:r>
            <w:r w:rsidRPr="00EF38F7">
              <w:rPr>
                <w:sz w:val="22"/>
                <w:szCs w:val="22"/>
              </w:rPr>
              <w:t xml:space="preserve"> и др.</w:t>
            </w:r>
            <w:r w:rsidRPr="003077BF">
              <w:rPr>
                <w:sz w:val="22"/>
                <w:szCs w:val="22"/>
                <w:lang w:val="ru-RU"/>
              </w:rPr>
              <w:t>)</w:t>
            </w:r>
            <w:r w:rsidR="00B8303E">
              <w:rPr>
                <w:sz w:val="22"/>
                <w:szCs w:val="22"/>
                <w:lang w:val="ru-RU"/>
              </w:rPr>
              <w:t>;</w:t>
            </w:r>
          </w:p>
          <w:p w:rsidR="00CF197C" w:rsidRPr="00EF38F7" w:rsidRDefault="00CF197C" w:rsidP="00EB274A">
            <w:pPr>
              <w:pStyle w:val="ListBullet"/>
              <w:spacing w:before="60" w:after="60"/>
              <w:ind w:left="720"/>
              <w:jc w:val="both"/>
              <w:rPr>
                <w:sz w:val="22"/>
                <w:szCs w:val="22"/>
              </w:rPr>
            </w:pPr>
            <w:r w:rsidRPr="00EF38F7">
              <w:rPr>
                <w:sz w:val="22"/>
                <w:szCs w:val="22"/>
              </w:rPr>
              <w:t xml:space="preserve">Качествени проучвания чрез фокус групи, експертни панели, дълбочинни интервюта с </w:t>
            </w:r>
            <w:r w:rsidR="00C46D74">
              <w:rPr>
                <w:sz w:val="22"/>
                <w:szCs w:val="22"/>
              </w:rPr>
              <w:t>УО</w:t>
            </w:r>
            <w:r w:rsidRPr="00EF38F7">
              <w:rPr>
                <w:sz w:val="22"/>
                <w:szCs w:val="22"/>
              </w:rPr>
              <w:t>, др. институционални партньори, членове на КН на ОПОС, бенефициенти и др.</w:t>
            </w:r>
            <w:r w:rsidR="00B8303E">
              <w:rPr>
                <w:sz w:val="22"/>
                <w:szCs w:val="22"/>
              </w:rPr>
              <w:t>;</w:t>
            </w:r>
          </w:p>
          <w:p w:rsidR="007F57B7" w:rsidRPr="00EF38F7" w:rsidRDefault="00CF197C" w:rsidP="00EB274A">
            <w:pPr>
              <w:pStyle w:val="ListBullet"/>
              <w:spacing w:before="60" w:after="60"/>
              <w:ind w:left="720"/>
              <w:jc w:val="both"/>
              <w:rPr>
                <w:sz w:val="22"/>
                <w:szCs w:val="22"/>
              </w:rPr>
            </w:pPr>
            <w:r w:rsidRPr="00EF38F7">
              <w:rPr>
                <w:sz w:val="22"/>
                <w:szCs w:val="22"/>
              </w:rPr>
              <w:t>Проучвания</w:t>
            </w:r>
            <w:r w:rsidR="007F57B7" w:rsidRPr="00EF38F7">
              <w:rPr>
                <w:sz w:val="22"/>
                <w:szCs w:val="22"/>
              </w:rPr>
              <w:t xml:space="preserve"> на конкретни случаи (</w:t>
            </w:r>
            <w:proofErr w:type="spellStart"/>
            <w:r w:rsidR="007F57B7" w:rsidRPr="00EF38F7">
              <w:rPr>
                <w:sz w:val="22"/>
                <w:szCs w:val="22"/>
              </w:rPr>
              <w:t>case</w:t>
            </w:r>
            <w:proofErr w:type="spellEnd"/>
            <w:r w:rsidR="007F57B7" w:rsidRPr="00EF38F7">
              <w:rPr>
                <w:sz w:val="22"/>
                <w:szCs w:val="22"/>
              </w:rPr>
              <w:t xml:space="preserve"> </w:t>
            </w:r>
            <w:proofErr w:type="spellStart"/>
            <w:r w:rsidR="007F57B7" w:rsidRPr="00EF38F7">
              <w:rPr>
                <w:sz w:val="22"/>
                <w:szCs w:val="22"/>
              </w:rPr>
              <w:t>studies</w:t>
            </w:r>
            <w:proofErr w:type="spellEnd"/>
            <w:r w:rsidR="007F57B7" w:rsidRPr="00EF38F7">
              <w:rPr>
                <w:sz w:val="22"/>
                <w:szCs w:val="22"/>
              </w:rPr>
              <w:t>)</w:t>
            </w:r>
            <w:r w:rsidR="00B8303E">
              <w:rPr>
                <w:sz w:val="22"/>
                <w:szCs w:val="22"/>
              </w:rPr>
              <w:t>;</w:t>
            </w:r>
          </w:p>
          <w:p w:rsidR="00953268" w:rsidRPr="003077BF" w:rsidRDefault="00CF197C" w:rsidP="00EB274A">
            <w:pPr>
              <w:pStyle w:val="ListBullet"/>
              <w:spacing w:before="60" w:after="60"/>
              <w:ind w:left="714" w:hanging="357"/>
              <w:jc w:val="both"/>
              <w:rPr>
                <w:rFonts w:cs="Arial"/>
                <w:sz w:val="22"/>
                <w:szCs w:val="22"/>
                <w:lang w:val="ru-RU"/>
              </w:rPr>
            </w:pPr>
            <w:r w:rsidRPr="00EF38F7">
              <w:rPr>
                <w:sz w:val="22"/>
                <w:szCs w:val="22"/>
              </w:rPr>
              <w:t>П</w:t>
            </w:r>
            <w:r w:rsidR="007F57B7" w:rsidRPr="00EF38F7">
              <w:rPr>
                <w:sz w:val="22"/>
                <w:szCs w:val="22"/>
              </w:rPr>
              <w:t>осещения на място на изпълнение на проекти</w:t>
            </w:r>
            <w:r w:rsidR="00B8303E">
              <w:rPr>
                <w:sz w:val="22"/>
                <w:szCs w:val="22"/>
              </w:rPr>
              <w:t>;</w:t>
            </w:r>
          </w:p>
          <w:p w:rsidR="00CF197C" w:rsidRPr="003077BF" w:rsidRDefault="00CF197C" w:rsidP="00EB274A">
            <w:pPr>
              <w:pStyle w:val="ListBullet"/>
              <w:spacing w:before="60" w:after="60"/>
              <w:ind w:left="714" w:hanging="357"/>
              <w:jc w:val="both"/>
              <w:rPr>
                <w:rFonts w:cs="Arial"/>
                <w:sz w:val="22"/>
                <w:szCs w:val="22"/>
                <w:lang w:val="ru-RU"/>
              </w:rPr>
            </w:pPr>
            <w:r w:rsidRPr="00EF38F7">
              <w:rPr>
                <w:sz w:val="22"/>
                <w:szCs w:val="22"/>
              </w:rPr>
              <w:t>Анализ разходи-ползи/ разходи-ефективност за целите на оценка на ефикасността на ОПОС 2014-2020</w:t>
            </w:r>
            <w:r w:rsidR="0041256B">
              <w:rPr>
                <w:sz w:val="22"/>
                <w:szCs w:val="22"/>
              </w:rPr>
              <w:t xml:space="preserve"> г.</w:t>
            </w:r>
          </w:p>
        </w:tc>
      </w:tr>
      <w:tr w:rsidR="00953268" w:rsidRPr="008B2C88"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t>Източници на информация</w:t>
            </w:r>
          </w:p>
        </w:tc>
        <w:tc>
          <w:tcPr>
            <w:tcW w:w="10873" w:type="dxa"/>
            <w:hideMark/>
          </w:tcPr>
          <w:p w:rsidR="00CF197C" w:rsidRPr="003077BF" w:rsidRDefault="00EF38F7" w:rsidP="00EB274A">
            <w:pPr>
              <w:pStyle w:val="ListBullet"/>
              <w:spacing w:before="60" w:after="60"/>
              <w:jc w:val="both"/>
              <w:rPr>
                <w:sz w:val="22"/>
                <w:szCs w:val="22"/>
                <w:lang w:val="ru-RU"/>
              </w:rPr>
            </w:pPr>
            <w:r>
              <w:rPr>
                <w:sz w:val="22"/>
                <w:szCs w:val="22"/>
              </w:rPr>
              <w:t xml:space="preserve">Информация </w:t>
            </w:r>
            <w:r w:rsidR="00CF197C" w:rsidRPr="00EF38F7">
              <w:rPr>
                <w:sz w:val="22"/>
                <w:szCs w:val="22"/>
              </w:rPr>
              <w:t>за изпълнението на ОПОС 2014-2020</w:t>
            </w:r>
            <w:r w:rsidR="0041256B">
              <w:rPr>
                <w:sz w:val="22"/>
                <w:szCs w:val="22"/>
              </w:rPr>
              <w:t xml:space="preserve"> г.</w:t>
            </w:r>
            <w:r w:rsidR="00CF197C" w:rsidRPr="00EF38F7">
              <w:rPr>
                <w:sz w:val="22"/>
                <w:szCs w:val="22"/>
              </w:rPr>
              <w:t xml:space="preserve">, предоставени от </w:t>
            </w:r>
            <w:r w:rsidR="00C46D74">
              <w:rPr>
                <w:sz w:val="22"/>
                <w:szCs w:val="22"/>
              </w:rPr>
              <w:t>УО</w:t>
            </w:r>
            <w:r w:rsidR="00CF197C" w:rsidRPr="00EF38F7">
              <w:rPr>
                <w:sz w:val="22"/>
                <w:szCs w:val="22"/>
              </w:rPr>
              <w:t>, в т.ч. годишните доклади за изпълнението на програмата и всички други релевантни документи</w:t>
            </w:r>
            <w:r w:rsidR="00B8303E">
              <w:rPr>
                <w:sz w:val="22"/>
                <w:szCs w:val="22"/>
              </w:rPr>
              <w:t>;</w:t>
            </w:r>
          </w:p>
          <w:p w:rsidR="00EF38F7" w:rsidRPr="003077BF" w:rsidRDefault="00CF197C" w:rsidP="00EB274A">
            <w:pPr>
              <w:pStyle w:val="ListBullet"/>
              <w:spacing w:before="60" w:after="60"/>
              <w:jc w:val="both"/>
              <w:rPr>
                <w:sz w:val="22"/>
                <w:szCs w:val="22"/>
                <w:lang w:val="ru-RU"/>
              </w:rPr>
            </w:pPr>
            <w:r w:rsidRPr="00EF38F7">
              <w:rPr>
                <w:sz w:val="22"/>
                <w:szCs w:val="22"/>
              </w:rPr>
              <w:t xml:space="preserve">Информация от техническите доклади за изпълнението на </w:t>
            </w:r>
            <w:r w:rsidR="00EF38F7" w:rsidRPr="00EF38F7">
              <w:rPr>
                <w:sz w:val="22"/>
                <w:szCs w:val="22"/>
              </w:rPr>
              <w:t>отделните проекти, изготвяни от бенефициентите на ОПОС</w:t>
            </w:r>
            <w:r w:rsidR="00B8303E">
              <w:rPr>
                <w:sz w:val="22"/>
                <w:szCs w:val="22"/>
              </w:rPr>
              <w:t>;</w:t>
            </w:r>
          </w:p>
          <w:p w:rsidR="00EF38F7" w:rsidRPr="00B8303E" w:rsidRDefault="00EF38F7" w:rsidP="00EB274A">
            <w:pPr>
              <w:pStyle w:val="ListBullet"/>
              <w:spacing w:before="60" w:after="60"/>
              <w:jc w:val="both"/>
              <w:rPr>
                <w:sz w:val="22"/>
                <w:szCs w:val="22"/>
                <w:lang w:val="ru-RU"/>
              </w:rPr>
            </w:pPr>
            <w:r w:rsidRPr="00EF38F7">
              <w:rPr>
                <w:sz w:val="22"/>
                <w:szCs w:val="22"/>
              </w:rPr>
              <w:t>Данни от ИСУН</w:t>
            </w:r>
            <w:r w:rsidR="00B8303E">
              <w:rPr>
                <w:sz w:val="22"/>
                <w:szCs w:val="22"/>
              </w:rPr>
              <w:t xml:space="preserve"> 2020;</w:t>
            </w:r>
          </w:p>
          <w:p w:rsidR="00EF38F7" w:rsidRPr="00D45142" w:rsidRDefault="00EF38F7" w:rsidP="00EB274A">
            <w:pPr>
              <w:pStyle w:val="ListBullet"/>
              <w:spacing w:before="60" w:after="60"/>
              <w:jc w:val="both"/>
              <w:rPr>
                <w:sz w:val="22"/>
                <w:szCs w:val="22"/>
                <w:lang w:val="ru-RU"/>
              </w:rPr>
            </w:pPr>
            <w:r w:rsidRPr="00EF38F7">
              <w:rPr>
                <w:sz w:val="22"/>
                <w:szCs w:val="22"/>
              </w:rPr>
              <w:t xml:space="preserve">Данни от НСИ и </w:t>
            </w:r>
            <w:proofErr w:type="spellStart"/>
            <w:r w:rsidRPr="00EF38F7">
              <w:rPr>
                <w:sz w:val="22"/>
                <w:szCs w:val="22"/>
              </w:rPr>
              <w:t>Евростат</w:t>
            </w:r>
            <w:proofErr w:type="spellEnd"/>
            <w:r w:rsidR="00B8303E">
              <w:rPr>
                <w:sz w:val="22"/>
                <w:szCs w:val="22"/>
              </w:rPr>
              <w:t>;</w:t>
            </w:r>
          </w:p>
          <w:p w:rsidR="00953268" w:rsidRPr="003077BF" w:rsidRDefault="00EF38F7" w:rsidP="00EB274A">
            <w:pPr>
              <w:pStyle w:val="ListBullet"/>
              <w:spacing w:before="60" w:after="60"/>
              <w:jc w:val="both"/>
              <w:rPr>
                <w:sz w:val="22"/>
                <w:szCs w:val="22"/>
                <w:lang w:val="ru-RU"/>
              </w:rPr>
            </w:pPr>
            <w:r w:rsidRPr="00EF38F7">
              <w:rPr>
                <w:sz w:val="22"/>
                <w:szCs w:val="22"/>
              </w:rPr>
              <w:t xml:space="preserve">Първични данни </w:t>
            </w:r>
            <w:r>
              <w:rPr>
                <w:sz w:val="22"/>
                <w:szCs w:val="22"/>
              </w:rPr>
              <w:t>от</w:t>
            </w:r>
            <w:r w:rsidRPr="00EF38F7">
              <w:rPr>
                <w:sz w:val="22"/>
                <w:szCs w:val="22"/>
              </w:rPr>
              <w:t xml:space="preserve"> количествени и качествени проучвания</w:t>
            </w:r>
            <w:r w:rsidR="00B8303E">
              <w:rPr>
                <w:sz w:val="22"/>
                <w:szCs w:val="22"/>
              </w:rPr>
              <w:t>.</w:t>
            </w:r>
          </w:p>
        </w:tc>
      </w:tr>
      <w:tr w:rsidR="00953268" w:rsidRPr="008B2C88" w:rsidTr="00696D7E">
        <w:tc>
          <w:tcPr>
            <w:tcW w:w="0" w:type="auto"/>
            <w:hideMark/>
          </w:tcPr>
          <w:p w:rsidR="00953268" w:rsidRPr="0028711A" w:rsidRDefault="00953268" w:rsidP="007D5F8C">
            <w:pPr>
              <w:spacing w:before="60" w:after="60"/>
              <w:rPr>
                <w:rFonts w:cs="Arial"/>
                <w:b/>
                <w:sz w:val="22"/>
                <w:szCs w:val="22"/>
                <w:lang w:val="en-GB"/>
              </w:rPr>
            </w:pPr>
            <w:r w:rsidRPr="0028711A">
              <w:rPr>
                <w:rFonts w:cs="Arial"/>
                <w:b/>
                <w:sz w:val="22"/>
                <w:szCs w:val="22"/>
              </w:rPr>
              <w:t>Времеви обхват на оценката</w:t>
            </w:r>
            <w:r w:rsidRPr="0028711A">
              <w:rPr>
                <w:rFonts w:cs="Arial"/>
                <w:b/>
                <w:sz w:val="22"/>
                <w:szCs w:val="22"/>
                <w:lang w:val="en-GB"/>
              </w:rPr>
              <w:t xml:space="preserve"> </w:t>
            </w:r>
          </w:p>
        </w:tc>
        <w:tc>
          <w:tcPr>
            <w:tcW w:w="10873" w:type="dxa"/>
            <w:vAlign w:val="center"/>
            <w:hideMark/>
          </w:tcPr>
          <w:p w:rsidR="00953268" w:rsidRPr="00EF38F7" w:rsidRDefault="00D27033" w:rsidP="00EB274A">
            <w:pPr>
              <w:spacing w:before="60" w:after="60"/>
              <w:jc w:val="both"/>
              <w:rPr>
                <w:rFonts w:cs="Arial"/>
                <w:sz w:val="22"/>
                <w:szCs w:val="22"/>
              </w:rPr>
            </w:pPr>
            <w:r>
              <w:rPr>
                <w:rFonts w:cs="Arial"/>
                <w:sz w:val="22"/>
                <w:szCs w:val="22"/>
              </w:rPr>
              <w:t xml:space="preserve">юни </w:t>
            </w:r>
            <w:r>
              <w:rPr>
                <w:rFonts w:cs="Arial"/>
                <w:sz w:val="22"/>
                <w:szCs w:val="22"/>
                <w:lang w:val="en-GB"/>
              </w:rPr>
              <w:t>201</w:t>
            </w:r>
            <w:r>
              <w:rPr>
                <w:rFonts w:cs="Arial"/>
                <w:sz w:val="22"/>
                <w:szCs w:val="22"/>
              </w:rPr>
              <w:t>5 г.</w:t>
            </w:r>
            <w:r w:rsidR="00953268" w:rsidRPr="00EF38F7">
              <w:rPr>
                <w:rFonts w:cs="Arial"/>
                <w:sz w:val="22"/>
                <w:szCs w:val="22"/>
                <w:lang w:val="en-GB"/>
              </w:rPr>
              <w:t xml:space="preserve"> – </w:t>
            </w:r>
            <w:r w:rsidR="001B1E8D" w:rsidRPr="00EF38F7">
              <w:rPr>
                <w:rFonts w:cs="Arial"/>
                <w:sz w:val="22"/>
                <w:szCs w:val="22"/>
              </w:rPr>
              <w:t>2020</w:t>
            </w:r>
            <w:r>
              <w:rPr>
                <w:rFonts w:cs="Arial"/>
                <w:sz w:val="22"/>
                <w:szCs w:val="22"/>
              </w:rPr>
              <w:t xml:space="preserve"> г.</w:t>
            </w:r>
          </w:p>
        </w:tc>
      </w:tr>
      <w:tr w:rsidR="00953268" w:rsidRPr="008B2C88" w:rsidTr="00696D7E">
        <w:trPr>
          <w:trHeight w:val="376"/>
        </w:trPr>
        <w:tc>
          <w:tcPr>
            <w:tcW w:w="0" w:type="auto"/>
            <w:hideMark/>
          </w:tcPr>
          <w:p w:rsidR="00953268" w:rsidRPr="0028711A" w:rsidRDefault="00953268" w:rsidP="007D5F8C">
            <w:pPr>
              <w:spacing w:before="60" w:after="60"/>
              <w:rPr>
                <w:rFonts w:cs="Arial"/>
                <w:b/>
                <w:sz w:val="22"/>
                <w:szCs w:val="22"/>
                <w:lang w:val="en-GB"/>
              </w:rPr>
            </w:pPr>
            <w:r w:rsidRPr="0028711A">
              <w:rPr>
                <w:rFonts w:cs="Arial"/>
                <w:b/>
                <w:sz w:val="22"/>
                <w:szCs w:val="22"/>
              </w:rPr>
              <w:t>Продължителност</w:t>
            </w:r>
            <w:r w:rsidRPr="0028711A">
              <w:rPr>
                <w:rFonts w:cs="Arial"/>
                <w:b/>
                <w:sz w:val="22"/>
                <w:szCs w:val="22"/>
                <w:lang w:val="en-GB"/>
              </w:rPr>
              <w:t xml:space="preserve"> </w:t>
            </w:r>
          </w:p>
        </w:tc>
        <w:tc>
          <w:tcPr>
            <w:tcW w:w="10873" w:type="dxa"/>
            <w:vAlign w:val="center"/>
            <w:hideMark/>
          </w:tcPr>
          <w:p w:rsidR="00953268" w:rsidRPr="00EF38F7" w:rsidRDefault="001B1E8D" w:rsidP="00EB274A">
            <w:pPr>
              <w:spacing w:before="60" w:after="60"/>
              <w:jc w:val="both"/>
              <w:rPr>
                <w:rFonts w:cs="Arial"/>
                <w:sz w:val="22"/>
                <w:szCs w:val="22"/>
              </w:rPr>
            </w:pPr>
            <w:r w:rsidRPr="00EF38F7">
              <w:rPr>
                <w:rFonts w:cs="Arial"/>
                <w:sz w:val="22"/>
                <w:szCs w:val="22"/>
              </w:rPr>
              <w:t>8</w:t>
            </w:r>
            <w:r w:rsidR="00953268" w:rsidRPr="00EF38F7">
              <w:rPr>
                <w:rFonts w:cs="Arial"/>
                <w:sz w:val="22"/>
                <w:szCs w:val="22"/>
                <w:lang w:val="en-GB"/>
              </w:rPr>
              <w:t xml:space="preserve"> </w:t>
            </w:r>
            <w:r w:rsidR="00953268" w:rsidRPr="00EF38F7">
              <w:rPr>
                <w:rFonts w:cs="Arial"/>
                <w:sz w:val="22"/>
                <w:szCs w:val="22"/>
              </w:rPr>
              <w:t>месеца</w:t>
            </w:r>
          </w:p>
        </w:tc>
      </w:tr>
      <w:tr w:rsidR="00953268" w:rsidRPr="008B2C88" w:rsidTr="00696D7E">
        <w:tc>
          <w:tcPr>
            <w:tcW w:w="0" w:type="auto"/>
            <w:hideMark/>
          </w:tcPr>
          <w:p w:rsidR="00953268" w:rsidRPr="0028711A" w:rsidRDefault="00953268" w:rsidP="007D5F8C">
            <w:pPr>
              <w:spacing w:before="60" w:after="60"/>
              <w:rPr>
                <w:rFonts w:cs="Arial"/>
                <w:b/>
                <w:sz w:val="22"/>
                <w:szCs w:val="22"/>
              </w:rPr>
            </w:pPr>
            <w:r w:rsidRPr="0028711A">
              <w:rPr>
                <w:rFonts w:cs="Arial"/>
                <w:b/>
                <w:sz w:val="22"/>
                <w:szCs w:val="22"/>
              </w:rPr>
              <w:lastRenderedPageBreak/>
              <w:t>Индикативна начална дата</w:t>
            </w:r>
          </w:p>
        </w:tc>
        <w:tc>
          <w:tcPr>
            <w:tcW w:w="10873" w:type="dxa"/>
            <w:vAlign w:val="center"/>
            <w:hideMark/>
          </w:tcPr>
          <w:p w:rsidR="00953268" w:rsidRPr="00EF38F7" w:rsidRDefault="001B1E8D" w:rsidP="00EB274A">
            <w:pPr>
              <w:spacing w:before="60" w:after="60"/>
              <w:jc w:val="both"/>
              <w:rPr>
                <w:rFonts w:cs="Arial"/>
                <w:sz w:val="22"/>
                <w:szCs w:val="22"/>
              </w:rPr>
            </w:pPr>
            <w:r w:rsidRPr="00EF38F7">
              <w:rPr>
                <w:rFonts w:cs="Arial"/>
                <w:sz w:val="22"/>
                <w:szCs w:val="22"/>
              </w:rPr>
              <w:t>10.01</w:t>
            </w:r>
            <w:r w:rsidR="00953268" w:rsidRPr="00EF38F7">
              <w:rPr>
                <w:rFonts w:cs="Arial"/>
                <w:sz w:val="22"/>
                <w:szCs w:val="22"/>
              </w:rPr>
              <w:t>.20</w:t>
            </w:r>
            <w:r w:rsidRPr="00EF38F7">
              <w:rPr>
                <w:rFonts w:cs="Arial"/>
                <w:sz w:val="22"/>
                <w:szCs w:val="22"/>
              </w:rPr>
              <w:t>22</w:t>
            </w:r>
            <w:r w:rsidR="00B8303E">
              <w:rPr>
                <w:rFonts w:cs="Arial"/>
                <w:sz w:val="22"/>
                <w:szCs w:val="22"/>
              </w:rPr>
              <w:t xml:space="preserve"> г.</w:t>
            </w:r>
          </w:p>
        </w:tc>
      </w:tr>
      <w:tr w:rsidR="00953268" w:rsidRPr="008B2C88" w:rsidTr="00696D7E">
        <w:trPr>
          <w:trHeight w:val="213"/>
        </w:trPr>
        <w:tc>
          <w:tcPr>
            <w:tcW w:w="0" w:type="auto"/>
            <w:hideMark/>
          </w:tcPr>
          <w:p w:rsidR="00953268" w:rsidRPr="0028711A" w:rsidRDefault="00953268" w:rsidP="007D5F8C">
            <w:pPr>
              <w:spacing w:before="60" w:after="60"/>
              <w:rPr>
                <w:rFonts w:cs="Arial"/>
                <w:b/>
                <w:sz w:val="22"/>
                <w:szCs w:val="22"/>
                <w:lang w:val="en-GB"/>
              </w:rPr>
            </w:pPr>
            <w:r w:rsidRPr="0028711A">
              <w:rPr>
                <w:rFonts w:cs="Arial"/>
                <w:b/>
                <w:sz w:val="22"/>
                <w:szCs w:val="22"/>
              </w:rPr>
              <w:t>Прогнозен бюджет</w:t>
            </w:r>
            <w:r w:rsidRPr="0028711A">
              <w:rPr>
                <w:rFonts w:cs="Arial"/>
                <w:b/>
                <w:sz w:val="22"/>
                <w:szCs w:val="22"/>
                <w:lang w:val="en-GB"/>
              </w:rPr>
              <w:t xml:space="preserve"> </w:t>
            </w:r>
          </w:p>
        </w:tc>
        <w:tc>
          <w:tcPr>
            <w:tcW w:w="10873" w:type="dxa"/>
            <w:vAlign w:val="center"/>
            <w:hideMark/>
          </w:tcPr>
          <w:p w:rsidR="00953268" w:rsidRPr="008B2C88" w:rsidRDefault="001B1E8D" w:rsidP="00EB274A">
            <w:pPr>
              <w:spacing w:before="60" w:after="60"/>
              <w:jc w:val="both"/>
              <w:rPr>
                <w:rFonts w:cs="Arial"/>
                <w:sz w:val="22"/>
                <w:szCs w:val="22"/>
              </w:rPr>
            </w:pPr>
            <w:r w:rsidRPr="009D14ED">
              <w:rPr>
                <w:rFonts w:cs="Arial"/>
                <w:sz w:val="22"/>
                <w:szCs w:val="22"/>
              </w:rPr>
              <w:t>60</w:t>
            </w:r>
            <w:r w:rsidR="00953268" w:rsidRPr="009D14ED">
              <w:rPr>
                <w:rFonts w:cs="Arial"/>
                <w:sz w:val="22"/>
                <w:szCs w:val="22"/>
                <w:lang w:val="en-GB"/>
              </w:rPr>
              <w:t>0</w:t>
            </w:r>
            <w:r w:rsidR="00953268" w:rsidRPr="008B2C88">
              <w:rPr>
                <w:rFonts w:cs="Arial"/>
                <w:sz w:val="22"/>
                <w:szCs w:val="22"/>
                <w:lang w:val="en-GB"/>
              </w:rPr>
              <w:t> 000</w:t>
            </w:r>
            <w:r w:rsidR="00953268" w:rsidRPr="008B2C88">
              <w:rPr>
                <w:rFonts w:cs="Arial"/>
                <w:sz w:val="22"/>
                <w:szCs w:val="22"/>
              </w:rPr>
              <w:t xml:space="preserve"> лв.</w:t>
            </w:r>
          </w:p>
        </w:tc>
      </w:tr>
    </w:tbl>
    <w:p w:rsidR="00953268" w:rsidRPr="009F0BA0" w:rsidRDefault="00953268" w:rsidP="00EB274A">
      <w:pPr>
        <w:jc w:val="both"/>
      </w:pPr>
    </w:p>
    <w:sectPr w:rsidR="00953268" w:rsidRPr="009F0BA0" w:rsidSect="008B2C88">
      <w:headerReference w:type="default" r:id="rId23"/>
      <w:pgSz w:w="15840" w:h="12240" w:orient="landscape" w:code="1"/>
      <w:pgMar w:top="1418" w:right="1418" w:bottom="1418" w:left="1418" w:header="567" w:footer="567"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3741" w:rsidRDefault="001F3741">
      <w:pPr>
        <w:spacing w:after="0" w:line="240" w:lineRule="auto"/>
      </w:pPr>
      <w:r>
        <w:separator/>
      </w:r>
    </w:p>
  </w:endnote>
  <w:endnote w:type="continuationSeparator" w:id="0">
    <w:p w:rsidR="001F3741" w:rsidRDefault="001F37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2FF" w:usb1="0000FCFF" w:usb2="00000001" w:usb3="00000000" w:csb0="0000019F" w:csb1="00000000"/>
  </w:font>
  <w:font w:name="EUAlbertina">
    <w:altName w:val="Times New Roman"/>
    <w:panose1 w:val="00000000000000000000"/>
    <w:charset w:val="CC"/>
    <w:family w:val="roman"/>
    <w:notTrueType/>
    <w:pitch w:val="default"/>
    <w:sig w:usb0="00000001"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Cambria Math">
    <w:panose1 w:val="02040503050406030204"/>
    <w:charset w:val="CC"/>
    <w:family w:val="roman"/>
    <w:pitch w:val="variable"/>
    <w:sig w:usb0="E00002FF" w:usb1="420024FF" w:usb2="00000000" w:usb3="00000000" w:csb0="0000019F" w:csb1="00000000"/>
  </w:font>
  <w:font w:name="Garamond">
    <w:panose1 w:val="020204040303010108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TimesNewRomanPS-BoldMT">
    <w:altName w:val="MS Gothic"/>
    <w:panose1 w:val="00000000000000000000"/>
    <w:charset w:val="80"/>
    <w:family w:val="auto"/>
    <w:notTrueType/>
    <w:pitch w:val="default"/>
    <w:sig w:usb0="00000000" w:usb1="08070000" w:usb2="00000010" w:usb3="00000000" w:csb0="0002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8CE" w:rsidRDefault="006608CE">
    <w:pPr>
      <w:pStyle w:val="Footer"/>
      <w:jc w:val="right"/>
    </w:pPr>
    <w:r>
      <w:t xml:space="preserve">Стр. </w:t>
    </w:r>
    <w:sdt>
      <w:sdtPr>
        <w:id w:val="296671704"/>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86631A">
          <w:rPr>
            <w:noProof/>
          </w:rPr>
          <w:t>50</w:t>
        </w:r>
        <w:r>
          <w:rPr>
            <w:noProof/>
          </w:rPr>
          <w:fldChar w:fldCharType="end"/>
        </w:r>
      </w:sdtContent>
    </w:sdt>
  </w:p>
  <w:p w:rsidR="006608CE" w:rsidRDefault="006608C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8CE" w:rsidRPr="00EA7527" w:rsidRDefault="006608CE" w:rsidP="00EA7527">
    <w:pPr>
      <w:pStyle w:val="Footer"/>
      <w:pBdr>
        <w:top w:val="none" w:sz="0" w:space="0" w:color="auto"/>
      </w:pBdr>
    </w:pPr>
    <w:r>
      <w:rPr>
        <w:noProof/>
        <w:lang w:val="en-US" w:eastAsia="en-US"/>
      </w:rPr>
      <mc:AlternateContent>
        <mc:Choice Requires="wpg">
          <w:drawing>
            <wp:anchor distT="0" distB="0" distL="114300" distR="114300" simplePos="0" relativeHeight="251669504" behindDoc="0" locked="0" layoutInCell="1" allowOverlap="1" wp14:anchorId="473F2110" wp14:editId="5BE44ABD">
              <wp:simplePos x="0" y="0"/>
              <wp:positionH relativeFrom="column">
                <wp:posOffset>-648335</wp:posOffset>
              </wp:positionH>
              <wp:positionV relativeFrom="paragraph">
                <wp:posOffset>-611505</wp:posOffset>
              </wp:positionV>
              <wp:extent cx="7084695" cy="1104900"/>
              <wp:effectExtent l="0" t="0" r="0" b="0"/>
              <wp:wrapNone/>
              <wp:docPr id="8"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84695" cy="1104900"/>
                        <a:chOff x="381" y="15443"/>
                        <a:chExt cx="11157" cy="1237"/>
                      </a:xfrm>
                    </wpg:grpSpPr>
                    <wpg:grpSp>
                      <wpg:cNvPr id="9" name="Group 18"/>
                      <wpg:cNvGrpSpPr>
                        <a:grpSpLocks/>
                      </wpg:cNvGrpSpPr>
                      <wpg:grpSpPr bwMode="auto">
                        <a:xfrm>
                          <a:off x="8838" y="15443"/>
                          <a:ext cx="2700" cy="1237"/>
                          <a:chOff x="8883" y="15458"/>
                          <a:chExt cx="2700" cy="1237"/>
                        </a:xfrm>
                      </wpg:grpSpPr>
                      <wps:wsp>
                        <wps:cNvPr id="10" name="Text Box 19"/>
                        <wps:cNvSpPr txBox="1">
                          <a:spLocks noChangeArrowheads="1"/>
                        </wps:cNvSpPr>
                        <wps:spPr bwMode="auto">
                          <a:xfrm>
                            <a:off x="9783" y="15458"/>
                            <a:ext cx="769" cy="6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CE" w:rsidRDefault="006608CE" w:rsidP="00EA7527">
                              <w:pPr>
                                <w:spacing w:before="60"/>
                              </w:pPr>
                              <w:r>
                                <w:rPr>
                                  <w:rFonts w:ascii="Tahoma" w:hAnsi="Tahoma" w:cs="Tahoma"/>
                                  <w:caps/>
                                  <w:noProof/>
                                  <w:color w:val="999999"/>
                                  <w:spacing w:val="24"/>
                                  <w:lang w:val="en-US" w:eastAsia="en-US"/>
                                </w:rPr>
                                <w:drawing>
                                  <wp:inline distT="0" distB="0" distL="0" distR="0" wp14:anchorId="1BDE583D" wp14:editId="3BEBD9AD">
                                    <wp:extent cx="304800" cy="295275"/>
                                    <wp:effectExtent l="0" t="0" r="0" b="9525"/>
                                    <wp:docPr id="20" name="Picture 2" descr="MOSV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SV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4800" cy="2952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wps:wsp>
                        <wps:cNvPr id="11" name="Text Box 20"/>
                        <wps:cNvSpPr txBox="1">
                          <a:spLocks noChangeArrowheads="1"/>
                        </wps:cNvSpPr>
                        <wps:spPr bwMode="auto">
                          <a:xfrm>
                            <a:off x="8883" y="15795"/>
                            <a:ext cx="2700"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CE" w:rsidRPr="00F87E6C" w:rsidRDefault="006608CE" w:rsidP="00EA7527">
                              <w:pPr>
                                <w:pStyle w:val="Header"/>
                                <w:spacing w:before="180"/>
                                <w:jc w:val="center"/>
                                <w:rPr>
                                  <w:rFonts w:ascii="Arial" w:hAnsi="Arial" w:cs="Arial"/>
                                  <w:color w:val="999999"/>
                                  <w:sz w:val="18"/>
                                  <w:szCs w:val="18"/>
                                </w:rPr>
                              </w:pPr>
                              <w:r w:rsidRPr="00F87E6C">
                                <w:rPr>
                                  <w:rFonts w:ascii="Arial" w:hAnsi="Arial" w:cs="Arial"/>
                                  <w:color w:val="999999"/>
                                  <w:sz w:val="18"/>
                                  <w:szCs w:val="18"/>
                                </w:rPr>
                                <w:t xml:space="preserve">Министерство </w:t>
                              </w:r>
                            </w:p>
                            <w:p w:rsidR="006608CE" w:rsidRPr="00712727" w:rsidRDefault="006608CE" w:rsidP="00EA7527">
                              <w:pPr>
                                <w:spacing w:after="40"/>
                                <w:rPr>
                                  <w:lang w:val="ru-RU"/>
                                </w:rPr>
                              </w:pPr>
                              <w:r w:rsidRPr="00712727">
                                <w:rPr>
                                  <w:rFonts w:ascii="Arial" w:hAnsi="Arial" w:cs="Arial"/>
                                  <w:color w:val="999999"/>
                                  <w:sz w:val="18"/>
                                  <w:szCs w:val="18"/>
                                  <w:lang w:val="ru-RU"/>
                                </w:rPr>
                                <w:t>на околната среда и водите</w:t>
                              </w:r>
                            </w:p>
                          </w:txbxContent>
                        </wps:txbx>
                        <wps:bodyPr rot="0" vert="horz" wrap="square" lIns="91440" tIns="45720" rIns="91440" bIns="45720" anchor="t" anchorCtr="0" upright="1">
                          <a:noAutofit/>
                        </wps:bodyPr>
                      </wps:wsp>
                    </wpg:grpSp>
                    <wps:wsp>
                      <wps:cNvPr id="12" name="Text Box 21"/>
                      <wps:cNvSpPr txBox="1">
                        <a:spLocks noChangeArrowheads="1"/>
                      </wps:cNvSpPr>
                      <wps:spPr bwMode="auto">
                        <a:xfrm>
                          <a:off x="3300" y="15753"/>
                          <a:ext cx="5760"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CE" w:rsidRDefault="006608CE" w:rsidP="001A085D">
                            <w:pPr>
                              <w:spacing w:before="60" w:after="60" w:line="264" w:lineRule="auto"/>
                              <w:jc w:val="center"/>
                              <w:rPr>
                                <w:rFonts w:ascii="Arial" w:hAnsi="Arial" w:cs="Arial"/>
                                <w:color w:val="808080"/>
                                <w:sz w:val="18"/>
                                <w:szCs w:val="18"/>
                                <w:lang w:val="ru-RU"/>
                              </w:rPr>
                            </w:pPr>
                            <w:r w:rsidRPr="002953D7">
                              <w:rPr>
                                <w:rFonts w:ascii="Arial" w:hAnsi="Arial" w:cs="Arial"/>
                                <w:color w:val="808080"/>
                                <w:sz w:val="18"/>
                                <w:szCs w:val="18"/>
                                <w:lang w:val="ru-RU"/>
                              </w:rPr>
                              <w:t xml:space="preserve">Този документ е разработен във връзка с </w:t>
                            </w:r>
                            <w:r w:rsidRPr="00B63748">
                              <w:rPr>
                                <w:rFonts w:ascii="Arial" w:hAnsi="Arial" w:cs="Arial"/>
                                <w:color w:val="808080"/>
                                <w:sz w:val="18"/>
                                <w:szCs w:val="18"/>
                              </w:rPr>
                              <w:t>оперативна</w:t>
                            </w:r>
                            <w:r w:rsidRPr="002953D7">
                              <w:rPr>
                                <w:rFonts w:ascii="Arial" w:hAnsi="Arial" w:cs="Arial"/>
                                <w:color w:val="808080"/>
                                <w:sz w:val="18"/>
                                <w:szCs w:val="18"/>
                                <w:lang w:val="ru-RU"/>
                              </w:rPr>
                              <w:t xml:space="preserve"> програма</w:t>
                            </w:r>
                          </w:p>
                          <w:p w:rsidR="006608CE" w:rsidRDefault="006608CE" w:rsidP="001A085D">
                            <w:pPr>
                              <w:spacing w:before="60" w:after="60" w:line="264" w:lineRule="auto"/>
                              <w:jc w:val="center"/>
                              <w:rPr>
                                <w:rFonts w:ascii="Arial" w:hAnsi="Arial" w:cs="Arial"/>
                                <w:color w:val="808080"/>
                                <w:sz w:val="18"/>
                                <w:szCs w:val="18"/>
                              </w:rPr>
                            </w:pPr>
                            <w:r w:rsidRPr="002953D7">
                              <w:rPr>
                                <w:rFonts w:ascii="Arial" w:hAnsi="Arial" w:cs="Arial"/>
                                <w:color w:val="808080"/>
                                <w:sz w:val="18"/>
                                <w:szCs w:val="18"/>
                                <w:lang w:val="ru-RU"/>
                              </w:rPr>
                              <w:t>“Околна среда 20</w:t>
                            </w:r>
                            <w:r>
                              <w:rPr>
                                <w:rFonts w:ascii="Arial" w:hAnsi="Arial" w:cs="Arial"/>
                                <w:color w:val="808080"/>
                                <w:sz w:val="18"/>
                                <w:szCs w:val="18"/>
                                <w:lang w:val="ru-RU"/>
                              </w:rPr>
                              <w:t xml:space="preserve">14 </w:t>
                            </w:r>
                            <w:r w:rsidRPr="002953D7">
                              <w:rPr>
                                <w:rFonts w:ascii="Arial" w:hAnsi="Arial" w:cs="Arial"/>
                                <w:color w:val="808080"/>
                                <w:sz w:val="18"/>
                                <w:szCs w:val="18"/>
                                <w:lang w:val="ru-RU"/>
                              </w:rPr>
                              <w:t>–</w:t>
                            </w:r>
                            <w:r>
                              <w:rPr>
                                <w:rFonts w:ascii="Arial" w:hAnsi="Arial" w:cs="Arial"/>
                                <w:color w:val="808080"/>
                                <w:sz w:val="18"/>
                                <w:szCs w:val="18"/>
                                <w:lang w:val="ru-RU"/>
                              </w:rPr>
                              <w:t xml:space="preserve"> </w:t>
                            </w:r>
                            <w:r w:rsidRPr="002953D7">
                              <w:rPr>
                                <w:rFonts w:ascii="Arial" w:hAnsi="Arial" w:cs="Arial"/>
                                <w:color w:val="808080"/>
                                <w:sz w:val="18"/>
                                <w:szCs w:val="18"/>
                                <w:lang w:val="ru-RU"/>
                              </w:rPr>
                              <w:t>20</w:t>
                            </w:r>
                            <w:r>
                              <w:rPr>
                                <w:rFonts w:ascii="Arial" w:hAnsi="Arial" w:cs="Arial"/>
                                <w:color w:val="808080"/>
                                <w:sz w:val="18"/>
                                <w:szCs w:val="18"/>
                                <w:lang w:val="ru-RU"/>
                              </w:rPr>
                              <w:t>20</w:t>
                            </w:r>
                            <w:r w:rsidRPr="002953D7">
                              <w:rPr>
                                <w:rFonts w:ascii="Arial" w:hAnsi="Arial" w:cs="Arial"/>
                                <w:color w:val="808080"/>
                                <w:sz w:val="18"/>
                                <w:szCs w:val="18"/>
                                <w:lang w:val="ru-RU"/>
                              </w:rPr>
                              <w:t xml:space="preserve"> г.”,</w:t>
                            </w:r>
                            <w:r w:rsidRPr="00CA7C83">
                              <w:rPr>
                                <w:rFonts w:ascii="Arial" w:hAnsi="Arial" w:cs="Arial"/>
                                <w:color w:val="808080"/>
                                <w:sz w:val="18"/>
                                <w:szCs w:val="18"/>
                                <w:lang w:val="ru-RU"/>
                              </w:rPr>
                              <w:t xml:space="preserve"> </w:t>
                            </w:r>
                            <w:r w:rsidRPr="002953D7">
                              <w:rPr>
                                <w:rFonts w:ascii="Arial" w:hAnsi="Arial" w:cs="Arial"/>
                                <w:color w:val="808080"/>
                                <w:sz w:val="18"/>
                                <w:szCs w:val="18"/>
                                <w:lang w:val="ru-RU"/>
                              </w:rPr>
                              <w:t xml:space="preserve">съ-финансирана от </w:t>
                            </w:r>
                            <w:r>
                              <w:rPr>
                                <w:rFonts w:ascii="Arial" w:hAnsi="Arial" w:cs="Arial"/>
                                <w:color w:val="808080"/>
                                <w:sz w:val="18"/>
                                <w:szCs w:val="18"/>
                              </w:rPr>
                              <w:t>Европейския</w:t>
                            </w:r>
                          </w:p>
                          <w:p w:rsidR="006608CE" w:rsidRPr="005D0E34" w:rsidRDefault="006608CE" w:rsidP="001A085D">
                            <w:pPr>
                              <w:spacing w:before="60" w:after="60" w:line="264" w:lineRule="auto"/>
                              <w:jc w:val="center"/>
                              <w:rPr>
                                <w:lang w:val="ru-RU"/>
                              </w:rPr>
                            </w:pPr>
                            <w:r>
                              <w:rPr>
                                <w:rFonts w:ascii="Arial" w:hAnsi="Arial" w:cs="Arial"/>
                                <w:color w:val="808080"/>
                                <w:sz w:val="18"/>
                                <w:szCs w:val="18"/>
                              </w:rPr>
                              <w:t>фонд за регионално развитие и Кохезионния фонд на ЕС.</w:t>
                            </w:r>
                          </w:p>
                        </w:txbxContent>
                      </wps:txbx>
                      <wps:bodyPr rot="0" vert="horz" wrap="square" lIns="91440" tIns="45720" rIns="91440" bIns="45720" anchor="t" anchorCtr="0" upright="1">
                        <a:noAutofit/>
                      </wps:bodyPr>
                    </wps:wsp>
                    <wps:wsp>
                      <wps:cNvPr id="15" name="Text Box 2"/>
                      <wps:cNvSpPr txBox="1">
                        <a:spLocks noChangeArrowheads="1"/>
                      </wps:cNvSpPr>
                      <wps:spPr bwMode="auto">
                        <a:xfrm>
                          <a:off x="381" y="15495"/>
                          <a:ext cx="3109" cy="9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CE" w:rsidRDefault="006608CE" w:rsidP="00EA7527">
                            <w:r>
                              <w:rPr>
                                <w:noProof/>
                                <w:szCs w:val="24"/>
                                <w:lang w:val="en-US" w:eastAsia="en-US"/>
                              </w:rPr>
                              <w:drawing>
                                <wp:inline distT="0" distB="0" distL="0" distR="0" wp14:anchorId="1C6814B8" wp14:editId="5FEFA6CA">
                                  <wp:extent cx="1790065" cy="542925"/>
                                  <wp:effectExtent l="0" t="0" r="635" b="9525"/>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90065" cy="542925"/>
                                          </a:xfrm>
                                          <a:prstGeom prst="rect">
                                            <a:avLst/>
                                          </a:prstGeom>
                                          <a:noFill/>
                                          <a:ln>
                                            <a:noFill/>
                                          </a:ln>
                                        </pic:spPr>
                                      </pic:pic>
                                    </a:graphicData>
                                  </a:graphic>
                                </wp:inline>
                              </w:drawing>
                            </w:r>
                          </w:p>
                        </w:txbxContent>
                      </wps:txbx>
                      <wps:bodyPr rot="0" vert="horz" wrap="non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id="Group 17" o:spid="_x0000_s1029" style="position:absolute;margin-left:-51.05pt;margin-top:-48.15pt;width:557.85pt;height:87pt;z-index:251669504" coordorigin="381,15443" coordsize="11157,1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">
              <v:group id="Group 18" o:spid="_x0000_s1030" style="position:absolute;left:8838;top:15443;width:2700;height:1237" coordorigin="8883,15458" coordsize="2700,12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type id="_x0000_t202" coordsize="21600,21600" o:spt="202" path="m,l,21600r21600,l21600,xe">
                  <v:stroke joinstyle="miter"/>
                  <v:path gradientshapeok="t" o:connecttype="rect"/>
                </v:shapetype>
                <v:shape id="Text Box 19" o:spid="_x0000_s1031" type="#_x0000_t202" style="position:absolute;left:9783;top:15458;width:769;height:6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D628QA&#10;AADbAAAADwAAAGRycy9kb3ducmV2LnhtbESPzW7CQAyE75V4h5WReisbUFtBYEGItlJvLT8PYGVN&#10;NiTrjbJbCDx9fUDiZmvGM58Xq9436kxdrAIbGI8yUMRFsBWXBg77r5cpqJiQLTaBycCVIqyWg6cF&#10;5jZceEvnXSqVhHDM0YBLqc21joUjj3EUWmLRjqHzmGTtSm07vEi4b/Qky961x4qlwWFLG0dFvfvz&#10;BqaZ/6nr2eQ3+tfb+M1tPsJnezLmediv56AS9elhvl9/W8EXevlFBt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A+tvEAAAA2wAAAA8AAAAAAAAAAAAAAAAAmAIAAGRycy9k&#10;b3ducmV2LnhtbFBLBQYAAAAABAAEAPUAAACJAwAAAAA=&#10;" filled="f" stroked="f">
                  <v:textbox style="mso-fit-shape-to-text:t">
                    <w:txbxContent>
                      <w:p w:rsidR="006608CE" w:rsidRDefault="006608CE" w:rsidP="00EA7527">
                        <w:pPr>
                          <w:spacing w:before="60"/>
                        </w:pPr>
                        <w:r>
                          <w:rPr>
                            <w:rFonts w:ascii="Tahoma" w:hAnsi="Tahoma" w:cs="Tahoma"/>
                            <w:caps/>
                            <w:noProof/>
                            <w:color w:val="999999"/>
                            <w:spacing w:val="24"/>
                            <w:lang w:val="en-US" w:eastAsia="en-US"/>
                          </w:rPr>
                          <w:drawing>
                            <wp:inline distT="0" distB="0" distL="0" distR="0" wp14:anchorId="3445A9AE" wp14:editId="6F8B38DF">
                              <wp:extent cx="304800" cy="295275"/>
                              <wp:effectExtent l="0" t="0" r="0" b="9525"/>
                              <wp:docPr id="20" name="Picture 2" descr="MOSV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SV 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04800" cy="295275"/>
                                      </a:xfrm>
                                      <a:prstGeom prst="rect">
                                        <a:avLst/>
                                      </a:prstGeom>
                                      <a:noFill/>
                                      <a:ln>
                                        <a:noFill/>
                                      </a:ln>
                                    </pic:spPr>
                                  </pic:pic>
                                </a:graphicData>
                              </a:graphic>
                            </wp:inline>
                          </w:drawing>
                        </w:r>
                      </w:p>
                    </w:txbxContent>
                  </v:textbox>
                </v:shape>
                <v:shape id="Text Box 20" o:spid="_x0000_s1032" type="#_x0000_t202" style="position:absolute;left:8883;top:15795;width:270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rsidR="006608CE" w:rsidRPr="00F87E6C" w:rsidRDefault="006608CE" w:rsidP="00EA7527">
                        <w:pPr>
                          <w:pStyle w:val="Header"/>
                          <w:spacing w:before="180"/>
                          <w:jc w:val="center"/>
                          <w:rPr>
                            <w:rFonts w:ascii="Arial" w:hAnsi="Arial" w:cs="Arial"/>
                            <w:color w:val="999999"/>
                            <w:sz w:val="18"/>
                            <w:szCs w:val="18"/>
                          </w:rPr>
                        </w:pPr>
                        <w:r w:rsidRPr="00F87E6C">
                          <w:rPr>
                            <w:rFonts w:ascii="Arial" w:hAnsi="Arial" w:cs="Arial"/>
                            <w:color w:val="999999"/>
                            <w:sz w:val="18"/>
                            <w:szCs w:val="18"/>
                          </w:rPr>
                          <w:t xml:space="preserve">Министерство </w:t>
                        </w:r>
                      </w:p>
                      <w:p w:rsidR="006608CE" w:rsidRPr="00712727" w:rsidRDefault="006608CE" w:rsidP="00EA7527">
                        <w:pPr>
                          <w:spacing w:after="40"/>
                          <w:rPr>
                            <w:lang w:val="ru-RU"/>
                          </w:rPr>
                        </w:pPr>
                        <w:r w:rsidRPr="00712727">
                          <w:rPr>
                            <w:rFonts w:ascii="Arial" w:hAnsi="Arial" w:cs="Arial"/>
                            <w:color w:val="999999"/>
                            <w:sz w:val="18"/>
                            <w:szCs w:val="18"/>
                            <w:lang w:val="ru-RU"/>
                          </w:rPr>
                          <w:t>на околната среда и водите</w:t>
                        </w:r>
                      </w:p>
                    </w:txbxContent>
                  </v:textbox>
                </v:shape>
              </v:group>
              <v:shape id="Text Box 21" o:spid="_x0000_s1033" type="#_x0000_t202" style="position:absolute;left:3300;top:15753;width:5760;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v:textbox>
                  <w:txbxContent>
                    <w:p w:rsidR="006608CE" w:rsidRDefault="006608CE" w:rsidP="001A085D">
                      <w:pPr>
                        <w:spacing w:before="60" w:after="60" w:line="264" w:lineRule="auto"/>
                        <w:jc w:val="center"/>
                        <w:rPr>
                          <w:rFonts w:ascii="Arial" w:hAnsi="Arial" w:cs="Arial"/>
                          <w:color w:val="808080"/>
                          <w:sz w:val="18"/>
                          <w:szCs w:val="18"/>
                          <w:lang w:val="ru-RU"/>
                        </w:rPr>
                      </w:pPr>
                      <w:r w:rsidRPr="002953D7">
                        <w:rPr>
                          <w:rFonts w:ascii="Arial" w:hAnsi="Arial" w:cs="Arial"/>
                          <w:color w:val="808080"/>
                          <w:sz w:val="18"/>
                          <w:szCs w:val="18"/>
                          <w:lang w:val="ru-RU"/>
                        </w:rPr>
                        <w:t xml:space="preserve">Този документ е разработен във връзка с </w:t>
                      </w:r>
                      <w:r w:rsidRPr="00B63748">
                        <w:rPr>
                          <w:rFonts w:ascii="Arial" w:hAnsi="Arial" w:cs="Arial"/>
                          <w:color w:val="808080"/>
                          <w:sz w:val="18"/>
                          <w:szCs w:val="18"/>
                        </w:rPr>
                        <w:t>оперативна</w:t>
                      </w:r>
                      <w:r w:rsidRPr="002953D7">
                        <w:rPr>
                          <w:rFonts w:ascii="Arial" w:hAnsi="Arial" w:cs="Arial"/>
                          <w:color w:val="808080"/>
                          <w:sz w:val="18"/>
                          <w:szCs w:val="18"/>
                          <w:lang w:val="ru-RU"/>
                        </w:rPr>
                        <w:t xml:space="preserve"> програма</w:t>
                      </w:r>
                    </w:p>
                    <w:p w:rsidR="006608CE" w:rsidRDefault="006608CE" w:rsidP="001A085D">
                      <w:pPr>
                        <w:spacing w:before="60" w:after="60" w:line="264" w:lineRule="auto"/>
                        <w:jc w:val="center"/>
                        <w:rPr>
                          <w:rFonts w:ascii="Arial" w:hAnsi="Arial" w:cs="Arial"/>
                          <w:color w:val="808080"/>
                          <w:sz w:val="18"/>
                          <w:szCs w:val="18"/>
                        </w:rPr>
                      </w:pPr>
                      <w:r w:rsidRPr="002953D7">
                        <w:rPr>
                          <w:rFonts w:ascii="Arial" w:hAnsi="Arial" w:cs="Arial"/>
                          <w:color w:val="808080"/>
                          <w:sz w:val="18"/>
                          <w:szCs w:val="18"/>
                          <w:lang w:val="ru-RU"/>
                        </w:rPr>
                        <w:t>“Околна среда 20</w:t>
                      </w:r>
                      <w:r>
                        <w:rPr>
                          <w:rFonts w:ascii="Arial" w:hAnsi="Arial" w:cs="Arial"/>
                          <w:color w:val="808080"/>
                          <w:sz w:val="18"/>
                          <w:szCs w:val="18"/>
                          <w:lang w:val="ru-RU"/>
                        </w:rPr>
                        <w:t xml:space="preserve">14 </w:t>
                      </w:r>
                      <w:r w:rsidRPr="002953D7">
                        <w:rPr>
                          <w:rFonts w:ascii="Arial" w:hAnsi="Arial" w:cs="Arial"/>
                          <w:color w:val="808080"/>
                          <w:sz w:val="18"/>
                          <w:szCs w:val="18"/>
                          <w:lang w:val="ru-RU"/>
                        </w:rPr>
                        <w:t>–</w:t>
                      </w:r>
                      <w:r>
                        <w:rPr>
                          <w:rFonts w:ascii="Arial" w:hAnsi="Arial" w:cs="Arial"/>
                          <w:color w:val="808080"/>
                          <w:sz w:val="18"/>
                          <w:szCs w:val="18"/>
                          <w:lang w:val="ru-RU"/>
                        </w:rPr>
                        <w:t xml:space="preserve"> </w:t>
                      </w:r>
                      <w:r w:rsidRPr="002953D7">
                        <w:rPr>
                          <w:rFonts w:ascii="Arial" w:hAnsi="Arial" w:cs="Arial"/>
                          <w:color w:val="808080"/>
                          <w:sz w:val="18"/>
                          <w:szCs w:val="18"/>
                          <w:lang w:val="ru-RU"/>
                        </w:rPr>
                        <w:t>20</w:t>
                      </w:r>
                      <w:r>
                        <w:rPr>
                          <w:rFonts w:ascii="Arial" w:hAnsi="Arial" w:cs="Arial"/>
                          <w:color w:val="808080"/>
                          <w:sz w:val="18"/>
                          <w:szCs w:val="18"/>
                          <w:lang w:val="ru-RU"/>
                        </w:rPr>
                        <w:t>20</w:t>
                      </w:r>
                      <w:r w:rsidRPr="002953D7">
                        <w:rPr>
                          <w:rFonts w:ascii="Arial" w:hAnsi="Arial" w:cs="Arial"/>
                          <w:color w:val="808080"/>
                          <w:sz w:val="18"/>
                          <w:szCs w:val="18"/>
                          <w:lang w:val="ru-RU"/>
                        </w:rPr>
                        <w:t xml:space="preserve"> г.”,</w:t>
                      </w:r>
                      <w:r w:rsidRPr="00CA7C83">
                        <w:rPr>
                          <w:rFonts w:ascii="Arial" w:hAnsi="Arial" w:cs="Arial"/>
                          <w:color w:val="808080"/>
                          <w:sz w:val="18"/>
                          <w:szCs w:val="18"/>
                          <w:lang w:val="ru-RU"/>
                        </w:rPr>
                        <w:t xml:space="preserve"> </w:t>
                      </w:r>
                      <w:r w:rsidRPr="002953D7">
                        <w:rPr>
                          <w:rFonts w:ascii="Arial" w:hAnsi="Arial" w:cs="Arial"/>
                          <w:color w:val="808080"/>
                          <w:sz w:val="18"/>
                          <w:szCs w:val="18"/>
                          <w:lang w:val="ru-RU"/>
                        </w:rPr>
                        <w:t xml:space="preserve">съ-финансирана от </w:t>
                      </w:r>
                      <w:r>
                        <w:rPr>
                          <w:rFonts w:ascii="Arial" w:hAnsi="Arial" w:cs="Arial"/>
                          <w:color w:val="808080"/>
                          <w:sz w:val="18"/>
                          <w:szCs w:val="18"/>
                        </w:rPr>
                        <w:t>Европейския</w:t>
                      </w:r>
                    </w:p>
                    <w:p w:rsidR="006608CE" w:rsidRPr="005D0E34" w:rsidRDefault="006608CE" w:rsidP="001A085D">
                      <w:pPr>
                        <w:spacing w:before="60" w:after="60" w:line="264" w:lineRule="auto"/>
                        <w:jc w:val="center"/>
                        <w:rPr>
                          <w:lang w:val="ru-RU"/>
                        </w:rPr>
                      </w:pPr>
                      <w:r>
                        <w:rPr>
                          <w:rFonts w:ascii="Arial" w:hAnsi="Arial" w:cs="Arial"/>
                          <w:color w:val="808080"/>
                          <w:sz w:val="18"/>
                          <w:szCs w:val="18"/>
                        </w:rPr>
                        <w:t>фонд за регионално развитие и Кохезионния фонд на ЕС.</w:t>
                      </w:r>
                    </w:p>
                  </w:txbxContent>
                </v:textbox>
              </v:shape>
              <v:shape id="Text Box 2" o:spid="_x0000_s1034" type="#_x0000_t202" style="position:absolute;left:381;top:15495;width:3109;height:9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dZQ8EA&#10;AADbAAAADwAAAGRycy9kb3ducmV2LnhtbERPzWrCQBC+F3yHZYTemo1SRaOriLbQWzX6AEN2mk2T&#10;nQ3ZbZL26buFgrf5+H5nux9tI3rqfOVYwSxJQRAXTldcKrhdX59WIHxA1tg4JgXf5GG/mzxsMdNu&#10;4Av1eShFDGGfoQITQptJ6QtDFn3iWuLIfbjOYoiwK6XucIjhtpHzNF1KixXHBoMtHQ0Vdf5lFaxS&#10;+17X6/nZ2+ef2cIcT+6l/VTqcToeNiACjeEu/ne/6Th/AX+/xAPk7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3WUPBAAAA2wAAAA8AAAAAAAAAAAAAAAAAmAIAAGRycy9kb3du&#10;cmV2LnhtbFBLBQYAAAAABAAEAPUAAACGAwAAAAA=&#10;" filled="f" stroked="f">
                <v:textbox style="mso-fit-shape-to-text:t">
                  <w:txbxContent>
                    <w:p w:rsidR="006608CE" w:rsidRDefault="006608CE" w:rsidP="00EA7527">
                      <w:r>
                        <w:rPr>
                          <w:noProof/>
                          <w:szCs w:val="24"/>
                          <w:lang w:val="en-US" w:eastAsia="en-US"/>
                        </w:rPr>
                        <w:drawing>
                          <wp:inline distT="0" distB="0" distL="0" distR="0" wp14:anchorId="6E597EFA" wp14:editId="7A6923FE">
                            <wp:extent cx="1790065" cy="542925"/>
                            <wp:effectExtent l="0" t="0" r="635" b="9525"/>
                            <wp:docPr id="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90065" cy="542925"/>
                                    </a:xfrm>
                                    <a:prstGeom prst="rect">
                                      <a:avLst/>
                                    </a:prstGeom>
                                    <a:noFill/>
                                    <a:ln>
                                      <a:noFill/>
                                    </a:ln>
                                  </pic:spPr>
                                </pic:pic>
                              </a:graphicData>
                            </a:graphic>
                          </wp:inline>
                        </w:drawing>
                      </w:r>
                    </w:p>
                  </w:txbxContent>
                </v:textbox>
              </v:shape>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3741" w:rsidRDefault="001F3741">
      <w:pPr>
        <w:spacing w:after="0" w:line="240" w:lineRule="auto"/>
      </w:pPr>
      <w:r>
        <w:separator/>
      </w:r>
    </w:p>
  </w:footnote>
  <w:footnote w:type="continuationSeparator" w:id="0">
    <w:p w:rsidR="001F3741" w:rsidRDefault="001F3741">
      <w:pPr>
        <w:spacing w:after="0" w:line="240" w:lineRule="auto"/>
      </w:pPr>
      <w:r>
        <w:continuationSeparator/>
      </w:r>
    </w:p>
  </w:footnote>
  <w:footnote w:id="1">
    <w:p w:rsidR="006608CE" w:rsidRPr="00FE79CE" w:rsidRDefault="006608CE" w:rsidP="00590ECB">
      <w:pPr>
        <w:pStyle w:val="FootnoteText"/>
        <w:rPr>
          <w:sz w:val="20"/>
          <w:lang w:val="en-US"/>
        </w:rPr>
      </w:pPr>
      <w:r w:rsidRPr="00FE79CE">
        <w:rPr>
          <w:rStyle w:val="FootnoteReference"/>
          <w:sz w:val="20"/>
        </w:rPr>
        <w:footnoteRef/>
      </w:r>
      <w:r w:rsidRPr="00FE79CE">
        <w:rPr>
          <w:sz w:val="20"/>
        </w:rPr>
        <w:t xml:space="preserve"> </w:t>
      </w:r>
      <w:hyperlink r:id="rId1" w:history="1">
        <w:r w:rsidRPr="004F3082">
          <w:rPr>
            <w:rStyle w:val="Hyperlink"/>
            <w:sz w:val="20"/>
          </w:rPr>
          <w:t>http://ec.europa.eu/regional_policy/sources/docoffic/2014/working/wd_2014_en.pdf</w:t>
        </w:r>
      </w:hyperlink>
      <w:r>
        <w:rPr>
          <w:sz w:val="20"/>
          <w:lang w:val="en-US"/>
        </w:rPr>
        <w:t xml:space="preserve"> </w:t>
      </w:r>
    </w:p>
  </w:footnote>
  <w:footnote w:id="2">
    <w:p w:rsidR="006608CE" w:rsidRPr="00FE79CE" w:rsidRDefault="006608CE" w:rsidP="00590ECB">
      <w:pPr>
        <w:pStyle w:val="FootnoteText"/>
        <w:rPr>
          <w:lang w:val="en-US"/>
        </w:rPr>
      </w:pPr>
      <w:r>
        <w:rPr>
          <w:rStyle w:val="FootnoteReference"/>
        </w:rPr>
        <w:footnoteRef/>
      </w:r>
      <w:r>
        <w:t xml:space="preserve"> </w:t>
      </w:r>
      <w:hyperlink r:id="rId2" w:history="1">
        <w:r w:rsidRPr="004F3082">
          <w:rPr>
            <w:rStyle w:val="Hyperlink"/>
            <w:sz w:val="20"/>
          </w:rPr>
          <w:t>http://ec.europa.eu/regional_policy/sources/docoffic/2014/working/evaluation_plan_guidance_en.pdf</w:t>
        </w:r>
      </w:hyperlink>
      <w:r>
        <w:rPr>
          <w:sz w:val="20"/>
        </w:rPr>
        <w:t xml:space="preserve"> </w:t>
      </w:r>
    </w:p>
  </w:footnote>
  <w:footnote w:id="3">
    <w:p w:rsidR="006608CE" w:rsidRDefault="006608CE">
      <w:pPr>
        <w:pStyle w:val="FootnoteText"/>
      </w:pPr>
      <w:r>
        <w:rPr>
          <w:rStyle w:val="FootnoteReference"/>
        </w:rPr>
        <w:footnoteRef/>
      </w:r>
      <w:r w:rsidRPr="009A0796">
        <w:rPr>
          <w:sz w:val="18"/>
          <w:szCs w:val="18"/>
        </w:rPr>
        <w:t>Доклад за предварителна оценка на ОПОС 2014-2020 г., ноември 2014 г.</w:t>
      </w:r>
      <w:r>
        <w:t xml:space="preserve"> </w:t>
      </w:r>
      <w:hyperlink r:id="rId3" w:anchor="1" w:history="1">
        <w:r w:rsidRPr="00C47832">
          <w:rPr>
            <w:rStyle w:val="Hyperlink"/>
            <w:sz w:val="18"/>
            <w:szCs w:val="18"/>
          </w:rPr>
          <w:t>http://ope.moew.government.bg/bg/pages/programirane-2014-2020/18#1</w:t>
        </w:r>
      </w:hyperlink>
      <w:r>
        <w:rPr>
          <w:sz w:val="18"/>
          <w:szCs w:val="18"/>
        </w:rPr>
        <w:t xml:space="preserve"> </w:t>
      </w:r>
    </w:p>
  </w:footnote>
  <w:footnote w:id="4">
    <w:p w:rsidR="006608CE" w:rsidRPr="00B9711E" w:rsidRDefault="006608CE" w:rsidP="00B9711E">
      <w:pPr>
        <w:pStyle w:val="ListBullet"/>
        <w:numPr>
          <w:ilvl w:val="0"/>
          <w:numId w:val="0"/>
        </w:numPr>
        <w:ind w:left="360"/>
        <w:rPr>
          <w:sz w:val="18"/>
          <w:szCs w:val="18"/>
        </w:rPr>
      </w:pPr>
      <w:r>
        <w:rPr>
          <w:rStyle w:val="FootnoteReference"/>
        </w:rPr>
        <w:footnoteRef/>
      </w:r>
      <w:r>
        <w:t xml:space="preserve"> </w:t>
      </w:r>
      <w:r w:rsidRPr="00B9711E">
        <w:rPr>
          <w:sz w:val="18"/>
          <w:szCs w:val="18"/>
        </w:rPr>
        <w:t>Специфичните цели и задачи на Плана за оценка на ОПОС 2014-2020 г. са съобразени</w:t>
      </w:r>
      <w:r>
        <w:rPr>
          <w:sz w:val="18"/>
          <w:szCs w:val="18"/>
        </w:rPr>
        <w:t xml:space="preserve"> </w:t>
      </w:r>
      <w:r w:rsidRPr="00B9711E">
        <w:rPr>
          <w:sz w:val="18"/>
          <w:szCs w:val="18"/>
        </w:rPr>
        <w:t>с Ръководството на ЕК за планове за оценки от февруари, 2015 г.</w:t>
      </w:r>
      <w:r>
        <w:rPr>
          <w:sz w:val="18"/>
          <w:szCs w:val="18"/>
        </w:rPr>
        <w:t xml:space="preserve">, като ги </w:t>
      </w:r>
      <w:proofErr w:type="spellStart"/>
      <w:r>
        <w:rPr>
          <w:sz w:val="18"/>
          <w:szCs w:val="18"/>
        </w:rPr>
        <w:t>надграждат</w:t>
      </w:r>
      <w:proofErr w:type="spellEnd"/>
      <w:r>
        <w:rPr>
          <w:sz w:val="18"/>
          <w:szCs w:val="18"/>
        </w:rPr>
        <w:t xml:space="preserve"> и разширяват с оглед специфичните потребности на ОПОС 2014-2020 г.</w:t>
      </w:r>
    </w:p>
    <w:p w:rsidR="006608CE" w:rsidRDefault="006608CE">
      <w:pPr>
        <w:pStyle w:val="FootnoteText"/>
      </w:pPr>
    </w:p>
  </w:footnote>
  <w:footnote w:id="5">
    <w:p w:rsidR="006608CE" w:rsidRDefault="006608CE">
      <w:pPr>
        <w:pStyle w:val="FootnoteText"/>
      </w:pPr>
      <w:r>
        <w:rPr>
          <w:rStyle w:val="FootnoteReference"/>
        </w:rPr>
        <w:footnoteRef/>
      </w:r>
      <w:r>
        <w:t xml:space="preserve"> </w:t>
      </w:r>
      <w:r w:rsidRPr="000A5940">
        <w:rPr>
          <w:sz w:val="18"/>
          <w:szCs w:val="18"/>
        </w:rPr>
        <w:t>Постоянната междуведомствена работна група за оценка на ЕСИФ 2014-2020  е създадена със Заповед №</w:t>
      </w:r>
      <w:r>
        <w:rPr>
          <w:sz w:val="18"/>
          <w:szCs w:val="18"/>
        </w:rPr>
        <w:t xml:space="preserve"> </w:t>
      </w:r>
      <w:r w:rsidRPr="000A5940">
        <w:rPr>
          <w:sz w:val="18"/>
          <w:szCs w:val="18"/>
        </w:rPr>
        <w:t>Р-111/12.05.2015 г. на заместник министър-председателя по Европейските фондове и икономическата политика, на основание чл. 11, ал. 7, от Устройствения правилник на МС и неговата администрация и във връзка с чл.1, ал.2, т.16 от Постановление № 70 на МС от 2010 г. за координация при управлението на средствата от ЕС</w:t>
      </w:r>
    </w:p>
  </w:footnote>
  <w:footnote w:id="6">
    <w:p w:rsidR="006608CE" w:rsidRDefault="006608CE">
      <w:pPr>
        <w:pStyle w:val="FootnoteText"/>
      </w:pPr>
      <w:r>
        <w:rPr>
          <w:rStyle w:val="FootnoteReference"/>
        </w:rPr>
        <w:footnoteRef/>
      </w:r>
      <w:r>
        <w:t xml:space="preserve"> </w:t>
      </w:r>
      <w:r w:rsidRPr="00BB2043">
        <w:rPr>
          <w:rFonts w:cs="Times New Roman"/>
          <w:sz w:val="18"/>
          <w:szCs w:val="18"/>
          <w:lang w:val="ru-RU"/>
        </w:rPr>
        <w:t>В</w:t>
      </w:r>
      <w:r>
        <w:rPr>
          <w:rFonts w:cs="Times New Roman"/>
          <w:sz w:val="18"/>
          <w:szCs w:val="18"/>
          <w:lang w:val="ru-RU"/>
        </w:rPr>
        <w:t xml:space="preserve"> периода март – април 2014 г. е</w:t>
      </w:r>
      <w:r w:rsidRPr="00BB2043">
        <w:rPr>
          <w:rFonts w:cs="Times New Roman"/>
          <w:sz w:val="18"/>
          <w:szCs w:val="18"/>
          <w:lang w:val="ru-RU"/>
        </w:rPr>
        <w:t xml:space="preserve"> извършено преструктуриране на дирекции „Кохезионна политика з</w:t>
      </w:r>
      <w:r>
        <w:rPr>
          <w:rFonts w:cs="Times New Roman"/>
          <w:sz w:val="18"/>
          <w:szCs w:val="18"/>
          <w:lang w:val="ru-RU"/>
        </w:rPr>
        <w:t>а околна среда“ (определена за У</w:t>
      </w:r>
      <w:r w:rsidRPr="00BB2043">
        <w:rPr>
          <w:rFonts w:cs="Times New Roman"/>
          <w:sz w:val="18"/>
          <w:szCs w:val="18"/>
          <w:lang w:val="ru-RU"/>
        </w:rPr>
        <w:t>правляващ орган на ОПОС 2007-2013 г.</w:t>
      </w:r>
      <w:r>
        <w:rPr>
          <w:rFonts w:cs="Times New Roman"/>
          <w:sz w:val="18"/>
          <w:szCs w:val="18"/>
          <w:lang w:val="ru-RU"/>
        </w:rPr>
        <w:t xml:space="preserve"> и Управляващ орган на ОПОС 2014-2020 г.</w:t>
      </w:r>
      <w:r w:rsidRPr="00BB2043">
        <w:rPr>
          <w:rFonts w:cs="Times New Roman"/>
          <w:sz w:val="18"/>
          <w:szCs w:val="18"/>
          <w:lang w:val="ru-RU"/>
        </w:rPr>
        <w:t>) и „Фондове на Евро</w:t>
      </w:r>
      <w:r>
        <w:rPr>
          <w:rFonts w:cs="Times New Roman"/>
          <w:sz w:val="18"/>
          <w:szCs w:val="18"/>
          <w:lang w:val="ru-RU"/>
        </w:rPr>
        <w:t>пейския съюз за околна среда“ (М</w:t>
      </w:r>
      <w:r w:rsidRPr="00BB2043">
        <w:rPr>
          <w:rFonts w:cs="Times New Roman"/>
          <w:sz w:val="18"/>
          <w:szCs w:val="18"/>
          <w:lang w:val="ru-RU"/>
        </w:rPr>
        <w:t xml:space="preserve">еждинно звено за ОПОС 2007-2013 г.). Считано от 25.03.2014 г. функциите на </w:t>
      </w:r>
      <w:r>
        <w:rPr>
          <w:rFonts w:cs="Times New Roman"/>
          <w:sz w:val="18"/>
          <w:szCs w:val="18"/>
          <w:lang w:val="ru-RU"/>
        </w:rPr>
        <w:t>У</w:t>
      </w:r>
      <w:r w:rsidRPr="00BB2043">
        <w:rPr>
          <w:rFonts w:cs="Times New Roman"/>
          <w:sz w:val="18"/>
          <w:szCs w:val="18"/>
          <w:lang w:val="ru-RU"/>
        </w:rPr>
        <w:t>правляващ орган на ОПОС 2007-2013 г. и на ОПОС 2014-2020 г. се изпълняват от ГД ОПОС, като делегиране на задачи на междинно звено не е предвидено.</w:t>
      </w:r>
    </w:p>
  </w:footnote>
  <w:footnote w:id="7">
    <w:p w:rsidR="006608CE" w:rsidRDefault="006608CE">
      <w:pPr>
        <w:pStyle w:val="FootnoteText"/>
      </w:pPr>
      <w:r>
        <w:rPr>
          <w:rStyle w:val="FootnoteReference"/>
        </w:rPr>
        <w:footnoteRef/>
      </w:r>
      <w:r>
        <w:rPr>
          <w:sz w:val="18"/>
          <w:szCs w:val="18"/>
        </w:rPr>
        <w:t xml:space="preserve">Устройствен правилник на МОСВ: </w:t>
      </w:r>
      <w:hyperlink r:id="rId4" w:history="1">
        <w:r w:rsidRPr="000F5BF4">
          <w:rPr>
            <w:rStyle w:val="Hyperlink"/>
            <w:sz w:val="18"/>
            <w:szCs w:val="18"/>
          </w:rPr>
          <w:t>http://www3.moew.government.bg/files/file/PNOOP/USTROJSTVEN_PRAVILNIK_na_Ministerstvoto_na_okolnata_sreda_i_vodite.pdf</w:t>
        </w:r>
      </w:hyperlink>
      <w:r>
        <w:t xml:space="preserve"> </w:t>
      </w:r>
    </w:p>
  </w:footnote>
  <w:footnote w:id="8">
    <w:p w:rsidR="006608CE" w:rsidRDefault="006608CE">
      <w:pPr>
        <w:pStyle w:val="FootnoteText"/>
      </w:pPr>
      <w:r>
        <w:rPr>
          <w:rStyle w:val="FootnoteReference"/>
        </w:rPr>
        <w:footnoteRef/>
      </w:r>
      <w:r>
        <w:t xml:space="preserve"> </w:t>
      </w:r>
      <w:r w:rsidRPr="002A2348">
        <w:rPr>
          <w:sz w:val="18"/>
          <w:szCs w:val="18"/>
        </w:rPr>
        <w:t xml:space="preserve">Административен регистър: </w:t>
      </w:r>
      <w:hyperlink r:id="rId5" w:history="1">
        <w:r w:rsidRPr="00C47832">
          <w:rPr>
            <w:rStyle w:val="Hyperlink"/>
            <w:sz w:val="18"/>
            <w:szCs w:val="18"/>
          </w:rPr>
          <w:t>http://ar2.government.bg/ras/index.html</w:t>
        </w:r>
      </w:hyperlink>
      <w:r>
        <w:rPr>
          <w:sz w:val="18"/>
          <w:szCs w:val="18"/>
        </w:rPr>
        <w:t xml:space="preserve"> </w:t>
      </w:r>
    </w:p>
  </w:footnote>
  <w:footnote w:id="9">
    <w:p w:rsidR="006608CE" w:rsidRDefault="006608CE">
      <w:pPr>
        <w:pStyle w:val="FootnoteText"/>
      </w:pPr>
      <w:r>
        <w:rPr>
          <w:rStyle w:val="FootnoteReference"/>
        </w:rPr>
        <w:footnoteRef/>
      </w:r>
      <w:r>
        <w:t xml:space="preserve"> </w:t>
      </w:r>
      <w:r w:rsidRPr="00970A3B">
        <w:rPr>
          <w:sz w:val="20"/>
        </w:rPr>
        <w:t>За начало на времевия обхват на планираните оценки УО приема датата на официалното одобрение на ОПОС 2014-2020 г. от ЕК – 15.06.2015 г.</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8CE" w:rsidRDefault="006608CE" w:rsidP="00D07962">
    <w:pPr>
      <w:pStyle w:val="Header"/>
      <w:tabs>
        <w:tab w:val="clear" w:pos="9360"/>
        <w:tab w:val="right" w:pos="8931"/>
      </w:tabs>
      <w:ind w:right="330"/>
    </w:pPr>
    <w:r>
      <w:rPr>
        <w:noProof/>
        <w:lang w:val="en-US" w:eastAsia="en-US"/>
      </w:rPr>
      <mc:AlternateContent>
        <mc:Choice Requires="wps">
          <w:drawing>
            <wp:anchor distT="0" distB="0" distL="114300" distR="114300" simplePos="0" relativeHeight="251660288" behindDoc="0" locked="0" layoutInCell="0" allowOverlap="1" wp14:anchorId="17221652" wp14:editId="11BF03F6">
              <wp:simplePos x="0" y="0"/>
              <wp:positionH relativeFrom="margin">
                <wp:posOffset>215265</wp:posOffset>
              </wp:positionH>
              <wp:positionV relativeFrom="topMargin">
                <wp:posOffset>377825</wp:posOffset>
              </wp:positionV>
              <wp:extent cx="6005195" cy="262255"/>
              <wp:effectExtent l="0" t="0" r="0" b="0"/>
              <wp:wrapNone/>
              <wp:docPr id="17"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5195" cy="262255"/>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CE" w:rsidRPr="00D07962" w:rsidRDefault="00F3248D">
                          <w:pPr>
                            <w:spacing w:after="0" w:line="240" w:lineRule="auto"/>
                            <w:jc w:val="right"/>
                            <w:rPr>
                              <w:sz w:val="20"/>
                            </w:rPr>
                          </w:pPr>
                          <w:r>
                            <w:rPr>
                              <w:sz w:val="20"/>
                            </w:rPr>
                            <w:t>П</w:t>
                          </w:r>
                          <w:r w:rsidR="006608CE" w:rsidRPr="00D07962">
                            <w:rPr>
                              <w:sz w:val="20"/>
                            </w:rPr>
                            <w:t xml:space="preserve">лан за оценка на </w:t>
                          </w:r>
                          <w:r w:rsidR="006608CE">
                            <w:rPr>
                              <w:sz w:val="20"/>
                            </w:rPr>
                            <w:t>о</w:t>
                          </w:r>
                          <w:r w:rsidR="006608CE" w:rsidRPr="00D07962">
                            <w:rPr>
                              <w:sz w:val="20"/>
                            </w:rPr>
                            <w:t>перативна програма „Околна среда 2014-2020 г.“</w:t>
                          </w: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75" o:spid="_x0000_s1027" type="#_x0000_t202" style="position:absolute;margin-left:16.95pt;margin-top:29.75pt;width:472.85pt;height:20.6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" o:allowincell="f" filled="f" stroked="f">
              <v:textbox inset=",0,,0">
                <w:txbxContent>
                  <w:p w:rsidR="006608CE" w:rsidRPr="00D07962" w:rsidRDefault="00F3248D">
                    <w:pPr>
                      <w:spacing w:after="0" w:line="240" w:lineRule="auto"/>
                      <w:jc w:val="right"/>
                      <w:rPr>
                        <w:sz w:val="20"/>
                      </w:rPr>
                    </w:pPr>
                    <w:r>
                      <w:rPr>
                        <w:sz w:val="20"/>
                      </w:rPr>
                      <w:t>П</w:t>
                    </w:r>
                    <w:r w:rsidR="006608CE" w:rsidRPr="00D07962">
                      <w:rPr>
                        <w:sz w:val="20"/>
                      </w:rPr>
                      <w:t xml:space="preserve">лан за оценка на </w:t>
                    </w:r>
                    <w:r w:rsidR="006608CE">
                      <w:rPr>
                        <w:sz w:val="20"/>
                      </w:rPr>
                      <w:t>о</w:t>
                    </w:r>
                    <w:r w:rsidR="006608CE" w:rsidRPr="00D07962">
                      <w:rPr>
                        <w:sz w:val="20"/>
                      </w:rPr>
                      <w:t>перативна програма „Околна среда 2014-2020 г.“</w:t>
                    </w:r>
                  </w:p>
                </w:txbxContent>
              </v:textbox>
              <w10:wrap anchorx="margin" anchory="margin"/>
            </v:shape>
          </w:pict>
        </mc:Fallback>
      </mc:AlternateContent>
    </w:r>
    <w:r>
      <w:rPr>
        <w:noProof/>
        <w:lang w:val="en-US" w:eastAsia="en-US"/>
      </w:rPr>
      <mc:AlternateContent>
        <mc:Choice Requires="wps">
          <w:drawing>
            <wp:anchor distT="0" distB="0" distL="114300" distR="114300" simplePos="0" relativeHeight="251659264" behindDoc="0" locked="0" layoutInCell="0" allowOverlap="1" wp14:anchorId="6807A25F" wp14:editId="07ED0496">
              <wp:simplePos x="0" y="0"/>
              <wp:positionH relativeFrom="page">
                <wp:posOffset>9239885</wp:posOffset>
              </wp:positionH>
              <wp:positionV relativeFrom="topMargin">
                <wp:posOffset>377825</wp:posOffset>
              </wp:positionV>
              <wp:extent cx="822325" cy="262255"/>
              <wp:effectExtent l="0" t="0" r="0" b="4445"/>
              <wp:wrapNone/>
              <wp:docPr id="1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325" cy="262255"/>
                      </a:xfrm>
                      <a:prstGeom prst="rect">
                        <a:avLst/>
                      </a:prstGeom>
                      <a:solidFill>
                        <a:schemeClr val="accent1"/>
                      </a:solidFill>
                      <a:extLst/>
                    </wps:spPr>
                    <wps:txbx>
                      <w:txbxContent>
                        <w:p w:rsidR="006608CE" w:rsidRDefault="006608CE" w:rsidP="00D07962">
                          <w:pPr>
                            <w:spacing w:after="0" w:line="240" w:lineRule="auto"/>
                            <w:ind w:left="284" w:right="-452"/>
                            <w:rPr>
                              <w:color w:val="FFFFFF" w:themeColor="background1"/>
                            </w:rPr>
                          </w:pPr>
                        </w:p>
                      </w:txbxContent>
                    </wps:txbx>
                    <wps:bodyPr rot="0" vert="horz" wrap="square" lIns="91440" tIns="0" rIns="91440" bIns="0" anchor="ctr" anchorCtr="0" upright="1">
                      <a:spAutoFit/>
                    </wps:bodyPr>
                  </wps:wsp>
                </a:graphicData>
              </a:graphic>
              <wp14:sizeRelH relativeFrom="rightMargin">
                <wp14:pctWidth>0</wp14:pctWidth>
              </wp14:sizeRelH>
              <wp14:sizeRelV relativeFrom="page">
                <wp14:pctHeight>0</wp14:pctHeight>
              </wp14:sizeRelV>
            </wp:anchor>
          </w:drawing>
        </mc:Choice>
        <mc:Fallback>
          <w:pict>
            <v:shape id="Text Box 476" o:spid="_x0000_s1028" type="#_x0000_t202" style="position:absolute;margin-left:727.55pt;margin-top:29.75pt;width:64.75pt;height:20.6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" o:allowincell="f" fillcolor="#98c723 [3204]" stroked="f">
              <v:textbox style="mso-fit-shape-to-text:t" inset=",0,,0">
                <w:txbxContent>
                  <w:p w:rsidR="006608CE" w:rsidRDefault="006608CE" w:rsidP="00D07962">
                    <w:pPr>
                      <w:spacing w:after="0" w:line="240" w:lineRule="auto"/>
                      <w:ind w:left="284" w:right="-452"/>
                      <w:rPr>
                        <w:color w:val="FFFFFF" w:themeColor="background1"/>
                      </w:rPr>
                    </w:pPr>
                  </w:p>
                </w:txbxContent>
              </v:textbox>
              <w10:wrap anchorx="page" anchory="margin"/>
            </v:shape>
          </w:pict>
        </mc:Fallback>
      </mc:AlternateContent>
    </w:r>
  </w:p>
  <w:p w:rsidR="006608CE" w:rsidRDefault="006608CE">
    <w:pPr>
      <w:pStyle w:val="Header"/>
    </w:pPr>
  </w:p>
  <w:p w:rsidR="006608CE" w:rsidRDefault="006608C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2" w:rightFromText="142" w:topFromText="573" w:vertAnchor="page" w:horzAnchor="margin" w:tblpXSpec="center" w:tblpY="879"/>
      <w:tblOverlap w:val="never"/>
      <w:tblW w:w="10545" w:type="dxa"/>
      <w:tblLayout w:type="fixed"/>
      <w:tblLook w:val="01E0" w:firstRow="1" w:lastRow="1" w:firstColumn="1" w:lastColumn="1" w:noHBand="0" w:noVBand="0"/>
    </w:tblPr>
    <w:tblGrid>
      <w:gridCol w:w="2268"/>
      <w:gridCol w:w="5758"/>
      <w:gridCol w:w="2519"/>
    </w:tblGrid>
    <w:tr w:rsidR="006608CE" w:rsidRPr="004B21B2" w:rsidTr="004B21B2">
      <w:trPr>
        <w:trHeight w:val="1610"/>
      </w:trPr>
      <w:tc>
        <w:tcPr>
          <w:tcW w:w="2268" w:type="dxa"/>
          <w:tcBorders>
            <w:top w:val="nil"/>
            <w:left w:val="nil"/>
            <w:bottom w:val="double" w:sz="4" w:space="0" w:color="99CC00"/>
            <w:right w:val="nil"/>
          </w:tcBorders>
          <w:hideMark/>
        </w:tcPr>
        <w:p w:rsidR="006608CE" w:rsidRPr="004B21B2" w:rsidRDefault="006608CE" w:rsidP="004B21B2">
          <w:pPr>
            <w:tabs>
              <w:tab w:val="center" w:pos="4536"/>
              <w:tab w:val="right" w:pos="9072"/>
            </w:tabs>
            <w:spacing w:before="60" w:after="0" w:line="240" w:lineRule="auto"/>
            <w:jc w:val="center"/>
            <w:rPr>
              <w:rFonts w:ascii="Times New Roman" w:eastAsia="Times New Roman" w:hAnsi="Times New Roman" w:cs="Times New Roman"/>
              <w:color w:val="auto"/>
              <w:kern w:val="0"/>
              <w:sz w:val="20"/>
              <w:lang w:eastAsia="fr-FR"/>
            </w:rPr>
          </w:pPr>
          <w:r w:rsidRPr="004B21B2">
            <w:rPr>
              <w:rFonts w:ascii="Times New Roman" w:eastAsia="Times New Roman" w:hAnsi="Times New Roman" w:cs="Times New Roman"/>
              <w:noProof/>
              <w:color w:val="auto"/>
              <w:kern w:val="0"/>
              <w:sz w:val="20"/>
              <w:lang w:val="en-US" w:eastAsia="en-US"/>
            </w:rPr>
            <w:drawing>
              <wp:inline distT="0" distB="0" distL="0" distR="0" wp14:anchorId="2AD59B73" wp14:editId="5FB96404">
                <wp:extent cx="1353820" cy="1072515"/>
                <wp:effectExtent l="0" t="0" r="0" b="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3820" cy="1072515"/>
                        </a:xfrm>
                        <a:prstGeom prst="rect">
                          <a:avLst/>
                        </a:prstGeom>
                        <a:noFill/>
                        <a:ln>
                          <a:noFill/>
                        </a:ln>
                      </pic:spPr>
                    </pic:pic>
                  </a:graphicData>
                </a:graphic>
              </wp:inline>
            </w:drawing>
          </w:r>
        </w:p>
        <w:p w:rsidR="006608CE" w:rsidRPr="004B21B2" w:rsidRDefault="006608CE" w:rsidP="004B21B2">
          <w:pPr>
            <w:tabs>
              <w:tab w:val="center" w:pos="4536"/>
              <w:tab w:val="right" w:pos="9072"/>
            </w:tabs>
            <w:spacing w:before="0" w:after="40" w:line="240" w:lineRule="auto"/>
            <w:jc w:val="center"/>
            <w:rPr>
              <w:rFonts w:ascii="Times New Roman" w:eastAsia="Times New Roman" w:hAnsi="Times New Roman" w:cs="Times New Roman"/>
              <w:color w:val="auto"/>
              <w:kern w:val="0"/>
              <w:sz w:val="20"/>
              <w:lang w:val="ru-RU" w:eastAsia="fr-FR"/>
            </w:rPr>
          </w:pPr>
          <w:r w:rsidRPr="004B21B2">
            <w:rPr>
              <w:rFonts w:ascii="Arial" w:eastAsia="Times New Roman" w:hAnsi="Arial" w:cs="Arial"/>
              <w:color w:val="F8C300"/>
              <w:kern w:val="0"/>
              <w:sz w:val="20"/>
              <w:lang w:val="ru-RU" w:eastAsia="fr-FR"/>
            </w:rPr>
            <w:t xml:space="preserve"> </w:t>
          </w:r>
        </w:p>
      </w:tc>
      <w:tc>
        <w:tcPr>
          <w:tcW w:w="5760" w:type="dxa"/>
          <w:tcBorders>
            <w:top w:val="nil"/>
            <w:left w:val="nil"/>
            <w:bottom w:val="double" w:sz="4" w:space="0" w:color="99CC00"/>
            <w:right w:val="nil"/>
          </w:tcBorders>
          <w:vAlign w:val="center"/>
          <w:hideMark/>
        </w:tcPr>
        <w:p w:rsidR="006608CE" w:rsidRPr="004B21B2" w:rsidRDefault="006608CE" w:rsidP="004B21B2">
          <w:pPr>
            <w:tabs>
              <w:tab w:val="center" w:pos="4536"/>
              <w:tab w:val="right" w:pos="9072"/>
            </w:tabs>
            <w:spacing w:before="0" w:after="0" w:line="240" w:lineRule="auto"/>
            <w:jc w:val="center"/>
            <w:rPr>
              <w:rFonts w:ascii="Arial Narrow" w:eastAsia="Times New Roman" w:hAnsi="Arial Narrow" w:cs="Tahoma"/>
              <w:b/>
              <w:noProof/>
              <w:color w:val="808080"/>
              <w:spacing w:val="80"/>
              <w:kern w:val="0"/>
              <w:szCs w:val="24"/>
              <w:lang w:eastAsia="bg-BG"/>
            </w:rPr>
          </w:pPr>
          <w:r w:rsidRPr="004B21B2">
            <w:rPr>
              <w:rFonts w:ascii="Arial Narrow" w:eastAsia="Times New Roman" w:hAnsi="Arial Narrow" w:cs="Tahoma"/>
              <w:b/>
              <w:noProof/>
              <w:color w:val="808080"/>
              <w:spacing w:val="80"/>
              <w:kern w:val="0"/>
              <w:szCs w:val="24"/>
              <w:lang w:eastAsia="bg-BG"/>
            </w:rPr>
            <w:t>ОПЕРАТИВНА ПРОГРАМА</w:t>
          </w:r>
        </w:p>
        <w:p w:rsidR="006608CE" w:rsidRPr="004B21B2" w:rsidRDefault="006608CE" w:rsidP="004B21B2">
          <w:pPr>
            <w:tabs>
              <w:tab w:val="center" w:pos="4536"/>
              <w:tab w:val="right" w:pos="9072"/>
            </w:tabs>
            <w:spacing w:before="0" w:after="0" w:line="240" w:lineRule="auto"/>
            <w:jc w:val="center"/>
            <w:rPr>
              <w:rFonts w:ascii="Arial Narrow" w:eastAsia="Times New Roman" w:hAnsi="Arial Narrow" w:cs="Tahoma"/>
              <w:b/>
              <w:noProof/>
              <w:color w:val="808080"/>
              <w:spacing w:val="80"/>
              <w:kern w:val="0"/>
              <w:szCs w:val="24"/>
              <w:lang w:eastAsia="bg-BG"/>
            </w:rPr>
          </w:pPr>
          <w:r w:rsidRPr="004B21B2">
            <w:rPr>
              <w:rFonts w:ascii="Arial Narrow" w:eastAsia="Times New Roman" w:hAnsi="Arial Narrow" w:cs="Tahoma"/>
              <w:b/>
              <w:noProof/>
              <w:color w:val="808080"/>
              <w:spacing w:val="80"/>
              <w:kern w:val="0"/>
              <w:szCs w:val="24"/>
              <w:lang w:eastAsia="bg-BG"/>
            </w:rPr>
            <w:t>“ОКОЛНА СРЕДА 20</w:t>
          </w:r>
          <w:r w:rsidRPr="00A735AD">
            <w:rPr>
              <w:rFonts w:ascii="Arial Narrow" w:eastAsia="Times New Roman" w:hAnsi="Arial Narrow" w:cs="Tahoma"/>
              <w:b/>
              <w:noProof/>
              <w:color w:val="808080"/>
              <w:spacing w:val="80"/>
              <w:kern w:val="0"/>
              <w:szCs w:val="24"/>
              <w:lang w:val="ru-RU" w:eastAsia="bg-BG"/>
            </w:rPr>
            <w:t>14</w:t>
          </w:r>
          <w:r w:rsidRPr="004B21B2">
            <w:rPr>
              <w:rFonts w:ascii="Arial Narrow" w:eastAsia="Times New Roman" w:hAnsi="Arial Narrow" w:cs="Tahoma"/>
              <w:b/>
              <w:noProof/>
              <w:color w:val="808080"/>
              <w:spacing w:val="80"/>
              <w:kern w:val="0"/>
              <w:szCs w:val="24"/>
              <w:lang w:eastAsia="bg-BG"/>
            </w:rPr>
            <w:t xml:space="preserve"> – 20</w:t>
          </w:r>
          <w:r w:rsidRPr="00A735AD">
            <w:rPr>
              <w:rFonts w:ascii="Arial Narrow" w:eastAsia="Times New Roman" w:hAnsi="Arial Narrow" w:cs="Tahoma"/>
              <w:b/>
              <w:noProof/>
              <w:color w:val="808080"/>
              <w:spacing w:val="80"/>
              <w:kern w:val="0"/>
              <w:szCs w:val="24"/>
              <w:lang w:val="ru-RU" w:eastAsia="bg-BG"/>
            </w:rPr>
            <w:t>20</w:t>
          </w:r>
          <w:r w:rsidRPr="004B21B2">
            <w:rPr>
              <w:rFonts w:ascii="Arial Narrow" w:eastAsia="Times New Roman" w:hAnsi="Arial Narrow" w:cs="Tahoma"/>
              <w:b/>
              <w:noProof/>
              <w:color w:val="808080"/>
              <w:spacing w:val="80"/>
              <w:kern w:val="0"/>
              <w:szCs w:val="24"/>
              <w:lang w:eastAsia="bg-BG"/>
            </w:rPr>
            <w:t xml:space="preserve"> г.”</w:t>
          </w:r>
        </w:p>
      </w:tc>
      <w:tc>
        <w:tcPr>
          <w:tcW w:w="2520" w:type="dxa"/>
          <w:tcBorders>
            <w:top w:val="nil"/>
            <w:left w:val="nil"/>
            <w:bottom w:val="double" w:sz="4" w:space="0" w:color="99CC00"/>
            <w:right w:val="nil"/>
          </w:tcBorders>
          <w:hideMark/>
        </w:tcPr>
        <w:p w:rsidR="006608CE" w:rsidRPr="004B21B2" w:rsidRDefault="006608CE" w:rsidP="004B21B2">
          <w:pPr>
            <w:tabs>
              <w:tab w:val="center" w:pos="4536"/>
              <w:tab w:val="right" w:pos="9072"/>
            </w:tabs>
            <w:spacing w:before="0" w:after="30" w:line="240" w:lineRule="auto"/>
            <w:jc w:val="center"/>
            <w:rPr>
              <w:rFonts w:ascii="Arial" w:eastAsia="Times New Roman" w:hAnsi="Arial" w:cs="Arial"/>
              <w:color w:val="auto"/>
              <w:kern w:val="0"/>
              <w:sz w:val="20"/>
              <w:lang w:eastAsia="fr-FR"/>
            </w:rPr>
          </w:pPr>
          <w:r w:rsidRPr="004B21B2">
            <w:rPr>
              <w:rFonts w:ascii="Arial" w:eastAsia="Times New Roman" w:hAnsi="Arial" w:cs="Arial"/>
              <w:noProof/>
              <w:color w:val="auto"/>
              <w:kern w:val="0"/>
              <w:sz w:val="20"/>
              <w:lang w:val="en-US" w:eastAsia="en-US"/>
            </w:rPr>
            <w:drawing>
              <wp:inline distT="0" distB="0" distL="0" distR="0" wp14:anchorId="663ED41A" wp14:editId="135BE3CE">
                <wp:extent cx="580390" cy="38671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80390" cy="386715"/>
                        </a:xfrm>
                        <a:prstGeom prst="rect">
                          <a:avLst/>
                        </a:prstGeom>
                        <a:noFill/>
                        <a:ln>
                          <a:noFill/>
                        </a:ln>
                      </pic:spPr>
                    </pic:pic>
                  </a:graphicData>
                </a:graphic>
              </wp:inline>
            </w:drawing>
          </w:r>
        </w:p>
        <w:p w:rsidR="006608CE" w:rsidRPr="004B21B2" w:rsidRDefault="006608CE" w:rsidP="004B21B2">
          <w:pPr>
            <w:spacing w:before="0" w:after="0" w:line="240" w:lineRule="auto"/>
            <w:jc w:val="center"/>
            <w:rPr>
              <w:rFonts w:ascii="Arial" w:eastAsia="Times New Roman" w:hAnsi="Arial" w:cs="Arial"/>
              <w:color w:val="808080"/>
              <w:kern w:val="0"/>
              <w:sz w:val="20"/>
              <w:lang w:eastAsia="fr-FR"/>
            </w:rPr>
          </w:pPr>
          <w:r w:rsidRPr="004B21B2">
            <w:rPr>
              <w:rFonts w:ascii="Arial" w:eastAsia="Times New Roman" w:hAnsi="Arial" w:cs="Arial"/>
              <w:color w:val="808080"/>
              <w:kern w:val="0"/>
              <w:sz w:val="20"/>
              <w:lang w:eastAsia="fr-FR"/>
            </w:rPr>
            <w:t>Европейски съюз</w:t>
          </w:r>
        </w:p>
        <w:p w:rsidR="006608CE" w:rsidRPr="004B21B2" w:rsidRDefault="006608CE" w:rsidP="004B21B2">
          <w:pPr>
            <w:spacing w:before="0" w:after="0" w:line="240" w:lineRule="auto"/>
            <w:jc w:val="center"/>
            <w:rPr>
              <w:rFonts w:ascii="Arial Narrow" w:eastAsia="Times New Roman" w:hAnsi="Arial Narrow" w:cs="Tahoma"/>
              <w:b/>
              <w:noProof/>
              <w:color w:val="808080"/>
              <w:spacing w:val="80"/>
              <w:kern w:val="0"/>
              <w:szCs w:val="24"/>
              <w:lang w:eastAsia="bg-BG"/>
            </w:rPr>
          </w:pPr>
          <w:r w:rsidRPr="004B21B2">
            <w:rPr>
              <w:rFonts w:ascii="Arial" w:eastAsia="Times New Roman" w:hAnsi="Arial" w:cs="Arial"/>
              <w:color w:val="808080"/>
              <w:kern w:val="0"/>
              <w:sz w:val="20"/>
              <w:lang w:eastAsia="fr-FR"/>
            </w:rPr>
            <w:t>Европейски структурни и инвестиционни фондове</w:t>
          </w:r>
        </w:p>
      </w:tc>
    </w:tr>
    <w:tr w:rsidR="006608CE" w:rsidRPr="004B21B2" w:rsidTr="004B21B2">
      <w:trPr>
        <w:trHeight w:val="528"/>
      </w:trPr>
      <w:tc>
        <w:tcPr>
          <w:tcW w:w="10548" w:type="dxa"/>
          <w:gridSpan w:val="3"/>
          <w:tcBorders>
            <w:top w:val="double" w:sz="4" w:space="0" w:color="99CC00"/>
            <w:left w:val="nil"/>
            <w:bottom w:val="nil"/>
            <w:right w:val="nil"/>
          </w:tcBorders>
          <w:hideMark/>
        </w:tcPr>
        <w:p w:rsidR="006608CE" w:rsidRPr="004B21B2" w:rsidRDefault="006608CE" w:rsidP="004B21B2">
          <w:pPr>
            <w:tabs>
              <w:tab w:val="center" w:pos="4536"/>
              <w:tab w:val="right" w:pos="9072"/>
            </w:tabs>
            <w:spacing w:after="0" w:line="240" w:lineRule="auto"/>
            <w:jc w:val="right"/>
            <w:rPr>
              <w:rFonts w:ascii="Arial Narrow" w:eastAsia="Times New Roman" w:hAnsi="Arial Narrow" w:cs="Tahoma"/>
              <w:noProof/>
              <w:color w:val="808080"/>
              <w:spacing w:val="24"/>
              <w:kern w:val="0"/>
              <w:sz w:val="20"/>
              <w:lang w:eastAsia="bg-BG"/>
            </w:rPr>
          </w:pPr>
          <w:r w:rsidRPr="004B21B2">
            <w:rPr>
              <w:rFonts w:ascii="Arial Narrow" w:eastAsia="Times New Roman" w:hAnsi="Arial Narrow" w:cs="Tahoma"/>
              <w:noProof/>
              <w:color w:val="808080"/>
              <w:spacing w:val="24"/>
              <w:kern w:val="0"/>
              <w:sz w:val="20"/>
              <w:lang w:eastAsia="bg-BG"/>
            </w:rPr>
            <w:t>Главна дирекция “Оперативна програма околна среда”</w:t>
          </w:r>
        </w:p>
        <w:p w:rsidR="006608CE" w:rsidRPr="004B21B2" w:rsidRDefault="006608CE" w:rsidP="004B21B2">
          <w:pPr>
            <w:tabs>
              <w:tab w:val="center" w:pos="4536"/>
              <w:tab w:val="right" w:pos="9072"/>
            </w:tabs>
            <w:spacing w:before="0" w:after="0" w:line="240" w:lineRule="auto"/>
            <w:jc w:val="right"/>
            <w:rPr>
              <w:rFonts w:ascii="Times New Roman" w:eastAsia="Times New Roman" w:hAnsi="Times New Roman" w:cs="Times New Roman"/>
              <w:noProof/>
              <w:color w:val="auto"/>
              <w:kern w:val="0"/>
              <w:sz w:val="20"/>
              <w:lang w:eastAsia="bg-BG"/>
            </w:rPr>
          </w:pPr>
          <w:r w:rsidRPr="004B21B2">
            <w:rPr>
              <w:rFonts w:ascii="Arial Narrow" w:eastAsia="Times New Roman" w:hAnsi="Arial Narrow" w:cs="Tahoma"/>
              <w:noProof/>
              <w:color w:val="808080"/>
              <w:spacing w:val="24"/>
              <w:kern w:val="0"/>
              <w:sz w:val="20"/>
              <w:lang w:val="en-US" w:eastAsia="bg-BG"/>
            </w:rPr>
            <w:t>ope</w:t>
          </w:r>
          <w:r w:rsidRPr="004B21B2">
            <w:rPr>
              <w:rFonts w:ascii="Arial Narrow" w:eastAsia="Times New Roman" w:hAnsi="Arial Narrow" w:cs="Tahoma"/>
              <w:noProof/>
              <w:color w:val="808080"/>
              <w:spacing w:val="24"/>
              <w:kern w:val="0"/>
              <w:sz w:val="20"/>
              <w:lang w:val="ru-RU" w:eastAsia="bg-BG"/>
            </w:rPr>
            <w:t>@</w:t>
          </w:r>
          <w:r w:rsidRPr="004B21B2">
            <w:rPr>
              <w:rFonts w:ascii="Arial Narrow" w:eastAsia="Times New Roman" w:hAnsi="Arial Narrow" w:cs="Tahoma"/>
              <w:noProof/>
              <w:color w:val="808080"/>
              <w:spacing w:val="24"/>
              <w:kern w:val="0"/>
              <w:sz w:val="20"/>
              <w:lang w:val="en-US" w:eastAsia="bg-BG"/>
            </w:rPr>
            <w:t>moew</w:t>
          </w:r>
          <w:r w:rsidRPr="004B21B2">
            <w:rPr>
              <w:rFonts w:ascii="Arial Narrow" w:eastAsia="Times New Roman" w:hAnsi="Arial Narrow" w:cs="Tahoma"/>
              <w:noProof/>
              <w:color w:val="808080"/>
              <w:spacing w:val="24"/>
              <w:kern w:val="0"/>
              <w:sz w:val="20"/>
              <w:lang w:val="ru-RU" w:eastAsia="bg-BG"/>
            </w:rPr>
            <w:t>.</w:t>
          </w:r>
          <w:r w:rsidRPr="004B21B2">
            <w:rPr>
              <w:rFonts w:ascii="Arial Narrow" w:eastAsia="Times New Roman" w:hAnsi="Arial Narrow" w:cs="Tahoma"/>
              <w:noProof/>
              <w:color w:val="808080"/>
              <w:spacing w:val="24"/>
              <w:kern w:val="0"/>
              <w:sz w:val="20"/>
              <w:lang w:val="en-US" w:eastAsia="bg-BG"/>
            </w:rPr>
            <w:t>government</w:t>
          </w:r>
          <w:r w:rsidRPr="004B21B2">
            <w:rPr>
              <w:rFonts w:ascii="Arial Narrow" w:eastAsia="Times New Roman" w:hAnsi="Arial Narrow" w:cs="Tahoma"/>
              <w:noProof/>
              <w:color w:val="808080"/>
              <w:spacing w:val="24"/>
              <w:kern w:val="0"/>
              <w:sz w:val="20"/>
              <w:lang w:val="ru-RU" w:eastAsia="bg-BG"/>
            </w:rPr>
            <w:t>.</w:t>
          </w:r>
          <w:r w:rsidRPr="004B21B2">
            <w:rPr>
              <w:rFonts w:ascii="Arial Narrow" w:eastAsia="Times New Roman" w:hAnsi="Arial Narrow" w:cs="Tahoma"/>
              <w:noProof/>
              <w:color w:val="808080"/>
              <w:spacing w:val="24"/>
              <w:kern w:val="0"/>
              <w:sz w:val="20"/>
              <w:lang w:val="en-US" w:eastAsia="bg-BG"/>
            </w:rPr>
            <w:t>bg</w:t>
          </w:r>
        </w:p>
      </w:tc>
    </w:tr>
  </w:tbl>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42" w:rightFromText="142" w:topFromText="573" w:vertAnchor="page" w:horzAnchor="margin" w:tblpXSpec="center" w:tblpY="879"/>
      <w:tblOverlap w:val="never"/>
      <w:tblW w:w="10545" w:type="dxa"/>
      <w:tblLayout w:type="fixed"/>
      <w:tblLook w:val="01E0" w:firstRow="1" w:lastRow="1" w:firstColumn="1" w:lastColumn="1" w:noHBand="0" w:noVBand="0"/>
    </w:tblPr>
    <w:tblGrid>
      <w:gridCol w:w="2268"/>
      <w:gridCol w:w="5758"/>
      <w:gridCol w:w="2519"/>
    </w:tblGrid>
    <w:tr w:rsidR="006608CE" w:rsidRPr="004B21B2" w:rsidTr="004B21B2">
      <w:trPr>
        <w:trHeight w:val="1610"/>
      </w:trPr>
      <w:tc>
        <w:tcPr>
          <w:tcW w:w="2268" w:type="dxa"/>
          <w:tcBorders>
            <w:top w:val="nil"/>
            <w:left w:val="nil"/>
            <w:bottom w:val="double" w:sz="4" w:space="0" w:color="99CC00"/>
            <w:right w:val="nil"/>
          </w:tcBorders>
          <w:hideMark/>
        </w:tcPr>
        <w:p w:rsidR="006608CE" w:rsidRPr="004B21B2" w:rsidRDefault="006608CE" w:rsidP="004B21B2">
          <w:pPr>
            <w:tabs>
              <w:tab w:val="center" w:pos="4536"/>
              <w:tab w:val="right" w:pos="9072"/>
            </w:tabs>
            <w:spacing w:before="60" w:after="0" w:line="240" w:lineRule="auto"/>
            <w:jc w:val="center"/>
            <w:rPr>
              <w:rFonts w:ascii="Times New Roman" w:eastAsia="Times New Roman" w:hAnsi="Times New Roman" w:cs="Times New Roman"/>
              <w:color w:val="auto"/>
              <w:kern w:val="0"/>
              <w:sz w:val="20"/>
              <w:lang w:eastAsia="fr-FR"/>
            </w:rPr>
          </w:pPr>
          <w:r w:rsidRPr="004B21B2">
            <w:rPr>
              <w:rFonts w:ascii="Times New Roman" w:eastAsia="Times New Roman" w:hAnsi="Times New Roman" w:cs="Times New Roman"/>
              <w:noProof/>
              <w:color w:val="auto"/>
              <w:kern w:val="0"/>
              <w:sz w:val="20"/>
              <w:lang w:val="en-US" w:eastAsia="en-US"/>
            </w:rPr>
            <w:drawing>
              <wp:inline distT="0" distB="0" distL="0" distR="0" wp14:anchorId="41617BF1" wp14:editId="53DC942E">
                <wp:extent cx="1353820" cy="107251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53820" cy="1072515"/>
                        </a:xfrm>
                        <a:prstGeom prst="rect">
                          <a:avLst/>
                        </a:prstGeom>
                        <a:noFill/>
                        <a:ln>
                          <a:noFill/>
                        </a:ln>
                      </pic:spPr>
                    </pic:pic>
                  </a:graphicData>
                </a:graphic>
              </wp:inline>
            </w:drawing>
          </w:r>
        </w:p>
        <w:p w:rsidR="006608CE" w:rsidRPr="004B21B2" w:rsidRDefault="006608CE" w:rsidP="004B21B2">
          <w:pPr>
            <w:tabs>
              <w:tab w:val="center" w:pos="4536"/>
              <w:tab w:val="right" w:pos="9072"/>
            </w:tabs>
            <w:spacing w:before="0" w:after="40" w:line="240" w:lineRule="auto"/>
            <w:jc w:val="center"/>
            <w:rPr>
              <w:rFonts w:ascii="Times New Roman" w:eastAsia="Times New Roman" w:hAnsi="Times New Roman" w:cs="Times New Roman"/>
              <w:color w:val="auto"/>
              <w:kern w:val="0"/>
              <w:sz w:val="20"/>
              <w:lang w:val="ru-RU" w:eastAsia="fr-FR"/>
            </w:rPr>
          </w:pPr>
          <w:r w:rsidRPr="004B21B2">
            <w:rPr>
              <w:rFonts w:ascii="Arial" w:eastAsia="Times New Roman" w:hAnsi="Arial" w:cs="Arial"/>
              <w:color w:val="F8C300"/>
              <w:kern w:val="0"/>
              <w:sz w:val="20"/>
              <w:lang w:val="ru-RU" w:eastAsia="fr-FR"/>
            </w:rPr>
            <w:t xml:space="preserve"> </w:t>
          </w:r>
        </w:p>
      </w:tc>
      <w:tc>
        <w:tcPr>
          <w:tcW w:w="5760" w:type="dxa"/>
          <w:tcBorders>
            <w:top w:val="nil"/>
            <w:left w:val="nil"/>
            <w:bottom w:val="double" w:sz="4" w:space="0" w:color="99CC00"/>
            <w:right w:val="nil"/>
          </w:tcBorders>
          <w:vAlign w:val="center"/>
          <w:hideMark/>
        </w:tcPr>
        <w:p w:rsidR="006608CE" w:rsidRPr="004B21B2" w:rsidRDefault="006608CE" w:rsidP="004B21B2">
          <w:pPr>
            <w:tabs>
              <w:tab w:val="center" w:pos="4536"/>
              <w:tab w:val="right" w:pos="9072"/>
            </w:tabs>
            <w:spacing w:before="0" w:after="0" w:line="240" w:lineRule="auto"/>
            <w:jc w:val="center"/>
            <w:rPr>
              <w:rFonts w:ascii="Arial Narrow" w:eastAsia="Times New Roman" w:hAnsi="Arial Narrow" w:cs="Tahoma"/>
              <w:b/>
              <w:noProof/>
              <w:color w:val="808080"/>
              <w:spacing w:val="80"/>
              <w:kern w:val="0"/>
              <w:szCs w:val="24"/>
              <w:lang w:eastAsia="bg-BG"/>
            </w:rPr>
          </w:pPr>
          <w:r w:rsidRPr="004B21B2">
            <w:rPr>
              <w:rFonts w:ascii="Arial Narrow" w:eastAsia="Times New Roman" w:hAnsi="Arial Narrow" w:cs="Tahoma"/>
              <w:b/>
              <w:noProof/>
              <w:color w:val="808080"/>
              <w:spacing w:val="80"/>
              <w:kern w:val="0"/>
              <w:szCs w:val="24"/>
              <w:lang w:eastAsia="bg-BG"/>
            </w:rPr>
            <w:t>ОПЕРАТИВНА ПРОГРАМА</w:t>
          </w:r>
        </w:p>
        <w:p w:rsidR="006608CE" w:rsidRPr="004B21B2" w:rsidRDefault="006608CE" w:rsidP="004B21B2">
          <w:pPr>
            <w:tabs>
              <w:tab w:val="center" w:pos="4536"/>
              <w:tab w:val="right" w:pos="9072"/>
            </w:tabs>
            <w:spacing w:before="0" w:after="0" w:line="240" w:lineRule="auto"/>
            <w:jc w:val="center"/>
            <w:rPr>
              <w:rFonts w:ascii="Arial Narrow" w:eastAsia="Times New Roman" w:hAnsi="Arial Narrow" w:cs="Tahoma"/>
              <w:b/>
              <w:noProof/>
              <w:color w:val="808080"/>
              <w:spacing w:val="80"/>
              <w:kern w:val="0"/>
              <w:szCs w:val="24"/>
              <w:lang w:eastAsia="bg-BG"/>
            </w:rPr>
          </w:pPr>
          <w:r w:rsidRPr="004B21B2">
            <w:rPr>
              <w:rFonts w:ascii="Arial Narrow" w:eastAsia="Times New Roman" w:hAnsi="Arial Narrow" w:cs="Tahoma"/>
              <w:b/>
              <w:noProof/>
              <w:color w:val="808080"/>
              <w:spacing w:val="80"/>
              <w:kern w:val="0"/>
              <w:szCs w:val="24"/>
              <w:lang w:eastAsia="bg-BG"/>
            </w:rPr>
            <w:t>“ОКОЛНА СРЕДА 20</w:t>
          </w:r>
          <w:r w:rsidRPr="007D5F8C">
            <w:rPr>
              <w:rFonts w:ascii="Arial Narrow" w:eastAsia="Times New Roman" w:hAnsi="Arial Narrow" w:cs="Tahoma"/>
              <w:b/>
              <w:noProof/>
              <w:color w:val="808080"/>
              <w:spacing w:val="80"/>
              <w:kern w:val="0"/>
              <w:szCs w:val="24"/>
              <w:lang w:val="ru-RU" w:eastAsia="bg-BG"/>
            </w:rPr>
            <w:t>14</w:t>
          </w:r>
          <w:r w:rsidRPr="004B21B2">
            <w:rPr>
              <w:rFonts w:ascii="Arial Narrow" w:eastAsia="Times New Roman" w:hAnsi="Arial Narrow" w:cs="Tahoma"/>
              <w:b/>
              <w:noProof/>
              <w:color w:val="808080"/>
              <w:spacing w:val="80"/>
              <w:kern w:val="0"/>
              <w:szCs w:val="24"/>
              <w:lang w:eastAsia="bg-BG"/>
            </w:rPr>
            <w:t xml:space="preserve"> – 20</w:t>
          </w:r>
          <w:r w:rsidRPr="007D5F8C">
            <w:rPr>
              <w:rFonts w:ascii="Arial Narrow" w:eastAsia="Times New Roman" w:hAnsi="Arial Narrow" w:cs="Tahoma"/>
              <w:b/>
              <w:noProof/>
              <w:color w:val="808080"/>
              <w:spacing w:val="80"/>
              <w:kern w:val="0"/>
              <w:szCs w:val="24"/>
              <w:lang w:val="ru-RU" w:eastAsia="bg-BG"/>
            </w:rPr>
            <w:t>20</w:t>
          </w:r>
          <w:r w:rsidRPr="004B21B2">
            <w:rPr>
              <w:rFonts w:ascii="Arial Narrow" w:eastAsia="Times New Roman" w:hAnsi="Arial Narrow" w:cs="Tahoma"/>
              <w:b/>
              <w:noProof/>
              <w:color w:val="808080"/>
              <w:spacing w:val="80"/>
              <w:kern w:val="0"/>
              <w:szCs w:val="24"/>
              <w:lang w:eastAsia="bg-BG"/>
            </w:rPr>
            <w:t xml:space="preserve"> г.”</w:t>
          </w:r>
        </w:p>
      </w:tc>
      <w:tc>
        <w:tcPr>
          <w:tcW w:w="2520" w:type="dxa"/>
          <w:tcBorders>
            <w:top w:val="nil"/>
            <w:left w:val="nil"/>
            <w:bottom w:val="double" w:sz="4" w:space="0" w:color="99CC00"/>
            <w:right w:val="nil"/>
          </w:tcBorders>
          <w:hideMark/>
        </w:tcPr>
        <w:p w:rsidR="006608CE" w:rsidRPr="004B21B2" w:rsidRDefault="006608CE" w:rsidP="004B21B2">
          <w:pPr>
            <w:tabs>
              <w:tab w:val="center" w:pos="4536"/>
              <w:tab w:val="right" w:pos="9072"/>
            </w:tabs>
            <w:spacing w:before="0" w:after="30" w:line="240" w:lineRule="auto"/>
            <w:jc w:val="center"/>
            <w:rPr>
              <w:rFonts w:ascii="Arial" w:eastAsia="Times New Roman" w:hAnsi="Arial" w:cs="Arial"/>
              <w:color w:val="auto"/>
              <w:kern w:val="0"/>
              <w:sz w:val="20"/>
              <w:lang w:eastAsia="fr-FR"/>
            </w:rPr>
          </w:pPr>
          <w:r w:rsidRPr="004B21B2">
            <w:rPr>
              <w:rFonts w:ascii="Arial" w:eastAsia="Times New Roman" w:hAnsi="Arial" w:cs="Arial"/>
              <w:noProof/>
              <w:color w:val="auto"/>
              <w:kern w:val="0"/>
              <w:sz w:val="20"/>
              <w:lang w:val="en-US" w:eastAsia="en-US"/>
            </w:rPr>
            <w:drawing>
              <wp:inline distT="0" distB="0" distL="0" distR="0" wp14:anchorId="502D9B6D" wp14:editId="00B081F6">
                <wp:extent cx="580390" cy="386715"/>
                <wp:effectExtent l="0" t="0" r="0" b="0"/>
                <wp:docPr id="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80390" cy="386715"/>
                        </a:xfrm>
                        <a:prstGeom prst="rect">
                          <a:avLst/>
                        </a:prstGeom>
                        <a:noFill/>
                        <a:ln>
                          <a:noFill/>
                        </a:ln>
                      </pic:spPr>
                    </pic:pic>
                  </a:graphicData>
                </a:graphic>
              </wp:inline>
            </w:drawing>
          </w:r>
        </w:p>
        <w:p w:rsidR="006608CE" w:rsidRPr="004B21B2" w:rsidRDefault="006608CE" w:rsidP="004B21B2">
          <w:pPr>
            <w:spacing w:before="0" w:after="0" w:line="240" w:lineRule="auto"/>
            <w:jc w:val="center"/>
            <w:rPr>
              <w:rFonts w:ascii="Arial" w:eastAsia="Times New Roman" w:hAnsi="Arial" w:cs="Arial"/>
              <w:color w:val="808080"/>
              <w:kern w:val="0"/>
              <w:sz w:val="20"/>
              <w:lang w:eastAsia="fr-FR"/>
            </w:rPr>
          </w:pPr>
          <w:r w:rsidRPr="004B21B2">
            <w:rPr>
              <w:rFonts w:ascii="Arial" w:eastAsia="Times New Roman" w:hAnsi="Arial" w:cs="Arial"/>
              <w:color w:val="808080"/>
              <w:kern w:val="0"/>
              <w:sz w:val="20"/>
              <w:lang w:eastAsia="fr-FR"/>
            </w:rPr>
            <w:t>Европейски съюз</w:t>
          </w:r>
        </w:p>
        <w:p w:rsidR="006608CE" w:rsidRPr="004B21B2" w:rsidRDefault="006608CE" w:rsidP="004B21B2">
          <w:pPr>
            <w:spacing w:before="0" w:after="0" w:line="240" w:lineRule="auto"/>
            <w:jc w:val="center"/>
            <w:rPr>
              <w:rFonts w:ascii="Arial Narrow" w:eastAsia="Times New Roman" w:hAnsi="Arial Narrow" w:cs="Tahoma"/>
              <w:b/>
              <w:noProof/>
              <w:color w:val="808080"/>
              <w:spacing w:val="80"/>
              <w:kern w:val="0"/>
              <w:szCs w:val="24"/>
              <w:lang w:eastAsia="bg-BG"/>
            </w:rPr>
          </w:pPr>
          <w:r w:rsidRPr="004B21B2">
            <w:rPr>
              <w:rFonts w:ascii="Arial" w:eastAsia="Times New Roman" w:hAnsi="Arial" w:cs="Arial"/>
              <w:color w:val="808080"/>
              <w:kern w:val="0"/>
              <w:sz w:val="20"/>
              <w:lang w:eastAsia="fr-FR"/>
            </w:rPr>
            <w:t>Европейски структурни и инвестиционни фондове</w:t>
          </w:r>
        </w:p>
      </w:tc>
    </w:tr>
    <w:tr w:rsidR="006608CE" w:rsidRPr="004B21B2" w:rsidTr="004B21B2">
      <w:trPr>
        <w:trHeight w:val="528"/>
      </w:trPr>
      <w:tc>
        <w:tcPr>
          <w:tcW w:w="10548" w:type="dxa"/>
          <w:gridSpan w:val="3"/>
          <w:tcBorders>
            <w:top w:val="double" w:sz="4" w:space="0" w:color="99CC00"/>
            <w:left w:val="nil"/>
            <w:bottom w:val="nil"/>
            <w:right w:val="nil"/>
          </w:tcBorders>
          <w:hideMark/>
        </w:tcPr>
        <w:p w:rsidR="006608CE" w:rsidRPr="004B21B2" w:rsidRDefault="006608CE" w:rsidP="004B21B2">
          <w:pPr>
            <w:tabs>
              <w:tab w:val="center" w:pos="4536"/>
              <w:tab w:val="right" w:pos="9072"/>
            </w:tabs>
            <w:spacing w:after="0" w:line="240" w:lineRule="auto"/>
            <w:jc w:val="right"/>
            <w:rPr>
              <w:rFonts w:ascii="Arial Narrow" w:eastAsia="Times New Roman" w:hAnsi="Arial Narrow" w:cs="Tahoma"/>
              <w:noProof/>
              <w:color w:val="808080"/>
              <w:spacing w:val="24"/>
              <w:kern w:val="0"/>
              <w:sz w:val="20"/>
              <w:lang w:eastAsia="bg-BG"/>
            </w:rPr>
          </w:pPr>
          <w:r w:rsidRPr="004B21B2">
            <w:rPr>
              <w:rFonts w:ascii="Arial Narrow" w:eastAsia="Times New Roman" w:hAnsi="Arial Narrow" w:cs="Tahoma"/>
              <w:noProof/>
              <w:color w:val="808080"/>
              <w:spacing w:val="24"/>
              <w:kern w:val="0"/>
              <w:sz w:val="20"/>
              <w:lang w:eastAsia="bg-BG"/>
            </w:rPr>
            <w:t>Главна дирекция “Оперативна програма околна среда”</w:t>
          </w:r>
        </w:p>
        <w:p w:rsidR="006608CE" w:rsidRPr="004B21B2" w:rsidRDefault="006608CE" w:rsidP="004B21B2">
          <w:pPr>
            <w:tabs>
              <w:tab w:val="center" w:pos="4536"/>
              <w:tab w:val="right" w:pos="9072"/>
            </w:tabs>
            <w:spacing w:before="0" w:after="0" w:line="240" w:lineRule="auto"/>
            <w:jc w:val="right"/>
            <w:rPr>
              <w:rFonts w:ascii="Times New Roman" w:eastAsia="Times New Roman" w:hAnsi="Times New Roman" w:cs="Times New Roman"/>
              <w:noProof/>
              <w:color w:val="auto"/>
              <w:kern w:val="0"/>
              <w:sz w:val="20"/>
              <w:lang w:eastAsia="bg-BG"/>
            </w:rPr>
          </w:pPr>
          <w:r w:rsidRPr="004B21B2">
            <w:rPr>
              <w:rFonts w:ascii="Arial Narrow" w:eastAsia="Times New Roman" w:hAnsi="Arial Narrow" w:cs="Tahoma"/>
              <w:noProof/>
              <w:color w:val="808080"/>
              <w:spacing w:val="24"/>
              <w:kern w:val="0"/>
              <w:sz w:val="20"/>
              <w:lang w:val="en-US" w:eastAsia="bg-BG"/>
            </w:rPr>
            <w:t>ope</w:t>
          </w:r>
          <w:r w:rsidRPr="004B21B2">
            <w:rPr>
              <w:rFonts w:ascii="Arial Narrow" w:eastAsia="Times New Roman" w:hAnsi="Arial Narrow" w:cs="Tahoma"/>
              <w:noProof/>
              <w:color w:val="808080"/>
              <w:spacing w:val="24"/>
              <w:kern w:val="0"/>
              <w:sz w:val="20"/>
              <w:lang w:val="ru-RU" w:eastAsia="bg-BG"/>
            </w:rPr>
            <w:t>@</w:t>
          </w:r>
          <w:r w:rsidRPr="004B21B2">
            <w:rPr>
              <w:rFonts w:ascii="Arial Narrow" w:eastAsia="Times New Roman" w:hAnsi="Arial Narrow" w:cs="Tahoma"/>
              <w:noProof/>
              <w:color w:val="808080"/>
              <w:spacing w:val="24"/>
              <w:kern w:val="0"/>
              <w:sz w:val="20"/>
              <w:lang w:val="en-US" w:eastAsia="bg-BG"/>
            </w:rPr>
            <w:t>moew</w:t>
          </w:r>
          <w:r w:rsidRPr="004B21B2">
            <w:rPr>
              <w:rFonts w:ascii="Arial Narrow" w:eastAsia="Times New Roman" w:hAnsi="Arial Narrow" w:cs="Tahoma"/>
              <w:noProof/>
              <w:color w:val="808080"/>
              <w:spacing w:val="24"/>
              <w:kern w:val="0"/>
              <w:sz w:val="20"/>
              <w:lang w:val="ru-RU" w:eastAsia="bg-BG"/>
            </w:rPr>
            <w:t>.</w:t>
          </w:r>
          <w:r w:rsidRPr="004B21B2">
            <w:rPr>
              <w:rFonts w:ascii="Arial Narrow" w:eastAsia="Times New Roman" w:hAnsi="Arial Narrow" w:cs="Tahoma"/>
              <w:noProof/>
              <w:color w:val="808080"/>
              <w:spacing w:val="24"/>
              <w:kern w:val="0"/>
              <w:sz w:val="20"/>
              <w:lang w:val="en-US" w:eastAsia="bg-BG"/>
            </w:rPr>
            <w:t>government</w:t>
          </w:r>
          <w:r w:rsidRPr="004B21B2">
            <w:rPr>
              <w:rFonts w:ascii="Arial Narrow" w:eastAsia="Times New Roman" w:hAnsi="Arial Narrow" w:cs="Tahoma"/>
              <w:noProof/>
              <w:color w:val="808080"/>
              <w:spacing w:val="24"/>
              <w:kern w:val="0"/>
              <w:sz w:val="20"/>
              <w:lang w:val="ru-RU" w:eastAsia="bg-BG"/>
            </w:rPr>
            <w:t>.</w:t>
          </w:r>
          <w:r w:rsidRPr="004B21B2">
            <w:rPr>
              <w:rFonts w:ascii="Arial Narrow" w:eastAsia="Times New Roman" w:hAnsi="Arial Narrow" w:cs="Tahoma"/>
              <w:noProof/>
              <w:color w:val="808080"/>
              <w:spacing w:val="24"/>
              <w:kern w:val="0"/>
              <w:sz w:val="20"/>
              <w:lang w:val="en-US" w:eastAsia="bg-BG"/>
            </w:rPr>
            <w:t>bg</w:t>
          </w:r>
        </w:p>
      </w:tc>
    </w:tr>
  </w:tbl>
  <w:p w:rsidR="006608CE" w:rsidRDefault="006608CE" w:rsidP="004B21B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8CE" w:rsidRDefault="006608CE" w:rsidP="00D07962">
    <w:pPr>
      <w:pStyle w:val="Header"/>
      <w:tabs>
        <w:tab w:val="clear" w:pos="9360"/>
        <w:tab w:val="right" w:pos="8931"/>
      </w:tabs>
      <w:ind w:right="330"/>
    </w:pPr>
    <w:r>
      <w:rPr>
        <w:noProof/>
        <w:lang w:val="en-US" w:eastAsia="en-US"/>
      </w:rPr>
      <mc:AlternateContent>
        <mc:Choice Requires="wps">
          <w:drawing>
            <wp:anchor distT="0" distB="0" distL="114300" distR="114300" simplePos="0" relativeHeight="251664384" behindDoc="0" locked="0" layoutInCell="0" allowOverlap="1" wp14:anchorId="336BF300" wp14:editId="4F561D8B">
              <wp:simplePos x="0" y="0"/>
              <wp:positionH relativeFrom="page">
                <wp:posOffset>6951980</wp:posOffset>
              </wp:positionH>
              <wp:positionV relativeFrom="topMargin">
                <wp:posOffset>438150</wp:posOffset>
              </wp:positionV>
              <wp:extent cx="822325" cy="262255"/>
              <wp:effectExtent l="0" t="0" r="0" b="4445"/>
              <wp:wrapNone/>
              <wp:docPr id="7"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325" cy="262255"/>
                      </a:xfrm>
                      <a:prstGeom prst="rect">
                        <a:avLst/>
                      </a:prstGeom>
                      <a:solidFill>
                        <a:schemeClr val="accent1"/>
                      </a:solidFill>
                      <a:extLst/>
                    </wps:spPr>
                    <wps:txbx>
                      <w:txbxContent>
                        <w:p w:rsidR="006608CE" w:rsidRDefault="006608CE" w:rsidP="000F3467">
                          <w:pPr>
                            <w:spacing w:after="0" w:line="240" w:lineRule="auto"/>
                            <w:ind w:left="284" w:right="-452"/>
                            <w:rPr>
                              <w:color w:val="FFFFFF" w:themeColor="background1"/>
                            </w:rPr>
                          </w:pPr>
                        </w:p>
                      </w:txbxContent>
                    </wps:txbx>
                    <wps:bodyPr rot="0" vert="horz" wrap="square" lIns="91440" tIns="0" rIns="91440" bIns="0" anchor="ctr" anchorCtr="0" upright="1">
                      <a:spAutoFit/>
                    </wps:bodyPr>
                  </wps:wsp>
                </a:graphicData>
              </a:graphic>
              <wp14:sizeRelH relativeFrom="right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5" type="#_x0000_t202" style="position:absolute;margin-left:547.4pt;margin-top:34.5pt;width:64.75pt;height:20.6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" o:allowincell="f" fillcolor="#98c723 [3204]" stroked="f">
              <v:textbox style="mso-fit-shape-to-text:t" inset=",0,,0">
                <w:txbxContent>
                  <w:p w:rsidR="006608CE" w:rsidRDefault="006608CE" w:rsidP="000F3467">
                    <w:pPr>
                      <w:spacing w:after="0" w:line="240" w:lineRule="auto"/>
                      <w:ind w:left="284" w:right="-452"/>
                      <w:rPr>
                        <w:color w:val="FFFFFF" w:themeColor="background1"/>
                      </w:rPr>
                    </w:pPr>
                  </w:p>
                </w:txbxContent>
              </v:textbox>
              <w10:wrap anchorx="page" anchory="margin"/>
            </v:shape>
          </w:pict>
        </mc:Fallback>
      </mc:AlternateContent>
    </w:r>
    <w:r>
      <w:rPr>
        <w:noProof/>
        <w:lang w:val="en-US" w:eastAsia="en-US"/>
      </w:rPr>
      <mc:AlternateContent>
        <mc:Choice Requires="wps">
          <w:drawing>
            <wp:anchor distT="0" distB="0" distL="114300" distR="114300" simplePos="0" relativeHeight="251663360" behindDoc="0" locked="0" layoutInCell="0" allowOverlap="1" wp14:anchorId="35B82F78" wp14:editId="7601DD7E">
              <wp:simplePos x="0" y="0"/>
              <wp:positionH relativeFrom="margin">
                <wp:posOffset>36830</wp:posOffset>
              </wp:positionH>
              <wp:positionV relativeFrom="topMargin">
                <wp:posOffset>438150</wp:posOffset>
              </wp:positionV>
              <wp:extent cx="6005195" cy="262255"/>
              <wp:effectExtent l="0" t="0" r="0" b="0"/>
              <wp:wrapNone/>
              <wp:docPr id="6"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5195" cy="262255"/>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CE" w:rsidRPr="00D07962" w:rsidRDefault="006608CE">
                          <w:pPr>
                            <w:spacing w:after="0" w:line="240" w:lineRule="auto"/>
                            <w:jc w:val="right"/>
                            <w:rPr>
                              <w:sz w:val="20"/>
                            </w:rPr>
                          </w:pPr>
                          <w:r>
                            <w:rPr>
                              <w:sz w:val="20"/>
                            </w:rPr>
                            <w:t>Индикативен план за оценка на о</w:t>
                          </w:r>
                          <w:r w:rsidRPr="00D07962">
                            <w:rPr>
                              <w:sz w:val="20"/>
                            </w:rPr>
                            <w:t>перативна програма „Околна среда 2014-2020 г.“</w:t>
                          </w: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shape id="_x0000_s1036" type="#_x0000_t202" style="position:absolute;margin-left:2.9pt;margin-top:34.5pt;width:472.85pt;height:20.6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" o:allowincell="f" filled="f" stroked="f">
              <v:textbox inset=",0,,0">
                <w:txbxContent>
                  <w:p w:rsidR="006608CE" w:rsidRPr="00D07962" w:rsidRDefault="006608CE">
                    <w:pPr>
                      <w:spacing w:after="0" w:line="240" w:lineRule="auto"/>
                      <w:jc w:val="right"/>
                      <w:rPr>
                        <w:sz w:val="20"/>
                      </w:rPr>
                    </w:pPr>
                    <w:r>
                      <w:rPr>
                        <w:sz w:val="20"/>
                      </w:rPr>
                      <w:t>Индикативен план за оценка на о</w:t>
                    </w:r>
                    <w:r w:rsidRPr="00D07962">
                      <w:rPr>
                        <w:sz w:val="20"/>
                      </w:rPr>
                      <w:t>перативна програма „Околна среда 2014-2020 г.“</w:t>
                    </w:r>
                  </w:p>
                </w:txbxContent>
              </v:textbox>
              <w10:wrap anchorx="margin" anchory="margin"/>
            </v:shape>
          </w:pict>
        </mc:Fallback>
      </mc:AlternateContent>
    </w:r>
    <w:r>
      <w:rPr>
        <w:noProof/>
        <w:lang w:val="en-US" w:eastAsia="en-US"/>
      </w:rPr>
      <mc:AlternateContent>
        <mc:Choice Requires="wps">
          <w:drawing>
            <wp:anchor distT="0" distB="0" distL="114300" distR="114300" simplePos="0" relativeHeight="251662336" behindDoc="0" locked="0" layoutInCell="0" allowOverlap="1" wp14:anchorId="409B0EE1" wp14:editId="17969AFE">
              <wp:simplePos x="0" y="0"/>
              <wp:positionH relativeFrom="page">
                <wp:posOffset>9239885</wp:posOffset>
              </wp:positionH>
              <wp:positionV relativeFrom="topMargin">
                <wp:posOffset>377825</wp:posOffset>
              </wp:positionV>
              <wp:extent cx="822325" cy="262255"/>
              <wp:effectExtent l="0" t="0" r="0" b="4445"/>
              <wp:wrapNone/>
              <wp:docPr id="2"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325" cy="262255"/>
                      </a:xfrm>
                      <a:prstGeom prst="rect">
                        <a:avLst/>
                      </a:prstGeom>
                      <a:solidFill>
                        <a:schemeClr val="accent1"/>
                      </a:solidFill>
                      <a:extLst/>
                    </wps:spPr>
                    <wps:txbx>
                      <w:txbxContent>
                        <w:p w:rsidR="006608CE" w:rsidRDefault="006608CE" w:rsidP="00D07962">
                          <w:pPr>
                            <w:spacing w:after="0" w:line="240" w:lineRule="auto"/>
                            <w:ind w:left="284" w:right="-452"/>
                            <w:rPr>
                              <w:color w:val="FFFFFF" w:themeColor="background1"/>
                            </w:rPr>
                          </w:pPr>
                        </w:p>
                      </w:txbxContent>
                    </wps:txbx>
                    <wps:bodyPr rot="0" vert="horz" wrap="square" lIns="91440" tIns="0" rIns="91440" bIns="0" anchor="ctr" anchorCtr="0" upright="1">
                      <a:spAutoFit/>
                    </wps:bodyPr>
                  </wps:wsp>
                </a:graphicData>
              </a:graphic>
              <wp14:sizeRelH relativeFrom="rightMargin">
                <wp14:pctWidth>0</wp14:pctWidth>
              </wp14:sizeRelH>
              <wp14:sizeRelV relativeFrom="page">
                <wp14:pctHeight>0</wp14:pctHeight>
              </wp14:sizeRelV>
            </wp:anchor>
          </w:drawing>
        </mc:Choice>
        <mc:Fallback>
          <w:pict>
            <v:shape id="_x0000_s1037" type="#_x0000_t202" style="position:absolute;margin-left:727.55pt;margin-top:29.75pt;width:64.75pt;height:20.6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" o:allowincell="f" fillcolor="#98c723 [3204]" stroked="f">
              <v:textbox style="mso-fit-shape-to-text:t" inset=",0,,0">
                <w:txbxContent>
                  <w:p w:rsidR="006608CE" w:rsidRDefault="006608CE" w:rsidP="00D07962">
                    <w:pPr>
                      <w:spacing w:after="0" w:line="240" w:lineRule="auto"/>
                      <w:ind w:left="284" w:right="-452"/>
                      <w:rPr>
                        <w:color w:val="FFFFFF" w:themeColor="background1"/>
                      </w:rPr>
                    </w:pPr>
                  </w:p>
                </w:txbxContent>
              </v:textbox>
              <w10:wrap anchorx="page" anchory="margin"/>
            </v:shape>
          </w:pict>
        </mc:Fallback>
      </mc:AlternateContent>
    </w:r>
  </w:p>
  <w:p w:rsidR="006608CE" w:rsidRDefault="006608CE">
    <w:pPr>
      <w:pStyle w:val="Header"/>
    </w:pPr>
  </w:p>
  <w:p w:rsidR="006608CE" w:rsidRDefault="006608C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08CE" w:rsidRDefault="006608CE" w:rsidP="00D07962">
    <w:pPr>
      <w:pStyle w:val="Header"/>
      <w:tabs>
        <w:tab w:val="clear" w:pos="9360"/>
        <w:tab w:val="right" w:pos="8931"/>
      </w:tabs>
      <w:ind w:right="330"/>
    </w:pPr>
    <w:r>
      <w:rPr>
        <w:noProof/>
        <w:lang w:val="en-US" w:eastAsia="en-US"/>
      </w:rPr>
      <mc:AlternateContent>
        <mc:Choice Requires="wps">
          <w:drawing>
            <wp:anchor distT="0" distB="0" distL="114300" distR="114300" simplePos="0" relativeHeight="251667456" behindDoc="0" locked="0" layoutInCell="0" allowOverlap="1">
              <wp:simplePos x="0" y="0"/>
              <wp:positionH relativeFrom="margin">
                <wp:posOffset>2334260</wp:posOffset>
              </wp:positionH>
              <wp:positionV relativeFrom="topMargin">
                <wp:posOffset>377825</wp:posOffset>
              </wp:positionV>
              <wp:extent cx="6005195" cy="262255"/>
              <wp:effectExtent l="0" t="0" r="0" b="0"/>
              <wp:wrapNone/>
              <wp:docPr id="475" name="Text Box 4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5195" cy="262255"/>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608CE" w:rsidRPr="00D07962" w:rsidRDefault="006608CE">
                          <w:pPr>
                            <w:spacing w:after="0" w:line="240" w:lineRule="auto"/>
                            <w:jc w:val="right"/>
                            <w:rPr>
                              <w:sz w:val="20"/>
                            </w:rPr>
                          </w:pPr>
                          <w:r w:rsidRPr="00D07962">
                            <w:rPr>
                              <w:sz w:val="20"/>
                            </w:rPr>
                            <w:t>Индикативен план за оценка на Оперативна програма „Околна среда 2014-2020 г.“</w:t>
                          </w: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8" type="#_x0000_t202" style="position:absolute;margin-left:183.8pt;margin-top:29.75pt;width:472.85pt;height:20.6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" o:allowincell="f" filled="f" stroked="f">
              <v:textbox inset=",0,,0">
                <w:txbxContent>
                  <w:p w:rsidR="006608CE" w:rsidRPr="00D07962" w:rsidRDefault="006608CE">
                    <w:pPr>
                      <w:spacing w:after="0" w:line="240" w:lineRule="auto"/>
                      <w:jc w:val="right"/>
                      <w:rPr>
                        <w:sz w:val="20"/>
                      </w:rPr>
                    </w:pPr>
                    <w:r w:rsidRPr="00D07962">
                      <w:rPr>
                        <w:sz w:val="20"/>
                      </w:rPr>
                      <w:t>Индикативен план за оценка на Оперативна програма „Околна среда 2014-2020 г.“</w:t>
                    </w:r>
                  </w:p>
                </w:txbxContent>
              </v:textbox>
              <w10:wrap anchorx="margin" anchory="margin"/>
            </v:shape>
          </w:pict>
        </mc:Fallback>
      </mc:AlternateContent>
    </w:r>
    <w:r>
      <w:rPr>
        <w:noProof/>
        <w:lang w:val="en-US" w:eastAsia="en-US"/>
      </w:rPr>
      <mc:AlternateContent>
        <mc:Choice Requires="wps">
          <w:drawing>
            <wp:anchor distT="0" distB="0" distL="114300" distR="114300" simplePos="0" relativeHeight="251666432" behindDoc="0" locked="0" layoutInCell="0" allowOverlap="1">
              <wp:simplePos x="0" y="0"/>
              <wp:positionH relativeFrom="page">
                <wp:posOffset>9239885</wp:posOffset>
              </wp:positionH>
              <wp:positionV relativeFrom="topMargin">
                <wp:posOffset>377825</wp:posOffset>
              </wp:positionV>
              <wp:extent cx="822325" cy="262255"/>
              <wp:effectExtent l="0" t="0" r="0" b="4445"/>
              <wp:wrapNone/>
              <wp:docPr id="476" name="Text Box 4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2325" cy="262255"/>
                      </a:xfrm>
                      <a:prstGeom prst="rect">
                        <a:avLst/>
                      </a:prstGeom>
                      <a:solidFill>
                        <a:schemeClr val="accent1"/>
                      </a:solidFill>
                      <a:extLst/>
                    </wps:spPr>
                    <wps:txbx>
                      <w:txbxContent>
                        <w:p w:rsidR="006608CE" w:rsidRDefault="006608CE" w:rsidP="00D07962">
                          <w:pPr>
                            <w:spacing w:after="0" w:line="240" w:lineRule="auto"/>
                            <w:ind w:left="284" w:right="-452"/>
                            <w:rPr>
                              <w:color w:val="FFFFFF" w:themeColor="background1"/>
                            </w:rPr>
                          </w:pPr>
                        </w:p>
                      </w:txbxContent>
                    </wps:txbx>
                    <wps:bodyPr rot="0" vert="horz" wrap="square" lIns="91440" tIns="0" rIns="91440" bIns="0" anchor="ctr" anchorCtr="0" upright="1">
                      <a:spAutoFit/>
                    </wps:bodyPr>
                  </wps:wsp>
                </a:graphicData>
              </a:graphic>
              <wp14:sizeRelH relativeFrom="rightMargin">
                <wp14:pctWidth>0</wp14:pctWidth>
              </wp14:sizeRelH>
              <wp14:sizeRelV relativeFrom="page">
                <wp14:pctHeight>0</wp14:pctHeight>
              </wp14:sizeRelV>
            </wp:anchor>
          </w:drawing>
        </mc:Choice>
        <mc:Fallback>
          <w:pict>
            <v:shape id="_x0000_s1039" type="#_x0000_t202" style="position:absolute;margin-left:727.55pt;margin-top:29.75pt;width:64.75pt;height:20.6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right-margin-area;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" o:allowincell="f" fillcolor="#98c723 [3204]" stroked="f">
              <v:textbox style="mso-fit-shape-to-text:t" inset=",0,,0">
                <w:txbxContent>
                  <w:p w:rsidR="006608CE" w:rsidRDefault="006608CE" w:rsidP="00D07962">
                    <w:pPr>
                      <w:spacing w:after="0" w:line="240" w:lineRule="auto"/>
                      <w:ind w:left="284" w:right="-452"/>
                      <w:rPr>
                        <w:color w:val="FFFFFF" w:themeColor="background1"/>
                      </w:rPr>
                    </w:pPr>
                  </w:p>
                </w:txbxContent>
              </v:textbox>
              <w10:wrap anchorx="page" anchory="margin"/>
            </v:shape>
          </w:pict>
        </mc:Fallback>
      </mc:AlternateContent>
    </w:r>
  </w:p>
  <w:p w:rsidR="006608CE" w:rsidRDefault="006608CE">
    <w:pPr>
      <w:pStyle w:val="Header"/>
    </w:pPr>
  </w:p>
  <w:p w:rsidR="006608CE" w:rsidRDefault="006608C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B6E8615A"/>
    <w:lvl w:ilvl="0">
      <w:start w:val="1"/>
      <w:numFmt w:val="bullet"/>
      <w:pStyle w:val="ListBullet5"/>
      <w:lvlText w:val=""/>
      <w:lvlJc w:val="left"/>
      <w:pPr>
        <w:tabs>
          <w:tab w:val="num" w:pos="1800"/>
        </w:tabs>
        <w:ind w:left="1800" w:hanging="360"/>
      </w:pPr>
      <w:rPr>
        <w:rFonts w:ascii="Symbol" w:hAnsi="Symbol" w:hint="default"/>
      </w:rPr>
    </w:lvl>
  </w:abstractNum>
  <w:abstractNum w:abstractNumId="1">
    <w:nsid w:val="FFFFFF81"/>
    <w:multiLevelType w:val="singleLevel"/>
    <w:tmpl w:val="7F8230A0"/>
    <w:lvl w:ilvl="0">
      <w:start w:val="1"/>
      <w:numFmt w:val="bullet"/>
      <w:pStyle w:val="ListBullet4"/>
      <w:lvlText w:val=""/>
      <w:lvlJc w:val="left"/>
      <w:pPr>
        <w:tabs>
          <w:tab w:val="num" w:pos="1440"/>
        </w:tabs>
        <w:ind w:left="1440" w:hanging="360"/>
      </w:pPr>
      <w:rPr>
        <w:rFonts w:ascii="Symbol" w:hAnsi="Symbol" w:hint="default"/>
      </w:rPr>
    </w:lvl>
  </w:abstractNum>
  <w:abstractNum w:abstractNumId="2">
    <w:nsid w:val="FFFFFF82"/>
    <w:multiLevelType w:val="singleLevel"/>
    <w:tmpl w:val="4CF4A9A6"/>
    <w:lvl w:ilvl="0">
      <w:start w:val="1"/>
      <w:numFmt w:val="bullet"/>
      <w:pStyle w:val="ListBullet3"/>
      <w:lvlText w:val=""/>
      <w:lvlJc w:val="left"/>
      <w:pPr>
        <w:tabs>
          <w:tab w:val="num" w:pos="1080"/>
        </w:tabs>
        <w:ind w:left="1080" w:hanging="360"/>
      </w:pPr>
      <w:rPr>
        <w:rFonts w:ascii="Symbol" w:hAnsi="Symbol" w:hint="default"/>
      </w:rPr>
    </w:lvl>
  </w:abstractNum>
  <w:abstractNum w:abstractNumId="3">
    <w:nsid w:val="FFFFFF83"/>
    <w:multiLevelType w:val="singleLevel"/>
    <w:tmpl w:val="1F86DD2C"/>
    <w:lvl w:ilvl="0">
      <w:start w:val="1"/>
      <w:numFmt w:val="bullet"/>
      <w:pStyle w:val="ListBullet2"/>
      <w:lvlText w:val=""/>
      <w:lvlJc w:val="left"/>
      <w:pPr>
        <w:tabs>
          <w:tab w:val="num" w:pos="720"/>
        </w:tabs>
        <w:ind w:left="720" w:hanging="360"/>
      </w:pPr>
      <w:rPr>
        <w:rFonts w:ascii="Symbol" w:hAnsi="Symbol" w:hint="default"/>
      </w:rPr>
    </w:lvl>
  </w:abstractNum>
  <w:abstractNum w:abstractNumId="4">
    <w:nsid w:val="FFFFFF89"/>
    <w:multiLevelType w:val="singleLevel"/>
    <w:tmpl w:val="43B61FDC"/>
    <w:lvl w:ilvl="0">
      <w:start w:val="1"/>
      <w:numFmt w:val="bullet"/>
      <w:pStyle w:val="ListBullet"/>
      <w:lvlText w:val="•"/>
      <w:lvlJc w:val="left"/>
      <w:pPr>
        <w:ind w:left="360" w:hanging="360"/>
      </w:pPr>
      <w:rPr>
        <w:rFonts w:ascii="Cambria" w:hAnsi="Cambria" w:hint="default"/>
        <w:color w:val="98C723" w:themeColor="accent1"/>
      </w:rPr>
    </w:lvl>
  </w:abstractNum>
  <w:abstractNum w:abstractNumId="5">
    <w:nsid w:val="00000034"/>
    <w:multiLevelType w:val="multilevel"/>
    <w:tmpl w:val="00000034"/>
    <w:name w:val="WWNum28"/>
    <w:lvl w:ilvl="0">
      <w:start w:val="1"/>
      <w:numFmt w:val="bullet"/>
      <w:lvlText w:val=""/>
      <w:lvlJc w:val="left"/>
      <w:pPr>
        <w:tabs>
          <w:tab w:val="num" w:pos="180"/>
        </w:tabs>
        <w:ind w:left="1260" w:hanging="360"/>
      </w:pPr>
      <w:rPr>
        <w:rFonts w:ascii="Symbol" w:hAnsi="Symbol"/>
        <w:sz w:val="20"/>
      </w:rPr>
    </w:lvl>
    <w:lvl w:ilvl="1">
      <w:start w:val="1"/>
      <w:numFmt w:val="bullet"/>
      <w:lvlText w:val="o"/>
      <w:lvlJc w:val="left"/>
      <w:pPr>
        <w:tabs>
          <w:tab w:val="num" w:pos="270"/>
        </w:tabs>
        <w:ind w:left="2070" w:hanging="360"/>
      </w:pPr>
      <w:rPr>
        <w:rFonts w:ascii="Courier New" w:hAnsi="Courier New" w:cs="Courier New"/>
      </w:rPr>
    </w:lvl>
    <w:lvl w:ilvl="2">
      <w:start w:val="1"/>
      <w:numFmt w:val="bullet"/>
      <w:lvlText w:val=""/>
      <w:lvlJc w:val="left"/>
      <w:pPr>
        <w:tabs>
          <w:tab w:val="num" w:pos="270"/>
        </w:tabs>
        <w:ind w:left="2790" w:hanging="360"/>
      </w:pPr>
      <w:rPr>
        <w:rFonts w:ascii="Wingdings" w:hAnsi="Wingdings"/>
      </w:rPr>
    </w:lvl>
    <w:lvl w:ilvl="3">
      <w:start w:val="1"/>
      <w:numFmt w:val="bullet"/>
      <w:lvlText w:val=""/>
      <w:lvlJc w:val="left"/>
      <w:pPr>
        <w:tabs>
          <w:tab w:val="num" w:pos="270"/>
        </w:tabs>
        <w:ind w:left="3510" w:hanging="360"/>
      </w:pPr>
      <w:rPr>
        <w:rFonts w:ascii="Symbol" w:hAnsi="Symbol"/>
      </w:rPr>
    </w:lvl>
    <w:lvl w:ilvl="4">
      <w:start w:val="1"/>
      <w:numFmt w:val="bullet"/>
      <w:lvlText w:val="o"/>
      <w:lvlJc w:val="left"/>
      <w:pPr>
        <w:tabs>
          <w:tab w:val="num" w:pos="270"/>
        </w:tabs>
        <w:ind w:left="4230" w:hanging="360"/>
      </w:pPr>
      <w:rPr>
        <w:rFonts w:ascii="Courier New" w:hAnsi="Courier New" w:cs="Courier New"/>
      </w:rPr>
    </w:lvl>
    <w:lvl w:ilvl="5">
      <w:start w:val="1"/>
      <w:numFmt w:val="bullet"/>
      <w:lvlText w:val=""/>
      <w:lvlJc w:val="left"/>
      <w:pPr>
        <w:tabs>
          <w:tab w:val="num" w:pos="270"/>
        </w:tabs>
        <w:ind w:left="4950" w:hanging="360"/>
      </w:pPr>
      <w:rPr>
        <w:rFonts w:ascii="Wingdings" w:hAnsi="Wingdings"/>
      </w:rPr>
    </w:lvl>
    <w:lvl w:ilvl="6">
      <w:start w:val="1"/>
      <w:numFmt w:val="bullet"/>
      <w:lvlText w:val=""/>
      <w:lvlJc w:val="left"/>
      <w:pPr>
        <w:tabs>
          <w:tab w:val="num" w:pos="270"/>
        </w:tabs>
        <w:ind w:left="5670" w:hanging="360"/>
      </w:pPr>
      <w:rPr>
        <w:rFonts w:ascii="Symbol" w:hAnsi="Symbol"/>
      </w:rPr>
    </w:lvl>
    <w:lvl w:ilvl="7">
      <w:start w:val="1"/>
      <w:numFmt w:val="bullet"/>
      <w:lvlText w:val="o"/>
      <w:lvlJc w:val="left"/>
      <w:pPr>
        <w:tabs>
          <w:tab w:val="num" w:pos="270"/>
        </w:tabs>
        <w:ind w:left="6390" w:hanging="360"/>
      </w:pPr>
      <w:rPr>
        <w:rFonts w:ascii="Courier New" w:hAnsi="Courier New" w:cs="Courier New"/>
      </w:rPr>
    </w:lvl>
    <w:lvl w:ilvl="8">
      <w:start w:val="1"/>
      <w:numFmt w:val="bullet"/>
      <w:lvlText w:val=""/>
      <w:lvlJc w:val="left"/>
      <w:pPr>
        <w:tabs>
          <w:tab w:val="num" w:pos="270"/>
        </w:tabs>
        <w:ind w:left="7110" w:hanging="360"/>
      </w:pPr>
      <w:rPr>
        <w:rFonts w:ascii="Wingdings" w:hAnsi="Wingdings"/>
      </w:rPr>
    </w:lvl>
  </w:abstractNum>
  <w:abstractNum w:abstractNumId="6">
    <w:nsid w:val="032C6E59"/>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4C167CE"/>
    <w:multiLevelType w:val="hybridMultilevel"/>
    <w:tmpl w:val="25DCEF14"/>
    <w:lvl w:ilvl="0" w:tplc="0402000F">
      <w:start w:val="1"/>
      <w:numFmt w:val="decimal"/>
      <w:lvlText w:val="%1."/>
      <w:lvlJc w:val="left"/>
      <w:pPr>
        <w:ind w:left="720" w:hanging="360"/>
      </w:pPr>
    </w:lvl>
    <w:lvl w:ilvl="1" w:tplc="04020019">
      <w:start w:val="1"/>
      <w:numFmt w:val="decimal"/>
      <w:lvlText w:val="%2."/>
      <w:lvlJc w:val="left"/>
      <w:pPr>
        <w:tabs>
          <w:tab w:val="num" w:pos="1440"/>
        </w:tabs>
        <w:ind w:left="1440" w:hanging="360"/>
      </w:pPr>
    </w:lvl>
    <w:lvl w:ilvl="2" w:tplc="0402001B">
      <w:start w:val="1"/>
      <w:numFmt w:val="decimal"/>
      <w:lvlText w:val="%3."/>
      <w:lvlJc w:val="left"/>
      <w:pPr>
        <w:tabs>
          <w:tab w:val="num" w:pos="2160"/>
        </w:tabs>
        <w:ind w:left="2160" w:hanging="360"/>
      </w:pPr>
    </w:lvl>
    <w:lvl w:ilvl="3" w:tplc="0402000F">
      <w:start w:val="1"/>
      <w:numFmt w:val="decimal"/>
      <w:lvlText w:val="%4."/>
      <w:lvlJc w:val="left"/>
      <w:pPr>
        <w:tabs>
          <w:tab w:val="num" w:pos="2880"/>
        </w:tabs>
        <w:ind w:left="2880" w:hanging="360"/>
      </w:pPr>
    </w:lvl>
    <w:lvl w:ilvl="4" w:tplc="04020019">
      <w:start w:val="1"/>
      <w:numFmt w:val="decimal"/>
      <w:lvlText w:val="%5."/>
      <w:lvlJc w:val="left"/>
      <w:pPr>
        <w:tabs>
          <w:tab w:val="num" w:pos="3600"/>
        </w:tabs>
        <w:ind w:left="3600" w:hanging="360"/>
      </w:pPr>
    </w:lvl>
    <w:lvl w:ilvl="5" w:tplc="0402001B">
      <w:start w:val="1"/>
      <w:numFmt w:val="decimal"/>
      <w:lvlText w:val="%6."/>
      <w:lvlJc w:val="left"/>
      <w:pPr>
        <w:tabs>
          <w:tab w:val="num" w:pos="4320"/>
        </w:tabs>
        <w:ind w:left="4320" w:hanging="360"/>
      </w:pPr>
    </w:lvl>
    <w:lvl w:ilvl="6" w:tplc="0402000F">
      <w:start w:val="1"/>
      <w:numFmt w:val="decimal"/>
      <w:lvlText w:val="%7."/>
      <w:lvlJc w:val="left"/>
      <w:pPr>
        <w:tabs>
          <w:tab w:val="num" w:pos="5040"/>
        </w:tabs>
        <w:ind w:left="5040" w:hanging="360"/>
      </w:pPr>
    </w:lvl>
    <w:lvl w:ilvl="7" w:tplc="04020019">
      <w:start w:val="1"/>
      <w:numFmt w:val="decimal"/>
      <w:lvlText w:val="%8."/>
      <w:lvlJc w:val="left"/>
      <w:pPr>
        <w:tabs>
          <w:tab w:val="num" w:pos="5760"/>
        </w:tabs>
        <w:ind w:left="5760" w:hanging="360"/>
      </w:pPr>
    </w:lvl>
    <w:lvl w:ilvl="8" w:tplc="0402001B">
      <w:start w:val="1"/>
      <w:numFmt w:val="decimal"/>
      <w:lvlText w:val="%9."/>
      <w:lvlJc w:val="left"/>
      <w:pPr>
        <w:tabs>
          <w:tab w:val="num" w:pos="6480"/>
        </w:tabs>
        <w:ind w:left="6480" w:hanging="360"/>
      </w:pPr>
    </w:lvl>
  </w:abstractNum>
  <w:abstractNum w:abstractNumId="8">
    <w:nsid w:val="19EC2C36"/>
    <w:multiLevelType w:val="hybridMultilevel"/>
    <w:tmpl w:val="B930FDE4"/>
    <w:lvl w:ilvl="0" w:tplc="0688EADA">
      <w:start w:val="1"/>
      <w:numFmt w:val="decimal"/>
      <w:lvlText w:val="%1."/>
      <w:lvlJc w:val="left"/>
      <w:pPr>
        <w:ind w:left="744" w:hanging="360"/>
      </w:pPr>
    </w:lvl>
    <w:lvl w:ilvl="1" w:tplc="04020019">
      <w:start w:val="1"/>
      <w:numFmt w:val="decimal"/>
      <w:lvlText w:val="%2."/>
      <w:lvlJc w:val="left"/>
      <w:pPr>
        <w:tabs>
          <w:tab w:val="num" w:pos="1440"/>
        </w:tabs>
        <w:ind w:left="1440" w:hanging="360"/>
      </w:pPr>
    </w:lvl>
    <w:lvl w:ilvl="2" w:tplc="0402001B">
      <w:start w:val="1"/>
      <w:numFmt w:val="decimal"/>
      <w:lvlText w:val="%3."/>
      <w:lvlJc w:val="left"/>
      <w:pPr>
        <w:tabs>
          <w:tab w:val="num" w:pos="2160"/>
        </w:tabs>
        <w:ind w:left="2160" w:hanging="360"/>
      </w:pPr>
    </w:lvl>
    <w:lvl w:ilvl="3" w:tplc="0402000F">
      <w:start w:val="1"/>
      <w:numFmt w:val="decimal"/>
      <w:lvlText w:val="%4."/>
      <w:lvlJc w:val="left"/>
      <w:pPr>
        <w:tabs>
          <w:tab w:val="num" w:pos="2880"/>
        </w:tabs>
        <w:ind w:left="2880" w:hanging="360"/>
      </w:pPr>
    </w:lvl>
    <w:lvl w:ilvl="4" w:tplc="04020019">
      <w:start w:val="1"/>
      <w:numFmt w:val="decimal"/>
      <w:lvlText w:val="%5."/>
      <w:lvlJc w:val="left"/>
      <w:pPr>
        <w:tabs>
          <w:tab w:val="num" w:pos="3600"/>
        </w:tabs>
        <w:ind w:left="3600" w:hanging="360"/>
      </w:pPr>
    </w:lvl>
    <w:lvl w:ilvl="5" w:tplc="0402001B">
      <w:start w:val="1"/>
      <w:numFmt w:val="decimal"/>
      <w:lvlText w:val="%6."/>
      <w:lvlJc w:val="left"/>
      <w:pPr>
        <w:tabs>
          <w:tab w:val="num" w:pos="4320"/>
        </w:tabs>
        <w:ind w:left="4320" w:hanging="360"/>
      </w:pPr>
    </w:lvl>
    <w:lvl w:ilvl="6" w:tplc="0402000F">
      <w:start w:val="1"/>
      <w:numFmt w:val="decimal"/>
      <w:lvlText w:val="%7."/>
      <w:lvlJc w:val="left"/>
      <w:pPr>
        <w:tabs>
          <w:tab w:val="num" w:pos="5040"/>
        </w:tabs>
        <w:ind w:left="5040" w:hanging="360"/>
      </w:pPr>
    </w:lvl>
    <w:lvl w:ilvl="7" w:tplc="04020019">
      <w:start w:val="1"/>
      <w:numFmt w:val="decimal"/>
      <w:lvlText w:val="%8."/>
      <w:lvlJc w:val="left"/>
      <w:pPr>
        <w:tabs>
          <w:tab w:val="num" w:pos="5760"/>
        </w:tabs>
        <w:ind w:left="5760" w:hanging="360"/>
      </w:pPr>
    </w:lvl>
    <w:lvl w:ilvl="8" w:tplc="0402001B">
      <w:start w:val="1"/>
      <w:numFmt w:val="decimal"/>
      <w:lvlText w:val="%9."/>
      <w:lvlJc w:val="left"/>
      <w:pPr>
        <w:tabs>
          <w:tab w:val="num" w:pos="6480"/>
        </w:tabs>
        <w:ind w:left="6480" w:hanging="360"/>
      </w:pPr>
    </w:lvl>
  </w:abstractNum>
  <w:abstractNum w:abstractNumId="9">
    <w:nsid w:val="1AB71115"/>
    <w:multiLevelType w:val="hybridMultilevel"/>
    <w:tmpl w:val="2BFA90DA"/>
    <w:lvl w:ilvl="0" w:tplc="F2AE7E22">
      <w:start w:val="1"/>
      <w:numFmt w:val="decimal"/>
      <w:lvlText w:val="%1."/>
      <w:lvlJc w:val="left"/>
      <w:pPr>
        <w:ind w:left="1058" w:hanging="360"/>
      </w:pPr>
    </w:lvl>
    <w:lvl w:ilvl="1" w:tplc="04020019">
      <w:start w:val="1"/>
      <w:numFmt w:val="decimal"/>
      <w:lvlText w:val="%2."/>
      <w:lvlJc w:val="left"/>
      <w:pPr>
        <w:tabs>
          <w:tab w:val="num" w:pos="1440"/>
        </w:tabs>
        <w:ind w:left="1440" w:hanging="360"/>
      </w:pPr>
    </w:lvl>
    <w:lvl w:ilvl="2" w:tplc="0402001B">
      <w:start w:val="1"/>
      <w:numFmt w:val="decimal"/>
      <w:lvlText w:val="%3."/>
      <w:lvlJc w:val="left"/>
      <w:pPr>
        <w:tabs>
          <w:tab w:val="num" w:pos="2160"/>
        </w:tabs>
        <w:ind w:left="2160" w:hanging="360"/>
      </w:pPr>
    </w:lvl>
    <w:lvl w:ilvl="3" w:tplc="0402000F">
      <w:start w:val="1"/>
      <w:numFmt w:val="decimal"/>
      <w:lvlText w:val="%4."/>
      <w:lvlJc w:val="left"/>
      <w:pPr>
        <w:tabs>
          <w:tab w:val="num" w:pos="2880"/>
        </w:tabs>
        <w:ind w:left="2880" w:hanging="360"/>
      </w:pPr>
    </w:lvl>
    <w:lvl w:ilvl="4" w:tplc="04020019">
      <w:start w:val="1"/>
      <w:numFmt w:val="decimal"/>
      <w:lvlText w:val="%5."/>
      <w:lvlJc w:val="left"/>
      <w:pPr>
        <w:tabs>
          <w:tab w:val="num" w:pos="3600"/>
        </w:tabs>
        <w:ind w:left="3600" w:hanging="360"/>
      </w:pPr>
    </w:lvl>
    <w:lvl w:ilvl="5" w:tplc="0402001B">
      <w:start w:val="1"/>
      <w:numFmt w:val="decimal"/>
      <w:lvlText w:val="%6."/>
      <w:lvlJc w:val="left"/>
      <w:pPr>
        <w:tabs>
          <w:tab w:val="num" w:pos="4320"/>
        </w:tabs>
        <w:ind w:left="4320" w:hanging="360"/>
      </w:pPr>
    </w:lvl>
    <w:lvl w:ilvl="6" w:tplc="0402000F">
      <w:start w:val="1"/>
      <w:numFmt w:val="decimal"/>
      <w:lvlText w:val="%7."/>
      <w:lvlJc w:val="left"/>
      <w:pPr>
        <w:tabs>
          <w:tab w:val="num" w:pos="5040"/>
        </w:tabs>
        <w:ind w:left="5040" w:hanging="360"/>
      </w:pPr>
    </w:lvl>
    <w:lvl w:ilvl="7" w:tplc="04020019">
      <w:start w:val="1"/>
      <w:numFmt w:val="decimal"/>
      <w:lvlText w:val="%8."/>
      <w:lvlJc w:val="left"/>
      <w:pPr>
        <w:tabs>
          <w:tab w:val="num" w:pos="5760"/>
        </w:tabs>
        <w:ind w:left="5760" w:hanging="360"/>
      </w:pPr>
    </w:lvl>
    <w:lvl w:ilvl="8" w:tplc="0402001B">
      <w:start w:val="1"/>
      <w:numFmt w:val="decimal"/>
      <w:lvlText w:val="%9."/>
      <w:lvlJc w:val="left"/>
      <w:pPr>
        <w:tabs>
          <w:tab w:val="num" w:pos="6480"/>
        </w:tabs>
        <w:ind w:left="6480" w:hanging="360"/>
      </w:pPr>
    </w:lvl>
  </w:abstractNum>
  <w:abstractNum w:abstractNumId="10">
    <w:nsid w:val="1B0C5A27"/>
    <w:multiLevelType w:val="hybridMultilevel"/>
    <w:tmpl w:val="9552CF4A"/>
    <w:lvl w:ilvl="0" w:tplc="2C4A9F1C">
      <w:start w:val="45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B6F205A"/>
    <w:multiLevelType w:val="multilevel"/>
    <w:tmpl w:val="9CA4ABB8"/>
    <w:styleLink w:val="AnnualRepor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1BA822E8"/>
    <w:multiLevelType w:val="hybridMultilevel"/>
    <w:tmpl w:val="BABA1360"/>
    <w:lvl w:ilvl="0" w:tplc="13EA5938">
      <w:start w:val="1"/>
      <w:numFmt w:val="bullet"/>
      <w:lvlText w:val=""/>
      <w:lvlJc w:val="left"/>
      <w:pPr>
        <w:ind w:left="720" w:hanging="360"/>
      </w:pPr>
      <w:rPr>
        <w:rFonts w:ascii="Wingdings" w:hAnsi="Wingdings" w:hint="default"/>
        <w:color w:val="98C723"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0FC1D63"/>
    <w:multiLevelType w:val="hybridMultilevel"/>
    <w:tmpl w:val="0DFCBB00"/>
    <w:lvl w:ilvl="0" w:tplc="04020001">
      <w:start w:val="1"/>
      <w:numFmt w:val="bullet"/>
      <w:lvlText w:val=""/>
      <w:lvlJc w:val="left"/>
      <w:pPr>
        <w:ind w:left="720" w:hanging="360"/>
      </w:pPr>
      <w:rPr>
        <w:rFonts w:ascii="Symbol" w:hAnsi="Symbol" w:hint="default"/>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14">
    <w:nsid w:val="22097353"/>
    <w:multiLevelType w:val="hybridMultilevel"/>
    <w:tmpl w:val="C59C8B48"/>
    <w:lvl w:ilvl="0" w:tplc="C032CC74">
      <w:start w:val="1"/>
      <w:numFmt w:val="decimal"/>
      <w:lvlText w:val="%1."/>
      <w:lvlJc w:val="left"/>
      <w:pPr>
        <w:ind w:left="1429" w:hanging="360"/>
      </w:pPr>
      <w:rPr>
        <w:b w:val="0"/>
        <w:color w:val="auto"/>
      </w:rPr>
    </w:lvl>
    <w:lvl w:ilvl="1" w:tplc="04020019">
      <w:start w:val="1"/>
      <w:numFmt w:val="decimal"/>
      <w:lvlText w:val="%2."/>
      <w:lvlJc w:val="left"/>
      <w:pPr>
        <w:tabs>
          <w:tab w:val="num" w:pos="1440"/>
        </w:tabs>
        <w:ind w:left="1440" w:hanging="360"/>
      </w:pPr>
    </w:lvl>
    <w:lvl w:ilvl="2" w:tplc="0402001B">
      <w:start w:val="1"/>
      <w:numFmt w:val="decimal"/>
      <w:lvlText w:val="%3."/>
      <w:lvlJc w:val="left"/>
      <w:pPr>
        <w:tabs>
          <w:tab w:val="num" w:pos="2160"/>
        </w:tabs>
        <w:ind w:left="2160" w:hanging="360"/>
      </w:pPr>
    </w:lvl>
    <w:lvl w:ilvl="3" w:tplc="0402000F">
      <w:start w:val="1"/>
      <w:numFmt w:val="decimal"/>
      <w:lvlText w:val="%4."/>
      <w:lvlJc w:val="left"/>
      <w:pPr>
        <w:tabs>
          <w:tab w:val="num" w:pos="2880"/>
        </w:tabs>
        <w:ind w:left="2880" w:hanging="360"/>
      </w:pPr>
    </w:lvl>
    <w:lvl w:ilvl="4" w:tplc="04020019">
      <w:start w:val="1"/>
      <w:numFmt w:val="decimal"/>
      <w:lvlText w:val="%5."/>
      <w:lvlJc w:val="left"/>
      <w:pPr>
        <w:tabs>
          <w:tab w:val="num" w:pos="3600"/>
        </w:tabs>
        <w:ind w:left="3600" w:hanging="360"/>
      </w:pPr>
    </w:lvl>
    <w:lvl w:ilvl="5" w:tplc="0402001B">
      <w:start w:val="1"/>
      <w:numFmt w:val="decimal"/>
      <w:lvlText w:val="%6."/>
      <w:lvlJc w:val="left"/>
      <w:pPr>
        <w:tabs>
          <w:tab w:val="num" w:pos="4320"/>
        </w:tabs>
        <w:ind w:left="4320" w:hanging="360"/>
      </w:pPr>
    </w:lvl>
    <w:lvl w:ilvl="6" w:tplc="0402000F">
      <w:start w:val="1"/>
      <w:numFmt w:val="decimal"/>
      <w:lvlText w:val="%7."/>
      <w:lvlJc w:val="left"/>
      <w:pPr>
        <w:tabs>
          <w:tab w:val="num" w:pos="5040"/>
        </w:tabs>
        <w:ind w:left="5040" w:hanging="360"/>
      </w:pPr>
    </w:lvl>
    <w:lvl w:ilvl="7" w:tplc="04020019">
      <w:start w:val="1"/>
      <w:numFmt w:val="decimal"/>
      <w:lvlText w:val="%8."/>
      <w:lvlJc w:val="left"/>
      <w:pPr>
        <w:tabs>
          <w:tab w:val="num" w:pos="5760"/>
        </w:tabs>
        <w:ind w:left="5760" w:hanging="360"/>
      </w:pPr>
    </w:lvl>
    <w:lvl w:ilvl="8" w:tplc="0402001B">
      <w:start w:val="1"/>
      <w:numFmt w:val="decimal"/>
      <w:lvlText w:val="%9."/>
      <w:lvlJc w:val="left"/>
      <w:pPr>
        <w:tabs>
          <w:tab w:val="num" w:pos="6480"/>
        </w:tabs>
        <w:ind w:left="6480" w:hanging="360"/>
      </w:pPr>
    </w:lvl>
  </w:abstractNum>
  <w:abstractNum w:abstractNumId="15">
    <w:nsid w:val="25DF0EA2"/>
    <w:multiLevelType w:val="hybridMultilevel"/>
    <w:tmpl w:val="3954AC0C"/>
    <w:lvl w:ilvl="0" w:tplc="04020001">
      <w:start w:val="1"/>
      <w:numFmt w:val="bullet"/>
      <w:lvlText w:val=""/>
      <w:lvlJc w:val="left"/>
      <w:pPr>
        <w:ind w:left="360" w:hanging="360"/>
      </w:pPr>
      <w:rPr>
        <w:rFonts w:ascii="Symbol" w:hAnsi="Symbol" w:hint="default"/>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16">
    <w:nsid w:val="2AC1696A"/>
    <w:multiLevelType w:val="multilevel"/>
    <w:tmpl w:val="0B3E9D78"/>
    <w:lvl w:ilvl="0">
      <w:start w:val="1"/>
      <w:numFmt w:val="decimal"/>
      <w:lvlText w:val="%1."/>
      <w:lvlJc w:val="left"/>
      <w:pPr>
        <w:ind w:left="360" w:hanging="360"/>
      </w:pPr>
      <w:rPr>
        <w:rFonts w:hint="default"/>
      </w:rPr>
    </w:lvl>
    <w:lvl w:ilvl="1">
      <w:start w:val="1"/>
      <w:numFmt w:val="decimal"/>
      <w:pStyle w:val="Heading2"/>
      <w:lvlText w:val="%1.%2."/>
      <w:lvlJc w:val="left"/>
      <w:pPr>
        <w:ind w:left="360" w:hanging="360"/>
      </w:pPr>
      <w:rPr>
        <w:rFonts w:hint="default"/>
      </w:rPr>
    </w:lvl>
    <w:lvl w:ilvl="2">
      <w:start w:val="1"/>
      <w:numFmt w:val="decimal"/>
      <w:pStyle w:val="Heading3"/>
      <w:lvlText w:val="%1.%2.%3."/>
      <w:lvlJc w:val="left"/>
      <w:pPr>
        <w:ind w:left="720" w:hanging="720"/>
      </w:pPr>
      <w:rPr>
        <w:rFonts w:hint="default"/>
        <w:strike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367F6A45"/>
    <w:multiLevelType w:val="multilevel"/>
    <w:tmpl w:val="30FED030"/>
    <w:lvl w:ilvl="0">
      <w:start w:val="1"/>
      <w:numFmt w:val="decimal"/>
      <w:pStyle w:val="ListNumber"/>
      <w:lvlText w:val="%1."/>
      <w:lvlJc w:val="left"/>
      <w:pPr>
        <w:ind w:left="360" w:hanging="360"/>
      </w:pPr>
      <w:rPr>
        <w:rFonts w:hint="default"/>
      </w:rPr>
    </w:lvl>
    <w:lvl w:ilvl="1">
      <w:start w:val="1"/>
      <w:numFmt w:val="decimal"/>
      <w:pStyle w:val="ListNumber2"/>
      <w:lvlText w:val="%1.%2"/>
      <w:lvlJc w:val="left"/>
      <w:pPr>
        <w:tabs>
          <w:tab w:val="num" w:pos="432"/>
        </w:tabs>
        <w:ind w:left="432" w:hanging="432"/>
      </w:pPr>
      <w:rPr>
        <w:rFonts w:hint="default"/>
      </w:rPr>
    </w:lvl>
    <w:lvl w:ilvl="2">
      <w:start w:val="1"/>
      <w:numFmt w:val="lowerLetter"/>
      <w:pStyle w:val="ListNumber3"/>
      <w:lvlText w:val="%3."/>
      <w:lvlJc w:val="left"/>
      <w:pPr>
        <w:ind w:left="792" w:hanging="360"/>
      </w:pPr>
      <w:rPr>
        <w:rFonts w:hint="default"/>
      </w:rPr>
    </w:lvl>
    <w:lvl w:ilvl="3">
      <w:start w:val="1"/>
      <w:numFmt w:val="lowerRoman"/>
      <w:pStyle w:val="ListNumber4"/>
      <w:lvlText w:val="%4."/>
      <w:lvlJc w:val="left"/>
      <w:pPr>
        <w:ind w:left="1152" w:hanging="360"/>
      </w:pPr>
      <w:rPr>
        <w:rFonts w:hint="default"/>
      </w:rPr>
    </w:lvl>
    <w:lvl w:ilvl="4">
      <w:start w:val="1"/>
      <w:numFmt w:val="lowerLetter"/>
      <w:pStyle w:val="ListNumb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18">
    <w:nsid w:val="3836411C"/>
    <w:multiLevelType w:val="hybridMultilevel"/>
    <w:tmpl w:val="796E0A2C"/>
    <w:lvl w:ilvl="0" w:tplc="13EA5938">
      <w:start w:val="1"/>
      <w:numFmt w:val="bullet"/>
      <w:lvlText w:val=""/>
      <w:lvlJc w:val="left"/>
      <w:pPr>
        <w:ind w:left="720" w:hanging="360"/>
      </w:pPr>
      <w:rPr>
        <w:rFonts w:ascii="Wingdings" w:hAnsi="Wingdings" w:hint="default"/>
        <w:color w:val="98C723"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4081B03"/>
    <w:multiLevelType w:val="hybridMultilevel"/>
    <w:tmpl w:val="8DB60B2C"/>
    <w:lvl w:ilvl="0" w:tplc="6CAEC616">
      <w:start w:val="2"/>
      <w:numFmt w:val="bullet"/>
      <w:lvlText w:val="-"/>
      <w:lvlJc w:val="left"/>
      <w:pPr>
        <w:ind w:left="1068" w:hanging="360"/>
      </w:pPr>
      <w:rPr>
        <w:rFonts w:ascii="Calibri" w:eastAsia="Calibri" w:hAnsi="Calibri" w:cs="Calibri" w:hint="default"/>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20">
    <w:nsid w:val="463237EC"/>
    <w:multiLevelType w:val="hybridMultilevel"/>
    <w:tmpl w:val="249A9228"/>
    <w:lvl w:ilvl="0" w:tplc="0402000F">
      <w:start w:val="1"/>
      <w:numFmt w:val="decimal"/>
      <w:lvlText w:val="%1."/>
      <w:lvlJc w:val="left"/>
      <w:pPr>
        <w:ind w:left="720" w:hanging="360"/>
      </w:pPr>
    </w:lvl>
    <w:lvl w:ilvl="1" w:tplc="04020019">
      <w:start w:val="1"/>
      <w:numFmt w:val="decimal"/>
      <w:lvlText w:val="%2."/>
      <w:lvlJc w:val="left"/>
      <w:pPr>
        <w:tabs>
          <w:tab w:val="num" w:pos="1440"/>
        </w:tabs>
        <w:ind w:left="1440" w:hanging="360"/>
      </w:pPr>
    </w:lvl>
    <w:lvl w:ilvl="2" w:tplc="0402001B">
      <w:start w:val="1"/>
      <w:numFmt w:val="decimal"/>
      <w:lvlText w:val="%3."/>
      <w:lvlJc w:val="left"/>
      <w:pPr>
        <w:tabs>
          <w:tab w:val="num" w:pos="2160"/>
        </w:tabs>
        <w:ind w:left="2160" w:hanging="360"/>
      </w:pPr>
    </w:lvl>
    <w:lvl w:ilvl="3" w:tplc="0402000F">
      <w:start w:val="1"/>
      <w:numFmt w:val="decimal"/>
      <w:lvlText w:val="%4."/>
      <w:lvlJc w:val="left"/>
      <w:pPr>
        <w:tabs>
          <w:tab w:val="num" w:pos="2880"/>
        </w:tabs>
        <w:ind w:left="2880" w:hanging="360"/>
      </w:pPr>
    </w:lvl>
    <w:lvl w:ilvl="4" w:tplc="04020019">
      <w:start w:val="1"/>
      <w:numFmt w:val="decimal"/>
      <w:lvlText w:val="%5."/>
      <w:lvlJc w:val="left"/>
      <w:pPr>
        <w:tabs>
          <w:tab w:val="num" w:pos="3600"/>
        </w:tabs>
        <w:ind w:left="3600" w:hanging="360"/>
      </w:pPr>
    </w:lvl>
    <w:lvl w:ilvl="5" w:tplc="0402001B">
      <w:start w:val="1"/>
      <w:numFmt w:val="decimal"/>
      <w:lvlText w:val="%6."/>
      <w:lvlJc w:val="left"/>
      <w:pPr>
        <w:tabs>
          <w:tab w:val="num" w:pos="4320"/>
        </w:tabs>
        <w:ind w:left="4320" w:hanging="360"/>
      </w:pPr>
    </w:lvl>
    <w:lvl w:ilvl="6" w:tplc="0402000F">
      <w:start w:val="1"/>
      <w:numFmt w:val="decimal"/>
      <w:lvlText w:val="%7."/>
      <w:lvlJc w:val="left"/>
      <w:pPr>
        <w:tabs>
          <w:tab w:val="num" w:pos="5040"/>
        </w:tabs>
        <w:ind w:left="5040" w:hanging="360"/>
      </w:pPr>
    </w:lvl>
    <w:lvl w:ilvl="7" w:tplc="04020019">
      <w:start w:val="1"/>
      <w:numFmt w:val="decimal"/>
      <w:lvlText w:val="%8."/>
      <w:lvlJc w:val="left"/>
      <w:pPr>
        <w:tabs>
          <w:tab w:val="num" w:pos="5760"/>
        </w:tabs>
        <w:ind w:left="5760" w:hanging="360"/>
      </w:pPr>
    </w:lvl>
    <w:lvl w:ilvl="8" w:tplc="0402001B">
      <w:start w:val="1"/>
      <w:numFmt w:val="decimal"/>
      <w:lvlText w:val="%9."/>
      <w:lvlJc w:val="left"/>
      <w:pPr>
        <w:tabs>
          <w:tab w:val="num" w:pos="6480"/>
        </w:tabs>
        <w:ind w:left="6480" w:hanging="360"/>
      </w:pPr>
    </w:lvl>
  </w:abstractNum>
  <w:abstractNum w:abstractNumId="21">
    <w:nsid w:val="48D00CFF"/>
    <w:multiLevelType w:val="hybridMultilevel"/>
    <w:tmpl w:val="A5D69A5C"/>
    <w:lvl w:ilvl="0" w:tplc="04020001">
      <w:start w:val="1"/>
      <w:numFmt w:val="bullet"/>
      <w:lvlText w:val=""/>
      <w:lvlJc w:val="left"/>
      <w:pPr>
        <w:ind w:left="1429" w:hanging="360"/>
      </w:pPr>
      <w:rPr>
        <w:rFonts w:ascii="Symbol" w:hAnsi="Symbol" w:hint="default"/>
      </w:rPr>
    </w:lvl>
    <w:lvl w:ilvl="1" w:tplc="04020003">
      <w:start w:val="1"/>
      <w:numFmt w:val="bullet"/>
      <w:lvlText w:val="o"/>
      <w:lvlJc w:val="left"/>
      <w:pPr>
        <w:ind w:left="2149" w:hanging="360"/>
      </w:pPr>
      <w:rPr>
        <w:rFonts w:ascii="Courier New" w:hAnsi="Courier New" w:cs="Courier New"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22">
    <w:nsid w:val="57A22C97"/>
    <w:multiLevelType w:val="hybridMultilevel"/>
    <w:tmpl w:val="B0FC622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23">
    <w:nsid w:val="74356B68"/>
    <w:multiLevelType w:val="hybridMultilevel"/>
    <w:tmpl w:val="7E6A1234"/>
    <w:lvl w:ilvl="0" w:tplc="13EA5938">
      <w:start w:val="1"/>
      <w:numFmt w:val="bullet"/>
      <w:lvlText w:val=""/>
      <w:lvlJc w:val="left"/>
      <w:pPr>
        <w:ind w:left="720" w:hanging="360"/>
      </w:pPr>
      <w:rPr>
        <w:rFonts w:ascii="Wingdings" w:hAnsi="Wingdings" w:hint="default"/>
        <w:color w:val="98C723"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7CC90CA9"/>
    <w:multiLevelType w:val="hybridMultilevel"/>
    <w:tmpl w:val="F2EA8BC2"/>
    <w:lvl w:ilvl="0" w:tplc="06D096BE">
      <w:start w:val="1"/>
      <w:numFmt w:val="bullet"/>
      <w:lvlText w:val=""/>
      <w:lvlJc w:val="left"/>
      <w:pPr>
        <w:ind w:left="720" w:hanging="360"/>
      </w:pPr>
      <w:rPr>
        <w:rFonts w:ascii="Wingdings" w:hAnsi="Wingdings" w:hint="default"/>
        <w:color w:val="98C723" w:themeColor="accent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DD6429E"/>
    <w:multiLevelType w:val="hybridMultilevel"/>
    <w:tmpl w:val="8F12528E"/>
    <w:lvl w:ilvl="0" w:tplc="0138315A">
      <w:start w:val="1"/>
      <w:numFmt w:val="decimal"/>
      <w:lvlText w:val="%1."/>
      <w:lvlJc w:val="left"/>
      <w:pPr>
        <w:ind w:left="720" w:hanging="360"/>
      </w:pPr>
    </w:lvl>
    <w:lvl w:ilvl="1" w:tplc="8C889ECE">
      <w:start w:val="1"/>
      <w:numFmt w:val="decimal"/>
      <w:lvlText w:val="%2."/>
      <w:lvlJc w:val="left"/>
      <w:pPr>
        <w:ind w:left="1770" w:hanging="690"/>
      </w:pPr>
    </w:lvl>
    <w:lvl w:ilvl="2" w:tplc="0402001B">
      <w:start w:val="1"/>
      <w:numFmt w:val="decimal"/>
      <w:lvlText w:val="%3."/>
      <w:lvlJc w:val="left"/>
      <w:pPr>
        <w:tabs>
          <w:tab w:val="num" w:pos="2160"/>
        </w:tabs>
        <w:ind w:left="2160" w:hanging="360"/>
      </w:pPr>
    </w:lvl>
    <w:lvl w:ilvl="3" w:tplc="0402000F">
      <w:start w:val="1"/>
      <w:numFmt w:val="decimal"/>
      <w:lvlText w:val="%4."/>
      <w:lvlJc w:val="left"/>
      <w:pPr>
        <w:tabs>
          <w:tab w:val="num" w:pos="2880"/>
        </w:tabs>
        <w:ind w:left="2880" w:hanging="360"/>
      </w:pPr>
    </w:lvl>
    <w:lvl w:ilvl="4" w:tplc="04020019">
      <w:start w:val="1"/>
      <w:numFmt w:val="decimal"/>
      <w:lvlText w:val="%5."/>
      <w:lvlJc w:val="left"/>
      <w:pPr>
        <w:tabs>
          <w:tab w:val="num" w:pos="3600"/>
        </w:tabs>
        <w:ind w:left="3600" w:hanging="360"/>
      </w:pPr>
    </w:lvl>
    <w:lvl w:ilvl="5" w:tplc="0402001B">
      <w:start w:val="1"/>
      <w:numFmt w:val="decimal"/>
      <w:lvlText w:val="%6."/>
      <w:lvlJc w:val="left"/>
      <w:pPr>
        <w:tabs>
          <w:tab w:val="num" w:pos="4320"/>
        </w:tabs>
        <w:ind w:left="4320" w:hanging="360"/>
      </w:pPr>
    </w:lvl>
    <w:lvl w:ilvl="6" w:tplc="0402000F">
      <w:start w:val="1"/>
      <w:numFmt w:val="decimal"/>
      <w:lvlText w:val="%7."/>
      <w:lvlJc w:val="left"/>
      <w:pPr>
        <w:tabs>
          <w:tab w:val="num" w:pos="5040"/>
        </w:tabs>
        <w:ind w:left="5040" w:hanging="360"/>
      </w:pPr>
    </w:lvl>
    <w:lvl w:ilvl="7" w:tplc="04020019">
      <w:start w:val="1"/>
      <w:numFmt w:val="decimal"/>
      <w:lvlText w:val="%8."/>
      <w:lvlJc w:val="left"/>
      <w:pPr>
        <w:tabs>
          <w:tab w:val="num" w:pos="5760"/>
        </w:tabs>
        <w:ind w:left="5760" w:hanging="360"/>
      </w:pPr>
    </w:lvl>
    <w:lvl w:ilvl="8" w:tplc="0402001B">
      <w:start w:val="1"/>
      <w:numFmt w:val="decimal"/>
      <w:lvlText w:val="%9."/>
      <w:lvlJc w:val="left"/>
      <w:pPr>
        <w:tabs>
          <w:tab w:val="num" w:pos="6480"/>
        </w:tabs>
        <w:ind w:left="6480" w:hanging="360"/>
      </w:pPr>
    </w:lvl>
  </w:abstractNum>
  <w:num w:numId="1">
    <w:abstractNumId w:val="4"/>
  </w:num>
  <w:num w:numId="2">
    <w:abstractNumId w:val="3"/>
  </w:num>
  <w:num w:numId="3">
    <w:abstractNumId w:val="2"/>
  </w:num>
  <w:num w:numId="4">
    <w:abstractNumId w:val="1"/>
  </w:num>
  <w:num w:numId="5">
    <w:abstractNumId w:val="0"/>
  </w:num>
  <w:num w:numId="6">
    <w:abstractNumId w:val="11"/>
  </w:num>
  <w:num w:numId="7">
    <w:abstractNumId w:val="17"/>
  </w:num>
  <w:num w:numId="8">
    <w:abstractNumId w:val="16"/>
  </w:num>
  <w:num w:numId="9">
    <w:abstractNumId w:val="18"/>
  </w:num>
  <w:num w:numId="10">
    <w:abstractNumId w:val="24"/>
  </w:num>
  <w:num w:numId="11">
    <w:abstractNumId w:val="23"/>
  </w:num>
  <w:num w:numId="12">
    <w:abstractNumId w:val="12"/>
  </w:num>
  <w:num w:numId="1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2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3"/>
  </w:num>
  <w:num w:numId="28">
    <w:abstractNumId w:val="7"/>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hideSpellingErrors/>
  <w:proofState w:spelling="clean" w:grammar="clean"/>
  <w:attachedTemplate r:id="rId1"/>
  <w:defaultTabStop w:val="720"/>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4193"/>
    <w:rsid w:val="0000159A"/>
    <w:rsid w:val="00003D3D"/>
    <w:rsid w:val="00006D6A"/>
    <w:rsid w:val="0001375C"/>
    <w:rsid w:val="000216AC"/>
    <w:rsid w:val="00024724"/>
    <w:rsid w:val="00026A39"/>
    <w:rsid w:val="0003049A"/>
    <w:rsid w:val="000321A1"/>
    <w:rsid w:val="000337A4"/>
    <w:rsid w:val="000353E8"/>
    <w:rsid w:val="00043F49"/>
    <w:rsid w:val="00050FC9"/>
    <w:rsid w:val="00062101"/>
    <w:rsid w:val="00066C27"/>
    <w:rsid w:val="000679E3"/>
    <w:rsid w:val="00070664"/>
    <w:rsid w:val="00073DDB"/>
    <w:rsid w:val="00091834"/>
    <w:rsid w:val="00093D19"/>
    <w:rsid w:val="000A1519"/>
    <w:rsid w:val="000A2266"/>
    <w:rsid w:val="000A2A85"/>
    <w:rsid w:val="000A5940"/>
    <w:rsid w:val="000B271A"/>
    <w:rsid w:val="000B5612"/>
    <w:rsid w:val="000B6F14"/>
    <w:rsid w:val="000C3D8C"/>
    <w:rsid w:val="000C76B9"/>
    <w:rsid w:val="000D45A1"/>
    <w:rsid w:val="000D6F49"/>
    <w:rsid w:val="000E6067"/>
    <w:rsid w:val="000F3297"/>
    <w:rsid w:val="000F3467"/>
    <w:rsid w:val="000F5BF4"/>
    <w:rsid w:val="001059B9"/>
    <w:rsid w:val="0011040F"/>
    <w:rsid w:val="00115665"/>
    <w:rsid w:val="00124306"/>
    <w:rsid w:val="00125897"/>
    <w:rsid w:val="00126A2A"/>
    <w:rsid w:val="00133CDB"/>
    <w:rsid w:val="001406E5"/>
    <w:rsid w:val="001435CE"/>
    <w:rsid w:val="00145354"/>
    <w:rsid w:val="00147ED6"/>
    <w:rsid w:val="0015308A"/>
    <w:rsid w:val="00155E55"/>
    <w:rsid w:val="00177264"/>
    <w:rsid w:val="001838DA"/>
    <w:rsid w:val="00185F83"/>
    <w:rsid w:val="00185F95"/>
    <w:rsid w:val="00197065"/>
    <w:rsid w:val="001A085D"/>
    <w:rsid w:val="001A791B"/>
    <w:rsid w:val="001B0812"/>
    <w:rsid w:val="001B1E8D"/>
    <w:rsid w:val="001C18AF"/>
    <w:rsid w:val="001E2F02"/>
    <w:rsid w:val="001F3741"/>
    <w:rsid w:val="001F7844"/>
    <w:rsid w:val="00204831"/>
    <w:rsid w:val="0020673B"/>
    <w:rsid w:val="002108BF"/>
    <w:rsid w:val="00210CA7"/>
    <w:rsid w:val="00213079"/>
    <w:rsid w:val="002257B3"/>
    <w:rsid w:val="00227C89"/>
    <w:rsid w:val="00231539"/>
    <w:rsid w:val="00244B0A"/>
    <w:rsid w:val="00244F41"/>
    <w:rsid w:val="00252853"/>
    <w:rsid w:val="00253358"/>
    <w:rsid w:val="00264CAE"/>
    <w:rsid w:val="00267820"/>
    <w:rsid w:val="002708EA"/>
    <w:rsid w:val="00271571"/>
    <w:rsid w:val="002738B8"/>
    <w:rsid w:val="002768F1"/>
    <w:rsid w:val="00285CB8"/>
    <w:rsid w:val="0028711A"/>
    <w:rsid w:val="0028724A"/>
    <w:rsid w:val="0029267D"/>
    <w:rsid w:val="002943C7"/>
    <w:rsid w:val="002A2348"/>
    <w:rsid w:val="002A36E7"/>
    <w:rsid w:val="002B3499"/>
    <w:rsid w:val="002B6759"/>
    <w:rsid w:val="002B6DE8"/>
    <w:rsid w:val="002B6F95"/>
    <w:rsid w:val="002C345B"/>
    <w:rsid w:val="002C584E"/>
    <w:rsid w:val="002D4C71"/>
    <w:rsid w:val="002D5286"/>
    <w:rsid w:val="002E15C8"/>
    <w:rsid w:val="002E7F6D"/>
    <w:rsid w:val="002F1C5C"/>
    <w:rsid w:val="002F34E4"/>
    <w:rsid w:val="002F683E"/>
    <w:rsid w:val="0030342B"/>
    <w:rsid w:val="003077BF"/>
    <w:rsid w:val="00310E57"/>
    <w:rsid w:val="00316B22"/>
    <w:rsid w:val="00320344"/>
    <w:rsid w:val="00325336"/>
    <w:rsid w:val="00330666"/>
    <w:rsid w:val="00345CCB"/>
    <w:rsid w:val="00353761"/>
    <w:rsid w:val="00367837"/>
    <w:rsid w:val="00371C48"/>
    <w:rsid w:val="003731B6"/>
    <w:rsid w:val="003824D6"/>
    <w:rsid w:val="003849E4"/>
    <w:rsid w:val="00387D20"/>
    <w:rsid w:val="00391062"/>
    <w:rsid w:val="00392D61"/>
    <w:rsid w:val="003B0D53"/>
    <w:rsid w:val="003B4A4B"/>
    <w:rsid w:val="003B4EBE"/>
    <w:rsid w:val="003B6D44"/>
    <w:rsid w:val="003B7D87"/>
    <w:rsid w:val="003C7C76"/>
    <w:rsid w:val="003D00D9"/>
    <w:rsid w:val="003D4442"/>
    <w:rsid w:val="0040080B"/>
    <w:rsid w:val="00400BA3"/>
    <w:rsid w:val="00401DB7"/>
    <w:rsid w:val="00402959"/>
    <w:rsid w:val="004048F4"/>
    <w:rsid w:val="00406F53"/>
    <w:rsid w:val="004109CE"/>
    <w:rsid w:val="0041256B"/>
    <w:rsid w:val="004136A4"/>
    <w:rsid w:val="00421F84"/>
    <w:rsid w:val="00422CC8"/>
    <w:rsid w:val="00427670"/>
    <w:rsid w:val="00434E1C"/>
    <w:rsid w:val="00434F57"/>
    <w:rsid w:val="00437084"/>
    <w:rsid w:val="00437BD5"/>
    <w:rsid w:val="00437FD2"/>
    <w:rsid w:val="00440A9C"/>
    <w:rsid w:val="004440AB"/>
    <w:rsid w:val="00453092"/>
    <w:rsid w:val="00455369"/>
    <w:rsid w:val="00464B7E"/>
    <w:rsid w:val="00467EF1"/>
    <w:rsid w:val="00472567"/>
    <w:rsid w:val="004750EC"/>
    <w:rsid w:val="004815E4"/>
    <w:rsid w:val="004854F1"/>
    <w:rsid w:val="004858DB"/>
    <w:rsid w:val="00486033"/>
    <w:rsid w:val="004A26B0"/>
    <w:rsid w:val="004A3731"/>
    <w:rsid w:val="004A416C"/>
    <w:rsid w:val="004B0FC6"/>
    <w:rsid w:val="004B21B2"/>
    <w:rsid w:val="004C37CC"/>
    <w:rsid w:val="004C7857"/>
    <w:rsid w:val="004D26A1"/>
    <w:rsid w:val="004D6B0B"/>
    <w:rsid w:val="004D785A"/>
    <w:rsid w:val="004E1F1D"/>
    <w:rsid w:val="004E3734"/>
    <w:rsid w:val="004E6445"/>
    <w:rsid w:val="004F2A81"/>
    <w:rsid w:val="004F78A9"/>
    <w:rsid w:val="00500F1B"/>
    <w:rsid w:val="00502667"/>
    <w:rsid w:val="00514D97"/>
    <w:rsid w:val="005168C7"/>
    <w:rsid w:val="00517AFA"/>
    <w:rsid w:val="00520D43"/>
    <w:rsid w:val="005259F8"/>
    <w:rsid w:val="00530CA6"/>
    <w:rsid w:val="00532054"/>
    <w:rsid w:val="0053241E"/>
    <w:rsid w:val="00533994"/>
    <w:rsid w:val="00537BC5"/>
    <w:rsid w:val="005411EE"/>
    <w:rsid w:val="00545EA3"/>
    <w:rsid w:val="00546FE3"/>
    <w:rsid w:val="00551156"/>
    <w:rsid w:val="00555663"/>
    <w:rsid w:val="00565F1A"/>
    <w:rsid w:val="00574A10"/>
    <w:rsid w:val="00575F9D"/>
    <w:rsid w:val="00590ECB"/>
    <w:rsid w:val="00592B2F"/>
    <w:rsid w:val="005959BC"/>
    <w:rsid w:val="005A1F79"/>
    <w:rsid w:val="005A3156"/>
    <w:rsid w:val="005A3CA3"/>
    <w:rsid w:val="005B0A9A"/>
    <w:rsid w:val="005B1F35"/>
    <w:rsid w:val="005B2461"/>
    <w:rsid w:val="005B709A"/>
    <w:rsid w:val="005B713E"/>
    <w:rsid w:val="005C5A5B"/>
    <w:rsid w:val="005D39A8"/>
    <w:rsid w:val="005D4838"/>
    <w:rsid w:val="005E159E"/>
    <w:rsid w:val="005E315B"/>
    <w:rsid w:val="005E3F07"/>
    <w:rsid w:val="005F0132"/>
    <w:rsid w:val="006116DB"/>
    <w:rsid w:val="006125B4"/>
    <w:rsid w:val="00612DA1"/>
    <w:rsid w:val="00614217"/>
    <w:rsid w:val="00614DB8"/>
    <w:rsid w:val="00620A98"/>
    <w:rsid w:val="00626108"/>
    <w:rsid w:val="00627884"/>
    <w:rsid w:val="00631E1C"/>
    <w:rsid w:val="00632E8D"/>
    <w:rsid w:val="00640572"/>
    <w:rsid w:val="00643406"/>
    <w:rsid w:val="00644D21"/>
    <w:rsid w:val="0064545C"/>
    <w:rsid w:val="00645AED"/>
    <w:rsid w:val="00652AB0"/>
    <w:rsid w:val="0065428F"/>
    <w:rsid w:val="0065457B"/>
    <w:rsid w:val="006565A6"/>
    <w:rsid w:val="00660744"/>
    <w:rsid w:val="006608CE"/>
    <w:rsid w:val="00661A3A"/>
    <w:rsid w:val="00667FB2"/>
    <w:rsid w:val="00677867"/>
    <w:rsid w:val="00696D7E"/>
    <w:rsid w:val="006A0657"/>
    <w:rsid w:val="006A0665"/>
    <w:rsid w:val="006A7AE3"/>
    <w:rsid w:val="006B21CA"/>
    <w:rsid w:val="006B4C9E"/>
    <w:rsid w:val="006B4CF0"/>
    <w:rsid w:val="006C0B98"/>
    <w:rsid w:val="006C45E9"/>
    <w:rsid w:val="006C5CCC"/>
    <w:rsid w:val="006C674C"/>
    <w:rsid w:val="006E17D6"/>
    <w:rsid w:val="006E6F5E"/>
    <w:rsid w:val="006F5ABA"/>
    <w:rsid w:val="006F742F"/>
    <w:rsid w:val="007008E2"/>
    <w:rsid w:val="007131F5"/>
    <w:rsid w:val="00713F8B"/>
    <w:rsid w:val="00722295"/>
    <w:rsid w:val="00725F08"/>
    <w:rsid w:val="007260AA"/>
    <w:rsid w:val="00726A2D"/>
    <w:rsid w:val="00730298"/>
    <w:rsid w:val="00732D6E"/>
    <w:rsid w:val="0073653D"/>
    <w:rsid w:val="0074749A"/>
    <w:rsid w:val="00750D90"/>
    <w:rsid w:val="00751E70"/>
    <w:rsid w:val="007537E1"/>
    <w:rsid w:val="007571C2"/>
    <w:rsid w:val="0076659A"/>
    <w:rsid w:val="00773E72"/>
    <w:rsid w:val="00775B64"/>
    <w:rsid w:val="00776E4C"/>
    <w:rsid w:val="007776AC"/>
    <w:rsid w:val="0078122D"/>
    <w:rsid w:val="00791F09"/>
    <w:rsid w:val="007A0D22"/>
    <w:rsid w:val="007A1888"/>
    <w:rsid w:val="007A55FD"/>
    <w:rsid w:val="007A7E16"/>
    <w:rsid w:val="007C0B45"/>
    <w:rsid w:val="007C15D7"/>
    <w:rsid w:val="007C1879"/>
    <w:rsid w:val="007C4AD9"/>
    <w:rsid w:val="007D2224"/>
    <w:rsid w:val="007D307D"/>
    <w:rsid w:val="007D5F8C"/>
    <w:rsid w:val="007F048F"/>
    <w:rsid w:val="007F3D2B"/>
    <w:rsid w:val="007F57B7"/>
    <w:rsid w:val="00803501"/>
    <w:rsid w:val="008063CE"/>
    <w:rsid w:val="00813B2C"/>
    <w:rsid w:val="0082437E"/>
    <w:rsid w:val="0082628E"/>
    <w:rsid w:val="00830B83"/>
    <w:rsid w:val="00833229"/>
    <w:rsid w:val="00835801"/>
    <w:rsid w:val="00836A2F"/>
    <w:rsid w:val="00836B42"/>
    <w:rsid w:val="0084040A"/>
    <w:rsid w:val="00841D78"/>
    <w:rsid w:val="00847A29"/>
    <w:rsid w:val="008503F1"/>
    <w:rsid w:val="00850FF0"/>
    <w:rsid w:val="00861F46"/>
    <w:rsid w:val="008620F5"/>
    <w:rsid w:val="00864E98"/>
    <w:rsid w:val="00865D3F"/>
    <w:rsid w:val="0086631A"/>
    <w:rsid w:val="00871A8E"/>
    <w:rsid w:val="00876FDB"/>
    <w:rsid w:val="008807C5"/>
    <w:rsid w:val="008913A4"/>
    <w:rsid w:val="00894291"/>
    <w:rsid w:val="008968C1"/>
    <w:rsid w:val="008A3D62"/>
    <w:rsid w:val="008A4A3F"/>
    <w:rsid w:val="008A5A58"/>
    <w:rsid w:val="008A6D79"/>
    <w:rsid w:val="008A6DF2"/>
    <w:rsid w:val="008B0C75"/>
    <w:rsid w:val="008B1C9F"/>
    <w:rsid w:val="008B2C88"/>
    <w:rsid w:val="008B5489"/>
    <w:rsid w:val="008C3E47"/>
    <w:rsid w:val="008D6B91"/>
    <w:rsid w:val="008E6C55"/>
    <w:rsid w:val="008E743B"/>
    <w:rsid w:val="00910A24"/>
    <w:rsid w:val="00911824"/>
    <w:rsid w:val="009148E6"/>
    <w:rsid w:val="009232B4"/>
    <w:rsid w:val="00950C4D"/>
    <w:rsid w:val="00953268"/>
    <w:rsid w:val="00962759"/>
    <w:rsid w:val="009639A0"/>
    <w:rsid w:val="0096728F"/>
    <w:rsid w:val="00970A3B"/>
    <w:rsid w:val="00977806"/>
    <w:rsid w:val="00977CCE"/>
    <w:rsid w:val="00980B46"/>
    <w:rsid w:val="00990C40"/>
    <w:rsid w:val="00993094"/>
    <w:rsid w:val="00995079"/>
    <w:rsid w:val="009976E4"/>
    <w:rsid w:val="009A0796"/>
    <w:rsid w:val="009A1C4C"/>
    <w:rsid w:val="009A4D59"/>
    <w:rsid w:val="009B48F5"/>
    <w:rsid w:val="009C2D9E"/>
    <w:rsid w:val="009C36CD"/>
    <w:rsid w:val="009C3F44"/>
    <w:rsid w:val="009D130A"/>
    <w:rsid w:val="009D14ED"/>
    <w:rsid w:val="009D6101"/>
    <w:rsid w:val="009E4311"/>
    <w:rsid w:val="009F0BA0"/>
    <w:rsid w:val="009F1238"/>
    <w:rsid w:val="009F37E4"/>
    <w:rsid w:val="00A076CD"/>
    <w:rsid w:val="00A20B85"/>
    <w:rsid w:val="00A304E0"/>
    <w:rsid w:val="00A3254B"/>
    <w:rsid w:val="00A34193"/>
    <w:rsid w:val="00A524D6"/>
    <w:rsid w:val="00A54236"/>
    <w:rsid w:val="00A62EC4"/>
    <w:rsid w:val="00A66E10"/>
    <w:rsid w:val="00A735AD"/>
    <w:rsid w:val="00A87716"/>
    <w:rsid w:val="00A90E40"/>
    <w:rsid w:val="00A9413F"/>
    <w:rsid w:val="00A95D69"/>
    <w:rsid w:val="00AA0D59"/>
    <w:rsid w:val="00AA45A2"/>
    <w:rsid w:val="00AA6E4B"/>
    <w:rsid w:val="00AA7AE9"/>
    <w:rsid w:val="00AC261E"/>
    <w:rsid w:val="00AC7E4D"/>
    <w:rsid w:val="00AD0E95"/>
    <w:rsid w:val="00AE1C84"/>
    <w:rsid w:val="00AF1339"/>
    <w:rsid w:val="00AF772D"/>
    <w:rsid w:val="00B07D73"/>
    <w:rsid w:val="00B14C87"/>
    <w:rsid w:val="00B161A7"/>
    <w:rsid w:val="00B21430"/>
    <w:rsid w:val="00B3141D"/>
    <w:rsid w:val="00B325FD"/>
    <w:rsid w:val="00B36E97"/>
    <w:rsid w:val="00B41E72"/>
    <w:rsid w:val="00B45A99"/>
    <w:rsid w:val="00B54B74"/>
    <w:rsid w:val="00B55986"/>
    <w:rsid w:val="00B658EA"/>
    <w:rsid w:val="00B65C82"/>
    <w:rsid w:val="00B7252B"/>
    <w:rsid w:val="00B750B7"/>
    <w:rsid w:val="00B817D5"/>
    <w:rsid w:val="00B8274B"/>
    <w:rsid w:val="00B8303E"/>
    <w:rsid w:val="00B85325"/>
    <w:rsid w:val="00B9711E"/>
    <w:rsid w:val="00BA34E6"/>
    <w:rsid w:val="00BA684B"/>
    <w:rsid w:val="00BB2043"/>
    <w:rsid w:val="00BC171A"/>
    <w:rsid w:val="00BC19DF"/>
    <w:rsid w:val="00BC3444"/>
    <w:rsid w:val="00BC51B1"/>
    <w:rsid w:val="00BD2057"/>
    <w:rsid w:val="00BD5124"/>
    <w:rsid w:val="00BE0BEE"/>
    <w:rsid w:val="00BE11D0"/>
    <w:rsid w:val="00BF074F"/>
    <w:rsid w:val="00BF37FF"/>
    <w:rsid w:val="00C01976"/>
    <w:rsid w:val="00C12CDC"/>
    <w:rsid w:val="00C14168"/>
    <w:rsid w:val="00C23BCC"/>
    <w:rsid w:val="00C24870"/>
    <w:rsid w:val="00C312E7"/>
    <w:rsid w:val="00C333C3"/>
    <w:rsid w:val="00C42C0E"/>
    <w:rsid w:val="00C46D74"/>
    <w:rsid w:val="00C51818"/>
    <w:rsid w:val="00C51F5C"/>
    <w:rsid w:val="00C52D54"/>
    <w:rsid w:val="00C55850"/>
    <w:rsid w:val="00C55B87"/>
    <w:rsid w:val="00C6088C"/>
    <w:rsid w:val="00C716A8"/>
    <w:rsid w:val="00C728E0"/>
    <w:rsid w:val="00C86DAE"/>
    <w:rsid w:val="00C90818"/>
    <w:rsid w:val="00C9177F"/>
    <w:rsid w:val="00C94265"/>
    <w:rsid w:val="00C97CD6"/>
    <w:rsid w:val="00CB1353"/>
    <w:rsid w:val="00CB18E7"/>
    <w:rsid w:val="00CB6AF2"/>
    <w:rsid w:val="00CC3900"/>
    <w:rsid w:val="00CC557C"/>
    <w:rsid w:val="00CD5506"/>
    <w:rsid w:val="00CD5E10"/>
    <w:rsid w:val="00CE3C06"/>
    <w:rsid w:val="00CF197C"/>
    <w:rsid w:val="00CF335A"/>
    <w:rsid w:val="00D068C6"/>
    <w:rsid w:val="00D07962"/>
    <w:rsid w:val="00D108DE"/>
    <w:rsid w:val="00D10C3C"/>
    <w:rsid w:val="00D15BED"/>
    <w:rsid w:val="00D2135E"/>
    <w:rsid w:val="00D214C3"/>
    <w:rsid w:val="00D25B71"/>
    <w:rsid w:val="00D27033"/>
    <w:rsid w:val="00D32199"/>
    <w:rsid w:val="00D44E9E"/>
    <w:rsid w:val="00D45142"/>
    <w:rsid w:val="00D54BDC"/>
    <w:rsid w:val="00D54D2B"/>
    <w:rsid w:val="00D559C5"/>
    <w:rsid w:val="00D677F7"/>
    <w:rsid w:val="00D70AAC"/>
    <w:rsid w:val="00D72772"/>
    <w:rsid w:val="00D743A1"/>
    <w:rsid w:val="00D7633E"/>
    <w:rsid w:val="00D77EA0"/>
    <w:rsid w:val="00D86F8E"/>
    <w:rsid w:val="00DA2630"/>
    <w:rsid w:val="00DC65C4"/>
    <w:rsid w:val="00DC7F1F"/>
    <w:rsid w:val="00DD1B2C"/>
    <w:rsid w:val="00DE0BDC"/>
    <w:rsid w:val="00DF499E"/>
    <w:rsid w:val="00DF5FC4"/>
    <w:rsid w:val="00E02DC8"/>
    <w:rsid w:val="00E10DE9"/>
    <w:rsid w:val="00E24366"/>
    <w:rsid w:val="00E271B7"/>
    <w:rsid w:val="00E30021"/>
    <w:rsid w:val="00E30C91"/>
    <w:rsid w:val="00E318AF"/>
    <w:rsid w:val="00E31C3E"/>
    <w:rsid w:val="00E3341E"/>
    <w:rsid w:val="00E373BB"/>
    <w:rsid w:val="00E459BD"/>
    <w:rsid w:val="00E46772"/>
    <w:rsid w:val="00E516FB"/>
    <w:rsid w:val="00E52AD9"/>
    <w:rsid w:val="00E548D9"/>
    <w:rsid w:val="00E657B3"/>
    <w:rsid w:val="00E7126F"/>
    <w:rsid w:val="00E7305F"/>
    <w:rsid w:val="00E76807"/>
    <w:rsid w:val="00E80853"/>
    <w:rsid w:val="00E84071"/>
    <w:rsid w:val="00E86ACE"/>
    <w:rsid w:val="00E9240D"/>
    <w:rsid w:val="00E92A84"/>
    <w:rsid w:val="00E938A0"/>
    <w:rsid w:val="00E93F3D"/>
    <w:rsid w:val="00E96950"/>
    <w:rsid w:val="00EA0471"/>
    <w:rsid w:val="00EA3344"/>
    <w:rsid w:val="00EA4340"/>
    <w:rsid w:val="00EA4F9B"/>
    <w:rsid w:val="00EA7527"/>
    <w:rsid w:val="00EB274A"/>
    <w:rsid w:val="00ED043F"/>
    <w:rsid w:val="00ED54EC"/>
    <w:rsid w:val="00EE4B05"/>
    <w:rsid w:val="00EF38F7"/>
    <w:rsid w:val="00F02207"/>
    <w:rsid w:val="00F02FF8"/>
    <w:rsid w:val="00F0391E"/>
    <w:rsid w:val="00F04BE2"/>
    <w:rsid w:val="00F05E16"/>
    <w:rsid w:val="00F06AD9"/>
    <w:rsid w:val="00F12239"/>
    <w:rsid w:val="00F12FE4"/>
    <w:rsid w:val="00F1369C"/>
    <w:rsid w:val="00F21C18"/>
    <w:rsid w:val="00F30AA3"/>
    <w:rsid w:val="00F31A28"/>
    <w:rsid w:val="00F3248D"/>
    <w:rsid w:val="00F34C3C"/>
    <w:rsid w:val="00F359BB"/>
    <w:rsid w:val="00F40552"/>
    <w:rsid w:val="00F4251E"/>
    <w:rsid w:val="00F4332E"/>
    <w:rsid w:val="00F447F2"/>
    <w:rsid w:val="00F46A64"/>
    <w:rsid w:val="00F50C37"/>
    <w:rsid w:val="00F63C13"/>
    <w:rsid w:val="00F65C5F"/>
    <w:rsid w:val="00F66621"/>
    <w:rsid w:val="00F75DAB"/>
    <w:rsid w:val="00F761C1"/>
    <w:rsid w:val="00F80BEC"/>
    <w:rsid w:val="00F865BE"/>
    <w:rsid w:val="00F916EB"/>
    <w:rsid w:val="00F9600C"/>
    <w:rsid w:val="00F974CD"/>
    <w:rsid w:val="00FA25EE"/>
    <w:rsid w:val="00FA3DDC"/>
    <w:rsid w:val="00FA7592"/>
    <w:rsid w:val="00FB0133"/>
    <w:rsid w:val="00FD1A79"/>
    <w:rsid w:val="00FE1E3F"/>
    <w:rsid w:val="00FE1E62"/>
    <w:rsid w:val="00FE28A7"/>
    <w:rsid w:val="00FE30E7"/>
    <w:rsid w:val="00FF67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color w:val="595959" w:themeColor="text1" w:themeTint="A6"/>
        <w:lang w:val="en-US" w:eastAsia="ja-JP" w:bidi="ar-SA"/>
      </w:rPr>
    </w:rPrDefault>
    <w:pPrDefault>
      <w:pPr>
        <w:spacing w:before="40" w:after="16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page number" w:uiPriority="0"/>
    <w:lsdException w:name="List Bullet" w:uiPriority="1" w:qFormat="1"/>
    <w:lsdException w:name="List Number" w:qFormat="1"/>
    <w:lsdException w:name="List Number 2" w:qFormat="1"/>
    <w:lsdException w:name="List Number 3" w:qFormat="1"/>
    <w:lsdException w:name="Title" w:uiPriority="19" w:unhideWhenUsed="0" w:qFormat="1"/>
    <w:lsdException w:name="Signature" w:uiPriority="9" w:qFormat="1"/>
    <w:lsdException w:name="Default Paragraph Font" w:uiPriority="1"/>
    <w:lsdException w:name="Subtitle" w:uiPriority="19" w:qFormat="1"/>
    <w:lsdException w:name="Strong" w:uiPriority="1" w:unhideWhenUsed="0" w:qFormat="1"/>
    <w:lsdException w:name="Emphasis"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uiPriority="37"/>
    <w:lsdException w:name="TOC Heading" w:uiPriority="39" w:qFormat="1"/>
  </w:latentStyles>
  <w:style w:type="paragraph" w:default="1" w:styleId="Normal">
    <w:name w:val="Normal"/>
    <w:qFormat/>
    <w:rsid w:val="00565F1A"/>
    <w:pPr>
      <w:spacing w:before="120" w:after="120"/>
    </w:pPr>
    <w:rPr>
      <w:rFonts w:ascii="Calibri" w:hAnsi="Calibri"/>
      <w:color w:val="0D0D0D" w:themeColor="text1" w:themeTint="F2"/>
      <w:kern w:val="20"/>
      <w:sz w:val="24"/>
      <w:lang w:val="bg-BG"/>
    </w:rPr>
  </w:style>
  <w:style w:type="paragraph" w:styleId="Heading1">
    <w:name w:val="heading 1"/>
    <w:basedOn w:val="HeaderShaded"/>
    <w:next w:val="Normal"/>
    <w:link w:val="Heading1Char"/>
    <w:uiPriority w:val="1"/>
    <w:qFormat/>
    <w:rsid w:val="004A416C"/>
    <w:pPr>
      <w:outlineLvl w:val="0"/>
    </w:pPr>
    <w:rPr>
      <w:sz w:val="36"/>
      <w:szCs w:val="36"/>
    </w:rPr>
  </w:style>
  <w:style w:type="paragraph" w:styleId="Heading2">
    <w:name w:val="heading 2"/>
    <w:basedOn w:val="Normal"/>
    <w:next w:val="Normal"/>
    <w:link w:val="Heading2Char"/>
    <w:uiPriority w:val="1"/>
    <w:unhideWhenUsed/>
    <w:qFormat/>
    <w:rsid w:val="006E17D6"/>
    <w:pPr>
      <w:keepNext/>
      <w:keepLines/>
      <w:numPr>
        <w:ilvl w:val="1"/>
        <w:numId w:val="8"/>
      </w:numPr>
      <w:spacing w:before="360" w:after="240" w:line="240" w:lineRule="auto"/>
      <w:ind w:left="357" w:hanging="357"/>
      <w:outlineLvl w:val="1"/>
    </w:pPr>
    <w:rPr>
      <w:rFonts w:asciiTheme="majorHAnsi" w:eastAsiaTheme="majorEastAsia" w:hAnsiTheme="majorHAnsi" w:cstheme="majorBidi"/>
      <w:caps/>
      <w:color w:val="71941A" w:themeColor="accent1" w:themeShade="BF"/>
      <w:sz w:val="26"/>
      <w:szCs w:val="26"/>
    </w:rPr>
  </w:style>
  <w:style w:type="paragraph" w:styleId="Heading3">
    <w:name w:val="heading 3"/>
    <w:basedOn w:val="Normal"/>
    <w:next w:val="Normal"/>
    <w:link w:val="Heading3Char"/>
    <w:uiPriority w:val="1"/>
    <w:unhideWhenUsed/>
    <w:qFormat/>
    <w:rsid w:val="00533994"/>
    <w:pPr>
      <w:keepNext/>
      <w:keepLines/>
      <w:numPr>
        <w:ilvl w:val="2"/>
        <w:numId w:val="8"/>
      </w:numPr>
      <w:spacing w:before="200" w:after="240"/>
      <w:outlineLvl w:val="2"/>
    </w:pPr>
    <w:rPr>
      <w:rFonts w:asciiTheme="majorHAnsi" w:eastAsiaTheme="majorEastAsia" w:hAnsiTheme="majorHAnsi" w:cs="Arial"/>
      <w:bCs/>
      <w:i/>
      <w:color w:val="595959" w:themeColor="text1" w:themeTint="A6"/>
      <w:sz w:val="22"/>
      <w:szCs w:val="22"/>
    </w:rPr>
  </w:style>
  <w:style w:type="paragraph" w:styleId="Heading4">
    <w:name w:val="heading 4"/>
    <w:basedOn w:val="Normal"/>
    <w:next w:val="Normal"/>
    <w:link w:val="Heading4Char"/>
    <w:uiPriority w:val="18"/>
    <w:semiHidden/>
    <w:unhideWhenUsed/>
    <w:qFormat/>
    <w:rsid w:val="002E7F6D"/>
    <w:pPr>
      <w:keepNext/>
      <w:keepLines/>
      <w:spacing w:before="200" w:after="0"/>
      <w:outlineLvl w:val="3"/>
    </w:pPr>
    <w:rPr>
      <w:rFonts w:asciiTheme="majorHAnsi" w:eastAsiaTheme="majorEastAsia" w:hAnsiTheme="majorHAnsi" w:cstheme="majorBidi"/>
      <w:b/>
      <w:bCs/>
      <w:i/>
      <w:iCs/>
      <w:color w:val="98C723" w:themeColor="accent1"/>
    </w:rPr>
  </w:style>
  <w:style w:type="paragraph" w:styleId="Heading5">
    <w:name w:val="heading 5"/>
    <w:basedOn w:val="Normal"/>
    <w:next w:val="Normal"/>
    <w:link w:val="Heading5Char"/>
    <w:uiPriority w:val="18"/>
    <w:semiHidden/>
    <w:unhideWhenUsed/>
    <w:qFormat/>
    <w:rsid w:val="002E7F6D"/>
    <w:pPr>
      <w:keepNext/>
      <w:keepLines/>
      <w:spacing w:before="200" w:after="0"/>
      <w:outlineLvl w:val="4"/>
    </w:pPr>
    <w:rPr>
      <w:rFonts w:asciiTheme="majorHAnsi" w:eastAsiaTheme="majorEastAsia" w:hAnsiTheme="majorHAnsi" w:cstheme="majorBidi"/>
      <w:color w:val="4B6211" w:themeColor="accent1" w:themeShade="7F"/>
    </w:rPr>
  </w:style>
  <w:style w:type="paragraph" w:styleId="Heading6">
    <w:name w:val="heading 6"/>
    <w:basedOn w:val="Normal"/>
    <w:next w:val="Normal"/>
    <w:link w:val="Heading6Char"/>
    <w:uiPriority w:val="18"/>
    <w:semiHidden/>
    <w:unhideWhenUsed/>
    <w:qFormat/>
    <w:rsid w:val="002E7F6D"/>
    <w:pPr>
      <w:keepNext/>
      <w:keepLines/>
      <w:spacing w:before="200" w:after="0"/>
      <w:outlineLvl w:val="5"/>
    </w:pPr>
    <w:rPr>
      <w:rFonts w:asciiTheme="majorHAnsi" w:eastAsiaTheme="majorEastAsia" w:hAnsiTheme="majorHAnsi" w:cstheme="majorBidi"/>
      <w:i/>
      <w:iCs/>
      <w:color w:val="4B6211" w:themeColor="accent1" w:themeShade="7F"/>
    </w:rPr>
  </w:style>
  <w:style w:type="paragraph" w:styleId="Heading7">
    <w:name w:val="heading 7"/>
    <w:basedOn w:val="Normal"/>
    <w:next w:val="Normal"/>
    <w:link w:val="Heading7Char"/>
    <w:uiPriority w:val="18"/>
    <w:semiHidden/>
    <w:unhideWhenUsed/>
    <w:qFormat/>
    <w:rsid w:val="002E7F6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18"/>
    <w:semiHidden/>
    <w:unhideWhenUsed/>
    <w:qFormat/>
    <w:rsid w:val="002E7F6D"/>
    <w:pPr>
      <w:keepNext/>
      <w:keepLines/>
      <w:spacing w:before="200" w:after="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18"/>
    <w:semiHidden/>
    <w:unhideWhenUsed/>
    <w:qFormat/>
    <w:rsid w:val="002E7F6D"/>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E7F6D"/>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2E7F6D"/>
    <w:rPr>
      <w:kern w:val="20"/>
    </w:rPr>
  </w:style>
  <w:style w:type="paragraph" w:styleId="Footer">
    <w:name w:val="footer"/>
    <w:basedOn w:val="Normal"/>
    <w:link w:val="FooterChar"/>
    <w:uiPriority w:val="99"/>
    <w:unhideWhenUsed/>
    <w:rsid w:val="002E7F6D"/>
    <w:pPr>
      <w:pBdr>
        <w:top w:val="single" w:sz="4" w:space="6" w:color="C4E672" w:themeColor="accent1" w:themeTint="99"/>
        <w:left w:val="single" w:sz="4" w:space="20" w:color="FFFFFF" w:themeColor="background1"/>
        <w:right w:val="single" w:sz="2" w:space="20" w:color="FFFFFF" w:themeColor="background1"/>
      </w:pBdr>
      <w:spacing w:after="0" w:line="240" w:lineRule="auto"/>
    </w:pPr>
  </w:style>
  <w:style w:type="character" w:customStyle="1" w:styleId="FooterChar">
    <w:name w:val="Footer Char"/>
    <w:basedOn w:val="DefaultParagraphFont"/>
    <w:link w:val="Footer"/>
    <w:uiPriority w:val="99"/>
    <w:rsid w:val="002E7F6D"/>
    <w:rPr>
      <w:kern w:val="20"/>
    </w:rPr>
  </w:style>
  <w:style w:type="table" w:styleId="TableGrid">
    <w:name w:val="Table Grid"/>
    <w:basedOn w:val="TableNormal"/>
    <w:uiPriority w:val="59"/>
    <w:rsid w:val="002E7F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E7F6D"/>
    <w:pPr>
      <w:spacing w:after="0" w:line="240" w:lineRule="auto"/>
    </w:pPr>
  </w:style>
  <w:style w:type="paragraph" w:styleId="BalloonText">
    <w:name w:val="Balloon Text"/>
    <w:basedOn w:val="Normal"/>
    <w:link w:val="BalloonTextChar"/>
    <w:uiPriority w:val="99"/>
    <w:semiHidden/>
    <w:unhideWhenUsed/>
    <w:rsid w:val="002E7F6D"/>
    <w:pPr>
      <w:spacing w:after="0" w:line="240" w:lineRule="auto"/>
    </w:pPr>
    <w:rPr>
      <w:rFonts w:ascii="Tahoma" w:hAnsi="Tahoma" w:cs="Tahoma"/>
      <w:sz w:val="16"/>
    </w:rPr>
  </w:style>
  <w:style w:type="character" w:customStyle="1" w:styleId="BalloonTextChar">
    <w:name w:val="Balloon Text Char"/>
    <w:basedOn w:val="DefaultParagraphFont"/>
    <w:link w:val="BalloonText"/>
    <w:uiPriority w:val="99"/>
    <w:semiHidden/>
    <w:rsid w:val="002E7F6D"/>
    <w:rPr>
      <w:rFonts w:ascii="Tahoma" w:hAnsi="Tahoma" w:cs="Tahoma"/>
      <w:sz w:val="16"/>
    </w:rPr>
  </w:style>
  <w:style w:type="character" w:customStyle="1" w:styleId="Heading1Char">
    <w:name w:val="Heading 1 Char"/>
    <w:basedOn w:val="DefaultParagraphFont"/>
    <w:link w:val="Heading1"/>
    <w:uiPriority w:val="1"/>
    <w:rsid w:val="004A416C"/>
    <w:rPr>
      <w:rFonts w:asciiTheme="majorHAnsi" w:eastAsiaTheme="majorEastAsia" w:hAnsiTheme="majorHAnsi" w:cstheme="majorBidi"/>
      <w:caps/>
      <w:color w:val="FFFFFF" w:themeColor="background1"/>
      <w:kern w:val="20"/>
      <w:sz w:val="36"/>
      <w:szCs w:val="36"/>
      <w:shd w:val="clear" w:color="auto" w:fill="98C723" w:themeFill="accent1"/>
      <w:lang w:val="bg-BG"/>
    </w:rPr>
  </w:style>
  <w:style w:type="character" w:customStyle="1" w:styleId="Heading2Char">
    <w:name w:val="Heading 2 Char"/>
    <w:basedOn w:val="DefaultParagraphFont"/>
    <w:link w:val="Heading2"/>
    <w:uiPriority w:val="1"/>
    <w:rsid w:val="006E17D6"/>
    <w:rPr>
      <w:rFonts w:asciiTheme="majorHAnsi" w:eastAsiaTheme="majorEastAsia" w:hAnsiTheme="majorHAnsi" w:cstheme="majorBidi"/>
      <w:caps/>
      <w:color w:val="71941A" w:themeColor="accent1" w:themeShade="BF"/>
      <w:kern w:val="20"/>
      <w:sz w:val="26"/>
      <w:szCs w:val="26"/>
      <w:lang w:val="bg-BG"/>
    </w:rPr>
  </w:style>
  <w:style w:type="character" w:styleId="PlaceholderText">
    <w:name w:val="Placeholder Text"/>
    <w:basedOn w:val="DefaultParagraphFont"/>
    <w:uiPriority w:val="99"/>
    <w:semiHidden/>
    <w:rsid w:val="002E7F6D"/>
    <w:rPr>
      <w:color w:val="808080"/>
    </w:rPr>
  </w:style>
  <w:style w:type="paragraph" w:styleId="Quote">
    <w:name w:val="Quote"/>
    <w:basedOn w:val="Normal"/>
    <w:next w:val="Normal"/>
    <w:link w:val="QuoteChar"/>
    <w:uiPriority w:val="9"/>
    <w:unhideWhenUsed/>
    <w:qFormat/>
    <w:rsid w:val="002E7F6D"/>
    <w:pPr>
      <w:spacing w:before="240" w:after="240"/>
      <w:ind w:left="720" w:right="720"/>
    </w:pPr>
    <w:rPr>
      <w:i/>
      <w:iCs/>
      <w:noProof/>
      <w:color w:val="98C723" w:themeColor="accent1"/>
      <w:sz w:val="28"/>
    </w:rPr>
  </w:style>
  <w:style w:type="character" w:customStyle="1" w:styleId="QuoteChar">
    <w:name w:val="Quote Char"/>
    <w:basedOn w:val="DefaultParagraphFont"/>
    <w:link w:val="Quote"/>
    <w:uiPriority w:val="9"/>
    <w:rsid w:val="002E7F6D"/>
    <w:rPr>
      <w:i/>
      <w:iCs/>
      <w:noProof/>
      <w:color w:val="98C723" w:themeColor="accent1"/>
      <w:kern w:val="20"/>
      <w:sz w:val="28"/>
    </w:rPr>
  </w:style>
  <w:style w:type="paragraph" w:styleId="Bibliography">
    <w:name w:val="Bibliography"/>
    <w:basedOn w:val="Normal"/>
    <w:next w:val="Normal"/>
    <w:uiPriority w:val="37"/>
    <w:semiHidden/>
    <w:unhideWhenUsed/>
    <w:rsid w:val="002E7F6D"/>
  </w:style>
  <w:style w:type="paragraph" w:styleId="BlockText">
    <w:name w:val="Block Text"/>
    <w:basedOn w:val="Normal"/>
    <w:uiPriority w:val="99"/>
    <w:semiHidden/>
    <w:unhideWhenUsed/>
    <w:rsid w:val="002E7F6D"/>
    <w:pPr>
      <w:pBdr>
        <w:top w:val="single" w:sz="2" w:space="10" w:color="98C723" w:themeColor="accent1" w:frame="1"/>
        <w:left w:val="single" w:sz="2" w:space="10" w:color="98C723" w:themeColor="accent1" w:frame="1"/>
        <w:bottom w:val="single" w:sz="2" w:space="10" w:color="98C723" w:themeColor="accent1" w:frame="1"/>
        <w:right w:val="single" w:sz="2" w:space="10" w:color="98C723" w:themeColor="accent1" w:frame="1"/>
      </w:pBdr>
      <w:ind w:left="1152" w:right="1152"/>
    </w:pPr>
    <w:rPr>
      <w:i/>
      <w:iCs/>
      <w:color w:val="98C723" w:themeColor="accent1"/>
    </w:rPr>
  </w:style>
  <w:style w:type="paragraph" w:styleId="BodyText">
    <w:name w:val="Body Text"/>
    <w:basedOn w:val="Normal"/>
    <w:link w:val="BodyTextChar"/>
    <w:uiPriority w:val="99"/>
    <w:semiHidden/>
    <w:unhideWhenUsed/>
    <w:rsid w:val="002E7F6D"/>
  </w:style>
  <w:style w:type="character" w:customStyle="1" w:styleId="BodyTextChar">
    <w:name w:val="Body Text Char"/>
    <w:basedOn w:val="DefaultParagraphFont"/>
    <w:link w:val="BodyText"/>
    <w:uiPriority w:val="99"/>
    <w:semiHidden/>
    <w:rsid w:val="002E7F6D"/>
  </w:style>
  <w:style w:type="paragraph" w:styleId="BodyText2">
    <w:name w:val="Body Text 2"/>
    <w:basedOn w:val="Normal"/>
    <w:link w:val="BodyText2Char"/>
    <w:uiPriority w:val="99"/>
    <w:semiHidden/>
    <w:unhideWhenUsed/>
    <w:rsid w:val="002E7F6D"/>
    <w:pPr>
      <w:spacing w:line="480" w:lineRule="auto"/>
    </w:pPr>
  </w:style>
  <w:style w:type="character" w:customStyle="1" w:styleId="BodyText2Char">
    <w:name w:val="Body Text 2 Char"/>
    <w:basedOn w:val="DefaultParagraphFont"/>
    <w:link w:val="BodyText2"/>
    <w:uiPriority w:val="99"/>
    <w:semiHidden/>
    <w:rsid w:val="002E7F6D"/>
  </w:style>
  <w:style w:type="paragraph" w:styleId="BodyText3">
    <w:name w:val="Body Text 3"/>
    <w:basedOn w:val="Normal"/>
    <w:link w:val="BodyText3Char"/>
    <w:uiPriority w:val="99"/>
    <w:semiHidden/>
    <w:unhideWhenUsed/>
    <w:rsid w:val="002E7F6D"/>
    <w:rPr>
      <w:sz w:val="16"/>
    </w:rPr>
  </w:style>
  <w:style w:type="character" w:customStyle="1" w:styleId="BodyText3Char">
    <w:name w:val="Body Text 3 Char"/>
    <w:basedOn w:val="DefaultParagraphFont"/>
    <w:link w:val="BodyText3"/>
    <w:uiPriority w:val="99"/>
    <w:semiHidden/>
    <w:rsid w:val="002E7F6D"/>
    <w:rPr>
      <w:sz w:val="16"/>
    </w:rPr>
  </w:style>
  <w:style w:type="paragraph" w:styleId="BodyTextFirstIndent">
    <w:name w:val="Body Text First Indent"/>
    <w:basedOn w:val="BodyText"/>
    <w:link w:val="BodyTextFirstIndentChar"/>
    <w:uiPriority w:val="99"/>
    <w:semiHidden/>
    <w:unhideWhenUsed/>
    <w:rsid w:val="002E7F6D"/>
    <w:pPr>
      <w:spacing w:after="200"/>
      <w:ind w:firstLine="360"/>
    </w:pPr>
  </w:style>
  <w:style w:type="character" w:customStyle="1" w:styleId="BodyTextFirstIndentChar">
    <w:name w:val="Body Text First Indent Char"/>
    <w:basedOn w:val="BodyTextChar"/>
    <w:link w:val="BodyTextFirstIndent"/>
    <w:uiPriority w:val="99"/>
    <w:semiHidden/>
    <w:rsid w:val="002E7F6D"/>
  </w:style>
  <w:style w:type="paragraph" w:styleId="BodyTextIndent">
    <w:name w:val="Body Text Indent"/>
    <w:basedOn w:val="Normal"/>
    <w:link w:val="BodyTextIndentChar"/>
    <w:uiPriority w:val="99"/>
    <w:semiHidden/>
    <w:unhideWhenUsed/>
    <w:rsid w:val="002E7F6D"/>
    <w:pPr>
      <w:ind w:left="360"/>
    </w:pPr>
  </w:style>
  <w:style w:type="character" w:customStyle="1" w:styleId="BodyTextIndentChar">
    <w:name w:val="Body Text Indent Char"/>
    <w:basedOn w:val="DefaultParagraphFont"/>
    <w:link w:val="BodyTextIndent"/>
    <w:uiPriority w:val="99"/>
    <w:semiHidden/>
    <w:rsid w:val="002E7F6D"/>
  </w:style>
  <w:style w:type="paragraph" w:styleId="BodyTextFirstIndent2">
    <w:name w:val="Body Text First Indent 2"/>
    <w:basedOn w:val="BodyTextIndent"/>
    <w:link w:val="BodyTextFirstIndent2Char"/>
    <w:uiPriority w:val="99"/>
    <w:semiHidden/>
    <w:unhideWhenUsed/>
    <w:rsid w:val="002E7F6D"/>
    <w:pPr>
      <w:spacing w:after="200"/>
      <w:ind w:firstLine="360"/>
    </w:pPr>
  </w:style>
  <w:style w:type="character" w:customStyle="1" w:styleId="BodyTextFirstIndent2Char">
    <w:name w:val="Body Text First Indent 2 Char"/>
    <w:basedOn w:val="BodyTextIndentChar"/>
    <w:link w:val="BodyTextFirstIndent2"/>
    <w:uiPriority w:val="99"/>
    <w:semiHidden/>
    <w:rsid w:val="002E7F6D"/>
  </w:style>
  <w:style w:type="paragraph" w:styleId="BodyTextIndent2">
    <w:name w:val="Body Text Indent 2"/>
    <w:basedOn w:val="Normal"/>
    <w:link w:val="BodyTextIndent2Char"/>
    <w:uiPriority w:val="99"/>
    <w:semiHidden/>
    <w:unhideWhenUsed/>
    <w:rsid w:val="002E7F6D"/>
    <w:pPr>
      <w:spacing w:line="480" w:lineRule="auto"/>
      <w:ind w:left="360"/>
    </w:pPr>
  </w:style>
  <w:style w:type="character" w:customStyle="1" w:styleId="BodyTextIndent2Char">
    <w:name w:val="Body Text Indent 2 Char"/>
    <w:basedOn w:val="DefaultParagraphFont"/>
    <w:link w:val="BodyTextIndent2"/>
    <w:uiPriority w:val="99"/>
    <w:semiHidden/>
    <w:rsid w:val="002E7F6D"/>
  </w:style>
  <w:style w:type="paragraph" w:styleId="BodyTextIndent3">
    <w:name w:val="Body Text Indent 3"/>
    <w:basedOn w:val="Normal"/>
    <w:link w:val="BodyTextIndent3Char"/>
    <w:uiPriority w:val="99"/>
    <w:semiHidden/>
    <w:unhideWhenUsed/>
    <w:rsid w:val="002E7F6D"/>
    <w:pPr>
      <w:ind w:left="360"/>
    </w:pPr>
    <w:rPr>
      <w:sz w:val="16"/>
    </w:rPr>
  </w:style>
  <w:style w:type="character" w:customStyle="1" w:styleId="BodyTextIndent3Char">
    <w:name w:val="Body Text Indent 3 Char"/>
    <w:basedOn w:val="DefaultParagraphFont"/>
    <w:link w:val="BodyTextIndent3"/>
    <w:uiPriority w:val="99"/>
    <w:semiHidden/>
    <w:rsid w:val="002E7F6D"/>
    <w:rPr>
      <w:sz w:val="16"/>
    </w:rPr>
  </w:style>
  <w:style w:type="character" w:styleId="BookTitle">
    <w:name w:val="Book Title"/>
    <w:basedOn w:val="DefaultParagraphFont"/>
    <w:uiPriority w:val="33"/>
    <w:semiHidden/>
    <w:unhideWhenUsed/>
    <w:rsid w:val="002E7F6D"/>
    <w:rPr>
      <w:b/>
      <w:bCs/>
      <w:smallCaps/>
      <w:spacing w:val="5"/>
    </w:rPr>
  </w:style>
  <w:style w:type="paragraph" w:styleId="Caption">
    <w:name w:val="caption"/>
    <w:basedOn w:val="Normal"/>
    <w:next w:val="Normal"/>
    <w:uiPriority w:val="35"/>
    <w:unhideWhenUsed/>
    <w:qFormat/>
    <w:rsid w:val="001B0812"/>
    <w:pPr>
      <w:spacing w:line="240" w:lineRule="auto"/>
    </w:pPr>
    <w:rPr>
      <w:b/>
      <w:bCs/>
      <w:color w:val="5B6973" w:themeColor="text2"/>
      <w:sz w:val="20"/>
    </w:rPr>
  </w:style>
  <w:style w:type="paragraph" w:styleId="Closing">
    <w:name w:val="Closing"/>
    <w:basedOn w:val="Normal"/>
    <w:link w:val="ClosingChar"/>
    <w:uiPriority w:val="99"/>
    <w:semiHidden/>
    <w:unhideWhenUsed/>
    <w:rsid w:val="002E7F6D"/>
    <w:pPr>
      <w:spacing w:after="0" w:line="240" w:lineRule="auto"/>
      <w:ind w:left="4320"/>
    </w:pPr>
  </w:style>
  <w:style w:type="character" w:customStyle="1" w:styleId="ClosingChar">
    <w:name w:val="Closing Char"/>
    <w:basedOn w:val="DefaultParagraphFont"/>
    <w:link w:val="Closing"/>
    <w:uiPriority w:val="99"/>
    <w:semiHidden/>
    <w:rsid w:val="002E7F6D"/>
  </w:style>
  <w:style w:type="table" w:customStyle="1" w:styleId="ColorfulGrid1">
    <w:name w:val="Colorful Grid1"/>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F6CF" w:themeFill="accent1" w:themeFillTint="33"/>
    </w:tcPr>
    <w:tblStylePr w:type="firstRow">
      <w:rPr>
        <w:b/>
        <w:bCs/>
      </w:rPr>
      <w:tblPr/>
      <w:tcPr>
        <w:shd w:val="clear" w:color="auto" w:fill="D7EEA0" w:themeFill="accent1" w:themeFillTint="66"/>
      </w:tcPr>
    </w:tblStylePr>
    <w:tblStylePr w:type="lastRow">
      <w:rPr>
        <w:b/>
        <w:bCs/>
        <w:color w:val="000000" w:themeColor="text1"/>
      </w:rPr>
      <w:tblPr/>
      <w:tcPr>
        <w:shd w:val="clear" w:color="auto" w:fill="D7EEA0" w:themeFill="accent1" w:themeFillTint="66"/>
      </w:tcPr>
    </w:tblStylePr>
    <w:tblStylePr w:type="firstCol">
      <w:rPr>
        <w:color w:val="FFFFFF" w:themeColor="background1"/>
      </w:rPr>
      <w:tblPr/>
      <w:tcPr>
        <w:shd w:val="clear" w:color="auto" w:fill="71941A" w:themeFill="accent1" w:themeFillShade="BF"/>
      </w:tcPr>
    </w:tblStylePr>
    <w:tblStylePr w:type="lastCol">
      <w:rPr>
        <w:color w:val="FFFFFF" w:themeColor="background1"/>
      </w:rPr>
      <w:tblPr/>
      <w:tcPr>
        <w:shd w:val="clear" w:color="auto" w:fill="71941A" w:themeFill="accent1" w:themeFillShade="BF"/>
      </w:tcPr>
    </w:tblStylePr>
    <w:tblStylePr w:type="band1Vert">
      <w:tblPr/>
      <w:tcPr>
        <w:shd w:val="clear" w:color="auto" w:fill="CEEA89" w:themeFill="accent1" w:themeFillTint="7F"/>
      </w:tcPr>
    </w:tblStylePr>
    <w:tblStylePr w:type="band1Horz">
      <w:tblPr/>
      <w:tcPr>
        <w:shd w:val="clear" w:color="auto" w:fill="CEEA89" w:themeFill="accent1" w:themeFillTint="7F"/>
      </w:tcPr>
    </w:tblStylePr>
  </w:style>
  <w:style w:type="table" w:styleId="ColorfulGrid-Accent2">
    <w:name w:val="Colorful Grid Accent 2"/>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DEFF1" w:themeFill="accent2" w:themeFillTint="33"/>
    </w:tcPr>
    <w:tblStylePr w:type="firstRow">
      <w:rPr>
        <w:b/>
        <w:bCs/>
      </w:rPr>
      <w:tblPr/>
      <w:tcPr>
        <w:shd w:val="clear" w:color="auto" w:fill="BCDFE3" w:themeFill="accent2" w:themeFillTint="66"/>
      </w:tcPr>
    </w:tblStylePr>
    <w:tblStylePr w:type="lastRow">
      <w:rPr>
        <w:b/>
        <w:bCs/>
        <w:color w:val="000000" w:themeColor="text1"/>
      </w:rPr>
      <w:tblPr/>
      <w:tcPr>
        <w:shd w:val="clear" w:color="auto" w:fill="BCDFE3" w:themeFill="accent2" w:themeFillTint="66"/>
      </w:tcPr>
    </w:tblStylePr>
    <w:tblStylePr w:type="firstCol">
      <w:rPr>
        <w:color w:val="FFFFFF" w:themeColor="background1"/>
      </w:rPr>
      <w:tblPr/>
      <w:tcPr>
        <w:shd w:val="clear" w:color="auto" w:fill="3C8890" w:themeFill="accent2" w:themeFillShade="BF"/>
      </w:tcPr>
    </w:tblStylePr>
    <w:tblStylePr w:type="lastCol">
      <w:rPr>
        <w:color w:val="FFFFFF" w:themeColor="background1"/>
      </w:rPr>
      <w:tblPr/>
      <w:tcPr>
        <w:shd w:val="clear" w:color="auto" w:fill="3C8890" w:themeFill="accent2" w:themeFillShade="BF"/>
      </w:tcPr>
    </w:tblStylePr>
    <w:tblStylePr w:type="band1Vert">
      <w:tblPr/>
      <w:tcPr>
        <w:shd w:val="clear" w:color="auto" w:fill="ACD7DC" w:themeFill="accent2" w:themeFillTint="7F"/>
      </w:tcPr>
    </w:tblStylePr>
    <w:tblStylePr w:type="band1Horz">
      <w:tblPr/>
      <w:tcPr>
        <w:shd w:val="clear" w:color="auto" w:fill="ACD7DC" w:themeFill="accent2" w:themeFillTint="7F"/>
      </w:tcPr>
    </w:tblStylePr>
  </w:style>
  <w:style w:type="table" w:styleId="ColorfulGrid-Accent3">
    <w:name w:val="Colorful Grid Accent 3"/>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FF2C5" w:themeFill="accent3" w:themeFillTint="33"/>
    </w:tcPr>
    <w:tblStylePr w:type="firstRow">
      <w:rPr>
        <w:b/>
        <w:bCs/>
      </w:rPr>
      <w:tblPr/>
      <w:tcPr>
        <w:shd w:val="clear" w:color="auto" w:fill="FFE58B" w:themeFill="accent3" w:themeFillTint="66"/>
      </w:tcPr>
    </w:tblStylePr>
    <w:tblStylePr w:type="lastRow">
      <w:rPr>
        <w:b/>
        <w:bCs/>
        <w:color w:val="000000" w:themeColor="text1"/>
      </w:rPr>
      <w:tblPr/>
      <w:tcPr>
        <w:shd w:val="clear" w:color="auto" w:fill="FFE58B" w:themeFill="accent3" w:themeFillTint="66"/>
      </w:tcPr>
    </w:tblStylePr>
    <w:tblStylePr w:type="firstCol">
      <w:rPr>
        <w:color w:val="FFFFFF" w:themeColor="background1"/>
      </w:rPr>
      <w:tblPr/>
      <w:tcPr>
        <w:shd w:val="clear" w:color="auto" w:fill="A68100" w:themeFill="accent3" w:themeFillShade="BF"/>
      </w:tcPr>
    </w:tblStylePr>
    <w:tblStylePr w:type="lastCol">
      <w:rPr>
        <w:color w:val="FFFFFF" w:themeColor="background1"/>
      </w:rPr>
      <w:tblPr/>
      <w:tcPr>
        <w:shd w:val="clear" w:color="auto" w:fill="A68100" w:themeFill="accent3" w:themeFillShade="BF"/>
      </w:tcPr>
    </w:tblStylePr>
    <w:tblStylePr w:type="band1Vert">
      <w:tblPr/>
      <w:tcPr>
        <w:shd w:val="clear" w:color="auto" w:fill="FFDF6F" w:themeFill="accent3" w:themeFillTint="7F"/>
      </w:tcPr>
    </w:tblStylePr>
    <w:tblStylePr w:type="band1Horz">
      <w:tblPr/>
      <w:tcPr>
        <w:shd w:val="clear" w:color="auto" w:fill="FFDF6F" w:themeFill="accent3" w:themeFillTint="7F"/>
      </w:tcPr>
    </w:tblStylePr>
  </w:style>
  <w:style w:type="table" w:styleId="ColorfulGrid-Accent4">
    <w:name w:val="Colorful Grid Accent 4"/>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4F0" w:themeFill="accent4" w:themeFillTint="33"/>
    </w:tcPr>
    <w:tblStylePr w:type="firstRow">
      <w:rPr>
        <w:b/>
        <w:bCs/>
      </w:rPr>
      <w:tblPr/>
      <w:tcPr>
        <w:shd w:val="clear" w:color="auto" w:fill="E2CAE1" w:themeFill="accent4" w:themeFillTint="66"/>
      </w:tcPr>
    </w:tblStylePr>
    <w:tblStylePr w:type="lastRow">
      <w:rPr>
        <w:b/>
        <w:bCs/>
        <w:color w:val="000000" w:themeColor="text1"/>
      </w:rPr>
      <w:tblPr/>
      <w:tcPr>
        <w:shd w:val="clear" w:color="auto" w:fill="E2CAE1" w:themeFill="accent4" w:themeFillTint="66"/>
      </w:tcPr>
    </w:tblStylePr>
    <w:tblStylePr w:type="firstCol">
      <w:rPr>
        <w:color w:val="FFFFFF" w:themeColor="background1"/>
      </w:rPr>
      <w:tblPr/>
      <w:tcPr>
        <w:shd w:val="clear" w:color="auto" w:fill="945090" w:themeFill="accent4" w:themeFillShade="BF"/>
      </w:tcPr>
    </w:tblStylePr>
    <w:tblStylePr w:type="lastCol">
      <w:rPr>
        <w:color w:val="FFFFFF" w:themeColor="background1"/>
      </w:rPr>
      <w:tblPr/>
      <w:tcPr>
        <w:shd w:val="clear" w:color="auto" w:fill="945090" w:themeFill="accent4" w:themeFillShade="BF"/>
      </w:tcPr>
    </w:tblStylePr>
    <w:tblStylePr w:type="band1Vert">
      <w:tblPr/>
      <w:tcPr>
        <w:shd w:val="clear" w:color="auto" w:fill="DBBDD9" w:themeFill="accent4" w:themeFillTint="7F"/>
      </w:tcPr>
    </w:tblStylePr>
    <w:tblStylePr w:type="band1Horz">
      <w:tblPr/>
      <w:tcPr>
        <w:shd w:val="clear" w:color="auto" w:fill="DBBDD9" w:themeFill="accent4" w:themeFillTint="7F"/>
      </w:tcPr>
    </w:tblStylePr>
  </w:style>
  <w:style w:type="table" w:styleId="ColorfulGrid-Accent5">
    <w:name w:val="Colorful Grid Accent 5"/>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8E3D7" w:themeFill="accent5" w:themeFillTint="33"/>
    </w:tcPr>
    <w:tblStylePr w:type="firstRow">
      <w:rPr>
        <w:b/>
        <w:bCs/>
      </w:rPr>
      <w:tblPr/>
      <w:tcPr>
        <w:shd w:val="clear" w:color="auto" w:fill="F2C8B0" w:themeFill="accent5" w:themeFillTint="66"/>
      </w:tcPr>
    </w:tblStylePr>
    <w:tblStylePr w:type="lastRow">
      <w:rPr>
        <w:b/>
        <w:bCs/>
        <w:color w:val="000000" w:themeColor="text1"/>
      </w:rPr>
      <w:tblPr/>
      <w:tcPr>
        <w:shd w:val="clear" w:color="auto" w:fill="F2C8B0" w:themeFill="accent5" w:themeFillTint="66"/>
      </w:tcPr>
    </w:tblStylePr>
    <w:tblStylePr w:type="firstCol">
      <w:rPr>
        <w:color w:val="FFFFFF" w:themeColor="background1"/>
      </w:rPr>
      <w:tblPr/>
      <w:tcPr>
        <w:shd w:val="clear" w:color="auto" w:fill="B7541D" w:themeFill="accent5" w:themeFillShade="BF"/>
      </w:tcPr>
    </w:tblStylePr>
    <w:tblStylePr w:type="lastCol">
      <w:rPr>
        <w:color w:val="FFFFFF" w:themeColor="background1"/>
      </w:rPr>
      <w:tblPr/>
      <w:tcPr>
        <w:shd w:val="clear" w:color="auto" w:fill="B7541D" w:themeFill="accent5" w:themeFillShade="BF"/>
      </w:tcPr>
    </w:tblStylePr>
    <w:tblStylePr w:type="band1Vert">
      <w:tblPr/>
      <w:tcPr>
        <w:shd w:val="clear" w:color="auto" w:fill="EFBA9D" w:themeFill="accent5" w:themeFillTint="7F"/>
      </w:tcPr>
    </w:tblStylePr>
    <w:tblStylePr w:type="band1Horz">
      <w:tblPr/>
      <w:tcPr>
        <w:shd w:val="clear" w:color="auto" w:fill="EFBA9D" w:themeFill="accent5" w:themeFillTint="7F"/>
      </w:tcPr>
    </w:tblStylePr>
  </w:style>
  <w:style w:type="table" w:styleId="ColorfulGrid-Accent6">
    <w:name w:val="Colorful Grid Accent 6"/>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DE8DF" w:themeFill="accent6" w:themeFillTint="33"/>
    </w:tcPr>
    <w:tblStylePr w:type="firstRow">
      <w:rPr>
        <w:b/>
        <w:bCs/>
      </w:rPr>
      <w:tblPr/>
      <w:tcPr>
        <w:shd w:val="clear" w:color="auto" w:fill="DCD1C0" w:themeFill="accent6" w:themeFillTint="66"/>
      </w:tcPr>
    </w:tblStylePr>
    <w:tblStylePr w:type="lastRow">
      <w:rPr>
        <w:b/>
        <w:bCs/>
        <w:color w:val="000000" w:themeColor="text1"/>
      </w:rPr>
      <w:tblPr/>
      <w:tcPr>
        <w:shd w:val="clear" w:color="auto" w:fill="DCD1C0" w:themeFill="accent6" w:themeFillTint="66"/>
      </w:tcPr>
    </w:tblStylePr>
    <w:tblStylePr w:type="firstCol">
      <w:rPr>
        <w:color w:val="FFFFFF" w:themeColor="background1"/>
      </w:rPr>
      <w:tblPr/>
      <w:tcPr>
        <w:shd w:val="clear" w:color="auto" w:fill="816A47" w:themeFill="accent6" w:themeFillShade="BF"/>
      </w:tcPr>
    </w:tblStylePr>
    <w:tblStylePr w:type="lastCol">
      <w:rPr>
        <w:color w:val="FFFFFF" w:themeColor="background1"/>
      </w:rPr>
      <w:tblPr/>
      <w:tcPr>
        <w:shd w:val="clear" w:color="auto" w:fill="816A47" w:themeFill="accent6" w:themeFillShade="BF"/>
      </w:tcPr>
    </w:tblStylePr>
    <w:tblStylePr w:type="band1Vert">
      <w:tblPr/>
      <w:tcPr>
        <w:shd w:val="clear" w:color="auto" w:fill="D4C6B1" w:themeFill="accent6" w:themeFillTint="7F"/>
      </w:tcPr>
    </w:tblStylePr>
    <w:tblStylePr w:type="band1Horz">
      <w:tblPr/>
      <w:tcPr>
        <w:shd w:val="clear" w:color="auto" w:fill="D4C6B1" w:themeFill="accent6" w:themeFillTint="7F"/>
      </w:tcPr>
    </w:tblStylePr>
  </w:style>
  <w:style w:type="table" w:customStyle="1" w:styleId="ColorfulList1">
    <w:name w:val="Colorful List1"/>
    <w:basedOn w:val="TableNormal"/>
    <w:uiPriority w:val="72"/>
    <w:rsid w:val="002E7F6D"/>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1919A" w:themeFill="accent2" w:themeFillShade="CC"/>
      </w:tcPr>
    </w:tblStylePr>
    <w:tblStylePr w:type="lastRow">
      <w:rPr>
        <w:b/>
        <w:bCs/>
        <w:color w:val="41919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2E7F6D"/>
    <w:pPr>
      <w:spacing w:after="0" w:line="240" w:lineRule="auto"/>
    </w:pPr>
    <w:rPr>
      <w:color w:val="000000" w:themeColor="text1"/>
    </w:rPr>
    <w:tblPr>
      <w:tblStyleRowBandSize w:val="1"/>
      <w:tblStyleColBandSize w:val="1"/>
    </w:tblPr>
    <w:tcPr>
      <w:shd w:val="clear" w:color="auto" w:fill="F5FBE7" w:themeFill="accent1" w:themeFillTint="19"/>
    </w:tcPr>
    <w:tblStylePr w:type="firstRow">
      <w:rPr>
        <w:b/>
        <w:bCs/>
        <w:color w:val="FFFFFF" w:themeColor="background1"/>
      </w:rPr>
      <w:tblPr/>
      <w:tcPr>
        <w:tcBorders>
          <w:bottom w:val="single" w:sz="12" w:space="0" w:color="FFFFFF" w:themeColor="background1"/>
        </w:tcBorders>
        <w:shd w:val="clear" w:color="auto" w:fill="41919A" w:themeFill="accent2" w:themeFillShade="CC"/>
      </w:tcPr>
    </w:tblStylePr>
    <w:tblStylePr w:type="lastRow">
      <w:rPr>
        <w:b/>
        <w:bCs/>
        <w:color w:val="41919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F4C4" w:themeFill="accent1" w:themeFillTint="3F"/>
      </w:tcPr>
    </w:tblStylePr>
    <w:tblStylePr w:type="band1Horz">
      <w:tblPr/>
      <w:tcPr>
        <w:shd w:val="clear" w:color="auto" w:fill="EBF6CF" w:themeFill="accent1" w:themeFillTint="33"/>
      </w:tcPr>
    </w:tblStylePr>
  </w:style>
  <w:style w:type="table" w:styleId="ColorfulList-Accent2">
    <w:name w:val="Colorful List Accent 2"/>
    <w:basedOn w:val="TableNormal"/>
    <w:uiPriority w:val="72"/>
    <w:rsid w:val="002E7F6D"/>
    <w:pPr>
      <w:spacing w:after="0" w:line="240" w:lineRule="auto"/>
    </w:pPr>
    <w:rPr>
      <w:color w:val="000000" w:themeColor="text1"/>
    </w:rPr>
    <w:tblPr>
      <w:tblStyleRowBandSize w:val="1"/>
      <w:tblStyleColBandSize w:val="1"/>
    </w:tblPr>
    <w:tcPr>
      <w:shd w:val="clear" w:color="auto" w:fill="EEF7F8" w:themeFill="accent2" w:themeFillTint="19"/>
    </w:tcPr>
    <w:tblStylePr w:type="firstRow">
      <w:rPr>
        <w:b/>
        <w:bCs/>
        <w:color w:val="FFFFFF" w:themeColor="background1"/>
      </w:rPr>
      <w:tblPr/>
      <w:tcPr>
        <w:tcBorders>
          <w:bottom w:val="single" w:sz="12" w:space="0" w:color="FFFFFF" w:themeColor="background1"/>
        </w:tcBorders>
        <w:shd w:val="clear" w:color="auto" w:fill="41919A" w:themeFill="accent2" w:themeFillShade="CC"/>
      </w:tcPr>
    </w:tblStylePr>
    <w:tblStylePr w:type="lastRow">
      <w:rPr>
        <w:b/>
        <w:bCs/>
        <w:color w:val="41919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EBED" w:themeFill="accent2" w:themeFillTint="3F"/>
      </w:tcPr>
    </w:tblStylePr>
    <w:tblStylePr w:type="band1Horz">
      <w:tblPr/>
      <w:tcPr>
        <w:shd w:val="clear" w:color="auto" w:fill="DDEFF1" w:themeFill="accent2" w:themeFillTint="33"/>
      </w:tcPr>
    </w:tblStylePr>
  </w:style>
  <w:style w:type="table" w:styleId="ColorfulList-Accent3">
    <w:name w:val="Colorful List Accent 3"/>
    <w:basedOn w:val="TableNormal"/>
    <w:uiPriority w:val="72"/>
    <w:rsid w:val="002E7F6D"/>
    <w:pPr>
      <w:spacing w:after="0" w:line="240" w:lineRule="auto"/>
    </w:pPr>
    <w:rPr>
      <w:color w:val="000000" w:themeColor="text1"/>
    </w:rPr>
    <w:tblPr>
      <w:tblStyleRowBandSize w:val="1"/>
      <w:tblStyleColBandSize w:val="1"/>
    </w:tblPr>
    <w:tcPr>
      <w:shd w:val="clear" w:color="auto" w:fill="FFF8E2" w:themeFill="accent3" w:themeFillTint="19"/>
    </w:tcPr>
    <w:tblStylePr w:type="firstRow">
      <w:rPr>
        <w:b/>
        <w:bCs/>
        <w:color w:val="FFFFFF" w:themeColor="background1"/>
      </w:rPr>
      <w:tblPr/>
      <w:tcPr>
        <w:tcBorders>
          <w:bottom w:val="single" w:sz="12" w:space="0" w:color="FFFFFF" w:themeColor="background1"/>
        </w:tcBorders>
        <w:shd w:val="clear" w:color="auto" w:fill="9E569A" w:themeFill="accent4" w:themeFillShade="CC"/>
      </w:tcPr>
    </w:tblStylePr>
    <w:tblStylePr w:type="lastRow">
      <w:rPr>
        <w:b/>
        <w:bCs/>
        <w:color w:val="9E569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B7" w:themeFill="accent3" w:themeFillTint="3F"/>
      </w:tcPr>
    </w:tblStylePr>
    <w:tblStylePr w:type="band1Horz">
      <w:tblPr/>
      <w:tcPr>
        <w:shd w:val="clear" w:color="auto" w:fill="FFF2C5" w:themeFill="accent3" w:themeFillTint="33"/>
      </w:tcPr>
    </w:tblStylePr>
  </w:style>
  <w:style w:type="table" w:styleId="ColorfulList-Accent4">
    <w:name w:val="Colorful List Accent 4"/>
    <w:basedOn w:val="TableNormal"/>
    <w:uiPriority w:val="72"/>
    <w:rsid w:val="002E7F6D"/>
    <w:pPr>
      <w:spacing w:after="0" w:line="240" w:lineRule="auto"/>
    </w:pPr>
    <w:rPr>
      <w:color w:val="000000" w:themeColor="text1"/>
    </w:rPr>
    <w:tblPr>
      <w:tblStyleRowBandSize w:val="1"/>
      <w:tblStyleColBandSize w:val="1"/>
    </w:tblPr>
    <w:tcPr>
      <w:shd w:val="clear" w:color="auto" w:fill="F8F2F7" w:themeFill="accent4" w:themeFillTint="19"/>
    </w:tcPr>
    <w:tblStylePr w:type="firstRow">
      <w:rPr>
        <w:b/>
        <w:bCs/>
        <w:color w:val="FFFFFF" w:themeColor="background1"/>
      </w:rPr>
      <w:tblPr/>
      <w:tcPr>
        <w:tcBorders>
          <w:bottom w:val="single" w:sz="12" w:space="0" w:color="FFFFFF" w:themeColor="background1"/>
        </w:tcBorders>
        <w:shd w:val="clear" w:color="auto" w:fill="B18A00" w:themeFill="accent3" w:themeFillShade="CC"/>
      </w:tcPr>
    </w:tblStylePr>
    <w:tblStylePr w:type="lastRow">
      <w:rPr>
        <w:b/>
        <w:bCs/>
        <w:color w:val="B18A0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DDEEC" w:themeFill="accent4" w:themeFillTint="3F"/>
      </w:tcPr>
    </w:tblStylePr>
    <w:tblStylePr w:type="band1Horz">
      <w:tblPr/>
      <w:tcPr>
        <w:shd w:val="clear" w:color="auto" w:fill="F0E4F0" w:themeFill="accent4" w:themeFillTint="33"/>
      </w:tcPr>
    </w:tblStylePr>
  </w:style>
  <w:style w:type="table" w:styleId="ColorfulList-Accent5">
    <w:name w:val="Colorful List Accent 5"/>
    <w:basedOn w:val="TableNormal"/>
    <w:uiPriority w:val="72"/>
    <w:rsid w:val="002E7F6D"/>
    <w:pPr>
      <w:spacing w:after="0" w:line="240" w:lineRule="auto"/>
    </w:pPr>
    <w:rPr>
      <w:color w:val="000000" w:themeColor="text1"/>
    </w:rPr>
    <w:tblPr>
      <w:tblStyleRowBandSize w:val="1"/>
      <w:tblStyleColBandSize w:val="1"/>
    </w:tblPr>
    <w:tcPr>
      <w:shd w:val="clear" w:color="auto" w:fill="FCF1EB" w:themeFill="accent5" w:themeFillTint="19"/>
    </w:tcPr>
    <w:tblStylePr w:type="firstRow">
      <w:rPr>
        <w:b/>
        <w:bCs/>
        <w:color w:val="FFFFFF" w:themeColor="background1"/>
      </w:rPr>
      <w:tblPr/>
      <w:tcPr>
        <w:tcBorders>
          <w:bottom w:val="single" w:sz="12" w:space="0" w:color="FFFFFF" w:themeColor="background1"/>
        </w:tcBorders>
        <w:shd w:val="clear" w:color="auto" w:fill="8A714C" w:themeFill="accent6" w:themeFillShade="CC"/>
      </w:tcPr>
    </w:tblStylePr>
    <w:tblStylePr w:type="lastRow">
      <w:rPr>
        <w:b/>
        <w:bCs/>
        <w:color w:val="8A714C"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DDCE" w:themeFill="accent5" w:themeFillTint="3F"/>
      </w:tcPr>
    </w:tblStylePr>
    <w:tblStylePr w:type="band1Horz">
      <w:tblPr/>
      <w:tcPr>
        <w:shd w:val="clear" w:color="auto" w:fill="F8E3D7" w:themeFill="accent5" w:themeFillTint="33"/>
      </w:tcPr>
    </w:tblStylePr>
  </w:style>
  <w:style w:type="table" w:styleId="ColorfulList-Accent6">
    <w:name w:val="Colorful List Accent 6"/>
    <w:basedOn w:val="TableNormal"/>
    <w:uiPriority w:val="72"/>
    <w:rsid w:val="002E7F6D"/>
    <w:pPr>
      <w:spacing w:after="0" w:line="240" w:lineRule="auto"/>
    </w:pPr>
    <w:rPr>
      <w:color w:val="000000" w:themeColor="text1"/>
    </w:rPr>
    <w:tblPr>
      <w:tblStyleRowBandSize w:val="1"/>
      <w:tblStyleColBandSize w:val="1"/>
    </w:tblPr>
    <w:tcPr>
      <w:shd w:val="clear" w:color="auto" w:fill="F6F3EF" w:themeFill="accent6" w:themeFillTint="19"/>
    </w:tcPr>
    <w:tblStylePr w:type="firstRow">
      <w:rPr>
        <w:b/>
        <w:bCs/>
        <w:color w:val="FFFFFF" w:themeColor="background1"/>
      </w:rPr>
      <w:tblPr/>
      <w:tcPr>
        <w:tcBorders>
          <w:bottom w:val="single" w:sz="12" w:space="0" w:color="FFFFFF" w:themeColor="background1"/>
        </w:tcBorders>
        <w:shd w:val="clear" w:color="auto" w:fill="C3591F" w:themeFill="accent5" w:themeFillShade="CC"/>
      </w:tcPr>
    </w:tblStylePr>
    <w:tblStylePr w:type="lastRow">
      <w:rPr>
        <w:b/>
        <w:bCs/>
        <w:color w:val="C3591F"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E2D8" w:themeFill="accent6" w:themeFillTint="3F"/>
      </w:tcPr>
    </w:tblStylePr>
    <w:tblStylePr w:type="band1Horz">
      <w:tblPr/>
      <w:tcPr>
        <w:shd w:val="clear" w:color="auto" w:fill="EDE8DF" w:themeFill="accent6" w:themeFillTint="33"/>
      </w:tcPr>
    </w:tblStylePr>
  </w:style>
  <w:style w:type="table" w:customStyle="1" w:styleId="ColorfulShading1">
    <w:name w:val="Colorful Shading1"/>
    <w:basedOn w:val="TableNormal"/>
    <w:uiPriority w:val="71"/>
    <w:rsid w:val="002E7F6D"/>
    <w:pPr>
      <w:spacing w:after="0" w:line="240" w:lineRule="auto"/>
    </w:pPr>
    <w:rPr>
      <w:color w:val="000000" w:themeColor="text1"/>
    </w:rPr>
    <w:tblPr>
      <w:tblStyleRowBandSize w:val="1"/>
      <w:tblStyleColBandSize w:val="1"/>
      <w:tblBorders>
        <w:top w:val="single" w:sz="24" w:space="0" w:color="59B0B9"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2E7F6D"/>
    <w:pPr>
      <w:spacing w:after="0" w:line="240" w:lineRule="auto"/>
    </w:pPr>
    <w:rPr>
      <w:color w:val="000000" w:themeColor="text1"/>
    </w:rPr>
    <w:tblPr>
      <w:tblStyleRowBandSize w:val="1"/>
      <w:tblStyleColBandSize w:val="1"/>
      <w:tblBorders>
        <w:top w:val="single" w:sz="24" w:space="0" w:color="59B0B9" w:themeColor="accent2"/>
        <w:left w:val="single" w:sz="4" w:space="0" w:color="98C723" w:themeColor="accent1"/>
        <w:bottom w:val="single" w:sz="4" w:space="0" w:color="98C723" w:themeColor="accent1"/>
        <w:right w:val="single" w:sz="4" w:space="0" w:color="98C723" w:themeColor="accent1"/>
        <w:insideH w:val="single" w:sz="4" w:space="0" w:color="FFFFFF" w:themeColor="background1"/>
        <w:insideV w:val="single" w:sz="4" w:space="0" w:color="FFFFFF" w:themeColor="background1"/>
      </w:tblBorders>
    </w:tblPr>
    <w:tcPr>
      <w:shd w:val="clear" w:color="auto" w:fill="F5FBE7" w:themeFill="accent1" w:themeFillTint="19"/>
    </w:tcPr>
    <w:tblStylePr w:type="firstRow">
      <w:rPr>
        <w:b/>
        <w:bCs/>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A7715" w:themeFill="accent1" w:themeFillShade="99"/>
      </w:tcPr>
    </w:tblStylePr>
    <w:tblStylePr w:type="firstCol">
      <w:rPr>
        <w:color w:val="FFFFFF" w:themeColor="background1"/>
      </w:rPr>
      <w:tblPr/>
      <w:tcPr>
        <w:tcBorders>
          <w:top w:val="nil"/>
          <w:left w:val="nil"/>
          <w:bottom w:val="nil"/>
          <w:right w:val="nil"/>
          <w:insideH w:val="single" w:sz="4" w:space="0" w:color="5A7715" w:themeColor="accent1" w:themeShade="99"/>
          <w:insideV w:val="nil"/>
        </w:tcBorders>
        <w:shd w:val="clear" w:color="auto" w:fill="5A7715"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5A7715" w:themeFill="accent1" w:themeFillShade="99"/>
      </w:tcPr>
    </w:tblStylePr>
    <w:tblStylePr w:type="band1Vert">
      <w:tblPr/>
      <w:tcPr>
        <w:shd w:val="clear" w:color="auto" w:fill="D7EEA0" w:themeFill="accent1" w:themeFillTint="66"/>
      </w:tcPr>
    </w:tblStylePr>
    <w:tblStylePr w:type="band1Horz">
      <w:tblPr/>
      <w:tcPr>
        <w:shd w:val="clear" w:color="auto" w:fill="CEEA89"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2E7F6D"/>
    <w:pPr>
      <w:spacing w:after="0" w:line="240" w:lineRule="auto"/>
    </w:pPr>
    <w:rPr>
      <w:color w:val="000000" w:themeColor="text1"/>
    </w:rPr>
    <w:tblPr>
      <w:tblStyleRowBandSize w:val="1"/>
      <w:tblStyleColBandSize w:val="1"/>
      <w:tblBorders>
        <w:top w:val="single" w:sz="24" w:space="0" w:color="59B0B9" w:themeColor="accent2"/>
        <w:left w:val="single" w:sz="4" w:space="0" w:color="59B0B9" w:themeColor="accent2"/>
        <w:bottom w:val="single" w:sz="4" w:space="0" w:color="59B0B9" w:themeColor="accent2"/>
        <w:right w:val="single" w:sz="4" w:space="0" w:color="59B0B9" w:themeColor="accent2"/>
        <w:insideH w:val="single" w:sz="4" w:space="0" w:color="FFFFFF" w:themeColor="background1"/>
        <w:insideV w:val="single" w:sz="4" w:space="0" w:color="FFFFFF" w:themeColor="background1"/>
      </w:tblBorders>
    </w:tblPr>
    <w:tcPr>
      <w:shd w:val="clear" w:color="auto" w:fill="EEF7F8" w:themeFill="accent2" w:themeFillTint="19"/>
    </w:tcPr>
    <w:tblStylePr w:type="firstRow">
      <w:rPr>
        <w:b/>
        <w:bCs/>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06D73" w:themeFill="accent2" w:themeFillShade="99"/>
      </w:tcPr>
    </w:tblStylePr>
    <w:tblStylePr w:type="firstCol">
      <w:rPr>
        <w:color w:val="FFFFFF" w:themeColor="background1"/>
      </w:rPr>
      <w:tblPr/>
      <w:tcPr>
        <w:tcBorders>
          <w:top w:val="nil"/>
          <w:left w:val="nil"/>
          <w:bottom w:val="nil"/>
          <w:right w:val="nil"/>
          <w:insideH w:val="single" w:sz="4" w:space="0" w:color="306D73" w:themeColor="accent2" w:themeShade="99"/>
          <w:insideV w:val="nil"/>
        </w:tcBorders>
        <w:shd w:val="clear" w:color="auto" w:fill="306D73"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06D73" w:themeFill="accent2" w:themeFillShade="99"/>
      </w:tcPr>
    </w:tblStylePr>
    <w:tblStylePr w:type="band1Vert">
      <w:tblPr/>
      <w:tcPr>
        <w:shd w:val="clear" w:color="auto" w:fill="BCDFE3" w:themeFill="accent2" w:themeFillTint="66"/>
      </w:tcPr>
    </w:tblStylePr>
    <w:tblStylePr w:type="band1Horz">
      <w:tblPr/>
      <w:tcPr>
        <w:shd w:val="clear" w:color="auto" w:fill="ACD7DC"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2E7F6D"/>
    <w:pPr>
      <w:spacing w:after="0" w:line="240" w:lineRule="auto"/>
    </w:pPr>
    <w:rPr>
      <w:color w:val="000000" w:themeColor="text1"/>
    </w:rPr>
    <w:tblPr>
      <w:tblStyleRowBandSize w:val="1"/>
      <w:tblStyleColBandSize w:val="1"/>
      <w:tblBorders>
        <w:top w:val="single" w:sz="24" w:space="0" w:color="B77BB4" w:themeColor="accent4"/>
        <w:left w:val="single" w:sz="4" w:space="0" w:color="DEAE00" w:themeColor="accent3"/>
        <w:bottom w:val="single" w:sz="4" w:space="0" w:color="DEAE00" w:themeColor="accent3"/>
        <w:right w:val="single" w:sz="4" w:space="0" w:color="DEAE00" w:themeColor="accent3"/>
        <w:insideH w:val="single" w:sz="4" w:space="0" w:color="FFFFFF" w:themeColor="background1"/>
        <w:insideV w:val="single" w:sz="4" w:space="0" w:color="FFFFFF" w:themeColor="background1"/>
      </w:tblBorders>
    </w:tblPr>
    <w:tcPr>
      <w:shd w:val="clear" w:color="auto" w:fill="FFF8E2" w:themeFill="accent3" w:themeFillTint="19"/>
    </w:tcPr>
    <w:tblStylePr w:type="firstRow">
      <w:rPr>
        <w:b/>
        <w:bCs/>
      </w:rPr>
      <w:tblPr/>
      <w:tcPr>
        <w:tcBorders>
          <w:top w:val="nil"/>
          <w:left w:val="nil"/>
          <w:bottom w:val="single" w:sz="24" w:space="0" w:color="B77BB4"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56700" w:themeFill="accent3" w:themeFillShade="99"/>
      </w:tcPr>
    </w:tblStylePr>
    <w:tblStylePr w:type="firstCol">
      <w:rPr>
        <w:color w:val="FFFFFF" w:themeColor="background1"/>
      </w:rPr>
      <w:tblPr/>
      <w:tcPr>
        <w:tcBorders>
          <w:top w:val="nil"/>
          <w:left w:val="nil"/>
          <w:bottom w:val="nil"/>
          <w:right w:val="nil"/>
          <w:insideH w:val="single" w:sz="4" w:space="0" w:color="856700" w:themeColor="accent3" w:themeShade="99"/>
          <w:insideV w:val="nil"/>
        </w:tcBorders>
        <w:shd w:val="clear" w:color="auto" w:fill="85670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856700" w:themeFill="accent3" w:themeFillShade="99"/>
      </w:tcPr>
    </w:tblStylePr>
    <w:tblStylePr w:type="band1Vert">
      <w:tblPr/>
      <w:tcPr>
        <w:shd w:val="clear" w:color="auto" w:fill="FFE58B" w:themeFill="accent3" w:themeFillTint="66"/>
      </w:tcPr>
    </w:tblStylePr>
    <w:tblStylePr w:type="band1Horz">
      <w:tblPr/>
      <w:tcPr>
        <w:shd w:val="clear" w:color="auto" w:fill="FFDF6F" w:themeFill="accent3" w:themeFillTint="7F"/>
      </w:tcPr>
    </w:tblStylePr>
  </w:style>
  <w:style w:type="table" w:styleId="ColorfulShading-Accent4">
    <w:name w:val="Colorful Shading Accent 4"/>
    <w:basedOn w:val="TableNormal"/>
    <w:uiPriority w:val="71"/>
    <w:rsid w:val="002E7F6D"/>
    <w:pPr>
      <w:spacing w:after="0" w:line="240" w:lineRule="auto"/>
    </w:pPr>
    <w:rPr>
      <w:color w:val="000000" w:themeColor="text1"/>
    </w:rPr>
    <w:tblPr>
      <w:tblStyleRowBandSize w:val="1"/>
      <w:tblStyleColBandSize w:val="1"/>
      <w:tblBorders>
        <w:top w:val="single" w:sz="24" w:space="0" w:color="DEAE00" w:themeColor="accent3"/>
        <w:left w:val="single" w:sz="4" w:space="0" w:color="B77BB4" w:themeColor="accent4"/>
        <w:bottom w:val="single" w:sz="4" w:space="0" w:color="B77BB4" w:themeColor="accent4"/>
        <w:right w:val="single" w:sz="4" w:space="0" w:color="B77BB4" w:themeColor="accent4"/>
        <w:insideH w:val="single" w:sz="4" w:space="0" w:color="FFFFFF" w:themeColor="background1"/>
        <w:insideV w:val="single" w:sz="4" w:space="0" w:color="FFFFFF" w:themeColor="background1"/>
      </w:tblBorders>
    </w:tblPr>
    <w:tcPr>
      <w:shd w:val="clear" w:color="auto" w:fill="F8F2F7" w:themeFill="accent4" w:themeFillTint="19"/>
    </w:tcPr>
    <w:tblStylePr w:type="firstRow">
      <w:rPr>
        <w:b/>
        <w:bCs/>
      </w:rPr>
      <w:tblPr/>
      <w:tcPr>
        <w:tcBorders>
          <w:top w:val="nil"/>
          <w:left w:val="nil"/>
          <w:bottom w:val="single" w:sz="24" w:space="0" w:color="DEAE0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4073" w:themeFill="accent4" w:themeFillShade="99"/>
      </w:tcPr>
    </w:tblStylePr>
    <w:tblStylePr w:type="firstCol">
      <w:rPr>
        <w:color w:val="FFFFFF" w:themeColor="background1"/>
      </w:rPr>
      <w:tblPr/>
      <w:tcPr>
        <w:tcBorders>
          <w:top w:val="nil"/>
          <w:left w:val="nil"/>
          <w:bottom w:val="nil"/>
          <w:right w:val="nil"/>
          <w:insideH w:val="single" w:sz="4" w:space="0" w:color="764073" w:themeColor="accent4" w:themeShade="99"/>
          <w:insideV w:val="nil"/>
        </w:tcBorders>
        <w:shd w:val="clear" w:color="auto" w:fill="764073"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64073" w:themeFill="accent4" w:themeFillShade="99"/>
      </w:tcPr>
    </w:tblStylePr>
    <w:tblStylePr w:type="band1Vert">
      <w:tblPr/>
      <w:tcPr>
        <w:shd w:val="clear" w:color="auto" w:fill="E2CAE1" w:themeFill="accent4" w:themeFillTint="66"/>
      </w:tcPr>
    </w:tblStylePr>
    <w:tblStylePr w:type="band1Horz">
      <w:tblPr/>
      <w:tcPr>
        <w:shd w:val="clear" w:color="auto" w:fill="DBBDD9"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2E7F6D"/>
    <w:pPr>
      <w:spacing w:after="0" w:line="240" w:lineRule="auto"/>
    </w:pPr>
    <w:rPr>
      <w:color w:val="000000" w:themeColor="text1"/>
    </w:rPr>
    <w:tblPr>
      <w:tblStyleRowBandSize w:val="1"/>
      <w:tblStyleColBandSize w:val="1"/>
      <w:tblBorders>
        <w:top w:val="single" w:sz="24" w:space="0" w:color="A98D63" w:themeColor="accent6"/>
        <w:left w:val="single" w:sz="4" w:space="0" w:color="E0773C" w:themeColor="accent5"/>
        <w:bottom w:val="single" w:sz="4" w:space="0" w:color="E0773C" w:themeColor="accent5"/>
        <w:right w:val="single" w:sz="4" w:space="0" w:color="E0773C" w:themeColor="accent5"/>
        <w:insideH w:val="single" w:sz="4" w:space="0" w:color="FFFFFF" w:themeColor="background1"/>
        <w:insideV w:val="single" w:sz="4" w:space="0" w:color="FFFFFF" w:themeColor="background1"/>
      </w:tblBorders>
    </w:tblPr>
    <w:tcPr>
      <w:shd w:val="clear" w:color="auto" w:fill="FCF1EB" w:themeFill="accent5" w:themeFillTint="19"/>
    </w:tcPr>
    <w:tblStylePr w:type="firstRow">
      <w:rPr>
        <w:b/>
        <w:bCs/>
      </w:rPr>
      <w:tblPr/>
      <w:tcPr>
        <w:tcBorders>
          <w:top w:val="nil"/>
          <w:left w:val="nil"/>
          <w:bottom w:val="single" w:sz="24" w:space="0" w:color="A98D63"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24317" w:themeFill="accent5" w:themeFillShade="99"/>
      </w:tcPr>
    </w:tblStylePr>
    <w:tblStylePr w:type="firstCol">
      <w:rPr>
        <w:color w:val="FFFFFF" w:themeColor="background1"/>
      </w:rPr>
      <w:tblPr/>
      <w:tcPr>
        <w:tcBorders>
          <w:top w:val="nil"/>
          <w:left w:val="nil"/>
          <w:bottom w:val="nil"/>
          <w:right w:val="nil"/>
          <w:insideH w:val="single" w:sz="4" w:space="0" w:color="924317" w:themeColor="accent5" w:themeShade="99"/>
          <w:insideV w:val="nil"/>
        </w:tcBorders>
        <w:shd w:val="clear" w:color="auto" w:fill="924317"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24317" w:themeFill="accent5" w:themeFillShade="99"/>
      </w:tcPr>
    </w:tblStylePr>
    <w:tblStylePr w:type="band1Vert">
      <w:tblPr/>
      <w:tcPr>
        <w:shd w:val="clear" w:color="auto" w:fill="F2C8B0" w:themeFill="accent5" w:themeFillTint="66"/>
      </w:tcPr>
    </w:tblStylePr>
    <w:tblStylePr w:type="band1Horz">
      <w:tblPr/>
      <w:tcPr>
        <w:shd w:val="clear" w:color="auto" w:fill="EFBA9D"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2E7F6D"/>
    <w:pPr>
      <w:spacing w:after="0" w:line="240" w:lineRule="auto"/>
    </w:pPr>
    <w:rPr>
      <w:color w:val="000000" w:themeColor="text1"/>
    </w:rPr>
    <w:tblPr>
      <w:tblStyleRowBandSize w:val="1"/>
      <w:tblStyleColBandSize w:val="1"/>
      <w:tblBorders>
        <w:top w:val="single" w:sz="24" w:space="0" w:color="E0773C" w:themeColor="accent5"/>
        <w:left w:val="single" w:sz="4" w:space="0" w:color="A98D63" w:themeColor="accent6"/>
        <w:bottom w:val="single" w:sz="4" w:space="0" w:color="A98D63" w:themeColor="accent6"/>
        <w:right w:val="single" w:sz="4" w:space="0" w:color="A98D63" w:themeColor="accent6"/>
        <w:insideH w:val="single" w:sz="4" w:space="0" w:color="FFFFFF" w:themeColor="background1"/>
        <w:insideV w:val="single" w:sz="4" w:space="0" w:color="FFFFFF" w:themeColor="background1"/>
      </w:tblBorders>
    </w:tblPr>
    <w:tcPr>
      <w:shd w:val="clear" w:color="auto" w:fill="F6F3EF" w:themeFill="accent6" w:themeFillTint="19"/>
    </w:tcPr>
    <w:tblStylePr w:type="firstRow">
      <w:rPr>
        <w:b/>
        <w:bCs/>
      </w:rPr>
      <w:tblPr/>
      <w:tcPr>
        <w:tcBorders>
          <w:top w:val="nil"/>
          <w:left w:val="nil"/>
          <w:bottom w:val="single" w:sz="24" w:space="0" w:color="E0773C"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75439" w:themeFill="accent6" w:themeFillShade="99"/>
      </w:tcPr>
    </w:tblStylePr>
    <w:tblStylePr w:type="firstCol">
      <w:rPr>
        <w:color w:val="FFFFFF" w:themeColor="background1"/>
      </w:rPr>
      <w:tblPr/>
      <w:tcPr>
        <w:tcBorders>
          <w:top w:val="nil"/>
          <w:left w:val="nil"/>
          <w:bottom w:val="nil"/>
          <w:right w:val="nil"/>
          <w:insideH w:val="single" w:sz="4" w:space="0" w:color="675439" w:themeColor="accent6" w:themeShade="99"/>
          <w:insideV w:val="nil"/>
        </w:tcBorders>
        <w:shd w:val="clear" w:color="auto" w:fill="675439"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675439" w:themeFill="accent6" w:themeFillShade="99"/>
      </w:tcPr>
    </w:tblStylePr>
    <w:tblStylePr w:type="band1Vert">
      <w:tblPr/>
      <w:tcPr>
        <w:shd w:val="clear" w:color="auto" w:fill="DCD1C0" w:themeFill="accent6" w:themeFillTint="66"/>
      </w:tcPr>
    </w:tblStylePr>
    <w:tblStylePr w:type="band1Horz">
      <w:tblPr/>
      <w:tcPr>
        <w:shd w:val="clear" w:color="auto" w:fill="D4C6B1"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semiHidden/>
    <w:unhideWhenUsed/>
    <w:rsid w:val="002E7F6D"/>
    <w:rPr>
      <w:sz w:val="16"/>
    </w:rPr>
  </w:style>
  <w:style w:type="paragraph" w:styleId="CommentText">
    <w:name w:val="annotation text"/>
    <w:basedOn w:val="Normal"/>
    <w:link w:val="CommentTextChar"/>
    <w:uiPriority w:val="99"/>
    <w:semiHidden/>
    <w:unhideWhenUsed/>
    <w:rsid w:val="002E7F6D"/>
    <w:pPr>
      <w:spacing w:line="240" w:lineRule="auto"/>
    </w:pPr>
  </w:style>
  <w:style w:type="character" w:customStyle="1" w:styleId="CommentTextChar">
    <w:name w:val="Comment Text Char"/>
    <w:basedOn w:val="DefaultParagraphFont"/>
    <w:link w:val="CommentText"/>
    <w:uiPriority w:val="99"/>
    <w:semiHidden/>
    <w:rsid w:val="002E7F6D"/>
    <w:rPr>
      <w:sz w:val="20"/>
    </w:rPr>
  </w:style>
  <w:style w:type="paragraph" w:styleId="CommentSubject">
    <w:name w:val="annotation subject"/>
    <w:basedOn w:val="CommentText"/>
    <w:next w:val="CommentText"/>
    <w:link w:val="CommentSubjectChar"/>
    <w:uiPriority w:val="99"/>
    <w:semiHidden/>
    <w:unhideWhenUsed/>
    <w:rsid w:val="002E7F6D"/>
    <w:rPr>
      <w:b/>
      <w:bCs/>
    </w:rPr>
  </w:style>
  <w:style w:type="character" w:customStyle="1" w:styleId="CommentSubjectChar">
    <w:name w:val="Comment Subject Char"/>
    <w:basedOn w:val="CommentTextChar"/>
    <w:link w:val="CommentSubject"/>
    <w:uiPriority w:val="99"/>
    <w:semiHidden/>
    <w:rsid w:val="002E7F6D"/>
    <w:rPr>
      <w:b/>
      <w:bCs/>
      <w:sz w:val="20"/>
    </w:rPr>
  </w:style>
  <w:style w:type="table" w:customStyle="1" w:styleId="DarkList1">
    <w:name w:val="Dark List1"/>
    <w:basedOn w:val="TableNormal"/>
    <w:uiPriority w:val="70"/>
    <w:rsid w:val="002E7F6D"/>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2E7F6D"/>
    <w:pPr>
      <w:spacing w:after="0" w:line="240" w:lineRule="auto"/>
    </w:pPr>
    <w:rPr>
      <w:color w:val="FFFFFF" w:themeColor="background1"/>
    </w:rPr>
    <w:tblPr>
      <w:tblStyleRowBandSize w:val="1"/>
      <w:tblStyleColBandSize w:val="1"/>
    </w:tblPr>
    <w:tcPr>
      <w:shd w:val="clear" w:color="auto" w:fill="98C723"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B6211"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71941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71941A" w:themeFill="accent1" w:themeFillShade="BF"/>
      </w:tcPr>
    </w:tblStylePr>
    <w:tblStylePr w:type="band1Vert">
      <w:tblPr/>
      <w:tcPr>
        <w:tcBorders>
          <w:top w:val="nil"/>
          <w:left w:val="nil"/>
          <w:bottom w:val="nil"/>
          <w:right w:val="nil"/>
          <w:insideH w:val="nil"/>
          <w:insideV w:val="nil"/>
        </w:tcBorders>
        <w:shd w:val="clear" w:color="auto" w:fill="71941A" w:themeFill="accent1" w:themeFillShade="BF"/>
      </w:tcPr>
    </w:tblStylePr>
    <w:tblStylePr w:type="band1Horz">
      <w:tblPr/>
      <w:tcPr>
        <w:tcBorders>
          <w:top w:val="nil"/>
          <w:left w:val="nil"/>
          <w:bottom w:val="nil"/>
          <w:right w:val="nil"/>
          <w:insideH w:val="nil"/>
          <w:insideV w:val="nil"/>
        </w:tcBorders>
        <w:shd w:val="clear" w:color="auto" w:fill="71941A" w:themeFill="accent1" w:themeFillShade="BF"/>
      </w:tcPr>
    </w:tblStylePr>
  </w:style>
  <w:style w:type="table" w:styleId="DarkList-Accent2">
    <w:name w:val="Dark List Accent 2"/>
    <w:basedOn w:val="TableNormal"/>
    <w:uiPriority w:val="70"/>
    <w:rsid w:val="002E7F6D"/>
    <w:pPr>
      <w:spacing w:after="0" w:line="240" w:lineRule="auto"/>
    </w:pPr>
    <w:rPr>
      <w:color w:val="FFFFFF" w:themeColor="background1"/>
    </w:rPr>
    <w:tblPr>
      <w:tblStyleRowBandSize w:val="1"/>
      <w:tblStyleColBandSize w:val="1"/>
    </w:tblPr>
    <w:tcPr>
      <w:shd w:val="clear" w:color="auto" w:fill="59B0B9"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85A5F"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3C8890"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3C8890" w:themeFill="accent2" w:themeFillShade="BF"/>
      </w:tcPr>
    </w:tblStylePr>
    <w:tblStylePr w:type="band1Vert">
      <w:tblPr/>
      <w:tcPr>
        <w:tcBorders>
          <w:top w:val="nil"/>
          <w:left w:val="nil"/>
          <w:bottom w:val="nil"/>
          <w:right w:val="nil"/>
          <w:insideH w:val="nil"/>
          <w:insideV w:val="nil"/>
        </w:tcBorders>
        <w:shd w:val="clear" w:color="auto" w:fill="3C8890" w:themeFill="accent2" w:themeFillShade="BF"/>
      </w:tcPr>
    </w:tblStylePr>
    <w:tblStylePr w:type="band1Horz">
      <w:tblPr/>
      <w:tcPr>
        <w:tcBorders>
          <w:top w:val="nil"/>
          <w:left w:val="nil"/>
          <w:bottom w:val="nil"/>
          <w:right w:val="nil"/>
          <w:insideH w:val="nil"/>
          <w:insideV w:val="nil"/>
        </w:tcBorders>
        <w:shd w:val="clear" w:color="auto" w:fill="3C8890" w:themeFill="accent2" w:themeFillShade="BF"/>
      </w:tcPr>
    </w:tblStylePr>
  </w:style>
  <w:style w:type="table" w:styleId="DarkList-Accent3">
    <w:name w:val="Dark List Accent 3"/>
    <w:basedOn w:val="TableNormal"/>
    <w:uiPriority w:val="70"/>
    <w:rsid w:val="002E7F6D"/>
    <w:pPr>
      <w:spacing w:after="0" w:line="240" w:lineRule="auto"/>
    </w:pPr>
    <w:rPr>
      <w:color w:val="FFFFFF" w:themeColor="background1"/>
    </w:rPr>
    <w:tblPr>
      <w:tblStyleRowBandSize w:val="1"/>
      <w:tblStyleColBandSize w:val="1"/>
    </w:tblPr>
    <w:tcPr>
      <w:shd w:val="clear" w:color="auto" w:fill="DEAE0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E5600"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A6810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A68100" w:themeFill="accent3" w:themeFillShade="BF"/>
      </w:tcPr>
    </w:tblStylePr>
    <w:tblStylePr w:type="band1Vert">
      <w:tblPr/>
      <w:tcPr>
        <w:tcBorders>
          <w:top w:val="nil"/>
          <w:left w:val="nil"/>
          <w:bottom w:val="nil"/>
          <w:right w:val="nil"/>
          <w:insideH w:val="nil"/>
          <w:insideV w:val="nil"/>
        </w:tcBorders>
        <w:shd w:val="clear" w:color="auto" w:fill="A68100" w:themeFill="accent3" w:themeFillShade="BF"/>
      </w:tcPr>
    </w:tblStylePr>
    <w:tblStylePr w:type="band1Horz">
      <w:tblPr/>
      <w:tcPr>
        <w:tcBorders>
          <w:top w:val="nil"/>
          <w:left w:val="nil"/>
          <w:bottom w:val="nil"/>
          <w:right w:val="nil"/>
          <w:insideH w:val="nil"/>
          <w:insideV w:val="nil"/>
        </w:tcBorders>
        <w:shd w:val="clear" w:color="auto" w:fill="A68100" w:themeFill="accent3" w:themeFillShade="BF"/>
      </w:tcPr>
    </w:tblStylePr>
  </w:style>
  <w:style w:type="table" w:styleId="DarkList-Accent4">
    <w:name w:val="Dark List Accent 4"/>
    <w:basedOn w:val="TableNormal"/>
    <w:uiPriority w:val="70"/>
    <w:rsid w:val="002E7F6D"/>
    <w:pPr>
      <w:spacing w:after="0" w:line="240" w:lineRule="auto"/>
    </w:pPr>
    <w:rPr>
      <w:color w:val="FFFFFF" w:themeColor="background1"/>
    </w:rPr>
    <w:tblPr>
      <w:tblStyleRowBandSize w:val="1"/>
      <w:tblStyleColBandSize w:val="1"/>
    </w:tblPr>
    <w:tcPr>
      <w:shd w:val="clear" w:color="auto" w:fill="B77BB4"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356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4509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45090" w:themeFill="accent4" w:themeFillShade="BF"/>
      </w:tcPr>
    </w:tblStylePr>
    <w:tblStylePr w:type="band1Vert">
      <w:tblPr/>
      <w:tcPr>
        <w:tcBorders>
          <w:top w:val="nil"/>
          <w:left w:val="nil"/>
          <w:bottom w:val="nil"/>
          <w:right w:val="nil"/>
          <w:insideH w:val="nil"/>
          <w:insideV w:val="nil"/>
        </w:tcBorders>
        <w:shd w:val="clear" w:color="auto" w:fill="945090" w:themeFill="accent4" w:themeFillShade="BF"/>
      </w:tcPr>
    </w:tblStylePr>
    <w:tblStylePr w:type="band1Horz">
      <w:tblPr/>
      <w:tcPr>
        <w:tcBorders>
          <w:top w:val="nil"/>
          <w:left w:val="nil"/>
          <w:bottom w:val="nil"/>
          <w:right w:val="nil"/>
          <w:insideH w:val="nil"/>
          <w:insideV w:val="nil"/>
        </w:tcBorders>
        <w:shd w:val="clear" w:color="auto" w:fill="945090" w:themeFill="accent4" w:themeFillShade="BF"/>
      </w:tcPr>
    </w:tblStylePr>
  </w:style>
  <w:style w:type="table" w:styleId="DarkList-Accent5">
    <w:name w:val="Dark List Accent 5"/>
    <w:basedOn w:val="TableNormal"/>
    <w:uiPriority w:val="70"/>
    <w:rsid w:val="002E7F6D"/>
    <w:pPr>
      <w:spacing w:after="0" w:line="240" w:lineRule="auto"/>
    </w:pPr>
    <w:rPr>
      <w:color w:val="FFFFFF" w:themeColor="background1"/>
    </w:rPr>
    <w:tblPr>
      <w:tblStyleRowBandSize w:val="1"/>
      <w:tblStyleColBandSize w:val="1"/>
    </w:tblPr>
    <w:tcPr>
      <w:shd w:val="clear" w:color="auto" w:fill="E0773C"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93813"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B7541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B7541D" w:themeFill="accent5" w:themeFillShade="BF"/>
      </w:tcPr>
    </w:tblStylePr>
    <w:tblStylePr w:type="band1Vert">
      <w:tblPr/>
      <w:tcPr>
        <w:tcBorders>
          <w:top w:val="nil"/>
          <w:left w:val="nil"/>
          <w:bottom w:val="nil"/>
          <w:right w:val="nil"/>
          <w:insideH w:val="nil"/>
          <w:insideV w:val="nil"/>
        </w:tcBorders>
        <w:shd w:val="clear" w:color="auto" w:fill="B7541D" w:themeFill="accent5" w:themeFillShade="BF"/>
      </w:tcPr>
    </w:tblStylePr>
    <w:tblStylePr w:type="band1Horz">
      <w:tblPr/>
      <w:tcPr>
        <w:tcBorders>
          <w:top w:val="nil"/>
          <w:left w:val="nil"/>
          <w:bottom w:val="nil"/>
          <w:right w:val="nil"/>
          <w:insideH w:val="nil"/>
          <w:insideV w:val="nil"/>
        </w:tcBorders>
        <w:shd w:val="clear" w:color="auto" w:fill="B7541D" w:themeFill="accent5" w:themeFillShade="BF"/>
      </w:tcPr>
    </w:tblStylePr>
  </w:style>
  <w:style w:type="table" w:styleId="DarkList-Accent6">
    <w:name w:val="Dark List Accent 6"/>
    <w:basedOn w:val="TableNormal"/>
    <w:uiPriority w:val="70"/>
    <w:rsid w:val="002E7F6D"/>
    <w:pPr>
      <w:spacing w:after="0" w:line="240" w:lineRule="auto"/>
    </w:pPr>
    <w:rPr>
      <w:color w:val="FFFFFF" w:themeColor="background1"/>
    </w:rPr>
    <w:tblPr>
      <w:tblStyleRowBandSize w:val="1"/>
      <w:tblStyleColBandSize w:val="1"/>
    </w:tblPr>
    <w:tcPr>
      <w:shd w:val="clear" w:color="auto" w:fill="A98D63"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5462F"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816A4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816A47" w:themeFill="accent6" w:themeFillShade="BF"/>
      </w:tcPr>
    </w:tblStylePr>
    <w:tblStylePr w:type="band1Vert">
      <w:tblPr/>
      <w:tcPr>
        <w:tcBorders>
          <w:top w:val="nil"/>
          <w:left w:val="nil"/>
          <w:bottom w:val="nil"/>
          <w:right w:val="nil"/>
          <w:insideH w:val="nil"/>
          <w:insideV w:val="nil"/>
        </w:tcBorders>
        <w:shd w:val="clear" w:color="auto" w:fill="816A47" w:themeFill="accent6" w:themeFillShade="BF"/>
      </w:tcPr>
    </w:tblStylePr>
    <w:tblStylePr w:type="band1Horz">
      <w:tblPr/>
      <w:tcPr>
        <w:tcBorders>
          <w:top w:val="nil"/>
          <w:left w:val="nil"/>
          <w:bottom w:val="nil"/>
          <w:right w:val="nil"/>
          <w:insideH w:val="nil"/>
          <w:insideV w:val="nil"/>
        </w:tcBorders>
        <w:shd w:val="clear" w:color="auto" w:fill="816A47" w:themeFill="accent6" w:themeFillShade="BF"/>
      </w:tcPr>
    </w:tblStylePr>
  </w:style>
  <w:style w:type="paragraph" w:styleId="Date">
    <w:name w:val="Date"/>
    <w:basedOn w:val="Normal"/>
    <w:next w:val="Normal"/>
    <w:link w:val="DateChar"/>
    <w:uiPriority w:val="99"/>
    <w:semiHidden/>
    <w:unhideWhenUsed/>
    <w:rsid w:val="002E7F6D"/>
  </w:style>
  <w:style w:type="character" w:customStyle="1" w:styleId="DateChar">
    <w:name w:val="Date Char"/>
    <w:basedOn w:val="DefaultParagraphFont"/>
    <w:link w:val="Date"/>
    <w:uiPriority w:val="99"/>
    <w:semiHidden/>
    <w:rsid w:val="002E7F6D"/>
  </w:style>
  <w:style w:type="paragraph" w:styleId="DocumentMap">
    <w:name w:val="Document Map"/>
    <w:basedOn w:val="Normal"/>
    <w:link w:val="DocumentMapChar"/>
    <w:uiPriority w:val="99"/>
    <w:semiHidden/>
    <w:unhideWhenUsed/>
    <w:rsid w:val="002E7F6D"/>
    <w:pPr>
      <w:spacing w:after="0" w:line="240" w:lineRule="auto"/>
    </w:pPr>
    <w:rPr>
      <w:rFonts w:ascii="Tahoma" w:hAnsi="Tahoma" w:cs="Tahoma"/>
      <w:sz w:val="16"/>
    </w:rPr>
  </w:style>
  <w:style w:type="character" w:customStyle="1" w:styleId="DocumentMapChar">
    <w:name w:val="Document Map Char"/>
    <w:basedOn w:val="DefaultParagraphFont"/>
    <w:link w:val="DocumentMap"/>
    <w:uiPriority w:val="99"/>
    <w:semiHidden/>
    <w:rsid w:val="002E7F6D"/>
    <w:rPr>
      <w:rFonts w:ascii="Tahoma" w:hAnsi="Tahoma" w:cs="Tahoma"/>
      <w:sz w:val="16"/>
    </w:rPr>
  </w:style>
  <w:style w:type="paragraph" w:styleId="E-mailSignature">
    <w:name w:val="E-mail Signature"/>
    <w:basedOn w:val="Normal"/>
    <w:link w:val="E-mailSignatureChar"/>
    <w:uiPriority w:val="99"/>
    <w:semiHidden/>
    <w:unhideWhenUsed/>
    <w:rsid w:val="002E7F6D"/>
    <w:pPr>
      <w:spacing w:after="0" w:line="240" w:lineRule="auto"/>
    </w:pPr>
  </w:style>
  <w:style w:type="character" w:customStyle="1" w:styleId="E-mailSignatureChar">
    <w:name w:val="E-mail Signature Char"/>
    <w:basedOn w:val="DefaultParagraphFont"/>
    <w:link w:val="E-mailSignature"/>
    <w:uiPriority w:val="99"/>
    <w:semiHidden/>
    <w:rsid w:val="002E7F6D"/>
  </w:style>
  <w:style w:type="character" w:styleId="Emphasis">
    <w:name w:val="Emphasis"/>
    <w:basedOn w:val="DefaultParagraphFont"/>
    <w:uiPriority w:val="20"/>
    <w:semiHidden/>
    <w:unhideWhenUsed/>
    <w:rsid w:val="002E7F6D"/>
    <w:rPr>
      <w:i/>
      <w:iCs/>
    </w:rPr>
  </w:style>
  <w:style w:type="character" w:styleId="EndnoteReference">
    <w:name w:val="endnote reference"/>
    <w:basedOn w:val="DefaultParagraphFont"/>
    <w:uiPriority w:val="99"/>
    <w:semiHidden/>
    <w:unhideWhenUsed/>
    <w:rsid w:val="002E7F6D"/>
    <w:rPr>
      <w:vertAlign w:val="superscript"/>
    </w:rPr>
  </w:style>
  <w:style w:type="paragraph" w:styleId="EndnoteText">
    <w:name w:val="endnote text"/>
    <w:basedOn w:val="Normal"/>
    <w:link w:val="EndnoteTextChar"/>
    <w:uiPriority w:val="99"/>
    <w:semiHidden/>
    <w:unhideWhenUsed/>
    <w:rsid w:val="002E7F6D"/>
    <w:pPr>
      <w:spacing w:after="0" w:line="240" w:lineRule="auto"/>
    </w:pPr>
  </w:style>
  <w:style w:type="character" w:customStyle="1" w:styleId="EndnoteTextChar">
    <w:name w:val="Endnote Text Char"/>
    <w:basedOn w:val="DefaultParagraphFont"/>
    <w:link w:val="EndnoteText"/>
    <w:uiPriority w:val="99"/>
    <w:semiHidden/>
    <w:rsid w:val="002E7F6D"/>
    <w:rPr>
      <w:sz w:val="20"/>
    </w:rPr>
  </w:style>
  <w:style w:type="paragraph" w:styleId="EnvelopeAddress">
    <w:name w:val="envelope address"/>
    <w:basedOn w:val="Normal"/>
    <w:uiPriority w:val="99"/>
    <w:semiHidden/>
    <w:unhideWhenUsed/>
    <w:rsid w:val="002E7F6D"/>
    <w:pPr>
      <w:framePr w:w="7920" w:h="1980" w:hRule="exact" w:hSpace="180" w:wrap="auto" w:hAnchor="page" w:xAlign="center" w:yAlign="bottom"/>
      <w:spacing w:after="0" w:line="240" w:lineRule="auto"/>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2E7F6D"/>
    <w:pPr>
      <w:spacing w:after="0" w:line="240" w:lineRule="auto"/>
    </w:pPr>
    <w:rPr>
      <w:rFonts w:asciiTheme="majorHAnsi" w:eastAsiaTheme="majorEastAsia" w:hAnsiTheme="majorHAnsi" w:cstheme="majorBidi"/>
    </w:rPr>
  </w:style>
  <w:style w:type="character" w:styleId="FollowedHyperlink">
    <w:name w:val="FollowedHyperlink"/>
    <w:basedOn w:val="DefaultParagraphFont"/>
    <w:uiPriority w:val="99"/>
    <w:semiHidden/>
    <w:unhideWhenUsed/>
    <w:rsid w:val="002E7F6D"/>
    <w:rPr>
      <w:color w:val="598C8C" w:themeColor="followedHyperlink"/>
      <w:u w:val="single"/>
    </w:rPr>
  </w:style>
  <w:style w:type="character" w:styleId="FootnoteReference">
    <w:name w:val="footnote reference"/>
    <w:aliases w:val="Footnote symbol"/>
    <w:basedOn w:val="DefaultParagraphFont"/>
    <w:uiPriority w:val="99"/>
    <w:semiHidden/>
    <w:unhideWhenUsed/>
    <w:rsid w:val="002E7F6D"/>
    <w:rPr>
      <w:vertAlign w:val="superscript"/>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
    <w:uiPriority w:val="99"/>
    <w:semiHidden/>
    <w:unhideWhenUsed/>
    <w:rsid w:val="002E7F6D"/>
    <w:pPr>
      <w:spacing w:after="0" w:line="240" w:lineRule="auto"/>
    </w:p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semiHidden/>
    <w:rsid w:val="002E7F6D"/>
    <w:rPr>
      <w:sz w:val="20"/>
    </w:rPr>
  </w:style>
  <w:style w:type="character" w:customStyle="1" w:styleId="Heading3Char">
    <w:name w:val="Heading 3 Char"/>
    <w:basedOn w:val="DefaultParagraphFont"/>
    <w:link w:val="Heading3"/>
    <w:uiPriority w:val="1"/>
    <w:rsid w:val="00533994"/>
    <w:rPr>
      <w:rFonts w:asciiTheme="majorHAnsi" w:eastAsiaTheme="majorEastAsia" w:hAnsiTheme="majorHAnsi" w:cs="Arial"/>
      <w:bCs/>
      <w:i/>
      <w:kern w:val="20"/>
      <w:sz w:val="22"/>
      <w:szCs w:val="22"/>
      <w:lang w:val="bg-BG"/>
    </w:rPr>
  </w:style>
  <w:style w:type="character" w:customStyle="1" w:styleId="Heading4Char">
    <w:name w:val="Heading 4 Char"/>
    <w:basedOn w:val="DefaultParagraphFont"/>
    <w:link w:val="Heading4"/>
    <w:uiPriority w:val="18"/>
    <w:semiHidden/>
    <w:rsid w:val="002E7F6D"/>
    <w:rPr>
      <w:rFonts w:asciiTheme="majorHAnsi" w:eastAsiaTheme="majorEastAsia" w:hAnsiTheme="majorHAnsi" w:cstheme="majorBidi"/>
      <w:b/>
      <w:bCs/>
      <w:i/>
      <w:iCs/>
      <w:color w:val="98C723" w:themeColor="accent1"/>
      <w:kern w:val="20"/>
    </w:rPr>
  </w:style>
  <w:style w:type="character" w:customStyle="1" w:styleId="Heading5Char">
    <w:name w:val="Heading 5 Char"/>
    <w:basedOn w:val="DefaultParagraphFont"/>
    <w:link w:val="Heading5"/>
    <w:uiPriority w:val="18"/>
    <w:semiHidden/>
    <w:rsid w:val="002E7F6D"/>
    <w:rPr>
      <w:rFonts w:asciiTheme="majorHAnsi" w:eastAsiaTheme="majorEastAsia" w:hAnsiTheme="majorHAnsi" w:cstheme="majorBidi"/>
      <w:color w:val="4B6211" w:themeColor="accent1" w:themeShade="7F"/>
      <w:kern w:val="20"/>
    </w:rPr>
  </w:style>
  <w:style w:type="character" w:customStyle="1" w:styleId="Heading6Char">
    <w:name w:val="Heading 6 Char"/>
    <w:basedOn w:val="DefaultParagraphFont"/>
    <w:link w:val="Heading6"/>
    <w:uiPriority w:val="18"/>
    <w:semiHidden/>
    <w:rsid w:val="002E7F6D"/>
    <w:rPr>
      <w:rFonts w:asciiTheme="majorHAnsi" w:eastAsiaTheme="majorEastAsia" w:hAnsiTheme="majorHAnsi" w:cstheme="majorBidi"/>
      <w:i/>
      <w:iCs/>
      <w:color w:val="4B6211" w:themeColor="accent1" w:themeShade="7F"/>
      <w:kern w:val="20"/>
    </w:rPr>
  </w:style>
  <w:style w:type="character" w:customStyle="1" w:styleId="Heading7Char">
    <w:name w:val="Heading 7 Char"/>
    <w:basedOn w:val="DefaultParagraphFont"/>
    <w:link w:val="Heading7"/>
    <w:uiPriority w:val="18"/>
    <w:semiHidden/>
    <w:rsid w:val="002E7F6D"/>
    <w:rPr>
      <w:rFonts w:asciiTheme="majorHAnsi" w:eastAsiaTheme="majorEastAsia" w:hAnsiTheme="majorHAnsi" w:cstheme="majorBidi"/>
      <w:i/>
      <w:iCs/>
      <w:color w:val="404040" w:themeColor="text1" w:themeTint="BF"/>
      <w:kern w:val="20"/>
    </w:rPr>
  </w:style>
  <w:style w:type="character" w:customStyle="1" w:styleId="Heading8Char">
    <w:name w:val="Heading 8 Char"/>
    <w:basedOn w:val="DefaultParagraphFont"/>
    <w:link w:val="Heading8"/>
    <w:uiPriority w:val="18"/>
    <w:semiHidden/>
    <w:rsid w:val="002E7F6D"/>
    <w:rPr>
      <w:rFonts w:asciiTheme="majorHAnsi" w:eastAsiaTheme="majorEastAsia" w:hAnsiTheme="majorHAnsi" w:cstheme="majorBidi"/>
      <w:color w:val="404040" w:themeColor="text1" w:themeTint="BF"/>
      <w:kern w:val="20"/>
    </w:rPr>
  </w:style>
  <w:style w:type="character" w:customStyle="1" w:styleId="Heading9Char">
    <w:name w:val="Heading 9 Char"/>
    <w:basedOn w:val="DefaultParagraphFont"/>
    <w:link w:val="Heading9"/>
    <w:uiPriority w:val="18"/>
    <w:semiHidden/>
    <w:rsid w:val="002E7F6D"/>
    <w:rPr>
      <w:rFonts w:asciiTheme="majorHAnsi" w:eastAsiaTheme="majorEastAsia" w:hAnsiTheme="majorHAnsi" w:cstheme="majorBidi"/>
      <w:i/>
      <w:iCs/>
      <w:color w:val="404040" w:themeColor="text1" w:themeTint="BF"/>
      <w:kern w:val="20"/>
    </w:rPr>
  </w:style>
  <w:style w:type="character" w:styleId="HTMLAcronym">
    <w:name w:val="HTML Acronym"/>
    <w:basedOn w:val="DefaultParagraphFont"/>
    <w:uiPriority w:val="99"/>
    <w:semiHidden/>
    <w:unhideWhenUsed/>
    <w:rsid w:val="002E7F6D"/>
  </w:style>
  <w:style w:type="paragraph" w:styleId="HTMLAddress">
    <w:name w:val="HTML Address"/>
    <w:basedOn w:val="Normal"/>
    <w:link w:val="HTMLAddressChar"/>
    <w:uiPriority w:val="99"/>
    <w:semiHidden/>
    <w:unhideWhenUsed/>
    <w:rsid w:val="002E7F6D"/>
    <w:pPr>
      <w:spacing w:after="0" w:line="240" w:lineRule="auto"/>
    </w:pPr>
    <w:rPr>
      <w:i/>
      <w:iCs/>
    </w:rPr>
  </w:style>
  <w:style w:type="character" w:customStyle="1" w:styleId="HTMLAddressChar">
    <w:name w:val="HTML Address Char"/>
    <w:basedOn w:val="DefaultParagraphFont"/>
    <w:link w:val="HTMLAddress"/>
    <w:uiPriority w:val="99"/>
    <w:semiHidden/>
    <w:rsid w:val="002E7F6D"/>
    <w:rPr>
      <w:i/>
      <w:iCs/>
    </w:rPr>
  </w:style>
  <w:style w:type="character" w:styleId="HTMLCite">
    <w:name w:val="HTML Cite"/>
    <w:basedOn w:val="DefaultParagraphFont"/>
    <w:uiPriority w:val="99"/>
    <w:semiHidden/>
    <w:unhideWhenUsed/>
    <w:rsid w:val="002E7F6D"/>
    <w:rPr>
      <w:i/>
      <w:iCs/>
    </w:rPr>
  </w:style>
  <w:style w:type="character" w:styleId="HTMLCode">
    <w:name w:val="HTML Code"/>
    <w:basedOn w:val="DefaultParagraphFont"/>
    <w:uiPriority w:val="99"/>
    <w:semiHidden/>
    <w:unhideWhenUsed/>
    <w:rsid w:val="002E7F6D"/>
    <w:rPr>
      <w:rFonts w:ascii="Consolas" w:hAnsi="Consolas" w:cs="Consolas"/>
      <w:sz w:val="20"/>
    </w:rPr>
  </w:style>
  <w:style w:type="character" w:styleId="HTMLDefinition">
    <w:name w:val="HTML Definition"/>
    <w:basedOn w:val="DefaultParagraphFont"/>
    <w:uiPriority w:val="99"/>
    <w:semiHidden/>
    <w:unhideWhenUsed/>
    <w:rsid w:val="002E7F6D"/>
    <w:rPr>
      <w:i/>
      <w:iCs/>
    </w:rPr>
  </w:style>
  <w:style w:type="character" w:styleId="HTMLKeyboard">
    <w:name w:val="HTML Keyboard"/>
    <w:basedOn w:val="DefaultParagraphFont"/>
    <w:uiPriority w:val="99"/>
    <w:semiHidden/>
    <w:unhideWhenUsed/>
    <w:rsid w:val="002E7F6D"/>
    <w:rPr>
      <w:rFonts w:ascii="Consolas" w:hAnsi="Consolas" w:cs="Consolas"/>
      <w:sz w:val="20"/>
    </w:rPr>
  </w:style>
  <w:style w:type="paragraph" w:styleId="HTMLPreformatted">
    <w:name w:val="HTML Preformatted"/>
    <w:basedOn w:val="Normal"/>
    <w:link w:val="HTMLPreformattedChar"/>
    <w:uiPriority w:val="99"/>
    <w:semiHidden/>
    <w:unhideWhenUsed/>
    <w:rsid w:val="002E7F6D"/>
    <w:pPr>
      <w:spacing w:after="0" w:line="240" w:lineRule="auto"/>
    </w:pPr>
    <w:rPr>
      <w:rFonts w:ascii="Consolas" w:hAnsi="Consolas" w:cs="Consolas"/>
    </w:rPr>
  </w:style>
  <w:style w:type="character" w:customStyle="1" w:styleId="HTMLPreformattedChar">
    <w:name w:val="HTML Preformatted Char"/>
    <w:basedOn w:val="DefaultParagraphFont"/>
    <w:link w:val="HTMLPreformatted"/>
    <w:uiPriority w:val="99"/>
    <w:semiHidden/>
    <w:rsid w:val="002E7F6D"/>
    <w:rPr>
      <w:rFonts w:ascii="Consolas" w:hAnsi="Consolas" w:cs="Consolas"/>
      <w:sz w:val="20"/>
    </w:rPr>
  </w:style>
  <w:style w:type="character" w:styleId="HTMLSample">
    <w:name w:val="HTML Sample"/>
    <w:basedOn w:val="DefaultParagraphFont"/>
    <w:uiPriority w:val="99"/>
    <w:semiHidden/>
    <w:unhideWhenUsed/>
    <w:rsid w:val="002E7F6D"/>
    <w:rPr>
      <w:rFonts w:ascii="Consolas" w:hAnsi="Consolas" w:cs="Consolas"/>
      <w:sz w:val="24"/>
    </w:rPr>
  </w:style>
  <w:style w:type="character" w:styleId="HTMLTypewriter">
    <w:name w:val="HTML Typewriter"/>
    <w:basedOn w:val="DefaultParagraphFont"/>
    <w:uiPriority w:val="99"/>
    <w:semiHidden/>
    <w:unhideWhenUsed/>
    <w:rsid w:val="002E7F6D"/>
    <w:rPr>
      <w:rFonts w:ascii="Consolas" w:hAnsi="Consolas" w:cs="Consolas"/>
      <w:sz w:val="20"/>
    </w:rPr>
  </w:style>
  <w:style w:type="character" w:styleId="HTMLVariable">
    <w:name w:val="HTML Variable"/>
    <w:basedOn w:val="DefaultParagraphFont"/>
    <w:uiPriority w:val="99"/>
    <w:semiHidden/>
    <w:unhideWhenUsed/>
    <w:rsid w:val="002E7F6D"/>
    <w:rPr>
      <w:i/>
      <w:iCs/>
    </w:rPr>
  </w:style>
  <w:style w:type="character" w:styleId="Hyperlink">
    <w:name w:val="Hyperlink"/>
    <w:basedOn w:val="DefaultParagraphFont"/>
    <w:uiPriority w:val="99"/>
    <w:unhideWhenUsed/>
    <w:rsid w:val="002E7F6D"/>
    <w:rPr>
      <w:color w:val="26CBEC" w:themeColor="hyperlink"/>
      <w:u w:val="single"/>
    </w:rPr>
  </w:style>
  <w:style w:type="paragraph" w:styleId="Index1">
    <w:name w:val="index 1"/>
    <w:basedOn w:val="Normal"/>
    <w:next w:val="Normal"/>
    <w:autoRedefine/>
    <w:uiPriority w:val="99"/>
    <w:semiHidden/>
    <w:unhideWhenUsed/>
    <w:rsid w:val="002E7F6D"/>
    <w:pPr>
      <w:spacing w:after="0" w:line="240" w:lineRule="auto"/>
      <w:ind w:left="220" w:hanging="220"/>
    </w:pPr>
  </w:style>
  <w:style w:type="paragraph" w:styleId="Index2">
    <w:name w:val="index 2"/>
    <w:basedOn w:val="Normal"/>
    <w:next w:val="Normal"/>
    <w:autoRedefine/>
    <w:uiPriority w:val="99"/>
    <w:semiHidden/>
    <w:unhideWhenUsed/>
    <w:rsid w:val="002E7F6D"/>
    <w:pPr>
      <w:spacing w:after="0" w:line="240" w:lineRule="auto"/>
      <w:ind w:left="440" w:hanging="220"/>
    </w:pPr>
  </w:style>
  <w:style w:type="paragraph" w:styleId="Index3">
    <w:name w:val="index 3"/>
    <w:basedOn w:val="Normal"/>
    <w:next w:val="Normal"/>
    <w:autoRedefine/>
    <w:uiPriority w:val="99"/>
    <w:semiHidden/>
    <w:unhideWhenUsed/>
    <w:rsid w:val="002E7F6D"/>
    <w:pPr>
      <w:spacing w:after="0" w:line="240" w:lineRule="auto"/>
      <w:ind w:left="660" w:hanging="220"/>
    </w:pPr>
  </w:style>
  <w:style w:type="paragraph" w:styleId="Index4">
    <w:name w:val="index 4"/>
    <w:basedOn w:val="Normal"/>
    <w:next w:val="Normal"/>
    <w:autoRedefine/>
    <w:uiPriority w:val="99"/>
    <w:semiHidden/>
    <w:unhideWhenUsed/>
    <w:rsid w:val="002E7F6D"/>
    <w:pPr>
      <w:spacing w:after="0" w:line="240" w:lineRule="auto"/>
      <w:ind w:left="880" w:hanging="220"/>
    </w:pPr>
  </w:style>
  <w:style w:type="paragraph" w:styleId="Index5">
    <w:name w:val="index 5"/>
    <w:basedOn w:val="Normal"/>
    <w:next w:val="Normal"/>
    <w:autoRedefine/>
    <w:uiPriority w:val="99"/>
    <w:semiHidden/>
    <w:unhideWhenUsed/>
    <w:rsid w:val="002E7F6D"/>
    <w:pPr>
      <w:spacing w:after="0" w:line="240" w:lineRule="auto"/>
      <w:ind w:left="1100" w:hanging="220"/>
    </w:pPr>
  </w:style>
  <w:style w:type="paragraph" w:styleId="Index6">
    <w:name w:val="index 6"/>
    <w:basedOn w:val="Normal"/>
    <w:next w:val="Normal"/>
    <w:autoRedefine/>
    <w:uiPriority w:val="99"/>
    <w:semiHidden/>
    <w:unhideWhenUsed/>
    <w:rsid w:val="002E7F6D"/>
    <w:pPr>
      <w:spacing w:after="0" w:line="240" w:lineRule="auto"/>
      <w:ind w:left="1320" w:hanging="220"/>
    </w:pPr>
  </w:style>
  <w:style w:type="paragraph" w:styleId="Index7">
    <w:name w:val="index 7"/>
    <w:basedOn w:val="Normal"/>
    <w:next w:val="Normal"/>
    <w:autoRedefine/>
    <w:uiPriority w:val="99"/>
    <w:semiHidden/>
    <w:unhideWhenUsed/>
    <w:rsid w:val="002E7F6D"/>
    <w:pPr>
      <w:spacing w:after="0" w:line="240" w:lineRule="auto"/>
      <w:ind w:left="1540" w:hanging="220"/>
    </w:pPr>
  </w:style>
  <w:style w:type="paragraph" w:styleId="Index8">
    <w:name w:val="index 8"/>
    <w:basedOn w:val="Normal"/>
    <w:next w:val="Normal"/>
    <w:autoRedefine/>
    <w:uiPriority w:val="99"/>
    <w:semiHidden/>
    <w:unhideWhenUsed/>
    <w:rsid w:val="002E7F6D"/>
    <w:pPr>
      <w:spacing w:after="0" w:line="240" w:lineRule="auto"/>
      <w:ind w:left="1760" w:hanging="220"/>
    </w:pPr>
  </w:style>
  <w:style w:type="paragraph" w:styleId="Index9">
    <w:name w:val="index 9"/>
    <w:basedOn w:val="Normal"/>
    <w:next w:val="Normal"/>
    <w:autoRedefine/>
    <w:uiPriority w:val="99"/>
    <w:semiHidden/>
    <w:unhideWhenUsed/>
    <w:rsid w:val="002E7F6D"/>
    <w:pPr>
      <w:spacing w:after="0" w:line="240" w:lineRule="auto"/>
      <w:ind w:left="1980" w:hanging="220"/>
    </w:pPr>
  </w:style>
  <w:style w:type="paragraph" w:styleId="IndexHeading">
    <w:name w:val="index heading"/>
    <w:basedOn w:val="Normal"/>
    <w:next w:val="Index1"/>
    <w:uiPriority w:val="99"/>
    <w:semiHidden/>
    <w:unhideWhenUsed/>
    <w:rsid w:val="002E7F6D"/>
    <w:rPr>
      <w:rFonts w:asciiTheme="majorHAnsi" w:eastAsiaTheme="majorEastAsia" w:hAnsiTheme="majorHAnsi" w:cstheme="majorBidi"/>
      <w:b/>
      <w:bCs/>
    </w:rPr>
  </w:style>
  <w:style w:type="character" w:styleId="IntenseEmphasis">
    <w:name w:val="Intense Emphasis"/>
    <w:basedOn w:val="DefaultParagraphFont"/>
    <w:uiPriority w:val="21"/>
    <w:semiHidden/>
    <w:unhideWhenUsed/>
    <w:rsid w:val="002E7F6D"/>
    <w:rPr>
      <w:b/>
      <w:bCs/>
      <w:i/>
      <w:iCs/>
      <w:color w:val="98C723" w:themeColor="accent1"/>
    </w:rPr>
  </w:style>
  <w:style w:type="paragraph" w:styleId="IntenseQuote">
    <w:name w:val="Intense Quote"/>
    <w:basedOn w:val="Normal"/>
    <w:next w:val="Normal"/>
    <w:link w:val="IntenseQuoteChar"/>
    <w:uiPriority w:val="30"/>
    <w:semiHidden/>
    <w:unhideWhenUsed/>
    <w:rsid w:val="002E7F6D"/>
    <w:pPr>
      <w:pBdr>
        <w:bottom w:val="single" w:sz="4" w:space="4" w:color="98C723" w:themeColor="accent1"/>
      </w:pBdr>
      <w:spacing w:before="200" w:after="280"/>
      <w:ind w:left="936" w:right="936"/>
    </w:pPr>
    <w:rPr>
      <w:b/>
      <w:bCs/>
      <w:i/>
      <w:iCs/>
      <w:color w:val="98C723" w:themeColor="accent1"/>
    </w:rPr>
  </w:style>
  <w:style w:type="character" w:customStyle="1" w:styleId="IntenseQuoteChar">
    <w:name w:val="Intense Quote Char"/>
    <w:basedOn w:val="DefaultParagraphFont"/>
    <w:link w:val="IntenseQuote"/>
    <w:uiPriority w:val="30"/>
    <w:semiHidden/>
    <w:rsid w:val="002E7F6D"/>
    <w:rPr>
      <w:b/>
      <w:bCs/>
      <w:i/>
      <w:iCs/>
      <w:color w:val="98C723" w:themeColor="accent1"/>
    </w:rPr>
  </w:style>
  <w:style w:type="character" w:styleId="IntenseReference">
    <w:name w:val="Intense Reference"/>
    <w:basedOn w:val="DefaultParagraphFont"/>
    <w:uiPriority w:val="32"/>
    <w:semiHidden/>
    <w:unhideWhenUsed/>
    <w:rsid w:val="002E7F6D"/>
    <w:rPr>
      <w:b/>
      <w:bCs/>
      <w:smallCaps/>
      <w:color w:val="59B0B9" w:themeColor="accent2"/>
      <w:spacing w:val="5"/>
      <w:u w:val="single"/>
    </w:rPr>
  </w:style>
  <w:style w:type="table" w:customStyle="1" w:styleId="LightGrid1">
    <w:name w:val="Light Grid1"/>
    <w:basedOn w:val="TableNormal"/>
    <w:uiPriority w:val="62"/>
    <w:rsid w:val="002E7F6D"/>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LightGrid-Accent11">
    <w:name w:val="Light Grid - Accent 11"/>
    <w:basedOn w:val="TableNormal"/>
    <w:uiPriority w:val="62"/>
    <w:rsid w:val="002E7F6D"/>
    <w:pPr>
      <w:spacing w:after="0" w:line="240" w:lineRule="auto"/>
    </w:p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insideH w:val="single" w:sz="8" w:space="0" w:color="98C723" w:themeColor="accent1"/>
        <w:insideV w:val="single" w:sz="8" w:space="0" w:color="98C723"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8C723" w:themeColor="accent1"/>
          <w:left w:val="single" w:sz="8" w:space="0" w:color="98C723" w:themeColor="accent1"/>
          <w:bottom w:val="single" w:sz="18" w:space="0" w:color="98C723" w:themeColor="accent1"/>
          <w:right w:val="single" w:sz="8" w:space="0" w:color="98C723" w:themeColor="accent1"/>
          <w:insideH w:val="nil"/>
          <w:insideV w:val="single" w:sz="8" w:space="0" w:color="98C723"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8C723" w:themeColor="accent1"/>
          <w:left w:val="single" w:sz="8" w:space="0" w:color="98C723" w:themeColor="accent1"/>
          <w:bottom w:val="single" w:sz="8" w:space="0" w:color="98C723" w:themeColor="accent1"/>
          <w:right w:val="single" w:sz="8" w:space="0" w:color="98C723" w:themeColor="accent1"/>
          <w:insideH w:val="nil"/>
          <w:insideV w:val="single" w:sz="8" w:space="0" w:color="98C723"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tcPr>
    </w:tblStylePr>
    <w:tblStylePr w:type="band1Vert">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shd w:val="clear" w:color="auto" w:fill="E6F4C4" w:themeFill="accent1" w:themeFillTint="3F"/>
      </w:tcPr>
    </w:tblStylePr>
    <w:tblStylePr w:type="band1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insideV w:val="single" w:sz="8" w:space="0" w:color="98C723" w:themeColor="accent1"/>
        </w:tcBorders>
        <w:shd w:val="clear" w:color="auto" w:fill="E6F4C4" w:themeFill="accent1" w:themeFillTint="3F"/>
      </w:tcPr>
    </w:tblStylePr>
    <w:tblStylePr w:type="band2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insideV w:val="single" w:sz="8" w:space="0" w:color="98C723" w:themeColor="accent1"/>
        </w:tcBorders>
      </w:tcPr>
    </w:tblStylePr>
  </w:style>
  <w:style w:type="table" w:styleId="LightGrid-Accent2">
    <w:name w:val="Light Grid Accent 2"/>
    <w:basedOn w:val="TableNormal"/>
    <w:uiPriority w:val="62"/>
    <w:rsid w:val="002E7F6D"/>
    <w:pPr>
      <w:spacing w:after="0" w:line="240" w:lineRule="auto"/>
    </w:p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insideH w:val="single" w:sz="8" w:space="0" w:color="59B0B9" w:themeColor="accent2"/>
        <w:insideV w:val="single" w:sz="8" w:space="0" w:color="59B0B9"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9B0B9" w:themeColor="accent2"/>
          <w:left w:val="single" w:sz="8" w:space="0" w:color="59B0B9" w:themeColor="accent2"/>
          <w:bottom w:val="single" w:sz="18" w:space="0" w:color="59B0B9" w:themeColor="accent2"/>
          <w:right w:val="single" w:sz="8" w:space="0" w:color="59B0B9" w:themeColor="accent2"/>
          <w:insideH w:val="nil"/>
          <w:insideV w:val="single" w:sz="8" w:space="0" w:color="59B0B9"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9B0B9" w:themeColor="accent2"/>
          <w:left w:val="single" w:sz="8" w:space="0" w:color="59B0B9" w:themeColor="accent2"/>
          <w:bottom w:val="single" w:sz="8" w:space="0" w:color="59B0B9" w:themeColor="accent2"/>
          <w:right w:val="single" w:sz="8" w:space="0" w:color="59B0B9" w:themeColor="accent2"/>
          <w:insideH w:val="nil"/>
          <w:insideV w:val="single" w:sz="8" w:space="0" w:color="59B0B9"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tcPr>
    </w:tblStylePr>
    <w:tblStylePr w:type="band1Vert">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shd w:val="clear" w:color="auto" w:fill="D5EBED" w:themeFill="accent2" w:themeFillTint="3F"/>
      </w:tcPr>
    </w:tblStylePr>
    <w:tblStylePr w:type="band1Horz">
      <w:tblPr/>
      <w:tcPr>
        <w:tcBorders>
          <w:top w:val="single" w:sz="8" w:space="0" w:color="59B0B9" w:themeColor="accent2"/>
          <w:left w:val="single" w:sz="8" w:space="0" w:color="59B0B9" w:themeColor="accent2"/>
          <w:bottom w:val="single" w:sz="8" w:space="0" w:color="59B0B9" w:themeColor="accent2"/>
          <w:right w:val="single" w:sz="8" w:space="0" w:color="59B0B9" w:themeColor="accent2"/>
          <w:insideV w:val="single" w:sz="8" w:space="0" w:color="59B0B9" w:themeColor="accent2"/>
        </w:tcBorders>
        <w:shd w:val="clear" w:color="auto" w:fill="D5EBED" w:themeFill="accent2" w:themeFillTint="3F"/>
      </w:tcPr>
    </w:tblStylePr>
    <w:tblStylePr w:type="band2Horz">
      <w:tblPr/>
      <w:tcPr>
        <w:tcBorders>
          <w:top w:val="single" w:sz="8" w:space="0" w:color="59B0B9" w:themeColor="accent2"/>
          <w:left w:val="single" w:sz="8" w:space="0" w:color="59B0B9" w:themeColor="accent2"/>
          <w:bottom w:val="single" w:sz="8" w:space="0" w:color="59B0B9" w:themeColor="accent2"/>
          <w:right w:val="single" w:sz="8" w:space="0" w:color="59B0B9" w:themeColor="accent2"/>
          <w:insideV w:val="single" w:sz="8" w:space="0" w:color="59B0B9" w:themeColor="accent2"/>
        </w:tcBorders>
      </w:tcPr>
    </w:tblStylePr>
  </w:style>
  <w:style w:type="table" w:styleId="LightGrid-Accent3">
    <w:name w:val="Light Grid Accent 3"/>
    <w:basedOn w:val="TableNormal"/>
    <w:uiPriority w:val="62"/>
    <w:rsid w:val="002E7F6D"/>
    <w:pPr>
      <w:spacing w:after="0" w:line="240" w:lineRule="auto"/>
    </w:p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insideH w:val="single" w:sz="8" w:space="0" w:color="DEAE00" w:themeColor="accent3"/>
        <w:insideV w:val="single" w:sz="8" w:space="0" w:color="DEAE0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AE00" w:themeColor="accent3"/>
          <w:left w:val="single" w:sz="8" w:space="0" w:color="DEAE00" w:themeColor="accent3"/>
          <w:bottom w:val="single" w:sz="18" w:space="0" w:color="DEAE00" w:themeColor="accent3"/>
          <w:right w:val="single" w:sz="8" w:space="0" w:color="DEAE00" w:themeColor="accent3"/>
          <w:insideH w:val="nil"/>
          <w:insideV w:val="single" w:sz="8" w:space="0" w:color="DEAE0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AE00" w:themeColor="accent3"/>
          <w:left w:val="single" w:sz="8" w:space="0" w:color="DEAE00" w:themeColor="accent3"/>
          <w:bottom w:val="single" w:sz="8" w:space="0" w:color="DEAE00" w:themeColor="accent3"/>
          <w:right w:val="single" w:sz="8" w:space="0" w:color="DEAE00" w:themeColor="accent3"/>
          <w:insideH w:val="nil"/>
          <w:insideV w:val="single" w:sz="8" w:space="0" w:color="DEAE0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tcPr>
    </w:tblStylePr>
    <w:tblStylePr w:type="band1Vert">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shd w:val="clear" w:color="auto" w:fill="FFEFB7" w:themeFill="accent3" w:themeFillTint="3F"/>
      </w:tcPr>
    </w:tblStylePr>
    <w:tblStylePr w:type="band1Horz">
      <w:tblPr/>
      <w:tcPr>
        <w:tcBorders>
          <w:top w:val="single" w:sz="8" w:space="0" w:color="DEAE00" w:themeColor="accent3"/>
          <w:left w:val="single" w:sz="8" w:space="0" w:color="DEAE00" w:themeColor="accent3"/>
          <w:bottom w:val="single" w:sz="8" w:space="0" w:color="DEAE00" w:themeColor="accent3"/>
          <w:right w:val="single" w:sz="8" w:space="0" w:color="DEAE00" w:themeColor="accent3"/>
          <w:insideV w:val="single" w:sz="8" w:space="0" w:color="DEAE00" w:themeColor="accent3"/>
        </w:tcBorders>
        <w:shd w:val="clear" w:color="auto" w:fill="FFEFB7" w:themeFill="accent3" w:themeFillTint="3F"/>
      </w:tcPr>
    </w:tblStylePr>
    <w:tblStylePr w:type="band2Horz">
      <w:tblPr/>
      <w:tcPr>
        <w:tcBorders>
          <w:top w:val="single" w:sz="8" w:space="0" w:color="DEAE00" w:themeColor="accent3"/>
          <w:left w:val="single" w:sz="8" w:space="0" w:color="DEAE00" w:themeColor="accent3"/>
          <w:bottom w:val="single" w:sz="8" w:space="0" w:color="DEAE00" w:themeColor="accent3"/>
          <w:right w:val="single" w:sz="8" w:space="0" w:color="DEAE00" w:themeColor="accent3"/>
          <w:insideV w:val="single" w:sz="8" w:space="0" w:color="DEAE00" w:themeColor="accent3"/>
        </w:tcBorders>
      </w:tcPr>
    </w:tblStylePr>
  </w:style>
  <w:style w:type="table" w:styleId="LightGrid-Accent4">
    <w:name w:val="Light Grid Accent 4"/>
    <w:basedOn w:val="TableNormal"/>
    <w:uiPriority w:val="62"/>
    <w:rsid w:val="002E7F6D"/>
    <w:pPr>
      <w:spacing w:after="0" w:line="240" w:lineRule="auto"/>
    </w:p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insideH w:val="single" w:sz="8" w:space="0" w:color="B77BB4" w:themeColor="accent4"/>
        <w:insideV w:val="single" w:sz="8" w:space="0" w:color="B77BB4"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77BB4" w:themeColor="accent4"/>
          <w:left w:val="single" w:sz="8" w:space="0" w:color="B77BB4" w:themeColor="accent4"/>
          <w:bottom w:val="single" w:sz="18" w:space="0" w:color="B77BB4" w:themeColor="accent4"/>
          <w:right w:val="single" w:sz="8" w:space="0" w:color="B77BB4" w:themeColor="accent4"/>
          <w:insideH w:val="nil"/>
          <w:insideV w:val="single" w:sz="8" w:space="0" w:color="B77BB4"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77BB4" w:themeColor="accent4"/>
          <w:left w:val="single" w:sz="8" w:space="0" w:color="B77BB4" w:themeColor="accent4"/>
          <w:bottom w:val="single" w:sz="8" w:space="0" w:color="B77BB4" w:themeColor="accent4"/>
          <w:right w:val="single" w:sz="8" w:space="0" w:color="B77BB4" w:themeColor="accent4"/>
          <w:insideH w:val="nil"/>
          <w:insideV w:val="single" w:sz="8" w:space="0" w:color="B77BB4"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tcPr>
    </w:tblStylePr>
    <w:tblStylePr w:type="band1Vert">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shd w:val="clear" w:color="auto" w:fill="EDDEEC" w:themeFill="accent4" w:themeFillTint="3F"/>
      </w:tcPr>
    </w:tblStylePr>
    <w:tblStylePr w:type="band1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insideV w:val="single" w:sz="8" w:space="0" w:color="B77BB4" w:themeColor="accent4"/>
        </w:tcBorders>
        <w:shd w:val="clear" w:color="auto" w:fill="EDDEEC" w:themeFill="accent4" w:themeFillTint="3F"/>
      </w:tcPr>
    </w:tblStylePr>
    <w:tblStylePr w:type="band2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insideV w:val="single" w:sz="8" w:space="0" w:color="B77BB4" w:themeColor="accent4"/>
        </w:tcBorders>
      </w:tcPr>
    </w:tblStylePr>
  </w:style>
  <w:style w:type="table" w:styleId="LightGrid-Accent5">
    <w:name w:val="Light Grid Accent 5"/>
    <w:basedOn w:val="TableNormal"/>
    <w:uiPriority w:val="62"/>
    <w:rsid w:val="002E7F6D"/>
    <w:pPr>
      <w:spacing w:after="0" w:line="240" w:lineRule="auto"/>
    </w:p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insideH w:val="single" w:sz="8" w:space="0" w:color="E0773C" w:themeColor="accent5"/>
        <w:insideV w:val="single" w:sz="8" w:space="0" w:color="E0773C"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0773C" w:themeColor="accent5"/>
          <w:left w:val="single" w:sz="8" w:space="0" w:color="E0773C" w:themeColor="accent5"/>
          <w:bottom w:val="single" w:sz="18" w:space="0" w:color="E0773C" w:themeColor="accent5"/>
          <w:right w:val="single" w:sz="8" w:space="0" w:color="E0773C" w:themeColor="accent5"/>
          <w:insideH w:val="nil"/>
          <w:insideV w:val="single" w:sz="8" w:space="0" w:color="E0773C"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0773C" w:themeColor="accent5"/>
          <w:left w:val="single" w:sz="8" w:space="0" w:color="E0773C" w:themeColor="accent5"/>
          <w:bottom w:val="single" w:sz="8" w:space="0" w:color="E0773C" w:themeColor="accent5"/>
          <w:right w:val="single" w:sz="8" w:space="0" w:color="E0773C" w:themeColor="accent5"/>
          <w:insideH w:val="nil"/>
          <w:insideV w:val="single" w:sz="8" w:space="0" w:color="E0773C"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tcPr>
    </w:tblStylePr>
    <w:tblStylePr w:type="band1Vert">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shd w:val="clear" w:color="auto" w:fill="F7DDCE" w:themeFill="accent5" w:themeFillTint="3F"/>
      </w:tcPr>
    </w:tblStylePr>
    <w:tblStylePr w:type="band1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insideV w:val="single" w:sz="8" w:space="0" w:color="E0773C" w:themeColor="accent5"/>
        </w:tcBorders>
        <w:shd w:val="clear" w:color="auto" w:fill="F7DDCE" w:themeFill="accent5" w:themeFillTint="3F"/>
      </w:tcPr>
    </w:tblStylePr>
    <w:tblStylePr w:type="band2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insideV w:val="single" w:sz="8" w:space="0" w:color="E0773C" w:themeColor="accent5"/>
        </w:tcBorders>
      </w:tcPr>
    </w:tblStylePr>
  </w:style>
  <w:style w:type="table" w:styleId="LightGrid-Accent6">
    <w:name w:val="Light Grid Accent 6"/>
    <w:basedOn w:val="TableNormal"/>
    <w:uiPriority w:val="62"/>
    <w:rsid w:val="002E7F6D"/>
    <w:pPr>
      <w:spacing w:after="0" w:line="240" w:lineRule="auto"/>
    </w:p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insideH w:val="single" w:sz="8" w:space="0" w:color="A98D63" w:themeColor="accent6"/>
        <w:insideV w:val="single" w:sz="8" w:space="0" w:color="A98D63"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98D63" w:themeColor="accent6"/>
          <w:left w:val="single" w:sz="8" w:space="0" w:color="A98D63" w:themeColor="accent6"/>
          <w:bottom w:val="single" w:sz="18" w:space="0" w:color="A98D63" w:themeColor="accent6"/>
          <w:right w:val="single" w:sz="8" w:space="0" w:color="A98D63" w:themeColor="accent6"/>
          <w:insideH w:val="nil"/>
          <w:insideV w:val="single" w:sz="8" w:space="0" w:color="A98D63"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98D63" w:themeColor="accent6"/>
          <w:left w:val="single" w:sz="8" w:space="0" w:color="A98D63" w:themeColor="accent6"/>
          <w:bottom w:val="single" w:sz="8" w:space="0" w:color="A98D63" w:themeColor="accent6"/>
          <w:right w:val="single" w:sz="8" w:space="0" w:color="A98D63" w:themeColor="accent6"/>
          <w:insideH w:val="nil"/>
          <w:insideV w:val="single" w:sz="8" w:space="0" w:color="A98D63"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tcPr>
    </w:tblStylePr>
    <w:tblStylePr w:type="band1Vert">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shd w:val="clear" w:color="auto" w:fill="E9E2D8" w:themeFill="accent6" w:themeFillTint="3F"/>
      </w:tcPr>
    </w:tblStylePr>
    <w:tblStylePr w:type="band1Horz">
      <w:tblPr/>
      <w:tcPr>
        <w:tcBorders>
          <w:top w:val="single" w:sz="8" w:space="0" w:color="A98D63" w:themeColor="accent6"/>
          <w:left w:val="single" w:sz="8" w:space="0" w:color="A98D63" w:themeColor="accent6"/>
          <w:bottom w:val="single" w:sz="8" w:space="0" w:color="A98D63" w:themeColor="accent6"/>
          <w:right w:val="single" w:sz="8" w:space="0" w:color="A98D63" w:themeColor="accent6"/>
          <w:insideV w:val="single" w:sz="8" w:space="0" w:color="A98D63" w:themeColor="accent6"/>
        </w:tcBorders>
        <w:shd w:val="clear" w:color="auto" w:fill="E9E2D8" w:themeFill="accent6" w:themeFillTint="3F"/>
      </w:tcPr>
    </w:tblStylePr>
    <w:tblStylePr w:type="band2Horz">
      <w:tblPr/>
      <w:tcPr>
        <w:tcBorders>
          <w:top w:val="single" w:sz="8" w:space="0" w:color="A98D63" w:themeColor="accent6"/>
          <w:left w:val="single" w:sz="8" w:space="0" w:color="A98D63" w:themeColor="accent6"/>
          <w:bottom w:val="single" w:sz="8" w:space="0" w:color="A98D63" w:themeColor="accent6"/>
          <w:right w:val="single" w:sz="8" w:space="0" w:color="A98D63" w:themeColor="accent6"/>
          <w:insideV w:val="single" w:sz="8" w:space="0" w:color="A98D63" w:themeColor="accent6"/>
        </w:tcBorders>
      </w:tcPr>
    </w:tblStylePr>
  </w:style>
  <w:style w:type="table" w:customStyle="1" w:styleId="LightList1">
    <w:name w:val="Light List1"/>
    <w:basedOn w:val="TableNormal"/>
    <w:uiPriority w:val="61"/>
    <w:rsid w:val="002E7F6D"/>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2E7F6D"/>
    <w:pPr>
      <w:spacing w:after="0" w:line="240" w:lineRule="auto"/>
    </w:p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tblBorders>
    </w:tblPr>
    <w:tblStylePr w:type="firstRow">
      <w:pPr>
        <w:spacing w:before="0" w:after="0" w:line="240" w:lineRule="auto"/>
      </w:pPr>
      <w:rPr>
        <w:b/>
        <w:bCs/>
        <w:color w:val="FFFFFF" w:themeColor="background1"/>
      </w:rPr>
      <w:tblPr/>
      <w:tcPr>
        <w:shd w:val="clear" w:color="auto" w:fill="98C723" w:themeFill="accent1"/>
      </w:tcPr>
    </w:tblStylePr>
    <w:tblStylePr w:type="lastRow">
      <w:pPr>
        <w:spacing w:before="0" w:after="0" w:line="240" w:lineRule="auto"/>
      </w:pPr>
      <w:rPr>
        <w:b/>
        <w:bCs/>
      </w:rPr>
      <w:tblPr/>
      <w:tcPr>
        <w:tcBorders>
          <w:top w:val="double" w:sz="6" w:space="0" w:color="98C723" w:themeColor="accent1"/>
          <w:left w:val="single" w:sz="8" w:space="0" w:color="98C723" w:themeColor="accent1"/>
          <w:bottom w:val="single" w:sz="8" w:space="0" w:color="98C723" w:themeColor="accent1"/>
          <w:right w:val="single" w:sz="8" w:space="0" w:color="98C723" w:themeColor="accent1"/>
        </w:tcBorders>
      </w:tcPr>
    </w:tblStylePr>
    <w:tblStylePr w:type="firstCol">
      <w:rPr>
        <w:b/>
        <w:bCs/>
      </w:rPr>
    </w:tblStylePr>
    <w:tblStylePr w:type="lastCol">
      <w:rPr>
        <w:b/>
        <w:bCs/>
      </w:rPr>
    </w:tblStylePr>
    <w:tblStylePr w:type="band1Vert">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tcPr>
    </w:tblStylePr>
    <w:tblStylePr w:type="band1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tcPr>
    </w:tblStylePr>
  </w:style>
  <w:style w:type="table" w:styleId="LightList-Accent2">
    <w:name w:val="Light List Accent 2"/>
    <w:basedOn w:val="TableNormal"/>
    <w:uiPriority w:val="61"/>
    <w:rsid w:val="002E7F6D"/>
    <w:pPr>
      <w:spacing w:after="0" w:line="240" w:lineRule="auto"/>
    </w:p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tblBorders>
    </w:tblPr>
    <w:tblStylePr w:type="firstRow">
      <w:pPr>
        <w:spacing w:before="0" w:after="0" w:line="240" w:lineRule="auto"/>
      </w:pPr>
      <w:rPr>
        <w:b/>
        <w:bCs/>
        <w:color w:val="FFFFFF" w:themeColor="background1"/>
      </w:rPr>
      <w:tblPr/>
      <w:tcPr>
        <w:shd w:val="clear" w:color="auto" w:fill="59B0B9" w:themeFill="accent2"/>
      </w:tcPr>
    </w:tblStylePr>
    <w:tblStylePr w:type="lastRow">
      <w:pPr>
        <w:spacing w:before="0" w:after="0" w:line="240" w:lineRule="auto"/>
      </w:pPr>
      <w:rPr>
        <w:b/>
        <w:bCs/>
      </w:rPr>
      <w:tblPr/>
      <w:tcPr>
        <w:tcBorders>
          <w:top w:val="double" w:sz="6" w:space="0" w:color="59B0B9" w:themeColor="accent2"/>
          <w:left w:val="single" w:sz="8" w:space="0" w:color="59B0B9" w:themeColor="accent2"/>
          <w:bottom w:val="single" w:sz="8" w:space="0" w:color="59B0B9" w:themeColor="accent2"/>
          <w:right w:val="single" w:sz="8" w:space="0" w:color="59B0B9" w:themeColor="accent2"/>
        </w:tcBorders>
      </w:tcPr>
    </w:tblStylePr>
    <w:tblStylePr w:type="firstCol">
      <w:rPr>
        <w:b/>
        <w:bCs/>
      </w:rPr>
    </w:tblStylePr>
    <w:tblStylePr w:type="lastCol">
      <w:rPr>
        <w:b/>
        <w:bCs/>
      </w:rPr>
    </w:tblStylePr>
    <w:tblStylePr w:type="band1Vert">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tcPr>
    </w:tblStylePr>
    <w:tblStylePr w:type="band1Horz">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tcPr>
    </w:tblStylePr>
  </w:style>
  <w:style w:type="table" w:styleId="LightList-Accent3">
    <w:name w:val="Light List Accent 3"/>
    <w:basedOn w:val="TableNormal"/>
    <w:uiPriority w:val="61"/>
    <w:rsid w:val="002E7F6D"/>
    <w:pPr>
      <w:spacing w:after="0" w:line="240" w:lineRule="auto"/>
    </w:p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tblBorders>
    </w:tblPr>
    <w:tblStylePr w:type="firstRow">
      <w:pPr>
        <w:spacing w:before="0" w:after="0" w:line="240" w:lineRule="auto"/>
      </w:pPr>
      <w:rPr>
        <w:b/>
        <w:bCs/>
        <w:color w:val="FFFFFF" w:themeColor="background1"/>
      </w:rPr>
      <w:tblPr/>
      <w:tcPr>
        <w:shd w:val="clear" w:color="auto" w:fill="DEAE00" w:themeFill="accent3"/>
      </w:tcPr>
    </w:tblStylePr>
    <w:tblStylePr w:type="lastRow">
      <w:pPr>
        <w:spacing w:before="0" w:after="0" w:line="240" w:lineRule="auto"/>
      </w:pPr>
      <w:rPr>
        <w:b/>
        <w:bCs/>
      </w:rPr>
      <w:tblPr/>
      <w:tcPr>
        <w:tcBorders>
          <w:top w:val="double" w:sz="6" w:space="0" w:color="DEAE00" w:themeColor="accent3"/>
          <w:left w:val="single" w:sz="8" w:space="0" w:color="DEAE00" w:themeColor="accent3"/>
          <w:bottom w:val="single" w:sz="8" w:space="0" w:color="DEAE00" w:themeColor="accent3"/>
          <w:right w:val="single" w:sz="8" w:space="0" w:color="DEAE00" w:themeColor="accent3"/>
        </w:tcBorders>
      </w:tcPr>
    </w:tblStylePr>
    <w:tblStylePr w:type="firstCol">
      <w:rPr>
        <w:b/>
        <w:bCs/>
      </w:rPr>
    </w:tblStylePr>
    <w:tblStylePr w:type="lastCol">
      <w:rPr>
        <w:b/>
        <w:bCs/>
      </w:rPr>
    </w:tblStylePr>
    <w:tblStylePr w:type="band1Vert">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tcPr>
    </w:tblStylePr>
    <w:tblStylePr w:type="band1Horz">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tcPr>
    </w:tblStylePr>
  </w:style>
  <w:style w:type="table" w:styleId="LightList-Accent4">
    <w:name w:val="Light List Accent 4"/>
    <w:basedOn w:val="TableNormal"/>
    <w:uiPriority w:val="61"/>
    <w:rsid w:val="002E7F6D"/>
    <w:pPr>
      <w:spacing w:after="0" w:line="240" w:lineRule="auto"/>
    </w:p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tblBorders>
    </w:tblPr>
    <w:tblStylePr w:type="firstRow">
      <w:pPr>
        <w:spacing w:before="0" w:after="0" w:line="240" w:lineRule="auto"/>
      </w:pPr>
      <w:rPr>
        <w:b/>
        <w:bCs/>
        <w:color w:val="FFFFFF" w:themeColor="background1"/>
      </w:rPr>
      <w:tblPr/>
      <w:tcPr>
        <w:shd w:val="clear" w:color="auto" w:fill="B77BB4" w:themeFill="accent4"/>
      </w:tcPr>
    </w:tblStylePr>
    <w:tblStylePr w:type="lastRow">
      <w:pPr>
        <w:spacing w:before="0" w:after="0" w:line="240" w:lineRule="auto"/>
      </w:pPr>
      <w:rPr>
        <w:b/>
        <w:bCs/>
      </w:rPr>
      <w:tblPr/>
      <w:tcPr>
        <w:tcBorders>
          <w:top w:val="double" w:sz="6" w:space="0" w:color="B77BB4" w:themeColor="accent4"/>
          <w:left w:val="single" w:sz="8" w:space="0" w:color="B77BB4" w:themeColor="accent4"/>
          <w:bottom w:val="single" w:sz="8" w:space="0" w:color="B77BB4" w:themeColor="accent4"/>
          <w:right w:val="single" w:sz="8" w:space="0" w:color="B77BB4" w:themeColor="accent4"/>
        </w:tcBorders>
      </w:tcPr>
    </w:tblStylePr>
    <w:tblStylePr w:type="firstCol">
      <w:rPr>
        <w:b/>
        <w:bCs/>
      </w:rPr>
    </w:tblStylePr>
    <w:tblStylePr w:type="lastCol">
      <w:rPr>
        <w:b/>
        <w:bCs/>
      </w:rPr>
    </w:tblStylePr>
    <w:tblStylePr w:type="band1Vert">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tcPr>
    </w:tblStylePr>
    <w:tblStylePr w:type="band1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tcPr>
    </w:tblStylePr>
  </w:style>
  <w:style w:type="table" w:styleId="LightList-Accent5">
    <w:name w:val="Light List Accent 5"/>
    <w:basedOn w:val="TableNormal"/>
    <w:uiPriority w:val="61"/>
    <w:rsid w:val="002E7F6D"/>
    <w:pPr>
      <w:spacing w:after="0" w:line="240" w:lineRule="auto"/>
    </w:p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tblBorders>
    </w:tblPr>
    <w:tblStylePr w:type="firstRow">
      <w:pPr>
        <w:spacing w:before="0" w:after="0" w:line="240" w:lineRule="auto"/>
      </w:pPr>
      <w:rPr>
        <w:b/>
        <w:bCs/>
        <w:color w:val="FFFFFF" w:themeColor="background1"/>
      </w:rPr>
      <w:tblPr/>
      <w:tcPr>
        <w:shd w:val="clear" w:color="auto" w:fill="E0773C" w:themeFill="accent5"/>
      </w:tcPr>
    </w:tblStylePr>
    <w:tblStylePr w:type="lastRow">
      <w:pPr>
        <w:spacing w:before="0" w:after="0" w:line="240" w:lineRule="auto"/>
      </w:pPr>
      <w:rPr>
        <w:b/>
        <w:bCs/>
      </w:rPr>
      <w:tblPr/>
      <w:tcPr>
        <w:tcBorders>
          <w:top w:val="double" w:sz="6" w:space="0" w:color="E0773C" w:themeColor="accent5"/>
          <w:left w:val="single" w:sz="8" w:space="0" w:color="E0773C" w:themeColor="accent5"/>
          <w:bottom w:val="single" w:sz="8" w:space="0" w:color="E0773C" w:themeColor="accent5"/>
          <w:right w:val="single" w:sz="8" w:space="0" w:color="E0773C" w:themeColor="accent5"/>
        </w:tcBorders>
      </w:tcPr>
    </w:tblStylePr>
    <w:tblStylePr w:type="firstCol">
      <w:rPr>
        <w:b/>
        <w:bCs/>
      </w:rPr>
    </w:tblStylePr>
    <w:tblStylePr w:type="lastCol">
      <w:rPr>
        <w:b/>
        <w:bCs/>
      </w:rPr>
    </w:tblStylePr>
    <w:tblStylePr w:type="band1Vert">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tcPr>
    </w:tblStylePr>
    <w:tblStylePr w:type="band1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tcPr>
    </w:tblStylePr>
  </w:style>
  <w:style w:type="table" w:styleId="LightList-Accent6">
    <w:name w:val="Light List Accent 6"/>
    <w:basedOn w:val="TableNormal"/>
    <w:uiPriority w:val="61"/>
    <w:rsid w:val="002E7F6D"/>
    <w:pPr>
      <w:spacing w:after="0" w:line="240" w:lineRule="auto"/>
    </w:p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tblBorders>
    </w:tblPr>
    <w:tblStylePr w:type="firstRow">
      <w:pPr>
        <w:spacing w:before="0" w:after="0" w:line="240" w:lineRule="auto"/>
      </w:pPr>
      <w:rPr>
        <w:b/>
        <w:bCs/>
        <w:color w:val="FFFFFF" w:themeColor="background1"/>
      </w:rPr>
      <w:tblPr/>
      <w:tcPr>
        <w:shd w:val="clear" w:color="auto" w:fill="A98D63" w:themeFill="accent6"/>
      </w:tcPr>
    </w:tblStylePr>
    <w:tblStylePr w:type="lastRow">
      <w:pPr>
        <w:spacing w:before="0" w:after="0" w:line="240" w:lineRule="auto"/>
      </w:pPr>
      <w:rPr>
        <w:b/>
        <w:bCs/>
      </w:rPr>
      <w:tblPr/>
      <w:tcPr>
        <w:tcBorders>
          <w:top w:val="double" w:sz="6" w:space="0" w:color="A98D63" w:themeColor="accent6"/>
          <w:left w:val="single" w:sz="8" w:space="0" w:color="A98D63" w:themeColor="accent6"/>
          <w:bottom w:val="single" w:sz="8" w:space="0" w:color="A98D63" w:themeColor="accent6"/>
          <w:right w:val="single" w:sz="8" w:space="0" w:color="A98D63" w:themeColor="accent6"/>
        </w:tcBorders>
      </w:tcPr>
    </w:tblStylePr>
    <w:tblStylePr w:type="firstCol">
      <w:rPr>
        <w:b/>
        <w:bCs/>
      </w:rPr>
    </w:tblStylePr>
    <w:tblStylePr w:type="lastCol">
      <w:rPr>
        <w:b/>
        <w:bCs/>
      </w:rPr>
    </w:tblStylePr>
    <w:tblStylePr w:type="band1Vert">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tcPr>
    </w:tblStylePr>
    <w:tblStylePr w:type="band1Horz">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tcPr>
    </w:tblStylePr>
  </w:style>
  <w:style w:type="table" w:customStyle="1" w:styleId="LightShading1">
    <w:name w:val="Light Shading1"/>
    <w:basedOn w:val="TableNormal"/>
    <w:uiPriority w:val="60"/>
    <w:rsid w:val="002E7F6D"/>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2E7F6D"/>
    <w:pPr>
      <w:spacing w:after="0" w:line="240" w:lineRule="auto"/>
    </w:pPr>
    <w:rPr>
      <w:color w:val="71941A" w:themeColor="accent1" w:themeShade="BF"/>
    </w:rPr>
    <w:tblPr>
      <w:tblStyleRowBandSize w:val="1"/>
      <w:tblStyleColBandSize w:val="1"/>
      <w:tblBorders>
        <w:top w:val="single" w:sz="8" w:space="0" w:color="98C723" w:themeColor="accent1"/>
        <w:bottom w:val="single" w:sz="8" w:space="0" w:color="98C723" w:themeColor="accent1"/>
      </w:tblBorders>
    </w:tblPr>
    <w:tblStylePr w:type="firstRow">
      <w:pPr>
        <w:spacing w:before="0" w:after="0" w:line="240" w:lineRule="auto"/>
      </w:pPr>
      <w:rPr>
        <w:b/>
        <w:bCs/>
      </w:rPr>
      <w:tblPr/>
      <w:tcPr>
        <w:tcBorders>
          <w:top w:val="single" w:sz="8" w:space="0" w:color="98C723" w:themeColor="accent1"/>
          <w:left w:val="nil"/>
          <w:bottom w:val="single" w:sz="8" w:space="0" w:color="98C723" w:themeColor="accent1"/>
          <w:right w:val="nil"/>
          <w:insideH w:val="nil"/>
          <w:insideV w:val="nil"/>
        </w:tcBorders>
      </w:tcPr>
    </w:tblStylePr>
    <w:tblStylePr w:type="lastRow">
      <w:pPr>
        <w:spacing w:before="0" w:after="0" w:line="240" w:lineRule="auto"/>
      </w:pPr>
      <w:rPr>
        <w:b/>
        <w:bCs/>
      </w:rPr>
      <w:tblPr/>
      <w:tcPr>
        <w:tcBorders>
          <w:top w:val="single" w:sz="8" w:space="0" w:color="98C723" w:themeColor="accent1"/>
          <w:left w:val="nil"/>
          <w:bottom w:val="single" w:sz="8" w:space="0" w:color="98C723"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F4C4" w:themeFill="accent1" w:themeFillTint="3F"/>
      </w:tcPr>
    </w:tblStylePr>
    <w:tblStylePr w:type="band1Horz">
      <w:tblPr/>
      <w:tcPr>
        <w:tcBorders>
          <w:left w:val="nil"/>
          <w:right w:val="nil"/>
          <w:insideH w:val="nil"/>
          <w:insideV w:val="nil"/>
        </w:tcBorders>
        <w:shd w:val="clear" w:color="auto" w:fill="E6F4C4" w:themeFill="accent1" w:themeFillTint="3F"/>
      </w:tcPr>
    </w:tblStylePr>
  </w:style>
  <w:style w:type="table" w:styleId="LightShading-Accent2">
    <w:name w:val="Light Shading Accent 2"/>
    <w:basedOn w:val="TableNormal"/>
    <w:uiPriority w:val="60"/>
    <w:rsid w:val="002E7F6D"/>
    <w:pPr>
      <w:spacing w:after="0" w:line="240" w:lineRule="auto"/>
    </w:pPr>
    <w:rPr>
      <w:color w:val="3C8890" w:themeColor="accent2" w:themeShade="BF"/>
    </w:rPr>
    <w:tblPr>
      <w:tblStyleRowBandSize w:val="1"/>
      <w:tblStyleColBandSize w:val="1"/>
      <w:tblBorders>
        <w:top w:val="single" w:sz="8" w:space="0" w:color="59B0B9" w:themeColor="accent2"/>
        <w:bottom w:val="single" w:sz="8" w:space="0" w:color="59B0B9" w:themeColor="accent2"/>
      </w:tblBorders>
    </w:tblPr>
    <w:tblStylePr w:type="firstRow">
      <w:pPr>
        <w:spacing w:before="0" w:after="0" w:line="240" w:lineRule="auto"/>
      </w:pPr>
      <w:rPr>
        <w:b/>
        <w:bCs/>
      </w:rPr>
      <w:tblPr/>
      <w:tcPr>
        <w:tcBorders>
          <w:top w:val="single" w:sz="8" w:space="0" w:color="59B0B9" w:themeColor="accent2"/>
          <w:left w:val="nil"/>
          <w:bottom w:val="single" w:sz="8" w:space="0" w:color="59B0B9" w:themeColor="accent2"/>
          <w:right w:val="nil"/>
          <w:insideH w:val="nil"/>
          <w:insideV w:val="nil"/>
        </w:tcBorders>
      </w:tcPr>
    </w:tblStylePr>
    <w:tblStylePr w:type="lastRow">
      <w:pPr>
        <w:spacing w:before="0" w:after="0" w:line="240" w:lineRule="auto"/>
      </w:pPr>
      <w:rPr>
        <w:b/>
        <w:bCs/>
      </w:rPr>
      <w:tblPr/>
      <w:tcPr>
        <w:tcBorders>
          <w:top w:val="single" w:sz="8" w:space="0" w:color="59B0B9" w:themeColor="accent2"/>
          <w:left w:val="nil"/>
          <w:bottom w:val="single" w:sz="8" w:space="0" w:color="59B0B9"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EBED" w:themeFill="accent2" w:themeFillTint="3F"/>
      </w:tcPr>
    </w:tblStylePr>
    <w:tblStylePr w:type="band1Horz">
      <w:tblPr/>
      <w:tcPr>
        <w:tcBorders>
          <w:left w:val="nil"/>
          <w:right w:val="nil"/>
          <w:insideH w:val="nil"/>
          <w:insideV w:val="nil"/>
        </w:tcBorders>
        <w:shd w:val="clear" w:color="auto" w:fill="D5EBED" w:themeFill="accent2" w:themeFillTint="3F"/>
      </w:tcPr>
    </w:tblStylePr>
  </w:style>
  <w:style w:type="table" w:styleId="LightShading-Accent3">
    <w:name w:val="Light Shading Accent 3"/>
    <w:basedOn w:val="TableNormal"/>
    <w:uiPriority w:val="60"/>
    <w:rsid w:val="002E7F6D"/>
    <w:pPr>
      <w:spacing w:after="0" w:line="240" w:lineRule="auto"/>
    </w:pPr>
    <w:rPr>
      <w:color w:val="A68100" w:themeColor="accent3" w:themeShade="BF"/>
    </w:rPr>
    <w:tblPr>
      <w:tblStyleRowBandSize w:val="1"/>
      <w:tblStyleColBandSize w:val="1"/>
      <w:tblBorders>
        <w:top w:val="single" w:sz="8" w:space="0" w:color="DEAE00" w:themeColor="accent3"/>
        <w:bottom w:val="single" w:sz="8" w:space="0" w:color="DEAE00" w:themeColor="accent3"/>
      </w:tblBorders>
    </w:tblPr>
    <w:tblStylePr w:type="firstRow">
      <w:pPr>
        <w:spacing w:before="0" w:after="0" w:line="240" w:lineRule="auto"/>
      </w:pPr>
      <w:rPr>
        <w:b/>
        <w:bCs/>
      </w:rPr>
      <w:tblPr/>
      <w:tcPr>
        <w:tcBorders>
          <w:top w:val="single" w:sz="8" w:space="0" w:color="DEAE00" w:themeColor="accent3"/>
          <w:left w:val="nil"/>
          <w:bottom w:val="single" w:sz="8" w:space="0" w:color="DEAE00" w:themeColor="accent3"/>
          <w:right w:val="nil"/>
          <w:insideH w:val="nil"/>
          <w:insideV w:val="nil"/>
        </w:tcBorders>
      </w:tcPr>
    </w:tblStylePr>
    <w:tblStylePr w:type="lastRow">
      <w:pPr>
        <w:spacing w:before="0" w:after="0" w:line="240" w:lineRule="auto"/>
      </w:pPr>
      <w:rPr>
        <w:b/>
        <w:bCs/>
      </w:rPr>
      <w:tblPr/>
      <w:tcPr>
        <w:tcBorders>
          <w:top w:val="single" w:sz="8" w:space="0" w:color="DEAE00" w:themeColor="accent3"/>
          <w:left w:val="nil"/>
          <w:bottom w:val="single" w:sz="8" w:space="0" w:color="DEAE0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B7" w:themeFill="accent3" w:themeFillTint="3F"/>
      </w:tcPr>
    </w:tblStylePr>
    <w:tblStylePr w:type="band1Horz">
      <w:tblPr/>
      <w:tcPr>
        <w:tcBorders>
          <w:left w:val="nil"/>
          <w:right w:val="nil"/>
          <w:insideH w:val="nil"/>
          <w:insideV w:val="nil"/>
        </w:tcBorders>
        <w:shd w:val="clear" w:color="auto" w:fill="FFEFB7" w:themeFill="accent3" w:themeFillTint="3F"/>
      </w:tcPr>
    </w:tblStylePr>
  </w:style>
  <w:style w:type="table" w:styleId="LightShading-Accent4">
    <w:name w:val="Light Shading Accent 4"/>
    <w:basedOn w:val="TableNormal"/>
    <w:uiPriority w:val="60"/>
    <w:rsid w:val="002E7F6D"/>
    <w:pPr>
      <w:spacing w:after="0" w:line="240" w:lineRule="auto"/>
    </w:pPr>
    <w:rPr>
      <w:color w:val="945090" w:themeColor="accent4" w:themeShade="BF"/>
    </w:rPr>
    <w:tblPr>
      <w:tblStyleRowBandSize w:val="1"/>
      <w:tblStyleColBandSize w:val="1"/>
      <w:tblBorders>
        <w:top w:val="single" w:sz="8" w:space="0" w:color="B77BB4" w:themeColor="accent4"/>
        <w:bottom w:val="single" w:sz="8" w:space="0" w:color="B77BB4" w:themeColor="accent4"/>
      </w:tblBorders>
    </w:tblPr>
    <w:tblStylePr w:type="firstRow">
      <w:pPr>
        <w:spacing w:before="0" w:after="0" w:line="240" w:lineRule="auto"/>
      </w:pPr>
      <w:rPr>
        <w:b/>
        <w:bCs/>
      </w:rPr>
      <w:tblPr/>
      <w:tcPr>
        <w:tcBorders>
          <w:top w:val="single" w:sz="8" w:space="0" w:color="B77BB4" w:themeColor="accent4"/>
          <w:left w:val="nil"/>
          <w:bottom w:val="single" w:sz="8" w:space="0" w:color="B77BB4" w:themeColor="accent4"/>
          <w:right w:val="nil"/>
          <w:insideH w:val="nil"/>
          <w:insideV w:val="nil"/>
        </w:tcBorders>
      </w:tcPr>
    </w:tblStylePr>
    <w:tblStylePr w:type="lastRow">
      <w:pPr>
        <w:spacing w:before="0" w:after="0" w:line="240" w:lineRule="auto"/>
      </w:pPr>
      <w:rPr>
        <w:b/>
        <w:bCs/>
      </w:rPr>
      <w:tblPr/>
      <w:tcPr>
        <w:tcBorders>
          <w:top w:val="single" w:sz="8" w:space="0" w:color="B77BB4" w:themeColor="accent4"/>
          <w:left w:val="nil"/>
          <w:bottom w:val="single" w:sz="8" w:space="0" w:color="B77BB4"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DEEC" w:themeFill="accent4" w:themeFillTint="3F"/>
      </w:tcPr>
    </w:tblStylePr>
    <w:tblStylePr w:type="band1Horz">
      <w:tblPr/>
      <w:tcPr>
        <w:tcBorders>
          <w:left w:val="nil"/>
          <w:right w:val="nil"/>
          <w:insideH w:val="nil"/>
          <w:insideV w:val="nil"/>
        </w:tcBorders>
        <w:shd w:val="clear" w:color="auto" w:fill="EDDEEC" w:themeFill="accent4" w:themeFillTint="3F"/>
      </w:tcPr>
    </w:tblStylePr>
  </w:style>
  <w:style w:type="table" w:styleId="LightShading-Accent5">
    <w:name w:val="Light Shading Accent 5"/>
    <w:basedOn w:val="TableNormal"/>
    <w:uiPriority w:val="60"/>
    <w:rsid w:val="002E7F6D"/>
    <w:pPr>
      <w:spacing w:after="0" w:line="240" w:lineRule="auto"/>
    </w:pPr>
    <w:rPr>
      <w:color w:val="B7541D" w:themeColor="accent5" w:themeShade="BF"/>
    </w:rPr>
    <w:tblPr>
      <w:tblStyleRowBandSize w:val="1"/>
      <w:tblStyleColBandSize w:val="1"/>
      <w:tblBorders>
        <w:top w:val="single" w:sz="8" w:space="0" w:color="E0773C" w:themeColor="accent5"/>
        <w:bottom w:val="single" w:sz="8" w:space="0" w:color="E0773C" w:themeColor="accent5"/>
      </w:tblBorders>
    </w:tblPr>
    <w:tblStylePr w:type="firstRow">
      <w:pPr>
        <w:spacing w:before="0" w:after="0" w:line="240" w:lineRule="auto"/>
      </w:pPr>
      <w:rPr>
        <w:b/>
        <w:bCs/>
      </w:rPr>
      <w:tblPr/>
      <w:tcPr>
        <w:tcBorders>
          <w:top w:val="single" w:sz="8" w:space="0" w:color="E0773C" w:themeColor="accent5"/>
          <w:left w:val="nil"/>
          <w:bottom w:val="single" w:sz="8" w:space="0" w:color="E0773C" w:themeColor="accent5"/>
          <w:right w:val="nil"/>
          <w:insideH w:val="nil"/>
          <w:insideV w:val="nil"/>
        </w:tcBorders>
      </w:tcPr>
    </w:tblStylePr>
    <w:tblStylePr w:type="lastRow">
      <w:pPr>
        <w:spacing w:before="0" w:after="0" w:line="240" w:lineRule="auto"/>
      </w:pPr>
      <w:rPr>
        <w:b/>
        <w:bCs/>
      </w:rPr>
      <w:tblPr/>
      <w:tcPr>
        <w:tcBorders>
          <w:top w:val="single" w:sz="8" w:space="0" w:color="E0773C" w:themeColor="accent5"/>
          <w:left w:val="nil"/>
          <w:bottom w:val="single" w:sz="8" w:space="0" w:color="E0773C"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DDCE" w:themeFill="accent5" w:themeFillTint="3F"/>
      </w:tcPr>
    </w:tblStylePr>
    <w:tblStylePr w:type="band1Horz">
      <w:tblPr/>
      <w:tcPr>
        <w:tcBorders>
          <w:left w:val="nil"/>
          <w:right w:val="nil"/>
          <w:insideH w:val="nil"/>
          <w:insideV w:val="nil"/>
        </w:tcBorders>
        <w:shd w:val="clear" w:color="auto" w:fill="F7DDCE" w:themeFill="accent5" w:themeFillTint="3F"/>
      </w:tcPr>
    </w:tblStylePr>
  </w:style>
  <w:style w:type="table" w:styleId="LightShading-Accent6">
    <w:name w:val="Light Shading Accent 6"/>
    <w:basedOn w:val="TableNormal"/>
    <w:uiPriority w:val="60"/>
    <w:rsid w:val="002E7F6D"/>
    <w:pPr>
      <w:spacing w:after="0" w:line="240" w:lineRule="auto"/>
    </w:pPr>
    <w:rPr>
      <w:color w:val="816A47" w:themeColor="accent6" w:themeShade="BF"/>
    </w:rPr>
    <w:tblPr>
      <w:tblStyleRowBandSize w:val="1"/>
      <w:tblStyleColBandSize w:val="1"/>
      <w:tblBorders>
        <w:top w:val="single" w:sz="8" w:space="0" w:color="A98D63" w:themeColor="accent6"/>
        <w:bottom w:val="single" w:sz="8" w:space="0" w:color="A98D63" w:themeColor="accent6"/>
      </w:tblBorders>
    </w:tblPr>
    <w:tblStylePr w:type="firstRow">
      <w:pPr>
        <w:spacing w:before="0" w:after="0" w:line="240" w:lineRule="auto"/>
      </w:pPr>
      <w:rPr>
        <w:b/>
        <w:bCs/>
      </w:rPr>
      <w:tblPr/>
      <w:tcPr>
        <w:tcBorders>
          <w:top w:val="single" w:sz="8" w:space="0" w:color="A98D63" w:themeColor="accent6"/>
          <w:left w:val="nil"/>
          <w:bottom w:val="single" w:sz="8" w:space="0" w:color="A98D63" w:themeColor="accent6"/>
          <w:right w:val="nil"/>
          <w:insideH w:val="nil"/>
          <w:insideV w:val="nil"/>
        </w:tcBorders>
      </w:tcPr>
    </w:tblStylePr>
    <w:tblStylePr w:type="lastRow">
      <w:pPr>
        <w:spacing w:before="0" w:after="0" w:line="240" w:lineRule="auto"/>
      </w:pPr>
      <w:rPr>
        <w:b/>
        <w:bCs/>
      </w:rPr>
      <w:tblPr/>
      <w:tcPr>
        <w:tcBorders>
          <w:top w:val="single" w:sz="8" w:space="0" w:color="A98D63" w:themeColor="accent6"/>
          <w:left w:val="nil"/>
          <w:bottom w:val="single" w:sz="8" w:space="0" w:color="A98D63"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E2D8" w:themeFill="accent6" w:themeFillTint="3F"/>
      </w:tcPr>
    </w:tblStylePr>
    <w:tblStylePr w:type="band1Horz">
      <w:tblPr/>
      <w:tcPr>
        <w:tcBorders>
          <w:left w:val="nil"/>
          <w:right w:val="nil"/>
          <w:insideH w:val="nil"/>
          <w:insideV w:val="nil"/>
        </w:tcBorders>
        <w:shd w:val="clear" w:color="auto" w:fill="E9E2D8" w:themeFill="accent6" w:themeFillTint="3F"/>
      </w:tcPr>
    </w:tblStylePr>
  </w:style>
  <w:style w:type="character" w:styleId="LineNumber">
    <w:name w:val="line number"/>
    <w:basedOn w:val="DefaultParagraphFont"/>
    <w:uiPriority w:val="99"/>
    <w:semiHidden/>
    <w:unhideWhenUsed/>
    <w:rsid w:val="002E7F6D"/>
  </w:style>
  <w:style w:type="paragraph" w:styleId="List">
    <w:name w:val="List"/>
    <w:basedOn w:val="Normal"/>
    <w:uiPriority w:val="99"/>
    <w:semiHidden/>
    <w:unhideWhenUsed/>
    <w:rsid w:val="002E7F6D"/>
    <w:pPr>
      <w:ind w:left="360" w:hanging="360"/>
      <w:contextualSpacing/>
    </w:pPr>
  </w:style>
  <w:style w:type="paragraph" w:styleId="List2">
    <w:name w:val="List 2"/>
    <w:basedOn w:val="Normal"/>
    <w:uiPriority w:val="99"/>
    <w:semiHidden/>
    <w:unhideWhenUsed/>
    <w:rsid w:val="002E7F6D"/>
    <w:pPr>
      <w:ind w:left="720" w:hanging="360"/>
      <w:contextualSpacing/>
    </w:pPr>
  </w:style>
  <w:style w:type="paragraph" w:styleId="List3">
    <w:name w:val="List 3"/>
    <w:basedOn w:val="Normal"/>
    <w:uiPriority w:val="99"/>
    <w:semiHidden/>
    <w:unhideWhenUsed/>
    <w:rsid w:val="002E7F6D"/>
    <w:pPr>
      <w:ind w:left="1080" w:hanging="360"/>
      <w:contextualSpacing/>
    </w:pPr>
  </w:style>
  <w:style w:type="paragraph" w:styleId="List4">
    <w:name w:val="List 4"/>
    <w:basedOn w:val="Normal"/>
    <w:uiPriority w:val="99"/>
    <w:semiHidden/>
    <w:unhideWhenUsed/>
    <w:rsid w:val="002E7F6D"/>
    <w:pPr>
      <w:ind w:left="1440" w:hanging="360"/>
      <w:contextualSpacing/>
    </w:pPr>
  </w:style>
  <w:style w:type="paragraph" w:styleId="List5">
    <w:name w:val="List 5"/>
    <w:basedOn w:val="Normal"/>
    <w:uiPriority w:val="99"/>
    <w:semiHidden/>
    <w:unhideWhenUsed/>
    <w:rsid w:val="002E7F6D"/>
    <w:pPr>
      <w:ind w:left="1800" w:hanging="360"/>
      <w:contextualSpacing/>
    </w:pPr>
  </w:style>
  <w:style w:type="paragraph" w:styleId="ListBullet">
    <w:name w:val="List Bullet"/>
    <w:basedOn w:val="Normal"/>
    <w:uiPriority w:val="1"/>
    <w:unhideWhenUsed/>
    <w:qFormat/>
    <w:rsid w:val="002E7F6D"/>
    <w:pPr>
      <w:numPr>
        <w:numId w:val="1"/>
      </w:numPr>
      <w:spacing w:after="40"/>
    </w:pPr>
  </w:style>
  <w:style w:type="paragraph" w:styleId="ListBullet2">
    <w:name w:val="List Bullet 2"/>
    <w:basedOn w:val="Normal"/>
    <w:uiPriority w:val="99"/>
    <w:semiHidden/>
    <w:unhideWhenUsed/>
    <w:rsid w:val="002E7F6D"/>
    <w:pPr>
      <w:numPr>
        <w:numId w:val="2"/>
      </w:numPr>
      <w:contextualSpacing/>
    </w:pPr>
  </w:style>
  <w:style w:type="paragraph" w:styleId="ListBullet3">
    <w:name w:val="List Bullet 3"/>
    <w:basedOn w:val="Normal"/>
    <w:uiPriority w:val="99"/>
    <w:semiHidden/>
    <w:unhideWhenUsed/>
    <w:rsid w:val="002E7F6D"/>
    <w:pPr>
      <w:numPr>
        <w:numId w:val="3"/>
      </w:numPr>
      <w:contextualSpacing/>
    </w:pPr>
  </w:style>
  <w:style w:type="paragraph" w:styleId="ListBullet4">
    <w:name w:val="List Bullet 4"/>
    <w:basedOn w:val="Normal"/>
    <w:uiPriority w:val="99"/>
    <w:semiHidden/>
    <w:unhideWhenUsed/>
    <w:rsid w:val="002E7F6D"/>
    <w:pPr>
      <w:numPr>
        <w:numId w:val="4"/>
      </w:numPr>
      <w:contextualSpacing/>
    </w:pPr>
  </w:style>
  <w:style w:type="paragraph" w:styleId="ListBullet5">
    <w:name w:val="List Bullet 5"/>
    <w:basedOn w:val="Normal"/>
    <w:uiPriority w:val="99"/>
    <w:semiHidden/>
    <w:unhideWhenUsed/>
    <w:rsid w:val="002E7F6D"/>
    <w:pPr>
      <w:numPr>
        <w:numId w:val="5"/>
      </w:numPr>
      <w:contextualSpacing/>
    </w:pPr>
  </w:style>
  <w:style w:type="paragraph" w:styleId="ListContinue">
    <w:name w:val="List Continue"/>
    <w:basedOn w:val="Normal"/>
    <w:uiPriority w:val="99"/>
    <w:semiHidden/>
    <w:unhideWhenUsed/>
    <w:rsid w:val="002E7F6D"/>
    <w:pPr>
      <w:ind w:left="360"/>
      <w:contextualSpacing/>
    </w:pPr>
  </w:style>
  <w:style w:type="paragraph" w:styleId="ListContinue2">
    <w:name w:val="List Continue 2"/>
    <w:basedOn w:val="Normal"/>
    <w:uiPriority w:val="99"/>
    <w:semiHidden/>
    <w:unhideWhenUsed/>
    <w:rsid w:val="002E7F6D"/>
    <w:pPr>
      <w:ind w:left="720"/>
      <w:contextualSpacing/>
    </w:pPr>
  </w:style>
  <w:style w:type="paragraph" w:styleId="ListContinue3">
    <w:name w:val="List Continue 3"/>
    <w:basedOn w:val="Normal"/>
    <w:uiPriority w:val="99"/>
    <w:semiHidden/>
    <w:unhideWhenUsed/>
    <w:rsid w:val="002E7F6D"/>
    <w:pPr>
      <w:ind w:left="1080"/>
      <w:contextualSpacing/>
    </w:pPr>
  </w:style>
  <w:style w:type="paragraph" w:styleId="ListContinue4">
    <w:name w:val="List Continue 4"/>
    <w:basedOn w:val="Normal"/>
    <w:uiPriority w:val="99"/>
    <w:semiHidden/>
    <w:unhideWhenUsed/>
    <w:rsid w:val="002E7F6D"/>
    <w:pPr>
      <w:ind w:left="1440"/>
      <w:contextualSpacing/>
    </w:pPr>
  </w:style>
  <w:style w:type="paragraph" w:styleId="ListContinue5">
    <w:name w:val="List Continue 5"/>
    <w:basedOn w:val="Normal"/>
    <w:uiPriority w:val="99"/>
    <w:semiHidden/>
    <w:unhideWhenUsed/>
    <w:rsid w:val="002E7F6D"/>
    <w:pPr>
      <w:ind w:left="1800"/>
      <w:contextualSpacing/>
    </w:pPr>
  </w:style>
  <w:style w:type="paragraph" w:styleId="ListNumber">
    <w:name w:val="List Number"/>
    <w:basedOn w:val="Normal"/>
    <w:uiPriority w:val="1"/>
    <w:unhideWhenUsed/>
    <w:qFormat/>
    <w:rsid w:val="002E7F6D"/>
    <w:pPr>
      <w:numPr>
        <w:numId w:val="7"/>
      </w:numPr>
      <w:contextualSpacing/>
    </w:pPr>
  </w:style>
  <w:style w:type="paragraph" w:styleId="ListNumber2">
    <w:name w:val="List Number 2"/>
    <w:basedOn w:val="Normal"/>
    <w:uiPriority w:val="1"/>
    <w:unhideWhenUsed/>
    <w:qFormat/>
    <w:rsid w:val="002E7F6D"/>
    <w:pPr>
      <w:numPr>
        <w:ilvl w:val="1"/>
        <w:numId w:val="7"/>
      </w:numPr>
      <w:contextualSpacing/>
    </w:pPr>
  </w:style>
  <w:style w:type="paragraph" w:styleId="ListNumber3">
    <w:name w:val="List Number 3"/>
    <w:basedOn w:val="Normal"/>
    <w:uiPriority w:val="18"/>
    <w:unhideWhenUsed/>
    <w:qFormat/>
    <w:rsid w:val="002E7F6D"/>
    <w:pPr>
      <w:numPr>
        <w:ilvl w:val="2"/>
        <w:numId w:val="7"/>
      </w:numPr>
      <w:contextualSpacing/>
    </w:pPr>
  </w:style>
  <w:style w:type="paragraph" w:styleId="ListNumber4">
    <w:name w:val="List Number 4"/>
    <w:basedOn w:val="Normal"/>
    <w:uiPriority w:val="18"/>
    <w:semiHidden/>
    <w:unhideWhenUsed/>
    <w:rsid w:val="002E7F6D"/>
    <w:pPr>
      <w:numPr>
        <w:ilvl w:val="3"/>
        <w:numId w:val="7"/>
      </w:numPr>
      <w:contextualSpacing/>
    </w:pPr>
  </w:style>
  <w:style w:type="paragraph" w:styleId="ListNumber5">
    <w:name w:val="List Number 5"/>
    <w:basedOn w:val="Normal"/>
    <w:uiPriority w:val="18"/>
    <w:semiHidden/>
    <w:unhideWhenUsed/>
    <w:rsid w:val="002E7F6D"/>
    <w:pPr>
      <w:numPr>
        <w:ilvl w:val="4"/>
        <w:numId w:val="7"/>
      </w:numPr>
      <w:contextualSpacing/>
    </w:pPr>
  </w:style>
  <w:style w:type="paragraph" w:styleId="ListParagraph">
    <w:name w:val="List Paragraph"/>
    <w:basedOn w:val="Normal"/>
    <w:uiPriority w:val="34"/>
    <w:unhideWhenUsed/>
    <w:qFormat/>
    <w:rsid w:val="002E7F6D"/>
    <w:pPr>
      <w:ind w:left="720"/>
      <w:contextualSpacing/>
    </w:pPr>
  </w:style>
  <w:style w:type="paragraph" w:styleId="MacroText">
    <w:name w:val="macro"/>
    <w:link w:val="MacroTextChar"/>
    <w:uiPriority w:val="99"/>
    <w:semiHidden/>
    <w:unhideWhenUsed/>
    <w:rsid w:val="002E7F6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croTextChar">
    <w:name w:val="Macro Text Char"/>
    <w:basedOn w:val="DefaultParagraphFont"/>
    <w:link w:val="MacroText"/>
    <w:uiPriority w:val="99"/>
    <w:semiHidden/>
    <w:rsid w:val="002E7F6D"/>
    <w:rPr>
      <w:rFonts w:ascii="Consolas" w:hAnsi="Consolas" w:cs="Consolas"/>
      <w:sz w:val="20"/>
    </w:rPr>
  </w:style>
  <w:style w:type="table" w:customStyle="1" w:styleId="MediumGrid11">
    <w:name w:val="Medium Grid 11"/>
    <w:basedOn w:val="TableNormal"/>
    <w:uiPriority w:val="67"/>
    <w:rsid w:val="002E7F6D"/>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2E7F6D"/>
    <w:pPr>
      <w:spacing w:after="0" w:line="240" w:lineRule="auto"/>
    </w:pPr>
    <w:tblPr>
      <w:tblStyleRowBandSize w:val="1"/>
      <w:tblStyleColBandSize w:val="1"/>
      <w:tblBorders>
        <w:top w:val="single" w:sz="8"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single" w:sz="8" w:space="0" w:color="B5E04E" w:themeColor="accent1" w:themeTint="BF"/>
        <w:insideV w:val="single" w:sz="8" w:space="0" w:color="B5E04E" w:themeColor="accent1" w:themeTint="BF"/>
      </w:tblBorders>
    </w:tblPr>
    <w:tcPr>
      <w:shd w:val="clear" w:color="auto" w:fill="E6F4C4" w:themeFill="accent1" w:themeFillTint="3F"/>
    </w:tcPr>
    <w:tblStylePr w:type="firstRow">
      <w:rPr>
        <w:b/>
        <w:bCs/>
      </w:rPr>
    </w:tblStylePr>
    <w:tblStylePr w:type="lastRow">
      <w:rPr>
        <w:b/>
        <w:bCs/>
      </w:rPr>
      <w:tblPr/>
      <w:tcPr>
        <w:tcBorders>
          <w:top w:val="single" w:sz="18" w:space="0" w:color="B5E04E" w:themeColor="accent1" w:themeTint="BF"/>
        </w:tcBorders>
      </w:tcPr>
    </w:tblStylePr>
    <w:tblStylePr w:type="firstCol">
      <w:rPr>
        <w:b/>
        <w:bCs/>
      </w:rPr>
    </w:tblStylePr>
    <w:tblStylePr w:type="lastCol">
      <w:rPr>
        <w:b/>
        <w:bCs/>
      </w:rPr>
    </w:tblStylePr>
    <w:tblStylePr w:type="band1Vert">
      <w:tblPr/>
      <w:tcPr>
        <w:shd w:val="clear" w:color="auto" w:fill="CEEA89" w:themeFill="accent1" w:themeFillTint="7F"/>
      </w:tcPr>
    </w:tblStylePr>
    <w:tblStylePr w:type="band1Horz">
      <w:tblPr/>
      <w:tcPr>
        <w:shd w:val="clear" w:color="auto" w:fill="CEEA89" w:themeFill="accent1" w:themeFillTint="7F"/>
      </w:tcPr>
    </w:tblStylePr>
  </w:style>
  <w:style w:type="table" w:styleId="MediumGrid1-Accent2">
    <w:name w:val="Medium Grid 1 Accent 2"/>
    <w:basedOn w:val="TableNormal"/>
    <w:uiPriority w:val="67"/>
    <w:rsid w:val="002E7F6D"/>
    <w:pPr>
      <w:spacing w:after="0" w:line="240" w:lineRule="auto"/>
    </w:pPr>
    <w:tblPr>
      <w:tblStyleRowBandSize w:val="1"/>
      <w:tblStyleColBandSize w:val="1"/>
      <w:tblBorders>
        <w:top w:val="single" w:sz="8"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single" w:sz="8" w:space="0" w:color="82C3CA" w:themeColor="accent2" w:themeTint="BF"/>
        <w:insideV w:val="single" w:sz="8" w:space="0" w:color="82C3CA" w:themeColor="accent2" w:themeTint="BF"/>
      </w:tblBorders>
    </w:tblPr>
    <w:tcPr>
      <w:shd w:val="clear" w:color="auto" w:fill="D5EBED" w:themeFill="accent2" w:themeFillTint="3F"/>
    </w:tcPr>
    <w:tblStylePr w:type="firstRow">
      <w:rPr>
        <w:b/>
        <w:bCs/>
      </w:rPr>
    </w:tblStylePr>
    <w:tblStylePr w:type="lastRow">
      <w:rPr>
        <w:b/>
        <w:bCs/>
      </w:rPr>
      <w:tblPr/>
      <w:tcPr>
        <w:tcBorders>
          <w:top w:val="single" w:sz="18" w:space="0" w:color="82C3CA" w:themeColor="accent2" w:themeTint="BF"/>
        </w:tcBorders>
      </w:tcPr>
    </w:tblStylePr>
    <w:tblStylePr w:type="firstCol">
      <w:rPr>
        <w:b/>
        <w:bCs/>
      </w:rPr>
    </w:tblStylePr>
    <w:tblStylePr w:type="lastCol">
      <w:rPr>
        <w:b/>
        <w:bCs/>
      </w:rPr>
    </w:tblStylePr>
    <w:tblStylePr w:type="band1Vert">
      <w:tblPr/>
      <w:tcPr>
        <w:shd w:val="clear" w:color="auto" w:fill="ACD7DC" w:themeFill="accent2" w:themeFillTint="7F"/>
      </w:tcPr>
    </w:tblStylePr>
    <w:tblStylePr w:type="band1Horz">
      <w:tblPr/>
      <w:tcPr>
        <w:shd w:val="clear" w:color="auto" w:fill="ACD7DC" w:themeFill="accent2" w:themeFillTint="7F"/>
      </w:tcPr>
    </w:tblStylePr>
  </w:style>
  <w:style w:type="table" w:styleId="MediumGrid1-Accent3">
    <w:name w:val="Medium Grid 1 Accent 3"/>
    <w:basedOn w:val="TableNormal"/>
    <w:uiPriority w:val="67"/>
    <w:rsid w:val="002E7F6D"/>
    <w:pPr>
      <w:spacing w:after="0" w:line="240" w:lineRule="auto"/>
    </w:pPr>
    <w:tblPr>
      <w:tblStyleRowBandSize w:val="1"/>
      <w:tblStyleColBandSize w:val="1"/>
      <w:tblBorders>
        <w:top w:val="single" w:sz="8"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single" w:sz="8" w:space="0" w:color="FFCF27" w:themeColor="accent3" w:themeTint="BF"/>
        <w:insideV w:val="single" w:sz="8" w:space="0" w:color="FFCF27" w:themeColor="accent3" w:themeTint="BF"/>
      </w:tblBorders>
    </w:tblPr>
    <w:tcPr>
      <w:shd w:val="clear" w:color="auto" w:fill="FFEFB7" w:themeFill="accent3" w:themeFillTint="3F"/>
    </w:tcPr>
    <w:tblStylePr w:type="firstRow">
      <w:rPr>
        <w:b/>
        <w:bCs/>
      </w:rPr>
    </w:tblStylePr>
    <w:tblStylePr w:type="lastRow">
      <w:rPr>
        <w:b/>
        <w:bCs/>
      </w:rPr>
      <w:tblPr/>
      <w:tcPr>
        <w:tcBorders>
          <w:top w:val="single" w:sz="18" w:space="0" w:color="FFCF27" w:themeColor="accent3" w:themeTint="BF"/>
        </w:tcBorders>
      </w:tcPr>
    </w:tblStylePr>
    <w:tblStylePr w:type="firstCol">
      <w:rPr>
        <w:b/>
        <w:bCs/>
      </w:rPr>
    </w:tblStylePr>
    <w:tblStylePr w:type="lastCol">
      <w:rPr>
        <w:b/>
        <w:bCs/>
      </w:rPr>
    </w:tblStylePr>
    <w:tblStylePr w:type="band1Vert">
      <w:tblPr/>
      <w:tcPr>
        <w:shd w:val="clear" w:color="auto" w:fill="FFDF6F" w:themeFill="accent3" w:themeFillTint="7F"/>
      </w:tcPr>
    </w:tblStylePr>
    <w:tblStylePr w:type="band1Horz">
      <w:tblPr/>
      <w:tcPr>
        <w:shd w:val="clear" w:color="auto" w:fill="FFDF6F" w:themeFill="accent3" w:themeFillTint="7F"/>
      </w:tcPr>
    </w:tblStylePr>
  </w:style>
  <w:style w:type="table" w:styleId="MediumGrid1-Accent4">
    <w:name w:val="Medium Grid 1 Accent 4"/>
    <w:basedOn w:val="TableNormal"/>
    <w:uiPriority w:val="67"/>
    <w:rsid w:val="002E7F6D"/>
    <w:pPr>
      <w:spacing w:after="0" w:line="240" w:lineRule="auto"/>
    </w:pPr>
    <w:tblPr>
      <w:tblStyleRowBandSize w:val="1"/>
      <w:tblStyleColBandSize w:val="1"/>
      <w:tblBorders>
        <w:top w:val="single" w:sz="8"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single" w:sz="8" w:space="0" w:color="C99CC6" w:themeColor="accent4" w:themeTint="BF"/>
        <w:insideV w:val="single" w:sz="8" w:space="0" w:color="C99CC6" w:themeColor="accent4" w:themeTint="BF"/>
      </w:tblBorders>
    </w:tblPr>
    <w:tcPr>
      <w:shd w:val="clear" w:color="auto" w:fill="EDDEEC" w:themeFill="accent4" w:themeFillTint="3F"/>
    </w:tcPr>
    <w:tblStylePr w:type="firstRow">
      <w:rPr>
        <w:b/>
        <w:bCs/>
      </w:rPr>
    </w:tblStylePr>
    <w:tblStylePr w:type="lastRow">
      <w:rPr>
        <w:b/>
        <w:bCs/>
      </w:rPr>
      <w:tblPr/>
      <w:tcPr>
        <w:tcBorders>
          <w:top w:val="single" w:sz="18" w:space="0" w:color="C99CC6" w:themeColor="accent4" w:themeTint="BF"/>
        </w:tcBorders>
      </w:tcPr>
    </w:tblStylePr>
    <w:tblStylePr w:type="firstCol">
      <w:rPr>
        <w:b/>
        <w:bCs/>
      </w:rPr>
    </w:tblStylePr>
    <w:tblStylePr w:type="lastCol">
      <w:rPr>
        <w:b/>
        <w:bCs/>
      </w:rPr>
    </w:tblStylePr>
    <w:tblStylePr w:type="band1Vert">
      <w:tblPr/>
      <w:tcPr>
        <w:shd w:val="clear" w:color="auto" w:fill="DBBDD9" w:themeFill="accent4" w:themeFillTint="7F"/>
      </w:tcPr>
    </w:tblStylePr>
    <w:tblStylePr w:type="band1Horz">
      <w:tblPr/>
      <w:tcPr>
        <w:shd w:val="clear" w:color="auto" w:fill="DBBDD9" w:themeFill="accent4" w:themeFillTint="7F"/>
      </w:tcPr>
    </w:tblStylePr>
  </w:style>
  <w:style w:type="table" w:styleId="MediumGrid1-Accent5">
    <w:name w:val="Medium Grid 1 Accent 5"/>
    <w:basedOn w:val="TableNormal"/>
    <w:uiPriority w:val="67"/>
    <w:rsid w:val="002E7F6D"/>
    <w:pPr>
      <w:spacing w:after="0" w:line="240" w:lineRule="auto"/>
    </w:pPr>
    <w:tblPr>
      <w:tblStyleRowBandSize w:val="1"/>
      <w:tblStyleColBandSize w:val="1"/>
      <w:tblBorders>
        <w:top w:val="single" w:sz="8"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single" w:sz="8" w:space="0" w:color="E7986C" w:themeColor="accent5" w:themeTint="BF"/>
        <w:insideV w:val="single" w:sz="8" w:space="0" w:color="E7986C" w:themeColor="accent5" w:themeTint="BF"/>
      </w:tblBorders>
    </w:tblPr>
    <w:tcPr>
      <w:shd w:val="clear" w:color="auto" w:fill="F7DDCE" w:themeFill="accent5" w:themeFillTint="3F"/>
    </w:tcPr>
    <w:tblStylePr w:type="firstRow">
      <w:rPr>
        <w:b/>
        <w:bCs/>
      </w:rPr>
    </w:tblStylePr>
    <w:tblStylePr w:type="lastRow">
      <w:rPr>
        <w:b/>
        <w:bCs/>
      </w:rPr>
      <w:tblPr/>
      <w:tcPr>
        <w:tcBorders>
          <w:top w:val="single" w:sz="18" w:space="0" w:color="E7986C" w:themeColor="accent5" w:themeTint="BF"/>
        </w:tcBorders>
      </w:tcPr>
    </w:tblStylePr>
    <w:tblStylePr w:type="firstCol">
      <w:rPr>
        <w:b/>
        <w:bCs/>
      </w:rPr>
    </w:tblStylePr>
    <w:tblStylePr w:type="lastCol">
      <w:rPr>
        <w:b/>
        <w:bCs/>
      </w:rPr>
    </w:tblStylePr>
    <w:tblStylePr w:type="band1Vert">
      <w:tblPr/>
      <w:tcPr>
        <w:shd w:val="clear" w:color="auto" w:fill="EFBA9D" w:themeFill="accent5" w:themeFillTint="7F"/>
      </w:tcPr>
    </w:tblStylePr>
    <w:tblStylePr w:type="band1Horz">
      <w:tblPr/>
      <w:tcPr>
        <w:shd w:val="clear" w:color="auto" w:fill="EFBA9D" w:themeFill="accent5" w:themeFillTint="7F"/>
      </w:tcPr>
    </w:tblStylePr>
  </w:style>
  <w:style w:type="table" w:styleId="MediumGrid1-Accent6">
    <w:name w:val="Medium Grid 1 Accent 6"/>
    <w:basedOn w:val="TableNormal"/>
    <w:uiPriority w:val="67"/>
    <w:rsid w:val="002E7F6D"/>
    <w:pPr>
      <w:spacing w:after="0" w:line="240" w:lineRule="auto"/>
    </w:pPr>
    <w:tblPr>
      <w:tblStyleRowBandSize w:val="1"/>
      <w:tblStyleColBandSize w:val="1"/>
      <w:tblBorders>
        <w:top w:val="single" w:sz="8"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single" w:sz="8" w:space="0" w:color="BEA98A" w:themeColor="accent6" w:themeTint="BF"/>
        <w:insideV w:val="single" w:sz="8" w:space="0" w:color="BEA98A" w:themeColor="accent6" w:themeTint="BF"/>
      </w:tblBorders>
    </w:tblPr>
    <w:tcPr>
      <w:shd w:val="clear" w:color="auto" w:fill="E9E2D8" w:themeFill="accent6" w:themeFillTint="3F"/>
    </w:tcPr>
    <w:tblStylePr w:type="firstRow">
      <w:rPr>
        <w:b/>
        <w:bCs/>
      </w:rPr>
    </w:tblStylePr>
    <w:tblStylePr w:type="lastRow">
      <w:rPr>
        <w:b/>
        <w:bCs/>
      </w:rPr>
      <w:tblPr/>
      <w:tcPr>
        <w:tcBorders>
          <w:top w:val="single" w:sz="18" w:space="0" w:color="BEA98A" w:themeColor="accent6" w:themeTint="BF"/>
        </w:tcBorders>
      </w:tcPr>
    </w:tblStylePr>
    <w:tblStylePr w:type="firstCol">
      <w:rPr>
        <w:b/>
        <w:bCs/>
      </w:rPr>
    </w:tblStylePr>
    <w:tblStylePr w:type="lastCol">
      <w:rPr>
        <w:b/>
        <w:bCs/>
      </w:rPr>
    </w:tblStylePr>
    <w:tblStylePr w:type="band1Vert">
      <w:tblPr/>
      <w:tcPr>
        <w:shd w:val="clear" w:color="auto" w:fill="D4C6B1" w:themeFill="accent6" w:themeFillTint="7F"/>
      </w:tcPr>
    </w:tblStylePr>
    <w:tblStylePr w:type="band1Horz">
      <w:tblPr/>
      <w:tcPr>
        <w:shd w:val="clear" w:color="auto" w:fill="D4C6B1" w:themeFill="accent6" w:themeFillTint="7F"/>
      </w:tcPr>
    </w:tblStylePr>
  </w:style>
  <w:style w:type="table" w:customStyle="1" w:styleId="MediumGrid21">
    <w:name w:val="Medium Grid 21"/>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insideH w:val="single" w:sz="8" w:space="0" w:color="98C723" w:themeColor="accent1"/>
        <w:insideV w:val="single" w:sz="8" w:space="0" w:color="98C723" w:themeColor="accent1"/>
      </w:tblBorders>
    </w:tblPr>
    <w:tcPr>
      <w:shd w:val="clear" w:color="auto" w:fill="E6F4C4" w:themeFill="accent1" w:themeFillTint="3F"/>
    </w:tcPr>
    <w:tblStylePr w:type="firstRow">
      <w:rPr>
        <w:b/>
        <w:bCs/>
        <w:color w:val="000000" w:themeColor="text1"/>
      </w:rPr>
      <w:tblPr/>
      <w:tcPr>
        <w:shd w:val="clear" w:color="auto" w:fill="F5FBE7"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F6CF" w:themeFill="accent1" w:themeFillTint="33"/>
      </w:tcPr>
    </w:tblStylePr>
    <w:tblStylePr w:type="band1Vert">
      <w:tblPr/>
      <w:tcPr>
        <w:shd w:val="clear" w:color="auto" w:fill="CEEA89" w:themeFill="accent1" w:themeFillTint="7F"/>
      </w:tcPr>
    </w:tblStylePr>
    <w:tblStylePr w:type="band1Horz">
      <w:tblPr/>
      <w:tcPr>
        <w:tcBorders>
          <w:insideH w:val="single" w:sz="6" w:space="0" w:color="98C723" w:themeColor="accent1"/>
          <w:insideV w:val="single" w:sz="6" w:space="0" w:color="98C723" w:themeColor="accent1"/>
        </w:tcBorders>
        <w:shd w:val="clear" w:color="auto" w:fill="CEEA89"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insideH w:val="single" w:sz="8" w:space="0" w:color="59B0B9" w:themeColor="accent2"/>
        <w:insideV w:val="single" w:sz="8" w:space="0" w:color="59B0B9" w:themeColor="accent2"/>
      </w:tblBorders>
    </w:tblPr>
    <w:tcPr>
      <w:shd w:val="clear" w:color="auto" w:fill="D5EBED" w:themeFill="accent2" w:themeFillTint="3F"/>
    </w:tcPr>
    <w:tblStylePr w:type="firstRow">
      <w:rPr>
        <w:b/>
        <w:bCs/>
        <w:color w:val="000000" w:themeColor="text1"/>
      </w:rPr>
      <w:tblPr/>
      <w:tcPr>
        <w:shd w:val="clear" w:color="auto" w:fill="EEF7F8"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FF1" w:themeFill="accent2" w:themeFillTint="33"/>
      </w:tcPr>
    </w:tblStylePr>
    <w:tblStylePr w:type="band1Vert">
      <w:tblPr/>
      <w:tcPr>
        <w:shd w:val="clear" w:color="auto" w:fill="ACD7DC" w:themeFill="accent2" w:themeFillTint="7F"/>
      </w:tcPr>
    </w:tblStylePr>
    <w:tblStylePr w:type="band1Horz">
      <w:tblPr/>
      <w:tcPr>
        <w:tcBorders>
          <w:insideH w:val="single" w:sz="6" w:space="0" w:color="59B0B9" w:themeColor="accent2"/>
          <w:insideV w:val="single" w:sz="6" w:space="0" w:color="59B0B9" w:themeColor="accent2"/>
        </w:tcBorders>
        <w:shd w:val="clear" w:color="auto" w:fill="ACD7DC"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insideH w:val="single" w:sz="8" w:space="0" w:color="DEAE00" w:themeColor="accent3"/>
        <w:insideV w:val="single" w:sz="8" w:space="0" w:color="DEAE00" w:themeColor="accent3"/>
      </w:tblBorders>
    </w:tblPr>
    <w:tcPr>
      <w:shd w:val="clear" w:color="auto" w:fill="FFEFB7" w:themeFill="accent3" w:themeFillTint="3F"/>
    </w:tcPr>
    <w:tblStylePr w:type="firstRow">
      <w:rPr>
        <w:b/>
        <w:bCs/>
        <w:color w:val="000000" w:themeColor="text1"/>
      </w:rPr>
      <w:tblPr/>
      <w:tcPr>
        <w:shd w:val="clear" w:color="auto" w:fill="FFF8E2"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5" w:themeFill="accent3" w:themeFillTint="33"/>
      </w:tcPr>
    </w:tblStylePr>
    <w:tblStylePr w:type="band1Vert">
      <w:tblPr/>
      <w:tcPr>
        <w:shd w:val="clear" w:color="auto" w:fill="FFDF6F" w:themeFill="accent3" w:themeFillTint="7F"/>
      </w:tcPr>
    </w:tblStylePr>
    <w:tblStylePr w:type="band1Horz">
      <w:tblPr/>
      <w:tcPr>
        <w:tcBorders>
          <w:insideH w:val="single" w:sz="6" w:space="0" w:color="DEAE00" w:themeColor="accent3"/>
          <w:insideV w:val="single" w:sz="6" w:space="0" w:color="DEAE00" w:themeColor="accent3"/>
        </w:tcBorders>
        <w:shd w:val="clear" w:color="auto" w:fill="FFDF6F"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insideH w:val="single" w:sz="8" w:space="0" w:color="B77BB4" w:themeColor="accent4"/>
        <w:insideV w:val="single" w:sz="8" w:space="0" w:color="B77BB4" w:themeColor="accent4"/>
      </w:tblBorders>
    </w:tblPr>
    <w:tcPr>
      <w:shd w:val="clear" w:color="auto" w:fill="EDDEEC" w:themeFill="accent4" w:themeFillTint="3F"/>
    </w:tcPr>
    <w:tblStylePr w:type="firstRow">
      <w:rPr>
        <w:b/>
        <w:bCs/>
        <w:color w:val="000000" w:themeColor="text1"/>
      </w:rPr>
      <w:tblPr/>
      <w:tcPr>
        <w:shd w:val="clear" w:color="auto" w:fill="F8F2F7"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4F0" w:themeFill="accent4" w:themeFillTint="33"/>
      </w:tcPr>
    </w:tblStylePr>
    <w:tblStylePr w:type="band1Vert">
      <w:tblPr/>
      <w:tcPr>
        <w:shd w:val="clear" w:color="auto" w:fill="DBBDD9" w:themeFill="accent4" w:themeFillTint="7F"/>
      </w:tcPr>
    </w:tblStylePr>
    <w:tblStylePr w:type="band1Horz">
      <w:tblPr/>
      <w:tcPr>
        <w:tcBorders>
          <w:insideH w:val="single" w:sz="6" w:space="0" w:color="B77BB4" w:themeColor="accent4"/>
          <w:insideV w:val="single" w:sz="6" w:space="0" w:color="B77BB4" w:themeColor="accent4"/>
        </w:tcBorders>
        <w:shd w:val="clear" w:color="auto" w:fill="DBBDD9"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insideH w:val="single" w:sz="8" w:space="0" w:color="E0773C" w:themeColor="accent5"/>
        <w:insideV w:val="single" w:sz="8" w:space="0" w:color="E0773C" w:themeColor="accent5"/>
      </w:tblBorders>
    </w:tblPr>
    <w:tcPr>
      <w:shd w:val="clear" w:color="auto" w:fill="F7DDCE" w:themeFill="accent5" w:themeFillTint="3F"/>
    </w:tcPr>
    <w:tblStylePr w:type="firstRow">
      <w:rPr>
        <w:b/>
        <w:bCs/>
        <w:color w:val="000000" w:themeColor="text1"/>
      </w:rPr>
      <w:tblPr/>
      <w:tcPr>
        <w:shd w:val="clear" w:color="auto" w:fill="FCF1E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E3D7" w:themeFill="accent5" w:themeFillTint="33"/>
      </w:tcPr>
    </w:tblStylePr>
    <w:tblStylePr w:type="band1Vert">
      <w:tblPr/>
      <w:tcPr>
        <w:shd w:val="clear" w:color="auto" w:fill="EFBA9D" w:themeFill="accent5" w:themeFillTint="7F"/>
      </w:tcPr>
    </w:tblStylePr>
    <w:tblStylePr w:type="band1Horz">
      <w:tblPr/>
      <w:tcPr>
        <w:tcBorders>
          <w:insideH w:val="single" w:sz="6" w:space="0" w:color="E0773C" w:themeColor="accent5"/>
          <w:insideV w:val="single" w:sz="6" w:space="0" w:color="E0773C" w:themeColor="accent5"/>
        </w:tcBorders>
        <w:shd w:val="clear" w:color="auto" w:fill="EFBA9D"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insideH w:val="single" w:sz="8" w:space="0" w:color="A98D63" w:themeColor="accent6"/>
        <w:insideV w:val="single" w:sz="8" w:space="0" w:color="A98D63" w:themeColor="accent6"/>
      </w:tblBorders>
    </w:tblPr>
    <w:tcPr>
      <w:shd w:val="clear" w:color="auto" w:fill="E9E2D8" w:themeFill="accent6" w:themeFillTint="3F"/>
    </w:tcPr>
    <w:tblStylePr w:type="firstRow">
      <w:rPr>
        <w:b/>
        <w:bCs/>
        <w:color w:val="000000" w:themeColor="text1"/>
      </w:rPr>
      <w:tblPr/>
      <w:tcPr>
        <w:shd w:val="clear" w:color="auto" w:fill="F6F3EF"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8DF" w:themeFill="accent6" w:themeFillTint="33"/>
      </w:tcPr>
    </w:tblStylePr>
    <w:tblStylePr w:type="band1Vert">
      <w:tblPr/>
      <w:tcPr>
        <w:shd w:val="clear" w:color="auto" w:fill="D4C6B1" w:themeFill="accent6" w:themeFillTint="7F"/>
      </w:tcPr>
    </w:tblStylePr>
    <w:tblStylePr w:type="band1Horz">
      <w:tblPr/>
      <w:tcPr>
        <w:tcBorders>
          <w:insideH w:val="single" w:sz="6" w:space="0" w:color="A98D63" w:themeColor="accent6"/>
          <w:insideV w:val="single" w:sz="6" w:space="0" w:color="A98D63" w:themeColor="accent6"/>
        </w:tcBorders>
        <w:shd w:val="clear" w:color="auto" w:fill="D4C6B1" w:themeFill="accent6" w:themeFillTint="7F"/>
      </w:tcPr>
    </w:tblStylePr>
    <w:tblStylePr w:type="nwCell">
      <w:tblPr/>
      <w:tcPr>
        <w:shd w:val="clear" w:color="auto" w:fill="FFFFFF" w:themeFill="background1"/>
      </w:tcPr>
    </w:tblStylePr>
  </w:style>
  <w:style w:type="table" w:customStyle="1" w:styleId="MediumGrid31">
    <w:name w:val="Medium Grid 31"/>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F4C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8C723"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8C723"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8C723"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8C723"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EA8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EA89" w:themeFill="accent1" w:themeFillTint="7F"/>
      </w:tcPr>
    </w:tblStylePr>
  </w:style>
  <w:style w:type="table" w:styleId="MediumGrid3-Accent2">
    <w:name w:val="Medium Grid 3 Accent 2"/>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EBED"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9B0B9"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9B0B9"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9B0B9"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9B0B9"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7DC"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7DC" w:themeFill="accent2" w:themeFillTint="7F"/>
      </w:tcPr>
    </w:tblStylePr>
  </w:style>
  <w:style w:type="table" w:styleId="MediumGrid3-Accent3">
    <w:name w:val="Medium Grid 3 Accent 3"/>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B7"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AE0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AE0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AE0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AE0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6F"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6F" w:themeFill="accent3" w:themeFillTint="7F"/>
      </w:tcPr>
    </w:tblStylePr>
  </w:style>
  <w:style w:type="table" w:styleId="MediumGrid3-Accent4">
    <w:name w:val="Medium Grid 3 Accent 4"/>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DDEEC"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77BB4"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77BB4"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77BB4"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77BB4"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BBDD9"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BBDD9" w:themeFill="accent4" w:themeFillTint="7F"/>
      </w:tcPr>
    </w:tblStylePr>
  </w:style>
  <w:style w:type="table" w:styleId="MediumGrid3-Accent5">
    <w:name w:val="Medium Grid 3 Accent 5"/>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DDCE"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0773C"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0773C"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0773C"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0773C"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BA9D"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BA9D" w:themeFill="accent5" w:themeFillTint="7F"/>
      </w:tcPr>
    </w:tblStylePr>
  </w:style>
  <w:style w:type="table" w:styleId="MediumGrid3-Accent6">
    <w:name w:val="Medium Grid 3 Accent 6"/>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E2D8"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98D6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98D6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98D6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98D6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4C6B1"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4C6B1" w:themeFill="accent6" w:themeFillTint="7F"/>
      </w:tcPr>
    </w:tblStylePr>
  </w:style>
  <w:style w:type="table" w:customStyle="1" w:styleId="MediumList11">
    <w:name w:val="Medium List 11"/>
    <w:basedOn w:val="TableNormal"/>
    <w:uiPriority w:val="65"/>
    <w:rsid w:val="002E7F6D"/>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5B697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ediumList1-Accent11">
    <w:name w:val="Medium List 1 - Accent 11"/>
    <w:basedOn w:val="TableNormal"/>
    <w:uiPriority w:val="65"/>
    <w:rsid w:val="002E7F6D"/>
    <w:pPr>
      <w:spacing w:after="0" w:line="240" w:lineRule="auto"/>
    </w:pPr>
    <w:rPr>
      <w:color w:val="000000" w:themeColor="text1"/>
    </w:rPr>
    <w:tblPr>
      <w:tblStyleRowBandSize w:val="1"/>
      <w:tblStyleColBandSize w:val="1"/>
      <w:tblBorders>
        <w:top w:val="single" w:sz="8" w:space="0" w:color="98C723" w:themeColor="accent1"/>
        <w:bottom w:val="single" w:sz="8" w:space="0" w:color="98C723" w:themeColor="accent1"/>
      </w:tblBorders>
    </w:tblPr>
    <w:tblStylePr w:type="firstRow">
      <w:rPr>
        <w:rFonts w:asciiTheme="majorHAnsi" w:eastAsiaTheme="majorEastAsia" w:hAnsiTheme="majorHAnsi" w:cstheme="majorBidi"/>
      </w:rPr>
      <w:tblPr/>
      <w:tcPr>
        <w:tcBorders>
          <w:top w:val="nil"/>
          <w:bottom w:val="single" w:sz="8" w:space="0" w:color="98C723" w:themeColor="accent1"/>
        </w:tcBorders>
      </w:tcPr>
    </w:tblStylePr>
    <w:tblStylePr w:type="lastRow">
      <w:rPr>
        <w:b/>
        <w:bCs/>
        <w:color w:val="5B6973" w:themeColor="text2"/>
      </w:rPr>
      <w:tblPr/>
      <w:tcPr>
        <w:tcBorders>
          <w:top w:val="single" w:sz="8" w:space="0" w:color="98C723" w:themeColor="accent1"/>
          <w:bottom w:val="single" w:sz="8" w:space="0" w:color="98C723" w:themeColor="accent1"/>
        </w:tcBorders>
      </w:tcPr>
    </w:tblStylePr>
    <w:tblStylePr w:type="firstCol">
      <w:rPr>
        <w:b/>
        <w:bCs/>
      </w:rPr>
    </w:tblStylePr>
    <w:tblStylePr w:type="lastCol">
      <w:rPr>
        <w:b/>
        <w:bCs/>
      </w:rPr>
      <w:tblPr/>
      <w:tcPr>
        <w:tcBorders>
          <w:top w:val="single" w:sz="8" w:space="0" w:color="98C723" w:themeColor="accent1"/>
          <w:bottom w:val="single" w:sz="8" w:space="0" w:color="98C723" w:themeColor="accent1"/>
        </w:tcBorders>
      </w:tcPr>
    </w:tblStylePr>
    <w:tblStylePr w:type="band1Vert">
      <w:tblPr/>
      <w:tcPr>
        <w:shd w:val="clear" w:color="auto" w:fill="E6F4C4" w:themeFill="accent1" w:themeFillTint="3F"/>
      </w:tcPr>
    </w:tblStylePr>
    <w:tblStylePr w:type="band1Horz">
      <w:tblPr/>
      <w:tcPr>
        <w:shd w:val="clear" w:color="auto" w:fill="E6F4C4" w:themeFill="accent1" w:themeFillTint="3F"/>
      </w:tcPr>
    </w:tblStylePr>
  </w:style>
  <w:style w:type="table" w:styleId="MediumList1-Accent2">
    <w:name w:val="Medium List 1 Accent 2"/>
    <w:basedOn w:val="TableNormal"/>
    <w:uiPriority w:val="65"/>
    <w:rsid w:val="002E7F6D"/>
    <w:pPr>
      <w:spacing w:after="0" w:line="240" w:lineRule="auto"/>
    </w:pPr>
    <w:rPr>
      <w:color w:val="000000" w:themeColor="text1"/>
    </w:rPr>
    <w:tblPr>
      <w:tblStyleRowBandSize w:val="1"/>
      <w:tblStyleColBandSize w:val="1"/>
      <w:tblBorders>
        <w:top w:val="single" w:sz="8" w:space="0" w:color="59B0B9" w:themeColor="accent2"/>
        <w:bottom w:val="single" w:sz="8" w:space="0" w:color="59B0B9" w:themeColor="accent2"/>
      </w:tblBorders>
    </w:tblPr>
    <w:tblStylePr w:type="firstRow">
      <w:rPr>
        <w:rFonts w:asciiTheme="majorHAnsi" w:eastAsiaTheme="majorEastAsia" w:hAnsiTheme="majorHAnsi" w:cstheme="majorBidi"/>
      </w:rPr>
      <w:tblPr/>
      <w:tcPr>
        <w:tcBorders>
          <w:top w:val="nil"/>
          <w:bottom w:val="single" w:sz="8" w:space="0" w:color="59B0B9" w:themeColor="accent2"/>
        </w:tcBorders>
      </w:tcPr>
    </w:tblStylePr>
    <w:tblStylePr w:type="lastRow">
      <w:rPr>
        <w:b/>
        <w:bCs/>
        <w:color w:val="5B6973" w:themeColor="text2"/>
      </w:rPr>
      <w:tblPr/>
      <w:tcPr>
        <w:tcBorders>
          <w:top w:val="single" w:sz="8" w:space="0" w:color="59B0B9" w:themeColor="accent2"/>
          <w:bottom w:val="single" w:sz="8" w:space="0" w:color="59B0B9" w:themeColor="accent2"/>
        </w:tcBorders>
      </w:tcPr>
    </w:tblStylePr>
    <w:tblStylePr w:type="firstCol">
      <w:rPr>
        <w:b/>
        <w:bCs/>
      </w:rPr>
    </w:tblStylePr>
    <w:tblStylePr w:type="lastCol">
      <w:rPr>
        <w:b/>
        <w:bCs/>
      </w:rPr>
      <w:tblPr/>
      <w:tcPr>
        <w:tcBorders>
          <w:top w:val="single" w:sz="8" w:space="0" w:color="59B0B9" w:themeColor="accent2"/>
          <w:bottom w:val="single" w:sz="8" w:space="0" w:color="59B0B9" w:themeColor="accent2"/>
        </w:tcBorders>
      </w:tcPr>
    </w:tblStylePr>
    <w:tblStylePr w:type="band1Vert">
      <w:tblPr/>
      <w:tcPr>
        <w:shd w:val="clear" w:color="auto" w:fill="D5EBED" w:themeFill="accent2" w:themeFillTint="3F"/>
      </w:tcPr>
    </w:tblStylePr>
    <w:tblStylePr w:type="band1Horz">
      <w:tblPr/>
      <w:tcPr>
        <w:shd w:val="clear" w:color="auto" w:fill="D5EBED" w:themeFill="accent2" w:themeFillTint="3F"/>
      </w:tcPr>
    </w:tblStylePr>
  </w:style>
  <w:style w:type="table" w:styleId="MediumList1-Accent3">
    <w:name w:val="Medium List 1 Accent 3"/>
    <w:basedOn w:val="TableNormal"/>
    <w:uiPriority w:val="65"/>
    <w:rsid w:val="002E7F6D"/>
    <w:pPr>
      <w:spacing w:after="0" w:line="240" w:lineRule="auto"/>
    </w:pPr>
    <w:rPr>
      <w:color w:val="000000" w:themeColor="text1"/>
    </w:rPr>
    <w:tblPr>
      <w:tblStyleRowBandSize w:val="1"/>
      <w:tblStyleColBandSize w:val="1"/>
      <w:tblBorders>
        <w:top w:val="single" w:sz="8" w:space="0" w:color="DEAE00" w:themeColor="accent3"/>
        <w:bottom w:val="single" w:sz="8" w:space="0" w:color="DEAE00" w:themeColor="accent3"/>
      </w:tblBorders>
    </w:tblPr>
    <w:tblStylePr w:type="firstRow">
      <w:rPr>
        <w:rFonts w:asciiTheme="majorHAnsi" w:eastAsiaTheme="majorEastAsia" w:hAnsiTheme="majorHAnsi" w:cstheme="majorBidi"/>
      </w:rPr>
      <w:tblPr/>
      <w:tcPr>
        <w:tcBorders>
          <w:top w:val="nil"/>
          <w:bottom w:val="single" w:sz="8" w:space="0" w:color="DEAE00" w:themeColor="accent3"/>
        </w:tcBorders>
      </w:tcPr>
    </w:tblStylePr>
    <w:tblStylePr w:type="lastRow">
      <w:rPr>
        <w:b/>
        <w:bCs/>
        <w:color w:val="5B6973" w:themeColor="text2"/>
      </w:rPr>
      <w:tblPr/>
      <w:tcPr>
        <w:tcBorders>
          <w:top w:val="single" w:sz="8" w:space="0" w:color="DEAE00" w:themeColor="accent3"/>
          <w:bottom w:val="single" w:sz="8" w:space="0" w:color="DEAE00" w:themeColor="accent3"/>
        </w:tcBorders>
      </w:tcPr>
    </w:tblStylePr>
    <w:tblStylePr w:type="firstCol">
      <w:rPr>
        <w:b/>
        <w:bCs/>
      </w:rPr>
    </w:tblStylePr>
    <w:tblStylePr w:type="lastCol">
      <w:rPr>
        <w:b/>
        <w:bCs/>
      </w:rPr>
      <w:tblPr/>
      <w:tcPr>
        <w:tcBorders>
          <w:top w:val="single" w:sz="8" w:space="0" w:color="DEAE00" w:themeColor="accent3"/>
          <w:bottom w:val="single" w:sz="8" w:space="0" w:color="DEAE00" w:themeColor="accent3"/>
        </w:tcBorders>
      </w:tcPr>
    </w:tblStylePr>
    <w:tblStylePr w:type="band1Vert">
      <w:tblPr/>
      <w:tcPr>
        <w:shd w:val="clear" w:color="auto" w:fill="FFEFB7" w:themeFill="accent3" w:themeFillTint="3F"/>
      </w:tcPr>
    </w:tblStylePr>
    <w:tblStylePr w:type="band1Horz">
      <w:tblPr/>
      <w:tcPr>
        <w:shd w:val="clear" w:color="auto" w:fill="FFEFB7" w:themeFill="accent3" w:themeFillTint="3F"/>
      </w:tcPr>
    </w:tblStylePr>
  </w:style>
  <w:style w:type="table" w:styleId="MediumList1-Accent4">
    <w:name w:val="Medium List 1 Accent 4"/>
    <w:basedOn w:val="TableNormal"/>
    <w:uiPriority w:val="65"/>
    <w:rsid w:val="002E7F6D"/>
    <w:pPr>
      <w:spacing w:after="0" w:line="240" w:lineRule="auto"/>
    </w:pPr>
    <w:rPr>
      <w:color w:val="000000" w:themeColor="text1"/>
    </w:rPr>
    <w:tblPr>
      <w:tblStyleRowBandSize w:val="1"/>
      <w:tblStyleColBandSize w:val="1"/>
      <w:tblBorders>
        <w:top w:val="single" w:sz="8" w:space="0" w:color="B77BB4" w:themeColor="accent4"/>
        <w:bottom w:val="single" w:sz="8" w:space="0" w:color="B77BB4" w:themeColor="accent4"/>
      </w:tblBorders>
    </w:tblPr>
    <w:tblStylePr w:type="firstRow">
      <w:rPr>
        <w:rFonts w:asciiTheme="majorHAnsi" w:eastAsiaTheme="majorEastAsia" w:hAnsiTheme="majorHAnsi" w:cstheme="majorBidi"/>
      </w:rPr>
      <w:tblPr/>
      <w:tcPr>
        <w:tcBorders>
          <w:top w:val="nil"/>
          <w:bottom w:val="single" w:sz="8" w:space="0" w:color="B77BB4" w:themeColor="accent4"/>
        </w:tcBorders>
      </w:tcPr>
    </w:tblStylePr>
    <w:tblStylePr w:type="lastRow">
      <w:rPr>
        <w:b/>
        <w:bCs/>
        <w:color w:val="5B6973" w:themeColor="text2"/>
      </w:rPr>
      <w:tblPr/>
      <w:tcPr>
        <w:tcBorders>
          <w:top w:val="single" w:sz="8" w:space="0" w:color="B77BB4" w:themeColor="accent4"/>
          <w:bottom w:val="single" w:sz="8" w:space="0" w:color="B77BB4" w:themeColor="accent4"/>
        </w:tcBorders>
      </w:tcPr>
    </w:tblStylePr>
    <w:tblStylePr w:type="firstCol">
      <w:rPr>
        <w:b/>
        <w:bCs/>
      </w:rPr>
    </w:tblStylePr>
    <w:tblStylePr w:type="lastCol">
      <w:rPr>
        <w:b/>
        <w:bCs/>
      </w:rPr>
      <w:tblPr/>
      <w:tcPr>
        <w:tcBorders>
          <w:top w:val="single" w:sz="8" w:space="0" w:color="B77BB4" w:themeColor="accent4"/>
          <w:bottom w:val="single" w:sz="8" w:space="0" w:color="B77BB4" w:themeColor="accent4"/>
        </w:tcBorders>
      </w:tcPr>
    </w:tblStylePr>
    <w:tblStylePr w:type="band1Vert">
      <w:tblPr/>
      <w:tcPr>
        <w:shd w:val="clear" w:color="auto" w:fill="EDDEEC" w:themeFill="accent4" w:themeFillTint="3F"/>
      </w:tcPr>
    </w:tblStylePr>
    <w:tblStylePr w:type="band1Horz">
      <w:tblPr/>
      <w:tcPr>
        <w:shd w:val="clear" w:color="auto" w:fill="EDDEEC" w:themeFill="accent4" w:themeFillTint="3F"/>
      </w:tcPr>
    </w:tblStylePr>
  </w:style>
  <w:style w:type="table" w:styleId="MediumList1-Accent5">
    <w:name w:val="Medium List 1 Accent 5"/>
    <w:basedOn w:val="TableNormal"/>
    <w:uiPriority w:val="65"/>
    <w:rsid w:val="002E7F6D"/>
    <w:pPr>
      <w:spacing w:after="0" w:line="240" w:lineRule="auto"/>
    </w:pPr>
    <w:rPr>
      <w:color w:val="000000" w:themeColor="text1"/>
    </w:rPr>
    <w:tblPr>
      <w:tblStyleRowBandSize w:val="1"/>
      <w:tblStyleColBandSize w:val="1"/>
      <w:tblBorders>
        <w:top w:val="single" w:sz="8" w:space="0" w:color="E0773C" w:themeColor="accent5"/>
        <w:bottom w:val="single" w:sz="8" w:space="0" w:color="E0773C" w:themeColor="accent5"/>
      </w:tblBorders>
    </w:tblPr>
    <w:tblStylePr w:type="firstRow">
      <w:rPr>
        <w:rFonts w:asciiTheme="majorHAnsi" w:eastAsiaTheme="majorEastAsia" w:hAnsiTheme="majorHAnsi" w:cstheme="majorBidi"/>
      </w:rPr>
      <w:tblPr/>
      <w:tcPr>
        <w:tcBorders>
          <w:top w:val="nil"/>
          <w:bottom w:val="single" w:sz="8" w:space="0" w:color="E0773C" w:themeColor="accent5"/>
        </w:tcBorders>
      </w:tcPr>
    </w:tblStylePr>
    <w:tblStylePr w:type="lastRow">
      <w:rPr>
        <w:b/>
        <w:bCs/>
        <w:color w:val="5B6973" w:themeColor="text2"/>
      </w:rPr>
      <w:tblPr/>
      <w:tcPr>
        <w:tcBorders>
          <w:top w:val="single" w:sz="8" w:space="0" w:color="E0773C" w:themeColor="accent5"/>
          <w:bottom w:val="single" w:sz="8" w:space="0" w:color="E0773C" w:themeColor="accent5"/>
        </w:tcBorders>
      </w:tcPr>
    </w:tblStylePr>
    <w:tblStylePr w:type="firstCol">
      <w:rPr>
        <w:b/>
        <w:bCs/>
      </w:rPr>
    </w:tblStylePr>
    <w:tblStylePr w:type="lastCol">
      <w:rPr>
        <w:b/>
        <w:bCs/>
      </w:rPr>
      <w:tblPr/>
      <w:tcPr>
        <w:tcBorders>
          <w:top w:val="single" w:sz="8" w:space="0" w:color="E0773C" w:themeColor="accent5"/>
          <w:bottom w:val="single" w:sz="8" w:space="0" w:color="E0773C" w:themeColor="accent5"/>
        </w:tcBorders>
      </w:tcPr>
    </w:tblStylePr>
    <w:tblStylePr w:type="band1Vert">
      <w:tblPr/>
      <w:tcPr>
        <w:shd w:val="clear" w:color="auto" w:fill="F7DDCE" w:themeFill="accent5" w:themeFillTint="3F"/>
      </w:tcPr>
    </w:tblStylePr>
    <w:tblStylePr w:type="band1Horz">
      <w:tblPr/>
      <w:tcPr>
        <w:shd w:val="clear" w:color="auto" w:fill="F7DDCE" w:themeFill="accent5" w:themeFillTint="3F"/>
      </w:tcPr>
    </w:tblStylePr>
  </w:style>
  <w:style w:type="table" w:styleId="MediumList1-Accent6">
    <w:name w:val="Medium List 1 Accent 6"/>
    <w:basedOn w:val="TableNormal"/>
    <w:uiPriority w:val="65"/>
    <w:rsid w:val="002E7F6D"/>
    <w:pPr>
      <w:spacing w:after="0" w:line="240" w:lineRule="auto"/>
    </w:pPr>
    <w:rPr>
      <w:color w:val="000000" w:themeColor="text1"/>
    </w:rPr>
    <w:tblPr>
      <w:tblStyleRowBandSize w:val="1"/>
      <w:tblStyleColBandSize w:val="1"/>
      <w:tblBorders>
        <w:top w:val="single" w:sz="8" w:space="0" w:color="A98D63" w:themeColor="accent6"/>
        <w:bottom w:val="single" w:sz="8" w:space="0" w:color="A98D63" w:themeColor="accent6"/>
      </w:tblBorders>
    </w:tblPr>
    <w:tblStylePr w:type="firstRow">
      <w:rPr>
        <w:rFonts w:asciiTheme="majorHAnsi" w:eastAsiaTheme="majorEastAsia" w:hAnsiTheme="majorHAnsi" w:cstheme="majorBidi"/>
      </w:rPr>
      <w:tblPr/>
      <w:tcPr>
        <w:tcBorders>
          <w:top w:val="nil"/>
          <w:bottom w:val="single" w:sz="8" w:space="0" w:color="A98D63" w:themeColor="accent6"/>
        </w:tcBorders>
      </w:tcPr>
    </w:tblStylePr>
    <w:tblStylePr w:type="lastRow">
      <w:rPr>
        <w:b/>
        <w:bCs/>
        <w:color w:val="5B6973" w:themeColor="text2"/>
      </w:rPr>
      <w:tblPr/>
      <w:tcPr>
        <w:tcBorders>
          <w:top w:val="single" w:sz="8" w:space="0" w:color="A98D63" w:themeColor="accent6"/>
          <w:bottom w:val="single" w:sz="8" w:space="0" w:color="A98D63" w:themeColor="accent6"/>
        </w:tcBorders>
      </w:tcPr>
    </w:tblStylePr>
    <w:tblStylePr w:type="firstCol">
      <w:rPr>
        <w:b/>
        <w:bCs/>
      </w:rPr>
    </w:tblStylePr>
    <w:tblStylePr w:type="lastCol">
      <w:rPr>
        <w:b/>
        <w:bCs/>
      </w:rPr>
      <w:tblPr/>
      <w:tcPr>
        <w:tcBorders>
          <w:top w:val="single" w:sz="8" w:space="0" w:color="A98D63" w:themeColor="accent6"/>
          <w:bottom w:val="single" w:sz="8" w:space="0" w:color="A98D63" w:themeColor="accent6"/>
        </w:tcBorders>
      </w:tcPr>
    </w:tblStylePr>
    <w:tblStylePr w:type="band1Vert">
      <w:tblPr/>
      <w:tcPr>
        <w:shd w:val="clear" w:color="auto" w:fill="E9E2D8" w:themeFill="accent6" w:themeFillTint="3F"/>
      </w:tcPr>
    </w:tblStylePr>
    <w:tblStylePr w:type="band1Horz">
      <w:tblPr/>
      <w:tcPr>
        <w:shd w:val="clear" w:color="auto" w:fill="E9E2D8" w:themeFill="accent6" w:themeFillTint="3F"/>
      </w:tcPr>
    </w:tblStylePr>
  </w:style>
  <w:style w:type="table" w:customStyle="1" w:styleId="MediumList21">
    <w:name w:val="Medium List 21"/>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tblBorders>
    </w:tblPr>
    <w:tblStylePr w:type="firstRow">
      <w:rPr>
        <w:sz w:val="24"/>
        <w:szCs w:val="24"/>
      </w:rPr>
      <w:tblPr/>
      <w:tcPr>
        <w:tcBorders>
          <w:top w:val="nil"/>
          <w:left w:val="nil"/>
          <w:bottom w:val="single" w:sz="24" w:space="0" w:color="98C723" w:themeColor="accent1"/>
          <w:right w:val="nil"/>
          <w:insideH w:val="nil"/>
          <w:insideV w:val="nil"/>
        </w:tcBorders>
        <w:shd w:val="clear" w:color="auto" w:fill="FFFFFF" w:themeFill="background1"/>
      </w:tcPr>
    </w:tblStylePr>
    <w:tblStylePr w:type="lastRow">
      <w:tblPr/>
      <w:tcPr>
        <w:tcBorders>
          <w:top w:val="single" w:sz="8" w:space="0" w:color="98C723"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8C723" w:themeColor="accent1"/>
          <w:insideH w:val="nil"/>
          <w:insideV w:val="nil"/>
        </w:tcBorders>
        <w:shd w:val="clear" w:color="auto" w:fill="FFFFFF" w:themeFill="background1"/>
      </w:tcPr>
    </w:tblStylePr>
    <w:tblStylePr w:type="lastCol">
      <w:tblPr/>
      <w:tcPr>
        <w:tcBorders>
          <w:top w:val="nil"/>
          <w:left w:val="single" w:sz="8" w:space="0" w:color="98C723"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F4C4" w:themeFill="accent1" w:themeFillTint="3F"/>
      </w:tcPr>
    </w:tblStylePr>
    <w:tblStylePr w:type="band1Horz">
      <w:tblPr/>
      <w:tcPr>
        <w:tcBorders>
          <w:top w:val="nil"/>
          <w:bottom w:val="nil"/>
          <w:insideH w:val="nil"/>
          <w:insideV w:val="nil"/>
        </w:tcBorders>
        <w:shd w:val="clear" w:color="auto" w:fill="E6F4C4"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tblBorders>
    </w:tblPr>
    <w:tblStylePr w:type="firstRow">
      <w:rPr>
        <w:sz w:val="24"/>
        <w:szCs w:val="24"/>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tblPr/>
      <w:tcPr>
        <w:tcBorders>
          <w:top w:val="single" w:sz="8" w:space="0" w:color="59B0B9"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9B0B9" w:themeColor="accent2"/>
          <w:insideH w:val="nil"/>
          <w:insideV w:val="nil"/>
        </w:tcBorders>
        <w:shd w:val="clear" w:color="auto" w:fill="FFFFFF" w:themeFill="background1"/>
      </w:tcPr>
    </w:tblStylePr>
    <w:tblStylePr w:type="lastCol">
      <w:tblPr/>
      <w:tcPr>
        <w:tcBorders>
          <w:top w:val="nil"/>
          <w:left w:val="single" w:sz="8" w:space="0" w:color="59B0B9"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EBED" w:themeFill="accent2" w:themeFillTint="3F"/>
      </w:tcPr>
    </w:tblStylePr>
    <w:tblStylePr w:type="band1Horz">
      <w:tblPr/>
      <w:tcPr>
        <w:tcBorders>
          <w:top w:val="nil"/>
          <w:bottom w:val="nil"/>
          <w:insideH w:val="nil"/>
          <w:insideV w:val="nil"/>
        </w:tcBorders>
        <w:shd w:val="clear" w:color="auto" w:fill="D5EBED"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tblBorders>
    </w:tblPr>
    <w:tblStylePr w:type="firstRow">
      <w:rPr>
        <w:sz w:val="24"/>
        <w:szCs w:val="24"/>
      </w:rPr>
      <w:tblPr/>
      <w:tcPr>
        <w:tcBorders>
          <w:top w:val="nil"/>
          <w:left w:val="nil"/>
          <w:bottom w:val="single" w:sz="24" w:space="0" w:color="DEAE00" w:themeColor="accent3"/>
          <w:right w:val="nil"/>
          <w:insideH w:val="nil"/>
          <w:insideV w:val="nil"/>
        </w:tcBorders>
        <w:shd w:val="clear" w:color="auto" w:fill="FFFFFF" w:themeFill="background1"/>
      </w:tcPr>
    </w:tblStylePr>
    <w:tblStylePr w:type="lastRow">
      <w:tblPr/>
      <w:tcPr>
        <w:tcBorders>
          <w:top w:val="single" w:sz="8" w:space="0" w:color="DEAE0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AE00" w:themeColor="accent3"/>
          <w:insideH w:val="nil"/>
          <w:insideV w:val="nil"/>
        </w:tcBorders>
        <w:shd w:val="clear" w:color="auto" w:fill="FFFFFF" w:themeFill="background1"/>
      </w:tcPr>
    </w:tblStylePr>
    <w:tblStylePr w:type="lastCol">
      <w:tblPr/>
      <w:tcPr>
        <w:tcBorders>
          <w:top w:val="nil"/>
          <w:left w:val="single" w:sz="8" w:space="0" w:color="DEAE0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B7" w:themeFill="accent3" w:themeFillTint="3F"/>
      </w:tcPr>
    </w:tblStylePr>
    <w:tblStylePr w:type="band1Horz">
      <w:tblPr/>
      <w:tcPr>
        <w:tcBorders>
          <w:top w:val="nil"/>
          <w:bottom w:val="nil"/>
          <w:insideH w:val="nil"/>
          <w:insideV w:val="nil"/>
        </w:tcBorders>
        <w:shd w:val="clear" w:color="auto" w:fill="FFEFB7"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tblBorders>
    </w:tblPr>
    <w:tblStylePr w:type="firstRow">
      <w:rPr>
        <w:sz w:val="24"/>
        <w:szCs w:val="24"/>
      </w:rPr>
      <w:tblPr/>
      <w:tcPr>
        <w:tcBorders>
          <w:top w:val="nil"/>
          <w:left w:val="nil"/>
          <w:bottom w:val="single" w:sz="24" w:space="0" w:color="B77BB4" w:themeColor="accent4"/>
          <w:right w:val="nil"/>
          <w:insideH w:val="nil"/>
          <w:insideV w:val="nil"/>
        </w:tcBorders>
        <w:shd w:val="clear" w:color="auto" w:fill="FFFFFF" w:themeFill="background1"/>
      </w:tcPr>
    </w:tblStylePr>
    <w:tblStylePr w:type="lastRow">
      <w:tblPr/>
      <w:tcPr>
        <w:tcBorders>
          <w:top w:val="single" w:sz="8" w:space="0" w:color="B77BB4"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77BB4" w:themeColor="accent4"/>
          <w:insideH w:val="nil"/>
          <w:insideV w:val="nil"/>
        </w:tcBorders>
        <w:shd w:val="clear" w:color="auto" w:fill="FFFFFF" w:themeFill="background1"/>
      </w:tcPr>
    </w:tblStylePr>
    <w:tblStylePr w:type="lastCol">
      <w:tblPr/>
      <w:tcPr>
        <w:tcBorders>
          <w:top w:val="nil"/>
          <w:left w:val="single" w:sz="8" w:space="0" w:color="B77BB4"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DDEEC" w:themeFill="accent4" w:themeFillTint="3F"/>
      </w:tcPr>
    </w:tblStylePr>
    <w:tblStylePr w:type="band1Horz">
      <w:tblPr/>
      <w:tcPr>
        <w:tcBorders>
          <w:top w:val="nil"/>
          <w:bottom w:val="nil"/>
          <w:insideH w:val="nil"/>
          <w:insideV w:val="nil"/>
        </w:tcBorders>
        <w:shd w:val="clear" w:color="auto" w:fill="EDDEEC"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tblBorders>
    </w:tblPr>
    <w:tblStylePr w:type="firstRow">
      <w:rPr>
        <w:sz w:val="24"/>
        <w:szCs w:val="24"/>
      </w:rPr>
      <w:tblPr/>
      <w:tcPr>
        <w:tcBorders>
          <w:top w:val="nil"/>
          <w:left w:val="nil"/>
          <w:bottom w:val="single" w:sz="24" w:space="0" w:color="E0773C" w:themeColor="accent5"/>
          <w:right w:val="nil"/>
          <w:insideH w:val="nil"/>
          <w:insideV w:val="nil"/>
        </w:tcBorders>
        <w:shd w:val="clear" w:color="auto" w:fill="FFFFFF" w:themeFill="background1"/>
      </w:tcPr>
    </w:tblStylePr>
    <w:tblStylePr w:type="lastRow">
      <w:tblPr/>
      <w:tcPr>
        <w:tcBorders>
          <w:top w:val="single" w:sz="8" w:space="0" w:color="E0773C"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0773C" w:themeColor="accent5"/>
          <w:insideH w:val="nil"/>
          <w:insideV w:val="nil"/>
        </w:tcBorders>
        <w:shd w:val="clear" w:color="auto" w:fill="FFFFFF" w:themeFill="background1"/>
      </w:tcPr>
    </w:tblStylePr>
    <w:tblStylePr w:type="lastCol">
      <w:tblPr/>
      <w:tcPr>
        <w:tcBorders>
          <w:top w:val="nil"/>
          <w:left w:val="single" w:sz="8" w:space="0" w:color="E0773C"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DDCE" w:themeFill="accent5" w:themeFillTint="3F"/>
      </w:tcPr>
    </w:tblStylePr>
    <w:tblStylePr w:type="band1Horz">
      <w:tblPr/>
      <w:tcPr>
        <w:tcBorders>
          <w:top w:val="nil"/>
          <w:bottom w:val="nil"/>
          <w:insideH w:val="nil"/>
          <w:insideV w:val="nil"/>
        </w:tcBorders>
        <w:shd w:val="clear" w:color="auto" w:fill="F7DDCE"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tblBorders>
    </w:tblPr>
    <w:tblStylePr w:type="firstRow">
      <w:rPr>
        <w:sz w:val="24"/>
        <w:szCs w:val="24"/>
      </w:rPr>
      <w:tblPr/>
      <w:tcPr>
        <w:tcBorders>
          <w:top w:val="nil"/>
          <w:left w:val="nil"/>
          <w:bottom w:val="single" w:sz="24" w:space="0" w:color="A98D63" w:themeColor="accent6"/>
          <w:right w:val="nil"/>
          <w:insideH w:val="nil"/>
          <w:insideV w:val="nil"/>
        </w:tcBorders>
        <w:shd w:val="clear" w:color="auto" w:fill="FFFFFF" w:themeFill="background1"/>
      </w:tcPr>
    </w:tblStylePr>
    <w:tblStylePr w:type="lastRow">
      <w:tblPr/>
      <w:tcPr>
        <w:tcBorders>
          <w:top w:val="single" w:sz="8" w:space="0" w:color="A98D63"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98D63" w:themeColor="accent6"/>
          <w:insideH w:val="nil"/>
          <w:insideV w:val="nil"/>
        </w:tcBorders>
        <w:shd w:val="clear" w:color="auto" w:fill="FFFFFF" w:themeFill="background1"/>
      </w:tcPr>
    </w:tblStylePr>
    <w:tblStylePr w:type="lastCol">
      <w:tblPr/>
      <w:tcPr>
        <w:tcBorders>
          <w:top w:val="nil"/>
          <w:left w:val="single" w:sz="8" w:space="0" w:color="A98D63"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E2D8" w:themeFill="accent6" w:themeFillTint="3F"/>
      </w:tcPr>
    </w:tblStylePr>
    <w:tblStylePr w:type="band1Horz">
      <w:tblPr/>
      <w:tcPr>
        <w:tcBorders>
          <w:top w:val="nil"/>
          <w:bottom w:val="nil"/>
          <w:insideH w:val="nil"/>
          <w:insideV w:val="nil"/>
        </w:tcBorders>
        <w:shd w:val="clear" w:color="auto" w:fill="E9E2D8"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ediumShading11">
    <w:name w:val="Medium Shading 11"/>
    <w:basedOn w:val="TableNormal"/>
    <w:uiPriority w:val="63"/>
    <w:rsid w:val="002E7F6D"/>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ediumShading1-Accent11">
    <w:name w:val="Medium Shading 1 - Accent 11"/>
    <w:basedOn w:val="TableNormal"/>
    <w:uiPriority w:val="63"/>
    <w:rsid w:val="002E7F6D"/>
    <w:pPr>
      <w:spacing w:after="0" w:line="240" w:lineRule="auto"/>
    </w:pPr>
    <w:tblPr>
      <w:tblStyleRowBandSize w:val="1"/>
      <w:tblStyleColBandSize w:val="1"/>
      <w:tblBorders>
        <w:top w:val="single" w:sz="8"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single" w:sz="8" w:space="0" w:color="B5E04E" w:themeColor="accent1" w:themeTint="BF"/>
      </w:tblBorders>
    </w:tblPr>
    <w:tblStylePr w:type="firstRow">
      <w:pPr>
        <w:spacing w:before="0" w:after="0" w:line="240" w:lineRule="auto"/>
      </w:pPr>
      <w:rPr>
        <w:b/>
        <w:bCs/>
        <w:color w:val="FFFFFF" w:themeColor="background1"/>
      </w:rPr>
      <w:tblPr/>
      <w:tcPr>
        <w:tcBorders>
          <w:top w:val="single" w:sz="8"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nil"/>
          <w:insideV w:val="nil"/>
        </w:tcBorders>
        <w:shd w:val="clear" w:color="auto" w:fill="98C723" w:themeFill="accent1"/>
      </w:tcPr>
    </w:tblStylePr>
    <w:tblStylePr w:type="lastRow">
      <w:pPr>
        <w:spacing w:before="0" w:after="0" w:line="240" w:lineRule="auto"/>
      </w:pPr>
      <w:rPr>
        <w:b/>
        <w:bCs/>
      </w:rPr>
      <w:tblPr/>
      <w:tcPr>
        <w:tcBorders>
          <w:top w:val="double" w:sz="6"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nil"/>
          <w:insideV w:val="nil"/>
        </w:tcBorders>
      </w:tcPr>
    </w:tblStylePr>
    <w:tblStylePr w:type="firstCol">
      <w:rPr>
        <w:b/>
        <w:bCs/>
      </w:rPr>
    </w:tblStylePr>
    <w:tblStylePr w:type="lastCol">
      <w:rPr>
        <w:b/>
        <w:bCs/>
      </w:rPr>
    </w:tblStylePr>
    <w:tblStylePr w:type="band1Vert">
      <w:tblPr/>
      <w:tcPr>
        <w:shd w:val="clear" w:color="auto" w:fill="E6F4C4" w:themeFill="accent1" w:themeFillTint="3F"/>
      </w:tcPr>
    </w:tblStylePr>
    <w:tblStylePr w:type="band1Horz">
      <w:tblPr/>
      <w:tcPr>
        <w:tcBorders>
          <w:insideH w:val="nil"/>
          <w:insideV w:val="nil"/>
        </w:tcBorders>
        <w:shd w:val="clear" w:color="auto" w:fill="E6F4C4"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2E7F6D"/>
    <w:pPr>
      <w:spacing w:after="0" w:line="240" w:lineRule="auto"/>
    </w:pPr>
    <w:tblPr>
      <w:tblStyleRowBandSize w:val="1"/>
      <w:tblStyleColBandSize w:val="1"/>
      <w:tblBorders>
        <w:top w:val="single" w:sz="8"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single" w:sz="8" w:space="0" w:color="82C3CA" w:themeColor="accent2" w:themeTint="BF"/>
      </w:tblBorders>
    </w:tblPr>
    <w:tblStylePr w:type="firstRow">
      <w:pPr>
        <w:spacing w:before="0" w:after="0" w:line="240" w:lineRule="auto"/>
      </w:pPr>
      <w:rPr>
        <w:b/>
        <w:bCs/>
        <w:color w:val="FFFFFF" w:themeColor="background1"/>
      </w:rPr>
      <w:tblPr/>
      <w:tcPr>
        <w:tcBorders>
          <w:top w:val="single" w:sz="8"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nil"/>
          <w:insideV w:val="nil"/>
        </w:tcBorders>
        <w:shd w:val="clear" w:color="auto" w:fill="59B0B9" w:themeFill="accent2"/>
      </w:tcPr>
    </w:tblStylePr>
    <w:tblStylePr w:type="lastRow">
      <w:pPr>
        <w:spacing w:before="0" w:after="0" w:line="240" w:lineRule="auto"/>
      </w:pPr>
      <w:rPr>
        <w:b/>
        <w:bCs/>
      </w:rPr>
      <w:tblPr/>
      <w:tcPr>
        <w:tcBorders>
          <w:top w:val="double" w:sz="6"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5EBED" w:themeFill="accent2" w:themeFillTint="3F"/>
      </w:tcPr>
    </w:tblStylePr>
    <w:tblStylePr w:type="band1Horz">
      <w:tblPr/>
      <w:tcPr>
        <w:tcBorders>
          <w:insideH w:val="nil"/>
          <w:insideV w:val="nil"/>
        </w:tcBorders>
        <w:shd w:val="clear" w:color="auto" w:fill="D5EBED"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2E7F6D"/>
    <w:pPr>
      <w:spacing w:after="0" w:line="240" w:lineRule="auto"/>
    </w:pPr>
    <w:tblPr>
      <w:tblStyleRowBandSize w:val="1"/>
      <w:tblStyleColBandSize w:val="1"/>
      <w:tblBorders>
        <w:top w:val="single" w:sz="8"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single" w:sz="8" w:space="0" w:color="FFCF27" w:themeColor="accent3" w:themeTint="BF"/>
      </w:tblBorders>
    </w:tblPr>
    <w:tblStylePr w:type="firstRow">
      <w:pPr>
        <w:spacing w:before="0" w:after="0" w:line="240" w:lineRule="auto"/>
      </w:pPr>
      <w:rPr>
        <w:b/>
        <w:bCs/>
        <w:color w:val="FFFFFF" w:themeColor="background1"/>
      </w:rPr>
      <w:tblPr/>
      <w:tcPr>
        <w:tcBorders>
          <w:top w:val="single" w:sz="8"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nil"/>
          <w:insideV w:val="nil"/>
        </w:tcBorders>
        <w:shd w:val="clear" w:color="auto" w:fill="DEAE00" w:themeFill="accent3"/>
      </w:tcPr>
    </w:tblStylePr>
    <w:tblStylePr w:type="lastRow">
      <w:pPr>
        <w:spacing w:before="0" w:after="0" w:line="240" w:lineRule="auto"/>
      </w:pPr>
      <w:rPr>
        <w:b/>
        <w:bCs/>
      </w:rPr>
      <w:tblPr/>
      <w:tcPr>
        <w:tcBorders>
          <w:top w:val="double" w:sz="6"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nil"/>
          <w:insideV w:val="nil"/>
        </w:tcBorders>
      </w:tcPr>
    </w:tblStylePr>
    <w:tblStylePr w:type="firstCol">
      <w:rPr>
        <w:b/>
        <w:bCs/>
      </w:rPr>
    </w:tblStylePr>
    <w:tblStylePr w:type="lastCol">
      <w:rPr>
        <w:b/>
        <w:bCs/>
      </w:rPr>
    </w:tblStylePr>
    <w:tblStylePr w:type="band1Vert">
      <w:tblPr/>
      <w:tcPr>
        <w:shd w:val="clear" w:color="auto" w:fill="FFEFB7" w:themeFill="accent3" w:themeFillTint="3F"/>
      </w:tcPr>
    </w:tblStylePr>
    <w:tblStylePr w:type="band1Horz">
      <w:tblPr/>
      <w:tcPr>
        <w:tcBorders>
          <w:insideH w:val="nil"/>
          <w:insideV w:val="nil"/>
        </w:tcBorders>
        <w:shd w:val="clear" w:color="auto" w:fill="FFEFB7"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2E7F6D"/>
    <w:pPr>
      <w:spacing w:after="0" w:line="240" w:lineRule="auto"/>
    </w:pPr>
    <w:tblPr>
      <w:tblStyleRowBandSize w:val="1"/>
      <w:tblStyleColBandSize w:val="1"/>
      <w:tblBorders>
        <w:top w:val="single" w:sz="8"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single" w:sz="8" w:space="0" w:color="C99CC6" w:themeColor="accent4" w:themeTint="BF"/>
      </w:tblBorders>
    </w:tblPr>
    <w:tblStylePr w:type="firstRow">
      <w:pPr>
        <w:spacing w:before="0" w:after="0" w:line="240" w:lineRule="auto"/>
      </w:pPr>
      <w:rPr>
        <w:b/>
        <w:bCs/>
        <w:color w:val="FFFFFF" w:themeColor="background1"/>
      </w:rPr>
      <w:tblPr/>
      <w:tcPr>
        <w:tcBorders>
          <w:top w:val="single" w:sz="8"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nil"/>
          <w:insideV w:val="nil"/>
        </w:tcBorders>
        <w:shd w:val="clear" w:color="auto" w:fill="B77BB4" w:themeFill="accent4"/>
      </w:tcPr>
    </w:tblStylePr>
    <w:tblStylePr w:type="lastRow">
      <w:pPr>
        <w:spacing w:before="0" w:after="0" w:line="240" w:lineRule="auto"/>
      </w:pPr>
      <w:rPr>
        <w:b/>
        <w:bCs/>
      </w:rPr>
      <w:tblPr/>
      <w:tcPr>
        <w:tcBorders>
          <w:top w:val="double" w:sz="6"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nil"/>
          <w:insideV w:val="nil"/>
        </w:tcBorders>
      </w:tcPr>
    </w:tblStylePr>
    <w:tblStylePr w:type="firstCol">
      <w:rPr>
        <w:b/>
        <w:bCs/>
      </w:rPr>
    </w:tblStylePr>
    <w:tblStylePr w:type="lastCol">
      <w:rPr>
        <w:b/>
        <w:bCs/>
      </w:rPr>
    </w:tblStylePr>
    <w:tblStylePr w:type="band1Vert">
      <w:tblPr/>
      <w:tcPr>
        <w:shd w:val="clear" w:color="auto" w:fill="EDDEEC" w:themeFill="accent4" w:themeFillTint="3F"/>
      </w:tcPr>
    </w:tblStylePr>
    <w:tblStylePr w:type="band1Horz">
      <w:tblPr/>
      <w:tcPr>
        <w:tcBorders>
          <w:insideH w:val="nil"/>
          <w:insideV w:val="nil"/>
        </w:tcBorders>
        <w:shd w:val="clear" w:color="auto" w:fill="EDDEEC"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2E7F6D"/>
    <w:pPr>
      <w:spacing w:after="0" w:line="240" w:lineRule="auto"/>
    </w:pPr>
    <w:tblPr>
      <w:tblStyleRowBandSize w:val="1"/>
      <w:tblStyleColBandSize w:val="1"/>
      <w:tblBorders>
        <w:top w:val="single" w:sz="8"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single" w:sz="8" w:space="0" w:color="E7986C" w:themeColor="accent5" w:themeTint="BF"/>
      </w:tblBorders>
    </w:tblPr>
    <w:tblStylePr w:type="firstRow">
      <w:pPr>
        <w:spacing w:before="0" w:after="0" w:line="240" w:lineRule="auto"/>
      </w:pPr>
      <w:rPr>
        <w:b/>
        <w:bCs/>
        <w:color w:val="FFFFFF" w:themeColor="background1"/>
      </w:rPr>
      <w:tblPr/>
      <w:tcPr>
        <w:tcBorders>
          <w:top w:val="single" w:sz="8"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nil"/>
          <w:insideV w:val="nil"/>
        </w:tcBorders>
        <w:shd w:val="clear" w:color="auto" w:fill="E0773C" w:themeFill="accent5"/>
      </w:tcPr>
    </w:tblStylePr>
    <w:tblStylePr w:type="lastRow">
      <w:pPr>
        <w:spacing w:before="0" w:after="0" w:line="240" w:lineRule="auto"/>
      </w:pPr>
      <w:rPr>
        <w:b/>
        <w:bCs/>
      </w:rPr>
      <w:tblPr/>
      <w:tcPr>
        <w:tcBorders>
          <w:top w:val="double" w:sz="6"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DDCE" w:themeFill="accent5" w:themeFillTint="3F"/>
      </w:tcPr>
    </w:tblStylePr>
    <w:tblStylePr w:type="band1Horz">
      <w:tblPr/>
      <w:tcPr>
        <w:tcBorders>
          <w:insideH w:val="nil"/>
          <w:insideV w:val="nil"/>
        </w:tcBorders>
        <w:shd w:val="clear" w:color="auto" w:fill="F7DDCE"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2E7F6D"/>
    <w:pPr>
      <w:spacing w:after="0" w:line="240" w:lineRule="auto"/>
    </w:pPr>
    <w:tblPr>
      <w:tblStyleRowBandSize w:val="1"/>
      <w:tblStyleColBandSize w:val="1"/>
      <w:tblBorders>
        <w:top w:val="single" w:sz="8"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single" w:sz="8" w:space="0" w:color="BEA98A" w:themeColor="accent6" w:themeTint="BF"/>
      </w:tblBorders>
    </w:tblPr>
    <w:tblStylePr w:type="firstRow">
      <w:pPr>
        <w:spacing w:before="0" w:after="0" w:line="240" w:lineRule="auto"/>
      </w:pPr>
      <w:rPr>
        <w:b/>
        <w:bCs/>
        <w:color w:val="FFFFFF" w:themeColor="background1"/>
      </w:rPr>
      <w:tblPr/>
      <w:tcPr>
        <w:tcBorders>
          <w:top w:val="single" w:sz="8"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nil"/>
          <w:insideV w:val="nil"/>
        </w:tcBorders>
        <w:shd w:val="clear" w:color="auto" w:fill="A98D63" w:themeFill="accent6"/>
      </w:tcPr>
    </w:tblStylePr>
    <w:tblStylePr w:type="lastRow">
      <w:pPr>
        <w:spacing w:before="0" w:after="0" w:line="240" w:lineRule="auto"/>
      </w:pPr>
      <w:rPr>
        <w:b/>
        <w:bCs/>
      </w:rPr>
      <w:tblPr/>
      <w:tcPr>
        <w:tcBorders>
          <w:top w:val="double" w:sz="6"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nil"/>
          <w:insideV w:val="nil"/>
        </w:tcBorders>
      </w:tcPr>
    </w:tblStylePr>
    <w:tblStylePr w:type="firstCol">
      <w:rPr>
        <w:b/>
        <w:bCs/>
      </w:rPr>
    </w:tblStylePr>
    <w:tblStylePr w:type="lastCol">
      <w:rPr>
        <w:b/>
        <w:bCs/>
      </w:rPr>
    </w:tblStylePr>
    <w:tblStylePr w:type="band1Vert">
      <w:tblPr/>
      <w:tcPr>
        <w:shd w:val="clear" w:color="auto" w:fill="E9E2D8" w:themeFill="accent6" w:themeFillTint="3F"/>
      </w:tcPr>
    </w:tblStylePr>
    <w:tblStylePr w:type="band1Horz">
      <w:tblPr/>
      <w:tcPr>
        <w:tcBorders>
          <w:insideH w:val="nil"/>
          <w:insideV w:val="nil"/>
        </w:tcBorders>
        <w:shd w:val="clear" w:color="auto" w:fill="E9E2D8" w:themeFill="accent6" w:themeFillTint="3F"/>
      </w:tcPr>
    </w:tblStylePr>
    <w:tblStylePr w:type="band2Horz">
      <w:tblPr/>
      <w:tcPr>
        <w:tcBorders>
          <w:insideH w:val="nil"/>
          <w:insideV w:val="nil"/>
        </w:tcBorders>
      </w:tcPr>
    </w:tblStylePr>
  </w:style>
  <w:style w:type="table" w:customStyle="1" w:styleId="MediumShading21">
    <w:name w:val="Medium Shading 21"/>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11">
    <w:name w:val="Medium Shading 2 - Accent 11"/>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8C723"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8C723" w:themeFill="accent1"/>
      </w:tcPr>
    </w:tblStylePr>
    <w:tblStylePr w:type="lastCol">
      <w:rPr>
        <w:b/>
        <w:bCs/>
        <w:color w:val="FFFFFF" w:themeColor="background1"/>
      </w:rPr>
      <w:tblPr/>
      <w:tcPr>
        <w:tcBorders>
          <w:left w:val="nil"/>
          <w:right w:val="nil"/>
          <w:insideH w:val="nil"/>
          <w:insideV w:val="nil"/>
        </w:tcBorders>
        <w:shd w:val="clear" w:color="auto" w:fill="98C723"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9B0B9"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9B0B9" w:themeFill="accent2"/>
      </w:tcPr>
    </w:tblStylePr>
    <w:tblStylePr w:type="lastCol">
      <w:rPr>
        <w:b/>
        <w:bCs/>
        <w:color w:val="FFFFFF" w:themeColor="background1"/>
      </w:rPr>
      <w:tblPr/>
      <w:tcPr>
        <w:tcBorders>
          <w:left w:val="nil"/>
          <w:right w:val="nil"/>
          <w:insideH w:val="nil"/>
          <w:insideV w:val="nil"/>
        </w:tcBorders>
        <w:shd w:val="clear" w:color="auto" w:fill="59B0B9"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AE0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DEAE00" w:themeFill="accent3"/>
      </w:tcPr>
    </w:tblStylePr>
    <w:tblStylePr w:type="lastCol">
      <w:rPr>
        <w:b/>
        <w:bCs/>
        <w:color w:val="FFFFFF" w:themeColor="background1"/>
      </w:rPr>
      <w:tblPr/>
      <w:tcPr>
        <w:tcBorders>
          <w:left w:val="nil"/>
          <w:right w:val="nil"/>
          <w:insideH w:val="nil"/>
          <w:insideV w:val="nil"/>
        </w:tcBorders>
        <w:shd w:val="clear" w:color="auto" w:fill="DEAE0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77BB4"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77BB4" w:themeFill="accent4"/>
      </w:tcPr>
    </w:tblStylePr>
    <w:tblStylePr w:type="lastCol">
      <w:rPr>
        <w:b/>
        <w:bCs/>
        <w:color w:val="FFFFFF" w:themeColor="background1"/>
      </w:rPr>
      <w:tblPr/>
      <w:tcPr>
        <w:tcBorders>
          <w:left w:val="nil"/>
          <w:right w:val="nil"/>
          <w:insideH w:val="nil"/>
          <w:insideV w:val="nil"/>
        </w:tcBorders>
        <w:shd w:val="clear" w:color="auto" w:fill="B77BB4"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0773C"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0773C" w:themeFill="accent5"/>
      </w:tcPr>
    </w:tblStylePr>
    <w:tblStylePr w:type="lastCol">
      <w:rPr>
        <w:b/>
        <w:bCs/>
        <w:color w:val="FFFFFF" w:themeColor="background1"/>
      </w:rPr>
      <w:tblPr/>
      <w:tcPr>
        <w:tcBorders>
          <w:left w:val="nil"/>
          <w:right w:val="nil"/>
          <w:insideH w:val="nil"/>
          <w:insideV w:val="nil"/>
        </w:tcBorders>
        <w:shd w:val="clear" w:color="auto" w:fill="E0773C"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98D63"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98D63" w:themeFill="accent6"/>
      </w:tcPr>
    </w:tblStylePr>
    <w:tblStylePr w:type="lastCol">
      <w:rPr>
        <w:b/>
        <w:bCs/>
        <w:color w:val="FFFFFF" w:themeColor="background1"/>
      </w:rPr>
      <w:tblPr/>
      <w:tcPr>
        <w:tcBorders>
          <w:left w:val="nil"/>
          <w:right w:val="nil"/>
          <w:insideH w:val="nil"/>
          <w:insideV w:val="nil"/>
        </w:tcBorders>
        <w:shd w:val="clear" w:color="auto" w:fill="A98D63"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2E7F6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2E7F6D"/>
    <w:rPr>
      <w:rFonts w:asciiTheme="majorHAnsi" w:eastAsiaTheme="majorEastAsia" w:hAnsiTheme="majorHAnsi" w:cstheme="majorBidi"/>
      <w:sz w:val="24"/>
      <w:shd w:val="pct20" w:color="auto" w:fill="auto"/>
    </w:rPr>
  </w:style>
  <w:style w:type="paragraph" w:styleId="NormalWeb">
    <w:name w:val="Normal (Web)"/>
    <w:basedOn w:val="Normal"/>
    <w:uiPriority w:val="99"/>
    <w:semiHidden/>
    <w:unhideWhenUsed/>
    <w:rsid w:val="002E7F6D"/>
    <w:rPr>
      <w:rFonts w:ascii="Times New Roman" w:hAnsi="Times New Roman" w:cs="Times New Roman"/>
    </w:rPr>
  </w:style>
  <w:style w:type="paragraph" w:styleId="NormalIndent">
    <w:name w:val="Normal Indent"/>
    <w:basedOn w:val="Normal"/>
    <w:uiPriority w:val="99"/>
    <w:semiHidden/>
    <w:unhideWhenUsed/>
    <w:rsid w:val="002E7F6D"/>
    <w:pPr>
      <w:ind w:left="720"/>
    </w:pPr>
  </w:style>
  <w:style w:type="paragraph" w:styleId="NoteHeading">
    <w:name w:val="Note Heading"/>
    <w:basedOn w:val="Normal"/>
    <w:next w:val="Normal"/>
    <w:link w:val="NoteHeadingChar"/>
    <w:uiPriority w:val="99"/>
    <w:semiHidden/>
    <w:unhideWhenUsed/>
    <w:rsid w:val="002E7F6D"/>
    <w:pPr>
      <w:spacing w:after="0" w:line="240" w:lineRule="auto"/>
    </w:pPr>
  </w:style>
  <w:style w:type="character" w:customStyle="1" w:styleId="NoteHeadingChar">
    <w:name w:val="Note Heading Char"/>
    <w:basedOn w:val="DefaultParagraphFont"/>
    <w:link w:val="NoteHeading"/>
    <w:uiPriority w:val="99"/>
    <w:semiHidden/>
    <w:rsid w:val="002E7F6D"/>
  </w:style>
  <w:style w:type="character" w:styleId="PageNumber">
    <w:name w:val="page number"/>
    <w:basedOn w:val="DefaultParagraphFont"/>
    <w:semiHidden/>
    <w:unhideWhenUsed/>
    <w:rsid w:val="002E7F6D"/>
  </w:style>
  <w:style w:type="paragraph" w:styleId="PlainText">
    <w:name w:val="Plain Text"/>
    <w:basedOn w:val="Normal"/>
    <w:link w:val="PlainTextChar"/>
    <w:uiPriority w:val="99"/>
    <w:semiHidden/>
    <w:unhideWhenUsed/>
    <w:rsid w:val="002E7F6D"/>
    <w:pPr>
      <w:spacing w:after="0" w:line="240" w:lineRule="auto"/>
    </w:pPr>
    <w:rPr>
      <w:rFonts w:ascii="Consolas" w:hAnsi="Consolas" w:cs="Consolas"/>
      <w:sz w:val="21"/>
    </w:rPr>
  </w:style>
  <w:style w:type="character" w:customStyle="1" w:styleId="PlainTextChar">
    <w:name w:val="Plain Text Char"/>
    <w:basedOn w:val="DefaultParagraphFont"/>
    <w:link w:val="PlainText"/>
    <w:uiPriority w:val="99"/>
    <w:semiHidden/>
    <w:rsid w:val="002E7F6D"/>
    <w:rPr>
      <w:rFonts w:ascii="Consolas" w:hAnsi="Consolas" w:cs="Consolas"/>
      <w:sz w:val="21"/>
    </w:rPr>
  </w:style>
  <w:style w:type="paragraph" w:styleId="Salutation">
    <w:name w:val="Salutation"/>
    <w:basedOn w:val="Normal"/>
    <w:next w:val="Normal"/>
    <w:link w:val="SalutationChar"/>
    <w:uiPriority w:val="99"/>
    <w:semiHidden/>
    <w:unhideWhenUsed/>
    <w:rsid w:val="002E7F6D"/>
  </w:style>
  <w:style w:type="character" w:customStyle="1" w:styleId="SalutationChar">
    <w:name w:val="Salutation Char"/>
    <w:basedOn w:val="DefaultParagraphFont"/>
    <w:link w:val="Salutation"/>
    <w:uiPriority w:val="99"/>
    <w:semiHidden/>
    <w:rsid w:val="002E7F6D"/>
  </w:style>
  <w:style w:type="paragraph" w:styleId="Signature">
    <w:name w:val="Signature"/>
    <w:basedOn w:val="Normal"/>
    <w:link w:val="SignatureChar"/>
    <w:uiPriority w:val="20"/>
    <w:unhideWhenUsed/>
    <w:qFormat/>
    <w:rsid w:val="002E7F6D"/>
    <w:pPr>
      <w:spacing w:before="720" w:after="0" w:line="312" w:lineRule="auto"/>
      <w:contextualSpacing/>
    </w:pPr>
  </w:style>
  <w:style w:type="character" w:customStyle="1" w:styleId="SignatureChar">
    <w:name w:val="Signature Char"/>
    <w:basedOn w:val="DefaultParagraphFont"/>
    <w:link w:val="Signature"/>
    <w:uiPriority w:val="20"/>
    <w:rsid w:val="002E7F6D"/>
    <w:rPr>
      <w:kern w:val="20"/>
    </w:rPr>
  </w:style>
  <w:style w:type="character" w:styleId="Strong">
    <w:name w:val="Strong"/>
    <w:basedOn w:val="DefaultParagraphFont"/>
    <w:uiPriority w:val="1"/>
    <w:unhideWhenUsed/>
    <w:qFormat/>
    <w:rsid w:val="002E7F6D"/>
    <w:rPr>
      <w:b/>
      <w:bCs/>
    </w:rPr>
  </w:style>
  <w:style w:type="paragraph" w:styleId="Subtitle">
    <w:name w:val="Subtitle"/>
    <w:basedOn w:val="Normal"/>
    <w:next w:val="Normal"/>
    <w:link w:val="SubtitleChar"/>
    <w:uiPriority w:val="19"/>
    <w:unhideWhenUsed/>
    <w:qFormat/>
    <w:rsid w:val="002E7F6D"/>
    <w:pPr>
      <w:numPr>
        <w:ilvl w:val="1"/>
      </w:numPr>
      <w:ind w:left="432" w:right="1080"/>
    </w:pPr>
    <w:rPr>
      <w:rFonts w:asciiTheme="majorHAnsi" w:eastAsiaTheme="majorEastAsia" w:hAnsiTheme="majorHAnsi" w:cstheme="majorBidi"/>
      <w:caps/>
      <w:color w:val="98C723" w:themeColor="accent1"/>
      <w:sz w:val="56"/>
    </w:rPr>
  </w:style>
  <w:style w:type="character" w:customStyle="1" w:styleId="SubtitleChar">
    <w:name w:val="Subtitle Char"/>
    <w:basedOn w:val="DefaultParagraphFont"/>
    <w:link w:val="Subtitle"/>
    <w:uiPriority w:val="19"/>
    <w:rsid w:val="002E7F6D"/>
    <w:rPr>
      <w:rFonts w:asciiTheme="majorHAnsi" w:eastAsiaTheme="majorEastAsia" w:hAnsiTheme="majorHAnsi" w:cstheme="majorBidi"/>
      <w:caps/>
      <w:color w:val="98C723" w:themeColor="accent1"/>
      <w:kern w:val="20"/>
      <w:sz w:val="56"/>
    </w:rPr>
  </w:style>
  <w:style w:type="character" w:styleId="SubtleEmphasis">
    <w:name w:val="Subtle Emphasis"/>
    <w:basedOn w:val="DefaultParagraphFont"/>
    <w:uiPriority w:val="19"/>
    <w:semiHidden/>
    <w:unhideWhenUsed/>
    <w:rsid w:val="002E7F6D"/>
    <w:rPr>
      <w:i/>
      <w:iCs/>
      <w:color w:val="808080" w:themeColor="text1" w:themeTint="7F"/>
    </w:rPr>
  </w:style>
  <w:style w:type="character" w:styleId="SubtleReference">
    <w:name w:val="Subtle Reference"/>
    <w:basedOn w:val="DefaultParagraphFont"/>
    <w:uiPriority w:val="31"/>
    <w:semiHidden/>
    <w:unhideWhenUsed/>
    <w:rsid w:val="002E7F6D"/>
    <w:rPr>
      <w:smallCaps/>
      <w:color w:val="59B0B9" w:themeColor="accent2"/>
      <w:u w:val="single"/>
    </w:rPr>
  </w:style>
  <w:style w:type="table" w:styleId="Table3Deffects1">
    <w:name w:val="Table 3D effects 1"/>
    <w:basedOn w:val="TableNormal"/>
    <w:uiPriority w:val="99"/>
    <w:semiHidden/>
    <w:unhideWhenUsed/>
    <w:rsid w:val="002E7F6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2E7F6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2E7F6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2E7F6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2E7F6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2E7F6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2E7F6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2E7F6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2E7F6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2E7F6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2E7F6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2E7F6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2E7F6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2E7F6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2E7F6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2E7F6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2E7F6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2E7F6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2E7F6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2E7F6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2E7F6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2E7F6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2E7F6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2E7F6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2E7F6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2E7F6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2E7F6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2E7F6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2E7F6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2E7F6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2E7F6D"/>
    <w:pPr>
      <w:spacing w:after="0"/>
      <w:ind w:left="220" w:hanging="220"/>
    </w:pPr>
  </w:style>
  <w:style w:type="paragraph" w:styleId="TableofFigures">
    <w:name w:val="table of figures"/>
    <w:basedOn w:val="Normal"/>
    <w:next w:val="Normal"/>
    <w:uiPriority w:val="99"/>
    <w:semiHidden/>
    <w:unhideWhenUsed/>
    <w:rsid w:val="002E7F6D"/>
    <w:pPr>
      <w:spacing w:after="0"/>
    </w:pPr>
  </w:style>
  <w:style w:type="table" w:styleId="TableProfessional">
    <w:name w:val="Table Professional"/>
    <w:basedOn w:val="TableNormal"/>
    <w:uiPriority w:val="99"/>
    <w:semiHidden/>
    <w:unhideWhenUsed/>
    <w:rsid w:val="002E7F6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2E7F6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2E7F6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2E7F6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2E7F6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2E7F6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2E7F6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2E7F6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2E7F6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next w:val="Normal"/>
    <w:link w:val="TitleChar"/>
    <w:uiPriority w:val="19"/>
    <w:unhideWhenUsed/>
    <w:qFormat/>
    <w:rsid w:val="002E7F6D"/>
    <w:pPr>
      <w:pBdr>
        <w:top w:val="single" w:sz="4" w:space="16" w:color="98C723" w:themeColor="accent1"/>
        <w:left w:val="single" w:sz="4" w:space="20" w:color="98C723" w:themeColor="accent1"/>
        <w:bottom w:val="single" w:sz="4" w:space="16" w:color="98C723" w:themeColor="accent1"/>
        <w:right w:val="single" w:sz="4" w:space="20" w:color="98C723" w:themeColor="accent1"/>
      </w:pBdr>
      <w:shd w:val="clear" w:color="auto" w:fill="98C723" w:themeFill="accent1"/>
      <w:spacing w:before="0" w:after="240" w:line="204" w:lineRule="auto"/>
      <w:ind w:left="432" w:right="432"/>
    </w:pPr>
    <w:rPr>
      <w:rFonts w:asciiTheme="majorHAnsi" w:eastAsiaTheme="majorEastAsia" w:hAnsiTheme="majorHAnsi" w:cstheme="majorBidi"/>
      <w:caps/>
      <w:color w:val="FFFFFF" w:themeColor="background1"/>
      <w:kern w:val="28"/>
      <w:sz w:val="72"/>
    </w:rPr>
  </w:style>
  <w:style w:type="character" w:customStyle="1" w:styleId="TitleChar">
    <w:name w:val="Title Char"/>
    <w:basedOn w:val="DefaultParagraphFont"/>
    <w:link w:val="Title"/>
    <w:uiPriority w:val="19"/>
    <w:rsid w:val="002E7F6D"/>
    <w:rPr>
      <w:rFonts w:asciiTheme="majorHAnsi" w:eastAsiaTheme="majorEastAsia" w:hAnsiTheme="majorHAnsi" w:cstheme="majorBidi"/>
      <w:caps/>
      <w:color w:val="FFFFFF" w:themeColor="background1"/>
      <w:kern w:val="28"/>
      <w:sz w:val="72"/>
      <w:shd w:val="clear" w:color="auto" w:fill="98C723" w:themeFill="accent1"/>
    </w:rPr>
  </w:style>
  <w:style w:type="paragraph" w:styleId="TOAHeading">
    <w:name w:val="toa heading"/>
    <w:basedOn w:val="Normal"/>
    <w:next w:val="Normal"/>
    <w:uiPriority w:val="99"/>
    <w:semiHidden/>
    <w:unhideWhenUsed/>
    <w:rsid w:val="002E7F6D"/>
    <w:rPr>
      <w:rFonts w:asciiTheme="majorHAnsi" w:eastAsiaTheme="majorEastAsia" w:hAnsiTheme="majorHAnsi" w:cstheme="majorBidi"/>
      <w:b/>
      <w:bCs/>
    </w:rPr>
  </w:style>
  <w:style w:type="paragraph" w:styleId="TOC1">
    <w:name w:val="toc 1"/>
    <w:basedOn w:val="Normal"/>
    <w:next w:val="Normal"/>
    <w:autoRedefine/>
    <w:uiPriority w:val="39"/>
    <w:unhideWhenUsed/>
    <w:rsid w:val="005B0A9A"/>
    <w:pPr>
      <w:tabs>
        <w:tab w:val="right" w:leader="underscore" w:pos="9356"/>
      </w:tabs>
      <w:spacing w:after="100"/>
    </w:pPr>
    <w:rPr>
      <w:noProof/>
      <w:color w:val="7F7F7F" w:themeColor="text1" w:themeTint="80"/>
      <w:sz w:val="22"/>
    </w:rPr>
  </w:style>
  <w:style w:type="paragraph" w:styleId="TOC2">
    <w:name w:val="toc 2"/>
    <w:basedOn w:val="Normal"/>
    <w:next w:val="Normal"/>
    <w:autoRedefine/>
    <w:uiPriority w:val="39"/>
    <w:unhideWhenUsed/>
    <w:rsid w:val="00EB274A"/>
    <w:pPr>
      <w:tabs>
        <w:tab w:val="left" w:pos="880"/>
        <w:tab w:val="right" w:leader="underscore" w:pos="9396"/>
      </w:tabs>
      <w:spacing w:after="100"/>
      <w:ind w:left="220"/>
    </w:pPr>
  </w:style>
  <w:style w:type="paragraph" w:styleId="TOC3">
    <w:name w:val="toc 3"/>
    <w:basedOn w:val="Normal"/>
    <w:next w:val="Normal"/>
    <w:autoRedefine/>
    <w:uiPriority w:val="39"/>
    <w:unhideWhenUsed/>
    <w:rsid w:val="00EB274A"/>
    <w:pPr>
      <w:tabs>
        <w:tab w:val="left" w:pos="1320"/>
        <w:tab w:val="right" w:leader="underscore" w:pos="9396"/>
      </w:tabs>
      <w:spacing w:after="100"/>
      <w:ind w:left="440"/>
    </w:pPr>
  </w:style>
  <w:style w:type="paragraph" w:styleId="TOC4">
    <w:name w:val="toc 4"/>
    <w:basedOn w:val="Normal"/>
    <w:next w:val="Normal"/>
    <w:autoRedefine/>
    <w:uiPriority w:val="39"/>
    <w:semiHidden/>
    <w:unhideWhenUsed/>
    <w:rsid w:val="002E7F6D"/>
    <w:pPr>
      <w:spacing w:after="100"/>
      <w:ind w:left="660"/>
    </w:pPr>
  </w:style>
  <w:style w:type="paragraph" w:styleId="TOC5">
    <w:name w:val="toc 5"/>
    <w:basedOn w:val="Normal"/>
    <w:next w:val="Normal"/>
    <w:autoRedefine/>
    <w:uiPriority w:val="39"/>
    <w:semiHidden/>
    <w:unhideWhenUsed/>
    <w:rsid w:val="002E7F6D"/>
    <w:pPr>
      <w:spacing w:after="100"/>
      <w:ind w:left="880"/>
    </w:pPr>
  </w:style>
  <w:style w:type="paragraph" w:styleId="TOC6">
    <w:name w:val="toc 6"/>
    <w:basedOn w:val="Normal"/>
    <w:next w:val="Normal"/>
    <w:autoRedefine/>
    <w:uiPriority w:val="39"/>
    <w:semiHidden/>
    <w:unhideWhenUsed/>
    <w:rsid w:val="002E7F6D"/>
    <w:pPr>
      <w:spacing w:after="100"/>
      <w:ind w:left="1100"/>
    </w:pPr>
  </w:style>
  <w:style w:type="paragraph" w:styleId="TOC7">
    <w:name w:val="toc 7"/>
    <w:basedOn w:val="Normal"/>
    <w:next w:val="Normal"/>
    <w:autoRedefine/>
    <w:uiPriority w:val="39"/>
    <w:semiHidden/>
    <w:unhideWhenUsed/>
    <w:rsid w:val="002E7F6D"/>
    <w:pPr>
      <w:spacing w:after="100"/>
      <w:ind w:left="1320"/>
    </w:pPr>
  </w:style>
  <w:style w:type="paragraph" w:styleId="TOC8">
    <w:name w:val="toc 8"/>
    <w:basedOn w:val="Normal"/>
    <w:next w:val="Normal"/>
    <w:autoRedefine/>
    <w:uiPriority w:val="39"/>
    <w:semiHidden/>
    <w:unhideWhenUsed/>
    <w:rsid w:val="002E7F6D"/>
    <w:pPr>
      <w:spacing w:after="100"/>
      <w:ind w:left="1540"/>
    </w:pPr>
  </w:style>
  <w:style w:type="paragraph" w:styleId="TOC9">
    <w:name w:val="toc 9"/>
    <w:basedOn w:val="Normal"/>
    <w:next w:val="Normal"/>
    <w:autoRedefine/>
    <w:uiPriority w:val="39"/>
    <w:semiHidden/>
    <w:unhideWhenUsed/>
    <w:rsid w:val="002E7F6D"/>
    <w:pPr>
      <w:spacing w:after="100"/>
      <w:ind w:left="1760"/>
    </w:pPr>
  </w:style>
  <w:style w:type="paragraph" w:styleId="TOCHeading">
    <w:name w:val="TOC Heading"/>
    <w:basedOn w:val="Heading1"/>
    <w:next w:val="Normal"/>
    <w:uiPriority w:val="39"/>
    <w:unhideWhenUsed/>
    <w:qFormat/>
    <w:rsid w:val="002E7F6D"/>
    <w:pPr>
      <w:outlineLvl w:val="9"/>
    </w:pPr>
  </w:style>
  <w:style w:type="character" w:customStyle="1" w:styleId="NoSpacingChar">
    <w:name w:val="No Spacing Char"/>
    <w:basedOn w:val="DefaultParagraphFont"/>
    <w:link w:val="NoSpacing"/>
    <w:uiPriority w:val="1"/>
    <w:rsid w:val="002E7F6D"/>
  </w:style>
  <w:style w:type="paragraph" w:customStyle="1" w:styleId="TableHeading">
    <w:name w:val="Table Heading"/>
    <w:basedOn w:val="Normal"/>
    <w:uiPriority w:val="10"/>
    <w:qFormat/>
    <w:rsid w:val="002E7F6D"/>
    <w:pPr>
      <w:keepNext/>
      <w:pBdr>
        <w:top w:val="single" w:sz="4" w:space="1" w:color="98C723" w:themeColor="accent1"/>
        <w:left w:val="single" w:sz="4" w:space="6" w:color="98C723" w:themeColor="accent1"/>
        <w:bottom w:val="single" w:sz="4" w:space="2" w:color="98C723" w:themeColor="accent1"/>
        <w:right w:val="single" w:sz="4" w:space="6" w:color="98C723" w:themeColor="accent1"/>
      </w:pBdr>
      <w:shd w:val="clear" w:color="auto" w:fill="98C723" w:themeFill="accent1"/>
      <w:spacing w:before="160" w:line="240" w:lineRule="auto"/>
      <w:ind w:left="144" w:right="144"/>
    </w:pPr>
    <w:rPr>
      <w:rFonts w:asciiTheme="majorHAnsi" w:eastAsiaTheme="majorEastAsia" w:hAnsiTheme="majorHAnsi" w:cstheme="majorBidi"/>
      <w:caps/>
      <w:color w:val="FFFFFF" w:themeColor="background1"/>
    </w:rPr>
  </w:style>
  <w:style w:type="paragraph" w:customStyle="1" w:styleId="CompanyInfo">
    <w:name w:val="Company Info"/>
    <w:basedOn w:val="Normal"/>
    <w:uiPriority w:val="2"/>
    <w:qFormat/>
    <w:rsid w:val="002E7F6D"/>
    <w:pPr>
      <w:spacing w:after="40"/>
    </w:pPr>
  </w:style>
  <w:style w:type="table" w:customStyle="1" w:styleId="FinancialTable">
    <w:name w:val="Financial Table"/>
    <w:basedOn w:val="TableNormal"/>
    <w:uiPriority w:val="99"/>
    <w:rsid w:val="002E7F6D"/>
    <w:pPr>
      <w:spacing w:after="0" w:line="240" w:lineRule="auto"/>
      <w:ind w:left="144" w:right="144"/>
      <w:jc w:val="right"/>
    </w:p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98C723" w:themeColor="accent1"/>
        <w:sz w:val="22"/>
      </w:rPr>
      <w:tblPr/>
      <w:tcPr>
        <w:vAlign w:val="bottom"/>
      </w:tcPr>
    </w:tblStylePr>
    <w:tblStylePr w:type="firstCol">
      <w:pPr>
        <w:wordWrap/>
        <w:jc w:val="left"/>
      </w:pPr>
      <w:rPr>
        <w:b/>
      </w:rPr>
    </w:tblStylePr>
  </w:style>
  <w:style w:type="numbering" w:customStyle="1" w:styleId="AnnualReport">
    <w:name w:val="Annual Report"/>
    <w:uiPriority w:val="99"/>
    <w:rsid w:val="002E7F6D"/>
    <w:pPr>
      <w:numPr>
        <w:numId w:val="6"/>
      </w:numPr>
    </w:pPr>
  </w:style>
  <w:style w:type="paragraph" w:customStyle="1" w:styleId="Abstract">
    <w:name w:val="Abstract"/>
    <w:basedOn w:val="Normal"/>
    <w:uiPriority w:val="20"/>
    <w:qFormat/>
    <w:rsid w:val="002E7F6D"/>
    <w:pPr>
      <w:spacing w:before="360" w:after="0" w:line="240" w:lineRule="auto"/>
      <w:ind w:left="432" w:right="1080"/>
    </w:pPr>
    <w:rPr>
      <w:i/>
      <w:iCs/>
      <w:color w:val="7F7F7F" w:themeColor="text1" w:themeTint="80"/>
      <w:sz w:val="28"/>
    </w:rPr>
  </w:style>
  <w:style w:type="paragraph" w:customStyle="1" w:styleId="TableText">
    <w:name w:val="Table Text"/>
    <w:basedOn w:val="Normal"/>
    <w:uiPriority w:val="10"/>
    <w:qFormat/>
    <w:rsid w:val="002E7F6D"/>
    <w:pPr>
      <w:spacing w:before="60" w:after="60" w:line="240" w:lineRule="auto"/>
      <w:ind w:left="144" w:right="144"/>
    </w:pPr>
  </w:style>
  <w:style w:type="paragraph" w:customStyle="1" w:styleId="TableReverseHeading">
    <w:name w:val="Table Reverse Heading"/>
    <w:basedOn w:val="Normal"/>
    <w:uiPriority w:val="10"/>
    <w:qFormat/>
    <w:rsid w:val="002E7F6D"/>
    <w:pPr>
      <w:spacing w:after="40" w:line="240" w:lineRule="auto"/>
      <w:ind w:left="144" w:right="144"/>
    </w:pPr>
    <w:rPr>
      <w:rFonts w:asciiTheme="majorHAnsi" w:eastAsiaTheme="majorEastAsia" w:hAnsiTheme="majorHAnsi" w:cstheme="majorBidi"/>
      <w:caps/>
      <w:color w:val="FFFFFF" w:themeColor="background1"/>
    </w:rPr>
  </w:style>
  <w:style w:type="paragraph" w:customStyle="1" w:styleId="HeaderShaded">
    <w:name w:val="Header Shaded"/>
    <w:basedOn w:val="Normal"/>
    <w:uiPriority w:val="99"/>
    <w:qFormat/>
    <w:rsid w:val="002E7F6D"/>
    <w:pPr>
      <w:pBdr>
        <w:top w:val="single" w:sz="2" w:space="6" w:color="98C723" w:themeColor="accent1"/>
        <w:left w:val="single" w:sz="2" w:space="20" w:color="98C723" w:themeColor="accent1"/>
        <w:bottom w:val="single" w:sz="2" w:space="6" w:color="98C723" w:themeColor="accent1"/>
        <w:right w:val="single" w:sz="2" w:space="20" w:color="98C723" w:themeColor="accent1"/>
      </w:pBdr>
      <w:shd w:val="clear" w:color="auto" w:fill="98C723" w:themeFill="accent1"/>
      <w:spacing w:after="0" w:line="240" w:lineRule="auto"/>
    </w:pPr>
    <w:rPr>
      <w:rFonts w:asciiTheme="majorHAnsi" w:eastAsiaTheme="majorEastAsia" w:hAnsiTheme="majorHAnsi" w:cstheme="majorBidi"/>
      <w:caps/>
      <w:color w:val="FFFFFF" w:themeColor="background1"/>
      <w:sz w:val="40"/>
    </w:rPr>
  </w:style>
  <w:style w:type="character" w:customStyle="1" w:styleId="Bodytext20">
    <w:name w:val="Body text (2)_"/>
    <w:basedOn w:val="DefaultParagraphFont"/>
    <w:link w:val="Bodytext21"/>
    <w:locked/>
    <w:rsid w:val="006C674C"/>
    <w:rPr>
      <w:sz w:val="22"/>
      <w:szCs w:val="22"/>
      <w:shd w:val="clear" w:color="auto" w:fill="FFFFFF"/>
    </w:rPr>
  </w:style>
  <w:style w:type="paragraph" w:customStyle="1" w:styleId="Bodytext21">
    <w:name w:val="Body text (2)"/>
    <w:basedOn w:val="Normal"/>
    <w:link w:val="Bodytext20"/>
    <w:rsid w:val="006C674C"/>
    <w:pPr>
      <w:widowControl w:val="0"/>
      <w:shd w:val="clear" w:color="auto" w:fill="FFFFFF"/>
      <w:spacing w:before="1560" w:after="0" w:line="379" w:lineRule="exact"/>
      <w:ind w:hanging="370"/>
      <w:jc w:val="both"/>
    </w:pPr>
    <w:rPr>
      <w:rFonts w:asciiTheme="minorHAnsi" w:hAnsiTheme="minorHAnsi"/>
      <w:color w:val="595959" w:themeColor="text1" w:themeTint="A6"/>
      <w:kern w:val="0"/>
      <w:sz w:val="22"/>
      <w:szCs w:val="22"/>
      <w:lang w:val="en-US"/>
    </w:rPr>
  </w:style>
  <w:style w:type="paragraph" w:customStyle="1" w:styleId="CM1">
    <w:name w:val="CM1"/>
    <w:basedOn w:val="Normal"/>
    <w:next w:val="Normal"/>
    <w:uiPriority w:val="99"/>
    <w:rsid w:val="00A3254B"/>
    <w:pPr>
      <w:autoSpaceDE w:val="0"/>
      <w:autoSpaceDN w:val="0"/>
      <w:adjustRightInd w:val="0"/>
      <w:spacing w:before="0" w:after="0" w:line="240" w:lineRule="auto"/>
    </w:pPr>
    <w:rPr>
      <w:rFonts w:ascii="EUAlbertina" w:hAnsi="EUAlbertina"/>
      <w:color w:val="595959" w:themeColor="text1" w:themeTint="A6"/>
      <w:kern w:val="0"/>
      <w:szCs w:val="24"/>
      <w:lang w:val="en-US"/>
    </w:rPr>
  </w:style>
  <w:style w:type="paragraph" w:customStyle="1" w:styleId="CM3">
    <w:name w:val="CM3"/>
    <w:basedOn w:val="Normal"/>
    <w:next w:val="Normal"/>
    <w:uiPriority w:val="99"/>
    <w:rsid w:val="00A3254B"/>
    <w:pPr>
      <w:autoSpaceDE w:val="0"/>
      <w:autoSpaceDN w:val="0"/>
      <w:adjustRightInd w:val="0"/>
      <w:spacing w:before="0" w:after="0" w:line="240" w:lineRule="auto"/>
    </w:pPr>
    <w:rPr>
      <w:rFonts w:ascii="EUAlbertina" w:hAnsi="EUAlbertina"/>
      <w:color w:val="595959" w:themeColor="text1" w:themeTint="A6"/>
      <w:kern w:val="0"/>
      <w:szCs w:val="24"/>
      <w:lang w:val="en-US"/>
    </w:rPr>
  </w:style>
  <w:style w:type="character" w:customStyle="1" w:styleId="Bodytext2Bold">
    <w:name w:val="Body text (2) + Bold"/>
    <w:basedOn w:val="Bodytext20"/>
    <w:rsid w:val="00A3254B"/>
    <w:rPr>
      <w:rFonts w:ascii="Times New Roman" w:eastAsia="Times New Roman" w:hAnsi="Times New Roman" w:cs="Times New Roman" w:hint="default"/>
      <w:b/>
      <w:bCs/>
      <w:color w:val="000000"/>
      <w:spacing w:val="0"/>
      <w:w w:val="100"/>
      <w:position w:val="0"/>
      <w:sz w:val="22"/>
      <w:szCs w:val="22"/>
      <w:shd w:val="clear" w:color="auto" w:fill="FFFFFF"/>
      <w:lang w:val="bg-BG" w:eastAsia="bg-BG" w:bidi="bg-BG"/>
    </w:rPr>
  </w:style>
  <w:style w:type="paragraph" w:customStyle="1" w:styleId="CM4">
    <w:name w:val="CM4"/>
    <w:basedOn w:val="Normal"/>
    <w:next w:val="Normal"/>
    <w:uiPriority w:val="99"/>
    <w:rsid w:val="00D068C6"/>
    <w:pPr>
      <w:autoSpaceDE w:val="0"/>
      <w:autoSpaceDN w:val="0"/>
      <w:adjustRightInd w:val="0"/>
      <w:spacing w:before="0" w:after="0" w:line="240" w:lineRule="auto"/>
    </w:pPr>
    <w:rPr>
      <w:rFonts w:ascii="EUAlbertina" w:hAnsi="EUAlbertina"/>
      <w:color w:val="595959" w:themeColor="text1" w:themeTint="A6"/>
      <w:kern w:val="0"/>
      <w:szCs w:val="24"/>
      <w:lang w:val="en-US"/>
    </w:rPr>
  </w:style>
  <w:style w:type="paragraph" w:customStyle="1" w:styleId="Default">
    <w:name w:val="Default"/>
    <w:rsid w:val="00066C27"/>
    <w:pPr>
      <w:autoSpaceDE w:val="0"/>
      <w:autoSpaceDN w:val="0"/>
      <w:adjustRightInd w:val="0"/>
      <w:spacing w:before="0" w:after="0" w:line="240" w:lineRule="auto"/>
    </w:pPr>
    <w:rPr>
      <w:rFonts w:ascii="Times New Roman" w:hAnsi="Times New Roman" w:cs="Times New Roman"/>
      <w:color w:val="000000"/>
      <w:sz w:val="24"/>
      <w:szCs w:val="24"/>
    </w:rPr>
  </w:style>
  <w:style w:type="character" w:customStyle="1" w:styleId="Bodytext1611pt">
    <w:name w:val="Body text (16) + 11 pt"/>
    <w:aliases w:val="Not Bold"/>
    <w:basedOn w:val="DefaultParagraphFont"/>
    <w:rsid w:val="00DA2630"/>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lang w:val="en-US" w:eastAsia="en-US" w:bidi="en-US"/>
    </w:rPr>
  </w:style>
  <w:style w:type="character" w:customStyle="1" w:styleId="Bodytext295pt">
    <w:name w:val="Body text (2) + 9.5 pt"/>
    <w:basedOn w:val="DefaultParagraphFont"/>
    <w:rsid w:val="001406E5"/>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bg-BG" w:eastAsia="bg-BG" w:bidi="bg-BG"/>
    </w:rPr>
  </w:style>
  <w:style w:type="paragraph" w:styleId="Revision">
    <w:name w:val="Revision"/>
    <w:hidden/>
    <w:uiPriority w:val="99"/>
    <w:semiHidden/>
    <w:rsid w:val="00775B64"/>
    <w:pPr>
      <w:spacing w:before="0" w:after="0" w:line="240" w:lineRule="auto"/>
    </w:pPr>
    <w:rPr>
      <w:rFonts w:ascii="Calibri" w:hAnsi="Calibri"/>
      <w:color w:val="0D0D0D" w:themeColor="text1" w:themeTint="F2"/>
      <w:kern w:val="20"/>
      <w:sz w:val="24"/>
      <w:lang w:val="bg-BG"/>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595959" w:themeColor="text1" w:themeTint="A6"/>
        <w:lang w:val="en-US" w:eastAsia="ja-JP" w:bidi="ar-SA"/>
      </w:rPr>
    </w:rPrDefault>
    <w:pPrDefault>
      <w:pPr>
        <w:spacing w:before="40" w:after="16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page number" w:uiPriority="0"/>
    <w:lsdException w:name="List Bullet" w:uiPriority="1" w:qFormat="1"/>
    <w:lsdException w:name="List Number" w:qFormat="1"/>
    <w:lsdException w:name="List Number 2" w:qFormat="1"/>
    <w:lsdException w:name="List Number 3" w:qFormat="1"/>
    <w:lsdException w:name="Title" w:uiPriority="19" w:unhideWhenUsed="0" w:qFormat="1"/>
    <w:lsdException w:name="Signature" w:uiPriority="9" w:qFormat="1"/>
    <w:lsdException w:name="Default Paragraph Font" w:uiPriority="1"/>
    <w:lsdException w:name="Subtitle" w:uiPriority="19" w:qFormat="1"/>
    <w:lsdException w:name="Strong" w:uiPriority="1" w:unhideWhenUsed="0" w:qFormat="1"/>
    <w:lsdException w:name="Emphasis"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9" w:unhideWhenUsed="0" w:qFormat="1"/>
    <w:lsdException w:name="Intense Quote"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lsdException w:name="Intense Emphasis" w:uiPriority="21" w:unhideWhenUsed="0"/>
    <w:lsdException w:name="Subtle Reference" w:uiPriority="31" w:unhideWhenUsed="0"/>
    <w:lsdException w:name="Intense Reference" w:uiPriority="32" w:unhideWhenUsed="0"/>
    <w:lsdException w:name="Book Title" w:uiPriority="33" w:unhideWhenUsed="0"/>
    <w:lsdException w:name="Bibliography" w:uiPriority="37"/>
    <w:lsdException w:name="TOC Heading" w:uiPriority="39" w:qFormat="1"/>
  </w:latentStyles>
  <w:style w:type="paragraph" w:default="1" w:styleId="Normal">
    <w:name w:val="Normal"/>
    <w:qFormat/>
    <w:rsid w:val="00565F1A"/>
    <w:pPr>
      <w:spacing w:before="120" w:after="120"/>
    </w:pPr>
    <w:rPr>
      <w:rFonts w:ascii="Calibri" w:hAnsi="Calibri"/>
      <w:color w:val="0D0D0D" w:themeColor="text1" w:themeTint="F2"/>
      <w:kern w:val="20"/>
      <w:sz w:val="24"/>
      <w:lang w:val="bg-BG"/>
    </w:rPr>
  </w:style>
  <w:style w:type="paragraph" w:styleId="Heading1">
    <w:name w:val="heading 1"/>
    <w:basedOn w:val="HeaderShaded"/>
    <w:next w:val="Normal"/>
    <w:link w:val="Heading1Char"/>
    <w:uiPriority w:val="1"/>
    <w:qFormat/>
    <w:rsid w:val="004A416C"/>
    <w:pPr>
      <w:outlineLvl w:val="0"/>
    </w:pPr>
    <w:rPr>
      <w:sz w:val="36"/>
      <w:szCs w:val="36"/>
    </w:rPr>
  </w:style>
  <w:style w:type="paragraph" w:styleId="Heading2">
    <w:name w:val="heading 2"/>
    <w:basedOn w:val="Normal"/>
    <w:next w:val="Normal"/>
    <w:link w:val="Heading2Char"/>
    <w:uiPriority w:val="1"/>
    <w:unhideWhenUsed/>
    <w:qFormat/>
    <w:rsid w:val="006E17D6"/>
    <w:pPr>
      <w:keepNext/>
      <w:keepLines/>
      <w:numPr>
        <w:ilvl w:val="1"/>
        <w:numId w:val="8"/>
      </w:numPr>
      <w:spacing w:before="360" w:after="240" w:line="240" w:lineRule="auto"/>
      <w:ind w:left="357" w:hanging="357"/>
      <w:outlineLvl w:val="1"/>
    </w:pPr>
    <w:rPr>
      <w:rFonts w:asciiTheme="majorHAnsi" w:eastAsiaTheme="majorEastAsia" w:hAnsiTheme="majorHAnsi" w:cstheme="majorBidi"/>
      <w:caps/>
      <w:color w:val="71941A" w:themeColor="accent1" w:themeShade="BF"/>
      <w:sz w:val="26"/>
      <w:szCs w:val="26"/>
    </w:rPr>
  </w:style>
  <w:style w:type="paragraph" w:styleId="Heading3">
    <w:name w:val="heading 3"/>
    <w:basedOn w:val="Normal"/>
    <w:next w:val="Normal"/>
    <w:link w:val="Heading3Char"/>
    <w:uiPriority w:val="1"/>
    <w:unhideWhenUsed/>
    <w:qFormat/>
    <w:rsid w:val="00533994"/>
    <w:pPr>
      <w:keepNext/>
      <w:keepLines/>
      <w:numPr>
        <w:ilvl w:val="2"/>
        <w:numId w:val="8"/>
      </w:numPr>
      <w:spacing w:before="200" w:after="240"/>
      <w:outlineLvl w:val="2"/>
    </w:pPr>
    <w:rPr>
      <w:rFonts w:asciiTheme="majorHAnsi" w:eastAsiaTheme="majorEastAsia" w:hAnsiTheme="majorHAnsi" w:cs="Arial"/>
      <w:bCs/>
      <w:i/>
      <w:color w:val="595959" w:themeColor="text1" w:themeTint="A6"/>
      <w:sz w:val="22"/>
      <w:szCs w:val="22"/>
    </w:rPr>
  </w:style>
  <w:style w:type="paragraph" w:styleId="Heading4">
    <w:name w:val="heading 4"/>
    <w:basedOn w:val="Normal"/>
    <w:next w:val="Normal"/>
    <w:link w:val="Heading4Char"/>
    <w:uiPriority w:val="18"/>
    <w:semiHidden/>
    <w:unhideWhenUsed/>
    <w:qFormat/>
    <w:rsid w:val="002E7F6D"/>
    <w:pPr>
      <w:keepNext/>
      <w:keepLines/>
      <w:spacing w:before="200" w:after="0"/>
      <w:outlineLvl w:val="3"/>
    </w:pPr>
    <w:rPr>
      <w:rFonts w:asciiTheme="majorHAnsi" w:eastAsiaTheme="majorEastAsia" w:hAnsiTheme="majorHAnsi" w:cstheme="majorBidi"/>
      <w:b/>
      <w:bCs/>
      <w:i/>
      <w:iCs/>
      <w:color w:val="98C723" w:themeColor="accent1"/>
    </w:rPr>
  </w:style>
  <w:style w:type="paragraph" w:styleId="Heading5">
    <w:name w:val="heading 5"/>
    <w:basedOn w:val="Normal"/>
    <w:next w:val="Normal"/>
    <w:link w:val="Heading5Char"/>
    <w:uiPriority w:val="18"/>
    <w:semiHidden/>
    <w:unhideWhenUsed/>
    <w:qFormat/>
    <w:rsid w:val="002E7F6D"/>
    <w:pPr>
      <w:keepNext/>
      <w:keepLines/>
      <w:spacing w:before="200" w:after="0"/>
      <w:outlineLvl w:val="4"/>
    </w:pPr>
    <w:rPr>
      <w:rFonts w:asciiTheme="majorHAnsi" w:eastAsiaTheme="majorEastAsia" w:hAnsiTheme="majorHAnsi" w:cstheme="majorBidi"/>
      <w:color w:val="4B6211" w:themeColor="accent1" w:themeShade="7F"/>
    </w:rPr>
  </w:style>
  <w:style w:type="paragraph" w:styleId="Heading6">
    <w:name w:val="heading 6"/>
    <w:basedOn w:val="Normal"/>
    <w:next w:val="Normal"/>
    <w:link w:val="Heading6Char"/>
    <w:uiPriority w:val="18"/>
    <w:semiHidden/>
    <w:unhideWhenUsed/>
    <w:qFormat/>
    <w:rsid w:val="002E7F6D"/>
    <w:pPr>
      <w:keepNext/>
      <w:keepLines/>
      <w:spacing w:before="200" w:after="0"/>
      <w:outlineLvl w:val="5"/>
    </w:pPr>
    <w:rPr>
      <w:rFonts w:asciiTheme="majorHAnsi" w:eastAsiaTheme="majorEastAsia" w:hAnsiTheme="majorHAnsi" w:cstheme="majorBidi"/>
      <w:i/>
      <w:iCs/>
      <w:color w:val="4B6211" w:themeColor="accent1" w:themeShade="7F"/>
    </w:rPr>
  </w:style>
  <w:style w:type="paragraph" w:styleId="Heading7">
    <w:name w:val="heading 7"/>
    <w:basedOn w:val="Normal"/>
    <w:next w:val="Normal"/>
    <w:link w:val="Heading7Char"/>
    <w:uiPriority w:val="18"/>
    <w:semiHidden/>
    <w:unhideWhenUsed/>
    <w:qFormat/>
    <w:rsid w:val="002E7F6D"/>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18"/>
    <w:semiHidden/>
    <w:unhideWhenUsed/>
    <w:qFormat/>
    <w:rsid w:val="002E7F6D"/>
    <w:pPr>
      <w:keepNext/>
      <w:keepLines/>
      <w:spacing w:before="200" w:after="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18"/>
    <w:semiHidden/>
    <w:unhideWhenUsed/>
    <w:qFormat/>
    <w:rsid w:val="002E7F6D"/>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E7F6D"/>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2E7F6D"/>
    <w:rPr>
      <w:kern w:val="20"/>
    </w:rPr>
  </w:style>
  <w:style w:type="paragraph" w:styleId="Footer">
    <w:name w:val="footer"/>
    <w:basedOn w:val="Normal"/>
    <w:link w:val="FooterChar"/>
    <w:uiPriority w:val="99"/>
    <w:unhideWhenUsed/>
    <w:rsid w:val="002E7F6D"/>
    <w:pPr>
      <w:pBdr>
        <w:top w:val="single" w:sz="4" w:space="6" w:color="C4E672" w:themeColor="accent1" w:themeTint="99"/>
        <w:left w:val="single" w:sz="4" w:space="20" w:color="FFFFFF" w:themeColor="background1"/>
        <w:right w:val="single" w:sz="2" w:space="20" w:color="FFFFFF" w:themeColor="background1"/>
      </w:pBdr>
      <w:spacing w:after="0" w:line="240" w:lineRule="auto"/>
    </w:pPr>
  </w:style>
  <w:style w:type="character" w:customStyle="1" w:styleId="FooterChar">
    <w:name w:val="Footer Char"/>
    <w:basedOn w:val="DefaultParagraphFont"/>
    <w:link w:val="Footer"/>
    <w:uiPriority w:val="99"/>
    <w:rsid w:val="002E7F6D"/>
    <w:rPr>
      <w:kern w:val="20"/>
    </w:rPr>
  </w:style>
  <w:style w:type="table" w:styleId="TableGrid">
    <w:name w:val="Table Grid"/>
    <w:basedOn w:val="TableNormal"/>
    <w:uiPriority w:val="59"/>
    <w:rsid w:val="002E7F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2E7F6D"/>
    <w:pPr>
      <w:spacing w:after="0" w:line="240" w:lineRule="auto"/>
    </w:pPr>
  </w:style>
  <w:style w:type="paragraph" w:styleId="BalloonText">
    <w:name w:val="Balloon Text"/>
    <w:basedOn w:val="Normal"/>
    <w:link w:val="BalloonTextChar"/>
    <w:uiPriority w:val="99"/>
    <w:semiHidden/>
    <w:unhideWhenUsed/>
    <w:rsid w:val="002E7F6D"/>
    <w:pPr>
      <w:spacing w:after="0" w:line="240" w:lineRule="auto"/>
    </w:pPr>
    <w:rPr>
      <w:rFonts w:ascii="Tahoma" w:hAnsi="Tahoma" w:cs="Tahoma"/>
      <w:sz w:val="16"/>
    </w:rPr>
  </w:style>
  <w:style w:type="character" w:customStyle="1" w:styleId="BalloonTextChar">
    <w:name w:val="Balloon Text Char"/>
    <w:basedOn w:val="DefaultParagraphFont"/>
    <w:link w:val="BalloonText"/>
    <w:uiPriority w:val="99"/>
    <w:semiHidden/>
    <w:rsid w:val="002E7F6D"/>
    <w:rPr>
      <w:rFonts w:ascii="Tahoma" w:hAnsi="Tahoma" w:cs="Tahoma"/>
      <w:sz w:val="16"/>
    </w:rPr>
  </w:style>
  <w:style w:type="character" w:customStyle="1" w:styleId="Heading1Char">
    <w:name w:val="Heading 1 Char"/>
    <w:basedOn w:val="DefaultParagraphFont"/>
    <w:link w:val="Heading1"/>
    <w:uiPriority w:val="1"/>
    <w:rsid w:val="004A416C"/>
    <w:rPr>
      <w:rFonts w:asciiTheme="majorHAnsi" w:eastAsiaTheme="majorEastAsia" w:hAnsiTheme="majorHAnsi" w:cstheme="majorBidi"/>
      <w:caps/>
      <w:color w:val="FFFFFF" w:themeColor="background1"/>
      <w:kern w:val="20"/>
      <w:sz w:val="36"/>
      <w:szCs w:val="36"/>
      <w:shd w:val="clear" w:color="auto" w:fill="98C723" w:themeFill="accent1"/>
      <w:lang w:val="bg-BG"/>
    </w:rPr>
  </w:style>
  <w:style w:type="character" w:customStyle="1" w:styleId="Heading2Char">
    <w:name w:val="Heading 2 Char"/>
    <w:basedOn w:val="DefaultParagraphFont"/>
    <w:link w:val="Heading2"/>
    <w:uiPriority w:val="1"/>
    <w:rsid w:val="006E17D6"/>
    <w:rPr>
      <w:rFonts w:asciiTheme="majorHAnsi" w:eastAsiaTheme="majorEastAsia" w:hAnsiTheme="majorHAnsi" w:cstheme="majorBidi"/>
      <w:caps/>
      <w:color w:val="71941A" w:themeColor="accent1" w:themeShade="BF"/>
      <w:kern w:val="20"/>
      <w:sz w:val="26"/>
      <w:szCs w:val="26"/>
      <w:lang w:val="bg-BG"/>
    </w:rPr>
  </w:style>
  <w:style w:type="character" w:styleId="PlaceholderText">
    <w:name w:val="Placeholder Text"/>
    <w:basedOn w:val="DefaultParagraphFont"/>
    <w:uiPriority w:val="99"/>
    <w:semiHidden/>
    <w:rsid w:val="002E7F6D"/>
    <w:rPr>
      <w:color w:val="808080"/>
    </w:rPr>
  </w:style>
  <w:style w:type="paragraph" w:styleId="Quote">
    <w:name w:val="Quote"/>
    <w:basedOn w:val="Normal"/>
    <w:next w:val="Normal"/>
    <w:link w:val="QuoteChar"/>
    <w:uiPriority w:val="9"/>
    <w:unhideWhenUsed/>
    <w:qFormat/>
    <w:rsid w:val="002E7F6D"/>
    <w:pPr>
      <w:spacing w:before="240" w:after="240"/>
      <w:ind w:left="720" w:right="720"/>
    </w:pPr>
    <w:rPr>
      <w:i/>
      <w:iCs/>
      <w:noProof/>
      <w:color w:val="98C723" w:themeColor="accent1"/>
      <w:sz w:val="28"/>
    </w:rPr>
  </w:style>
  <w:style w:type="character" w:customStyle="1" w:styleId="QuoteChar">
    <w:name w:val="Quote Char"/>
    <w:basedOn w:val="DefaultParagraphFont"/>
    <w:link w:val="Quote"/>
    <w:uiPriority w:val="9"/>
    <w:rsid w:val="002E7F6D"/>
    <w:rPr>
      <w:i/>
      <w:iCs/>
      <w:noProof/>
      <w:color w:val="98C723" w:themeColor="accent1"/>
      <w:kern w:val="20"/>
      <w:sz w:val="28"/>
    </w:rPr>
  </w:style>
  <w:style w:type="paragraph" w:styleId="Bibliography">
    <w:name w:val="Bibliography"/>
    <w:basedOn w:val="Normal"/>
    <w:next w:val="Normal"/>
    <w:uiPriority w:val="37"/>
    <w:semiHidden/>
    <w:unhideWhenUsed/>
    <w:rsid w:val="002E7F6D"/>
  </w:style>
  <w:style w:type="paragraph" w:styleId="BlockText">
    <w:name w:val="Block Text"/>
    <w:basedOn w:val="Normal"/>
    <w:uiPriority w:val="99"/>
    <w:semiHidden/>
    <w:unhideWhenUsed/>
    <w:rsid w:val="002E7F6D"/>
    <w:pPr>
      <w:pBdr>
        <w:top w:val="single" w:sz="2" w:space="10" w:color="98C723" w:themeColor="accent1" w:frame="1"/>
        <w:left w:val="single" w:sz="2" w:space="10" w:color="98C723" w:themeColor="accent1" w:frame="1"/>
        <w:bottom w:val="single" w:sz="2" w:space="10" w:color="98C723" w:themeColor="accent1" w:frame="1"/>
        <w:right w:val="single" w:sz="2" w:space="10" w:color="98C723" w:themeColor="accent1" w:frame="1"/>
      </w:pBdr>
      <w:ind w:left="1152" w:right="1152"/>
    </w:pPr>
    <w:rPr>
      <w:i/>
      <w:iCs/>
      <w:color w:val="98C723" w:themeColor="accent1"/>
    </w:rPr>
  </w:style>
  <w:style w:type="paragraph" w:styleId="BodyText">
    <w:name w:val="Body Text"/>
    <w:basedOn w:val="Normal"/>
    <w:link w:val="BodyTextChar"/>
    <w:uiPriority w:val="99"/>
    <w:semiHidden/>
    <w:unhideWhenUsed/>
    <w:rsid w:val="002E7F6D"/>
  </w:style>
  <w:style w:type="character" w:customStyle="1" w:styleId="BodyTextChar">
    <w:name w:val="Body Text Char"/>
    <w:basedOn w:val="DefaultParagraphFont"/>
    <w:link w:val="BodyText"/>
    <w:uiPriority w:val="99"/>
    <w:semiHidden/>
    <w:rsid w:val="002E7F6D"/>
  </w:style>
  <w:style w:type="paragraph" w:styleId="BodyText2">
    <w:name w:val="Body Text 2"/>
    <w:basedOn w:val="Normal"/>
    <w:link w:val="BodyText2Char"/>
    <w:uiPriority w:val="99"/>
    <w:semiHidden/>
    <w:unhideWhenUsed/>
    <w:rsid w:val="002E7F6D"/>
    <w:pPr>
      <w:spacing w:line="480" w:lineRule="auto"/>
    </w:pPr>
  </w:style>
  <w:style w:type="character" w:customStyle="1" w:styleId="BodyText2Char">
    <w:name w:val="Body Text 2 Char"/>
    <w:basedOn w:val="DefaultParagraphFont"/>
    <w:link w:val="BodyText2"/>
    <w:uiPriority w:val="99"/>
    <w:semiHidden/>
    <w:rsid w:val="002E7F6D"/>
  </w:style>
  <w:style w:type="paragraph" w:styleId="BodyText3">
    <w:name w:val="Body Text 3"/>
    <w:basedOn w:val="Normal"/>
    <w:link w:val="BodyText3Char"/>
    <w:uiPriority w:val="99"/>
    <w:semiHidden/>
    <w:unhideWhenUsed/>
    <w:rsid w:val="002E7F6D"/>
    <w:rPr>
      <w:sz w:val="16"/>
    </w:rPr>
  </w:style>
  <w:style w:type="character" w:customStyle="1" w:styleId="BodyText3Char">
    <w:name w:val="Body Text 3 Char"/>
    <w:basedOn w:val="DefaultParagraphFont"/>
    <w:link w:val="BodyText3"/>
    <w:uiPriority w:val="99"/>
    <w:semiHidden/>
    <w:rsid w:val="002E7F6D"/>
    <w:rPr>
      <w:sz w:val="16"/>
    </w:rPr>
  </w:style>
  <w:style w:type="paragraph" w:styleId="BodyTextFirstIndent">
    <w:name w:val="Body Text First Indent"/>
    <w:basedOn w:val="BodyText"/>
    <w:link w:val="BodyTextFirstIndentChar"/>
    <w:uiPriority w:val="99"/>
    <w:semiHidden/>
    <w:unhideWhenUsed/>
    <w:rsid w:val="002E7F6D"/>
    <w:pPr>
      <w:spacing w:after="200"/>
      <w:ind w:firstLine="360"/>
    </w:pPr>
  </w:style>
  <w:style w:type="character" w:customStyle="1" w:styleId="BodyTextFirstIndentChar">
    <w:name w:val="Body Text First Indent Char"/>
    <w:basedOn w:val="BodyTextChar"/>
    <w:link w:val="BodyTextFirstIndent"/>
    <w:uiPriority w:val="99"/>
    <w:semiHidden/>
    <w:rsid w:val="002E7F6D"/>
  </w:style>
  <w:style w:type="paragraph" w:styleId="BodyTextIndent">
    <w:name w:val="Body Text Indent"/>
    <w:basedOn w:val="Normal"/>
    <w:link w:val="BodyTextIndentChar"/>
    <w:uiPriority w:val="99"/>
    <w:semiHidden/>
    <w:unhideWhenUsed/>
    <w:rsid w:val="002E7F6D"/>
    <w:pPr>
      <w:ind w:left="360"/>
    </w:pPr>
  </w:style>
  <w:style w:type="character" w:customStyle="1" w:styleId="BodyTextIndentChar">
    <w:name w:val="Body Text Indent Char"/>
    <w:basedOn w:val="DefaultParagraphFont"/>
    <w:link w:val="BodyTextIndent"/>
    <w:uiPriority w:val="99"/>
    <w:semiHidden/>
    <w:rsid w:val="002E7F6D"/>
  </w:style>
  <w:style w:type="paragraph" w:styleId="BodyTextFirstIndent2">
    <w:name w:val="Body Text First Indent 2"/>
    <w:basedOn w:val="BodyTextIndent"/>
    <w:link w:val="BodyTextFirstIndent2Char"/>
    <w:uiPriority w:val="99"/>
    <w:semiHidden/>
    <w:unhideWhenUsed/>
    <w:rsid w:val="002E7F6D"/>
    <w:pPr>
      <w:spacing w:after="200"/>
      <w:ind w:firstLine="360"/>
    </w:pPr>
  </w:style>
  <w:style w:type="character" w:customStyle="1" w:styleId="BodyTextFirstIndent2Char">
    <w:name w:val="Body Text First Indent 2 Char"/>
    <w:basedOn w:val="BodyTextIndentChar"/>
    <w:link w:val="BodyTextFirstIndent2"/>
    <w:uiPriority w:val="99"/>
    <w:semiHidden/>
    <w:rsid w:val="002E7F6D"/>
  </w:style>
  <w:style w:type="paragraph" w:styleId="BodyTextIndent2">
    <w:name w:val="Body Text Indent 2"/>
    <w:basedOn w:val="Normal"/>
    <w:link w:val="BodyTextIndent2Char"/>
    <w:uiPriority w:val="99"/>
    <w:semiHidden/>
    <w:unhideWhenUsed/>
    <w:rsid w:val="002E7F6D"/>
    <w:pPr>
      <w:spacing w:line="480" w:lineRule="auto"/>
      <w:ind w:left="360"/>
    </w:pPr>
  </w:style>
  <w:style w:type="character" w:customStyle="1" w:styleId="BodyTextIndent2Char">
    <w:name w:val="Body Text Indent 2 Char"/>
    <w:basedOn w:val="DefaultParagraphFont"/>
    <w:link w:val="BodyTextIndent2"/>
    <w:uiPriority w:val="99"/>
    <w:semiHidden/>
    <w:rsid w:val="002E7F6D"/>
  </w:style>
  <w:style w:type="paragraph" w:styleId="BodyTextIndent3">
    <w:name w:val="Body Text Indent 3"/>
    <w:basedOn w:val="Normal"/>
    <w:link w:val="BodyTextIndent3Char"/>
    <w:uiPriority w:val="99"/>
    <w:semiHidden/>
    <w:unhideWhenUsed/>
    <w:rsid w:val="002E7F6D"/>
    <w:pPr>
      <w:ind w:left="360"/>
    </w:pPr>
    <w:rPr>
      <w:sz w:val="16"/>
    </w:rPr>
  </w:style>
  <w:style w:type="character" w:customStyle="1" w:styleId="BodyTextIndent3Char">
    <w:name w:val="Body Text Indent 3 Char"/>
    <w:basedOn w:val="DefaultParagraphFont"/>
    <w:link w:val="BodyTextIndent3"/>
    <w:uiPriority w:val="99"/>
    <w:semiHidden/>
    <w:rsid w:val="002E7F6D"/>
    <w:rPr>
      <w:sz w:val="16"/>
    </w:rPr>
  </w:style>
  <w:style w:type="character" w:styleId="BookTitle">
    <w:name w:val="Book Title"/>
    <w:basedOn w:val="DefaultParagraphFont"/>
    <w:uiPriority w:val="33"/>
    <w:semiHidden/>
    <w:unhideWhenUsed/>
    <w:rsid w:val="002E7F6D"/>
    <w:rPr>
      <w:b/>
      <w:bCs/>
      <w:smallCaps/>
      <w:spacing w:val="5"/>
    </w:rPr>
  </w:style>
  <w:style w:type="paragraph" w:styleId="Caption">
    <w:name w:val="caption"/>
    <w:basedOn w:val="Normal"/>
    <w:next w:val="Normal"/>
    <w:uiPriority w:val="35"/>
    <w:unhideWhenUsed/>
    <w:qFormat/>
    <w:rsid w:val="001B0812"/>
    <w:pPr>
      <w:spacing w:line="240" w:lineRule="auto"/>
    </w:pPr>
    <w:rPr>
      <w:b/>
      <w:bCs/>
      <w:color w:val="5B6973" w:themeColor="text2"/>
      <w:sz w:val="20"/>
    </w:rPr>
  </w:style>
  <w:style w:type="paragraph" w:styleId="Closing">
    <w:name w:val="Closing"/>
    <w:basedOn w:val="Normal"/>
    <w:link w:val="ClosingChar"/>
    <w:uiPriority w:val="99"/>
    <w:semiHidden/>
    <w:unhideWhenUsed/>
    <w:rsid w:val="002E7F6D"/>
    <w:pPr>
      <w:spacing w:after="0" w:line="240" w:lineRule="auto"/>
      <w:ind w:left="4320"/>
    </w:pPr>
  </w:style>
  <w:style w:type="character" w:customStyle="1" w:styleId="ClosingChar">
    <w:name w:val="Closing Char"/>
    <w:basedOn w:val="DefaultParagraphFont"/>
    <w:link w:val="Closing"/>
    <w:uiPriority w:val="99"/>
    <w:semiHidden/>
    <w:rsid w:val="002E7F6D"/>
  </w:style>
  <w:style w:type="table" w:customStyle="1" w:styleId="ColorfulGrid1">
    <w:name w:val="Colorful Grid1"/>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F6CF" w:themeFill="accent1" w:themeFillTint="33"/>
    </w:tcPr>
    <w:tblStylePr w:type="firstRow">
      <w:rPr>
        <w:b/>
        <w:bCs/>
      </w:rPr>
      <w:tblPr/>
      <w:tcPr>
        <w:shd w:val="clear" w:color="auto" w:fill="D7EEA0" w:themeFill="accent1" w:themeFillTint="66"/>
      </w:tcPr>
    </w:tblStylePr>
    <w:tblStylePr w:type="lastRow">
      <w:rPr>
        <w:b/>
        <w:bCs/>
        <w:color w:val="000000" w:themeColor="text1"/>
      </w:rPr>
      <w:tblPr/>
      <w:tcPr>
        <w:shd w:val="clear" w:color="auto" w:fill="D7EEA0" w:themeFill="accent1" w:themeFillTint="66"/>
      </w:tcPr>
    </w:tblStylePr>
    <w:tblStylePr w:type="firstCol">
      <w:rPr>
        <w:color w:val="FFFFFF" w:themeColor="background1"/>
      </w:rPr>
      <w:tblPr/>
      <w:tcPr>
        <w:shd w:val="clear" w:color="auto" w:fill="71941A" w:themeFill="accent1" w:themeFillShade="BF"/>
      </w:tcPr>
    </w:tblStylePr>
    <w:tblStylePr w:type="lastCol">
      <w:rPr>
        <w:color w:val="FFFFFF" w:themeColor="background1"/>
      </w:rPr>
      <w:tblPr/>
      <w:tcPr>
        <w:shd w:val="clear" w:color="auto" w:fill="71941A" w:themeFill="accent1" w:themeFillShade="BF"/>
      </w:tcPr>
    </w:tblStylePr>
    <w:tblStylePr w:type="band1Vert">
      <w:tblPr/>
      <w:tcPr>
        <w:shd w:val="clear" w:color="auto" w:fill="CEEA89" w:themeFill="accent1" w:themeFillTint="7F"/>
      </w:tcPr>
    </w:tblStylePr>
    <w:tblStylePr w:type="band1Horz">
      <w:tblPr/>
      <w:tcPr>
        <w:shd w:val="clear" w:color="auto" w:fill="CEEA89" w:themeFill="accent1" w:themeFillTint="7F"/>
      </w:tcPr>
    </w:tblStylePr>
  </w:style>
  <w:style w:type="table" w:styleId="ColorfulGrid-Accent2">
    <w:name w:val="Colorful Grid Accent 2"/>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DEFF1" w:themeFill="accent2" w:themeFillTint="33"/>
    </w:tcPr>
    <w:tblStylePr w:type="firstRow">
      <w:rPr>
        <w:b/>
        <w:bCs/>
      </w:rPr>
      <w:tblPr/>
      <w:tcPr>
        <w:shd w:val="clear" w:color="auto" w:fill="BCDFE3" w:themeFill="accent2" w:themeFillTint="66"/>
      </w:tcPr>
    </w:tblStylePr>
    <w:tblStylePr w:type="lastRow">
      <w:rPr>
        <w:b/>
        <w:bCs/>
        <w:color w:val="000000" w:themeColor="text1"/>
      </w:rPr>
      <w:tblPr/>
      <w:tcPr>
        <w:shd w:val="clear" w:color="auto" w:fill="BCDFE3" w:themeFill="accent2" w:themeFillTint="66"/>
      </w:tcPr>
    </w:tblStylePr>
    <w:tblStylePr w:type="firstCol">
      <w:rPr>
        <w:color w:val="FFFFFF" w:themeColor="background1"/>
      </w:rPr>
      <w:tblPr/>
      <w:tcPr>
        <w:shd w:val="clear" w:color="auto" w:fill="3C8890" w:themeFill="accent2" w:themeFillShade="BF"/>
      </w:tcPr>
    </w:tblStylePr>
    <w:tblStylePr w:type="lastCol">
      <w:rPr>
        <w:color w:val="FFFFFF" w:themeColor="background1"/>
      </w:rPr>
      <w:tblPr/>
      <w:tcPr>
        <w:shd w:val="clear" w:color="auto" w:fill="3C8890" w:themeFill="accent2" w:themeFillShade="BF"/>
      </w:tcPr>
    </w:tblStylePr>
    <w:tblStylePr w:type="band1Vert">
      <w:tblPr/>
      <w:tcPr>
        <w:shd w:val="clear" w:color="auto" w:fill="ACD7DC" w:themeFill="accent2" w:themeFillTint="7F"/>
      </w:tcPr>
    </w:tblStylePr>
    <w:tblStylePr w:type="band1Horz">
      <w:tblPr/>
      <w:tcPr>
        <w:shd w:val="clear" w:color="auto" w:fill="ACD7DC" w:themeFill="accent2" w:themeFillTint="7F"/>
      </w:tcPr>
    </w:tblStylePr>
  </w:style>
  <w:style w:type="table" w:styleId="ColorfulGrid-Accent3">
    <w:name w:val="Colorful Grid Accent 3"/>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FF2C5" w:themeFill="accent3" w:themeFillTint="33"/>
    </w:tcPr>
    <w:tblStylePr w:type="firstRow">
      <w:rPr>
        <w:b/>
        <w:bCs/>
      </w:rPr>
      <w:tblPr/>
      <w:tcPr>
        <w:shd w:val="clear" w:color="auto" w:fill="FFE58B" w:themeFill="accent3" w:themeFillTint="66"/>
      </w:tcPr>
    </w:tblStylePr>
    <w:tblStylePr w:type="lastRow">
      <w:rPr>
        <w:b/>
        <w:bCs/>
        <w:color w:val="000000" w:themeColor="text1"/>
      </w:rPr>
      <w:tblPr/>
      <w:tcPr>
        <w:shd w:val="clear" w:color="auto" w:fill="FFE58B" w:themeFill="accent3" w:themeFillTint="66"/>
      </w:tcPr>
    </w:tblStylePr>
    <w:tblStylePr w:type="firstCol">
      <w:rPr>
        <w:color w:val="FFFFFF" w:themeColor="background1"/>
      </w:rPr>
      <w:tblPr/>
      <w:tcPr>
        <w:shd w:val="clear" w:color="auto" w:fill="A68100" w:themeFill="accent3" w:themeFillShade="BF"/>
      </w:tcPr>
    </w:tblStylePr>
    <w:tblStylePr w:type="lastCol">
      <w:rPr>
        <w:color w:val="FFFFFF" w:themeColor="background1"/>
      </w:rPr>
      <w:tblPr/>
      <w:tcPr>
        <w:shd w:val="clear" w:color="auto" w:fill="A68100" w:themeFill="accent3" w:themeFillShade="BF"/>
      </w:tcPr>
    </w:tblStylePr>
    <w:tblStylePr w:type="band1Vert">
      <w:tblPr/>
      <w:tcPr>
        <w:shd w:val="clear" w:color="auto" w:fill="FFDF6F" w:themeFill="accent3" w:themeFillTint="7F"/>
      </w:tcPr>
    </w:tblStylePr>
    <w:tblStylePr w:type="band1Horz">
      <w:tblPr/>
      <w:tcPr>
        <w:shd w:val="clear" w:color="auto" w:fill="FFDF6F" w:themeFill="accent3" w:themeFillTint="7F"/>
      </w:tcPr>
    </w:tblStylePr>
  </w:style>
  <w:style w:type="table" w:styleId="ColorfulGrid-Accent4">
    <w:name w:val="Colorful Grid Accent 4"/>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4F0" w:themeFill="accent4" w:themeFillTint="33"/>
    </w:tcPr>
    <w:tblStylePr w:type="firstRow">
      <w:rPr>
        <w:b/>
        <w:bCs/>
      </w:rPr>
      <w:tblPr/>
      <w:tcPr>
        <w:shd w:val="clear" w:color="auto" w:fill="E2CAE1" w:themeFill="accent4" w:themeFillTint="66"/>
      </w:tcPr>
    </w:tblStylePr>
    <w:tblStylePr w:type="lastRow">
      <w:rPr>
        <w:b/>
        <w:bCs/>
        <w:color w:val="000000" w:themeColor="text1"/>
      </w:rPr>
      <w:tblPr/>
      <w:tcPr>
        <w:shd w:val="clear" w:color="auto" w:fill="E2CAE1" w:themeFill="accent4" w:themeFillTint="66"/>
      </w:tcPr>
    </w:tblStylePr>
    <w:tblStylePr w:type="firstCol">
      <w:rPr>
        <w:color w:val="FFFFFF" w:themeColor="background1"/>
      </w:rPr>
      <w:tblPr/>
      <w:tcPr>
        <w:shd w:val="clear" w:color="auto" w:fill="945090" w:themeFill="accent4" w:themeFillShade="BF"/>
      </w:tcPr>
    </w:tblStylePr>
    <w:tblStylePr w:type="lastCol">
      <w:rPr>
        <w:color w:val="FFFFFF" w:themeColor="background1"/>
      </w:rPr>
      <w:tblPr/>
      <w:tcPr>
        <w:shd w:val="clear" w:color="auto" w:fill="945090" w:themeFill="accent4" w:themeFillShade="BF"/>
      </w:tcPr>
    </w:tblStylePr>
    <w:tblStylePr w:type="band1Vert">
      <w:tblPr/>
      <w:tcPr>
        <w:shd w:val="clear" w:color="auto" w:fill="DBBDD9" w:themeFill="accent4" w:themeFillTint="7F"/>
      </w:tcPr>
    </w:tblStylePr>
    <w:tblStylePr w:type="band1Horz">
      <w:tblPr/>
      <w:tcPr>
        <w:shd w:val="clear" w:color="auto" w:fill="DBBDD9" w:themeFill="accent4" w:themeFillTint="7F"/>
      </w:tcPr>
    </w:tblStylePr>
  </w:style>
  <w:style w:type="table" w:styleId="ColorfulGrid-Accent5">
    <w:name w:val="Colorful Grid Accent 5"/>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8E3D7" w:themeFill="accent5" w:themeFillTint="33"/>
    </w:tcPr>
    <w:tblStylePr w:type="firstRow">
      <w:rPr>
        <w:b/>
        <w:bCs/>
      </w:rPr>
      <w:tblPr/>
      <w:tcPr>
        <w:shd w:val="clear" w:color="auto" w:fill="F2C8B0" w:themeFill="accent5" w:themeFillTint="66"/>
      </w:tcPr>
    </w:tblStylePr>
    <w:tblStylePr w:type="lastRow">
      <w:rPr>
        <w:b/>
        <w:bCs/>
        <w:color w:val="000000" w:themeColor="text1"/>
      </w:rPr>
      <w:tblPr/>
      <w:tcPr>
        <w:shd w:val="clear" w:color="auto" w:fill="F2C8B0" w:themeFill="accent5" w:themeFillTint="66"/>
      </w:tcPr>
    </w:tblStylePr>
    <w:tblStylePr w:type="firstCol">
      <w:rPr>
        <w:color w:val="FFFFFF" w:themeColor="background1"/>
      </w:rPr>
      <w:tblPr/>
      <w:tcPr>
        <w:shd w:val="clear" w:color="auto" w:fill="B7541D" w:themeFill="accent5" w:themeFillShade="BF"/>
      </w:tcPr>
    </w:tblStylePr>
    <w:tblStylePr w:type="lastCol">
      <w:rPr>
        <w:color w:val="FFFFFF" w:themeColor="background1"/>
      </w:rPr>
      <w:tblPr/>
      <w:tcPr>
        <w:shd w:val="clear" w:color="auto" w:fill="B7541D" w:themeFill="accent5" w:themeFillShade="BF"/>
      </w:tcPr>
    </w:tblStylePr>
    <w:tblStylePr w:type="band1Vert">
      <w:tblPr/>
      <w:tcPr>
        <w:shd w:val="clear" w:color="auto" w:fill="EFBA9D" w:themeFill="accent5" w:themeFillTint="7F"/>
      </w:tcPr>
    </w:tblStylePr>
    <w:tblStylePr w:type="band1Horz">
      <w:tblPr/>
      <w:tcPr>
        <w:shd w:val="clear" w:color="auto" w:fill="EFBA9D" w:themeFill="accent5" w:themeFillTint="7F"/>
      </w:tcPr>
    </w:tblStylePr>
  </w:style>
  <w:style w:type="table" w:styleId="ColorfulGrid-Accent6">
    <w:name w:val="Colorful Grid Accent 6"/>
    <w:basedOn w:val="TableNormal"/>
    <w:uiPriority w:val="73"/>
    <w:rsid w:val="002E7F6D"/>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DE8DF" w:themeFill="accent6" w:themeFillTint="33"/>
    </w:tcPr>
    <w:tblStylePr w:type="firstRow">
      <w:rPr>
        <w:b/>
        <w:bCs/>
      </w:rPr>
      <w:tblPr/>
      <w:tcPr>
        <w:shd w:val="clear" w:color="auto" w:fill="DCD1C0" w:themeFill="accent6" w:themeFillTint="66"/>
      </w:tcPr>
    </w:tblStylePr>
    <w:tblStylePr w:type="lastRow">
      <w:rPr>
        <w:b/>
        <w:bCs/>
        <w:color w:val="000000" w:themeColor="text1"/>
      </w:rPr>
      <w:tblPr/>
      <w:tcPr>
        <w:shd w:val="clear" w:color="auto" w:fill="DCD1C0" w:themeFill="accent6" w:themeFillTint="66"/>
      </w:tcPr>
    </w:tblStylePr>
    <w:tblStylePr w:type="firstCol">
      <w:rPr>
        <w:color w:val="FFFFFF" w:themeColor="background1"/>
      </w:rPr>
      <w:tblPr/>
      <w:tcPr>
        <w:shd w:val="clear" w:color="auto" w:fill="816A47" w:themeFill="accent6" w:themeFillShade="BF"/>
      </w:tcPr>
    </w:tblStylePr>
    <w:tblStylePr w:type="lastCol">
      <w:rPr>
        <w:color w:val="FFFFFF" w:themeColor="background1"/>
      </w:rPr>
      <w:tblPr/>
      <w:tcPr>
        <w:shd w:val="clear" w:color="auto" w:fill="816A47" w:themeFill="accent6" w:themeFillShade="BF"/>
      </w:tcPr>
    </w:tblStylePr>
    <w:tblStylePr w:type="band1Vert">
      <w:tblPr/>
      <w:tcPr>
        <w:shd w:val="clear" w:color="auto" w:fill="D4C6B1" w:themeFill="accent6" w:themeFillTint="7F"/>
      </w:tcPr>
    </w:tblStylePr>
    <w:tblStylePr w:type="band1Horz">
      <w:tblPr/>
      <w:tcPr>
        <w:shd w:val="clear" w:color="auto" w:fill="D4C6B1" w:themeFill="accent6" w:themeFillTint="7F"/>
      </w:tcPr>
    </w:tblStylePr>
  </w:style>
  <w:style w:type="table" w:customStyle="1" w:styleId="ColorfulList1">
    <w:name w:val="Colorful List1"/>
    <w:basedOn w:val="TableNormal"/>
    <w:uiPriority w:val="72"/>
    <w:rsid w:val="002E7F6D"/>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41919A" w:themeFill="accent2" w:themeFillShade="CC"/>
      </w:tcPr>
    </w:tblStylePr>
    <w:tblStylePr w:type="lastRow">
      <w:rPr>
        <w:b/>
        <w:bCs/>
        <w:color w:val="41919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2E7F6D"/>
    <w:pPr>
      <w:spacing w:after="0" w:line="240" w:lineRule="auto"/>
    </w:pPr>
    <w:rPr>
      <w:color w:val="000000" w:themeColor="text1"/>
    </w:rPr>
    <w:tblPr>
      <w:tblStyleRowBandSize w:val="1"/>
      <w:tblStyleColBandSize w:val="1"/>
    </w:tblPr>
    <w:tcPr>
      <w:shd w:val="clear" w:color="auto" w:fill="F5FBE7" w:themeFill="accent1" w:themeFillTint="19"/>
    </w:tcPr>
    <w:tblStylePr w:type="firstRow">
      <w:rPr>
        <w:b/>
        <w:bCs/>
        <w:color w:val="FFFFFF" w:themeColor="background1"/>
      </w:rPr>
      <w:tblPr/>
      <w:tcPr>
        <w:tcBorders>
          <w:bottom w:val="single" w:sz="12" w:space="0" w:color="FFFFFF" w:themeColor="background1"/>
        </w:tcBorders>
        <w:shd w:val="clear" w:color="auto" w:fill="41919A" w:themeFill="accent2" w:themeFillShade="CC"/>
      </w:tcPr>
    </w:tblStylePr>
    <w:tblStylePr w:type="lastRow">
      <w:rPr>
        <w:b/>
        <w:bCs/>
        <w:color w:val="41919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F4C4" w:themeFill="accent1" w:themeFillTint="3F"/>
      </w:tcPr>
    </w:tblStylePr>
    <w:tblStylePr w:type="band1Horz">
      <w:tblPr/>
      <w:tcPr>
        <w:shd w:val="clear" w:color="auto" w:fill="EBF6CF" w:themeFill="accent1" w:themeFillTint="33"/>
      </w:tcPr>
    </w:tblStylePr>
  </w:style>
  <w:style w:type="table" w:styleId="ColorfulList-Accent2">
    <w:name w:val="Colorful List Accent 2"/>
    <w:basedOn w:val="TableNormal"/>
    <w:uiPriority w:val="72"/>
    <w:rsid w:val="002E7F6D"/>
    <w:pPr>
      <w:spacing w:after="0" w:line="240" w:lineRule="auto"/>
    </w:pPr>
    <w:rPr>
      <w:color w:val="000000" w:themeColor="text1"/>
    </w:rPr>
    <w:tblPr>
      <w:tblStyleRowBandSize w:val="1"/>
      <w:tblStyleColBandSize w:val="1"/>
    </w:tblPr>
    <w:tcPr>
      <w:shd w:val="clear" w:color="auto" w:fill="EEF7F8" w:themeFill="accent2" w:themeFillTint="19"/>
    </w:tcPr>
    <w:tblStylePr w:type="firstRow">
      <w:rPr>
        <w:b/>
        <w:bCs/>
        <w:color w:val="FFFFFF" w:themeColor="background1"/>
      </w:rPr>
      <w:tblPr/>
      <w:tcPr>
        <w:tcBorders>
          <w:bottom w:val="single" w:sz="12" w:space="0" w:color="FFFFFF" w:themeColor="background1"/>
        </w:tcBorders>
        <w:shd w:val="clear" w:color="auto" w:fill="41919A" w:themeFill="accent2" w:themeFillShade="CC"/>
      </w:tcPr>
    </w:tblStylePr>
    <w:tblStylePr w:type="lastRow">
      <w:rPr>
        <w:b/>
        <w:bCs/>
        <w:color w:val="41919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5EBED" w:themeFill="accent2" w:themeFillTint="3F"/>
      </w:tcPr>
    </w:tblStylePr>
    <w:tblStylePr w:type="band1Horz">
      <w:tblPr/>
      <w:tcPr>
        <w:shd w:val="clear" w:color="auto" w:fill="DDEFF1" w:themeFill="accent2" w:themeFillTint="33"/>
      </w:tcPr>
    </w:tblStylePr>
  </w:style>
  <w:style w:type="table" w:styleId="ColorfulList-Accent3">
    <w:name w:val="Colorful List Accent 3"/>
    <w:basedOn w:val="TableNormal"/>
    <w:uiPriority w:val="72"/>
    <w:rsid w:val="002E7F6D"/>
    <w:pPr>
      <w:spacing w:after="0" w:line="240" w:lineRule="auto"/>
    </w:pPr>
    <w:rPr>
      <w:color w:val="000000" w:themeColor="text1"/>
    </w:rPr>
    <w:tblPr>
      <w:tblStyleRowBandSize w:val="1"/>
      <w:tblStyleColBandSize w:val="1"/>
    </w:tblPr>
    <w:tcPr>
      <w:shd w:val="clear" w:color="auto" w:fill="FFF8E2" w:themeFill="accent3" w:themeFillTint="19"/>
    </w:tcPr>
    <w:tblStylePr w:type="firstRow">
      <w:rPr>
        <w:b/>
        <w:bCs/>
        <w:color w:val="FFFFFF" w:themeColor="background1"/>
      </w:rPr>
      <w:tblPr/>
      <w:tcPr>
        <w:tcBorders>
          <w:bottom w:val="single" w:sz="12" w:space="0" w:color="FFFFFF" w:themeColor="background1"/>
        </w:tcBorders>
        <w:shd w:val="clear" w:color="auto" w:fill="9E569A" w:themeFill="accent4" w:themeFillShade="CC"/>
      </w:tcPr>
    </w:tblStylePr>
    <w:tblStylePr w:type="lastRow">
      <w:rPr>
        <w:b/>
        <w:bCs/>
        <w:color w:val="9E569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B7" w:themeFill="accent3" w:themeFillTint="3F"/>
      </w:tcPr>
    </w:tblStylePr>
    <w:tblStylePr w:type="band1Horz">
      <w:tblPr/>
      <w:tcPr>
        <w:shd w:val="clear" w:color="auto" w:fill="FFF2C5" w:themeFill="accent3" w:themeFillTint="33"/>
      </w:tcPr>
    </w:tblStylePr>
  </w:style>
  <w:style w:type="table" w:styleId="ColorfulList-Accent4">
    <w:name w:val="Colorful List Accent 4"/>
    <w:basedOn w:val="TableNormal"/>
    <w:uiPriority w:val="72"/>
    <w:rsid w:val="002E7F6D"/>
    <w:pPr>
      <w:spacing w:after="0" w:line="240" w:lineRule="auto"/>
    </w:pPr>
    <w:rPr>
      <w:color w:val="000000" w:themeColor="text1"/>
    </w:rPr>
    <w:tblPr>
      <w:tblStyleRowBandSize w:val="1"/>
      <w:tblStyleColBandSize w:val="1"/>
    </w:tblPr>
    <w:tcPr>
      <w:shd w:val="clear" w:color="auto" w:fill="F8F2F7" w:themeFill="accent4" w:themeFillTint="19"/>
    </w:tcPr>
    <w:tblStylePr w:type="firstRow">
      <w:rPr>
        <w:b/>
        <w:bCs/>
        <w:color w:val="FFFFFF" w:themeColor="background1"/>
      </w:rPr>
      <w:tblPr/>
      <w:tcPr>
        <w:tcBorders>
          <w:bottom w:val="single" w:sz="12" w:space="0" w:color="FFFFFF" w:themeColor="background1"/>
        </w:tcBorders>
        <w:shd w:val="clear" w:color="auto" w:fill="B18A00" w:themeFill="accent3" w:themeFillShade="CC"/>
      </w:tcPr>
    </w:tblStylePr>
    <w:tblStylePr w:type="lastRow">
      <w:rPr>
        <w:b/>
        <w:bCs/>
        <w:color w:val="B18A0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DDEEC" w:themeFill="accent4" w:themeFillTint="3F"/>
      </w:tcPr>
    </w:tblStylePr>
    <w:tblStylePr w:type="band1Horz">
      <w:tblPr/>
      <w:tcPr>
        <w:shd w:val="clear" w:color="auto" w:fill="F0E4F0" w:themeFill="accent4" w:themeFillTint="33"/>
      </w:tcPr>
    </w:tblStylePr>
  </w:style>
  <w:style w:type="table" w:styleId="ColorfulList-Accent5">
    <w:name w:val="Colorful List Accent 5"/>
    <w:basedOn w:val="TableNormal"/>
    <w:uiPriority w:val="72"/>
    <w:rsid w:val="002E7F6D"/>
    <w:pPr>
      <w:spacing w:after="0" w:line="240" w:lineRule="auto"/>
    </w:pPr>
    <w:rPr>
      <w:color w:val="000000" w:themeColor="text1"/>
    </w:rPr>
    <w:tblPr>
      <w:tblStyleRowBandSize w:val="1"/>
      <w:tblStyleColBandSize w:val="1"/>
    </w:tblPr>
    <w:tcPr>
      <w:shd w:val="clear" w:color="auto" w:fill="FCF1EB" w:themeFill="accent5" w:themeFillTint="19"/>
    </w:tcPr>
    <w:tblStylePr w:type="firstRow">
      <w:rPr>
        <w:b/>
        <w:bCs/>
        <w:color w:val="FFFFFF" w:themeColor="background1"/>
      </w:rPr>
      <w:tblPr/>
      <w:tcPr>
        <w:tcBorders>
          <w:bottom w:val="single" w:sz="12" w:space="0" w:color="FFFFFF" w:themeColor="background1"/>
        </w:tcBorders>
        <w:shd w:val="clear" w:color="auto" w:fill="8A714C" w:themeFill="accent6" w:themeFillShade="CC"/>
      </w:tcPr>
    </w:tblStylePr>
    <w:tblStylePr w:type="lastRow">
      <w:rPr>
        <w:b/>
        <w:bCs/>
        <w:color w:val="8A714C"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7DDCE" w:themeFill="accent5" w:themeFillTint="3F"/>
      </w:tcPr>
    </w:tblStylePr>
    <w:tblStylePr w:type="band1Horz">
      <w:tblPr/>
      <w:tcPr>
        <w:shd w:val="clear" w:color="auto" w:fill="F8E3D7" w:themeFill="accent5" w:themeFillTint="33"/>
      </w:tcPr>
    </w:tblStylePr>
  </w:style>
  <w:style w:type="table" w:styleId="ColorfulList-Accent6">
    <w:name w:val="Colorful List Accent 6"/>
    <w:basedOn w:val="TableNormal"/>
    <w:uiPriority w:val="72"/>
    <w:rsid w:val="002E7F6D"/>
    <w:pPr>
      <w:spacing w:after="0" w:line="240" w:lineRule="auto"/>
    </w:pPr>
    <w:rPr>
      <w:color w:val="000000" w:themeColor="text1"/>
    </w:rPr>
    <w:tblPr>
      <w:tblStyleRowBandSize w:val="1"/>
      <w:tblStyleColBandSize w:val="1"/>
    </w:tblPr>
    <w:tcPr>
      <w:shd w:val="clear" w:color="auto" w:fill="F6F3EF" w:themeFill="accent6" w:themeFillTint="19"/>
    </w:tcPr>
    <w:tblStylePr w:type="firstRow">
      <w:rPr>
        <w:b/>
        <w:bCs/>
        <w:color w:val="FFFFFF" w:themeColor="background1"/>
      </w:rPr>
      <w:tblPr/>
      <w:tcPr>
        <w:tcBorders>
          <w:bottom w:val="single" w:sz="12" w:space="0" w:color="FFFFFF" w:themeColor="background1"/>
        </w:tcBorders>
        <w:shd w:val="clear" w:color="auto" w:fill="C3591F" w:themeFill="accent5" w:themeFillShade="CC"/>
      </w:tcPr>
    </w:tblStylePr>
    <w:tblStylePr w:type="lastRow">
      <w:rPr>
        <w:b/>
        <w:bCs/>
        <w:color w:val="C3591F"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E2D8" w:themeFill="accent6" w:themeFillTint="3F"/>
      </w:tcPr>
    </w:tblStylePr>
    <w:tblStylePr w:type="band1Horz">
      <w:tblPr/>
      <w:tcPr>
        <w:shd w:val="clear" w:color="auto" w:fill="EDE8DF" w:themeFill="accent6" w:themeFillTint="33"/>
      </w:tcPr>
    </w:tblStylePr>
  </w:style>
  <w:style w:type="table" w:customStyle="1" w:styleId="ColorfulShading1">
    <w:name w:val="Colorful Shading1"/>
    <w:basedOn w:val="TableNormal"/>
    <w:uiPriority w:val="71"/>
    <w:rsid w:val="002E7F6D"/>
    <w:pPr>
      <w:spacing w:after="0" w:line="240" w:lineRule="auto"/>
    </w:pPr>
    <w:rPr>
      <w:color w:val="000000" w:themeColor="text1"/>
    </w:rPr>
    <w:tblPr>
      <w:tblStyleRowBandSize w:val="1"/>
      <w:tblStyleColBandSize w:val="1"/>
      <w:tblBorders>
        <w:top w:val="single" w:sz="24" w:space="0" w:color="59B0B9"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2E7F6D"/>
    <w:pPr>
      <w:spacing w:after="0" w:line="240" w:lineRule="auto"/>
    </w:pPr>
    <w:rPr>
      <w:color w:val="000000" w:themeColor="text1"/>
    </w:rPr>
    <w:tblPr>
      <w:tblStyleRowBandSize w:val="1"/>
      <w:tblStyleColBandSize w:val="1"/>
      <w:tblBorders>
        <w:top w:val="single" w:sz="24" w:space="0" w:color="59B0B9" w:themeColor="accent2"/>
        <w:left w:val="single" w:sz="4" w:space="0" w:color="98C723" w:themeColor="accent1"/>
        <w:bottom w:val="single" w:sz="4" w:space="0" w:color="98C723" w:themeColor="accent1"/>
        <w:right w:val="single" w:sz="4" w:space="0" w:color="98C723" w:themeColor="accent1"/>
        <w:insideH w:val="single" w:sz="4" w:space="0" w:color="FFFFFF" w:themeColor="background1"/>
        <w:insideV w:val="single" w:sz="4" w:space="0" w:color="FFFFFF" w:themeColor="background1"/>
      </w:tblBorders>
    </w:tblPr>
    <w:tcPr>
      <w:shd w:val="clear" w:color="auto" w:fill="F5FBE7" w:themeFill="accent1" w:themeFillTint="19"/>
    </w:tcPr>
    <w:tblStylePr w:type="firstRow">
      <w:rPr>
        <w:b/>
        <w:bCs/>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A7715" w:themeFill="accent1" w:themeFillShade="99"/>
      </w:tcPr>
    </w:tblStylePr>
    <w:tblStylePr w:type="firstCol">
      <w:rPr>
        <w:color w:val="FFFFFF" w:themeColor="background1"/>
      </w:rPr>
      <w:tblPr/>
      <w:tcPr>
        <w:tcBorders>
          <w:top w:val="nil"/>
          <w:left w:val="nil"/>
          <w:bottom w:val="nil"/>
          <w:right w:val="nil"/>
          <w:insideH w:val="single" w:sz="4" w:space="0" w:color="5A7715" w:themeColor="accent1" w:themeShade="99"/>
          <w:insideV w:val="nil"/>
        </w:tcBorders>
        <w:shd w:val="clear" w:color="auto" w:fill="5A7715"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5A7715" w:themeFill="accent1" w:themeFillShade="99"/>
      </w:tcPr>
    </w:tblStylePr>
    <w:tblStylePr w:type="band1Vert">
      <w:tblPr/>
      <w:tcPr>
        <w:shd w:val="clear" w:color="auto" w:fill="D7EEA0" w:themeFill="accent1" w:themeFillTint="66"/>
      </w:tcPr>
    </w:tblStylePr>
    <w:tblStylePr w:type="band1Horz">
      <w:tblPr/>
      <w:tcPr>
        <w:shd w:val="clear" w:color="auto" w:fill="CEEA89"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2E7F6D"/>
    <w:pPr>
      <w:spacing w:after="0" w:line="240" w:lineRule="auto"/>
    </w:pPr>
    <w:rPr>
      <w:color w:val="000000" w:themeColor="text1"/>
    </w:rPr>
    <w:tblPr>
      <w:tblStyleRowBandSize w:val="1"/>
      <w:tblStyleColBandSize w:val="1"/>
      <w:tblBorders>
        <w:top w:val="single" w:sz="24" w:space="0" w:color="59B0B9" w:themeColor="accent2"/>
        <w:left w:val="single" w:sz="4" w:space="0" w:color="59B0B9" w:themeColor="accent2"/>
        <w:bottom w:val="single" w:sz="4" w:space="0" w:color="59B0B9" w:themeColor="accent2"/>
        <w:right w:val="single" w:sz="4" w:space="0" w:color="59B0B9" w:themeColor="accent2"/>
        <w:insideH w:val="single" w:sz="4" w:space="0" w:color="FFFFFF" w:themeColor="background1"/>
        <w:insideV w:val="single" w:sz="4" w:space="0" w:color="FFFFFF" w:themeColor="background1"/>
      </w:tblBorders>
    </w:tblPr>
    <w:tcPr>
      <w:shd w:val="clear" w:color="auto" w:fill="EEF7F8" w:themeFill="accent2" w:themeFillTint="19"/>
    </w:tcPr>
    <w:tblStylePr w:type="firstRow">
      <w:rPr>
        <w:b/>
        <w:bCs/>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06D73" w:themeFill="accent2" w:themeFillShade="99"/>
      </w:tcPr>
    </w:tblStylePr>
    <w:tblStylePr w:type="firstCol">
      <w:rPr>
        <w:color w:val="FFFFFF" w:themeColor="background1"/>
      </w:rPr>
      <w:tblPr/>
      <w:tcPr>
        <w:tcBorders>
          <w:top w:val="nil"/>
          <w:left w:val="nil"/>
          <w:bottom w:val="nil"/>
          <w:right w:val="nil"/>
          <w:insideH w:val="single" w:sz="4" w:space="0" w:color="306D73" w:themeColor="accent2" w:themeShade="99"/>
          <w:insideV w:val="nil"/>
        </w:tcBorders>
        <w:shd w:val="clear" w:color="auto" w:fill="306D73"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306D73" w:themeFill="accent2" w:themeFillShade="99"/>
      </w:tcPr>
    </w:tblStylePr>
    <w:tblStylePr w:type="band1Vert">
      <w:tblPr/>
      <w:tcPr>
        <w:shd w:val="clear" w:color="auto" w:fill="BCDFE3" w:themeFill="accent2" w:themeFillTint="66"/>
      </w:tcPr>
    </w:tblStylePr>
    <w:tblStylePr w:type="band1Horz">
      <w:tblPr/>
      <w:tcPr>
        <w:shd w:val="clear" w:color="auto" w:fill="ACD7DC"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2E7F6D"/>
    <w:pPr>
      <w:spacing w:after="0" w:line="240" w:lineRule="auto"/>
    </w:pPr>
    <w:rPr>
      <w:color w:val="000000" w:themeColor="text1"/>
    </w:rPr>
    <w:tblPr>
      <w:tblStyleRowBandSize w:val="1"/>
      <w:tblStyleColBandSize w:val="1"/>
      <w:tblBorders>
        <w:top w:val="single" w:sz="24" w:space="0" w:color="B77BB4" w:themeColor="accent4"/>
        <w:left w:val="single" w:sz="4" w:space="0" w:color="DEAE00" w:themeColor="accent3"/>
        <w:bottom w:val="single" w:sz="4" w:space="0" w:color="DEAE00" w:themeColor="accent3"/>
        <w:right w:val="single" w:sz="4" w:space="0" w:color="DEAE00" w:themeColor="accent3"/>
        <w:insideH w:val="single" w:sz="4" w:space="0" w:color="FFFFFF" w:themeColor="background1"/>
        <w:insideV w:val="single" w:sz="4" w:space="0" w:color="FFFFFF" w:themeColor="background1"/>
      </w:tblBorders>
    </w:tblPr>
    <w:tcPr>
      <w:shd w:val="clear" w:color="auto" w:fill="FFF8E2" w:themeFill="accent3" w:themeFillTint="19"/>
    </w:tcPr>
    <w:tblStylePr w:type="firstRow">
      <w:rPr>
        <w:b/>
        <w:bCs/>
      </w:rPr>
      <w:tblPr/>
      <w:tcPr>
        <w:tcBorders>
          <w:top w:val="nil"/>
          <w:left w:val="nil"/>
          <w:bottom w:val="single" w:sz="24" w:space="0" w:color="B77BB4"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56700" w:themeFill="accent3" w:themeFillShade="99"/>
      </w:tcPr>
    </w:tblStylePr>
    <w:tblStylePr w:type="firstCol">
      <w:rPr>
        <w:color w:val="FFFFFF" w:themeColor="background1"/>
      </w:rPr>
      <w:tblPr/>
      <w:tcPr>
        <w:tcBorders>
          <w:top w:val="nil"/>
          <w:left w:val="nil"/>
          <w:bottom w:val="nil"/>
          <w:right w:val="nil"/>
          <w:insideH w:val="single" w:sz="4" w:space="0" w:color="856700" w:themeColor="accent3" w:themeShade="99"/>
          <w:insideV w:val="nil"/>
        </w:tcBorders>
        <w:shd w:val="clear" w:color="auto" w:fill="85670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856700" w:themeFill="accent3" w:themeFillShade="99"/>
      </w:tcPr>
    </w:tblStylePr>
    <w:tblStylePr w:type="band1Vert">
      <w:tblPr/>
      <w:tcPr>
        <w:shd w:val="clear" w:color="auto" w:fill="FFE58B" w:themeFill="accent3" w:themeFillTint="66"/>
      </w:tcPr>
    </w:tblStylePr>
    <w:tblStylePr w:type="band1Horz">
      <w:tblPr/>
      <w:tcPr>
        <w:shd w:val="clear" w:color="auto" w:fill="FFDF6F" w:themeFill="accent3" w:themeFillTint="7F"/>
      </w:tcPr>
    </w:tblStylePr>
  </w:style>
  <w:style w:type="table" w:styleId="ColorfulShading-Accent4">
    <w:name w:val="Colorful Shading Accent 4"/>
    <w:basedOn w:val="TableNormal"/>
    <w:uiPriority w:val="71"/>
    <w:rsid w:val="002E7F6D"/>
    <w:pPr>
      <w:spacing w:after="0" w:line="240" w:lineRule="auto"/>
    </w:pPr>
    <w:rPr>
      <w:color w:val="000000" w:themeColor="text1"/>
    </w:rPr>
    <w:tblPr>
      <w:tblStyleRowBandSize w:val="1"/>
      <w:tblStyleColBandSize w:val="1"/>
      <w:tblBorders>
        <w:top w:val="single" w:sz="24" w:space="0" w:color="DEAE00" w:themeColor="accent3"/>
        <w:left w:val="single" w:sz="4" w:space="0" w:color="B77BB4" w:themeColor="accent4"/>
        <w:bottom w:val="single" w:sz="4" w:space="0" w:color="B77BB4" w:themeColor="accent4"/>
        <w:right w:val="single" w:sz="4" w:space="0" w:color="B77BB4" w:themeColor="accent4"/>
        <w:insideH w:val="single" w:sz="4" w:space="0" w:color="FFFFFF" w:themeColor="background1"/>
        <w:insideV w:val="single" w:sz="4" w:space="0" w:color="FFFFFF" w:themeColor="background1"/>
      </w:tblBorders>
    </w:tblPr>
    <w:tcPr>
      <w:shd w:val="clear" w:color="auto" w:fill="F8F2F7" w:themeFill="accent4" w:themeFillTint="19"/>
    </w:tcPr>
    <w:tblStylePr w:type="firstRow">
      <w:rPr>
        <w:b/>
        <w:bCs/>
      </w:rPr>
      <w:tblPr/>
      <w:tcPr>
        <w:tcBorders>
          <w:top w:val="nil"/>
          <w:left w:val="nil"/>
          <w:bottom w:val="single" w:sz="24" w:space="0" w:color="DEAE0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64073" w:themeFill="accent4" w:themeFillShade="99"/>
      </w:tcPr>
    </w:tblStylePr>
    <w:tblStylePr w:type="firstCol">
      <w:rPr>
        <w:color w:val="FFFFFF" w:themeColor="background1"/>
      </w:rPr>
      <w:tblPr/>
      <w:tcPr>
        <w:tcBorders>
          <w:top w:val="nil"/>
          <w:left w:val="nil"/>
          <w:bottom w:val="nil"/>
          <w:right w:val="nil"/>
          <w:insideH w:val="single" w:sz="4" w:space="0" w:color="764073" w:themeColor="accent4" w:themeShade="99"/>
          <w:insideV w:val="nil"/>
        </w:tcBorders>
        <w:shd w:val="clear" w:color="auto" w:fill="764073"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64073" w:themeFill="accent4" w:themeFillShade="99"/>
      </w:tcPr>
    </w:tblStylePr>
    <w:tblStylePr w:type="band1Vert">
      <w:tblPr/>
      <w:tcPr>
        <w:shd w:val="clear" w:color="auto" w:fill="E2CAE1" w:themeFill="accent4" w:themeFillTint="66"/>
      </w:tcPr>
    </w:tblStylePr>
    <w:tblStylePr w:type="band1Horz">
      <w:tblPr/>
      <w:tcPr>
        <w:shd w:val="clear" w:color="auto" w:fill="DBBDD9"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2E7F6D"/>
    <w:pPr>
      <w:spacing w:after="0" w:line="240" w:lineRule="auto"/>
    </w:pPr>
    <w:rPr>
      <w:color w:val="000000" w:themeColor="text1"/>
    </w:rPr>
    <w:tblPr>
      <w:tblStyleRowBandSize w:val="1"/>
      <w:tblStyleColBandSize w:val="1"/>
      <w:tblBorders>
        <w:top w:val="single" w:sz="24" w:space="0" w:color="A98D63" w:themeColor="accent6"/>
        <w:left w:val="single" w:sz="4" w:space="0" w:color="E0773C" w:themeColor="accent5"/>
        <w:bottom w:val="single" w:sz="4" w:space="0" w:color="E0773C" w:themeColor="accent5"/>
        <w:right w:val="single" w:sz="4" w:space="0" w:color="E0773C" w:themeColor="accent5"/>
        <w:insideH w:val="single" w:sz="4" w:space="0" w:color="FFFFFF" w:themeColor="background1"/>
        <w:insideV w:val="single" w:sz="4" w:space="0" w:color="FFFFFF" w:themeColor="background1"/>
      </w:tblBorders>
    </w:tblPr>
    <w:tcPr>
      <w:shd w:val="clear" w:color="auto" w:fill="FCF1EB" w:themeFill="accent5" w:themeFillTint="19"/>
    </w:tcPr>
    <w:tblStylePr w:type="firstRow">
      <w:rPr>
        <w:b/>
        <w:bCs/>
      </w:rPr>
      <w:tblPr/>
      <w:tcPr>
        <w:tcBorders>
          <w:top w:val="nil"/>
          <w:left w:val="nil"/>
          <w:bottom w:val="single" w:sz="24" w:space="0" w:color="A98D63"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24317" w:themeFill="accent5" w:themeFillShade="99"/>
      </w:tcPr>
    </w:tblStylePr>
    <w:tblStylePr w:type="firstCol">
      <w:rPr>
        <w:color w:val="FFFFFF" w:themeColor="background1"/>
      </w:rPr>
      <w:tblPr/>
      <w:tcPr>
        <w:tcBorders>
          <w:top w:val="nil"/>
          <w:left w:val="nil"/>
          <w:bottom w:val="nil"/>
          <w:right w:val="nil"/>
          <w:insideH w:val="single" w:sz="4" w:space="0" w:color="924317" w:themeColor="accent5" w:themeShade="99"/>
          <w:insideV w:val="nil"/>
        </w:tcBorders>
        <w:shd w:val="clear" w:color="auto" w:fill="924317"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24317" w:themeFill="accent5" w:themeFillShade="99"/>
      </w:tcPr>
    </w:tblStylePr>
    <w:tblStylePr w:type="band1Vert">
      <w:tblPr/>
      <w:tcPr>
        <w:shd w:val="clear" w:color="auto" w:fill="F2C8B0" w:themeFill="accent5" w:themeFillTint="66"/>
      </w:tcPr>
    </w:tblStylePr>
    <w:tblStylePr w:type="band1Horz">
      <w:tblPr/>
      <w:tcPr>
        <w:shd w:val="clear" w:color="auto" w:fill="EFBA9D"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2E7F6D"/>
    <w:pPr>
      <w:spacing w:after="0" w:line="240" w:lineRule="auto"/>
    </w:pPr>
    <w:rPr>
      <w:color w:val="000000" w:themeColor="text1"/>
    </w:rPr>
    <w:tblPr>
      <w:tblStyleRowBandSize w:val="1"/>
      <w:tblStyleColBandSize w:val="1"/>
      <w:tblBorders>
        <w:top w:val="single" w:sz="24" w:space="0" w:color="E0773C" w:themeColor="accent5"/>
        <w:left w:val="single" w:sz="4" w:space="0" w:color="A98D63" w:themeColor="accent6"/>
        <w:bottom w:val="single" w:sz="4" w:space="0" w:color="A98D63" w:themeColor="accent6"/>
        <w:right w:val="single" w:sz="4" w:space="0" w:color="A98D63" w:themeColor="accent6"/>
        <w:insideH w:val="single" w:sz="4" w:space="0" w:color="FFFFFF" w:themeColor="background1"/>
        <w:insideV w:val="single" w:sz="4" w:space="0" w:color="FFFFFF" w:themeColor="background1"/>
      </w:tblBorders>
    </w:tblPr>
    <w:tcPr>
      <w:shd w:val="clear" w:color="auto" w:fill="F6F3EF" w:themeFill="accent6" w:themeFillTint="19"/>
    </w:tcPr>
    <w:tblStylePr w:type="firstRow">
      <w:rPr>
        <w:b/>
        <w:bCs/>
      </w:rPr>
      <w:tblPr/>
      <w:tcPr>
        <w:tcBorders>
          <w:top w:val="nil"/>
          <w:left w:val="nil"/>
          <w:bottom w:val="single" w:sz="24" w:space="0" w:color="E0773C"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75439" w:themeFill="accent6" w:themeFillShade="99"/>
      </w:tcPr>
    </w:tblStylePr>
    <w:tblStylePr w:type="firstCol">
      <w:rPr>
        <w:color w:val="FFFFFF" w:themeColor="background1"/>
      </w:rPr>
      <w:tblPr/>
      <w:tcPr>
        <w:tcBorders>
          <w:top w:val="nil"/>
          <w:left w:val="nil"/>
          <w:bottom w:val="nil"/>
          <w:right w:val="nil"/>
          <w:insideH w:val="single" w:sz="4" w:space="0" w:color="675439" w:themeColor="accent6" w:themeShade="99"/>
          <w:insideV w:val="nil"/>
        </w:tcBorders>
        <w:shd w:val="clear" w:color="auto" w:fill="675439"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675439" w:themeFill="accent6" w:themeFillShade="99"/>
      </w:tcPr>
    </w:tblStylePr>
    <w:tblStylePr w:type="band1Vert">
      <w:tblPr/>
      <w:tcPr>
        <w:shd w:val="clear" w:color="auto" w:fill="DCD1C0" w:themeFill="accent6" w:themeFillTint="66"/>
      </w:tcPr>
    </w:tblStylePr>
    <w:tblStylePr w:type="band1Horz">
      <w:tblPr/>
      <w:tcPr>
        <w:shd w:val="clear" w:color="auto" w:fill="D4C6B1"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semiHidden/>
    <w:unhideWhenUsed/>
    <w:rsid w:val="002E7F6D"/>
    <w:rPr>
      <w:sz w:val="16"/>
    </w:rPr>
  </w:style>
  <w:style w:type="paragraph" w:styleId="CommentText">
    <w:name w:val="annotation text"/>
    <w:basedOn w:val="Normal"/>
    <w:link w:val="CommentTextChar"/>
    <w:uiPriority w:val="99"/>
    <w:semiHidden/>
    <w:unhideWhenUsed/>
    <w:rsid w:val="002E7F6D"/>
    <w:pPr>
      <w:spacing w:line="240" w:lineRule="auto"/>
    </w:pPr>
  </w:style>
  <w:style w:type="character" w:customStyle="1" w:styleId="CommentTextChar">
    <w:name w:val="Comment Text Char"/>
    <w:basedOn w:val="DefaultParagraphFont"/>
    <w:link w:val="CommentText"/>
    <w:uiPriority w:val="99"/>
    <w:semiHidden/>
    <w:rsid w:val="002E7F6D"/>
    <w:rPr>
      <w:sz w:val="20"/>
    </w:rPr>
  </w:style>
  <w:style w:type="paragraph" w:styleId="CommentSubject">
    <w:name w:val="annotation subject"/>
    <w:basedOn w:val="CommentText"/>
    <w:next w:val="CommentText"/>
    <w:link w:val="CommentSubjectChar"/>
    <w:uiPriority w:val="99"/>
    <w:semiHidden/>
    <w:unhideWhenUsed/>
    <w:rsid w:val="002E7F6D"/>
    <w:rPr>
      <w:b/>
      <w:bCs/>
    </w:rPr>
  </w:style>
  <w:style w:type="character" w:customStyle="1" w:styleId="CommentSubjectChar">
    <w:name w:val="Comment Subject Char"/>
    <w:basedOn w:val="CommentTextChar"/>
    <w:link w:val="CommentSubject"/>
    <w:uiPriority w:val="99"/>
    <w:semiHidden/>
    <w:rsid w:val="002E7F6D"/>
    <w:rPr>
      <w:b/>
      <w:bCs/>
      <w:sz w:val="20"/>
    </w:rPr>
  </w:style>
  <w:style w:type="table" w:customStyle="1" w:styleId="DarkList1">
    <w:name w:val="Dark List1"/>
    <w:basedOn w:val="TableNormal"/>
    <w:uiPriority w:val="70"/>
    <w:rsid w:val="002E7F6D"/>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2E7F6D"/>
    <w:pPr>
      <w:spacing w:after="0" w:line="240" w:lineRule="auto"/>
    </w:pPr>
    <w:rPr>
      <w:color w:val="FFFFFF" w:themeColor="background1"/>
    </w:rPr>
    <w:tblPr>
      <w:tblStyleRowBandSize w:val="1"/>
      <w:tblStyleColBandSize w:val="1"/>
    </w:tblPr>
    <w:tcPr>
      <w:shd w:val="clear" w:color="auto" w:fill="98C723"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B6211"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71941A"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71941A" w:themeFill="accent1" w:themeFillShade="BF"/>
      </w:tcPr>
    </w:tblStylePr>
    <w:tblStylePr w:type="band1Vert">
      <w:tblPr/>
      <w:tcPr>
        <w:tcBorders>
          <w:top w:val="nil"/>
          <w:left w:val="nil"/>
          <w:bottom w:val="nil"/>
          <w:right w:val="nil"/>
          <w:insideH w:val="nil"/>
          <w:insideV w:val="nil"/>
        </w:tcBorders>
        <w:shd w:val="clear" w:color="auto" w:fill="71941A" w:themeFill="accent1" w:themeFillShade="BF"/>
      </w:tcPr>
    </w:tblStylePr>
    <w:tblStylePr w:type="band1Horz">
      <w:tblPr/>
      <w:tcPr>
        <w:tcBorders>
          <w:top w:val="nil"/>
          <w:left w:val="nil"/>
          <w:bottom w:val="nil"/>
          <w:right w:val="nil"/>
          <w:insideH w:val="nil"/>
          <w:insideV w:val="nil"/>
        </w:tcBorders>
        <w:shd w:val="clear" w:color="auto" w:fill="71941A" w:themeFill="accent1" w:themeFillShade="BF"/>
      </w:tcPr>
    </w:tblStylePr>
  </w:style>
  <w:style w:type="table" w:styleId="DarkList-Accent2">
    <w:name w:val="Dark List Accent 2"/>
    <w:basedOn w:val="TableNormal"/>
    <w:uiPriority w:val="70"/>
    <w:rsid w:val="002E7F6D"/>
    <w:pPr>
      <w:spacing w:after="0" w:line="240" w:lineRule="auto"/>
    </w:pPr>
    <w:rPr>
      <w:color w:val="FFFFFF" w:themeColor="background1"/>
    </w:rPr>
    <w:tblPr>
      <w:tblStyleRowBandSize w:val="1"/>
      <w:tblStyleColBandSize w:val="1"/>
    </w:tblPr>
    <w:tcPr>
      <w:shd w:val="clear" w:color="auto" w:fill="59B0B9"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85A5F"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3C8890"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3C8890" w:themeFill="accent2" w:themeFillShade="BF"/>
      </w:tcPr>
    </w:tblStylePr>
    <w:tblStylePr w:type="band1Vert">
      <w:tblPr/>
      <w:tcPr>
        <w:tcBorders>
          <w:top w:val="nil"/>
          <w:left w:val="nil"/>
          <w:bottom w:val="nil"/>
          <w:right w:val="nil"/>
          <w:insideH w:val="nil"/>
          <w:insideV w:val="nil"/>
        </w:tcBorders>
        <w:shd w:val="clear" w:color="auto" w:fill="3C8890" w:themeFill="accent2" w:themeFillShade="BF"/>
      </w:tcPr>
    </w:tblStylePr>
    <w:tblStylePr w:type="band1Horz">
      <w:tblPr/>
      <w:tcPr>
        <w:tcBorders>
          <w:top w:val="nil"/>
          <w:left w:val="nil"/>
          <w:bottom w:val="nil"/>
          <w:right w:val="nil"/>
          <w:insideH w:val="nil"/>
          <w:insideV w:val="nil"/>
        </w:tcBorders>
        <w:shd w:val="clear" w:color="auto" w:fill="3C8890" w:themeFill="accent2" w:themeFillShade="BF"/>
      </w:tcPr>
    </w:tblStylePr>
  </w:style>
  <w:style w:type="table" w:styleId="DarkList-Accent3">
    <w:name w:val="Dark List Accent 3"/>
    <w:basedOn w:val="TableNormal"/>
    <w:uiPriority w:val="70"/>
    <w:rsid w:val="002E7F6D"/>
    <w:pPr>
      <w:spacing w:after="0" w:line="240" w:lineRule="auto"/>
    </w:pPr>
    <w:rPr>
      <w:color w:val="FFFFFF" w:themeColor="background1"/>
    </w:rPr>
    <w:tblPr>
      <w:tblStyleRowBandSize w:val="1"/>
      <w:tblStyleColBandSize w:val="1"/>
    </w:tblPr>
    <w:tcPr>
      <w:shd w:val="clear" w:color="auto" w:fill="DEAE0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E5600"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A68100"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A68100" w:themeFill="accent3" w:themeFillShade="BF"/>
      </w:tcPr>
    </w:tblStylePr>
    <w:tblStylePr w:type="band1Vert">
      <w:tblPr/>
      <w:tcPr>
        <w:tcBorders>
          <w:top w:val="nil"/>
          <w:left w:val="nil"/>
          <w:bottom w:val="nil"/>
          <w:right w:val="nil"/>
          <w:insideH w:val="nil"/>
          <w:insideV w:val="nil"/>
        </w:tcBorders>
        <w:shd w:val="clear" w:color="auto" w:fill="A68100" w:themeFill="accent3" w:themeFillShade="BF"/>
      </w:tcPr>
    </w:tblStylePr>
    <w:tblStylePr w:type="band1Horz">
      <w:tblPr/>
      <w:tcPr>
        <w:tcBorders>
          <w:top w:val="nil"/>
          <w:left w:val="nil"/>
          <w:bottom w:val="nil"/>
          <w:right w:val="nil"/>
          <w:insideH w:val="nil"/>
          <w:insideV w:val="nil"/>
        </w:tcBorders>
        <w:shd w:val="clear" w:color="auto" w:fill="A68100" w:themeFill="accent3" w:themeFillShade="BF"/>
      </w:tcPr>
    </w:tblStylePr>
  </w:style>
  <w:style w:type="table" w:styleId="DarkList-Accent4">
    <w:name w:val="Dark List Accent 4"/>
    <w:basedOn w:val="TableNormal"/>
    <w:uiPriority w:val="70"/>
    <w:rsid w:val="002E7F6D"/>
    <w:pPr>
      <w:spacing w:after="0" w:line="240" w:lineRule="auto"/>
    </w:pPr>
    <w:rPr>
      <w:color w:val="FFFFFF" w:themeColor="background1"/>
    </w:rPr>
    <w:tblPr>
      <w:tblStyleRowBandSize w:val="1"/>
      <w:tblStyleColBandSize w:val="1"/>
    </w:tblPr>
    <w:tcPr>
      <w:shd w:val="clear" w:color="auto" w:fill="B77BB4"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356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94509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945090" w:themeFill="accent4" w:themeFillShade="BF"/>
      </w:tcPr>
    </w:tblStylePr>
    <w:tblStylePr w:type="band1Vert">
      <w:tblPr/>
      <w:tcPr>
        <w:tcBorders>
          <w:top w:val="nil"/>
          <w:left w:val="nil"/>
          <w:bottom w:val="nil"/>
          <w:right w:val="nil"/>
          <w:insideH w:val="nil"/>
          <w:insideV w:val="nil"/>
        </w:tcBorders>
        <w:shd w:val="clear" w:color="auto" w:fill="945090" w:themeFill="accent4" w:themeFillShade="BF"/>
      </w:tcPr>
    </w:tblStylePr>
    <w:tblStylePr w:type="band1Horz">
      <w:tblPr/>
      <w:tcPr>
        <w:tcBorders>
          <w:top w:val="nil"/>
          <w:left w:val="nil"/>
          <w:bottom w:val="nil"/>
          <w:right w:val="nil"/>
          <w:insideH w:val="nil"/>
          <w:insideV w:val="nil"/>
        </w:tcBorders>
        <w:shd w:val="clear" w:color="auto" w:fill="945090" w:themeFill="accent4" w:themeFillShade="BF"/>
      </w:tcPr>
    </w:tblStylePr>
  </w:style>
  <w:style w:type="table" w:styleId="DarkList-Accent5">
    <w:name w:val="Dark List Accent 5"/>
    <w:basedOn w:val="TableNormal"/>
    <w:uiPriority w:val="70"/>
    <w:rsid w:val="002E7F6D"/>
    <w:pPr>
      <w:spacing w:after="0" w:line="240" w:lineRule="auto"/>
    </w:pPr>
    <w:rPr>
      <w:color w:val="FFFFFF" w:themeColor="background1"/>
    </w:rPr>
    <w:tblPr>
      <w:tblStyleRowBandSize w:val="1"/>
      <w:tblStyleColBandSize w:val="1"/>
    </w:tblPr>
    <w:tcPr>
      <w:shd w:val="clear" w:color="auto" w:fill="E0773C"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93813"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B7541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B7541D" w:themeFill="accent5" w:themeFillShade="BF"/>
      </w:tcPr>
    </w:tblStylePr>
    <w:tblStylePr w:type="band1Vert">
      <w:tblPr/>
      <w:tcPr>
        <w:tcBorders>
          <w:top w:val="nil"/>
          <w:left w:val="nil"/>
          <w:bottom w:val="nil"/>
          <w:right w:val="nil"/>
          <w:insideH w:val="nil"/>
          <w:insideV w:val="nil"/>
        </w:tcBorders>
        <w:shd w:val="clear" w:color="auto" w:fill="B7541D" w:themeFill="accent5" w:themeFillShade="BF"/>
      </w:tcPr>
    </w:tblStylePr>
    <w:tblStylePr w:type="band1Horz">
      <w:tblPr/>
      <w:tcPr>
        <w:tcBorders>
          <w:top w:val="nil"/>
          <w:left w:val="nil"/>
          <w:bottom w:val="nil"/>
          <w:right w:val="nil"/>
          <w:insideH w:val="nil"/>
          <w:insideV w:val="nil"/>
        </w:tcBorders>
        <w:shd w:val="clear" w:color="auto" w:fill="B7541D" w:themeFill="accent5" w:themeFillShade="BF"/>
      </w:tcPr>
    </w:tblStylePr>
  </w:style>
  <w:style w:type="table" w:styleId="DarkList-Accent6">
    <w:name w:val="Dark List Accent 6"/>
    <w:basedOn w:val="TableNormal"/>
    <w:uiPriority w:val="70"/>
    <w:rsid w:val="002E7F6D"/>
    <w:pPr>
      <w:spacing w:after="0" w:line="240" w:lineRule="auto"/>
    </w:pPr>
    <w:rPr>
      <w:color w:val="FFFFFF" w:themeColor="background1"/>
    </w:rPr>
    <w:tblPr>
      <w:tblStyleRowBandSize w:val="1"/>
      <w:tblStyleColBandSize w:val="1"/>
    </w:tblPr>
    <w:tcPr>
      <w:shd w:val="clear" w:color="auto" w:fill="A98D63"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5462F"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816A47"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816A47" w:themeFill="accent6" w:themeFillShade="BF"/>
      </w:tcPr>
    </w:tblStylePr>
    <w:tblStylePr w:type="band1Vert">
      <w:tblPr/>
      <w:tcPr>
        <w:tcBorders>
          <w:top w:val="nil"/>
          <w:left w:val="nil"/>
          <w:bottom w:val="nil"/>
          <w:right w:val="nil"/>
          <w:insideH w:val="nil"/>
          <w:insideV w:val="nil"/>
        </w:tcBorders>
        <w:shd w:val="clear" w:color="auto" w:fill="816A47" w:themeFill="accent6" w:themeFillShade="BF"/>
      </w:tcPr>
    </w:tblStylePr>
    <w:tblStylePr w:type="band1Horz">
      <w:tblPr/>
      <w:tcPr>
        <w:tcBorders>
          <w:top w:val="nil"/>
          <w:left w:val="nil"/>
          <w:bottom w:val="nil"/>
          <w:right w:val="nil"/>
          <w:insideH w:val="nil"/>
          <w:insideV w:val="nil"/>
        </w:tcBorders>
        <w:shd w:val="clear" w:color="auto" w:fill="816A47" w:themeFill="accent6" w:themeFillShade="BF"/>
      </w:tcPr>
    </w:tblStylePr>
  </w:style>
  <w:style w:type="paragraph" w:styleId="Date">
    <w:name w:val="Date"/>
    <w:basedOn w:val="Normal"/>
    <w:next w:val="Normal"/>
    <w:link w:val="DateChar"/>
    <w:uiPriority w:val="99"/>
    <w:semiHidden/>
    <w:unhideWhenUsed/>
    <w:rsid w:val="002E7F6D"/>
  </w:style>
  <w:style w:type="character" w:customStyle="1" w:styleId="DateChar">
    <w:name w:val="Date Char"/>
    <w:basedOn w:val="DefaultParagraphFont"/>
    <w:link w:val="Date"/>
    <w:uiPriority w:val="99"/>
    <w:semiHidden/>
    <w:rsid w:val="002E7F6D"/>
  </w:style>
  <w:style w:type="paragraph" w:styleId="DocumentMap">
    <w:name w:val="Document Map"/>
    <w:basedOn w:val="Normal"/>
    <w:link w:val="DocumentMapChar"/>
    <w:uiPriority w:val="99"/>
    <w:semiHidden/>
    <w:unhideWhenUsed/>
    <w:rsid w:val="002E7F6D"/>
    <w:pPr>
      <w:spacing w:after="0" w:line="240" w:lineRule="auto"/>
    </w:pPr>
    <w:rPr>
      <w:rFonts w:ascii="Tahoma" w:hAnsi="Tahoma" w:cs="Tahoma"/>
      <w:sz w:val="16"/>
    </w:rPr>
  </w:style>
  <w:style w:type="character" w:customStyle="1" w:styleId="DocumentMapChar">
    <w:name w:val="Document Map Char"/>
    <w:basedOn w:val="DefaultParagraphFont"/>
    <w:link w:val="DocumentMap"/>
    <w:uiPriority w:val="99"/>
    <w:semiHidden/>
    <w:rsid w:val="002E7F6D"/>
    <w:rPr>
      <w:rFonts w:ascii="Tahoma" w:hAnsi="Tahoma" w:cs="Tahoma"/>
      <w:sz w:val="16"/>
    </w:rPr>
  </w:style>
  <w:style w:type="paragraph" w:styleId="E-mailSignature">
    <w:name w:val="E-mail Signature"/>
    <w:basedOn w:val="Normal"/>
    <w:link w:val="E-mailSignatureChar"/>
    <w:uiPriority w:val="99"/>
    <w:semiHidden/>
    <w:unhideWhenUsed/>
    <w:rsid w:val="002E7F6D"/>
    <w:pPr>
      <w:spacing w:after="0" w:line="240" w:lineRule="auto"/>
    </w:pPr>
  </w:style>
  <w:style w:type="character" w:customStyle="1" w:styleId="E-mailSignatureChar">
    <w:name w:val="E-mail Signature Char"/>
    <w:basedOn w:val="DefaultParagraphFont"/>
    <w:link w:val="E-mailSignature"/>
    <w:uiPriority w:val="99"/>
    <w:semiHidden/>
    <w:rsid w:val="002E7F6D"/>
  </w:style>
  <w:style w:type="character" w:styleId="Emphasis">
    <w:name w:val="Emphasis"/>
    <w:basedOn w:val="DefaultParagraphFont"/>
    <w:uiPriority w:val="20"/>
    <w:semiHidden/>
    <w:unhideWhenUsed/>
    <w:rsid w:val="002E7F6D"/>
    <w:rPr>
      <w:i/>
      <w:iCs/>
    </w:rPr>
  </w:style>
  <w:style w:type="character" w:styleId="EndnoteReference">
    <w:name w:val="endnote reference"/>
    <w:basedOn w:val="DefaultParagraphFont"/>
    <w:uiPriority w:val="99"/>
    <w:semiHidden/>
    <w:unhideWhenUsed/>
    <w:rsid w:val="002E7F6D"/>
    <w:rPr>
      <w:vertAlign w:val="superscript"/>
    </w:rPr>
  </w:style>
  <w:style w:type="paragraph" w:styleId="EndnoteText">
    <w:name w:val="endnote text"/>
    <w:basedOn w:val="Normal"/>
    <w:link w:val="EndnoteTextChar"/>
    <w:uiPriority w:val="99"/>
    <w:semiHidden/>
    <w:unhideWhenUsed/>
    <w:rsid w:val="002E7F6D"/>
    <w:pPr>
      <w:spacing w:after="0" w:line="240" w:lineRule="auto"/>
    </w:pPr>
  </w:style>
  <w:style w:type="character" w:customStyle="1" w:styleId="EndnoteTextChar">
    <w:name w:val="Endnote Text Char"/>
    <w:basedOn w:val="DefaultParagraphFont"/>
    <w:link w:val="EndnoteText"/>
    <w:uiPriority w:val="99"/>
    <w:semiHidden/>
    <w:rsid w:val="002E7F6D"/>
    <w:rPr>
      <w:sz w:val="20"/>
    </w:rPr>
  </w:style>
  <w:style w:type="paragraph" w:styleId="EnvelopeAddress">
    <w:name w:val="envelope address"/>
    <w:basedOn w:val="Normal"/>
    <w:uiPriority w:val="99"/>
    <w:semiHidden/>
    <w:unhideWhenUsed/>
    <w:rsid w:val="002E7F6D"/>
    <w:pPr>
      <w:framePr w:w="7920" w:h="1980" w:hRule="exact" w:hSpace="180" w:wrap="auto" w:hAnchor="page" w:xAlign="center" w:yAlign="bottom"/>
      <w:spacing w:after="0" w:line="240" w:lineRule="auto"/>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2E7F6D"/>
    <w:pPr>
      <w:spacing w:after="0" w:line="240" w:lineRule="auto"/>
    </w:pPr>
    <w:rPr>
      <w:rFonts w:asciiTheme="majorHAnsi" w:eastAsiaTheme="majorEastAsia" w:hAnsiTheme="majorHAnsi" w:cstheme="majorBidi"/>
    </w:rPr>
  </w:style>
  <w:style w:type="character" w:styleId="FollowedHyperlink">
    <w:name w:val="FollowedHyperlink"/>
    <w:basedOn w:val="DefaultParagraphFont"/>
    <w:uiPriority w:val="99"/>
    <w:semiHidden/>
    <w:unhideWhenUsed/>
    <w:rsid w:val="002E7F6D"/>
    <w:rPr>
      <w:color w:val="598C8C" w:themeColor="followedHyperlink"/>
      <w:u w:val="single"/>
    </w:rPr>
  </w:style>
  <w:style w:type="character" w:styleId="FootnoteReference">
    <w:name w:val="footnote reference"/>
    <w:aliases w:val="Footnote symbol"/>
    <w:basedOn w:val="DefaultParagraphFont"/>
    <w:uiPriority w:val="99"/>
    <w:semiHidden/>
    <w:unhideWhenUsed/>
    <w:rsid w:val="002E7F6D"/>
    <w:rPr>
      <w:vertAlign w:val="superscript"/>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
    <w:uiPriority w:val="99"/>
    <w:semiHidden/>
    <w:unhideWhenUsed/>
    <w:rsid w:val="002E7F6D"/>
    <w:pPr>
      <w:spacing w:after="0" w:line="240" w:lineRule="auto"/>
    </w:p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semiHidden/>
    <w:rsid w:val="002E7F6D"/>
    <w:rPr>
      <w:sz w:val="20"/>
    </w:rPr>
  </w:style>
  <w:style w:type="character" w:customStyle="1" w:styleId="Heading3Char">
    <w:name w:val="Heading 3 Char"/>
    <w:basedOn w:val="DefaultParagraphFont"/>
    <w:link w:val="Heading3"/>
    <w:uiPriority w:val="1"/>
    <w:rsid w:val="00533994"/>
    <w:rPr>
      <w:rFonts w:asciiTheme="majorHAnsi" w:eastAsiaTheme="majorEastAsia" w:hAnsiTheme="majorHAnsi" w:cs="Arial"/>
      <w:bCs/>
      <w:i/>
      <w:kern w:val="20"/>
      <w:sz w:val="22"/>
      <w:szCs w:val="22"/>
      <w:lang w:val="bg-BG"/>
    </w:rPr>
  </w:style>
  <w:style w:type="character" w:customStyle="1" w:styleId="Heading4Char">
    <w:name w:val="Heading 4 Char"/>
    <w:basedOn w:val="DefaultParagraphFont"/>
    <w:link w:val="Heading4"/>
    <w:uiPriority w:val="18"/>
    <w:semiHidden/>
    <w:rsid w:val="002E7F6D"/>
    <w:rPr>
      <w:rFonts w:asciiTheme="majorHAnsi" w:eastAsiaTheme="majorEastAsia" w:hAnsiTheme="majorHAnsi" w:cstheme="majorBidi"/>
      <w:b/>
      <w:bCs/>
      <w:i/>
      <w:iCs/>
      <w:color w:val="98C723" w:themeColor="accent1"/>
      <w:kern w:val="20"/>
    </w:rPr>
  </w:style>
  <w:style w:type="character" w:customStyle="1" w:styleId="Heading5Char">
    <w:name w:val="Heading 5 Char"/>
    <w:basedOn w:val="DefaultParagraphFont"/>
    <w:link w:val="Heading5"/>
    <w:uiPriority w:val="18"/>
    <w:semiHidden/>
    <w:rsid w:val="002E7F6D"/>
    <w:rPr>
      <w:rFonts w:asciiTheme="majorHAnsi" w:eastAsiaTheme="majorEastAsia" w:hAnsiTheme="majorHAnsi" w:cstheme="majorBidi"/>
      <w:color w:val="4B6211" w:themeColor="accent1" w:themeShade="7F"/>
      <w:kern w:val="20"/>
    </w:rPr>
  </w:style>
  <w:style w:type="character" w:customStyle="1" w:styleId="Heading6Char">
    <w:name w:val="Heading 6 Char"/>
    <w:basedOn w:val="DefaultParagraphFont"/>
    <w:link w:val="Heading6"/>
    <w:uiPriority w:val="18"/>
    <w:semiHidden/>
    <w:rsid w:val="002E7F6D"/>
    <w:rPr>
      <w:rFonts w:asciiTheme="majorHAnsi" w:eastAsiaTheme="majorEastAsia" w:hAnsiTheme="majorHAnsi" w:cstheme="majorBidi"/>
      <w:i/>
      <w:iCs/>
      <w:color w:val="4B6211" w:themeColor="accent1" w:themeShade="7F"/>
      <w:kern w:val="20"/>
    </w:rPr>
  </w:style>
  <w:style w:type="character" w:customStyle="1" w:styleId="Heading7Char">
    <w:name w:val="Heading 7 Char"/>
    <w:basedOn w:val="DefaultParagraphFont"/>
    <w:link w:val="Heading7"/>
    <w:uiPriority w:val="18"/>
    <w:semiHidden/>
    <w:rsid w:val="002E7F6D"/>
    <w:rPr>
      <w:rFonts w:asciiTheme="majorHAnsi" w:eastAsiaTheme="majorEastAsia" w:hAnsiTheme="majorHAnsi" w:cstheme="majorBidi"/>
      <w:i/>
      <w:iCs/>
      <w:color w:val="404040" w:themeColor="text1" w:themeTint="BF"/>
      <w:kern w:val="20"/>
    </w:rPr>
  </w:style>
  <w:style w:type="character" w:customStyle="1" w:styleId="Heading8Char">
    <w:name w:val="Heading 8 Char"/>
    <w:basedOn w:val="DefaultParagraphFont"/>
    <w:link w:val="Heading8"/>
    <w:uiPriority w:val="18"/>
    <w:semiHidden/>
    <w:rsid w:val="002E7F6D"/>
    <w:rPr>
      <w:rFonts w:asciiTheme="majorHAnsi" w:eastAsiaTheme="majorEastAsia" w:hAnsiTheme="majorHAnsi" w:cstheme="majorBidi"/>
      <w:color w:val="404040" w:themeColor="text1" w:themeTint="BF"/>
      <w:kern w:val="20"/>
    </w:rPr>
  </w:style>
  <w:style w:type="character" w:customStyle="1" w:styleId="Heading9Char">
    <w:name w:val="Heading 9 Char"/>
    <w:basedOn w:val="DefaultParagraphFont"/>
    <w:link w:val="Heading9"/>
    <w:uiPriority w:val="18"/>
    <w:semiHidden/>
    <w:rsid w:val="002E7F6D"/>
    <w:rPr>
      <w:rFonts w:asciiTheme="majorHAnsi" w:eastAsiaTheme="majorEastAsia" w:hAnsiTheme="majorHAnsi" w:cstheme="majorBidi"/>
      <w:i/>
      <w:iCs/>
      <w:color w:val="404040" w:themeColor="text1" w:themeTint="BF"/>
      <w:kern w:val="20"/>
    </w:rPr>
  </w:style>
  <w:style w:type="character" w:styleId="HTMLAcronym">
    <w:name w:val="HTML Acronym"/>
    <w:basedOn w:val="DefaultParagraphFont"/>
    <w:uiPriority w:val="99"/>
    <w:semiHidden/>
    <w:unhideWhenUsed/>
    <w:rsid w:val="002E7F6D"/>
  </w:style>
  <w:style w:type="paragraph" w:styleId="HTMLAddress">
    <w:name w:val="HTML Address"/>
    <w:basedOn w:val="Normal"/>
    <w:link w:val="HTMLAddressChar"/>
    <w:uiPriority w:val="99"/>
    <w:semiHidden/>
    <w:unhideWhenUsed/>
    <w:rsid w:val="002E7F6D"/>
    <w:pPr>
      <w:spacing w:after="0" w:line="240" w:lineRule="auto"/>
    </w:pPr>
    <w:rPr>
      <w:i/>
      <w:iCs/>
    </w:rPr>
  </w:style>
  <w:style w:type="character" w:customStyle="1" w:styleId="HTMLAddressChar">
    <w:name w:val="HTML Address Char"/>
    <w:basedOn w:val="DefaultParagraphFont"/>
    <w:link w:val="HTMLAddress"/>
    <w:uiPriority w:val="99"/>
    <w:semiHidden/>
    <w:rsid w:val="002E7F6D"/>
    <w:rPr>
      <w:i/>
      <w:iCs/>
    </w:rPr>
  </w:style>
  <w:style w:type="character" w:styleId="HTMLCite">
    <w:name w:val="HTML Cite"/>
    <w:basedOn w:val="DefaultParagraphFont"/>
    <w:uiPriority w:val="99"/>
    <w:semiHidden/>
    <w:unhideWhenUsed/>
    <w:rsid w:val="002E7F6D"/>
    <w:rPr>
      <w:i/>
      <w:iCs/>
    </w:rPr>
  </w:style>
  <w:style w:type="character" w:styleId="HTMLCode">
    <w:name w:val="HTML Code"/>
    <w:basedOn w:val="DefaultParagraphFont"/>
    <w:uiPriority w:val="99"/>
    <w:semiHidden/>
    <w:unhideWhenUsed/>
    <w:rsid w:val="002E7F6D"/>
    <w:rPr>
      <w:rFonts w:ascii="Consolas" w:hAnsi="Consolas" w:cs="Consolas"/>
      <w:sz w:val="20"/>
    </w:rPr>
  </w:style>
  <w:style w:type="character" w:styleId="HTMLDefinition">
    <w:name w:val="HTML Definition"/>
    <w:basedOn w:val="DefaultParagraphFont"/>
    <w:uiPriority w:val="99"/>
    <w:semiHidden/>
    <w:unhideWhenUsed/>
    <w:rsid w:val="002E7F6D"/>
    <w:rPr>
      <w:i/>
      <w:iCs/>
    </w:rPr>
  </w:style>
  <w:style w:type="character" w:styleId="HTMLKeyboard">
    <w:name w:val="HTML Keyboard"/>
    <w:basedOn w:val="DefaultParagraphFont"/>
    <w:uiPriority w:val="99"/>
    <w:semiHidden/>
    <w:unhideWhenUsed/>
    <w:rsid w:val="002E7F6D"/>
    <w:rPr>
      <w:rFonts w:ascii="Consolas" w:hAnsi="Consolas" w:cs="Consolas"/>
      <w:sz w:val="20"/>
    </w:rPr>
  </w:style>
  <w:style w:type="paragraph" w:styleId="HTMLPreformatted">
    <w:name w:val="HTML Preformatted"/>
    <w:basedOn w:val="Normal"/>
    <w:link w:val="HTMLPreformattedChar"/>
    <w:uiPriority w:val="99"/>
    <w:semiHidden/>
    <w:unhideWhenUsed/>
    <w:rsid w:val="002E7F6D"/>
    <w:pPr>
      <w:spacing w:after="0" w:line="240" w:lineRule="auto"/>
    </w:pPr>
    <w:rPr>
      <w:rFonts w:ascii="Consolas" w:hAnsi="Consolas" w:cs="Consolas"/>
    </w:rPr>
  </w:style>
  <w:style w:type="character" w:customStyle="1" w:styleId="HTMLPreformattedChar">
    <w:name w:val="HTML Preformatted Char"/>
    <w:basedOn w:val="DefaultParagraphFont"/>
    <w:link w:val="HTMLPreformatted"/>
    <w:uiPriority w:val="99"/>
    <w:semiHidden/>
    <w:rsid w:val="002E7F6D"/>
    <w:rPr>
      <w:rFonts w:ascii="Consolas" w:hAnsi="Consolas" w:cs="Consolas"/>
      <w:sz w:val="20"/>
    </w:rPr>
  </w:style>
  <w:style w:type="character" w:styleId="HTMLSample">
    <w:name w:val="HTML Sample"/>
    <w:basedOn w:val="DefaultParagraphFont"/>
    <w:uiPriority w:val="99"/>
    <w:semiHidden/>
    <w:unhideWhenUsed/>
    <w:rsid w:val="002E7F6D"/>
    <w:rPr>
      <w:rFonts w:ascii="Consolas" w:hAnsi="Consolas" w:cs="Consolas"/>
      <w:sz w:val="24"/>
    </w:rPr>
  </w:style>
  <w:style w:type="character" w:styleId="HTMLTypewriter">
    <w:name w:val="HTML Typewriter"/>
    <w:basedOn w:val="DefaultParagraphFont"/>
    <w:uiPriority w:val="99"/>
    <w:semiHidden/>
    <w:unhideWhenUsed/>
    <w:rsid w:val="002E7F6D"/>
    <w:rPr>
      <w:rFonts w:ascii="Consolas" w:hAnsi="Consolas" w:cs="Consolas"/>
      <w:sz w:val="20"/>
    </w:rPr>
  </w:style>
  <w:style w:type="character" w:styleId="HTMLVariable">
    <w:name w:val="HTML Variable"/>
    <w:basedOn w:val="DefaultParagraphFont"/>
    <w:uiPriority w:val="99"/>
    <w:semiHidden/>
    <w:unhideWhenUsed/>
    <w:rsid w:val="002E7F6D"/>
    <w:rPr>
      <w:i/>
      <w:iCs/>
    </w:rPr>
  </w:style>
  <w:style w:type="character" w:styleId="Hyperlink">
    <w:name w:val="Hyperlink"/>
    <w:basedOn w:val="DefaultParagraphFont"/>
    <w:uiPriority w:val="99"/>
    <w:unhideWhenUsed/>
    <w:rsid w:val="002E7F6D"/>
    <w:rPr>
      <w:color w:val="26CBEC" w:themeColor="hyperlink"/>
      <w:u w:val="single"/>
    </w:rPr>
  </w:style>
  <w:style w:type="paragraph" w:styleId="Index1">
    <w:name w:val="index 1"/>
    <w:basedOn w:val="Normal"/>
    <w:next w:val="Normal"/>
    <w:autoRedefine/>
    <w:uiPriority w:val="99"/>
    <w:semiHidden/>
    <w:unhideWhenUsed/>
    <w:rsid w:val="002E7F6D"/>
    <w:pPr>
      <w:spacing w:after="0" w:line="240" w:lineRule="auto"/>
      <w:ind w:left="220" w:hanging="220"/>
    </w:pPr>
  </w:style>
  <w:style w:type="paragraph" w:styleId="Index2">
    <w:name w:val="index 2"/>
    <w:basedOn w:val="Normal"/>
    <w:next w:val="Normal"/>
    <w:autoRedefine/>
    <w:uiPriority w:val="99"/>
    <w:semiHidden/>
    <w:unhideWhenUsed/>
    <w:rsid w:val="002E7F6D"/>
    <w:pPr>
      <w:spacing w:after="0" w:line="240" w:lineRule="auto"/>
      <w:ind w:left="440" w:hanging="220"/>
    </w:pPr>
  </w:style>
  <w:style w:type="paragraph" w:styleId="Index3">
    <w:name w:val="index 3"/>
    <w:basedOn w:val="Normal"/>
    <w:next w:val="Normal"/>
    <w:autoRedefine/>
    <w:uiPriority w:val="99"/>
    <w:semiHidden/>
    <w:unhideWhenUsed/>
    <w:rsid w:val="002E7F6D"/>
    <w:pPr>
      <w:spacing w:after="0" w:line="240" w:lineRule="auto"/>
      <w:ind w:left="660" w:hanging="220"/>
    </w:pPr>
  </w:style>
  <w:style w:type="paragraph" w:styleId="Index4">
    <w:name w:val="index 4"/>
    <w:basedOn w:val="Normal"/>
    <w:next w:val="Normal"/>
    <w:autoRedefine/>
    <w:uiPriority w:val="99"/>
    <w:semiHidden/>
    <w:unhideWhenUsed/>
    <w:rsid w:val="002E7F6D"/>
    <w:pPr>
      <w:spacing w:after="0" w:line="240" w:lineRule="auto"/>
      <w:ind w:left="880" w:hanging="220"/>
    </w:pPr>
  </w:style>
  <w:style w:type="paragraph" w:styleId="Index5">
    <w:name w:val="index 5"/>
    <w:basedOn w:val="Normal"/>
    <w:next w:val="Normal"/>
    <w:autoRedefine/>
    <w:uiPriority w:val="99"/>
    <w:semiHidden/>
    <w:unhideWhenUsed/>
    <w:rsid w:val="002E7F6D"/>
    <w:pPr>
      <w:spacing w:after="0" w:line="240" w:lineRule="auto"/>
      <w:ind w:left="1100" w:hanging="220"/>
    </w:pPr>
  </w:style>
  <w:style w:type="paragraph" w:styleId="Index6">
    <w:name w:val="index 6"/>
    <w:basedOn w:val="Normal"/>
    <w:next w:val="Normal"/>
    <w:autoRedefine/>
    <w:uiPriority w:val="99"/>
    <w:semiHidden/>
    <w:unhideWhenUsed/>
    <w:rsid w:val="002E7F6D"/>
    <w:pPr>
      <w:spacing w:after="0" w:line="240" w:lineRule="auto"/>
      <w:ind w:left="1320" w:hanging="220"/>
    </w:pPr>
  </w:style>
  <w:style w:type="paragraph" w:styleId="Index7">
    <w:name w:val="index 7"/>
    <w:basedOn w:val="Normal"/>
    <w:next w:val="Normal"/>
    <w:autoRedefine/>
    <w:uiPriority w:val="99"/>
    <w:semiHidden/>
    <w:unhideWhenUsed/>
    <w:rsid w:val="002E7F6D"/>
    <w:pPr>
      <w:spacing w:after="0" w:line="240" w:lineRule="auto"/>
      <w:ind w:left="1540" w:hanging="220"/>
    </w:pPr>
  </w:style>
  <w:style w:type="paragraph" w:styleId="Index8">
    <w:name w:val="index 8"/>
    <w:basedOn w:val="Normal"/>
    <w:next w:val="Normal"/>
    <w:autoRedefine/>
    <w:uiPriority w:val="99"/>
    <w:semiHidden/>
    <w:unhideWhenUsed/>
    <w:rsid w:val="002E7F6D"/>
    <w:pPr>
      <w:spacing w:after="0" w:line="240" w:lineRule="auto"/>
      <w:ind w:left="1760" w:hanging="220"/>
    </w:pPr>
  </w:style>
  <w:style w:type="paragraph" w:styleId="Index9">
    <w:name w:val="index 9"/>
    <w:basedOn w:val="Normal"/>
    <w:next w:val="Normal"/>
    <w:autoRedefine/>
    <w:uiPriority w:val="99"/>
    <w:semiHidden/>
    <w:unhideWhenUsed/>
    <w:rsid w:val="002E7F6D"/>
    <w:pPr>
      <w:spacing w:after="0" w:line="240" w:lineRule="auto"/>
      <w:ind w:left="1980" w:hanging="220"/>
    </w:pPr>
  </w:style>
  <w:style w:type="paragraph" w:styleId="IndexHeading">
    <w:name w:val="index heading"/>
    <w:basedOn w:val="Normal"/>
    <w:next w:val="Index1"/>
    <w:uiPriority w:val="99"/>
    <w:semiHidden/>
    <w:unhideWhenUsed/>
    <w:rsid w:val="002E7F6D"/>
    <w:rPr>
      <w:rFonts w:asciiTheme="majorHAnsi" w:eastAsiaTheme="majorEastAsia" w:hAnsiTheme="majorHAnsi" w:cstheme="majorBidi"/>
      <w:b/>
      <w:bCs/>
    </w:rPr>
  </w:style>
  <w:style w:type="character" w:styleId="IntenseEmphasis">
    <w:name w:val="Intense Emphasis"/>
    <w:basedOn w:val="DefaultParagraphFont"/>
    <w:uiPriority w:val="21"/>
    <w:semiHidden/>
    <w:unhideWhenUsed/>
    <w:rsid w:val="002E7F6D"/>
    <w:rPr>
      <w:b/>
      <w:bCs/>
      <w:i/>
      <w:iCs/>
      <w:color w:val="98C723" w:themeColor="accent1"/>
    </w:rPr>
  </w:style>
  <w:style w:type="paragraph" w:styleId="IntenseQuote">
    <w:name w:val="Intense Quote"/>
    <w:basedOn w:val="Normal"/>
    <w:next w:val="Normal"/>
    <w:link w:val="IntenseQuoteChar"/>
    <w:uiPriority w:val="30"/>
    <w:semiHidden/>
    <w:unhideWhenUsed/>
    <w:rsid w:val="002E7F6D"/>
    <w:pPr>
      <w:pBdr>
        <w:bottom w:val="single" w:sz="4" w:space="4" w:color="98C723" w:themeColor="accent1"/>
      </w:pBdr>
      <w:spacing w:before="200" w:after="280"/>
      <w:ind w:left="936" w:right="936"/>
    </w:pPr>
    <w:rPr>
      <w:b/>
      <w:bCs/>
      <w:i/>
      <w:iCs/>
      <w:color w:val="98C723" w:themeColor="accent1"/>
    </w:rPr>
  </w:style>
  <w:style w:type="character" w:customStyle="1" w:styleId="IntenseQuoteChar">
    <w:name w:val="Intense Quote Char"/>
    <w:basedOn w:val="DefaultParagraphFont"/>
    <w:link w:val="IntenseQuote"/>
    <w:uiPriority w:val="30"/>
    <w:semiHidden/>
    <w:rsid w:val="002E7F6D"/>
    <w:rPr>
      <w:b/>
      <w:bCs/>
      <w:i/>
      <w:iCs/>
      <w:color w:val="98C723" w:themeColor="accent1"/>
    </w:rPr>
  </w:style>
  <w:style w:type="character" w:styleId="IntenseReference">
    <w:name w:val="Intense Reference"/>
    <w:basedOn w:val="DefaultParagraphFont"/>
    <w:uiPriority w:val="32"/>
    <w:semiHidden/>
    <w:unhideWhenUsed/>
    <w:rsid w:val="002E7F6D"/>
    <w:rPr>
      <w:b/>
      <w:bCs/>
      <w:smallCaps/>
      <w:color w:val="59B0B9" w:themeColor="accent2"/>
      <w:spacing w:val="5"/>
      <w:u w:val="single"/>
    </w:rPr>
  </w:style>
  <w:style w:type="table" w:customStyle="1" w:styleId="LightGrid1">
    <w:name w:val="Light Grid1"/>
    <w:basedOn w:val="TableNormal"/>
    <w:uiPriority w:val="62"/>
    <w:rsid w:val="002E7F6D"/>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LightGrid-Accent11">
    <w:name w:val="Light Grid - Accent 11"/>
    <w:basedOn w:val="TableNormal"/>
    <w:uiPriority w:val="62"/>
    <w:rsid w:val="002E7F6D"/>
    <w:pPr>
      <w:spacing w:after="0" w:line="240" w:lineRule="auto"/>
    </w:p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insideH w:val="single" w:sz="8" w:space="0" w:color="98C723" w:themeColor="accent1"/>
        <w:insideV w:val="single" w:sz="8" w:space="0" w:color="98C723"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8C723" w:themeColor="accent1"/>
          <w:left w:val="single" w:sz="8" w:space="0" w:color="98C723" w:themeColor="accent1"/>
          <w:bottom w:val="single" w:sz="18" w:space="0" w:color="98C723" w:themeColor="accent1"/>
          <w:right w:val="single" w:sz="8" w:space="0" w:color="98C723" w:themeColor="accent1"/>
          <w:insideH w:val="nil"/>
          <w:insideV w:val="single" w:sz="8" w:space="0" w:color="98C723"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8C723" w:themeColor="accent1"/>
          <w:left w:val="single" w:sz="8" w:space="0" w:color="98C723" w:themeColor="accent1"/>
          <w:bottom w:val="single" w:sz="8" w:space="0" w:color="98C723" w:themeColor="accent1"/>
          <w:right w:val="single" w:sz="8" w:space="0" w:color="98C723" w:themeColor="accent1"/>
          <w:insideH w:val="nil"/>
          <w:insideV w:val="single" w:sz="8" w:space="0" w:color="98C723"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tcPr>
    </w:tblStylePr>
    <w:tblStylePr w:type="band1Vert">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shd w:val="clear" w:color="auto" w:fill="E6F4C4" w:themeFill="accent1" w:themeFillTint="3F"/>
      </w:tcPr>
    </w:tblStylePr>
    <w:tblStylePr w:type="band1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insideV w:val="single" w:sz="8" w:space="0" w:color="98C723" w:themeColor="accent1"/>
        </w:tcBorders>
        <w:shd w:val="clear" w:color="auto" w:fill="E6F4C4" w:themeFill="accent1" w:themeFillTint="3F"/>
      </w:tcPr>
    </w:tblStylePr>
    <w:tblStylePr w:type="band2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insideV w:val="single" w:sz="8" w:space="0" w:color="98C723" w:themeColor="accent1"/>
        </w:tcBorders>
      </w:tcPr>
    </w:tblStylePr>
  </w:style>
  <w:style w:type="table" w:styleId="LightGrid-Accent2">
    <w:name w:val="Light Grid Accent 2"/>
    <w:basedOn w:val="TableNormal"/>
    <w:uiPriority w:val="62"/>
    <w:rsid w:val="002E7F6D"/>
    <w:pPr>
      <w:spacing w:after="0" w:line="240" w:lineRule="auto"/>
    </w:p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insideH w:val="single" w:sz="8" w:space="0" w:color="59B0B9" w:themeColor="accent2"/>
        <w:insideV w:val="single" w:sz="8" w:space="0" w:color="59B0B9"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9B0B9" w:themeColor="accent2"/>
          <w:left w:val="single" w:sz="8" w:space="0" w:color="59B0B9" w:themeColor="accent2"/>
          <w:bottom w:val="single" w:sz="18" w:space="0" w:color="59B0B9" w:themeColor="accent2"/>
          <w:right w:val="single" w:sz="8" w:space="0" w:color="59B0B9" w:themeColor="accent2"/>
          <w:insideH w:val="nil"/>
          <w:insideV w:val="single" w:sz="8" w:space="0" w:color="59B0B9"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9B0B9" w:themeColor="accent2"/>
          <w:left w:val="single" w:sz="8" w:space="0" w:color="59B0B9" w:themeColor="accent2"/>
          <w:bottom w:val="single" w:sz="8" w:space="0" w:color="59B0B9" w:themeColor="accent2"/>
          <w:right w:val="single" w:sz="8" w:space="0" w:color="59B0B9" w:themeColor="accent2"/>
          <w:insideH w:val="nil"/>
          <w:insideV w:val="single" w:sz="8" w:space="0" w:color="59B0B9"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tcPr>
    </w:tblStylePr>
    <w:tblStylePr w:type="band1Vert">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shd w:val="clear" w:color="auto" w:fill="D5EBED" w:themeFill="accent2" w:themeFillTint="3F"/>
      </w:tcPr>
    </w:tblStylePr>
    <w:tblStylePr w:type="band1Horz">
      <w:tblPr/>
      <w:tcPr>
        <w:tcBorders>
          <w:top w:val="single" w:sz="8" w:space="0" w:color="59B0B9" w:themeColor="accent2"/>
          <w:left w:val="single" w:sz="8" w:space="0" w:color="59B0B9" w:themeColor="accent2"/>
          <w:bottom w:val="single" w:sz="8" w:space="0" w:color="59B0B9" w:themeColor="accent2"/>
          <w:right w:val="single" w:sz="8" w:space="0" w:color="59B0B9" w:themeColor="accent2"/>
          <w:insideV w:val="single" w:sz="8" w:space="0" w:color="59B0B9" w:themeColor="accent2"/>
        </w:tcBorders>
        <w:shd w:val="clear" w:color="auto" w:fill="D5EBED" w:themeFill="accent2" w:themeFillTint="3F"/>
      </w:tcPr>
    </w:tblStylePr>
    <w:tblStylePr w:type="band2Horz">
      <w:tblPr/>
      <w:tcPr>
        <w:tcBorders>
          <w:top w:val="single" w:sz="8" w:space="0" w:color="59B0B9" w:themeColor="accent2"/>
          <w:left w:val="single" w:sz="8" w:space="0" w:color="59B0B9" w:themeColor="accent2"/>
          <w:bottom w:val="single" w:sz="8" w:space="0" w:color="59B0B9" w:themeColor="accent2"/>
          <w:right w:val="single" w:sz="8" w:space="0" w:color="59B0B9" w:themeColor="accent2"/>
          <w:insideV w:val="single" w:sz="8" w:space="0" w:color="59B0B9" w:themeColor="accent2"/>
        </w:tcBorders>
      </w:tcPr>
    </w:tblStylePr>
  </w:style>
  <w:style w:type="table" w:styleId="LightGrid-Accent3">
    <w:name w:val="Light Grid Accent 3"/>
    <w:basedOn w:val="TableNormal"/>
    <w:uiPriority w:val="62"/>
    <w:rsid w:val="002E7F6D"/>
    <w:pPr>
      <w:spacing w:after="0" w:line="240" w:lineRule="auto"/>
    </w:p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insideH w:val="single" w:sz="8" w:space="0" w:color="DEAE00" w:themeColor="accent3"/>
        <w:insideV w:val="single" w:sz="8" w:space="0" w:color="DEAE0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EAE00" w:themeColor="accent3"/>
          <w:left w:val="single" w:sz="8" w:space="0" w:color="DEAE00" w:themeColor="accent3"/>
          <w:bottom w:val="single" w:sz="18" w:space="0" w:color="DEAE00" w:themeColor="accent3"/>
          <w:right w:val="single" w:sz="8" w:space="0" w:color="DEAE00" w:themeColor="accent3"/>
          <w:insideH w:val="nil"/>
          <w:insideV w:val="single" w:sz="8" w:space="0" w:color="DEAE0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EAE00" w:themeColor="accent3"/>
          <w:left w:val="single" w:sz="8" w:space="0" w:color="DEAE00" w:themeColor="accent3"/>
          <w:bottom w:val="single" w:sz="8" w:space="0" w:color="DEAE00" w:themeColor="accent3"/>
          <w:right w:val="single" w:sz="8" w:space="0" w:color="DEAE00" w:themeColor="accent3"/>
          <w:insideH w:val="nil"/>
          <w:insideV w:val="single" w:sz="8" w:space="0" w:color="DEAE0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tcPr>
    </w:tblStylePr>
    <w:tblStylePr w:type="band1Vert">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shd w:val="clear" w:color="auto" w:fill="FFEFB7" w:themeFill="accent3" w:themeFillTint="3F"/>
      </w:tcPr>
    </w:tblStylePr>
    <w:tblStylePr w:type="band1Horz">
      <w:tblPr/>
      <w:tcPr>
        <w:tcBorders>
          <w:top w:val="single" w:sz="8" w:space="0" w:color="DEAE00" w:themeColor="accent3"/>
          <w:left w:val="single" w:sz="8" w:space="0" w:color="DEAE00" w:themeColor="accent3"/>
          <w:bottom w:val="single" w:sz="8" w:space="0" w:color="DEAE00" w:themeColor="accent3"/>
          <w:right w:val="single" w:sz="8" w:space="0" w:color="DEAE00" w:themeColor="accent3"/>
          <w:insideV w:val="single" w:sz="8" w:space="0" w:color="DEAE00" w:themeColor="accent3"/>
        </w:tcBorders>
        <w:shd w:val="clear" w:color="auto" w:fill="FFEFB7" w:themeFill="accent3" w:themeFillTint="3F"/>
      </w:tcPr>
    </w:tblStylePr>
    <w:tblStylePr w:type="band2Horz">
      <w:tblPr/>
      <w:tcPr>
        <w:tcBorders>
          <w:top w:val="single" w:sz="8" w:space="0" w:color="DEAE00" w:themeColor="accent3"/>
          <w:left w:val="single" w:sz="8" w:space="0" w:color="DEAE00" w:themeColor="accent3"/>
          <w:bottom w:val="single" w:sz="8" w:space="0" w:color="DEAE00" w:themeColor="accent3"/>
          <w:right w:val="single" w:sz="8" w:space="0" w:color="DEAE00" w:themeColor="accent3"/>
          <w:insideV w:val="single" w:sz="8" w:space="0" w:color="DEAE00" w:themeColor="accent3"/>
        </w:tcBorders>
      </w:tcPr>
    </w:tblStylePr>
  </w:style>
  <w:style w:type="table" w:styleId="LightGrid-Accent4">
    <w:name w:val="Light Grid Accent 4"/>
    <w:basedOn w:val="TableNormal"/>
    <w:uiPriority w:val="62"/>
    <w:rsid w:val="002E7F6D"/>
    <w:pPr>
      <w:spacing w:after="0" w:line="240" w:lineRule="auto"/>
    </w:p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insideH w:val="single" w:sz="8" w:space="0" w:color="B77BB4" w:themeColor="accent4"/>
        <w:insideV w:val="single" w:sz="8" w:space="0" w:color="B77BB4"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77BB4" w:themeColor="accent4"/>
          <w:left w:val="single" w:sz="8" w:space="0" w:color="B77BB4" w:themeColor="accent4"/>
          <w:bottom w:val="single" w:sz="18" w:space="0" w:color="B77BB4" w:themeColor="accent4"/>
          <w:right w:val="single" w:sz="8" w:space="0" w:color="B77BB4" w:themeColor="accent4"/>
          <w:insideH w:val="nil"/>
          <w:insideV w:val="single" w:sz="8" w:space="0" w:color="B77BB4"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77BB4" w:themeColor="accent4"/>
          <w:left w:val="single" w:sz="8" w:space="0" w:color="B77BB4" w:themeColor="accent4"/>
          <w:bottom w:val="single" w:sz="8" w:space="0" w:color="B77BB4" w:themeColor="accent4"/>
          <w:right w:val="single" w:sz="8" w:space="0" w:color="B77BB4" w:themeColor="accent4"/>
          <w:insideH w:val="nil"/>
          <w:insideV w:val="single" w:sz="8" w:space="0" w:color="B77BB4"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tcPr>
    </w:tblStylePr>
    <w:tblStylePr w:type="band1Vert">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shd w:val="clear" w:color="auto" w:fill="EDDEEC" w:themeFill="accent4" w:themeFillTint="3F"/>
      </w:tcPr>
    </w:tblStylePr>
    <w:tblStylePr w:type="band1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insideV w:val="single" w:sz="8" w:space="0" w:color="B77BB4" w:themeColor="accent4"/>
        </w:tcBorders>
        <w:shd w:val="clear" w:color="auto" w:fill="EDDEEC" w:themeFill="accent4" w:themeFillTint="3F"/>
      </w:tcPr>
    </w:tblStylePr>
    <w:tblStylePr w:type="band2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insideV w:val="single" w:sz="8" w:space="0" w:color="B77BB4" w:themeColor="accent4"/>
        </w:tcBorders>
      </w:tcPr>
    </w:tblStylePr>
  </w:style>
  <w:style w:type="table" w:styleId="LightGrid-Accent5">
    <w:name w:val="Light Grid Accent 5"/>
    <w:basedOn w:val="TableNormal"/>
    <w:uiPriority w:val="62"/>
    <w:rsid w:val="002E7F6D"/>
    <w:pPr>
      <w:spacing w:after="0" w:line="240" w:lineRule="auto"/>
    </w:p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insideH w:val="single" w:sz="8" w:space="0" w:color="E0773C" w:themeColor="accent5"/>
        <w:insideV w:val="single" w:sz="8" w:space="0" w:color="E0773C"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0773C" w:themeColor="accent5"/>
          <w:left w:val="single" w:sz="8" w:space="0" w:color="E0773C" w:themeColor="accent5"/>
          <w:bottom w:val="single" w:sz="18" w:space="0" w:color="E0773C" w:themeColor="accent5"/>
          <w:right w:val="single" w:sz="8" w:space="0" w:color="E0773C" w:themeColor="accent5"/>
          <w:insideH w:val="nil"/>
          <w:insideV w:val="single" w:sz="8" w:space="0" w:color="E0773C"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0773C" w:themeColor="accent5"/>
          <w:left w:val="single" w:sz="8" w:space="0" w:color="E0773C" w:themeColor="accent5"/>
          <w:bottom w:val="single" w:sz="8" w:space="0" w:color="E0773C" w:themeColor="accent5"/>
          <w:right w:val="single" w:sz="8" w:space="0" w:color="E0773C" w:themeColor="accent5"/>
          <w:insideH w:val="nil"/>
          <w:insideV w:val="single" w:sz="8" w:space="0" w:color="E0773C"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tcPr>
    </w:tblStylePr>
    <w:tblStylePr w:type="band1Vert">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shd w:val="clear" w:color="auto" w:fill="F7DDCE" w:themeFill="accent5" w:themeFillTint="3F"/>
      </w:tcPr>
    </w:tblStylePr>
    <w:tblStylePr w:type="band1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insideV w:val="single" w:sz="8" w:space="0" w:color="E0773C" w:themeColor="accent5"/>
        </w:tcBorders>
        <w:shd w:val="clear" w:color="auto" w:fill="F7DDCE" w:themeFill="accent5" w:themeFillTint="3F"/>
      </w:tcPr>
    </w:tblStylePr>
    <w:tblStylePr w:type="band2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insideV w:val="single" w:sz="8" w:space="0" w:color="E0773C" w:themeColor="accent5"/>
        </w:tcBorders>
      </w:tcPr>
    </w:tblStylePr>
  </w:style>
  <w:style w:type="table" w:styleId="LightGrid-Accent6">
    <w:name w:val="Light Grid Accent 6"/>
    <w:basedOn w:val="TableNormal"/>
    <w:uiPriority w:val="62"/>
    <w:rsid w:val="002E7F6D"/>
    <w:pPr>
      <w:spacing w:after="0" w:line="240" w:lineRule="auto"/>
    </w:p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insideH w:val="single" w:sz="8" w:space="0" w:color="A98D63" w:themeColor="accent6"/>
        <w:insideV w:val="single" w:sz="8" w:space="0" w:color="A98D63"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98D63" w:themeColor="accent6"/>
          <w:left w:val="single" w:sz="8" w:space="0" w:color="A98D63" w:themeColor="accent6"/>
          <w:bottom w:val="single" w:sz="18" w:space="0" w:color="A98D63" w:themeColor="accent6"/>
          <w:right w:val="single" w:sz="8" w:space="0" w:color="A98D63" w:themeColor="accent6"/>
          <w:insideH w:val="nil"/>
          <w:insideV w:val="single" w:sz="8" w:space="0" w:color="A98D63"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98D63" w:themeColor="accent6"/>
          <w:left w:val="single" w:sz="8" w:space="0" w:color="A98D63" w:themeColor="accent6"/>
          <w:bottom w:val="single" w:sz="8" w:space="0" w:color="A98D63" w:themeColor="accent6"/>
          <w:right w:val="single" w:sz="8" w:space="0" w:color="A98D63" w:themeColor="accent6"/>
          <w:insideH w:val="nil"/>
          <w:insideV w:val="single" w:sz="8" w:space="0" w:color="A98D63"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tcPr>
    </w:tblStylePr>
    <w:tblStylePr w:type="band1Vert">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shd w:val="clear" w:color="auto" w:fill="E9E2D8" w:themeFill="accent6" w:themeFillTint="3F"/>
      </w:tcPr>
    </w:tblStylePr>
    <w:tblStylePr w:type="band1Horz">
      <w:tblPr/>
      <w:tcPr>
        <w:tcBorders>
          <w:top w:val="single" w:sz="8" w:space="0" w:color="A98D63" w:themeColor="accent6"/>
          <w:left w:val="single" w:sz="8" w:space="0" w:color="A98D63" w:themeColor="accent6"/>
          <w:bottom w:val="single" w:sz="8" w:space="0" w:color="A98D63" w:themeColor="accent6"/>
          <w:right w:val="single" w:sz="8" w:space="0" w:color="A98D63" w:themeColor="accent6"/>
          <w:insideV w:val="single" w:sz="8" w:space="0" w:color="A98D63" w:themeColor="accent6"/>
        </w:tcBorders>
        <w:shd w:val="clear" w:color="auto" w:fill="E9E2D8" w:themeFill="accent6" w:themeFillTint="3F"/>
      </w:tcPr>
    </w:tblStylePr>
    <w:tblStylePr w:type="band2Horz">
      <w:tblPr/>
      <w:tcPr>
        <w:tcBorders>
          <w:top w:val="single" w:sz="8" w:space="0" w:color="A98D63" w:themeColor="accent6"/>
          <w:left w:val="single" w:sz="8" w:space="0" w:color="A98D63" w:themeColor="accent6"/>
          <w:bottom w:val="single" w:sz="8" w:space="0" w:color="A98D63" w:themeColor="accent6"/>
          <w:right w:val="single" w:sz="8" w:space="0" w:color="A98D63" w:themeColor="accent6"/>
          <w:insideV w:val="single" w:sz="8" w:space="0" w:color="A98D63" w:themeColor="accent6"/>
        </w:tcBorders>
      </w:tcPr>
    </w:tblStylePr>
  </w:style>
  <w:style w:type="table" w:customStyle="1" w:styleId="LightList1">
    <w:name w:val="Light List1"/>
    <w:basedOn w:val="TableNormal"/>
    <w:uiPriority w:val="61"/>
    <w:rsid w:val="002E7F6D"/>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List-Accent11">
    <w:name w:val="Light List - Accent 11"/>
    <w:basedOn w:val="TableNormal"/>
    <w:uiPriority w:val="61"/>
    <w:rsid w:val="002E7F6D"/>
    <w:pPr>
      <w:spacing w:after="0" w:line="240" w:lineRule="auto"/>
    </w:p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tblBorders>
    </w:tblPr>
    <w:tblStylePr w:type="firstRow">
      <w:pPr>
        <w:spacing w:before="0" w:after="0" w:line="240" w:lineRule="auto"/>
      </w:pPr>
      <w:rPr>
        <w:b/>
        <w:bCs/>
        <w:color w:val="FFFFFF" w:themeColor="background1"/>
      </w:rPr>
      <w:tblPr/>
      <w:tcPr>
        <w:shd w:val="clear" w:color="auto" w:fill="98C723" w:themeFill="accent1"/>
      </w:tcPr>
    </w:tblStylePr>
    <w:tblStylePr w:type="lastRow">
      <w:pPr>
        <w:spacing w:before="0" w:after="0" w:line="240" w:lineRule="auto"/>
      </w:pPr>
      <w:rPr>
        <w:b/>
        <w:bCs/>
      </w:rPr>
      <w:tblPr/>
      <w:tcPr>
        <w:tcBorders>
          <w:top w:val="double" w:sz="6" w:space="0" w:color="98C723" w:themeColor="accent1"/>
          <w:left w:val="single" w:sz="8" w:space="0" w:color="98C723" w:themeColor="accent1"/>
          <w:bottom w:val="single" w:sz="8" w:space="0" w:color="98C723" w:themeColor="accent1"/>
          <w:right w:val="single" w:sz="8" w:space="0" w:color="98C723" w:themeColor="accent1"/>
        </w:tcBorders>
      </w:tcPr>
    </w:tblStylePr>
    <w:tblStylePr w:type="firstCol">
      <w:rPr>
        <w:b/>
        <w:bCs/>
      </w:rPr>
    </w:tblStylePr>
    <w:tblStylePr w:type="lastCol">
      <w:rPr>
        <w:b/>
        <w:bCs/>
      </w:rPr>
    </w:tblStylePr>
    <w:tblStylePr w:type="band1Vert">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tcPr>
    </w:tblStylePr>
    <w:tblStylePr w:type="band1Horz">
      <w:tblPr/>
      <w:tcPr>
        <w:tcBorders>
          <w:top w:val="single" w:sz="8" w:space="0" w:color="98C723" w:themeColor="accent1"/>
          <w:left w:val="single" w:sz="8" w:space="0" w:color="98C723" w:themeColor="accent1"/>
          <w:bottom w:val="single" w:sz="8" w:space="0" w:color="98C723" w:themeColor="accent1"/>
          <w:right w:val="single" w:sz="8" w:space="0" w:color="98C723" w:themeColor="accent1"/>
        </w:tcBorders>
      </w:tcPr>
    </w:tblStylePr>
  </w:style>
  <w:style w:type="table" w:styleId="LightList-Accent2">
    <w:name w:val="Light List Accent 2"/>
    <w:basedOn w:val="TableNormal"/>
    <w:uiPriority w:val="61"/>
    <w:rsid w:val="002E7F6D"/>
    <w:pPr>
      <w:spacing w:after="0" w:line="240" w:lineRule="auto"/>
    </w:p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tblBorders>
    </w:tblPr>
    <w:tblStylePr w:type="firstRow">
      <w:pPr>
        <w:spacing w:before="0" w:after="0" w:line="240" w:lineRule="auto"/>
      </w:pPr>
      <w:rPr>
        <w:b/>
        <w:bCs/>
        <w:color w:val="FFFFFF" w:themeColor="background1"/>
      </w:rPr>
      <w:tblPr/>
      <w:tcPr>
        <w:shd w:val="clear" w:color="auto" w:fill="59B0B9" w:themeFill="accent2"/>
      </w:tcPr>
    </w:tblStylePr>
    <w:tblStylePr w:type="lastRow">
      <w:pPr>
        <w:spacing w:before="0" w:after="0" w:line="240" w:lineRule="auto"/>
      </w:pPr>
      <w:rPr>
        <w:b/>
        <w:bCs/>
      </w:rPr>
      <w:tblPr/>
      <w:tcPr>
        <w:tcBorders>
          <w:top w:val="double" w:sz="6" w:space="0" w:color="59B0B9" w:themeColor="accent2"/>
          <w:left w:val="single" w:sz="8" w:space="0" w:color="59B0B9" w:themeColor="accent2"/>
          <w:bottom w:val="single" w:sz="8" w:space="0" w:color="59B0B9" w:themeColor="accent2"/>
          <w:right w:val="single" w:sz="8" w:space="0" w:color="59B0B9" w:themeColor="accent2"/>
        </w:tcBorders>
      </w:tcPr>
    </w:tblStylePr>
    <w:tblStylePr w:type="firstCol">
      <w:rPr>
        <w:b/>
        <w:bCs/>
      </w:rPr>
    </w:tblStylePr>
    <w:tblStylePr w:type="lastCol">
      <w:rPr>
        <w:b/>
        <w:bCs/>
      </w:rPr>
    </w:tblStylePr>
    <w:tblStylePr w:type="band1Vert">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tcPr>
    </w:tblStylePr>
    <w:tblStylePr w:type="band1Horz">
      <w:tblPr/>
      <w:tcPr>
        <w:tcBorders>
          <w:top w:val="single" w:sz="8" w:space="0" w:color="59B0B9" w:themeColor="accent2"/>
          <w:left w:val="single" w:sz="8" w:space="0" w:color="59B0B9" w:themeColor="accent2"/>
          <w:bottom w:val="single" w:sz="8" w:space="0" w:color="59B0B9" w:themeColor="accent2"/>
          <w:right w:val="single" w:sz="8" w:space="0" w:color="59B0B9" w:themeColor="accent2"/>
        </w:tcBorders>
      </w:tcPr>
    </w:tblStylePr>
  </w:style>
  <w:style w:type="table" w:styleId="LightList-Accent3">
    <w:name w:val="Light List Accent 3"/>
    <w:basedOn w:val="TableNormal"/>
    <w:uiPriority w:val="61"/>
    <w:rsid w:val="002E7F6D"/>
    <w:pPr>
      <w:spacing w:after="0" w:line="240" w:lineRule="auto"/>
    </w:p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tblBorders>
    </w:tblPr>
    <w:tblStylePr w:type="firstRow">
      <w:pPr>
        <w:spacing w:before="0" w:after="0" w:line="240" w:lineRule="auto"/>
      </w:pPr>
      <w:rPr>
        <w:b/>
        <w:bCs/>
        <w:color w:val="FFFFFF" w:themeColor="background1"/>
      </w:rPr>
      <w:tblPr/>
      <w:tcPr>
        <w:shd w:val="clear" w:color="auto" w:fill="DEAE00" w:themeFill="accent3"/>
      </w:tcPr>
    </w:tblStylePr>
    <w:tblStylePr w:type="lastRow">
      <w:pPr>
        <w:spacing w:before="0" w:after="0" w:line="240" w:lineRule="auto"/>
      </w:pPr>
      <w:rPr>
        <w:b/>
        <w:bCs/>
      </w:rPr>
      <w:tblPr/>
      <w:tcPr>
        <w:tcBorders>
          <w:top w:val="double" w:sz="6" w:space="0" w:color="DEAE00" w:themeColor="accent3"/>
          <w:left w:val="single" w:sz="8" w:space="0" w:color="DEAE00" w:themeColor="accent3"/>
          <w:bottom w:val="single" w:sz="8" w:space="0" w:color="DEAE00" w:themeColor="accent3"/>
          <w:right w:val="single" w:sz="8" w:space="0" w:color="DEAE00" w:themeColor="accent3"/>
        </w:tcBorders>
      </w:tcPr>
    </w:tblStylePr>
    <w:tblStylePr w:type="firstCol">
      <w:rPr>
        <w:b/>
        <w:bCs/>
      </w:rPr>
    </w:tblStylePr>
    <w:tblStylePr w:type="lastCol">
      <w:rPr>
        <w:b/>
        <w:bCs/>
      </w:rPr>
    </w:tblStylePr>
    <w:tblStylePr w:type="band1Vert">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tcPr>
    </w:tblStylePr>
    <w:tblStylePr w:type="band1Horz">
      <w:tblPr/>
      <w:tcPr>
        <w:tcBorders>
          <w:top w:val="single" w:sz="8" w:space="0" w:color="DEAE00" w:themeColor="accent3"/>
          <w:left w:val="single" w:sz="8" w:space="0" w:color="DEAE00" w:themeColor="accent3"/>
          <w:bottom w:val="single" w:sz="8" w:space="0" w:color="DEAE00" w:themeColor="accent3"/>
          <w:right w:val="single" w:sz="8" w:space="0" w:color="DEAE00" w:themeColor="accent3"/>
        </w:tcBorders>
      </w:tcPr>
    </w:tblStylePr>
  </w:style>
  <w:style w:type="table" w:styleId="LightList-Accent4">
    <w:name w:val="Light List Accent 4"/>
    <w:basedOn w:val="TableNormal"/>
    <w:uiPriority w:val="61"/>
    <w:rsid w:val="002E7F6D"/>
    <w:pPr>
      <w:spacing w:after="0" w:line="240" w:lineRule="auto"/>
    </w:p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tblBorders>
    </w:tblPr>
    <w:tblStylePr w:type="firstRow">
      <w:pPr>
        <w:spacing w:before="0" w:after="0" w:line="240" w:lineRule="auto"/>
      </w:pPr>
      <w:rPr>
        <w:b/>
        <w:bCs/>
        <w:color w:val="FFFFFF" w:themeColor="background1"/>
      </w:rPr>
      <w:tblPr/>
      <w:tcPr>
        <w:shd w:val="clear" w:color="auto" w:fill="B77BB4" w:themeFill="accent4"/>
      </w:tcPr>
    </w:tblStylePr>
    <w:tblStylePr w:type="lastRow">
      <w:pPr>
        <w:spacing w:before="0" w:after="0" w:line="240" w:lineRule="auto"/>
      </w:pPr>
      <w:rPr>
        <w:b/>
        <w:bCs/>
      </w:rPr>
      <w:tblPr/>
      <w:tcPr>
        <w:tcBorders>
          <w:top w:val="double" w:sz="6" w:space="0" w:color="B77BB4" w:themeColor="accent4"/>
          <w:left w:val="single" w:sz="8" w:space="0" w:color="B77BB4" w:themeColor="accent4"/>
          <w:bottom w:val="single" w:sz="8" w:space="0" w:color="B77BB4" w:themeColor="accent4"/>
          <w:right w:val="single" w:sz="8" w:space="0" w:color="B77BB4" w:themeColor="accent4"/>
        </w:tcBorders>
      </w:tcPr>
    </w:tblStylePr>
    <w:tblStylePr w:type="firstCol">
      <w:rPr>
        <w:b/>
        <w:bCs/>
      </w:rPr>
    </w:tblStylePr>
    <w:tblStylePr w:type="lastCol">
      <w:rPr>
        <w:b/>
        <w:bCs/>
      </w:rPr>
    </w:tblStylePr>
    <w:tblStylePr w:type="band1Vert">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tcPr>
    </w:tblStylePr>
    <w:tblStylePr w:type="band1Horz">
      <w:tblPr/>
      <w:tcPr>
        <w:tcBorders>
          <w:top w:val="single" w:sz="8" w:space="0" w:color="B77BB4" w:themeColor="accent4"/>
          <w:left w:val="single" w:sz="8" w:space="0" w:color="B77BB4" w:themeColor="accent4"/>
          <w:bottom w:val="single" w:sz="8" w:space="0" w:color="B77BB4" w:themeColor="accent4"/>
          <w:right w:val="single" w:sz="8" w:space="0" w:color="B77BB4" w:themeColor="accent4"/>
        </w:tcBorders>
      </w:tcPr>
    </w:tblStylePr>
  </w:style>
  <w:style w:type="table" w:styleId="LightList-Accent5">
    <w:name w:val="Light List Accent 5"/>
    <w:basedOn w:val="TableNormal"/>
    <w:uiPriority w:val="61"/>
    <w:rsid w:val="002E7F6D"/>
    <w:pPr>
      <w:spacing w:after="0" w:line="240" w:lineRule="auto"/>
    </w:p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tblBorders>
    </w:tblPr>
    <w:tblStylePr w:type="firstRow">
      <w:pPr>
        <w:spacing w:before="0" w:after="0" w:line="240" w:lineRule="auto"/>
      </w:pPr>
      <w:rPr>
        <w:b/>
        <w:bCs/>
        <w:color w:val="FFFFFF" w:themeColor="background1"/>
      </w:rPr>
      <w:tblPr/>
      <w:tcPr>
        <w:shd w:val="clear" w:color="auto" w:fill="E0773C" w:themeFill="accent5"/>
      </w:tcPr>
    </w:tblStylePr>
    <w:tblStylePr w:type="lastRow">
      <w:pPr>
        <w:spacing w:before="0" w:after="0" w:line="240" w:lineRule="auto"/>
      </w:pPr>
      <w:rPr>
        <w:b/>
        <w:bCs/>
      </w:rPr>
      <w:tblPr/>
      <w:tcPr>
        <w:tcBorders>
          <w:top w:val="double" w:sz="6" w:space="0" w:color="E0773C" w:themeColor="accent5"/>
          <w:left w:val="single" w:sz="8" w:space="0" w:color="E0773C" w:themeColor="accent5"/>
          <w:bottom w:val="single" w:sz="8" w:space="0" w:color="E0773C" w:themeColor="accent5"/>
          <w:right w:val="single" w:sz="8" w:space="0" w:color="E0773C" w:themeColor="accent5"/>
        </w:tcBorders>
      </w:tcPr>
    </w:tblStylePr>
    <w:tblStylePr w:type="firstCol">
      <w:rPr>
        <w:b/>
        <w:bCs/>
      </w:rPr>
    </w:tblStylePr>
    <w:tblStylePr w:type="lastCol">
      <w:rPr>
        <w:b/>
        <w:bCs/>
      </w:rPr>
    </w:tblStylePr>
    <w:tblStylePr w:type="band1Vert">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tcPr>
    </w:tblStylePr>
    <w:tblStylePr w:type="band1Horz">
      <w:tblPr/>
      <w:tcPr>
        <w:tcBorders>
          <w:top w:val="single" w:sz="8" w:space="0" w:color="E0773C" w:themeColor="accent5"/>
          <w:left w:val="single" w:sz="8" w:space="0" w:color="E0773C" w:themeColor="accent5"/>
          <w:bottom w:val="single" w:sz="8" w:space="0" w:color="E0773C" w:themeColor="accent5"/>
          <w:right w:val="single" w:sz="8" w:space="0" w:color="E0773C" w:themeColor="accent5"/>
        </w:tcBorders>
      </w:tcPr>
    </w:tblStylePr>
  </w:style>
  <w:style w:type="table" w:styleId="LightList-Accent6">
    <w:name w:val="Light List Accent 6"/>
    <w:basedOn w:val="TableNormal"/>
    <w:uiPriority w:val="61"/>
    <w:rsid w:val="002E7F6D"/>
    <w:pPr>
      <w:spacing w:after="0" w:line="240" w:lineRule="auto"/>
    </w:p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tblBorders>
    </w:tblPr>
    <w:tblStylePr w:type="firstRow">
      <w:pPr>
        <w:spacing w:before="0" w:after="0" w:line="240" w:lineRule="auto"/>
      </w:pPr>
      <w:rPr>
        <w:b/>
        <w:bCs/>
        <w:color w:val="FFFFFF" w:themeColor="background1"/>
      </w:rPr>
      <w:tblPr/>
      <w:tcPr>
        <w:shd w:val="clear" w:color="auto" w:fill="A98D63" w:themeFill="accent6"/>
      </w:tcPr>
    </w:tblStylePr>
    <w:tblStylePr w:type="lastRow">
      <w:pPr>
        <w:spacing w:before="0" w:after="0" w:line="240" w:lineRule="auto"/>
      </w:pPr>
      <w:rPr>
        <w:b/>
        <w:bCs/>
      </w:rPr>
      <w:tblPr/>
      <w:tcPr>
        <w:tcBorders>
          <w:top w:val="double" w:sz="6" w:space="0" w:color="A98D63" w:themeColor="accent6"/>
          <w:left w:val="single" w:sz="8" w:space="0" w:color="A98D63" w:themeColor="accent6"/>
          <w:bottom w:val="single" w:sz="8" w:space="0" w:color="A98D63" w:themeColor="accent6"/>
          <w:right w:val="single" w:sz="8" w:space="0" w:color="A98D63" w:themeColor="accent6"/>
        </w:tcBorders>
      </w:tcPr>
    </w:tblStylePr>
    <w:tblStylePr w:type="firstCol">
      <w:rPr>
        <w:b/>
        <w:bCs/>
      </w:rPr>
    </w:tblStylePr>
    <w:tblStylePr w:type="lastCol">
      <w:rPr>
        <w:b/>
        <w:bCs/>
      </w:rPr>
    </w:tblStylePr>
    <w:tblStylePr w:type="band1Vert">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tcPr>
    </w:tblStylePr>
    <w:tblStylePr w:type="band1Horz">
      <w:tblPr/>
      <w:tcPr>
        <w:tcBorders>
          <w:top w:val="single" w:sz="8" w:space="0" w:color="A98D63" w:themeColor="accent6"/>
          <w:left w:val="single" w:sz="8" w:space="0" w:color="A98D63" w:themeColor="accent6"/>
          <w:bottom w:val="single" w:sz="8" w:space="0" w:color="A98D63" w:themeColor="accent6"/>
          <w:right w:val="single" w:sz="8" w:space="0" w:color="A98D63" w:themeColor="accent6"/>
        </w:tcBorders>
      </w:tcPr>
    </w:tblStylePr>
  </w:style>
  <w:style w:type="table" w:customStyle="1" w:styleId="LightShading1">
    <w:name w:val="Light Shading1"/>
    <w:basedOn w:val="TableNormal"/>
    <w:uiPriority w:val="60"/>
    <w:rsid w:val="002E7F6D"/>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1">
    <w:name w:val="Light Shading - Accent 11"/>
    <w:basedOn w:val="TableNormal"/>
    <w:uiPriority w:val="60"/>
    <w:rsid w:val="002E7F6D"/>
    <w:pPr>
      <w:spacing w:after="0" w:line="240" w:lineRule="auto"/>
    </w:pPr>
    <w:rPr>
      <w:color w:val="71941A" w:themeColor="accent1" w:themeShade="BF"/>
    </w:rPr>
    <w:tblPr>
      <w:tblStyleRowBandSize w:val="1"/>
      <w:tblStyleColBandSize w:val="1"/>
      <w:tblBorders>
        <w:top w:val="single" w:sz="8" w:space="0" w:color="98C723" w:themeColor="accent1"/>
        <w:bottom w:val="single" w:sz="8" w:space="0" w:color="98C723" w:themeColor="accent1"/>
      </w:tblBorders>
    </w:tblPr>
    <w:tblStylePr w:type="firstRow">
      <w:pPr>
        <w:spacing w:before="0" w:after="0" w:line="240" w:lineRule="auto"/>
      </w:pPr>
      <w:rPr>
        <w:b/>
        <w:bCs/>
      </w:rPr>
      <w:tblPr/>
      <w:tcPr>
        <w:tcBorders>
          <w:top w:val="single" w:sz="8" w:space="0" w:color="98C723" w:themeColor="accent1"/>
          <w:left w:val="nil"/>
          <w:bottom w:val="single" w:sz="8" w:space="0" w:color="98C723" w:themeColor="accent1"/>
          <w:right w:val="nil"/>
          <w:insideH w:val="nil"/>
          <w:insideV w:val="nil"/>
        </w:tcBorders>
      </w:tcPr>
    </w:tblStylePr>
    <w:tblStylePr w:type="lastRow">
      <w:pPr>
        <w:spacing w:before="0" w:after="0" w:line="240" w:lineRule="auto"/>
      </w:pPr>
      <w:rPr>
        <w:b/>
        <w:bCs/>
      </w:rPr>
      <w:tblPr/>
      <w:tcPr>
        <w:tcBorders>
          <w:top w:val="single" w:sz="8" w:space="0" w:color="98C723" w:themeColor="accent1"/>
          <w:left w:val="nil"/>
          <w:bottom w:val="single" w:sz="8" w:space="0" w:color="98C723"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F4C4" w:themeFill="accent1" w:themeFillTint="3F"/>
      </w:tcPr>
    </w:tblStylePr>
    <w:tblStylePr w:type="band1Horz">
      <w:tblPr/>
      <w:tcPr>
        <w:tcBorders>
          <w:left w:val="nil"/>
          <w:right w:val="nil"/>
          <w:insideH w:val="nil"/>
          <w:insideV w:val="nil"/>
        </w:tcBorders>
        <w:shd w:val="clear" w:color="auto" w:fill="E6F4C4" w:themeFill="accent1" w:themeFillTint="3F"/>
      </w:tcPr>
    </w:tblStylePr>
  </w:style>
  <w:style w:type="table" w:styleId="LightShading-Accent2">
    <w:name w:val="Light Shading Accent 2"/>
    <w:basedOn w:val="TableNormal"/>
    <w:uiPriority w:val="60"/>
    <w:rsid w:val="002E7F6D"/>
    <w:pPr>
      <w:spacing w:after="0" w:line="240" w:lineRule="auto"/>
    </w:pPr>
    <w:rPr>
      <w:color w:val="3C8890" w:themeColor="accent2" w:themeShade="BF"/>
    </w:rPr>
    <w:tblPr>
      <w:tblStyleRowBandSize w:val="1"/>
      <w:tblStyleColBandSize w:val="1"/>
      <w:tblBorders>
        <w:top w:val="single" w:sz="8" w:space="0" w:color="59B0B9" w:themeColor="accent2"/>
        <w:bottom w:val="single" w:sz="8" w:space="0" w:color="59B0B9" w:themeColor="accent2"/>
      </w:tblBorders>
    </w:tblPr>
    <w:tblStylePr w:type="firstRow">
      <w:pPr>
        <w:spacing w:before="0" w:after="0" w:line="240" w:lineRule="auto"/>
      </w:pPr>
      <w:rPr>
        <w:b/>
        <w:bCs/>
      </w:rPr>
      <w:tblPr/>
      <w:tcPr>
        <w:tcBorders>
          <w:top w:val="single" w:sz="8" w:space="0" w:color="59B0B9" w:themeColor="accent2"/>
          <w:left w:val="nil"/>
          <w:bottom w:val="single" w:sz="8" w:space="0" w:color="59B0B9" w:themeColor="accent2"/>
          <w:right w:val="nil"/>
          <w:insideH w:val="nil"/>
          <w:insideV w:val="nil"/>
        </w:tcBorders>
      </w:tcPr>
    </w:tblStylePr>
    <w:tblStylePr w:type="lastRow">
      <w:pPr>
        <w:spacing w:before="0" w:after="0" w:line="240" w:lineRule="auto"/>
      </w:pPr>
      <w:rPr>
        <w:b/>
        <w:bCs/>
      </w:rPr>
      <w:tblPr/>
      <w:tcPr>
        <w:tcBorders>
          <w:top w:val="single" w:sz="8" w:space="0" w:color="59B0B9" w:themeColor="accent2"/>
          <w:left w:val="nil"/>
          <w:bottom w:val="single" w:sz="8" w:space="0" w:color="59B0B9"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5EBED" w:themeFill="accent2" w:themeFillTint="3F"/>
      </w:tcPr>
    </w:tblStylePr>
    <w:tblStylePr w:type="band1Horz">
      <w:tblPr/>
      <w:tcPr>
        <w:tcBorders>
          <w:left w:val="nil"/>
          <w:right w:val="nil"/>
          <w:insideH w:val="nil"/>
          <w:insideV w:val="nil"/>
        </w:tcBorders>
        <w:shd w:val="clear" w:color="auto" w:fill="D5EBED" w:themeFill="accent2" w:themeFillTint="3F"/>
      </w:tcPr>
    </w:tblStylePr>
  </w:style>
  <w:style w:type="table" w:styleId="LightShading-Accent3">
    <w:name w:val="Light Shading Accent 3"/>
    <w:basedOn w:val="TableNormal"/>
    <w:uiPriority w:val="60"/>
    <w:rsid w:val="002E7F6D"/>
    <w:pPr>
      <w:spacing w:after="0" w:line="240" w:lineRule="auto"/>
    </w:pPr>
    <w:rPr>
      <w:color w:val="A68100" w:themeColor="accent3" w:themeShade="BF"/>
    </w:rPr>
    <w:tblPr>
      <w:tblStyleRowBandSize w:val="1"/>
      <w:tblStyleColBandSize w:val="1"/>
      <w:tblBorders>
        <w:top w:val="single" w:sz="8" w:space="0" w:color="DEAE00" w:themeColor="accent3"/>
        <w:bottom w:val="single" w:sz="8" w:space="0" w:color="DEAE00" w:themeColor="accent3"/>
      </w:tblBorders>
    </w:tblPr>
    <w:tblStylePr w:type="firstRow">
      <w:pPr>
        <w:spacing w:before="0" w:after="0" w:line="240" w:lineRule="auto"/>
      </w:pPr>
      <w:rPr>
        <w:b/>
        <w:bCs/>
      </w:rPr>
      <w:tblPr/>
      <w:tcPr>
        <w:tcBorders>
          <w:top w:val="single" w:sz="8" w:space="0" w:color="DEAE00" w:themeColor="accent3"/>
          <w:left w:val="nil"/>
          <w:bottom w:val="single" w:sz="8" w:space="0" w:color="DEAE00" w:themeColor="accent3"/>
          <w:right w:val="nil"/>
          <w:insideH w:val="nil"/>
          <w:insideV w:val="nil"/>
        </w:tcBorders>
      </w:tcPr>
    </w:tblStylePr>
    <w:tblStylePr w:type="lastRow">
      <w:pPr>
        <w:spacing w:before="0" w:after="0" w:line="240" w:lineRule="auto"/>
      </w:pPr>
      <w:rPr>
        <w:b/>
        <w:bCs/>
      </w:rPr>
      <w:tblPr/>
      <w:tcPr>
        <w:tcBorders>
          <w:top w:val="single" w:sz="8" w:space="0" w:color="DEAE00" w:themeColor="accent3"/>
          <w:left w:val="nil"/>
          <w:bottom w:val="single" w:sz="8" w:space="0" w:color="DEAE0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B7" w:themeFill="accent3" w:themeFillTint="3F"/>
      </w:tcPr>
    </w:tblStylePr>
    <w:tblStylePr w:type="band1Horz">
      <w:tblPr/>
      <w:tcPr>
        <w:tcBorders>
          <w:left w:val="nil"/>
          <w:right w:val="nil"/>
          <w:insideH w:val="nil"/>
          <w:insideV w:val="nil"/>
        </w:tcBorders>
        <w:shd w:val="clear" w:color="auto" w:fill="FFEFB7" w:themeFill="accent3" w:themeFillTint="3F"/>
      </w:tcPr>
    </w:tblStylePr>
  </w:style>
  <w:style w:type="table" w:styleId="LightShading-Accent4">
    <w:name w:val="Light Shading Accent 4"/>
    <w:basedOn w:val="TableNormal"/>
    <w:uiPriority w:val="60"/>
    <w:rsid w:val="002E7F6D"/>
    <w:pPr>
      <w:spacing w:after="0" w:line="240" w:lineRule="auto"/>
    </w:pPr>
    <w:rPr>
      <w:color w:val="945090" w:themeColor="accent4" w:themeShade="BF"/>
    </w:rPr>
    <w:tblPr>
      <w:tblStyleRowBandSize w:val="1"/>
      <w:tblStyleColBandSize w:val="1"/>
      <w:tblBorders>
        <w:top w:val="single" w:sz="8" w:space="0" w:color="B77BB4" w:themeColor="accent4"/>
        <w:bottom w:val="single" w:sz="8" w:space="0" w:color="B77BB4" w:themeColor="accent4"/>
      </w:tblBorders>
    </w:tblPr>
    <w:tblStylePr w:type="firstRow">
      <w:pPr>
        <w:spacing w:before="0" w:after="0" w:line="240" w:lineRule="auto"/>
      </w:pPr>
      <w:rPr>
        <w:b/>
        <w:bCs/>
      </w:rPr>
      <w:tblPr/>
      <w:tcPr>
        <w:tcBorders>
          <w:top w:val="single" w:sz="8" w:space="0" w:color="B77BB4" w:themeColor="accent4"/>
          <w:left w:val="nil"/>
          <w:bottom w:val="single" w:sz="8" w:space="0" w:color="B77BB4" w:themeColor="accent4"/>
          <w:right w:val="nil"/>
          <w:insideH w:val="nil"/>
          <w:insideV w:val="nil"/>
        </w:tcBorders>
      </w:tcPr>
    </w:tblStylePr>
    <w:tblStylePr w:type="lastRow">
      <w:pPr>
        <w:spacing w:before="0" w:after="0" w:line="240" w:lineRule="auto"/>
      </w:pPr>
      <w:rPr>
        <w:b/>
        <w:bCs/>
      </w:rPr>
      <w:tblPr/>
      <w:tcPr>
        <w:tcBorders>
          <w:top w:val="single" w:sz="8" w:space="0" w:color="B77BB4" w:themeColor="accent4"/>
          <w:left w:val="nil"/>
          <w:bottom w:val="single" w:sz="8" w:space="0" w:color="B77BB4"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DEEC" w:themeFill="accent4" w:themeFillTint="3F"/>
      </w:tcPr>
    </w:tblStylePr>
    <w:tblStylePr w:type="band1Horz">
      <w:tblPr/>
      <w:tcPr>
        <w:tcBorders>
          <w:left w:val="nil"/>
          <w:right w:val="nil"/>
          <w:insideH w:val="nil"/>
          <w:insideV w:val="nil"/>
        </w:tcBorders>
        <w:shd w:val="clear" w:color="auto" w:fill="EDDEEC" w:themeFill="accent4" w:themeFillTint="3F"/>
      </w:tcPr>
    </w:tblStylePr>
  </w:style>
  <w:style w:type="table" w:styleId="LightShading-Accent5">
    <w:name w:val="Light Shading Accent 5"/>
    <w:basedOn w:val="TableNormal"/>
    <w:uiPriority w:val="60"/>
    <w:rsid w:val="002E7F6D"/>
    <w:pPr>
      <w:spacing w:after="0" w:line="240" w:lineRule="auto"/>
    </w:pPr>
    <w:rPr>
      <w:color w:val="B7541D" w:themeColor="accent5" w:themeShade="BF"/>
    </w:rPr>
    <w:tblPr>
      <w:tblStyleRowBandSize w:val="1"/>
      <w:tblStyleColBandSize w:val="1"/>
      <w:tblBorders>
        <w:top w:val="single" w:sz="8" w:space="0" w:color="E0773C" w:themeColor="accent5"/>
        <w:bottom w:val="single" w:sz="8" w:space="0" w:color="E0773C" w:themeColor="accent5"/>
      </w:tblBorders>
    </w:tblPr>
    <w:tblStylePr w:type="firstRow">
      <w:pPr>
        <w:spacing w:before="0" w:after="0" w:line="240" w:lineRule="auto"/>
      </w:pPr>
      <w:rPr>
        <w:b/>
        <w:bCs/>
      </w:rPr>
      <w:tblPr/>
      <w:tcPr>
        <w:tcBorders>
          <w:top w:val="single" w:sz="8" w:space="0" w:color="E0773C" w:themeColor="accent5"/>
          <w:left w:val="nil"/>
          <w:bottom w:val="single" w:sz="8" w:space="0" w:color="E0773C" w:themeColor="accent5"/>
          <w:right w:val="nil"/>
          <w:insideH w:val="nil"/>
          <w:insideV w:val="nil"/>
        </w:tcBorders>
      </w:tcPr>
    </w:tblStylePr>
    <w:tblStylePr w:type="lastRow">
      <w:pPr>
        <w:spacing w:before="0" w:after="0" w:line="240" w:lineRule="auto"/>
      </w:pPr>
      <w:rPr>
        <w:b/>
        <w:bCs/>
      </w:rPr>
      <w:tblPr/>
      <w:tcPr>
        <w:tcBorders>
          <w:top w:val="single" w:sz="8" w:space="0" w:color="E0773C" w:themeColor="accent5"/>
          <w:left w:val="nil"/>
          <w:bottom w:val="single" w:sz="8" w:space="0" w:color="E0773C"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7DDCE" w:themeFill="accent5" w:themeFillTint="3F"/>
      </w:tcPr>
    </w:tblStylePr>
    <w:tblStylePr w:type="band1Horz">
      <w:tblPr/>
      <w:tcPr>
        <w:tcBorders>
          <w:left w:val="nil"/>
          <w:right w:val="nil"/>
          <w:insideH w:val="nil"/>
          <w:insideV w:val="nil"/>
        </w:tcBorders>
        <w:shd w:val="clear" w:color="auto" w:fill="F7DDCE" w:themeFill="accent5" w:themeFillTint="3F"/>
      </w:tcPr>
    </w:tblStylePr>
  </w:style>
  <w:style w:type="table" w:styleId="LightShading-Accent6">
    <w:name w:val="Light Shading Accent 6"/>
    <w:basedOn w:val="TableNormal"/>
    <w:uiPriority w:val="60"/>
    <w:rsid w:val="002E7F6D"/>
    <w:pPr>
      <w:spacing w:after="0" w:line="240" w:lineRule="auto"/>
    </w:pPr>
    <w:rPr>
      <w:color w:val="816A47" w:themeColor="accent6" w:themeShade="BF"/>
    </w:rPr>
    <w:tblPr>
      <w:tblStyleRowBandSize w:val="1"/>
      <w:tblStyleColBandSize w:val="1"/>
      <w:tblBorders>
        <w:top w:val="single" w:sz="8" w:space="0" w:color="A98D63" w:themeColor="accent6"/>
        <w:bottom w:val="single" w:sz="8" w:space="0" w:color="A98D63" w:themeColor="accent6"/>
      </w:tblBorders>
    </w:tblPr>
    <w:tblStylePr w:type="firstRow">
      <w:pPr>
        <w:spacing w:before="0" w:after="0" w:line="240" w:lineRule="auto"/>
      </w:pPr>
      <w:rPr>
        <w:b/>
        <w:bCs/>
      </w:rPr>
      <w:tblPr/>
      <w:tcPr>
        <w:tcBorders>
          <w:top w:val="single" w:sz="8" w:space="0" w:color="A98D63" w:themeColor="accent6"/>
          <w:left w:val="nil"/>
          <w:bottom w:val="single" w:sz="8" w:space="0" w:color="A98D63" w:themeColor="accent6"/>
          <w:right w:val="nil"/>
          <w:insideH w:val="nil"/>
          <w:insideV w:val="nil"/>
        </w:tcBorders>
      </w:tcPr>
    </w:tblStylePr>
    <w:tblStylePr w:type="lastRow">
      <w:pPr>
        <w:spacing w:before="0" w:after="0" w:line="240" w:lineRule="auto"/>
      </w:pPr>
      <w:rPr>
        <w:b/>
        <w:bCs/>
      </w:rPr>
      <w:tblPr/>
      <w:tcPr>
        <w:tcBorders>
          <w:top w:val="single" w:sz="8" w:space="0" w:color="A98D63" w:themeColor="accent6"/>
          <w:left w:val="nil"/>
          <w:bottom w:val="single" w:sz="8" w:space="0" w:color="A98D63"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E2D8" w:themeFill="accent6" w:themeFillTint="3F"/>
      </w:tcPr>
    </w:tblStylePr>
    <w:tblStylePr w:type="band1Horz">
      <w:tblPr/>
      <w:tcPr>
        <w:tcBorders>
          <w:left w:val="nil"/>
          <w:right w:val="nil"/>
          <w:insideH w:val="nil"/>
          <w:insideV w:val="nil"/>
        </w:tcBorders>
        <w:shd w:val="clear" w:color="auto" w:fill="E9E2D8" w:themeFill="accent6" w:themeFillTint="3F"/>
      </w:tcPr>
    </w:tblStylePr>
  </w:style>
  <w:style w:type="character" w:styleId="LineNumber">
    <w:name w:val="line number"/>
    <w:basedOn w:val="DefaultParagraphFont"/>
    <w:uiPriority w:val="99"/>
    <w:semiHidden/>
    <w:unhideWhenUsed/>
    <w:rsid w:val="002E7F6D"/>
  </w:style>
  <w:style w:type="paragraph" w:styleId="List">
    <w:name w:val="List"/>
    <w:basedOn w:val="Normal"/>
    <w:uiPriority w:val="99"/>
    <w:semiHidden/>
    <w:unhideWhenUsed/>
    <w:rsid w:val="002E7F6D"/>
    <w:pPr>
      <w:ind w:left="360" w:hanging="360"/>
      <w:contextualSpacing/>
    </w:pPr>
  </w:style>
  <w:style w:type="paragraph" w:styleId="List2">
    <w:name w:val="List 2"/>
    <w:basedOn w:val="Normal"/>
    <w:uiPriority w:val="99"/>
    <w:semiHidden/>
    <w:unhideWhenUsed/>
    <w:rsid w:val="002E7F6D"/>
    <w:pPr>
      <w:ind w:left="720" w:hanging="360"/>
      <w:contextualSpacing/>
    </w:pPr>
  </w:style>
  <w:style w:type="paragraph" w:styleId="List3">
    <w:name w:val="List 3"/>
    <w:basedOn w:val="Normal"/>
    <w:uiPriority w:val="99"/>
    <w:semiHidden/>
    <w:unhideWhenUsed/>
    <w:rsid w:val="002E7F6D"/>
    <w:pPr>
      <w:ind w:left="1080" w:hanging="360"/>
      <w:contextualSpacing/>
    </w:pPr>
  </w:style>
  <w:style w:type="paragraph" w:styleId="List4">
    <w:name w:val="List 4"/>
    <w:basedOn w:val="Normal"/>
    <w:uiPriority w:val="99"/>
    <w:semiHidden/>
    <w:unhideWhenUsed/>
    <w:rsid w:val="002E7F6D"/>
    <w:pPr>
      <w:ind w:left="1440" w:hanging="360"/>
      <w:contextualSpacing/>
    </w:pPr>
  </w:style>
  <w:style w:type="paragraph" w:styleId="List5">
    <w:name w:val="List 5"/>
    <w:basedOn w:val="Normal"/>
    <w:uiPriority w:val="99"/>
    <w:semiHidden/>
    <w:unhideWhenUsed/>
    <w:rsid w:val="002E7F6D"/>
    <w:pPr>
      <w:ind w:left="1800" w:hanging="360"/>
      <w:contextualSpacing/>
    </w:pPr>
  </w:style>
  <w:style w:type="paragraph" w:styleId="ListBullet">
    <w:name w:val="List Bullet"/>
    <w:basedOn w:val="Normal"/>
    <w:uiPriority w:val="1"/>
    <w:unhideWhenUsed/>
    <w:qFormat/>
    <w:rsid w:val="002E7F6D"/>
    <w:pPr>
      <w:numPr>
        <w:numId w:val="1"/>
      </w:numPr>
      <w:spacing w:after="40"/>
    </w:pPr>
  </w:style>
  <w:style w:type="paragraph" w:styleId="ListBullet2">
    <w:name w:val="List Bullet 2"/>
    <w:basedOn w:val="Normal"/>
    <w:uiPriority w:val="99"/>
    <w:semiHidden/>
    <w:unhideWhenUsed/>
    <w:rsid w:val="002E7F6D"/>
    <w:pPr>
      <w:numPr>
        <w:numId w:val="2"/>
      </w:numPr>
      <w:contextualSpacing/>
    </w:pPr>
  </w:style>
  <w:style w:type="paragraph" w:styleId="ListBullet3">
    <w:name w:val="List Bullet 3"/>
    <w:basedOn w:val="Normal"/>
    <w:uiPriority w:val="99"/>
    <w:semiHidden/>
    <w:unhideWhenUsed/>
    <w:rsid w:val="002E7F6D"/>
    <w:pPr>
      <w:numPr>
        <w:numId w:val="3"/>
      </w:numPr>
      <w:contextualSpacing/>
    </w:pPr>
  </w:style>
  <w:style w:type="paragraph" w:styleId="ListBullet4">
    <w:name w:val="List Bullet 4"/>
    <w:basedOn w:val="Normal"/>
    <w:uiPriority w:val="99"/>
    <w:semiHidden/>
    <w:unhideWhenUsed/>
    <w:rsid w:val="002E7F6D"/>
    <w:pPr>
      <w:numPr>
        <w:numId w:val="4"/>
      </w:numPr>
      <w:contextualSpacing/>
    </w:pPr>
  </w:style>
  <w:style w:type="paragraph" w:styleId="ListBullet5">
    <w:name w:val="List Bullet 5"/>
    <w:basedOn w:val="Normal"/>
    <w:uiPriority w:val="99"/>
    <w:semiHidden/>
    <w:unhideWhenUsed/>
    <w:rsid w:val="002E7F6D"/>
    <w:pPr>
      <w:numPr>
        <w:numId w:val="5"/>
      </w:numPr>
      <w:contextualSpacing/>
    </w:pPr>
  </w:style>
  <w:style w:type="paragraph" w:styleId="ListContinue">
    <w:name w:val="List Continue"/>
    <w:basedOn w:val="Normal"/>
    <w:uiPriority w:val="99"/>
    <w:semiHidden/>
    <w:unhideWhenUsed/>
    <w:rsid w:val="002E7F6D"/>
    <w:pPr>
      <w:ind w:left="360"/>
      <w:contextualSpacing/>
    </w:pPr>
  </w:style>
  <w:style w:type="paragraph" w:styleId="ListContinue2">
    <w:name w:val="List Continue 2"/>
    <w:basedOn w:val="Normal"/>
    <w:uiPriority w:val="99"/>
    <w:semiHidden/>
    <w:unhideWhenUsed/>
    <w:rsid w:val="002E7F6D"/>
    <w:pPr>
      <w:ind w:left="720"/>
      <w:contextualSpacing/>
    </w:pPr>
  </w:style>
  <w:style w:type="paragraph" w:styleId="ListContinue3">
    <w:name w:val="List Continue 3"/>
    <w:basedOn w:val="Normal"/>
    <w:uiPriority w:val="99"/>
    <w:semiHidden/>
    <w:unhideWhenUsed/>
    <w:rsid w:val="002E7F6D"/>
    <w:pPr>
      <w:ind w:left="1080"/>
      <w:contextualSpacing/>
    </w:pPr>
  </w:style>
  <w:style w:type="paragraph" w:styleId="ListContinue4">
    <w:name w:val="List Continue 4"/>
    <w:basedOn w:val="Normal"/>
    <w:uiPriority w:val="99"/>
    <w:semiHidden/>
    <w:unhideWhenUsed/>
    <w:rsid w:val="002E7F6D"/>
    <w:pPr>
      <w:ind w:left="1440"/>
      <w:contextualSpacing/>
    </w:pPr>
  </w:style>
  <w:style w:type="paragraph" w:styleId="ListContinue5">
    <w:name w:val="List Continue 5"/>
    <w:basedOn w:val="Normal"/>
    <w:uiPriority w:val="99"/>
    <w:semiHidden/>
    <w:unhideWhenUsed/>
    <w:rsid w:val="002E7F6D"/>
    <w:pPr>
      <w:ind w:left="1800"/>
      <w:contextualSpacing/>
    </w:pPr>
  </w:style>
  <w:style w:type="paragraph" w:styleId="ListNumber">
    <w:name w:val="List Number"/>
    <w:basedOn w:val="Normal"/>
    <w:uiPriority w:val="1"/>
    <w:unhideWhenUsed/>
    <w:qFormat/>
    <w:rsid w:val="002E7F6D"/>
    <w:pPr>
      <w:numPr>
        <w:numId w:val="7"/>
      </w:numPr>
      <w:contextualSpacing/>
    </w:pPr>
  </w:style>
  <w:style w:type="paragraph" w:styleId="ListNumber2">
    <w:name w:val="List Number 2"/>
    <w:basedOn w:val="Normal"/>
    <w:uiPriority w:val="1"/>
    <w:unhideWhenUsed/>
    <w:qFormat/>
    <w:rsid w:val="002E7F6D"/>
    <w:pPr>
      <w:numPr>
        <w:ilvl w:val="1"/>
        <w:numId w:val="7"/>
      </w:numPr>
      <w:contextualSpacing/>
    </w:pPr>
  </w:style>
  <w:style w:type="paragraph" w:styleId="ListNumber3">
    <w:name w:val="List Number 3"/>
    <w:basedOn w:val="Normal"/>
    <w:uiPriority w:val="18"/>
    <w:unhideWhenUsed/>
    <w:qFormat/>
    <w:rsid w:val="002E7F6D"/>
    <w:pPr>
      <w:numPr>
        <w:ilvl w:val="2"/>
        <w:numId w:val="7"/>
      </w:numPr>
      <w:contextualSpacing/>
    </w:pPr>
  </w:style>
  <w:style w:type="paragraph" w:styleId="ListNumber4">
    <w:name w:val="List Number 4"/>
    <w:basedOn w:val="Normal"/>
    <w:uiPriority w:val="18"/>
    <w:semiHidden/>
    <w:unhideWhenUsed/>
    <w:rsid w:val="002E7F6D"/>
    <w:pPr>
      <w:numPr>
        <w:ilvl w:val="3"/>
        <w:numId w:val="7"/>
      </w:numPr>
      <w:contextualSpacing/>
    </w:pPr>
  </w:style>
  <w:style w:type="paragraph" w:styleId="ListNumber5">
    <w:name w:val="List Number 5"/>
    <w:basedOn w:val="Normal"/>
    <w:uiPriority w:val="18"/>
    <w:semiHidden/>
    <w:unhideWhenUsed/>
    <w:rsid w:val="002E7F6D"/>
    <w:pPr>
      <w:numPr>
        <w:ilvl w:val="4"/>
        <w:numId w:val="7"/>
      </w:numPr>
      <w:contextualSpacing/>
    </w:pPr>
  </w:style>
  <w:style w:type="paragraph" w:styleId="ListParagraph">
    <w:name w:val="List Paragraph"/>
    <w:basedOn w:val="Normal"/>
    <w:uiPriority w:val="34"/>
    <w:unhideWhenUsed/>
    <w:qFormat/>
    <w:rsid w:val="002E7F6D"/>
    <w:pPr>
      <w:ind w:left="720"/>
      <w:contextualSpacing/>
    </w:pPr>
  </w:style>
  <w:style w:type="paragraph" w:styleId="MacroText">
    <w:name w:val="macro"/>
    <w:link w:val="MacroTextChar"/>
    <w:uiPriority w:val="99"/>
    <w:semiHidden/>
    <w:unhideWhenUsed/>
    <w:rsid w:val="002E7F6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croTextChar">
    <w:name w:val="Macro Text Char"/>
    <w:basedOn w:val="DefaultParagraphFont"/>
    <w:link w:val="MacroText"/>
    <w:uiPriority w:val="99"/>
    <w:semiHidden/>
    <w:rsid w:val="002E7F6D"/>
    <w:rPr>
      <w:rFonts w:ascii="Consolas" w:hAnsi="Consolas" w:cs="Consolas"/>
      <w:sz w:val="20"/>
    </w:rPr>
  </w:style>
  <w:style w:type="table" w:customStyle="1" w:styleId="MediumGrid11">
    <w:name w:val="Medium Grid 11"/>
    <w:basedOn w:val="TableNormal"/>
    <w:uiPriority w:val="67"/>
    <w:rsid w:val="002E7F6D"/>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2E7F6D"/>
    <w:pPr>
      <w:spacing w:after="0" w:line="240" w:lineRule="auto"/>
    </w:pPr>
    <w:tblPr>
      <w:tblStyleRowBandSize w:val="1"/>
      <w:tblStyleColBandSize w:val="1"/>
      <w:tblBorders>
        <w:top w:val="single" w:sz="8"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single" w:sz="8" w:space="0" w:color="B5E04E" w:themeColor="accent1" w:themeTint="BF"/>
        <w:insideV w:val="single" w:sz="8" w:space="0" w:color="B5E04E" w:themeColor="accent1" w:themeTint="BF"/>
      </w:tblBorders>
    </w:tblPr>
    <w:tcPr>
      <w:shd w:val="clear" w:color="auto" w:fill="E6F4C4" w:themeFill="accent1" w:themeFillTint="3F"/>
    </w:tcPr>
    <w:tblStylePr w:type="firstRow">
      <w:rPr>
        <w:b/>
        <w:bCs/>
      </w:rPr>
    </w:tblStylePr>
    <w:tblStylePr w:type="lastRow">
      <w:rPr>
        <w:b/>
        <w:bCs/>
      </w:rPr>
      <w:tblPr/>
      <w:tcPr>
        <w:tcBorders>
          <w:top w:val="single" w:sz="18" w:space="0" w:color="B5E04E" w:themeColor="accent1" w:themeTint="BF"/>
        </w:tcBorders>
      </w:tcPr>
    </w:tblStylePr>
    <w:tblStylePr w:type="firstCol">
      <w:rPr>
        <w:b/>
        <w:bCs/>
      </w:rPr>
    </w:tblStylePr>
    <w:tblStylePr w:type="lastCol">
      <w:rPr>
        <w:b/>
        <w:bCs/>
      </w:rPr>
    </w:tblStylePr>
    <w:tblStylePr w:type="band1Vert">
      <w:tblPr/>
      <w:tcPr>
        <w:shd w:val="clear" w:color="auto" w:fill="CEEA89" w:themeFill="accent1" w:themeFillTint="7F"/>
      </w:tcPr>
    </w:tblStylePr>
    <w:tblStylePr w:type="band1Horz">
      <w:tblPr/>
      <w:tcPr>
        <w:shd w:val="clear" w:color="auto" w:fill="CEEA89" w:themeFill="accent1" w:themeFillTint="7F"/>
      </w:tcPr>
    </w:tblStylePr>
  </w:style>
  <w:style w:type="table" w:styleId="MediumGrid1-Accent2">
    <w:name w:val="Medium Grid 1 Accent 2"/>
    <w:basedOn w:val="TableNormal"/>
    <w:uiPriority w:val="67"/>
    <w:rsid w:val="002E7F6D"/>
    <w:pPr>
      <w:spacing w:after="0" w:line="240" w:lineRule="auto"/>
    </w:pPr>
    <w:tblPr>
      <w:tblStyleRowBandSize w:val="1"/>
      <w:tblStyleColBandSize w:val="1"/>
      <w:tblBorders>
        <w:top w:val="single" w:sz="8"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single" w:sz="8" w:space="0" w:color="82C3CA" w:themeColor="accent2" w:themeTint="BF"/>
        <w:insideV w:val="single" w:sz="8" w:space="0" w:color="82C3CA" w:themeColor="accent2" w:themeTint="BF"/>
      </w:tblBorders>
    </w:tblPr>
    <w:tcPr>
      <w:shd w:val="clear" w:color="auto" w:fill="D5EBED" w:themeFill="accent2" w:themeFillTint="3F"/>
    </w:tcPr>
    <w:tblStylePr w:type="firstRow">
      <w:rPr>
        <w:b/>
        <w:bCs/>
      </w:rPr>
    </w:tblStylePr>
    <w:tblStylePr w:type="lastRow">
      <w:rPr>
        <w:b/>
        <w:bCs/>
      </w:rPr>
      <w:tblPr/>
      <w:tcPr>
        <w:tcBorders>
          <w:top w:val="single" w:sz="18" w:space="0" w:color="82C3CA" w:themeColor="accent2" w:themeTint="BF"/>
        </w:tcBorders>
      </w:tcPr>
    </w:tblStylePr>
    <w:tblStylePr w:type="firstCol">
      <w:rPr>
        <w:b/>
        <w:bCs/>
      </w:rPr>
    </w:tblStylePr>
    <w:tblStylePr w:type="lastCol">
      <w:rPr>
        <w:b/>
        <w:bCs/>
      </w:rPr>
    </w:tblStylePr>
    <w:tblStylePr w:type="band1Vert">
      <w:tblPr/>
      <w:tcPr>
        <w:shd w:val="clear" w:color="auto" w:fill="ACD7DC" w:themeFill="accent2" w:themeFillTint="7F"/>
      </w:tcPr>
    </w:tblStylePr>
    <w:tblStylePr w:type="band1Horz">
      <w:tblPr/>
      <w:tcPr>
        <w:shd w:val="clear" w:color="auto" w:fill="ACD7DC" w:themeFill="accent2" w:themeFillTint="7F"/>
      </w:tcPr>
    </w:tblStylePr>
  </w:style>
  <w:style w:type="table" w:styleId="MediumGrid1-Accent3">
    <w:name w:val="Medium Grid 1 Accent 3"/>
    <w:basedOn w:val="TableNormal"/>
    <w:uiPriority w:val="67"/>
    <w:rsid w:val="002E7F6D"/>
    <w:pPr>
      <w:spacing w:after="0" w:line="240" w:lineRule="auto"/>
    </w:pPr>
    <w:tblPr>
      <w:tblStyleRowBandSize w:val="1"/>
      <w:tblStyleColBandSize w:val="1"/>
      <w:tblBorders>
        <w:top w:val="single" w:sz="8"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single" w:sz="8" w:space="0" w:color="FFCF27" w:themeColor="accent3" w:themeTint="BF"/>
        <w:insideV w:val="single" w:sz="8" w:space="0" w:color="FFCF27" w:themeColor="accent3" w:themeTint="BF"/>
      </w:tblBorders>
    </w:tblPr>
    <w:tcPr>
      <w:shd w:val="clear" w:color="auto" w:fill="FFEFB7" w:themeFill="accent3" w:themeFillTint="3F"/>
    </w:tcPr>
    <w:tblStylePr w:type="firstRow">
      <w:rPr>
        <w:b/>
        <w:bCs/>
      </w:rPr>
    </w:tblStylePr>
    <w:tblStylePr w:type="lastRow">
      <w:rPr>
        <w:b/>
        <w:bCs/>
      </w:rPr>
      <w:tblPr/>
      <w:tcPr>
        <w:tcBorders>
          <w:top w:val="single" w:sz="18" w:space="0" w:color="FFCF27" w:themeColor="accent3" w:themeTint="BF"/>
        </w:tcBorders>
      </w:tcPr>
    </w:tblStylePr>
    <w:tblStylePr w:type="firstCol">
      <w:rPr>
        <w:b/>
        <w:bCs/>
      </w:rPr>
    </w:tblStylePr>
    <w:tblStylePr w:type="lastCol">
      <w:rPr>
        <w:b/>
        <w:bCs/>
      </w:rPr>
    </w:tblStylePr>
    <w:tblStylePr w:type="band1Vert">
      <w:tblPr/>
      <w:tcPr>
        <w:shd w:val="clear" w:color="auto" w:fill="FFDF6F" w:themeFill="accent3" w:themeFillTint="7F"/>
      </w:tcPr>
    </w:tblStylePr>
    <w:tblStylePr w:type="band1Horz">
      <w:tblPr/>
      <w:tcPr>
        <w:shd w:val="clear" w:color="auto" w:fill="FFDF6F" w:themeFill="accent3" w:themeFillTint="7F"/>
      </w:tcPr>
    </w:tblStylePr>
  </w:style>
  <w:style w:type="table" w:styleId="MediumGrid1-Accent4">
    <w:name w:val="Medium Grid 1 Accent 4"/>
    <w:basedOn w:val="TableNormal"/>
    <w:uiPriority w:val="67"/>
    <w:rsid w:val="002E7F6D"/>
    <w:pPr>
      <w:spacing w:after="0" w:line="240" w:lineRule="auto"/>
    </w:pPr>
    <w:tblPr>
      <w:tblStyleRowBandSize w:val="1"/>
      <w:tblStyleColBandSize w:val="1"/>
      <w:tblBorders>
        <w:top w:val="single" w:sz="8"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single" w:sz="8" w:space="0" w:color="C99CC6" w:themeColor="accent4" w:themeTint="BF"/>
        <w:insideV w:val="single" w:sz="8" w:space="0" w:color="C99CC6" w:themeColor="accent4" w:themeTint="BF"/>
      </w:tblBorders>
    </w:tblPr>
    <w:tcPr>
      <w:shd w:val="clear" w:color="auto" w:fill="EDDEEC" w:themeFill="accent4" w:themeFillTint="3F"/>
    </w:tcPr>
    <w:tblStylePr w:type="firstRow">
      <w:rPr>
        <w:b/>
        <w:bCs/>
      </w:rPr>
    </w:tblStylePr>
    <w:tblStylePr w:type="lastRow">
      <w:rPr>
        <w:b/>
        <w:bCs/>
      </w:rPr>
      <w:tblPr/>
      <w:tcPr>
        <w:tcBorders>
          <w:top w:val="single" w:sz="18" w:space="0" w:color="C99CC6" w:themeColor="accent4" w:themeTint="BF"/>
        </w:tcBorders>
      </w:tcPr>
    </w:tblStylePr>
    <w:tblStylePr w:type="firstCol">
      <w:rPr>
        <w:b/>
        <w:bCs/>
      </w:rPr>
    </w:tblStylePr>
    <w:tblStylePr w:type="lastCol">
      <w:rPr>
        <w:b/>
        <w:bCs/>
      </w:rPr>
    </w:tblStylePr>
    <w:tblStylePr w:type="band1Vert">
      <w:tblPr/>
      <w:tcPr>
        <w:shd w:val="clear" w:color="auto" w:fill="DBBDD9" w:themeFill="accent4" w:themeFillTint="7F"/>
      </w:tcPr>
    </w:tblStylePr>
    <w:tblStylePr w:type="band1Horz">
      <w:tblPr/>
      <w:tcPr>
        <w:shd w:val="clear" w:color="auto" w:fill="DBBDD9" w:themeFill="accent4" w:themeFillTint="7F"/>
      </w:tcPr>
    </w:tblStylePr>
  </w:style>
  <w:style w:type="table" w:styleId="MediumGrid1-Accent5">
    <w:name w:val="Medium Grid 1 Accent 5"/>
    <w:basedOn w:val="TableNormal"/>
    <w:uiPriority w:val="67"/>
    <w:rsid w:val="002E7F6D"/>
    <w:pPr>
      <w:spacing w:after="0" w:line="240" w:lineRule="auto"/>
    </w:pPr>
    <w:tblPr>
      <w:tblStyleRowBandSize w:val="1"/>
      <w:tblStyleColBandSize w:val="1"/>
      <w:tblBorders>
        <w:top w:val="single" w:sz="8"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single" w:sz="8" w:space="0" w:color="E7986C" w:themeColor="accent5" w:themeTint="BF"/>
        <w:insideV w:val="single" w:sz="8" w:space="0" w:color="E7986C" w:themeColor="accent5" w:themeTint="BF"/>
      </w:tblBorders>
    </w:tblPr>
    <w:tcPr>
      <w:shd w:val="clear" w:color="auto" w:fill="F7DDCE" w:themeFill="accent5" w:themeFillTint="3F"/>
    </w:tcPr>
    <w:tblStylePr w:type="firstRow">
      <w:rPr>
        <w:b/>
        <w:bCs/>
      </w:rPr>
    </w:tblStylePr>
    <w:tblStylePr w:type="lastRow">
      <w:rPr>
        <w:b/>
        <w:bCs/>
      </w:rPr>
      <w:tblPr/>
      <w:tcPr>
        <w:tcBorders>
          <w:top w:val="single" w:sz="18" w:space="0" w:color="E7986C" w:themeColor="accent5" w:themeTint="BF"/>
        </w:tcBorders>
      </w:tcPr>
    </w:tblStylePr>
    <w:tblStylePr w:type="firstCol">
      <w:rPr>
        <w:b/>
        <w:bCs/>
      </w:rPr>
    </w:tblStylePr>
    <w:tblStylePr w:type="lastCol">
      <w:rPr>
        <w:b/>
        <w:bCs/>
      </w:rPr>
    </w:tblStylePr>
    <w:tblStylePr w:type="band1Vert">
      <w:tblPr/>
      <w:tcPr>
        <w:shd w:val="clear" w:color="auto" w:fill="EFBA9D" w:themeFill="accent5" w:themeFillTint="7F"/>
      </w:tcPr>
    </w:tblStylePr>
    <w:tblStylePr w:type="band1Horz">
      <w:tblPr/>
      <w:tcPr>
        <w:shd w:val="clear" w:color="auto" w:fill="EFBA9D" w:themeFill="accent5" w:themeFillTint="7F"/>
      </w:tcPr>
    </w:tblStylePr>
  </w:style>
  <w:style w:type="table" w:styleId="MediumGrid1-Accent6">
    <w:name w:val="Medium Grid 1 Accent 6"/>
    <w:basedOn w:val="TableNormal"/>
    <w:uiPriority w:val="67"/>
    <w:rsid w:val="002E7F6D"/>
    <w:pPr>
      <w:spacing w:after="0" w:line="240" w:lineRule="auto"/>
    </w:pPr>
    <w:tblPr>
      <w:tblStyleRowBandSize w:val="1"/>
      <w:tblStyleColBandSize w:val="1"/>
      <w:tblBorders>
        <w:top w:val="single" w:sz="8"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single" w:sz="8" w:space="0" w:color="BEA98A" w:themeColor="accent6" w:themeTint="BF"/>
        <w:insideV w:val="single" w:sz="8" w:space="0" w:color="BEA98A" w:themeColor="accent6" w:themeTint="BF"/>
      </w:tblBorders>
    </w:tblPr>
    <w:tcPr>
      <w:shd w:val="clear" w:color="auto" w:fill="E9E2D8" w:themeFill="accent6" w:themeFillTint="3F"/>
    </w:tcPr>
    <w:tblStylePr w:type="firstRow">
      <w:rPr>
        <w:b/>
        <w:bCs/>
      </w:rPr>
    </w:tblStylePr>
    <w:tblStylePr w:type="lastRow">
      <w:rPr>
        <w:b/>
        <w:bCs/>
      </w:rPr>
      <w:tblPr/>
      <w:tcPr>
        <w:tcBorders>
          <w:top w:val="single" w:sz="18" w:space="0" w:color="BEA98A" w:themeColor="accent6" w:themeTint="BF"/>
        </w:tcBorders>
      </w:tcPr>
    </w:tblStylePr>
    <w:tblStylePr w:type="firstCol">
      <w:rPr>
        <w:b/>
        <w:bCs/>
      </w:rPr>
    </w:tblStylePr>
    <w:tblStylePr w:type="lastCol">
      <w:rPr>
        <w:b/>
        <w:bCs/>
      </w:rPr>
    </w:tblStylePr>
    <w:tblStylePr w:type="band1Vert">
      <w:tblPr/>
      <w:tcPr>
        <w:shd w:val="clear" w:color="auto" w:fill="D4C6B1" w:themeFill="accent6" w:themeFillTint="7F"/>
      </w:tcPr>
    </w:tblStylePr>
    <w:tblStylePr w:type="band1Horz">
      <w:tblPr/>
      <w:tcPr>
        <w:shd w:val="clear" w:color="auto" w:fill="D4C6B1" w:themeFill="accent6" w:themeFillTint="7F"/>
      </w:tcPr>
    </w:tblStylePr>
  </w:style>
  <w:style w:type="table" w:customStyle="1" w:styleId="MediumGrid21">
    <w:name w:val="Medium Grid 21"/>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insideH w:val="single" w:sz="8" w:space="0" w:color="98C723" w:themeColor="accent1"/>
        <w:insideV w:val="single" w:sz="8" w:space="0" w:color="98C723" w:themeColor="accent1"/>
      </w:tblBorders>
    </w:tblPr>
    <w:tcPr>
      <w:shd w:val="clear" w:color="auto" w:fill="E6F4C4" w:themeFill="accent1" w:themeFillTint="3F"/>
    </w:tcPr>
    <w:tblStylePr w:type="firstRow">
      <w:rPr>
        <w:b/>
        <w:bCs/>
        <w:color w:val="000000" w:themeColor="text1"/>
      </w:rPr>
      <w:tblPr/>
      <w:tcPr>
        <w:shd w:val="clear" w:color="auto" w:fill="F5FBE7"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F6CF" w:themeFill="accent1" w:themeFillTint="33"/>
      </w:tcPr>
    </w:tblStylePr>
    <w:tblStylePr w:type="band1Vert">
      <w:tblPr/>
      <w:tcPr>
        <w:shd w:val="clear" w:color="auto" w:fill="CEEA89" w:themeFill="accent1" w:themeFillTint="7F"/>
      </w:tcPr>
    </w:tblStylePr>
    <w:tblStylePr w:type="band1Horz">
      <w:tblPr/>
      <w:tcPr>
        <w:tcBorders>
          <w:insideH w:val="single" w:sz="6" w:space="0" w:color="98C723" w:themeColor="accent1"/>
          <w:insideV w:val="single" w:sz="6" w:space="0" w:color="98C723" w:themeColor="accent1"/>
        </w:tcBorders>
        <w:shd w:val="clear" w:color="auto" w:fill="CEEA89"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insideH w:val="single" w:sz="8" w:space="0" w:color="59B0B9" w:themeColor="accent2"/>
        <w:insideV w:val="single" w:sz="8" w:space="0" w:color="59B0B9" w:themeColor="accent2"/>
      </w:tblBorders>
    </w:tblPr>
    <w:tcPr>
      <w:shd w:val="clear" w:color="auto" w:fill="D5EBED" w:themeFill="accent2" w:themeFillTint="3F"/>
    </w:tcPr>
    <w:tblStylePr w:type="firstRow">
      <w:rPr>
        <w:b/>
        <w:bCs/>
        <w:color w:val="000000" w:themeColor="text1"/>
      </w:rPr>
      <w:tblPr/>
      <w:tcPr>
        <w:shd w:val="clear" w:color="auto" w:fill="EEF7F8"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DEFF1" w:themeFill="accent2" w:themeFillTint="33"/>
      </w:tcPr>
    </w:tblStylePr>
    <w:tblStylePr w:type="band1Vert">
      <w:tblPr/>
      <w:tcPr>
        <w:shd w:val="clear" w:color="auto" w:fill="ACD7DC" w:themeFill="accent2" w:themeFillTint="7F"/>
      </w:tcPr>
    </w:tblStylePr>
    <w:tblStylePr w:type="band1Horz">
      <w:tblPr/>
      <w:tcPr>
        <w:tcBorders>
          <w:insideH w:val="single" w:sz="6" w:space="0" w:color="59B0B9" w:themeColor="accent2"/>
          <w:insideV w:val="single" w:sz="6" w:space="0" w:color="59B0B9" w:themeColor="accent2"/>
        </w:tcBorders>
        <w:shd w:val="clear" w:color="auto" w:fill="ACD7DC"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insideH w:val="single" w:sz="8" w:space="0" w:color="DEAE00" w:themeColor="accent3"/>
        <w:insideV w:val="single" w:sz="8" w:space="0" w:color="DEAE00" w:themeColor="accent3"/>
      </w:tblBorders>
    </w:tblPr>
    <w:tcPr>
      <w:shd w:val="clear" w:color="auto" w:fill="FFEFB7" w:themeFill="accent3" w:themeFillTint="3F"/>
    </w:tcPr>
    <w:tblStylePr w:type="firstRow">
      <w:rPr>
        <w:b/>
        <w:bCs/>
        <w:color w:val="000000" w:themeColor="text1"/>
      </w:rPr>
      <w:tblPr/>
      <w:tcPr>
        <w:shd w:val="clear" w:color="auto" w:fill="FFF8E2"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5" w:themeFill="accent3" w:themeFillTint="33"/>
      </w:tcPr>
    </w:tblStylePr>
    <w:tblStylePr w:type="band1Vert">
      <w:tblPr/>
      <w:tcPr>
        <w:shd w:val="clear" w:color="auto" w:fill="FFDF6F" w:themeFill="accent3" w:themeFillTint="7F"/>
      </w:tcPr>
    </w:tblStylePr>
    <w:tblStylePr w:type="band1Horz">
      <w:tblPr/>
      <w:tcPr>
        <w:tcBorders>
          <w:insideH w:val="single" w:sz="6" w:space="0" w:color="DEAE00" w:themeColor="accent3"/>
          <w:insideV w:val="single" w:sz="6" w:space="0" w:color="DEAE00" w:themeColor="accent3"/>
        </w:tcBorders>
        <w:shd w:val="clear" w:color="auto" w:fill="FFDF6F"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insideH w:val="single" w:sz="8" w:space="0" w:color="B77BB4" w:themeColor="accent4"/>
        <w:insideV w:val="single" w:sz="8" w:space="0" w:color="B77BB4" w:themeColor="accent4"/>
      </w:tblBorders>
    </w:tblPr>
    <w:tcPr>
      <w:shd w:val="clear" w:color="auto" w:fill="EDDEEC" w:themeFill="accent4" w:themeFillTint="3F"/>
    </w:tcPr>
    <w:tblStylePr w:type="firstRow">
      <w:rPr>
        <w:b/>
        <w:bCs/>
        <w:color w:val="000000" w:themeColor="text1"/>
      </w:rPr>
      <w:tblPr/>
      <w:tcPr>
        <w:shd w:val="clear" w:color="auto" w:fill="F8F2F7"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4F0" w:themeFill="accent4" w:themeFillTint="33"/>
      </w:tcPr>
    </w:tblStylePr>
    <w:tblStylePr w:type="band1Vert">
      <w:tblPr/>
      <w:tcPr>
        <w:shd w:val="clear" w:color="auto" w:fill="DBBDD9" w:themeFill="accent4" w:themeFillTint="7F"/>
      </w:tcPr>
    </w:tblStylePr>
    <w:tblStylePr w:type="band1Horz">
      <w:tblPr/>
      <w:tcPr>
        <w:tcBorders>
          <w:insideH w:val="single" w:sz="6" w:space="0" w:color="B77BB4" w:themeColor="accent4"/>
          <w:insideV w:val="single" w:sz="6" w:space="0" w:color="B77BB4" w:themeColor="accent4"/>
        </w:tcBorders>
        <w:shd w:val="clear" w:color="auto" w:fill="DBBDD9"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insideH w:val="single" w:sz="8" w:space="0" w:color="E0773C" w:themeColor="accent5"/>
        <w:insideV w:val="single" w:sz="8" w:space="0" w:color="E0773C" w:themeColor="accent5"/>
      </w:tblBorders>
    </w:tblPr>
    <w:tcPr>
      <w:shd w:val="clear" w:color="auto" w:fill="F7DDCE" w:themeFill="accent5" w:themeFillTint="3F"/>
    </w:tcPr>
    <w:tblStylePr w:type="firstRow">
      <w:rPr>
        <w:b/>
        <w:bCs/>
        <w:color w:val="000000" w:themeColor="text1"/>
      </w:rPr>
      <w:tblPr/>
      <w:tcPr>
        <w:shd w:val="clear" w:color="auto" w:fill="FCF1E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8E3D7" w:themeFill="accent5" w:themeFillTint="33"/>
      </w:tcPr>
    </w:tblStylePr>
    <w:tblStylePr w:type="band1Vert">
      <w:tblPr/>
      <w:tcPr>
        <w:shd w:val="clear" w:color="auto" w:fill="EFBA9D" w:themeFill="accent5" w:themeFillTint="7F"/>
      </w:tcPr>
    </w:tblStylePr>
    <w:tblStylePr w:type="band1Horz">
      <w:tblPr/>
      <w:tcPr>
        <w:tcBorders>
          <w:insideH w:val="single" w:sz="6" w:space="0" w:color="E0773C" w:themeColor="accent5"/>
          <w:insideV w:val="single" w:sz="6" w:space="0" w:color="E0773C" w:themeColor="accent5"/>
        </w:tcBorders>
        <w:shd w:val="clear" w:color="auto" w:fill="EFBA9D"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insideH w:val="single" w:sz="8" w:space="0" w:color="A98D63" w:themeColor="accent6"/>
        <w:insideV w:val="single" w:sz="8" w:space="0" w:color="A98D63" w:themeColor="accent6"/>
      </w:tblBorders>
    </w:tblPr>
    <w:tcPr>
      <w:shd w:val="clear" w:color="auto" w:fill="E9E2D8" w:themeFill="accent6" w:themeFillTint="3F"/>
    </w:tcPr>
    <w:tblStylePr w:type="firstRow">
      <w:rPr>
        <w:b/>
        <w:bCs/>
        <w:color w:val="000000" w:themeColor="text1"/>
      </w:rPr>
      <w:tblPr/>
      <w:tcPr>
        <w:shd w:val="clear" w:color="auto" w:fill="F6F3EF"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8DF" w:themeFill="accent6" w:themeFillTint="33"/>
      </w:tcPr>
    </w:tblStylePr>
    <w:tblStylePr w:type="band1Vert">
      <w:tblPr/>
      <w:tcPr>
        <w:shd w:val="clear" w:color="auto" w:fill="D4C6B1" w:themeFill="accent6" w:themeFillTint="7F"/>
      </w:tcPr>
    </w:tblStylePr>
    <w:tblStylePr w:type="band1Horz">
      <w:tblPr/>
      <w:tcPr>
        <w:tcBorders>
          <w:insideH w:val="single" w:sz="6" w:space="0" w:color="A98D63" w:themeColor="accent6"/>
          <w:insideV w:val="single" w:sz="6" w:space="0" w:color="A98D63" w:themeColor="accent6"/>
        </w:tcBorders>
        <w:shd w:val="clear" w:color="auto" w:fill="D4C6B1" w:themeFill="accent6" w:themeFillTint="7F"/>
      </w:tcPr>
    </w:tblStylePr>
    <w:tblStylePr w:type="nwCell">
      <w:tblPr/>
      <w:tcPr>
        <w:shd w:val="clear" w:color="auto" w:fill="FFFFFF" w:themeFill="background1"/>
      </w:tcPr>
    </w:tblStylePr>
  </w:style>
  <w:style w:type="table" w:customStyle="1" w:styleId="MediumGrid31">
    <w:name w:val="Medium Grid 31"/>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F4C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8C723"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8C723"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8C723"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8C723"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EA89"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EA89" w:themeFill="accent1" w:themeFillTint="7F"/>
      </w:tcPr>
    </w:tblStylePr>
  </w:style>
  <w:style w:type="table" w:styleId="MediumGrid3-Accent2">
    <w:name w:val="Medium Grid 3 Accent 2"/>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5EBED"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9B0B9"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9B0B9"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9B0B9"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9B0B9"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CD7DC"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CD7DC" w:themeFill="accent2" w:themeFillTint="7F"/>
      </w:tcPr>
    </w:tblStylePr>
  </w:style>
  <w:style w:type="table" w:styleId="MediumGrid3-Accent3">
    <w:name w:val="Medium Grid 3 Accent 3"/>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B7"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EAE0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EAE0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EAE0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EAE0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6F"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6F" w:themeFill="accent3" w:themeFillTint="7F"/>
      </w:tcPr>
    </w:tblStylePr>
  </w:style>
  <w:style w:type="table" w:styleId="MediumGrid3-Accent4">
    <w:name w:val="Medium Grid 3 Accent 4"/>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DDEEC"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77BB4"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77BB4"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77BB4"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77BB4"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BBDD9"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BBDD9" w:themeFill="accent4" w:themeFillTint="7F"/>
      </w:tcPr>
    </w:tblStylePr>
  </w:style>
  <w:style w:type="table" w:styleId="MediumGrid3-Accent5">
    <w:name w:val="Medium Grid 3 Accent 5"/>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7DDCE"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0773C"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0773C"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0773C"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0773C"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FBA9D"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FBA9D" w:themeFill="accent5" w:themeFillTint="7F"/>
      </w:tcPr>
    </w:tblStylePr>
  </w:style>
  <w:style w:type="table" w:styleId="MediumGrid3-Accent6">
    <w:name w:val="Medium Grid 3 Accent 6"/>
    <w:basedOn w:val="TableNormal"/>
    <w:uiPriority w:val="69"/>
    <w:rsid w:val="002E7F6D"/>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E2D8"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98D6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98D6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98D6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98D6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4C6B1"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4C6B1" w:themeFill="accent6" w:themeFillTint="7F"/>
      </w:tcPr>
    </w:tblStylePr>
  </w:style>
  <w:style w:type="table" w:customStyle="1" w:styleId="MediumList11">
    <w:name w:val="Medium List 11"/>
    <w:basedOn w:val="TableNormal"/>
    <w:uiPriority w:val="65"/>
    <w:rsid w:val="002E7F6D"/>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5B697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ediumList1-Accent11">
    <w:name w:val="Medium List 1 - Accent 11"/>
    <w:basedOn w:val="TableNormal"/>
    <w:uiPriority w:val="65"/>
    <w:rsid w:val="002E7F6D"/>
    <w:pPr>
      <w:spacing w:after="0" w:line="240" w:lineRule="auto"/>
    </w:pPr>
    <w:rPr>
      <w:color w:val="000000" w:themeColor="text1"/>
    </w:rPr>
    <w:tblPr>
      <w:tblStyleRowBandSize w:val="1"/>
      <w:tblStyleColBandSize w:val="1"/>
      <w:tblBorders>
        <w:top w:val="single" w:sz="8" w:space="0" w:color="98C723" w:themeColor="accent1"/>
        <w:bottom w:val="single" w:sz="8" w:space="0" w:color="98C723" w:themeColor="accent1"/>
      </w:tblBorders>
    </w:tblPr>
    <w:tblStylePr w:type="firstRow">
      <w:rPr>
        <w:rFonts w:asciiTheme="majorHAnsi" w:eastAsiaTheme="majorEastAsia" w:hAnsiTheme="majorHAnsi" w:cstheme="majorBidi"/>
      </w:rPr>
      <w:tblPr/>
      <w:tcPr>
        <w:tcBorders>
          <w:top w:val="nil"/>
          <w:bottom w:val="single" w:sz="8" w:space="0" w:color="98C723" w:themeColor="accent1"/>
        </w:tcBorders>
      </w:tcPr>
    </w:tblStylePr>
    <w:tblStylePr w:type="lastRow">
      <w:rPr>
        <w:b/>
        <w:bCs/>
        <w:color w:val="5B6973" w:themeColor="text2"/>
      </w:rPr>
      <w:tblPr/>
      <w:tcPr>
        <w:tcBorders>
          <w:top w:val="single" w:sz="8" w:space="0" w:color="98C723" w:themeColor="accent1"/>
          <w:bottom w:val="single" w:sz="8" w:space="0" w:color="98C723" w:themeColor="accent1"/>
        </w:tcBorders>
      </w:tcPr>
    </w:tblStylePr>
    <w:tblStylePr w:type="firstCol">
      <w:rPr>
        <w:b/>
        <w:bCs/>
      </w:rPr>
    </w:tblStylePr>
    <w:tblStylePr w:type="lastCol">
      <w:rPr>
        <w:b/>
        <w:bCs/>
      </w:rPr>
      <w:tblPr/>
      <w:tcPr>
        <w:tcBorders>
          <w:top w:val="single" w:sz="8" w:space="0" w:color="98C723" w:themeColor="accent1"/>
          <w:bottom w:val="single" w:sz="8" w:space="0" w:color="98C723" w:themeColor="accent1"/>
        </w:tcBorders>
      </w:tcPr>
    </w:tblStylePr>
    <w:tblStylePr w:type="band1Vert">
      <w:tblPr/>
      <w:tcPr>
        <w:shd w:val="clear" w:color="auto" w:fill="E6F4C4" w:themeFill="accent1" w:themeFillTint="3F"/>
      </w:tcPr>
    </w:tblStylePr>
    <w:tblStylePr w:type="band1Horz">
      <w:tblPr/>
      <w:tcPr>
        <w:shd w:val="clear" w:color="auto" w:fill="E6F4C4" w:themeFill="accent1" w:themeFillTint="3F"/>
      </w:tcPr>
    </w:tblStylePr>
  </w:style>
  <w:style w:type="table" w:styleId="MediumList1-Accent2">
    <w:name w:val="Medium List 1 Accent 2"/>
    <w:basedOn w:val="TableNormal"/>
    <w:uiPriority w:val="65"/>
    <w:rsid w:val="002E7F6D"/>
    <w:pPr>
      <w:spacing w:after="0" w:line="240" w:lineRule="auto"/>
    </w:pPr>
    <w:rPr>
      <w:color w:val="000000" w:themeColor="text1"/>
    </w:rPr>
    <w:tblPr>
      <w:tblStyleRowBandSize w:val="1"/>
      <w:tblStyleColBandSize w:val="1"/>
      <w:tblBorders>
        <w:top w:val="single" w:sz="8" w:space="0" w:color="59B0B9" w:themeColor="accent2"/>
        <w:bottom w:val="single" w:sz="8" w:space="0" w:color="59B0B9" w:themeColor="accent2"/>
      </w:tblBorders>
    </w:tblPr>
    <w:tblStylePr w:type="firstRow">
      <w:rPr>
        <w:rFonts w:asciiTheme="majorHAnsi" w:eastAsiaTheme="majorEastAsia" w:hAnsiTheme="majorHAnsi" w:cstheme="majorBidi"/>
      </w:rPr>
      <w:tblPr/>
      <w:tcPr>
        <w:tcBorders>
          <w:top w:val="nil"/>
          <w:bottom w:val="single" w:sz="8" w:space="0" w:color="59B0B9" w:themeColor="accent2"/>
        </w:tcBorders>
      </w:tcPr>
    </w:tblStylePr>
    <w:tblStylePr w:type="lastRow">
      <w:rPr>
        <w:b/>
        <w:bCs/>
        <w:color w:val="5B6973" w:themeColor="text2"/>
      </w:rPr>
      <w:tblPr/>
      <w:tcPr>
        <w:tcBorders>
          <w:top w:val="single" w:sz="8" w:space="0" w:color="59B0B9" w:themeColor="accent2"/>
          <w:bottom w:val="single" w:sz="8" w:space="0" w:color="59B0B9" w:themeColor="accent2"/>
        </w:tcBorders>
      </w:tcPr>
    </w:tblStylePr>
    <w:tblStylePr w:type="firstCol">
      <w:rPr>
        <w:b/>
        <w:bCs/>
      </w:rPr>
    </w:tblStylePr>
    <w:tblStylePr w:type="lastCol">
      <w:rPr>
        <w:b/>
        <w:bCs/>
      </w:rPr>
      <w:tblPr/>
      <w:tcPr>
        <w:tcBorders>
          <w:top w:val="single" w:sz="8" w:space="0" w:color="59B0B9" w:themeColor="accent2"/>
          <w:bottom w:val="single" w:sz="8" w:space="0" w:color="59B0B9" w:themeColor="accent2"/>
        </w:tcBorders>
      </w:tcPr>
    </w:tblStylePr>
    <w:tblStylePr w:type="band1Vert">
      <w:tblPr/>
      <w:tcPr>
        <w:shd w:val="clear" w:color="auto" w:fill="D5EBED" w:themeFill="accent2" w:themeFillTint="3F"/>
      </w:tcPr>
    </w:tblStylePr>
    <w:tblStylePr w:type="band1Horz">
      <w:tblPr/>
      <w:tcPr>
        <w:shd w:val="clear" w:color="auto" w:fill="D5EBED" w:themeFill="accent2" w:themeFillTint="3F"/>
      </w:tcPr>
    </w:tblStylePr>
  </w:style>
  <w:style w:type="table" w:styleId="MediumList1-Accent3">
    <w:name w:val="Medium List 1 Accent 3"/>
    <w:basedOn w:val="TableNormal"/>
    <w:uiPriority w:val="65"/>
    <w:rsid w:val="002E7F6D"/>
    <w:pPr>
      <w:spacing w:after="0" w:line="240" w:lineRule="auto"/>
    </w:pPr>
    <w:rPr>
      <w:color w:val="000000" w:themeColor="text1"/>
    </w:rPr>
    <w:tblPr>
      <w:tblStyleRowBandSize w:val="1"/>
      <w:tblStyleColBandSize w:val="1"/>
      <w:tblBorders>
        <w:top w:val="single" w:sz="8" w:space="0" w:color="DEAE00" w:themeColor="accent3"/>
        <w:bottom w:val="single" w:sz="8" w:space="0" w:color="DEAE00" w:themeColor="accent3"/>
      </w:tblBorders>
    </w:tblPr>
    <w:tblStylePr w:type="firstRow">
      <w:rPr>
        <w:rFonts w:asciiTheme="majorHAnsi" w:eastAsiaTheme="majorEastAsia" w:hAnsiTheme="majorHAnsi" w:cstheme="majorBidi"/>
      </w:rPr>
      <w:tblPr/>
      <w:tcPr>
        <w:tcBorders>
          <w:top w:val="nil"/>
          <w:bottom w:val="single" w:sz="8" w:space="0" w:color="DEAE00" w:themeColor="accent3"/>
        </w:tcBorders>
      </w:tcPr>
    </w:tblStylePr>
    <w:tblStylePr w:type="lastRow">
      <w:rPr>
        <w:b/>
        <w:bCs/>
        <w:color w:val="5B6973" w:themeColor="text2"/>
      </w:rPr>
      <w:tblPr/>
      <w:tcPr>
        <w:tcBorders>
          <w:top w:val="single" w:sz="8" w:space="0" w:color="DEAE00" w:themeColor="accent3"/>
          <w:bottom w:val="single" w:sz="8" w:space="0" w:color="DEAE00" w:themeColor="accent3"/>
        </w:tcBorders>
      </w:tcPr>
    </w:tblStylePr>
    <w:tblStylePr w:type="firstCol">
      <w:rPr>
        <w:b/>
        <w:bCs/>
      </w:rPr>
    </w:tblStylePr>
    <w:tblStylePr w:type="lastCol">
      <w:rPr>
        <w:b/>
        <w:bCs/>
      </w:rPr>
      <w:tblPr/>
      <w:tcPr>
        <w:tcBorders>
          <w:top w:val="single" w:sz="8" w:space="0" w:color="DEAE00" w:themeColor="accent3"/>
          <w:bottom w:val="single" w:sz="8" w:space="0" w:color="DEAE00" w:themeColor="accent3"/>
        </w:tcBorders>
      </w:tcPr>
    </w:tblStylePr>
    <w:tblStylePr w:type="band1Vert">
      <w:tblPr/>
      <w:tcPr>
        <w:shd w:val="clear" w:color="auto" w:fill="FFEFB7" w:themeFill="accent3" w:themeFillTint="3F"/>
      </w:tcPr>
    </w:tblStylePr>
    <w:tblStylePr w:type="band1Horz">
      <w:tblPr/>
      <w:tcPr>
        <w:shd w:val="clear" w:color="auto" w:fill="FFEFB7" w:themeFill="accent3" w:themeFillTint="3F"/>
      </w:tcPr>
    </w:tblStylePr>
  </w:style>
  <w:style w:type="table" w:styleId="MediumList1-Accent4">
    <w:name w:val="Medium List 1 Accent 4"/>
    <w:basedOn w:val="TableNormal"/>
    <w:uiPriority w:val="65"/>
    <w:rsid w:val="002E7F6D"/>
    <w:pPr>
      <w:spacing w:after="0" w:line="240" w:lineRule="auto"/>
    </w:pPr>
    <w:rPr>
      <w:color w:val="000000" w:themeColor="text1"/>
    </w:rPr>
    <w:tblPr>
      <w:tblStyleRowBandSize w:val="1"/>
      <w:tblStyleColBandSize w:val="1"/>
      <w:tblBorders>
        <w:top w:val="single" w:sz="8" w:space="0" w:color="B77BB4" w:themeColor="accent4"/>
        <w:bottom w:val="single" w:sz="8" w:space="0" w:color="B77BB4" w:themeColor="accent4"/>
      </w:tblBorders>
    </w:tblPr>
    <w:tblStylePr w:type="firstRow">
      <w:rPr>
        <w:rFonts w:asciiTheme="majorHAnsi" w:eastAsiaTheme="majorEastAsia" w:hAnsiTheme="majorHAnsi" w:cstheme="majorBidi"/>
      </w:rPr>
      <w:tblPr/>
      <w:tcPr>
        <w:tcBorders>
          <w:top w:val="nil"/>
          <w:bottom w:val="single" w:sz="8" w:space="0" w:color="B77BB4" w:themeColor="accent4"/>
        </w:tcBorders>
      </w:tcPr>
    </w:tblStylePr>
    <w:tblStylePr w:type="lastRow">
      <w:rPr>
        <w:b/>
        <w:bCs/>
        <w:color w:val="5B6973" w:themeColor="text2"/>
      </w:rPr>
      <w:tblPr/>
      <w:tcPr>
        <w:tcBorders>
          <w:top w:val="single" w:sz="8" w:space="0" w:color="B77BB4" w:themeColor="accent4"/>
          <w:bottom w:val="single" w:sz="8" w:space="0" w:color="B77BB4" w:themeColor="accent4"/>
        </w:tcBorders>
      </w:tcPr>
    </w:tblStylePr>
    <w:tblStylePr w:type="firstCol">
      <w:rPr>
        <w:b/>
        <w:bCs/>
      </w:rPr>
    </w:tblStylePr>
    <w:tblStylePr w:type="lastCol">
      <w:rPr>
        <w:b/>
        <w:bCs/>
      </w:rPr>
      <w:tblPr/>
      <w:tcPr>
        <w:tcBorders>
          <w:top w:val="single" w:sz="8" w:space="0" w:color="B77BB4" w:themeColor="accent4"/>
          <w:bottom w:val="single" w:sz="8" w:space="0" w:color="B77BB4" w:themeColor="accent4"/>
        </w:tcBorders>
      </w:tcPr>
    </w:tblStylePr>
    <w:tblStylePr w:type="band1Vert">
      <w:tblPr/>
      <w:tcPr>
        <w:shd w:val="clear" w:color="auto" w:fill="EDDEEC" w:themeFill="accent4" w:themeFillTint="3F"/>
      </w:tcPr>
    </w:tblStylePr>
    <w:tblStylePr w:type="band1Horz">
      <w:tblPr/>
      <w:tcPr>
        <w:shd w:val="clear" w:color="auto" w:fill="EDDEEC" w:themeFill="accent4" w:themeFillTint="3F"/>
      </w:tcPr>
    </w:tblStylePr>
  </w:style>
  <w:style w:type="table" w:styleId="MediumList1-Accent5">
    <w:name w:val="Medium List 1 Accent 5"/>
    <w:basedOn w:val="TableNormal"/>
    <w:uiPriority w:val="65"/>
    <w:rsid w:val="002E7F6D"/>
    <w:pPr>
      <w:spacing w:after="0" w:line="240" w:lineRule="auto"/>
    </w:pPr>
    <w:rPr>
      <w:color w:val="000000" w:themeColor="text1"/>
    </w:rPr>
    <w:tblPr>
      <w:tblStyleRowBandSize w:val="1"/>
      <w:tblStyleColBandSize w:val="1"/>
      <w:tblBorders>
        <w:top w:val="single" w:sz="8" w:space="0" w:color="E0773C" w:themeColor="accent5"/>
        <w:bottom w:val="single" w:sz="8" w:space="0" w:color="E0773C" w:themeColor="accent5"/>
      </w:tblBorders>
    </w:tblPr>
    <w:tblStylePr w:type="firstRow">
      <w:rPr>
        <w:rFonts w:asciiTheme="majorHAnsi" w:eastAsiaTheme="majorEastAsia" w:hAnsiTheme="majorHAnsi" w:cstheme="majorBidi"/>
      </w:rPr>
      <w:tblPr/>
      <w:tcPr>
        <w:tcBorders>
          <w:top w:val="nil"/>
          <w:bottom w:val="single" w:sz="8" w:space="0" w:color="E0773C" w:themeColor="accent5"/>
        </w:tcBorders>
      </w:tcPr>
    </w:tblStylePr>
    <w:tblStylePr w:type="lastRow">
      <w:rPr>
        <w:b/>
        <w:bCs/>
        <w:color w:val="5B6973" w:themeColor="text2"/>
      </w:rPr>
      <w:tblPr/>
      <w:tcPr>
        <w:tcBorders>
          <w:top w:val="single" w:sz="8" w:space="0" w:color="E0773C" w:themeColor="accent5"/>
          <w:bottom w:val="single" w:sz="8" w:space="0" w:color="E0773C" w:themeColor="accent5"/>
        </w:tcBorders>
      </w:tcPr>
    </w:tblStylePr>
    <w:tblStylePr w:type="firstCol">
      <w:rPr>
        <w:b/>
        <w:bCs/>
      </w:rPr>
    </w:tblStylePr>
    <w:tblStylePr w:type="lastCol">
      <w:rPr>
        <w:b/>
        <w:bCs/>
      </w:rPr>
      <w:tblPr/>
      <w:tcPr>
        <w:tcBorders>
          <w:top w:val="single" w:sz="8" w:space="0" w:color="E0773C" w:themeColor="accent5"/>
          <w:bottom w:val="single" w:sz="8" w:space="0" w:color="E0773C" w:themeColor="accent5"/>
        </w:tcBorders>
      </w:tcPr>
    </w:tblStylePr>
    <w:tblStylePr w:type="band1Vert">
      <w:tblPr/>
      <w:tcPr>
        <w:shd w:val="clear" w:color="auto" w:fill="F7DDCE" w:themeFill="accent5" w:themeFillTint="3F"/>
      </w:tcPr>
    </w:tblStylePr>
    <w:tblStylePr w:type="band1Horz">
      <w:tblPr/>
      <w:tcPr>
        <w:shd w:val="clear" w:color="auto" w:fill="F7DDCE" w:themeFill="accent5" w:themeFillTint="3F"/>
      </w:tcPr>
    </w:tblStylePr>
  </w:style>
  <w:style w:type="table" w:styleId="MediumList1-Accent6">
    <w:name w:val="Medium List 1 Accent 6"/>
    <w:basedOn w:val="TableNormal"/>
    <w:uiPriority w:val="65"/>
    <w:rsid w:val="002E7F6D"/>
    <w:pPr>
      <w:spacing w:after="0" w:line="240" w:lineRule="auto"/>
    </w:pPr>
    <w:rPr>
      <w:color w:val="000000" w:themeColor="text1"/>
    </w:rPr>
    <w:tblPr>
      <w:tblStyleRowBandSize w:val="1"/>
      <w:tblStyleColBandSize w:val="1"/>
      <w:tblBorders>
        <w:top w:val="single" w:sz="8" w:space="0" w:color="A98D63" w:themeColor="accent6"/>
        <w:bottom w:val="single" w:sz="8" w:space="0" w:color="A98D63" w:themeColor="accent6"/>
      </w:tblBorders>
    </w:tblPr>
    <w:tblStylePr w:type="firstRow">
      <w:rPr>
        <w:rFonts w:asciiTheme="majorHAnsi" w:eastAsiaTheme="majorEastAsia" w:hAnsiTheme="majorHAnsi" w:cstheme="majorBidi"/>
      </w:rPr>
      <w:tblPr/>
      <w:tcPr>
        <w:tcBorders>
          <w:top w:val="nil"/>
          <w:bottom w:val="single" w:sz="8" w:space="0" w:color="A98D63" w:themeColor="accent6"/>
        </w:tcBorders>
      </w:tcPr>
    </w:tblStylePr>
    <w:tblStylePr w:type="lastRow">
      <w:rPr>
        <w:b/>
        <w:bCs/>
        <w:color w:val="5B6973" w:themeColor="text2"/>
      </w:rPr>
      <w:tblPr/>
      <w:tcPr>
        <w:tcBorders>
          <w:top w:val="single" w:sz="8" w:space="0" w:color="A98D63" w:themeColor="accent6"/>
          <w:bottom w:val="single" w:sz="8" w:space="0" w:color="A98D63" w:themeColor="accent6"/>
        </w:tcBorders>
      </w:tcPr>
    </w:tblStylePr>
    <w:tblStylePr w:type="firstCol">
      <w:rPr>
        <w:b/>
        <w:bCs/>
      </w:rPr>
    </w:tblStylePr>
    <w:tblStylePr w:type="lastCol">
      <w:rPr>
        <w:b/>
        <w:bCs/>
      </w:rPr>
      <w:tblPr/>
      <w:tcPr>
        <w:tcBorders>
          <w:top w:val="single" w:sz="8" w:space="0" w:color="A98D63" w:themeColor="accent6"/>
          <w:bottom w:val="single" w:sz="8" w:space="0" w:color="A98D63" w:themeColor="accent6"/>
        </w:tcBorders>
      </w:tcPr>
    </w:tblStylePr>
    <w:tblStylePr w:type="band1Vert">
      <w:tblPr/>
      <w:tcPr>
        <w:shd w:val="clear" w:color="auto" w:fill="E9E2D8" w:themeFill="accent6" w:themeFillTint="3F"/>
      </w:tcPr>
    </w:tblStylePr>
    <w:tblStylePr w:type="band1Horz">
      <w:tblPr/>
      <w:tcPr>
        <w:shd w:val="clear" w:color="auto" w:fill="E9E2D8" w:themeFill="accent6" w:themeFillTint="3F"/>
      </w:tcPr>
    </w:tblStylePr>
  </w:style>
  <w:style w:type="table" w:customStyle="1" w:styleId="MediumList21">
    <w:name w:val="Medium List 21"/>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8C723" w:themeColor="accent1"/>
        <w:left w:val="single" w:sz="8" w:space="0" w:color="98C723" w:themeColor="accent1"/>
        <w:bottom w:val="single" w:sz="8" w:space="0" w:color="98C723" w:themeColor="accent1"/>
        <w:right w:val="single" w:sz="8" w:space="0" w:color="98C723" w:themeColor="accent1"/>
      </w:tblBorders>
    </w:tblPr>
    <w:tblStylePr w:type="firstRow">
      <w:rPr>
        <w:sz w:val="24"/>
        <w:szCs w:val="24"/>
      </w:rPr>
      <w:tblPr/>
      <w:tcPr>
        <w:tcBorders>
          <w:top w:val="nil"/>
          <w:left w:val="nil"/>
          <w:bottom w:val="single" w:sz="24" w:space="0" w:color="98C723" w:themeColor="accent1"/>
          <w:right w:val="nil"/>
          <w:insideH w:val="nil"/>
          <w:insideV w:val="nil"/>
        </w:tcBorders>
        <w:shd w:val="clear" w:color="auto" w:fill="FFFFFF" w:themeFill="background1"/>
      </w:tcPr>
    </w:tblStylePr>
    <w:tblStylePr w:type="lastRow">
      <w:tblPr/>
      <w:tcPr>
        <w:tcBorders>
          <w:top w:val="single" w:sz="8" w:space="0" w:color="98C723"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8C723" w:themeColor="accent1"/>
          <w:insideH w:val="nil"/>
          <w:insideV w:val="nil"/>
        </w:tcBorders>
        <w:shd w:val="clear" w:color="auto" w:fill="FFFFFF" w:themeFill="background1"/>
      </w:tcPr>
    </w:tblStylePr>
    <w:tblStylePr w:type="lastCol">
      <w:tblPr/>
      <w:tcPr>
        <w:tcBorders>
          <w:top w:val="nil"/>
          <w:left w:val="single" w:sz="8" w:space="0" w:color="98C723"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F4C4" w:themeFill="accent1" w:themeFillTint="3F"/>
      </w:tcPr>
    </w:tblStylePr>
    <w:tblStylePr w:type="band1Horz">
      <w:tblPr/>
      <w:tcPr>
        <w:tcBorders>
          <w:top w:val="nil"/>
          <w:bottom w:val="nil"/>
          <w:insideH w:val="nil"/>
          <w:insideV w:val="nil"/>
        </w:tcBorders>
        <w:shd w:val="clear" w:color="auto" w:fill="E6F4C4"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59B0B9" w:themeColor="accent2"/>
        <w:left w:val="single" w:sz="8" w:space="0" w:color="59B0B9" w:themeColor="accent2"/>
        <w:bottom w:val="single" w:sz="8" w:space="0" w:color="59B0B9" w:themeColor="accent2"/>
        <w:right w:val="single" w:sz="8" w:space="0" w:color="59B0B9" w:themeColor="accent2"/>
      </w:tblBorders>
    </w:tblPr>
    <w:tblStylePr w:type="firstRow">
      <w:rPr>
        <w:sz w:val="24"/>
        <w:szCs w:val="24"/>
      </w:rPr>
      <w:tblPr/>
      <w:tcPr>
        <w:tcBorders>
          <w:top w:val="nil"/>
          <w:left w:val="nil"/>
          <w:bottom w:val="single" w:sz="24" w:space="0" w:color="59B0B9" w:themeColor="accent2"/>
          <w:right w:val="nil"/>
          <w:insideH w:val="nil"/>
          <w:insideV w:val="nil"/>
        </w:tcBorders>
        <w:shd w:val="clear" w:color="auto" w:fill="FFFFFF" w:themeFill="background1"/>
      </w:tcPr>
    </w:tblStylePr>
    <w:tblStylePr w:type="lastRow">
      <w:tblPr/>
      <w:tcPr>
        <w:tcBorders>
          <w:top w:val="single" w:sz="8" w:space="0" w:color="59B0B9"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9B0B9" w:themeColor="accent2"/>
          <w:insideH w:val="nil"/>
          <w:insideV w:val="nil"/>
        </w:tcBorders>
        <w:shd w:val="clear" w:color="auto" w:fill="FFFFFF" w:themeFill="background1"/>
      </w:tcPr>
    </w:tblStylePr>
    <w:tblStylePr w:type="lastCol">
      <w:tblPr/>
      <w:tcPr>
        <w:tcBorders>
          <w:top w:val="nil"/>
          <w:left w:val="single" w:sz="8" w:space="0" w:color="59B0B9"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5EBED" w:themeFill="accent2" w:themeFillTint="3F"/>
      </w:tcPr>
    </w:tblStylePr>
    <w:tblStylePr w:type="band1Horz">
      <w:tblPr/>
      <w:tcPr>
        <w:tcBorders>
          <w:top w:val="nil"/>
          <w:bottom w:val="nil"/>
          <w:insideH w:val="nil"/>
          <w:insideV w:val="nil"/>
        </w:tcBorders>
        <w:shd w:val="clear" w:color="auto" w:fill="D5EBED"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EAE00" w:themeColor="accent3"/>
        <w:left w:val="single" w:sz="8" w:space="0" w:color="DEAE00" w:themeColor="accent3"/>
        <w:bottom w:val="single" w:sz="8" w:space="0" w:color="DEAE00" w:themeColor="accent3"/>
        <w:right w:val="single" w:sz="8" w:space="0" w:color="DEAE00" w:themeColor="accent3"/>
      </w:tblBorders>
    </w:tblPr>
    <w:tblStylePr w:type="firstRow">
      <w:rPr>
        <w:sz w:val="24"/>
        <w:szCs w:val="24"/>
      </w:rPr>
      <w:tblPr/>
      <w:tcPr>
        <w:tcBorders>
          <w:top w:val="nil"/>
          <w:left w:val="nil"/>
          <w:bottom w:val="single" w:sz="24" w:space="0" w:color="DEAE00" w:themeColor="accent3"/>
          <w:right w:val="nil"/>
          <w:insideH w:val="nil"/>
          <w:insideV w:val="nil"/>
        </w:tcBorders>
        <w:shd w:val="clear" w:color="auto" w:fill="FFFFFF" w:themeFill="background1"/>
      </w:tcPr>
    </w:tblStylePr>
    <w:tblStylePr w:type="lastRow">
      <w:tblPr/>
      <w:tcPr>
        <w:tcBorders>
          <w:top w:val="single" w:sz="8" w:space="0" w:color="DEAE0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EAE00" w:themeColor="accent3"/>
          <w:insideH w:val="nil"/>
          <w:insideV w:val="nil"/>
        </w:tcBorders>
        <w:shd w:val="clear" w:color="auto" w:fill="FFFFFF" w:themeFill="background1"/>
      </w:tcPr>
    </w:tblStylePr>
    <w:tblStylePr w:type="lastCol">
      <w:tblPr/>
      <w:tcPr>
        <w:tcBorders>
          <w:top w:val="nil"/>
          <w:left w:val="single" w:sz="8" w:space="0" w:color="DEAE0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B7" w:themeFill="accent3" w:themeFillTint="3F"/>
      </w:tcPr>
    </w:tblStylePr>
    <w:tblStylePr w:type="band1Horz">
      <w:tblPr/>
      <w:tcPr>
        <w:tcBorders>
          <w:top w:val="nil"/>
          <w:bottom w:val="nil"/>
          <w:insideH w:val="nil"/>
          <w:insideV w:val="nil"/>
        </w:tcBorders>
        <w:shd w:val="clear" w:color="auto" w:fill="FFEFB7"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77BB4" w:themeColor="accent4"/>
        <w:left w:val="single" w:sz="8" w:space="0" w:color="B77BB4" w:themeColor="accent4"/>
        <w:bottom w:val="single" w:sz="8" w:space="0" w:color="B77BB4" w:themeColor="accent4"/>
        <w:right w:val="single" w:sz="8" w:space="0" w:color="B77BB4" w:themeColor="accent4"/>
      </w:tblBorders>
    </w:tblPr>
    <w:tblStylePr w:type="firstRow">
      <w:rPr>
        <w:sz w:val="24"/>
        <w:szCs w:val="24"/>
      </w:rPr>
      <w:tblPr/>
      <w:tcPr>
        <w:tcBorders>
          <w:top w:val="nil"/>
          <w:left w:val="nil"/>
          <w:bottom w:val="single" w:sz="24" w:space="0" w:color="B77BB4" w:themeColor="accent4"/>
          <w:right w:val="nil"/>
          <w:insideH w:val="nil"/>
          <w:insideV w:val="nil"/>
        </w:tcBorders>
        <w:shd w:val="clear" w:color="auto" w:fill="FFFFFF" w:themeFill="background1"/>
      </w:tcPr>
    </w:tblStylePr>
    <w:tblStylePr w:type="lastRow">
      <w:tblPr/>
      <w:tcPr>
        <w:tcBorders>
          <w:top w:val="single" w:sz="8" w:space="0" w:color="B77BB4"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77BB4" w:themeColor="accent4"/>
          <w:insideH w:val="nil"/>
          <w:insideV w:val="nil"/>
        </w:tcBorders>
        <w:shd w:val="clear" w:color="auto" w:fill="FFFFFF" w:themeFill="background1"/>
      </w:tcPr>
    </w:tblStylePr>
    <w:tblStylePr w:type="lastCol">
      <w:tblPr/>
      <w:tcPr>
        <w:tcBorders>
          <w:top w:val="nil"/>
          <w:left w:val="single" w:sz="8" w:space="0" w:color="B77BB4"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DDEEC" w:themeFill="accent4" w:themeFillTint="3F"/>
      </w:tcPr>
    </w:tblStylePr>
    <w:tblStylePr w:type="band1Horz">
      <w:tblPr/>
      <w:tcPr>
        <w:tcBorders>
          <w:top w:val="nil"/>
          <w:bottom w:val="nil"/>
          <w:insideH w:val="nil"/>
          <w:insideV w:val="nil"/>
        </w:tcBorders>
        <w:shd w:val="clear" w:color="auto" w:fill="EDDEEC"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0773C" w:themeColor="accent5"/>
        <w:left w:val="single" w:sz="8" w:space="0" w:color="E0773C" w:themeColor="accent5"/>
        <w:bottom w:val="single" w:sz="8" w:space="0" w:color="E0773C" w:themeColor="accent5"/>
        <w:right w:val="single" w:sz="8" w:space="0" w:color="E0773C" w:themeColor="accent5"/>
      </w:tblBorders>
    </w:tblPr>
    <w:tblStylePr w:type="firstRow">
      <w:rPr>
        <w:sz w:val="24"/>
        <w:szCs w:val="24"/>
      </w:rPr>
      <w:tblPr/>
      <w:tcPr>
        <w:tcBorders>
          <w:top w:val="nil"/>
          <w:left w:val="nil"/>
          <w:bottom w:val="single" w:sz="24" w:space="0" w:color="E0773C" w:themeColor="accent5"/>
          <w:right w:val="nil"/>
          <w:insideH w:val="nil"/>
          <w:insideV w:val="nil"/>
        </w:tcBorders>
        <w:shd w:val="clear" w:color="auto" w:fill="FFFFFF" w:themeFill="background1"/>
      </w:tcPr>
    </w:tblStylePr>
    <w:tblStylePr w:type="lastRow">
      <w:tblPr/>
      <w:tcPr>
        <w:tcBorders>
          <w:top w:val="single" w:sz="8" w:space="0" w:color="E0773C"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0773C" w:themeColor="accent5"/>
          <w:insideH w:val="nil"/>
          <w:insideV w:val="nil"/>
        </w:tcBorders>
        <w:shd w:val="clear" w:color="auto" w:fill="FFFFFF" w:themeFill="background1"/>
      </w:tcPr>
    </w:tblStylePr>
    <w:tblStylePr w:type="lastCol">
      <w:tblPr/>
      <w:tcPr>
        <w:tcBorders>
          <w:top w:val="nil"/>
          <w:left w:val="single" w:sz="8" w:space="0" w:color="E0773C"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7DDCE" w:themeFill="accent5" w:themeFillTint="3F"/>
      </w:tcPr>
    </w:tblStylePr>
    <w:tblStylePr w:type="band1Horz">
      <w:tblPr/>
      <w:tcPr>
        <w:tcBorders>
          <w:top w:val="nil"/>
          <w:bottom w:val="nil"/>
          <w:insideH w:val="nil"/>
          <w:insideV w:val="nil"/>
        </w:tcBorders>
        <w:shd w:val="clear" w:color="auto" w:fill="F7DDCE"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2E7F6D"/>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98D63" w:themeColor="accent6"/>
        <w:left w:val="single" w:sz="8" w:space="0" w:color="A98D63" w:themeColor="accent6"/>
        <w:bottom w:val="single" w:sz="8" w:space="0" w:color="A98D63" w:themeColor="accent6"/>
        <w:right w:val="single" w:sz="8" w:space="0" w:color="A98D63" w:themeColor="accent6"/>
      </w:tblBorders>
    </w:tblPr>
    <w:tblStylePr w:type="firstRow">
      <w:rPr>
        <w:sz w:val="24"/>
        <w:szCs w:val="24"/>
      </w:rPr>
      <w:tblPr/>
      <w:tcPr>
        <w:tcBorders>
          <w:top w:val="nil"/>
          <w:left w:val="nil"/>
          <w:bottom w:val="single" w:sz="24" w:space="0" w:color="A98D63" w:themeColor="accent6"/>
          <w:right w:val="nil"/>
          <w:insideH w:val="nil"/>
          <w:insideV w:val="nil"/>
        </w:tcBorders>
        <w:shd w:val="clear" w:color="auto" w:fill="FFFFFF" w:themeFill="background1"/>
      </w:tcPr>
    </w:tblStylePr>
    <w:tblStylePr w:type="lastRow">
      <w:tblPr/>
      <w:tcPr>
        <w:tcBorders>
          <w:top w:val="single" w:sz="8" w:space="0" w:color="A98D63"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98D63" w:themeColor="accent6"/>
          <w:insideH w:val="nil"/>
          <w:insideV w:val="nil"/>
        </w:tcBorders>
        <w:shd w:val="clear" w:color="auto" w:fill="FFFFFF" w:themeFill="background1"/>
      </w:tcPr>
    </w:tblStylePr>
    <w:tblStylePr w:type="lastCol">
      <w:tblPr/>
      <w:tcPr>
        <w:tcBorders>
          <w:top w:val="nil"/>
          <w:left w:val="single" w:sz="8" w:space="0" w:color="A98D63"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E2D8" w:themeFill="accent6" w:themeFillTint="3F"/>
      </w:tcPr>
    </w:tblStylePr>
    <w:tblStylePr w:type="band1Horz">
      <w:tblPr/>
      <w:tcPr>
        <w:tcBorders>
          <w:top w:val="nil"/>
          <w:bottom w:val="nil"/>
          <w:insideH w:val="nil"/>
          <w:insideV w:val="nil"/>
        </w:tcBorders>
        <w:shd w:val="clear" w:color="auto" w:fill="E9E2D8"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ediumShading11">
    <w:name w:val="Medium Shading 11"/>
    <w:basedOn w:val="TableNormal"/>
    <w:uiPriority w:val="63"/>
    <w:rsid w:val="002E7F6D"/>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ediumShading1-Accent11">
    <w:name w:val="Medium Shading 1 - Accent 11"/>
    <w:basedOn w:val="TableNormal"/>
    <w:uiPriority w:val="63"/>
    <w:rsid w:val="002E7F6D"/>
    <w:pPr>
      <w:spacing w:after="0" w:line="240" w:lineRule="auto"/>
    </w:pPr>
    <w:tblPr>
      <w:tblStyleRowBandSize w:val="1"/>
      <w:tblStyleColBandSize w:val="1"/>
      <w:tblBorders>
        <w:top w:val="single" w:sz="8"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single" w:sz="8" w:space="0" w:color="B5E04E" w:themeColor="accent1" w:themeTint="BF"/>
      </w:tblBorders>
    </w:tblPr>
    <w:tblStylePr w:type="firstRow">
      <w:pPr>
        <w:spacing w:before="0" w:after="0" w:line="240" w:lineRule="auto"/>
      </w:pPr>
      <w:rPr>
        <w:b/>
        <w:bCs/>
        <w:color w:val="FFFFFF" w:themeColor="background1"/>
      </w:rPr>
      <w:tblPr/>
      <w:tcPr>
        <w:tcBorders>
          <w:top w:val="single" w:sz="8"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nil"/>
          <w:insideV w:val="nil"/>
        </w:tcBorders>
        <w:shd w:val="clear" w:color="auto" w:fill="98C723" w:themeFill="accent1"/>
      </w:tcPr>
    </w:tblStylePr>
    <w:tblStylePr w:type="lastRow">
      <w:pPr>
        <w:spacing w:before="0" w:after="0" w:line="240" w:lineRule="auto"/>
      </w:pPr>
      <w:rPr>
        <w:b/>
        <w:bCs/>
      </w:rPr>
      <w:tblPr/>
      <w:tcPr>
        <w:tcBorders>
          <w:top w:val="double" w:sz="6" w:space="0" w:color="B5E04E" w:themeColor="accent1" w:themeTint="BF"/>
          <w:left w:val="single" w:sz="8" w:space="0" w:color="B5E04E" w:themeColor="accent1" w:themeTint="BF"/>
          <w:bottom w:val="single" w:sz="8" w:space="0" w:color="B5E04E" w:themeColor="accent1" w:themeTint="BF"/>
          <w:right w:val="single" w:sz="8" w:space="0" w:color="B5E04E" w:themeColor="accent1" w:themeTint="BF"/>
          <w:insideH w:val="nil"/>
          <w:insideV w:val="nil"/>
        </w:tcBorders>
      </w:tcPr>
    </w:tblStylePr>
    <w:tblStylePr w:type="firstCol">
      <w:rPr>
        <w:b/>
        <w:bCs/>
      </w:rPr>
    </w:tblStylePr>
    <w:tblStylePr w:type="lastCol">
      <w:rPr>
        <w:b/>
        <w:bCs/>
      </w:rPr>
    </w:tblStylePr>
    <w:tblStylePr w:type="band1Vert">
      <w:tblPr/>
      <w:tcPr>
        <w:shd w:val="clear" w:color="auto" w:fill="E6F4C4" w:themeFill="accent1" w:themeFillTint="3F"/>
      </w:tcPr>
    </w:tblStylePr>
    <w:tblStylePr w:type="band1Horz">
      <w:tblPr/>
      <w:tcPr>
        <w:tcBorders>
          <w:insideH w:val="nil"/>
          <w:insideV w:val="nil"/>
        </w:tcBorders>
        <w:shd w:val="clear" w:color="auto" w:fill="E6F4C4"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2E7F6D"/>
    <w:pPr>
      <w:spacing w:after="0" w:line="240" w:lineRule="auto"/>
    </w:pPr>
    <w:tblPr>
      <w:tblStyleRowBandSize w:val="1"/>
      <w:tblStyleColBandSize w:val="1"/>
      <w:tblBorders>
        <w:top w:val="single" w:sz="8"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single" w:sz="8" w:space="0" w:color="82C3CA" w:themeColor="accent2" w:themeTint="BF"/>
      </w:tblBorders>
    </w:tblPr>
    <w:tblStylePr w:type="firstRow">
      <w:pPr>
        <w:spacing w:before="0" w:after="0" w:line="240" w:lineRule="auto"/>
      </w:pPr>
      <w:rPr>
        <w:b/>
        <w:bCs/>
        <w:color w:val="FFFFFF" w:themeColor="background1"/>
      </w:rPr>
      <w:tblPr/>
      <w:tcPr>
        <w:tcBorders>
          <w:top w:val="single" w:sz="8"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nil"/>
          <w:insideV w:val="nil"/>
        </w:tcBorders>
        <w:shd w:val="clear" w:color="auto" w:fill="59B0B9" w:themeFill="accent2"/>
      </w:tcPr>
    </w:tblStylePr>
    <w:tblStylePr w:type="lastRow">
      <w:pPr>
        <w:spacing w:before="0" w:after="0" w:line="240" w:lineRule="auto"/>
      </w:pPr>
      <w:rPr>
        <w:b/>
        <w:bCs/>
      </w:rPr>
      <w:tblPr/>
      <w:tcPr>
        <w:tcBorders>
          <w:top w:val="double" w:sz="6" w:space="0" w:color="82C3CA" w:themeColor="accent2" w:themeTint="BF"/>
          <w:left w:val="single" w:sz="8" w:space="0" w:color="82C3CA" w:themeColor="accent2" w:themeTint="BF"/>
          <w:bottom w:val="single" w:sz="8" w:space="0" w:color="82C3CA" w:themeColor="accent2" w:themeTint="BF"/>
          <w:right w:val="single" w:sz="8" w:space="0" w:color="82C3CA" w:themeColor="accent2" w:themeTint="BF"/>
          <w:insideH w:val="nil"/>
          <w:insideV w:val="nil"/>
        </w:tcBorders>
      </w:tcPr>
    </w:tblStylePr>
    <w:tblStylePr w:type="firstCol">
      <w:rPr>
        <w:b/>
        <w:bCs/>
      </w:rPr>
    </w:tblStylePr>
    <w:tblStylePr w:type="lastCol">
      <w:rPr>
        <w:b/>
        <w:bCs/>
      </w:rPr>
    </w:tblStylePr>
    <w:tblStylePr w:type="band1Vert">
      <w:tblPr/>
      <w:tcPr>
        <w:shd w:val="clear" w:color="auto" w:fill="D5EBED" w:themeFill="accent2" w:themeFillTint="3F"/>
      </w:tcPr>
    </w:tblStylePr>
    <w:tblStylePr w:type="band1Horz">
      <w:tblPr/>
      <w:tcPr>
        <w:tcBorders>
          <w:insideH w:val="nil"/>
          <w:insideV w:val="nil"/>
        </w:tcBorders>
        <w:shd w:val="clear" w:color="auto" w:fill="D5EBED"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2E7F6D"/>
    <w:pPr>
      <w:spacing w:after="0" w:line="240" w:lineRule="auto"/>
    </w:pPr>
    <w:tblPr>
      <w:tblStyleRowBandSize w:val="1"/>
      <w:tblStyleColBandSize w:val="1"/>
      <w:tblBorders>
        <w:top w:val="single" w:sz="8"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single" w:sz="8" w:space="0" w:color="FFCF27" w:themeColor="accent3" w:themeTint="BF"/>
      </w:tblBorders>
    </w:tblPr>
    <w:tblStylePr w:type="firstRow">
      <w:pPr>
        <w:spacing w:before="0" w:after="0" w:line="240" w:lineRule="auto"/>
      </w:pPr>
      <w:rPr>
        <w:b/>
        <w:bCs/>
        <w:color w:val="FFFFFF" w:themeColor="background1"/>
      </w:rPr>
      <w:tblPr/>
      <w:tcPr>
        <w:tcBorders>
          <w:top w:val="single" w:sz="8"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nil"/>
          <w:insideV w:val="nil"/>
        </w:tcBorders>
        <w:shd w:val="clear" w:color="auto" w:fill="DEAE00" w:themeFill="accent3"/>
      </w:tcPr>
    </w:tblStylePr>
    <w:tblStylePr w:type="lastRow">
      <w:pPr>
        <w:spacing w:before="0" w:after="0" w:line="240" w:lineRule="auto"/>
      </w:pPr>
      <w:rPr>
        <w:b/>
        <w:bCs/>
      </w:rPr>
      <w:tblPr/>
      <w:tcPr>
        <w:tcBorders>
          <w:top w:val="double" w:sz="6" w:space="0" w:color="FFCF27" w:themeColor="accent3" w:themeTint="BF"/>
          <w:left w:val="single" w:sz="8" w:space="0" w:color="FFCF27" w:themeColor="accent3" w:themeTint="BF"/>
          <w:bottom w:val="single" w:sz="8" w:space="0" w:color="FFCF27" w:themeColor="accent3" w:themeTint="BF"/>
          <w:right w:val="single" w:sz="8" w:space="0" w:color="FFCF27" w:themeColor="accent3" w:themeTint="BF"/>
          <w:insideH w:val="nil"/>
          <w:insideV w:val="nil"/>
        </w:tcBorders>
      </w:tcPr>
    </w:tblStylePr>
    <w:tblStylePr w:type="firstCol">
      <w:rPr>
        <w:b/>
        <w:bCs/>
      </w:rPr>
    </w:tblStylePr>
    <w:tblStylePr w:type="lastCol">
      <w:rPr>
        <w:b/>
        <w:bCs/>
      </w:rPr>
    </w:tblStylePr>
    <w:tblStylePr w:type="band1Vert">
      <w:tblPr/>
      <w:tcPr>
        <w:shd w:val="clear" w:color="auto" w:fill="FFEFB7" w:themeFill="accent3" w:themeFillTint="3F"/>
      </w:tcPr>
    </w:tblStylePr>
    <w:tblStylePr w:type="band1Horz">
      <w:tblPr/>
      <w:tcPr>
        <w:tcBorders>
          <w:insideH w:val="nil"/>
          <w:insideV w:val="nil"/>
        </w:tcBorders>
        <w:shd w:val="clear" w:color="auto" w:fill="FFEFB7"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2E7F6D"/>
    <w:pPr>
      <w:spacing w:after="0" w:line="240" w:lineRule="auto"/>
    </w:pPr>
    <w:tblPr>
      <w:tblStyleRowBandSize w:val="1"/>
      <w:tblStyleColBandSize w:val="1"/>
      <w:tblBorders>
        <w:top w:val="single" w:sz="8"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single" w:sz="8" w:space="0" w:color="C99CC6" w:themeColor="accent4" w:themeTint="BF"/>
      </w:tblBorders>
    </w:tblPr>
    <w:tblStylePr w:type="firstRow">
      <w:pPr>
        <w:spacing w:before="0" w:after="0" w:line="240" w:lineRule="auto"/>
      </w:pPr>
      <w:rPr>
        <w:b/>
        <w:bCs/>
        <w:color w:val="FFFFFF" w:themeColor="background1"/>
      </w:rPr>
      <w:tblPr/>
      <w:tcPr>
        <w:tcBorders>
          <w:top w:val="single" w:sz="8"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nil"/>
          <w:insideV w:val="nil"/>
        </w:tcBorders>
        <w:shd w:val="clear" w:color="auto" w:fill="B77BB4" w:themeFill="accent4"/>
      </w:tcPr>
    </w:tblStylePr>
    <w:tblStylePr w:type="lastRow">
      <w:pPr>
        <w:spacing w:before="0" w:after="0" w:line="240" w:lineRule="auto"/>
      </w:pPr>
      <w:rPr>
        <w:b/>
        <w:bCs/>
      </w:rPr>
      <w:tblPr/>
      <w:tcPr>
        <w:tcBorders>
          <w:top w:val="double" w:sz="6" w:space="0" w:color="C99CC6" w:themeColor="accent4" w:themeTint="BF"/>
          <w:left w:val="single" w:sz="8" w:space="0" w:color="C99CC6" w:themeColor="accent4" w:themeTint="BF"/>
          <w:bottom w:val="single" w:sz="8" w:space="0" w:color="C99CC6" w:themeColor="accent4" w:themeTint="BF"/>
          <w:right w:val="single" w:sz="8" w:space="0" w:color="C99CC6" w:themeColor="accent4" w:themeTint="BF"/>
          <w:insideH w:val="nil"/>
          <w:insideV w:val="nil"/>
        </w:tcBorders>
      </w:tcPr>
    </w:tblStylePr>
    <w:tblStylePr w:type="firstCol">
      <w:rPr>
        <w:b/>
        <w:bCs/>
      </w:rPr>
    </w:tblStylePr>
    <w:tblStylePr w:type="lastCol">
      <w:rPr>
        <w:b/>
        <w:bCs/>
      </w:rPr>
    </w:tblStylePr>
    <w:tblStylePr w:type="band1Vert">
      <w:tblPr/>
      <w:tcPr>
        <w:shd w:val="clear" w:color="auto" w:fill="EDDEEC" w:themeFill="accent4" w:themeFillTint="3F"/>
      </w:tcPr>
    </w:tblStylePr>
    <w:tblStylePr w:type="band1Horz">
      <w:tblPr/>
      <w:tcPr>
        <w:tcBorders>
          <w:insideH w:val="nil"/>
          <w:insideV w:val="nil"/>
        </w:tcBorders>
        <w:shd w:val="clear" w:color="auto" w:fill="EDDEEC"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2E7F6D"/>
    <w:pPr>
      <w:spacing w:after="0" w:line="240" w:lineRule="auto"/>
    </w:pPr>
    <w:tblPr>
      <w:tblStyleRowBandSize w:val="1"/>
      <w:tblStyleColBandSize w:val="1"/>
      <w:tblBorders>
        <w:top w:val="single" w:sz="8"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single" w:sz="8" w:space="0" w:color="E7986C" w:themeColor="accent5" w:themeTint="BF"/>
      </w:tblBorders>
    </w:tblPr>
    <w:tblStylePr w:type="firstRow">
      <w:pPr>
        <w:spacing w:before="0" w:after="0" w:line="240" w:lineRule="auto"/>
      </w:pPr>
      <w:rPr>
        <w:b/>
        <w:bCs/>
        <w:color w:val="FFFFFF" w:themeColor="background1"/>
      </w:rPr>
      <w:tblPr/>
      <w:tcPr>
        <w:tcBorders>
          <w:top w:val="single" w:sz="8"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nil"/>
          <w:insideV w:val="nil"/>
        </w:tcBorders>
        <w:shd w:val="clear" w:color="auto" w:fill="E0773C" w:themeFill="accent5"/>
      </w:tcPr>
    </w:tblStylePr>
    <w:tblStylePr w:type="lastRow">
      <w:pPr>
        <w:spacing w:before="0" w:after="0" w:line="240" w:lineRule="auto"/>
      </w:pPr>
      <w:rPr>
        <w:b/>
        <w:bCs/>
      </w:rPr>
      <w:tblPr/>
      <w:tcPr>
        <w:tcBorders>
          <w:top w:val="double" w:sz="6" w:space="0" w:color="E7986C" w:themeColor="accent5" w:themeTint="BF"/>
          <w:left w:val="single" w:sz="8" w:space="0" w:color="E7986C" w:themeColor="accent5" w:themeTint="BF"/>
          <w:bottom w:val="single" w:sz="8" w:space="0" w:color="E7986C" w:themeColor="accent5" w:themeTint="BF"/>
          <w:right w:val="single" w:sz="8" w:space="0" w:color="E7986C" w:themeColor="accent5" w:themeTint="BF"/>
          <w:insideH w:val="nil"/>
          <w:insideV w:val="nil"/>
        </w:tcBorders>
      </w:tcPr>
    </w:tblStylePr>
    <w:tblStylePr w:type="firstCol">
      <w:rPr>
        <w:b/>
        <w:bCs/>
      </w:rPr>
    </w:tblStylePr>
    <w:tblStylePr w:type="lastCol">
      <w:rPr>
        <w:b/>
        <w:bCs/>
      </w:rPr>
    </w:tblStylePr>
    <w:tblStylePr w:type="band1Vert">
      <w:tblPr/>
      <w:tcPr>
        <w:shd w:val="clear" w:color="auto" w:fill="F7DDCE" w:themeFill="accent5" w:themeFillTint="3F"/>
      </w:tcPr>
    </w:tblStylePr>
    <w:tblStylePr w:type="band1Horz">
      <w:tblPr/>
      <w:tcPr>
        <w:tcBorders>
          <w:insideH w:val="nil"/>
          <w:insideV w:val="nil"/>
        </w:tcBorders>
        <w:shd w:val="clear" w:color="auto" w:fill="F7DDCE"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2E7F6D"/>
    <w:pPr>
      <w:spacing w:after="0" w:line="240" w:lineRule="auto"/>
    </w:pPr>
    <w:tblPr>
      <w:tblStyleRowBandSize w:val="1"/>
      <w:tblStyleColBandSize w:val="1"/>
      <w:tblBorders>
        <w:top w:val="single" w:sz="8"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single" w:sz="8" w:space="0" w:color="BEA98A" w:themeColor="accent6" w:themeTint="BF"/>
      </w:tblBorders>
    </w:tblPr>
    <w:tblStylePr w:type="firstRow">
      <w:pPr>
        <w:spacing w:before="0" w:after="0" w:line="240" w:lineRule="auto"/>
      </w:pPr>
      <w:rPr>
        <w:b/>
        <w:bCs/>
        <w:color w:val="FFFFFF" w:themeColor="background1"/>
      </w:rPr>
      <w:tblPr/>
      <w:tcPr>
        <w:tcBorders>
          <w:top w:val="single" w:sz="8"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nil"/>
          <w:insideV w:val="nil"/>
        </w:tcBorders>
        <w:shd w:val="clear" w:color="auto" w:fill="A98D63" w:themeFill="accent6"/>
      </w:tcPr>
    </w:tblStylePr>
    <w:tblStylePr w:type="lastRow">
      <w:pPr>
        <w:spacing w:before="0" w:after="0" w:line="240" w:lineRule="auto"/>
      </w:pPr>
      <w:rPr>
        <w:b/>
        <w:bCs/>
      </w:rPr>
      <w:tblPr/>
      <w:tcPr>
        <w:tcBorders>
          <w:top w:val="double" w:sz="6" w:space="0" w:color="BEA98A" w:themeColor="accent6" w:themeTint="BF"/>
          <w:left w:val="single" w:sz="8" w:space="0" w:color="BEA98A" w:themeColor="accent6" w:themeTint="BF"/>
          <w:bottom w:val="single" w:sz="8" w:space="0" w:color="BEA98A" w:themeColor="accent6" w:themeTint="BF"/>
          <w:right w:val="single" w:sz="8" w:space="0" w:color="BEA98A" w:themeColor="accent6" w:themeTint="BF"/>
          <w:insideH w:val="nil"/>
          <w:insideV w:val="nil"/>
        </w:tcBorders>
      </w:tcPr>
    </w:tblStylePr>
    <w:tblStylePr w:type="firstCol">
      <w:rPr>
        <w:b/>
        <w:bCs/>
      </w:rPr>
    </w:tblStylePr>
    <w:tblStylePr w:type="lastCol">
      <w:rPr>
        <w:b/>
        <w:bCs/>
      </w:rPr>
    </w:tblStylePr>
    <w:tblStylePr w:type="band1Vert">
      <w:tblPr/>
      <w:tcPr>
        <w:shd w:val="clear" w:color="auto" w:fill="E9E2D8" w:themeFill="accent6" w:themeFillTint="3F"/>
      </w:tcPr>
    </w:tblStylePr>
    <w:tblStylePr w:type="band1Horz">
      <w:tblPr/>
      <w:tcPr>
        <w:tcBorders>
          <w:insideH w:val="nil"/>
          <w:insideV w:val="nil"/>
        </w:tcBorders>
        <w:shd w:val="clear" w:color="auto" w:fill="E9E2D8" w:themeFill="accent6" w:themeFillTint="3F"/>
      </w:tcPr>
    </w:tblStylePr>
    <w:tblStylePr w:type="band2Horz">
      <w:tblPr/>
      <w:tcPr>
        <w:tcBorders>
          <w:insideH w:val="nil"/>
          <w:insideV w:val="nil"/>
        </w:tcBorders>
      </w:tcPr>
    </w:tblStylePr>
  </w:style>
  <w:style w:type="table" w:customStyle="1" w:styleId="MediumShading21">
    <w:name w:val="Medium Shading 21"/>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ediumShading2-Accent11">
    <w:name w:val="Medium Shading 2 - Accent 11"/>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8C723"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8C723" w:themeFill="accent1"/>
      </w:tcPr>
    </w:tblStylePr>
    <w:tblStylePr w:type="lastCol">
      <w:rPr>
        <w:b/>
        <w:bCs/>
        <w:color w:val="FFFFFF" w:themeColor="background1"/>
      </w:rPr>
      <w:tblPr/>
      <w:tcPr>
        <w:tcBorders>
          <w:left w:val="nil"/>
          <w:right w:val="nil"/>
          <w:insideH w:val="nil"/>
          <w:insideV w:val="nil"/>
        </w:tcBorders>
        <w:shd w:val="clear" w:color="auto" w:fill="98C723"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9B0B9"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9B0B9" w:themeFill="accent2"/>
      </w:tcPr>
    </w:tblStylePr>
    <w:tblStylePr w:type="lastCol">
      <w:rPr>
        <w:b/>
        <w:bCs/>
        <w:color w:val="FFFFFF" w:themeColor="background1"/>
      </w:rPr>
      <w:tblPr/>
      <w:tcPr>
        <w:tcBorders>
          <w:left w:val="nil"/>
          <w:right w:val="nil"/>
          <w:insideH w:val="nil"/>
          <w:insideV w:val="nil"/>
        </w:tcBorders>
        <w:shd w:val="clear" w:color="auto" w:fill="59B0B9"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EAE0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DEAE00" w:themeFill="accent3"/>
      </w:tcPr>
    </w:tblStylePr>
    <w:tblStylePr w:type="lastCol">
      <w:rPr>
        <w:b/>
        <w:bCs/>
        <w:color w:val="FFFFFF" w:themeColor="background1"/>
      </w:rPr>
      <w:tblPr/>
      <w:tcPr>
        <w:tcBorders>
          <w:left w:val="nil"/>
          <w:right w:val="nil"/>
          <w:insideH w:val="nil"/>
          <w:insideV w:val="nil"/>
        </w:tcBorders>
        <w:shd w:val="clear" w:color="auto" w:fill="DEAE0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77BB4"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77BB4" w:themeFill="accent4"/>
      </w:tcPr>
    </w:tblStylePr>
    <w:tblStylePr w:type="lastCol">
      <w:rPr>
        <w:b/>
        <w:bCs/>
        <w:color w:val="FFFFFF" w:themeColor="background1"/>
      </w:rPr>
      <w:tblPr/>
      <w:tcPr>
        <w:tcBorders>
          <w:left w:val="nil"/>
          <w:right w:val="nil"/>
          <w:insideH w:val="nil"/>
          <w:insideV w:val="nil"/>
        </w:tcBorders>
        <w:shd w:val="clear" w:color="auto" w:fill="B77BB4"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0773C"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0773C" w:themeFill="accent5"/>
      </w:tcPr>
    </w:tblStylePr>
    <w:tblStylePr w:type="lastCol">
      <w:rPr>
        <w:b/>
        <w:bCs/>
        <w:color w:val="FFFFFF" w:themeColor="background1"/>
      </w:rPr>
      <w:tblPr/>
      <w:tcPr>
        <w:tcBorders>
          <w:left w:val="nil"/>
          <w:right w:val="nil"/>
          <w:insideH w:val="nil"/>
          <w:insideV w:val="nil"/>
        </w:tcBorders>
        <w:shd w:val="clear" w:color="auto" w:fill="E0773C"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2E7F6D"/>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98D63"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98D63" w:themeFill="accent6"/>
      </w:tcPr>
    </w:tblStylePr>
    <w:tblStylePr w:type="lastCol">
      <w:rPr>
        <w:b/>
        <w:bCs/>
        <w:color w:val="FFFFFF" w:themeColor="background1"/>
      </w:rPr>
      <w:tblPr/>
      <w:tcPr>
        <w:tcBorders>
          <w:left w:val="nil"/>
          <w:right w:val="nil"/>
          <w:insideH w:val="nil"/>
          <w:insideV w:val="nil"/>
        </w:tcBorders>
        <w:shd w:val="clear" w:color="auto" w:fill="A98D63"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2E7F6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2E7F6D"/>
    <w:rPr>
      <w:rFonts w:asciiTheme="majorHAnsi" w:eastAsiaTheme="majorEastAsia" w:hAnsiTheme="majorHAnsi" w:cstheme="majorBidi"/>
      <w:sz w:val="24"/>
      <w:shd w:val="pct20" w:color="auto" w:fill="auto"/>
    </w:rPr>
  </w:style>
  <w:style w:type="paragraph" w:styleId="NormalWeb">
    <w:name w:val="Normal (Web)"/>
    <w:basedOn w:val="Normal"/>
    <w:uiPriority w:val="99"/>
    <w:semiHidden/>
    <w:unhideWhenUsed/>
    <w:rsid w:val="002E7F6D"/>
    <w:rPr>
      <w:rFonts w:ascii="Times New Roman" w:hAnsi="Times New Roman" w:cs="Times New Roman"/>
    </w:rPr>
  </w:style>
  <w:style w:type="paragraph" w:styleId="NormalIndent">
    <w:name w:val="Normal Indent"/>
    <w:basedOn w:val="Normal"/>
    <w:uiPriority w:val="99"/>
    <w:semiHidden/>
    <w:unhideWhenUsed/>
    <w:rsid w:val="002E7F6D"/>
    <w:pPr>
      <w:ind w:left="720"/>
    </w:pPr>
  </w:style>
  <w:style w:type="paragraph" w:styleId="NoteHeading">
    <w:name w:val="Note Heading"/>
    <w:basedOn w:val="Normal"/>
    <w:next w:val="Normal"/>
    <w:link w:val="NoteHeadingChar"/>
    <w:uiPriority w:val="99"/>
    <w:semiHidden/>
    <w:unhideWhenUsed/>
    <w:rsid w:val="002E7F6D"/>
    <w:pPr>
      <w:spacing w:after="0" w:line="240" w:lineRule="auto"/>
    </w:pPr>
  </w:style>
  <w:style w:type="character" w:customStyle="1" w:styleId="NoteHeadingChar">
    <w:name w:val="Note Heading Char"/>
    <w:basedOn w:val="DefaultParagraphFont"/>
    <w:link w:val="NoteHeading"/>
    <w:uiPriority w:val="99"/>
    <w:semiHidden/>
    <w:rsid w:val="002E7F6D"/>
  </w:style>
  <w:style w:type="character" w:styleId="PageNumber">
    <w:name w:val="page number"/>
    <w:basedOn w:val="DefaultParagraphFont"/>
    <w:semiHidden/>
    <w:unhideWhenUsed/>
    <w:rsid w:val="002E7F6D"/>
  </w:style>
  <w:style w:type="paragraph" w:styleId="PlainText">
    <w:name w:val="Plain Text"/>
    <w:basedOn w:val="Normal"/>
    <w:link w:val="PlainTextChar"/>
    <w:uiPriority w:val="99"/>
    <w:semiHidden/>
    <w:unhideWhenUsed/>
    <w:rsid w:val="002E7F6D"/>
    <w:pPr>
      <w:spacing w:after="0" w:line="240" w:lineRule="auto"/>
    </w:pPr>
    <w:rPr>
      <w:rFonts w:ascii="Consolas" w:hAnsi="Consolas" w:cs="Consolas"/>
      <w:sz w:val="21"/>
    </w:rPr>
  </w:style>
  <w:style w:type="character" w:customStyle="1" w:styleId="PlainTextChar">
    <w:name w:val="Plain Text Char"/>
    <w:basedOn w:val="DefaultParagraphFont"/>
    <w:link w:val="PlainText"/>
    <w:uiPriority w:val="99"/>
    <w:semiHidden/>
    <w:rsid w:val="002E7F6D"/>
    <w:rPr>
      <w:rFonts w:ascii="Consolas" w:hAnsi="Consolas" w:cs="Consolas"/>
      <w:sz w:val="21"/>
    </w:rPr>
  </w:style>
  <w:style w:type="paragraph" w:styleId="Salutation">
    <w:name w:val="Salutation"/>
    <w:basedOn w:val="Normal"/>
    <w:next w:val="Normal"/>
    <w:link w:val="SalutationChar"/>
    <w:uiPriority w:val="99"/>
    <w:semiHidden/>
    <w:unhideWhenUsed/>
    <w:rsid w:val="002E7F6D"/>
  </w:style>
  <w:style w:type="character" w:customStyle="1" w:styleId="SalutationChar">
    <w:name w:val="Salutation Char"/>
    <w:basedOn w:val="DefaultParagraphFont"/>
    <w:link w:val="Salutation"/>
    <w:uiPriority w:val="99"/>
    <w:semiHidden/>
    <w:rsid w:val="002E7F6D"/>
  </w:style>
  <w:style w:type="paragraph" w:styleId="Signature">
    <w:name w:val="Signature"/>
    <w:basedOn w:val="Normal"/>
    <w:link w:val="SignatureChar"/>
    <w:uiPriority w:val="20"/>
    <w:unhideWhenUsed/>
    <w:qFormat/>
    <w:rsid w:val="002E7F6D"/>
    <w:pPr>
      <w:spacing w:before="720" w:after="0" w:line="312" w:lineRule="auto"/>
      <w:contextualSpacing/>
    </w:pPr>
  </w:style>
  <w:style w:type="character" w:customStyle="1" w:styleId="SignatureChar">
    <w:name w:val="Signature Char"/>
    <w:basedOn w:val="DefaultParagraphFont"/>
    <w:link w:val="Signature"/>
    <w:uiPriority w:val="20"/>
    <w:rsid w:val="002E7F6D"/>
    <w:rPr>
      <w:kern w:val="20"/>
    </w:rPr>
  </w:style>
  <w:style w:type="character" w:styleId="Strong">
    <w:name w:val="Strong"/>
    <w:basedOn w:val="DefaultParagraphFont"/>
    <w:uiPriority w:val="1"/>
    <w:unhideWhenUsed/>
    <w:qFormat/>
    <w:rsid w:val="002E7F6D"/>
    <w:rPr>
      <w:b/>
      <w:bCs/>
    </w:rPr>
  </w:style>
  <w:style w:type="paragraph" w:styleId="Subtitle">
    <w:name w:val="Subtitle"/>
    <w:basedOn w:val="Normal"/>
    <w:next w:val="Normal"/>
    <w:link w:val="SubtitleChar"/>
    <w:uiPriority w:val="19"/>
    <w:unhideWhenUsed/>
    <w:qFormat/>
    <w:rsid w:val="002E7F6D"/>
    <w:pPr>
      <w:numPr>
        <w:ilvl w:val="1"/>
      </w:numPr>
      <w:ind w:left="432" w:right="1080"/>
    </w:pPr>
    <w:rPr>
      <w:rFonts w:asciiTheme="majorHAnsi" w:eastAsiaTheme="majorEastAsia" w:hAnsiTheme="majorHAnsi" w:cstheme="majorBidi"/>
      <w:caps/>
      <w:color w:val="98C723" w:themeColor="accent1"/>
      <w:sz w:val="56"/>
    </w:rPr>
  </w:style>
  <w:style w:type="character" w:customStyle="1" w:styleId="SubtitleChar">
    <w:name w:val="Subtitle Char"/>
    <w:basedOn w:val="DefaultParagraphFont"/>
    <w:link w:val="Subtitle"/>
    <w:uiPriority w:val="19"/>
    <w:rsid w:val="002E7F6D"/>
    <w:rPr>
      <w:rFonts w:asciiTheme="majorHAnsi" w:eastAsiaTheme="majorEastAsia" w:hAnsiTheme="majorHAnsi" w:cstheme="majorBidi"/>
      <w:caps/>
      <w:color w:val="98C723" w:themeColor="accent1"/>
      <w:kern w:val="20"/>
      <w:sz w:val="56"/>
    </w:rPr>
  </w:style>
  <w:style w:type="character" w:styleId="SubtleEmphasis">
    <w:name w:val="Subtle Emphasis"/>
    <w:basedOn w:val="DefaultParagraphFont"/>
    <w:uiPriority w:val="19"/>
    <w:semiHidden/>
    <w:unhideWhenUsed/>
    <w:rsid w:val="002E7F6D"/>
    <w:rPr>
      <w:i/>
      <w:iCs/>
      <w:color w:val="808080" w:themeColor="text1" w:themeTint="7F"/>
    </w:rPr>
  </w:style>
  <w:style w:type="character" w:styleId="SubtleReference">
    <w:name w:val="Subtle Reference"/>
    <w:basedOn w:val="DefaultParagraphFont"/>
    <w:uiPriority w:val="31"/>
    <w:semiHidden/>
    <w:unhideWhenUsed/>
    <w:rsid w:val="002E7F6D"/>
    <w:rPr>
      <w:smallCaps/>
      <w:color w:val="59B0B9" w:themeColor="accent2"/>
      <w:u w:val="single"/>
    </w:rPr>
  </w:style>
  <w:style w:type="table" w:styleId="Table3Deffects1">
    <w:name w:val="Table 3D effects 1"/>
    <w:basedOn w:val="TableNormal"/>
    <w:uiPriority w:val="99"/>
    <w:semiHidden/>
    <w:unhideWhenUsed/>
    <w:rsid w:val="002E7F6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2E7F6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2E7F6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2E7F6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2E7F6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2E7F6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2E7F6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2E7F6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2E7F6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2E7F6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2E7F6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2E7F6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2E7F6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2E7F6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2E7F6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2E7F6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2E7F6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rsid w:val="002E7F6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2E7F6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2E7F6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2E7F6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2E7F6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2E7F6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rsid w:val="002E7F6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2E7F6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2E7F6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2E7F6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2E7F6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2E7F6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2E7F6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2E7F6D"/>
    <w:pPr>
      <w:spacing w:after="0"/>
      <w:ind w:left="220" w:hanging="220"/>
    </w:pPr>
  </w:style>
  <w:style w:type="paragraph" w:styleId="TableofFigures">
    <w:name w:val="table of figures"/>
    <w:basedOn w:val="Normal"/>
    <w:next w:val="Normal"/>
    <w:uiPriority w:val="99"/>
    <w:semiHidden/>
    <w:unhideWhenUsed/>
    <w:rsid w:val="002E7F6D"/>
    <w:pPr>
      <w:spacing w:after="0"/>
    </w:pPr>
  </w:style>
  <w:style w:type="table" w:styleId="TableProfessional">
    <w:name w:val="Table Professional"/>
    <w:basedOn w:val="TableNormal"/>
    <w:uiPriority w:val="99"/>
    <w:semiHidden/>
    <w:unhideWhenUsed/>
    <w:rsid w:val="002E7F6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2E7F6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2E7F6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2E7F6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2E7F6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2E7F6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2E7F6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2E7F6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2E7F6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2E7F6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next w:val="Normal"/>
    <w:link w:val="TitleChar"/>
    <w:uiPriority w:val="19"/>
    <w:unhideWhenUsed/>
    <w:qFormat/>
    <w:rsid w:val="002E7F6D"/>
    <w:pPr>
      <w:pBdr>
        <w:top w:val="single" w:sz="4" w:space="16" w:color="98C723" w:themeColor="accent1"/>
        <w:left w:val="single" w:sz="4" w:space="20" w:color="98C723" w:themeColor="accent1"/>
        <w:bottom w:val="single" w:sz="4" w:space="16" w:color="98C723" w:themeColor="accent1"/>
        <w:right w:val="single" w:sz="4" w:space="20" w:color="98C723" w:themeColor="accent1"/>
      </w:pBdr>
      <w:shd w:val="clear" w:color="auto" w:fill="98C723" w:themeFill="accent1"/>
      <w:spacing w:before="0" w:after="240" w:line="204" w:lineRule="auto"/>
      <w:ind w:left="432" w:right="432"/>
    </w:pPr>
    <w:rPr>
      <w:rFonts w:asciiTheme="majorHAnsi" w:eastAsiaTheme="majorEastAsia" w:hAnsiTheme="majorHAnsi" w:cstheme="majorBidi"/>
      <w:caps/>
      <w:color w:val="FFFFFF" w:themeColor="background1"/>
      <w:kern w:val="28"/>
      <w:sz w:val="72"/>
    </w:rPr>
  </w:style>
  <w:style w:type="character" w:customStyle="1" w:styleId="TitleChar">
    <w:name w:val="Title Char"/>
    <w:basedOn w:val="DefaultParagraphFont"/>
    <w:link w:val="Title"/>
    <w:uiPriority w:val="19"/>
    <w:rsid w:val="002E7F6D"/>
    <w:rPr>
      <w:rFonts w:asciiTheme="majorHAnsi" w:eastAsiaTheme="majorEastAsia" w:hAnsiTheme="majorHAnsi" w:cstheme="majorBidi"/>
      <w:caps/>
      <w:color w:val="FFFFFF" w:themeColor="background1"/>
      <w:kern w:val="28"/>
      <w:sz w:val="72"/>
      <w:shd w:val="clear" w:color="auto" w:fill="98C723" w:themeFill="accent1"/>
    </w:rPr>
  </w:style>
  <w:style w:type="paragraph" w:styleId="TOAHeading">
    <w:name w:val="toa heading"/>
    <w:basedOn w:val="Normal"/>
    <w:next w:val="Normal"/>
    <w:uiPriority w:val="99"/>
    <w:semiHidden/>
    <w:unhideWhenUsed/>
    <w:rsid w:val="002E7F6D"/>
    <w:rPr>
      <w:rFonts w:asciiTheme="majorHAnsi" w:eastAsiaTheme="majorEastAsia" w:hAnsiTheme="majorHAnsi" w:cstheme="majorBidi"/>
      <w:b/>
      <w:bCs/>
    </w:rPr>
  </w:style>
  <w:style w:type="paragraph" w:styleId="TOC1">
    <w:name w:val="toc 1"/>
    <w:basedOn w:val="Normal"/>
    <w:next w:val="Normal"/>
    <w:autoRedefine/>
    <w:uiPriority w:val="39"/>
    <w:unhideWhenUsed/>
    <w:rsid w:val="005B0A9A"/>
    <w:pPr>
      <w:tabs>
        <w:tab w:val="right" w:leader="underscore" w:pos="9356"/>
      </w:tabs>
      <w:spacing w:after="100"/>
    </w:pPr>
    <w:rPr>
      <w:noProof/>
      <w:color w:val="7F7F7F" w:themeColor="text1" w:themeTint="80"/>
      <w:sz w:val="22"/>
    </w:rPr>
  </w:style>
  <w:style w:type="paragraph" w:styleId="TOC2">
    <w:name w:val="toc 2"/>
    <w:basedOn w:val="Normal"/>
    <w:next w:val="Normal"/>
    <w:autoRedefine/>
    <w:uiPriority w:val="39"/>
    <w:unhideWhenUsed/>
    <w:rsid w:val="00EB274A"/>
    <w:pPr>
      <w:tabs>
        <w:tab w:val="left" w:pos="880"/>
        <w:tab w:val="right" w:leader="underscore" w:pos="9396"/>
      </w:tabs>
      <w:spacing w:after="100"/>
      <w:ind w:left="220"/>
    </w:pPr>
  </w:style>
  <w:style w:type="paragraph" w:styleId="TOC3">
    <w:name w:val="toc 3"/>
    <w:basedOn w:val="Normal"/>
    <w:next w:val="Normal"/>
    <w:autoRedefine/>
    <w:uiPriority w:val="39"/>
    <w:unhideWhenUsed/>
    <w:rsid w:val="00EB274A"/>
    <w:pPr>
      <w:tabs>
        <w:tab w:val="left" w:pos="1320"/>
        <w:tab w:val="right" w:leader="underscore" w:pos="9396"/>
      </w:tabs>
      <w:spacing w:after="100"/>
      <w:ind w:left="440"/>
    </w:pPr>
  </w:style>
  <w:style w:type="paragraph" w:styleId="TOC4">
    <w:name w:val="toc 4"/>
    <w:basedOn w:val="Normal"/>
    <w:next w:val="Normal"/>
    <w:autoRedefine/>
    <w:uiPriority w:val="39"/>
    <w:semiHidden/>
    <w:unhideWhenUsed/>
    <w:rsid w:val="002E7F6D"/>
    <w:pPr>
      <w:spacing w:after="100"/>
      <w:ind w:left="660"/>
    </w:pPr>
  </w:style>
  <w:style w:type="paragraph" w:styleId="TOC5">
    <w:name w:val="toc 5"/>
    <w:basedOn w:val="Normal"/>
    <w:next w:val="Normal"/>
    <w:autoRedefine/>
    <w:uiPriority w:val="39"/>
    <w:semiHidden/>
    <w:unhideWhenUsed/>
    <w:rsid w:val="002E7F6D"/>
    <w:pPr>
      <w:spacing w:after="100"/>
      <w:ind w:left="880"/>
    </w:pPr>
  </w:style>
  <w:style w:type="paragraph" w:styleId="TOC6">
    <w:name w:val="toc 6"/>
    <w:basedOn w:val="Normal"/>
    <w:next w:val="Normal"/>
    <w:autoRedefine/>
    <w:uiPriority w:val="39"/>
    <w:semiHidden/>
    <w:unhideWhenUsed/>
    <w:rsid w:val="002E7F6D"/>
    <w:pPr>
      <w:spacing w:after="100"/>
      <w:ind w:left="1100"/>
    </w:pPr>
  </w:style>
  <w:style w:type="paragraph" w:styleId="TOC7">
    <w:name w:val="toc 7"/>
    <w:basedOn w:val="Normal"/>
    <w:next w:val="Normal"/>
    <w:autoRedefine/>
    <w:uiPriority w:val="39"/>
    <w:semiHidden/>
    <w:unhideWhenUsed/>
    <w:rsid w:val="002E7F6D"/>
    <w:pPr>
      <w:spacing w:after="100"/>
      <w:ind w:left="1320"/>
    </w:pPr>
  </w:style>
  <w:style w:type="paragraph" w:styleId="TOC8">
    <w:name w:val="toc 8"/>
    <w:basedOn w:val="Normal"/>
    <w:next w:val="Normal"/>
    <w:autoRedefine/>
    <w:uiPriority w:val="39"/>
    <w:semiHidden/>
    <w:unhideWhenUsed/>
    <w:rsid w:val="002E7F6D"/>
    <w:pPr>
      <w:spacing w:after="100"/>
      <w:ind w:left="1540"/>
    </w:pPr>
  </w:style>
  <w:style w:type="paragraph" w:styleId="TOC9">
    <w:name w:val="toc 9"/>
    <w:basedOn w:val="Normal"/>
    <w:next w:val="Normal"/>
    <w:autoRedefine/>
    <w:uiPriority w:val="39"/>
    <w:semiHidden/>
    <w:unhideWhenUsed/>
    <w:rsid w:val="002E7F6D"/>
    <w:pPr>
      <w:spacing w:after="100"/>
      <w:ind w:left="1760"/>
    </w:pPr>
  </w:style>
  <w:style w:type="paragraph" w:styleId="TOCHeading">
    <w:name w:val="TOC Heading"/>
    <w:basedOn w:val="Heading1"/>
    <w:next w:val="Normal"/>
    <w:uiPriority w:val="39"/>
    <w:unhideWhenUsed/>
    <w:qFormat/>
    <w:rsid w:val="002E7F6D"/>
    <w:pPr>
      <w:outlineLvl w:val="9"/>
    </w:pPr>
  </w:style>
  <w:style w:type="character" w:customStyle="1" w:styleId="NoSpacingChar">
    <w:name w:val="No Spacing Char"/>
    <w:basedOn w:val="DefaultParagraphFont"/>
    <w:link w:val="NoSpacing"/>
    <w:uiPriority w:val="1"/>
    <w:rsid w:val="002E7F6D"/>
  </w:style>
  <w:style w:type="paragraph" w:customStyle="1" w:styleId="TableHeading">
    <w:name w:val="Table Heading"/>
    <w:basedOn w:val="Normal"/>
    <w:uiPriority w:val="10"/>
    <w:qFormat/>
    <w:rsid w:val="002E7F6D"/>
    <w:pPr>
      <w:keepNext/>
      <w:pBdr>
        <w:top w:val="single" w:sz="4" w:space="1" w:color="98C723" w:themeColor="accent1"/>
        <w:left w:val="single" w:sz="4" w:space="6" w:color="98C723" w:themeColor="accent1"/>
        <w:bottom w:val="single" w:sz="4" w:space="2" w:color="98C723" w:themeColor="accent1"/>
        <w:right w:val="single" w:sz="4" w:space="6" w:color="98C723" w:themeColor="accent1"/>
      </w:pBdr>
      <w:shd w:val="clear" w:color="auto" w:fill="98C723" w:themeFill="accent1"/>
      <w:spacing w:before="160" w:line="240" w:lineRule="auto"/>
      <w:ind w:left="144" w:right="144"/>
    </w:pPr>
    <w:rPr>
      <w:rFonts w:asciiTheme="majorHAnsi" w:eastAsiaTheme="majorEastAsia" w:hAnsiTheme="majorHAnsi" w:cstheme="majorBidi"/>
      <w:caps/>
      <w:color w:val="FFFFFF" w:themeColor="background1"/>
    </w:rPr>
  </w:style>
  <w:style w:type="paragraph" w:customStyle="1" w:styleId="CompanyInfo">
    <w:name w:val="Company Info"/>
    <w:basedOn w:val="Normal"/>
    <w:uiPriority w:val="2"/>
    <w:qFormat/>
    <w:rsid w:val="002E7F6D"/>
    <w:pPr>
      <w:spacing w:after="40"/>
    </w:pPr>
  </w:style>
  <w:style w:type="table" w:customStyle="1" w:styleId="FinancialTable">
    <w:name w:val="Financial Table"/>
    <w:basedOn w:val="TableNormal"/>
    <w:uiPriority w:val="99"/>
    <w:rsid w:val="002E7F6D"/>
    <w:pPr>
      <w:spacing w:after="0" w:line="240" w:lineRule="auto"/>
      <w:ind w:left="144" w:right="144"/>
      <w:jc w:val="right"/>
    </w:p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98C723" w:themeColor="accent1"/>
        <w:sz w:val="22"/>
      </w:rPr>
      <w:tblPr/>
      <w:tcPr>
        <w:vAlign w:val="bottom"/>
      </w:tcPr>
    </w:tblStylePr>
    <w:tblStylePr w:type="firstCol">
      <w:pPr>
        <w:wordWrap/>
        <w:jc w:val="left"/>
      </w:pPr>
      <w:rPr>
        <w:b/>
      </w:rPr>
    </w:tblStylePr>
  </w:style>
  <w:style w:type="numbering" w:customStyle="1" w:styleId="AnnualReport">
    <w:name w:val="Annual Report"/>
    <w:uiPriority w:val="99"/>
    <w:rsid w:val="002E7F6D"/>
    <w:pPr>
      <w:numPr>
        <w:numId w:val="6"/>
      </w:numPr>
    </w:pPr>
  </w:style>
  <w:style w:type="paragraph" w:customStyle="1" w:styleId="Abstract">
    <w:name w:val="Abstract"/>
    <w:basedOn w:val="Normal"/>
    <w:uiPriority w:val="20"/>
    <w:qFormat/>
    <w:rsid w:val="002E7F6D"/>
    <w:pPr>
      <w:spacing w:before="360" w:after="0" w:line="240" w:lineRule="auto"/>
      <w:ind w:left="432" w:right="1080"/>
    </w:pPr>
    <w:rPr>
      <w:i/>
      <w:iCs/>
      <w:color w:val="7F7F7F" w:themeColor="text1" w:themeTint="80"/>
      <w:sz w:val="28"/>
    </w:rPr>
  </w:style>
  <w:style w:type="paragraph" w:customStyle="1" w:styleId="TableText">
    <w:name w:val="Table Text"/>
    <w:basedOn w:val="Normal"/>
    <w:uiPriority w:val="10"/>
    <w:qFormat/>
    <w:rsid w:val="002E7F6D"/>
    <w:pPr>
      <w:spacing w:before="60" w:after="60" w:line="240" w:lineRule="auto"/>
      <w:ind w:left="144" w:right="144"/>
    </w:pPr>
  </w:style>
  <w:style w:type="paragraph" w:customStyle="1" w:styleId="TableReverseHeading">
    <w:name w:val="Table Reverse Heading"/>
    <w:basedOn w:val="Normal"/>
    <w:uiPriority w:val="10"/>
    <w:qFormat/>
    <w:rsid w:val="002E7F6D"/>
    <w:pPr>
      <w:spacing w:after="40" w:line="240" w:lineRule="auto"/>
      <w:ind w:left="144" w:right="144"/>
    </w:pPr>
    <w:rPr>
      <w:rFonts w:asciiTheme="majorHAnsi" w:eastAsiaTheme="majorEastAsia" w:hAnsiTheme="majorHAnsi" w:cstheme="majorBidi"/>
      <w:caps/>
      <w:color w:val="FFFFFF" w:themeColor="background1"/>
    </w:rPr>
  </w:style>
  <w:style w:type="paragraph" w:customStyle="1" w:styleId="HeaderShaded">
    <w:name w:val="Header Shaded"/>
    <w:basedOn w:val="Normal"/>
    <w:uiPriority w:val="99"/>
    <w:qFormat/>
    <w:rsid w:val="002E7F6D"/>
    <w:pPr>
      <w:pBdr>
        <w:top w:val="single" w:sz="2" w:space="6" w:color="98C723" w:themeColor="accent1"/>
        <w:left w:val="single" w:sz="2" w:space="20" w:color="98C723" w:themeColor="accent1"/>
        <w:bottom w:val="single" w:sz="2" w:space="6" w:color="98C723" w:themeColor="accent1"/>
        <w:right w:val="single" w:sz="2" w:space="20" w:color="98C723" w:themeColor="accent1"/>
      </w:pBdr>
      <w:shd w:val="clear" w:color="auto" w:fill="98C723" w:themeFill="accent1"/>
      <w:spacing w:after="0" w:line="240" w:lineRule="auto"/>
    </w:pPr>
    <w:rPr>
      <w:rFonts w:asciiTheme="majorHAnsi" w:eastAsiaTheme="majorEastAsia" w:hAnsiTheme="majorHAnsi" w:cstheme="majorBidi"/>
      <w:caps/>
      <w:color w:val="FFFFFF" w:themeColor="background1"/>
      <w:sz w:val="40"/>
    </w:rPr>
  </w:style>
  <w:style w:type="character" w:customStyle="1" w:styleId="Bodytext20">
    <w:name w:val="Body text (2)_"/>
    <w:basedOn w:val="DefaultParagraphFont"/>
    <w:link w:val="Bodytext21"/>
    <w:locked/>
    <w:rsid w:val="006C674C"/>
    <w:rPr>
      <w:sz w:val="22"/>
      <w:szCs w:val="22"/>
      <w:shd w:val="clear" w:color="auto" w:fill="FFFFFF"/>
    </w:rPr>
  </w:style>
  <w:style w:type="paragraph" w:customStyle="1" w:styleId="Bodytext21">
    <w:name w:val="Body text (2)"/>
    <w:basedOn w:val="Normal"/>
    <w:link w:val="Bodytext20"/>
    <w:rsid w:val="006C674C"/>
    <w:pPr>
      <w:widowControl w:val="0"/>
      <w:shd w:val="clear" w:color="auto" w:fill="FFFFFF"/>
      <w:spacing w:before="1560" w:after="0" w:line="379" w:lineRule="exact"/>
      <w:ind w:hanging="370"/>
      <w:jc w:val="both"/>
    </w:pPr>
    <w:rPr>
      <w:rFonts w:asciiTheme="minorHAnsi" w:hAnsiTheme="minorHAnsi"/>
      <w:color w:val="595959" w:themeColor="text1" w:themeTint="A6"/>
      <w:kern w:val="0"/>
      <w:sz w:val="22"/>
      <w:szCs w:val="22"/>
      <w:lang w:val="en-US"/>
    </w:rPr>
  </w:style>
  <w:style w:type="paragraph" w:customStyle="1" w:styleId="CM1">
    <w:name w:val="CM1"/>
    <w:basedOn w:val="Normal"/>
    <w:next w:val="Normal"/>
    <w:uiPriority w:val="99"/>
    <w:rsid w:val="00A3254B"/>
    <w:pPr>
      <w:autoSpaceDE w:val="0"/>
      <w:autoSpaceDN w:val="0"/>
      <w:adjustRightInd w:val="0"/>
      <w:spacing w:before="0" w:after="0" w:line="240" w:lineRule="auto"/>
    </w:pPr>
    <w:rPr>
      <w:rFonts w:ascii="EUAlbertina" w:hAnsi="EUAlbertina"/>
      <w:color w:val="595959" w:themeColor="text1" w:themeTint="A6"/>
      <w:kern w:val="0"/>
      <w:szCs w:val="24"/>
      <w:lang w:val="en-US"/>
    </w:rPr>
  </w:style>
  <w:style w:type="paragraph" w:customStyle="1" w:styleId="CM3">
    <w:name w:val="CM3"/>
    <w:basedOn w:val="Normal"/>
    <w:next w:val="Normal"/>
    <w:uiPriority w:val="99"/>
    <w:rsid w:val="00A3254B"/>
    <w:pPr>
      <w:autoSpaceDE w:val="0"/>
      <w:autoSpaceDN w:val="0"/>
      <w:adjustRightInd w:val="0"/>
      <w:spacing w:before="0" w:after="0" w:line="240" w:lineRule="auto"/>
    </w:pPr>
    <w:rPr>
      <w:rFonts w:ascii="EUAlbertina" w:hAnsi="EUAlbertina"/>
      <w:color w:val="595959" w:themeColor="text1" w:themeTint="A6"/>
      <w:kern w:val="0"/>
      <w:szCs w:val="24"/>
      <w:lang w:val="en-US"/>
    </w:rPr>
  </w:style>
  <w:style w:type="character" w:customStyle="1" w:styleId="Bodytext2Bold">
    <w:name w:val="Body text (2) + Bold"/>
    <w:basedOn w:val="Bodytext20"/>
    <w:rsid w:val="00A3254B"/>
    <w:rPr>
      <w:rFonts w:ascii="Times New Roman" w:eastAsia="Times New Roman" w:hAnsi="Times New Roman" w:cs="Times New Roman" w:hint="default"/>
      <w:b/>
      <w:bCs/>
      <w:color w:val="000000"/>
      <w:spacing w:val="0"/>
      <w:w w:val="100"/>
      <w:position w:val="0"/>
      <w:sz w:val="22"/>
      <w:szCs w:val="22"/>
      <w:shd w:val="clear" w:color="auto" w:fill="FFFFFF"/>
      <w:lang w:val="bg-BG" w:eastAsia="bg-BG" w:bidi="bg-BG"/>
    </w:rPr>
  </w:style>
  <w:style w:type="paragraph" w:customStyle="1" w:styleId="CM4">
    <w:name w:val="CM4"/>
    <w:basedOn w:val="Normal"/>
    <w:next w:val="Normal"/>
    <w:uiPriority w:val="99"/>
    <w:rsid w:val="00D068C6"/>
    <w:pPr>
      <w:autoSpaceDE w:val="0"/>
      <w:autoSpaceDN w:val="0"/>
      <w:adjustRightInd w:val="0"/>
      <w:spacing w:before="0" w:after="0" w:line="240" w:lineRule="auto"/>
    </w:pPr>
    <w:rPr>
      <w:rFonts w:ascii="EUAlbertina" w:hAnsi="EUAlbertina"/>
      <w:color w:val="595959" w:themeColor="text1" w:themeTint="A6"/>
      <w:kern w:val="0"/>
      <w:szCs w:val="24"/>
      <w:lang w:val="en-US"/>
    </w:rPr>
  </w:style>
  <w:style w:type="paragraph" w:customStyle="1" w:styleId="Default">
    <w:name w:val="Default"/>
    <w:rsid w:val="00066C27"/>
    <w:pPr>
      <w:autoSpaceDE w:val="0"/>
      <w:autoSpaceDN w:val="0"/>
      <w:adjustRightInd w:val="0"/>
      <w:spacing w:before="0" w:after="0" w:line="240" w:lineRule="auto"/>
    </w:pPr>
    <w:rPr>
      <w:rFonts w:ascii="Times New Roman" w:hAnsi="Times New Roman" w:cs="Times New Roman"/>
      <w:color w:val="000000"/>
      <w:sz w:val="24"/>
      <w:szCs w:val="24"/>
    </w:rPr>
  </w:style>
  <w:style w:type="character" w:customStyle="1" w:styleId="Bodytext1611pt">
    <w:name w:val="Body text (16) + 11 pt"/>
    <w:aliases w:val="Not Bold"/>
    <w:basedOn w:val="DefaultParagraphFont"/>
    <w:rsid w:val="00DA2630"/>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lang w:val="en-US" w:eastAsia="en-US" w:bidi="en-US"/>
    </w:rPr>
  </w:style>
  <w:style w:type="character" w:customStyle="1" w:styleId="Bodytext295pt">
    <w:name w:val="Body text (2) + 9.5 pt"/>
    <w:basedOn w:val="DefaultParagraphFont"/>
    <w:rsid w:val="001406E5"/>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bg-BG" w:eastAsia="bg-BG" w:bidi="bg-BG"/>
    </w:rPr>
  </w:style>
  <w:style w:type="paragraph" w:styleId="Revision">
    <w:name w:val="Revision"/>
    <w:hidden/>
    <w:uiPriority w:val="99"/>
    <w:semiHidden/>
    <w:rsid w:val="00775B64"/>
    <w:pPr>
      <w:spacing w:before="0" w:after="0" w:line="240" w:lineRule="auto"/>
    </w:pPr>
    <w:rPr>
      <w:rFonts w:ascii="Calibri" w:hAnsi="Calibri"/>
      <w:color w:val="0D0D0D" w:themeColor="text1" w:themeTint="F2"/>
      <w:kern w:val="20"/>
      <w:sz w:val="24"/>
      <w:lang w:val="bg-B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735739">
      <w:bodyDiv w:val="1"/>
      <w:marLeft w:val="0"/>
      <w:marRight w:val="0"/>
      <w:marTop w:val="0"/>
      <w:marBottom w:val="0"/>
      <w:divBdr>
        <w:top w:val="none" w:sz="0" w:space="0" w:color="auto"/>
        <w:left w:val="none" w:sz="0" w:space="0" w:color="auto"/>
        <w:bottom w:val="none" w:sz="0" w:space="0" w:color="auto"/>
        <w:right w:val="none" w:sz="0" w:space="0" w:color="auto"/>
      </w:divBdr>
    </w:div>
    <w:div w:id="76249749">
      <w:bodyDiv w:val="1"/>
      <w:marLeft w:val="0"/>
      <w:marRight w:val="0"/>
      <w:marTop w:val="0"/>
      <w:marBottom w:val="0"/>
      <w:divBdr>
        <w:top w:val="none" w:sz="0" w:space="0" w:color="auto"/>
        <w:left w:val="none" w:sz="0" w:space="0" w:color="auto"/>
        <w:bottom w:val="none" w:sz="0" w:space="0" w:color="auto"/>
        <w:right w:val="none" w:sz="0" w:space="0" w:color="auto"/>
      </w:divBdr>
    </w:div>
    <w:div w:id="131100791">
      <w:bodyDiv w:val="1"/>
      <w:marLeft w:val="0"/>
      <w:marRight w:val="0"/>
      <w:marTop w:val="0"/>
      <w:marBottom w:val="0"/>
      <w:divBdr>
        <w:top w:val="none" w:sz="0" w:space="0" w:color="auto"/>
        <w:left w:val="none" w:sz="0" w:space="0" w:color="auto"/>
        <w:bottom w:val="none" w:sz="0" w:space="0" w:color="auto"/>
        <w:right w:val="none" w:sz="0" w:space="0" w:color="auto"/>
      </w:divBdr>
    </w:div>
    <w:div w:id="131366209">
      <w:bodyDiv w:val="1"/>
      <w:marLeft w:val="0"/>
      <w:marRight w:val="0"/>
      <w:marTop w:val="0"/>
      <w:marBottom w:val="0"/>
      <w:divBdr>
        <w:top w:val="none" w:sz="0" w:space="0" w:color="auto"/>
        <w:left w:val="none" w:sz="0" w:space="0" w:color="auto"/>
        <w:bottom w:val="none" w:sz="0" w:space="0" w:color="auto"/>
        <w:right w:val="none" w:sz="0" w:space="0" w:color="auto"/>
      </w:divBdr>
    </w:div>
    <w:div w:id="146023509">
      <w:bodyDiv w:val="1"/>
      <w:marLeft w:val="0"/>
      <w:marRight w:val="0"/>
      <w:marTop w:val="0"/>
      <w:marBottom w:val="0"/>
      <w:divBdr>
        <w:top w:val="none" w:sz="0" w:space="0" w:color="auto"/>
        <w:left w:val="none" w:sz="0" w:space="0" w:color="auto"/>
        <w:bottom w:val="none" w:sz="0" w:space="0" w:color="auto"/>
        <w:right w:val="none" w:sz="0" w:space="0" w:color="auto"/>
      </w:divBdr>
    </w:div>
    <w:div w:id="147289733">
      <w:bodyDiv w:val="1"/>
      <w:marLeft w:val="0"/>
      <w:marRight w:val="0"/>
      <w:marTop w:val="0"/>
      <w:marBottom w:val="0"/>
      <w:divBdr>
        <w:top w:val="none" w:sz="0" w:space="0" w:color="auto"/>
        <w:left w:val="none" w:sz="0" w:space="0" w:color="auto"/>
        <w:bottom w:val="none" w:sz="0" w:space="0" w:color="auto"/>
        <w:right w:val="none" w:sz="0" w:space="0" w:color="auto"/>
      </w:divBdr>
    </w:div>
    <w:div w:id="172493763">
      <w:bodyDiv w:val="1"/>
      <w:marLeft w:val="0"/>
      <w:marRight w:val="0"/>
      <w:marTop w:val="0"/>
      <w:marBottom w:val="0"/>
      <w:divBdr>
        <w:top w:val="none" w:sz="0" w:space="0" w:color="auto"/>
        <w:left w:val="none" w:sz="0" w:space="0" w:color="auto"/>
        <w:bottom w:val="none" w:sz="0" w:space="0" w:color="auto"/>
        <w:right w:val="none" w:sz="0" w:space="0" w:color="auto"/>
      </w:divBdr>
    </w:div>
    <w:div w:id="266692804">
      <w:bodyDiv w:val="1"/>
      <w:marLeft w:val="0"/>
      <w:marRight w:val="0"/>
      <w:marTop w:val="0"/>
      <w:marBottom w:val="0"/>
      <w:divBdr>
        <w:top w:val="none" w:sz="0" w:space="0" w:color="auto"/>
        <w:left w:val="none" w:sz="0" w:space="0" w:color="auto"/>
        <w:bottom w:val="none" w:sz="0" w:space="0" w:color="auto"/>
        <w:right w:val="none" w:sz="0" w:space="0" w:color="auto"/>
      </w:divBdr>
    </w:div>
    <w:div w:id="266813619">
      <w:bodyDiv w:val="1"/>
      <w:marLeft w:val="0"/>
      <w:marRight w:val="0"/>
      <w:marTop w:val="0"/>
      <w:marBottom w:val="0"/>
      <w:divBdr>
        <w:top w:val="none" w:sz="0" w:space="0" w:color="auto"/>
        <w:left w:val="none" w:sz="0" w:space="0" w:color="auto"/>
        <w:bottom w:val="none" w:sz="0" w:space="0" w:color="auto"/>
        <w:right w:val="none" w:sz="0" w:space="0" w:color="auto"/>
      </w:divBdr>
    </w:div>
    <w:div w:id="303237202">
      <w:bodyDiv w:val="1"/>
      <w:marLeft w:val="0"/>
      <w:marRight w:val="0"/>
      <w:marTop w:val="0"/>
      <w:marBottom w:val="0"/>
      <w:divBdr>
        <w:top w:val="none" w:sz="0" w:space="0" w:color="auto"/>
        <w:left w:val="none" w:sz="0" w:space="0" w:color="auto"/>
        <w:bottom w:val="none" w:sz="0" w:space="0" w:color="auto"/>
        <w:right w:val="none" w:sz="0" w:space="0" w:color="auto"/>
      </w:divBdr>
    </w:div>
    <w:div w:id="309989621">
      <w:bodyDiv w:val="1"/>
      <w:marLeft w:val="0"/>
      <w:marRight w:val="0"/>
      <w:marTop w:val="0"/>
      <w:marBottom w:val="0"/>
      <w:divBdr>
        <w:top w:val="none" w:sz="0" w:space="0" w:color="auto"/>
        <w:left w:val="none" w:sz="0" w:space="0" w:color="auto"/>
        <w:bottom w:val="none" w:sz="0" w:space="0" w:color="auto"/>
        <w:right w:val="none" w:sz="0" w:space="0" w:color="auto"/>
      </w:divBdr>
    </w:div>
    <w:div w:id="325978799">
      <w:bodyDiv w:val="1"/>
      <w:marLeft w:val="0"/>
      <w:marRight w:val="0"/>
      <w:marTop w:val="0"/>
      <w:marBottom w:val="0"/>
      <w:divBdr>
        <w:top w:val="none" w:sz="0" w:space="0" w:color="auto"/>
        <w:left w:val="none" w:sz="0" w:space="0" w:color="auto"/>
        <w:bottom w:val="none" w:sz="0" w:space="0" w:color="auto"/>
        <w:right w:val="none" w:sz="0" w:space="0" w:color="auto"/>
      </w:divBdr>
    </w:div>
    <w:div w:id="345866159">
      <w:bodyDiv w:val="1"/>
      <w:marLeft w:val="0"/>
      <w:marRight w:val="0"/>
      <w:marTop w:val="0"/>
      <w:marBottom w:val="0"/>
      <w:divBdr>
        <w:top w:val="none" w:sz="0" w:space="0" w:color="auto"/>
        <w:left w:val="none" w:sz="0" w:space="0" w:color="auto"/>
        <w:bottom w:val="none" w:sz="0" w:space="0" w:color="auto"/>
        <w:right w:val="none" w:sz="0" w:space="0" w:color="auto"/>
      </w:divBdr>
    </w:div>
    <w:div w:id="353776728">
      <w:bodyDiv w:val="1"/>
      <w:marLeft w:val="0"/>
      <w:marRight w:val="0"/>
      <w:marTop w:val="0"/>
      <w:marBottom w:val="0"/>
      <w:divBdr>
        <w:top w:val="none" w:sz="0" w:space="0" w:color="auto"/>
        <w:left w:val="none" w:sz="0" w:space="0" w:color="auto"/>
        <w:bottom w:val="none" w:sz="0" w:space="0" w:color="auto"/>
        <w:right w:val="none" w:sz="0" w:space="0" w:color="auto"/>
      </w:divBdr>
    </w:div>
    <w:div w:id="364715893">
      <w:bodyDiv w:val="1"/>
      <w:marLeft w:val="0"/>
      <w:marRight w:val="0"/>
      <w:marTop w:val="0"/>
      <w:marBottom w:val="0"/>
      <w:divBdr>
        <w:top w:val="none" w:sz="0" w:space="0" w:color="auto"/>
        <w:left w:val="none" w:sz="0" w:space="0" w:color="auto"/>
        <w:bottom w:val="none" w:sz="0" w:space="0" w:color="auto"/>
        <w:right w:val="none" w:sz="0" w:space="0" w:color="auto"/>
      </w:divBdr>
    </w:div>
    <w:div w:id="399405414">
      <w:bodyDiv w:val="1"/>
      <w:marLeft w:val="0"/>
      <w:marRight w:val="0"/>
      <w:marTop w:val="0"/>
      <w:marBottom w:val="0"/>
      <w:divBdr>
        <w:top w:val="none" w:sz="0" w:space="0" w:color="auto"/>
        <w:left w:val="none" w:sz="0" w:space="0" w:color="auto"/>
        <w:bottom w:val="none" w:sz="0" w:space="0" w:color="auto"/>
        <w:right w:val="none" w:sz="0" w:space="0" w:color="auto"/>
      </w:divBdr>
    </w:div>
    <w:div w:id="405957201">
      <w:bodyDiv w:val="1"/>
      <w:marLeft w:val="0"/>
      <w:marRight w:val="0"/>
      <w:marTop w:val="0"/>
      <w:marBottom w:val="0"/>
      <w:divBdr>
        <w:top w:val="none" w:sz="0" w:space="0" w:color="auto"/>
        <w:left w:val="none" w:sz="0" w:space="0" w:color="auto"/>
        <w:bottom w:val="none" w:sz="0" w:space="0" w:color="auto"/>
        <w:right w:val="none" w:sz="0" w:space="0" w:color="auto"/>
      </w:divBdr>
    </w:div>
    <w:div w:id="436683829">
      <w:bodyDiv w:val="1"/>
      <w:marLeft w:val="0"/>
      <w:marRight w:val="0"/>
      <w:marTop w:val="0"/>
      <w:marBottom w:val="0"/>
      <w:divBdr>
        <w:top w:val="none" w:sz="0" w:space="0" w:color="auto"/>
        <w:left w:val="none" w:sz="0" w:space="0" w:color="auto"/>
        <w:bottom w:val="none" w:sz="0" w:space="0" w:color="auto"/>
        <w:right w:val="none" w:sz="0" w:space="0" w:color="auto"/>
      </w:divBdr>
    </w:div>
    <w:div w:id="444354182">
      <w:bodyDiv w:val="1"/>
      <w:marLeft w:val="0"/>
      <w:marRight w:val="0"/>
      <w:marTop w:val="0"/>
      <w:marBottom w:val="0"/>
      <w:divBdr>
        <w:top w:val="none" w:sz="0" w:space="0" w:color="auto"/>
        <w:left w:val="none" w:sz="0" w:space="0" w:color="auto"/>
        <w:bottom w:val="none" w:sz="0" w:space="0" w:color="auto"/>
        <w:right w:val="none" w:sz="0" w:space="0" w:color="auto"/>
      </w:divBdr>
    </w:div>
    <w:div w:id="521016740">
      <w:bodyDiv w:val="1"/>
      <w:marLeft w:val="0"/>
      <w:marRight w:val="0"/>
      <w:marTop w:val="0"/>
      <w:marBottom w:val="0"/>
      <w:divBdr>
        <w:top w:val="none" w:sz="0" w:space="0" w:color="auto"/>
        <w:left w:val="none" w:sz="0" w:space="0" w:color="auto"/>
        <w:bottom w:val="none" w:sz="0" w:space="0" w:color="auto"/>
        <w:right w:val="none" w:sz="0" w:space="0" w:color="auto"/>
      </w:divBdr>
    </w:div>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627518286">
      <w:bodyDiv w:val="1"/>
      <w:marLeft w:val="0"/>
      <w:marRight w:val="0"/>
      <w:marTop w:val="0"/>
      <w:marBottom w:val="0"/>
      <w:divBdr>
        <w:top w:val="none" w:sz="0" w:space="0" w:color="auto"/>
        <w:left w:val="none" w:sz="0" w:space="0" w:color="auto"/>
        <w:bottom w:val="none" w:sz="0" w:space="0" w:color="auto"/>
        <w:right w:val="none" w:sz="0" w:space="0" w:color="auto"/>
      </w:divBdr>
    </w:div>
    <w:div w:id="653609640">
      <w:bodyDiv w:val="1"/>
      <w:marLeft w:val="0"/>
      <w:marRight w:val="0"/>
      <w:marTop w:val="0"/>
      <w:marBottom w:val="0"/>
      <w:divBdr>
        <w:top w:val="none" w:sz="0" w:space="0" w:color="auto"/>
        <w:left w:val="none" w:sz="0" w:space="0" w:color="auto"/>
        <w:bottom w:val="none" w:sz="0" w:space="0" w:color="auto"/>
        <w:right w:val="none" w:sz="0" w:space="0" w:color="auto"/>
      </w:divBdr>
    </w:div>
    <w:div w:id="653682984">
      <w:bodyDiv w:val="1"/>
      <w:marLeft w:val="0"/>
      <w:marRight w:val="0"/>
      <w:marTop w:val="0"/>
      <w:marBottom w:val="0"/>
      <w:divBdr>
        <w:top w:val="none" w:sz="0" w:space="0" w:color="auto"/>
        <w:left w:val="none" w:sz="0" w:space="0" w:color="auto"/>
        <w:bottom w:val="none" w:sz="0" w:space="0" w:color="auto"/>
        <w:right w:val="none" w:sz="0" w:space="0" w:color="auto"/>
      </w:divBdr>
    </w:div>
    <w:div w:id="658191859">
      <w:bodyDiv w:val="1"/>
      <w:marLeft w:val="0"/>
      <w:marRight w:val="0"/>
      <w:marTop w:val="0"/>
      <w:marBottom w:val="0"/>
      <w:divBdr>
        <w:top w:val="none" w:sz="0" w:space="0" w:color="auto"/>
        <w:left w:val="none" w:sz="0" w:space="0" w:color="auto"/>
        <w:bottom w:val="none" w:sz="0" w:space="0" w:color="auto"/>
        <w:right w:val="none" w:sz="0" w:space="0" w:color="auto"/>
      </w:divBdr>
    </w:div>
    <w:div w:id="661814956">
      <w:bodyDiv w:val="1"/>
      <w:marLeft w:val="0"/>
      <w:marRight w:val="0"/>
      <w:marTop w:val="0"/>
      <w:marBottom w:val="0"/>
      <w:divBdr>
        <w:top w:val="none" w:sz="0" w:space="0" w:color="auto"/>
        <w:left w:val="none" w:sz="0" w:space="0" w:color="auto"/>
        <w:bottom w:val="none" w:sz="0" w:space="0" w:color="auto"/>
        <w:right w:val="none" w:sz="0" w:space="0" w:color="auto"/>
      </w:divBdr>
    </w:div>
    <w:div w:id="674498876">
      <w:bodyDiv w:val="1"/>
      <w:marLeft w:val="0"/>
      <w:marRight w:val="0"/>
      <w:marTop w:val="0"/>
      <w:marBottom w:val="0"/>
      <w:divBdr>
        <w:top w:val="none" w:sz="0" w:space="0" w:color="auto"/>
        <w:left w:val="none" w:sz="0" w:space="0" w:color="auto"/>
        <w:bottom w:val="none" w:sz="0" w:space="0" w:color="auto"/>
        <w:right w:val="none" w:sz="0" w:space="0" w:color="auto"/>
      </w:divBdr>
    </w:div>
    <w:div w:id="717777458">
      <w:bodyDiv w:val="1"/>
      <w:marLeft w:val="0"/>
      <w:marRight w:val="0"/>
      <w:marTop w:val="0"/>
      <w:marBottom w:val="0"/>
      <w:divBdr>
        <w:top w:val="none" w:sz="0" w:space="0" w:color="auto"/>
        <w:left w:val="none" w:sz="0" w:space="0" w:color="auto"/>
        <w:bottom w:val="none" w:sz="0" w:space="0" w:color="auto"/>
        <w:right w:val="none" w:sz="0" w:space="0" w:color="auto"/>
      </w:divBdr>
    </w:div>
    <w:div w:id="728849353">
      <w:bodyDiv w:val="1"/>
      <w:marLeft w:val="0"/>
      <w:marRight w:val="0"/>
      <w:marTop w:val="0"/>
      <w:marBottom w:val="0"/>
      <w:divBdr>
        <w:top w:val="none" w:sz="0" w:space="0" w:color="auto"/>
        <w:left w:val="none" w:sz="0" w:space="0" w:color="auto"/>
        <w:bottom w:val="none" w:sz="0" w:space="0" w:color="auto"/>
        <w:right w:val="none" w:sz="0" w:space="0" w:color="auto"/>
      </w:divBdr>
    </w:div>
    <w:div w:id="782312769">
      <w:bodyDiv w:val="1"/>
      <w:marLeft w:val="0"/>
      <w:marRight w:val="0"/>
      <w:marTop w:val="0"/>
      <w:marBottom w:val="0"/>
      <w:divBdr>
        <w:top w:val="none" w:sz="0" w:space="0" w:color="auto"/>
        <w:left w:val="none" w:sz="0" w:space="0" w:color="auto"/>
        <w:bottom w:val="none" w:sz="0" w:space="0" w:color="auto"/>
        <w:right w:val="none" w:sz="0" w:space="0" w:color="auto"/>
      </w:divBdr>
    </w:div>
    <w:div w:id="812479331">
      <w:bodyDiv w:val="1"/>
      <w:marLeft w:val="0"/>
      <w:marRight w:val="0"/>
      <w:marTop w:val="0"/>
      <w:marBottom w:val="0"/>
      <w:divBdr>
        <w:top w:val="none" w:sz="0" w:space="0" w:color="auto"/>
        <w:left w:val="none" w:sz="0" w:space="0" w:color="auto"/>
        <w:bottom w:val="none" w:sz="0" w:space="0" w:color="auto"/>
        <w:right w:val="none" w:sz="0" w:space="0" w:color="auto"/>
      </w:divBdr>
    </w:div>
    <w:div w:id="864557340">
      <w:bodyDiv w:val="1"/>
      <w:marLeft w:val="0"/>
      <w:marRight w:val="0"/>
      <w:marTop w:val="0"/>
      <w:marBottom w:val="0"/>
      <w:divBdr>
        <w:top w:val="none" w:sz="0" w:space="0" w:color="auto"/>
        <w:left w:val="none" w:sz="0" w:space="0" w:color="auto"/>
        <w:bottom w:val="none" w:sz="0" w:space="0" w:color="auto"/>
        <w:right w:val="none" w:sz="0" w:space="0" w:color="auto"/>
      </w:divBdr>
    </w:div>
    <w:div w:id="870528939">
      <w:bodyDiv w:val="1"/>
      <w:marLeft w:val="0"/>
      <w:marRight w:val="0"/>
      <w:marTop w:val="0"/>
      <w:marBottom w:val="0"/>
      <w:divBdr>
        <w:top w:val="none" w:sz="0" w:space="0" w:color="auto"/>
        <w:left w:val="none" w:sz="0" w:space="0" w:color="auto"/>
        <w:bottom w:val="none" w:sz="0" w:space="0" w:color="auto"/>
        <w:right w:val="none" w:sz="0" w:space="0" w:color="auto"/>
      </w:divBdr>
    </w:div>
    <w:div w:id="876964547">
      <w:bodyDiv w:val="1"/>
      <w:marLeft w:val="0"/>
      <w:marRight w:val="0"/>
      <w:marTop w:val="0"/>
      <w:marBottom w:val="0"/>
      <w:divBdr>
        <w:top w:val="none" w:sz="0" w:space="0" w:color="auto"/>
        <w:left w:val="none" w:sz="0" w:space="0" w:color="auto"/>
        <w:bottom w:val="none" w:sz="0" w:space="0" w:color="auto"/>
        <w:right w:val="none" w:sz="0" w:space="0" w:color="auto"/>
      </w:divBdr>
    </w:div>
    <w:div w:id="883563985">
      <w:bodyDiv w:val="1"/>
      <w:marLeft w:val="0"/>
      <w:marRight w:val="0"/>
      <w:marTop w:val="0"/>
      <w:marBottom w:val="0"/>
      <w:divBdr>
        <w:top w:val="none" w:sz="0" w:space="0" w:color="auto"/>
        <w:left w:val="none" w:sz="0" w:space="0" w:color="auto"/>
        <w:bottom w:val="none" w:sz="0" w:space="0" w:color="auto"/>
        <w:right w:val="none" w:sz="0" w:space="0" w:color="auto"/>
      </w:divBdr>
    </w:div>
    <w:div w:id="884178404">
      <w:bodyDiv w:val="1"/>
      <w:marLeft w:val="0"/>
      <w:marRight w:val="0"/>
      <w:marTop w:val="0"/>
      <w:marBottom w:val="0"/>
      <w:divBdr>
        <w:top w:val="none" w:sz="0" w:space="0" w:color="auto"/>
        <w:left w:val="none" w:sz="0" w:space="0" w:color="auto"/>
        <w:bottom w:val="none" w:sz="0" w:space="0" w:color="auto"/>
        <w:right w:val="none" w:sz="0" w:space="0" w:color="auto"/>
      </w:divBdr>
    </w:div>
    <w:div w:id="914124466">
      <w:bodyDiv w:val="1"/>
      <w:marLeft w:val="0"/>
      <w:marRight w:val="0"/>
      <w:marTop w:val="0"/>
      <w:marBottom w:val="0"/>
      <w:divBdr>
        <w:top w:val="none" w:sz="0" w:space="0" w:color="auto"/>
        <w:left w:val="none" w:sz="0" w:space="0" w:color="auto"/>
        <w:bottom w:val="none" w:sz="0" w:space="0" w:color="auto"/>
        <w:right w:val="none" w:sz="0" w:space="0" w:color="auto"/>
      </w:divBdr>
    </w:div>
    <w:div w:id="945384728">
      <w:bodyDiv w:val="1"/>
      <w:marLeft w:val="0"/>
      <w:marRight w:val="0"/>
      <w:marTop w:val="0"/>
      <w:marBottom w:val="0"/>
      <w:divBdr>
        <w:top w:val="none" w:sz="0" w:space="0" w:color="auto"/>
        <w:left w:val="none" w:sz="0" w:space="0" w:color="auto"/>
        <w:bottom w:val="none" w:sz="0" w:space="0" w:color="auto"/>
        <w:right w:val="none" w:sz="0" w:space="0" w:color="auto"/>
      </w:divBdr>
    </w:div>
    <w:div w:id="958220313">
      <w:bodyDiv w:val="1"/>
      <w:marLeft w:val="0"/>
      <w:marRight w:val="0"/>
      <w:marTop w:val="0"/>
      <w:marBottom w:val="0"/>
      <w:divBdr>
        <w:top w:val="none" w:sz="0" w:space="0" w:color="auto"/>
        <w:left w:val="none" w:sz="0" w:space="0" w:color="auto"/>
        <w:bottom w:val="none" w:sz="0" w:space="0" w:color="auto"/>
        <w:right w:val="none" w:sz="0" w:space="0" w:color="auto"/>
      </w:divBdr>
    </w:div>
    <w:div w:id="967711314">
      <w:bodyDiv w:val="1"/>
      <w:marLeft w:val="0"/>
      <w:marRight w:val="0"/>
      <w:marTop w:val="0"/>
      <w:marBottom w:val="0"/>
      <w:divBdr>
        <w:top w:val="none" w:sz="0" w:space="0" w:color="auto"/>
        <w:left w:val="none" w:sz="0" w:space="0" w:color="auto"/>
        <w:bottom w:val="none" w:sz="0" w:space="0" w:color="auto"/>
        <w:right w:val="none" w:sz="0" w:space="0" w:color="auto"/>
      </w:divBdr>
    </w:div>
    <w:div w:id="976451919">
      <w:bodyDiv w:val="1"/>
      <w:marLeft w:val="0"/>
      <w:marRight w:val="0"/>
      <w:marTop w:val="0"/>
      <w:marBottom w:val="0"/>
      <w:divBdr>
        <w:top w:val="none" w:sz="0" w:space="0" w:color="auto"/>
        <w:left w:val="none" w:sz="0" w:space="0" w:color="auto"/>
        <w:bottom w:val="none" w:sz="0" w:space="0" w:color="auto"/>
        <w:right w:val="none" w:sz="0" w:space="0" w:color="auto"/>
      </w:divBdr>
    </w:div>
    <w:div w:id="986280137">
      <w:bodyDiv w:val="1"/>
      <w:marLeft w:val="0"/>
      <w:marRight w:val="0"/>
      <w:marTop w:val="0"/>
      <w:marBottom w:val="0"/>
      <w:divBdr>
        <w:top w:val="none" w:sz="0" w:space="0" w:color="auto"/>
        <w:left w:val="none" w:sz="0" w:space="0" w:color="auto"/>
        <w:bottom w:val="none" w:sz="0" w:space="0" w:color="auto"/>
        <w:right w:val="none" w:sz="0" w:space="0" w:color="auto"/>
      </w:divBdr>
    </w:div>
    <w:div w:id="1033192692">
      <w:bodyDiv w:val="1"/>
      <w:marLeft w:val="0"/>
      <w:marRight w:val="0"/>
      <w:marTop w:val="0"/>
      <w:marBottom w:val="0"/>
      <w:divBdr>
        <w:top w:val="none" w:sz="0" w:space="0" w:color="auto"/>
        <w:left w:val="none" w:sz="0" w:space="0" w:color="auto"/>
        <w:bottom w:val="none" w:sz="0" w:space="0" w:color="auto"/>
        <w:right w:val="none" w:sz="0" w:space="0" w:color="auto"/>
      </w:divBdr>
    </w:div>
    <w:div w:id="1080902912">
      <w:bodyDiv w:val="1"/>
      <w:marLeft w:val="0"/>
      <w:marRight w:val="0"/>
      <w:marTop w:val="0"/>
      <w:marBottom w:val="0"/>
      <w:divBdr>
        <w:top w:val="none" w:sz="0" w:space="0" w:color="auto"/>
        <w:left w:val="none" w:sz="0" w:space="0" w:color="auto"/>
        <w:bottom w:val="none" w:sz="0" w:space="0" w:color="auto"/>
        <w:right w:val="none" w:sz="0" w:space="0" w:color="auto"/>
      </w:divBdr>
    </w:div>
    <w:div w:id="1083719879">
      <w:bodyDiv w:val="1"/>
      <w:marLeft w:val="0"/>
      <w:marRight w:val="0"/>
      <w:marTop w:val="0"/>
      <w:marBottom w:val="0"/>
      <w:divBdr>
        <w:top w:val="none" w:sz="0" w:space="0" w:color="auto"/>
        <w:left w:val="none" w:sz="0" w:space="0" w:color="auto"/>
        <w:bottom w:val="none" w:sz="0" w:space="0" w:color="auto"/>
        <w:right w:val="none" w:sz="0" w:space="0" w:color="auto"/>
      </w:divBdr>
    </w:div>
    <w:div w:id="1096294027">
      <w:bodyDiv w:val="1"/>
      <w:marLeft w:val="0"/>
      <w:marRight w:val="0"/>
      <w:marTop w:val="0"/>
      <w:marBottom w:val="0"/>
      <w:divBdr>
        <w:top w:val="none" w:sz="0" w:space="0" w:color="auto"/>
        <w:left w:val="none" w:sz="0" w:space="0" w:color="auto"/>
        <w:bottom w:val="none" w:sz="0" w:space="0" w:color="auto"/>
        <w:right w:val="none" w:sz="0" w:space="0" w:color="auto"/>
      </w:divBdr>
    </w:div>
    <w:div w:id="1107769363">
      <w:bodyDiv w:val="1"/>
      <w:marLeft w:val="0"/>
      <w:marRight w:val="0"/>
      <w:marTop w:val="0"/>
      <w:marBottom w:val="0"/>
      <w:divBdr>
        <w:top w:val="none" w:sz="0" w:space="0" w:color="auto"/>
        <w:left w:val="none" w:sz="0" w:space="0" w:color="auto"/>
        <w:bottom w:val="none" w:sz="0" w:space="0" w:color="auto"/>
        <w:right w:val="none" w:sz="0" w:space="0" w:color="auto"/>
      </w:divBdr>
    </w:div>
    <w:div w:id="1129980420">
      <w:bodyDiv w:val="1"/>
      <w:marLeft w:val="0"/>
      <w:marRight w:val="0"/>
      <w:marTop w:val="0"/>
      <w:marBottom w:val="0"/>
      <w:divBdr>
        <w:top w:val="none" w:sz="0" w:space="0" w:color="auto"/>
        <w:left w:val="none" w:sz="0" w:space="0" w:color="auto"/>
        <w:bottom w:val="none" w:sz="0" w:space="0" w:color="auto"/>
        <w:right w:val="none" w:sz="0" w:space="0" w:color="auto"/>
      </w:divBdr>
    </w:div>
    <w:div w:id="1162820526">
      <w:bodyDiv w:val="1"/>
      <w:marLeft w:val="0"/>
      <w:marRight w:val="0"/>
      <w:marTop w:val="0"/>
      <w:marBottom w:val="0"/>
      <w:divBdr>
        <w:top w:val="none" w:sz="0" w:space="0" w:color="auto"/>
        <w:left w:val="none" w:sz="0" w:space="0" w:color="auto"/>
        <w:bottom w:val="none" w:sz="0" w:space="0" w:color="auto"/>
        <w:right w:val="none" w:sz="0" w:space="0" w:color="auto"/>
      </w:divBdr>
    </w:div>
    <w:div w:id="1175731269">
      <w:bodyDiv w:val="1"/>
      <w:marLeft w:val="0"/>
      <w:marRight w:val="0"/>
      <w:marTop w:val="0"/>
      <w:marBottom w:val="0"/>
      <w:divBdr>
        <w:top w:val="none" w:sz="0" w:space="0" w:color="auto"/>
        <w:left w:val="none" w:sz="0" w:space="0" w:color="auto"/>
        <w:bottom w:val="none" w:sz="0" w:space="0" w:color="auto"/>
        <w:right w:val="none" w:sz="0" w:space="0" w:color="auto"/>
      </w:divBdr>
    </w:div>
    <w:div w:id="1179734643">
      <w:bodyDiv w:val="1"/>
      <w:marLeft w:val="0"/>
      <w:marRight w:val="0"/>
      <w:marTop w:val="0"/>
      <w:marBottom w:val="0"/>
      <w:divBdr>
        <w:top w:val="none" w:sz="0" w:space="0" w:color="auto"/>
        <w:left w:val="none" w:sz="0" w:space="0" w:color="auto"/>
        <w:bottom w:val="none" w:sz="0" w:space="0" w:color="auto"/>
        <w:right w:val="none" w:sz="0" w:space="0" w:color="auto"/>
      </w:divBdr>
    </w:div>
    <w:div w:id="1206022859">
      <w:bodyDiv w:val="1"/>
      <w:marLeft w:val="0"/>
      <w:marRight w:val="0"/>
      <w:marTop w:val="0"/>
      <w:marBottom w:val="0"/>
      <w:divBdr>
        <w:top w:val="none" w:sz="0" w:space="0" w:color="auto"/>
        <w:left w:val="none" w:sz="0" w:space="0" w:color="auto"/>
        <w:bottom w:val="none" w:sz="0" w:space="0" w:color="auto"/>
        <w:right w:val="none" w:sz="0" w:space="0" w:color="auto"/>
      </w:divBdr>
    </w:div>
    <w:div w:id="1220434948">
      <w:bodyDiv w:val="1"/>
      <w:marLeft w:val="0"/>
      <w:marRight w:val="0"/>
      <w:marTop w:val="0"/>
      <w:marBottom w:val="0"/>
      <w:divBdr>
        <w:top w:val="none" w:sz="0" w:space="0" w:color="auto"/>
        <w:left w:val="none" w:sz="0" w:space="0" w:color="auto"/>
        <w:bottom w:val="none" w:sz="0" w:space="0" w:color="auto"/>
        <w:right w:val="none" w:sz="0" w:space="0" w:color="auto"/>
      </w:divBdr>
    </w:div>
    <w:div w:id="1220946332">
      <w:bodyDiv w:val="1"/>
      <w:marLeft w:val="0"/>
      <w:marRight w:val="0"/>
      <w:marTop w:val="0"/>
      <w:marBottom w:val="0"/>
      <w:divBdr>
        <w:top w:val="none" w:sz="0" w:space="0" w:color="auto"/>
        <w:left w:val="none" w:sz="0" w:space="0" w:color="auto"/>
        <w:bottom w:val="none" w:sz="0" w:space="0" w:color="auto"/>
        <w:right w:val="none" w:sz="0" w:space="0" w:color="auto"/>
      </w:divBdr>
    </w:div>
    <w:div w:id="1239748374">
      <w:bodyDiv w:val="1"/>
      <w:marLeft w:val="0"/>
      <w:marRight w:val="0"/>
      <w:marTop w:val="0"/>
      <w:marBottom w:val="0"/>
      <w:divBdr>
        <w:top w:val="none" w:sz="0" w:space="0" w:color="auto"/>
        <w:left w:val="none" w:sz="0" w:space="0" w:color="auto"/>
        <w:bottom w:val="none" w:sz="0" w:space="0" w:color="auto"/>
        <w:right w:val="none" w:sz="0" w:space="0" w:color="auto"/>
      </w:divBdr>
    </w:div>
    <w:div w:id="1259632226">
      <w:bodyDiv w:val="1"/>
      <w:marLeft w:val="0"/>
      <w:marRight w:val="0"/>
      <w:marTop w:val="0"/>
      <w:marBottom w:val="0"/>
      <w:divBdr>
        <w:top w:val="none" w:sz="0" w:space="0" w:color="auto"/>
        <w:left w:val="none" w:sz="0" w:space="0" w:color="auto"/>
        <w:bottom w:val="none" w:sz="0" w:space="0" w:color="auto"/>
        <w:right w:val="none" w:sz="0" w:space="0" w:color="auto"/>
      </w:divBdr>
    </w:div>
    <w:div w:id="1302080240">
      <w:bodyDiv w:val="1"/>
      <w:marLeft w:val="0"/>
      <w:marRight w:val="0"/>
      <w:marTop w:val="0"/>
      <w:marBottom w:val="0"/>
      <w:divBdr>
        <w:top w:val="none" w:sz="0" w:space="0" w:color="auto"/>
        <w:left w:val="none" w:sz="0" w:space="0" w:color="auto"/>
        <w:bottom w:val="none" w:sz="0" w:space="0" w:color="auto"/>
        <w:right w:val="none" w:sz="0" w:space="0" w:color="auto"/>
      </w:divBdr>
    </w:div>
    <w:div w:id="1308169846">
      <w:bodyDiv w:val="1"/>
      <w:marLeft w:val="0"/>
      <w:marRight w:val="0"/>
      <w:marTop w:val="0"/>
      <w:marBottom w:val="0"/>
      <w:divBdr>
        <w:top w:val="none" w:sz="0" w:space="0" w:color="auto"/>
        <w:left w:val="none" w:sz="0" w:space="0" w:color="auto"/>
        <w:bottom w:val="none" w:sz="0" w:space="0" w:color="auto"/>
        <w:right w:val="none" w:sz="0" w:space="0" w:color="auto"/>
      </w:divBdr>
    </w:div>
    <w:div w:id="1322273462">
      <w:bodyDiv w:val="1"/>
      <w:marLeft w:val="0"/>
      <w:marRight w:val="0"/>
      <w:marTop w:val="0"/>
      <w:marBottom w:val="0"/>
      <w:divBdr>
        <w:top w:val="none" w:sz="0" w:space="0" w:color="auto"/>
        <w:left w:val="none" w:sz="0" w:space="0" w:color="auto"/>
        <w:bottom w:val="none" w:sz="0" w:space="0" w:color="auto"/>
        <w:right w:val="none" w:sz="0" w:space="0" w:color="auto"/>
      </w:divBdr>
    </w:div>
    <w:div w:id="1363164286">
      <w:bodyDiv w:val="1"/>
      <w:marLeft w:val="0"/>
      <w:marRight w:val="0"/>
      <w:marTop w:val="0"/>
      <w:marBottom w:val="0"/>
      <w:divBdr>
        <w:top w:val="none" w:sz="0" w:space="0" w:color="auto"/>
        <w:left w:val="none" w:sz="0" w:space="0" w:color="auto"/>
        <w:bottom w:val="none" w:sz="0" w:space="0" w:color="auto"/>
        <w:right w:val="none" w:sz="0" w:space="0" w:color="auto"/>
      </w:divBdr>
    </w:div>
    <w:div w:id="1379623022">
      <w:bodyDiv w:val="1"/>
      <w:marLeft w:val="0"/>
      <w:marRight w:val="0"/>
      <w:marTop w:val="0"/>
      <w:marBottom w:val="0"/>
      <w:divBdr>
        <w:top w:val="none" w:sz="0" w:space="0" w:color="auto"/>
        <w:left w:val="none" w:sz="0" w:space="0" w:color="auto"/>
        <w:bottom w:val="none" w:sz="0" w:space="0" w:color="auto"/>
        <w:right w:val="none" w:sz="0" w:space="0" w:color="auto"/>
      </w:divBdr>
    </w:div>
    <w:div w:id="1412964100">
      <w:bodyDiv w:val="1"/>
      <w:marLeft w:val="0"/>
      <w:marRight w:val="0"/>
      <w:marTop w:val="0"/>
      <w:marBottom w:val="0"/>
      <w:divBdr>
        <w:top w:val="none" w:sz="0" w:space="0" w:color="auto"/>
        <w:left w:val="none" w:sz="0" w:space="0" w:color="auto"/>
        <w:bottom w:val="none" w:sz="0" w:space="0" w:color="auto"/>
        <w:right w:val="none" w:sz="0" w:space="0" w:color="auto"/>
      </w:divBdr>
    </w:div>
    <w:div w:id="1429887385">
      <w:bodyDiv w:val="1"/>
      <w:marLeft w:val="0"/>
      <w:marRight w:val="0"/>
      <w:marTop w:val="0"/>
      <w:marBottom w:val="0"/>
      <w:divBdr>
        <w:top w:val="none" w:sz="0" w:space="0" w:color="auto"/>
        <w:left w:val="none" w:sz="0" w:space="0" w:color="auto"/>
        <w:bottom w:val="none" w:sz="0" w:space="0" w:color="auto"/>
        <w:right w:val="none" w:sz="0" w:space="0" w:color="auto"/>
      </w:divBdr>
    </w:div>
    <w:div w:id="1451170227">
      <w:bodyDiv w:val="1"/>
      <w:marLeft w:val="0"/>
      <w:marRight w:val="0"/>
      <w:marTop w:val="0"/>
      <w:marBottom w:val="0"/>
      <w:divBdr>
        <w:top w:val="none" w:sz="0" w:space="0" w:color="auto"/>
        <w:left w:val="none" w:sz="0" w:space="0" w:color="auto"/>
        <w:bottom w:val="none" w:sz="0" w:space="0" w:color="auto"/>
        <w:right w:val="none" w:sz="0" w:space="0" w:color="auto"/>
      </w:divBdr>
    </w:div>
    <w:div w:id="1478112259">
      <w:bodyDiv w:val="1"/>
      <w:marLeft w:val="0"/>
      <w:marRight w:val="0"/>
      <w:marTop w:val="0"/>
      <w:marBottom w:val="0"/>
      <w:divBdr>
        <w:top w:val="none" w:sz="0" w:space="0" w:color="auto"/>
        <w:left w:val="none" w:sz="0" w:space="0" w:color="auto"/>
        <w:bottom w:val="none" w:sz="0" w:space="0" w:color="auto"/>
        <w:right w:val="none" w:sz="0" w:space="0" w:color="auto"/>
      </w:divBdr>
    </w:div>
    <w:div w:id="1520505201">
      <w:bodyDiv w:val="1"/>
      <w:marLeft w:val="0"/>
      <w:marRight w:val="0"/>
      <w:marTop w:val="0"/>
      <w:marBottom w:val="0"/>
      <w:divBdr>
        <w:top w:val="none" w:sz="0" w:space="0" w:color="auto"/>
        <w:left w:val="none" w:sz="0" w:space="0" w:color="auto"/>
        <w:bottom w:val="none" w:sz="0" w:space="0" w:color="auto"/>
        <w:right w:val="none" w:sz="0" w:space="0" w:color="auto"/>
      </w:divBdr>
    </w:div>
    <w:div w:id="1572424153">
      <w:bodyDiv w:val="1"/>
      <w:marLeft w:val="0"/>
      <w:marRight w:val="0"/>
      <w:marTop w:val="0"/>
      <w:marBottom w:val="0"/>
      <w:divBdr>
        <w:top w:val="none" w:sz="0" w:space="0" w:color="auto"/>
        <w:left w:val="none" w:sz="0" w:space="0" w:color="auto"/>
        <w:bottom w:val="none" w:sz="0" w:space="0" w:color="auto"/>
        <w:right w:val="none" w:sz="0" w:space="0" w:color="auto"/>
      </w:divBdr>
    </w:div>
    <w:div w:id="1610042257">
      <w:bodyDiv w:val="1"/>
      <w:marLeft w:val="0"/>
      <w:marRight w:val="0"/>
      <w:marTop w:val="0"/>
      <w:marBottom w:val="0"/>
      <w:divBdr>
        <w:top w:val="none" w:sz="0" w:space="0" w:color="auto"/>
        <w:left w:val="none" w:sz="0" w:space="0" w:color="auto"/>
        <w:bottom w:val="none" w:sz="0" w:space="0" w:color="auto"/>
        <w:right w:val="none" w:sz="0" w:space="0" w:color="auto"/>
      </w:divBdr>
    </w:div>
    <w:div w:id="1710955809">
      <w:bodyDiv w:val="1"/>
      <w:marLeft w:val="0"/>
      <w:marRight w:val="0"/>
      <w:marTop w:val="0"/>
      <w:marBottom w:val="0"/>
      <w:divBdr>
        <w:top w:val="none" w:sz="0" w:space="0" w:color="auto"/>
        <w:left w:val="none" w:sz="0" w:space="0" w:color="auto"/>
        <w:bottom w:val="none" w:sz="0" w:space="0" w:color="auto"/>
        <w:right w:val="none" w:sz="0" w:space="0" w:color="auto"/>
      </w:divBdr>
    </w:div>
    <w:div w:id="1757482831">
      <w:bodyDiv w:val="1"/>
      <w:marLeft w:val="0"/>
      <w:marRight w:val="0"/>
      <w:marTop w:val="0"/>
      <w:marBottom w:val="0"/>
      <w:divBdr>
        <w:top w:val="none" w:sz="0" w:space="0" w:color="auto"/>
        <w:left w:val="none" w:sz="0" w:space="0" w:color="auto"/>
        <w:bottom w:val="none" w:sz="0" w:space="0" w:color="auto"/>
        <w:right w:val="none" w:sz="0" w:space="0" w:color="auto"/>
      </w:divBdr>
    </w:div>
    <w:div w:id="1797141523">
      <w:bodyDiv w:val="1"/>
      <w:marLeft w:val="0"/>
      <w:marRight w:val="0"/>
      <w:marTop w:val="0"/>
      <w:marBottom w:val="0"/>
      <w:divBdr>
        <w:top w:val="none" w:sz="0" w:space="0" w:color="auto"/>
        <w:left w:val="none" w:sz="0" w:space="0" w:color="auto"/>
        <w:bottom w:val="none" w:sz="0" w:space="0" w:color="auto"/>
        <w:right w:val="none" w:sz="0" w:space="0" w:color="auto"/>
      </w:divBdr>
    </w:div>
    <w:div w:id="1829595833">
      <w:bodyDiv w:val="1"/>
      <w:marLeft w:val="0"/>
      <w:marRight w:val="0"/>
      <w:marTop w:val="0"/>
      <w:marBottom w:val="0"/>
      <w:divBdr>
        <w:top w:val="none" w:sz="0" w:space="0" w:color="auto"/>
        <w:left w:val="none" w:sz="0" w:space="0" w:color="auto"/>
        <w:bottom w:val="none" w:sz="0" w:space="0" w:color="auto"/>
        <w:right w:val="none" w:sz="0" w:space="0" w:color="auto"/>
      </w:divBdr>
    </w:div>
    <w:div w:id="1837261068">
      <w:bodyDiv w:val="1"/>
      <w:marLeft w:val="0"/>
      <w:marRight w:val="0"/>
      <w:marTop w:val="0"/>
      <w:marBottom w:val="0"/>
      <w:divBdr>
        <w:top w:val="none" w:sz="0" w:space="0" w:color="auto"/>
        <w:left w:val="none" w:sz="0" w:space="0" w:color="auto"/>
        <w:bottom w:val="none" w:sz="0" w:space="0" w:color="auto"/>
        <w:right w:val="none" w:sz="0" w:space="0" w:color="auto"/>
      </w:divBdr>
    </w:div>
    <w:div w:id="1870293316">
      <w:bodyDiv w:val="1"/>
      <w:marLeft w:val="0"/>
      <w:marRight w:val="0"/>
      <w:marTop w:val="0"/>
      <w:marBottom w:val="0"/>
      <w:divBdr>
        <w:top w:val="none" w:sz="0" w:space="0" w:color="auto"/>
        <w:left w:val="none" w:sz="0" w:space="0" w:color="auto"/>
        <w:bottom w:val="none" w:sz="0" w:space="0" w:color="auto"/>
        <w:right w:val="none" w:sz="0" w:space="0" w:color="auto"/>
      </w:divBdr>
    </w:div>
    <w:div w:id="1873961459">
      <w:bodyDiv w:val="1"/>
      <w:marLeft w:val="0"/>
      <w:marRight w:val="0"/>
      <w:marTop w:val="0"/>
      <w:marBottom w:val="0"/>
      <w:divBdr>
        <w:top w:val="none" w:sz="0" w:space="0" w:color="auto"/>
        <w:left w:val="none" w:sz="0" w:space="0" w:color="auto"/>
        <w:bottom w:val="none" w:sz="0" w:space="0" w:color="auto"/>
        <w:right w:val="none" w:sz="0" w:space="0" w:color="auto"/>
      </w:divBdr>
    </w:div>
    <w:div w:id="1887326028">
      <w:bodyDiv w:val="1"/>
      <w:marLeft w:val="0"/>
      <w:marRight w:val="0"/>
      <w:marTop w:val="0"/>
      <w:marBottom w:val="0"/>
      <w:divBdr>
        <w:top w:val="none" w:sz="0" w:space="0" w:color="auto"/>
        <w:left w:val="none" w:sz="0" w:space="0" w:color="auto"/>
        <w:bottom w:val="none" w:sz="0" w:space="0" w:color="auto"/>
        <w:right w:val="none" w:sz="0" w:space="0" w:color="auto"/>
      </w:divBdr>
    </w:div>
    <w:div w:id="1893347894">
      <w:bodyDiv w:val="1"/>
      <w:marLeft w:val="0"/>
      <w:marRight w:val="0"/>
      <w:marTop w:val="0"/>
      <w:marBottom w:val="0"/>
      <w:divBdr>
        <w:top w:val="none" w:sz="0" w:space="0" w:color="auto"/>
        <w:left w:val="none" w:sz="0" w:space="0" w:color="auto"/>
        <w:bottom w:val="none" w:sz="0" w:space="0" w:color="auto"/>
        <w:right w:val="none" w:sz="0" w:space="0" w:color="auto"/>
      </w:divBdr>
    </w:div>
    <w:div w:id="1895311026">
      <w:bodyDiv w:val="1"/>
      <w:marLeft w:val="0"/>
      <w:marRight w:val="0"/>
      <w:marTop w:val="0"/>
      <w:marBottom w:val="0"/>
      <w:divBdr>
        <w:top w:val="none" w:sz="0" w:space="0" w:color="auto"/>
        <w:left w:val="none" w:sz="0" w:space="0" w:color="auto"/>
        <w:bottom w:val="none" w:sz="0" w:space="0" w:color="auto"/>
        <w:right w:val="none" w:sz="0" w:space="0" w:color="auto"/>
      </w:divBdr>
    </w:div>
    <w:div w:id="1917203974">
      <w:bodyDiv w:val="1"/>
      <w:marLeft w:val="0"/>
      <w:marRight w:val="0"/>
      <w:marTop w:val="0"/>
      <w:marBottom w:val="0"/>
      <w:divBdr>
        <w:top w:val="none" w:sz="0" w:space="0" w:color="auto"/>
        <w:left w:val="none" w:sz="0" w:space="0" w:color="auto"/>
        <w:bottom w:val="none" w:sz="0" w:space="0" w:color="auto"/>
        <w:right w:val="none" w:sz="0" w:space="0" w:color="auto"/>
      </w:divBdr>
    </w:div>
    <w:div w:id="1920942565">
      <w:bodyDiv w:val="1"/>
      <w:marLeft w:val="0"/>
      <w:marRight w:val="0"/>
      <w:marTop w:val="0"/>
      <w:marBottom w:val="0"/>
      <w:divBdr>
        <w:top w:val="none" w:sz="0" w:space="0" w:color="auto"/>
        <w:left w:val="none" w:sz="0" w:space="0" w:color="auto"/>
        <w:bottom w:val="none" w:sz="0" w:space="0" w:color="auto"/>
        <w:right w:val="none" w:sz="0" w:space="0" w:color="auto"/>
      </w:divBdr>
    </w:div>
    <w:div w:id="1956714588">
      <w:bodyDiv w:val="1"/>
      <w:marLeft w:val="0"/>
      <w:marRight w:val="0"/>
      <w:marTop w:val="0"/>
      <w:marBottom w:val="0"/>
      <w:divBdr>
        <w:top w:val="none" w:sz="0" w:space="0" w:color="auto"/>
        <w:left w:val="none" w:sz="0" w:space="0" w:color="auto"/>
        <w:bottom w:val="none" w:sz="0" w:space="0" w:color="auto"/>
        <w:right w:val="none" w:sz="0" w:space="0" w:color="auto"/>
      </w:divBdr>
    </w:div>
    <w:div w:id="1975141548">
      <w:bodyDiv w:val="1"/>
      <w:marLeft w:val="0"/>
      <w:marRight w:val="0"/>
      <w:marTop w:val="0"/>
      <w:marBottom w:val="0"/>
      <w:divBdr>
        <w:top w:val="none" w:sz="0" w:space="0" w:color="auto"/>
        <w:left w:val="none" w:sz="0" w:space="0" w:color="auto"/>
        <w:bottom w:val="none" w:sz="0" w:space="0" w:color="auto"/>
        <w:right w:val="none" w:sz="0" w:space="0" w:color="auto"/>
      </w:divBdr>
    </w:div>
    <w:div w:id="1975599527">
      <w:bodyDiv w:val="1"/>
      <w:marLeft w:val="0"/>
      <w:marRight w:val="0"/>
      <w:marTop w:val="0"/>
      <w:marBottom w:val="0"/>
      <w:divBdr>
        <w:top w:val="none" w:sz="0" w:space="0" w:color="auto"/>
        <w:left w:val="none" w:sz="0" w:space="0" w:color="auto"/>
        <w:bottom w:val="none" w:sz="0" w:space="0" w:color="auto"/>
        <w:right w:val="none" w:sz="0" w:space="0" w:color="auto"/>
      </w:divBdr>
    </w:div>
    <w:div w:id="1982416507">
      <w:bodyDiv w:val="1"/>
      <w:marLeft w:val="0"/>
      <w:marRight w:val="0"/>
      <w:marTop w:val="0"/>
      <w:marBottom w:val="0"/>
      <w:divBdr>
        <w:top w:val="none" w:sz="0" w:space="0" w:color="auto"/>
        <w:left w:val="none" w:sz="0" w:space="0" w:color="auto"/>
        <w:bottom w:val="none" w:sz="0" w:space="0" w:color="auto"/>
        <w:right w:val="none" w:sz="0" w:space="0" w:color="auto"/>
      </w:divBdr>
    </w:div>
    <w:div w:id="2132742900">
      <w:bodyDiv w:val="1"/>
      <w:marLeft w:val="0"/>
      <w:marRight w:val="0"/>
      <w:marTop w:val="0"/>
      <w:marBottom w:val="0"/>
      <w:divBdr>
        <w:top w:val="none" w:sz="0" w:space="0" w:color="auto"/>
        <w:left w:val="none" w:sz="0" w:space="0" w:color="auto"/>
        <w:bottom w:val="none" w:sz="0" w:space="0" w:color="auto"/>
        <w:right w:val="none" w:sz="0" w:space="0" w:color="auto"/>
      </w:divBdr>
    </w:div>
    <w:div w:id="2134325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eader" Target="header3.xml"/><Relationship Id="rId7" Type="http://schemas.microsoft.com/office/2007/relationships/stylesWithEffects" Target="stylesWithEffects.xml"/><Relationship Id="rId12" Type="http://schemas.openxmlformats.org/officeDocument/2006/relationships/image" Target="media/image1.jpeg"/><Relationship Id="rId17" Type="http://schemas.openxmlformats.org/officeDocument/2006/relationships/header" Target="header1.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eufunds.b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ope.moew.government.bg" TargetMode="External"/><Relationship Id="rId23" Type="http://schemas.openxmlformats.org/officeDocument/2006/relationships/header" Target="header5.xm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ope.moew.government.bg" TargetMode="Externa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50.wmf"/><Relationship Id="rId2" Type="http://schemas.openxmlformats.org/officeDocument/2006/relationships/image" Target="media/image6.png"/><Relationship Id="rId1" Type="http://schemas.openxmlformats.org/officeDocument/2006/relationships/image" Target="media/image5.wmf"/><Relationship Id="rId4" Type="http://schemas.openxmlformats.org/officeDocument/2006/relationships/image" Target="media/image60.png"/></Relationships>
</file>

<file path=word/_rels/footnotes.xml.rels><?xml version="1.0" encoding="UTF-8" standalone="yes"?>
<Relationships xmlns="http://schemas.openxmlformats.org/package/2006/relationships"><Relationship Id="rId3" Type="http://schemas.openxmlformats.org/officeDocument/2006/relationships/hyperlink" Target="http://ope.moew.government.bg/bg/pages/programirane-2014-2020/18" TargetMode="External"/><Relationship Id="rId2" Type="http://schemas.openxmlformats.org/officeDocument/2006/relationships/hyperlink" Target="http://ec.europa.eu/regional_policy/sources/docoffic/2014/working/evaluation_plan_guidance_en.pdf" TargetMode="External"/><Relationship Id="rId1" Type="http://schemas.openxmlformats.org/officeDocument/2006/relationships/hyperlink" Target="http://ec.europa.eu/regional_policy/sources/docoffic/2014/working/wd_2014_en.pdf" TargetMode="External"/><Relationship Id="rId5" Type="http://schemas.openxmlformats.org/officeDocument/2006/relationships/hyperlink" Target="http://ar2.government.bg/ras/index.html" TargetMode="External"/><Relationship Id="rId4" Type="http://schemas.openxmlformats.org/officeDocument/2006/relationships/hyperlink" Target="http://www3.moew.government.bg/files/file/PNOOP/USTROJSTVEN_PRAVILNIK_na_Ministerstvoto_na_okolnata_sreda_i_vodite.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C31\Documents\Branimira_Vezhdarova\Templates\TS102896593.dotx" TargetMode="External"/></Relationships>
</file>

<file path=word/theme/theme1.xml><?xml version="1.0" encoding="utf-8"?>
<a:theme xmlns:a="http://schemas.openxmlformats.org/drawingml/2006/main" name="Annual Report">
  <a:themeElements>
    <a:clrScheme name="Composite">
      <a:dk1>
        <a:sysClr val="windowText" lastClr="000000"/>
      </a:dk1>
      <a:lt1>
        <a:sysClr val="window" lastClr="FFFFFF"/>
      </a:lt1>
      <a:dk2>
        <a:srgbClr val="5B6973"/>
      </a:dk2>
      <a:lt2>
        <a:srgbClr val="E7ECED"/>
      </a:lt2>
      <a:accent1>
        <a:srgbClr val="98C723"/>
      </a:accent1>
      <a:accent2>
        <a:srgbClr val="59B0B9"/>
      </a:accent2>
      <a:accent3>
        <a:srgbClr val="DEAE00"/>
      </a:accent3>
      <a:accent4>
        <a:srgbClr val="B77BB4"/>
      </a:accent4>
      <a:accent5>
        <a:srgbClr val="E0773C"/>
      </a:accent5>
      <a:accent6>
        <a:srgbClr val="A98D63"/>
      </a:accent6>
      <a:hlink>
        <a:srgbClr val="26CBEC"/>
      </a:hlink>
      <a:folHlink>
        <a:srgbClr val="598C8C"/>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2016-04-21T00:00:00</PublishDate>
  <Abstract/>
  <CompanyAddress/>
  <CompanyPhone/>
  <CompanyFax/>
  <CompanyEmail/>
</CoverPageProperties>
</file>

<file path=customXml/item2.xml><?xml version="1.0" encoding="utf-8"?>
<?mso-contentType ?>
<FormTemplates xmlns="http://schemas.microsoft.com/sharepoint/v3/contenttype/forms">
  <Display>DocumentLibraryForm</Display>
  <Edit>AssetEditForm</Edit>
  <New>DocumentLibraryForm</New>
</FormTemplates>
</file>

<file path=customXml/item3.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3.xml><?xml version="1.0" encoding="utf-8"?>
<ds:datastoreItem xmlns:ds="http://schemas.openxmlformats.org/officeDocument/2006/customXml" ds:itemID="{F679E4D8-73D9-412D-B716-777944E71373}">
  <ds:schemaRefs>
    <ds:schemaRef ds:uri="http://schemas.microsoft.com/pics"/>
  </ds:schemaRefs>
</ds:datastoreItem>
</file>

<file path=customXml/itemProps4.xml><?xml version="1.0" encoding="utf-8"?>
<ds:datastoreItem xmlns:ds="http://schemas.openxmlformats.org/officeDocument/2006/customXml" ds:itemID="{7FD828D9-E62E-427C-8EED-35D5E5E6D5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TS102896593</Template>
  <TotalTime>17</TotalTime>
  <Pages>51</Pages>
  <Words>15900</Words>
  <Characters>90634</Characters>
  <Application>Microsoft Office Word</Application>
  <DocSecurity>0</DocSecurity>
  <Lines>755</Lines>
  <Paragraphs>212</Paragraphs>
  <ScaleCrop>false</ScaleCrop>
  <HeadingPairs>
    <vt:vector size="2" baseType="variant">
      <vt:variant>
        <vt:lpstr>Title</vt:lpstr>
      </vt:variant>
      <vt:variant>
        <vt:i4>1</vt:i4>
      </vt:variant>
    </vt:vector>
  </HeadingPairs>
  <TitlesOfParts>
    <vt:vector size="1" baseType="lpstr">
      <vt:lpstr>ИНДИКАТИВЕН ПЛАН ЗА ОЦЕНКА НА
оПЕРАТИВНА ПРОГРАМА „ОКОЛНА СРЕДА 2014-2020 Г.“</vt:lpstr>
    </vt:vector>
  </TitlesOfParts>
  <Company/>
  <LinksUpToDate>false</LinksUpToDate>
  <CharactersWithSpaces>106322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ИНДИКАТИВЕН ПЛАН ЗА ОЦЕНКА НА
оПЕРАТИВНА ПРОГРАМА „ОКОЛНА СРЕДА 2014-2020 Г.“</dc:title>
  <dc:creator>PC31</dc:creator>
  <cp:lastModifiedBy>DMarinova</cp:lastModifiedBy>
  <cp:revision>11</cp:revision>
  <cp:lastPrinted>2016-05-10T07:32:00Z</cp:lastPrinted>
  <dcterms:created xsi:type="dcterms:W3CDTF">2016-06-07T12:42:00Z</dcterms:created>
  <dcterms:modified xsi:type="dcterms:W3CDTF">2016-06-07T13:15:00Z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