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904ACC" w14:paraId="5409F979" w14:textId="77777777" w:rsidTr="00904ACC">
        <w:trPr>
          <w:trHeight w:val="1610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14:paraId="45FC86ED" w14:textId="4870B60F" w:rsidR="008D3570" w:rsidRPr="00904ACC" w:rsidRDefault="00994FBD" w:rsidP="00904ACC">
            <w:pPr>
              <w:pStyle w:val="Header"/>
              <w:spacing w:before="60"/>
              <w:jc w:val="center"/>
              <w:rPr>
                <w:lang w:val="bg-BG"/>
              </w:rPr>
            </w:pPr>
            <w:r w:rsidRPr="008B2DA9">
              <w:rPr>
                <w:noProof/>
                <w:lang w:val="en-US" w:eastAsia="en-US"/>
              </w:rPr>
              <w:drawing>
                <wp:inline distT="0" distB="0" distL="0" distR="0" wp14:anchorId="3785B08D" wp14:editId="29A20A45">
                  <wp:extent cx="1353185" cy="10750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D0FAA2" w14:textId="77777777" w:rsidR="008D3570" w:rsidRPr="00904ACC" w:rsidRDefault="008D3570" w:rsidP="00904ACC">
            <w:pPr>
              <w:pStyle w:val="Header"/>
              <w:spacing w:after="40"/>
              <w:jc w:val="center"/>
              <w:rPr>
                <w:lang w:val="ru-RU"/>
              </w:rPr>
            </w:pPr>
            <w:r w:rsidRPr="00904ACC">
              <w:rPr>
                <w:rFonts w:ascii="Arial" w:hAnsi="Arial" w:cs="Arial"/>
                <w:color w:val="F8C300"/>
                <w:lang w:val="ru-RU"/>
              </w:rPr>
              <w:t xml:space="preserve"> </w:t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14:paraId="032BD420" w14:textId="77777777" w:rsidR="00AB09E2" w:rsidRPr="00904ACC" w:rsidRDefault="00AB09E2" w:rsidP="00904ACC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14:paraId="437576BD" w14:textId="77777777" w:rsidR="008D3570" w:rsidRPr="00904ACC" w:rsidRDefault="00AB09E2" w:rsidP="0047500E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 w:rsidR="0047500E" w:rsidRPr="004E786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ru-RU" w:eastAsia="bg-BG"/>
              </w:rPr>
              <w:t>14</w:t>
            </w: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 w:rsidR="0047500E" w:rsidRPr="004E786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ru-RU" w:eastAsia="bg-BG"/>
              </w:rPr>
              <w:t>20</w:t>
            </w:r>
            <w:r w:rsidRPr="00904ACC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14:paraId="0C590376" w14:textId="608ACD3A" w:rsidR="008D3570" w:rsidRPr="00904ACC" w:rsidRDefault="00994FBD" w:rsidP="00904ACC">
            <w:pPr>
              <w:pStyle w:val="Header"/>
              <w:spacing w:after="30"/>
              <w:jc w:val="center"/>
              <w:rPr>
                <w:rFonts w:ascii="Arial" w:hAnsi="Arial" w:cs="Arial"/>
                <w:lang w:val="bg-BG"/>
              </w:rPr>
            </w:pPr>
            <w:r w:rsidRPr="008B2DA9">
              <w:rPr>
                <w:rFonts w:ascii="Arial" w:hAnsi="Arial" w:cs="Arial"/>
                <w:noProof/>
              </w:rPr>
              <w:drawing>
                <wp:inline distT="0" distB="0" distL="0" distR="0" wp14:anchorId="1ED2F3FB" wp14:editId="2FBF7F7E">
                  <wp:extent cx="577850" cy="3879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E68555" w14:textId="77777777" w:rsidR="00D602E3" w:rsidRPr="00904ACC" w:rsidRDefault="00D602E3" w:rsidP="00904ACC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904ACC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14:paraId="1F95E1F3" w14:textId="77777777" w:rsidR="00D602E3" w:rsidRPr="00904ACC" w:rsidRDefault="00D602E3" w:rsidP="00D865AE">
            <w:pPr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904ACC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 w:rsidR="00D865AE"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8D3570" w:rsidRPr="00904ACC" w14:paraId="0B165D53" w14:textId="77777777" w:rsidTr="00904ACC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14:paraId="1DB47AC4" w14:textId="77777777" w:rsidR="00BF2BAB" w:rsidRPr="00084EBC" w:rsidRDefault="00BF2BAB" w:rsidP="00BF2BAB">
            <w:pPr>
              <w:pStyle w:val="Header"/>
              <w:spacing w:before="120"/>
              <w:jc w:val="right"/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</w:pPr>
            <w:r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Главна д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ирекция “</w:t>
            </w:r>
            <w:r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Оперативна програма околна среда</w:t>
            </w:r>
            <w:r w:rsidRPr="00084EBC">
              <w:rPr>
                <w:rFonts w:ascii="Arial Narrow" w:hAnsi="Arial Narrow" w:cs="Tahoma"/>
                <w:noProof/>
                <w:color w:val="808080"/>
                <w:spacing w:val="24"/>
                <w:lang w:val="bg-BG" w:eastAsia="bg-BG"/>
              </w:rPr>
              <w:t>”</w:t>
            </w:r>
          </w:p>
          <w:p w14:paraId="2FD66295" w14:textId="77777777" w:rsidR="008D3570" w:rsidRDefault="009F56D5" w:rsidP="00BF2BAB">
            <w:pPr>
              <w:pStyle w:val="Header"/>
              <w:jc w:val="right"/>
              <w:rPr>
                <w:rFonts w:ascii="Arial Narrow" w:hAnsi="Arial Narrow" w:cs="Tahoma"/>
                <w:noProof/>
                <w:color w:val="808080"/>
                <w:spacing w:val="24"/>
                <w:lang w:val="en-US" w:eastAsia="bg-BG"/>
              </w:rPr>
            </w:pPr>
            <w:hyperlink r:id="rId10" w:history="1"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en-US" w:eastAsia="bg-BG"/>
                </w:rPr>
                <w:t>ope</w:t>
              </w:r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ru-RU" w:eastAsia="bg-BG"/>
                </w:rPr>
                <w:t>@</w:t>
              </w:r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en-US" w:eastAsia="bg-BG"/>
                </w:rPr>
                <w:t>moew</w:t>
              </w:r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ru-RU" w:eastAsia="bg-BG"/>
                </w:rPr>
                <w:t>.</w:t>
              </w:r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en-US" w:eastAsia="bg-BG"/>
                </w:rPr>
                <w:t>government</w:t>
              </w:r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ru-RU" w:eastAsia="bg-BG"/>
                </w:rPr>
                <w:t>.</w:t>
              </w:r>
              <w:r w:rsidR="002A6C3F" w:rsidRPr="00873A40">
                <w:rPr>
                  <w:rStyle w:val="Hyperlink"/>
                  <w:rFonts w:ascii="Arial Narrow" w:hAnsi="Arial Narrow" w:cs="Tahoma"/>
                  <w:noProof/>
                  <w:spacing w:val="24"/>
                  <w:lang w:val="en-US" w:eastAsia="bg-BG"/>
                </w:rPr>
                <w:t>bg</w:t>
              </w:r>
            </w:hyperlink>
          </w:p>
          <w:p w14:paraId="4E90BC81" w14:textId="77777777" w:rsidR="002A6C3F" w:rsidRDefault="002A6C3F" w:rsidP="00BF2BAB">
            <w:pPr>
              <w:pStyle w:val="Header"/>
              <w:jc w:val="right"/>
              <w:rPr>
                <w:rFonts w:ascii="Arial Narrow" w:hAnsi="Arial Narrow" w:cs="Tahoma"/>
                <w:noProof/>
                <w:color w:val="808080"/>
                <w:spacing w:val="24"/>
                <w:lang w:val="en-US" w:eastAsia="bg-BG"/>
              </w:rPr>
            </w:pPr>
          </w:p>
          <w:p w14:paraId="219C7A8E" w14:textId="77777777" w:rsidR="002A6C3F" w:rsidRPr="00904ACC" w:rsidRDefault="002A6C3F" w:rsidP="00A116B0">
            <w:pPr>
              <w:ind w:left="7080"/>
              <w:jc w:val="both"/>
              <w:rPr>
                <w:noProof/>
                <w:lang w:val="bg-BG" w:eastAsia="bg-BG"/>
              </w:rPr>
            </w:pPr>
          </w:p>
        </w:tc>
      </w:tr>
    </w:tbl>
    <w:p w14:paraId="7406F46B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088"/>
      </w:tblGrid>
      <w:tr w:rsidR="00E44D31" w:rsidRPr="00055808" w14:paraId="09B13911" w14:textId="77777777" w:rsidTr="00E160BA">
        <w:tc>
          <w:tcPr>
            <w:tcW w:w="9606" w:type="dxa"/>
            <w:gridSpan w:val="2"/>
            <w:shd w:val="clear" w:color="auto" w:fill="BFBFBF"/>
          </w:tcPr>
          <w:p w14:paraId="49DBA0B6" w14:textId="77777777" w:rsidR="00E44D31" w:rsidRPr="00055808" w:rsidRDefault="00E44D31" w:rsidP="00893332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4A4CDF" w:rsidRPr="004A4CDF">
              <w:rPr>
                <w:b/>
                <w:sz w:val="24"/>
                <w:szCs w:val="24"/>
                <w:lang w:val="bg-BG"/>
              </w:rPr>
              <w:t xml:space="preserve">ПРОЦЕДУРА </w:t>
            </w:r>
            <w:r w:rsidR="000B72BE">
              <w:rPr>
                <w:b/>
                <w:sz w:val="24"/>
                <w:szCs w:val="24"/>
                <w:lang w:val="bg-BG"/>
              </w:rPr>
              <w:t>ЧРЕЗ</w:t>
            </w:r>
            <w:r w:rsidR="004A4CDF" w:rsidRPr="004A4CDF">
              <w:rPr>
                <w:b/>
                <w:sz w:val="24"/>
                <w:szCs w:val="24"/>
                <w:lang w:val="bg-BG"/>
              </w:rPr>
              <w:t xml:space="preserve"> ДИРЕКТНО ПРЕДОСТАВЯНЕ</w:t>
            </w:r>
            <w:r w:rsidR="00893332">
              <w:rPr>
                <w:b/>
                <w:sz w:val="24"/>
                <w:szCs w:val="24"/>
                <w:lang w:val="en-US"/>
              </w:rPr>
              <w:t xml:space="preserve"> </w:t>
            </w:r>
            <w:r w:rsidR="009308AF">
              <w:rPr>
                <w:b/>
                <w:sz w:val="24"/>
                <w:szCs w:val="24"/>
                <w:lang w:val="bg-BG"/>
              </w:rPr>
              <w:t>„</w:t>
            </w:r>
            <w:r w:rsidR="00893332" w:rsidRPr="00893332">
              <w:rPr>
                <w:b/>
                <w:sz w:val="24"/>
                <w:szCs w:val="24"/>
                <w:lang w:val="bg-BG"/>
              </w:rPr>
              <w:t>ОСИГУРЯВАНЕ НА ПОДКРЕПА НА ОСОБЕНО ЗАСЕГНАТИ ОТ УВЕЛИЧЕНИЕТО НА ЦЕНИТЕ НА ЕНЕРГИЯТА МСП ЧРЕЗ МЯРКА, ПРИЛАГАНА ОТ ФОНД "СИГУРНОСТ НА ЕЛЕКТРОЕНЕРИЙНАТА СИСТЕМА” (SAFE)</w:t>
            </w:r>
            <w:r w:rsidR="00893332">
              <w:rPr>
                <w:b/>
                <w:sz w:val="24"/>
                <w:szCs w:val="24"/>
                <w:lang w:val="en-US"/>
              </w:rPr>
              <w:t xml:space="preserve">” </w:t>
            </w:r>
            <w:r w:rsidR="00845F35" w:rsidRPr="00845F35">
              <w:rPr>
                <w:b/>
                <w:sz w:val="24"/>
                <w:szCs w:val="24"/>
                <w:lang w:val="bg-BG"/>
              </w:rPr>
              <w:t xml:space="preserve">ПО ПРИОРИТЕТНА ОС </w:t>
            </w:r>
            <w:r w:rsidR="00360F9D">
              <w:rPr>
                <w:b/>
                <w:sz w:val="24"/>
                <w:szCs w:val="24"/>
                <w:lang w:val="bg-BG"/>
              </w:rPr>
              <w:t>8</w:t>
            </w:r>
            <w:r w:rsidR="00845F35">
              <w:rPr>
                <w:b/>
                <w:sz w:val="24"/>
                <w:szCs w:val="24"/>
                <w:lang w:val="bg-BG"/>
              </w:rPr>
              <w:t xml:space="preserve"> </w:t>
            </w:r>
            <w:r w:rsidR="00B30CC3">
              <w:rPr>
                <w:b/>
                <w:sz w:val="24"/>
                <w:szCs w:val="24"/>
                <w:lang w:val="bg-BG"/>
              </w:rPr>
              <w:t>НА ОПОС 2014–2020</w:t>
            </w:r>
            <w:r w:rsidR="004B5DBC" w:rsidRPr="006B6B03">
              <w:rPr>
                <w:b/>
                <w:sz w:val="24"/>
                <w:szCs w:val="24"/>
                <w:lang w:val="bg-BG"/>
              </w:rPr>
              <w:t xml:space="preserve"> </w:t>
            </w:r>
            <w:r w:rsidR="004B5DBC">
              <w:rPr>
                <w:b/>
                <w:sz w:val="24"/>
                <w:szCs w:val="24"/>
                <w:lang w:val="bg-BG"/>
              </w:rPr>
              <w:t>г</w:t>
            </w:r>
            <w:r w:rsidR="00B30CC3">
              <w:rPr>
                <w:b/>
                <w:sz w:val="24"/>
                <w:szCs w:val="24"/>
                <w:lang w:val="bg-BG"/>
              </w:rPr>
              <w:t>.</w:t>
            </w:r>
          </w:p>
        </w:tc>
      </w:tr>
      <w:tr w:rsidR="00E44D31" w:rsidRPr="00055808" w14:paraId="041D10CF" w14:textId="77777777" w:rsidTr="00E160BA">
        <w:tc>
          <w:tcPr>
            <w:tcW w:w="2518" w:type="dxa"/>
            <w:shd w:val="clear" w:color="auto" w:fill="auto"/>
            <w:vAlign w:val="center"/>
          </w:tcPr>
          <w:p w14:paraId="6EE6F792" w14:textId="77777777" w:rsidR="00E41FEC" w:rsidRPr="00360F9D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Приоритетна ос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DB4974C" w14:textId="77777777" w:rsidR="00E44D31" w:rsidRPr="00624DE3" w:rsidRDefault="00360F9D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360F9D">
              <w:rPr>
                <w:sz w:val="24"/>
                <w:szCs w:val="24"/>
                <w:lang w:val="bg-BG"/>
              </w:rPr>
              <w:t xml:space="preserve">Подкрепа за МСП чрез </w:t>
            </w:r>
            <w:proofErr w:type="spellStart"/>
            <w:r w:rsidRPr="00360F9D">
              <w:rPr>
                <w:sz w:val="24"/>
                <w:szCs w:val="24"/>
                <w:lang w:val="bg-BG"/>
              </w:rPr>
              <w:t>инстурмента</w:t>
            </w:r>
            <w:proofErr w:type="spellEnd"/>
            <w:r w:rsidRPr="00360F9D">
              <w:rPr>
                <w:sz w:val="24"/>
                <w:szCs w:val="24"/>
                <w:lang w:val="bg-BG"/>
              </w:rPr>
              <w:t xml:space="preserve"> SAFE</w:t>
            </w:r>
            <w:r w:rsidR="0083490E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055808" w14:paraId="6039992A" w14:textId="77777777" w:rsidTr="00E160BA">
        <w:tc>
          <w:tcPr>
            <w:tcW w:w="2518" w:type="dxa"/>
            <w:shd w:val="clear" w:color="auto" w:fill="auto"/>
            <w:vAlign w:val="center"/>
          </w:tcPr>
          <w:p w14:paraId="6A1A92A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Инвестиционен приоритет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8787552" w14:textId="77777777" w:rsidR="00015DE0" w:rsidRPr="00055808" w:rsidRDefault="00360F9D" w:rsidP="00015DE0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60F9D">
              <w:rPr>
                <w:sz w:val="24"/>
                <w:szCs w:val="24"/>
                <w:lang w:val="bg-BG"/>
              </w:rPr>
              <w:t>Инвестиционен приоритет 3 (d) към ТЦ 3</w:t>
            </w:r>
            <w:r w:rsidR="00420B73" w:rsidRPr="00420B73">
              <w:rPr>
                <w:sz w:val="24"/>
                <w:szCs w:val="24"/>
                <w:lang w:val="bg-BG"/>
              </w:rPr>
              <w:t xml:space="preserve">, </w:t>
            </w:r>
            <w:r w:rsidRPr="00360F9D">
              <w:rPr>
                <w:sz w:val="24"/>
                <w:szCs w:val="24"/>
                <w:lang w:val="bg-BG"/>
              </w:rPr>
              <w:t>Подкрепа за капацитета на МСП за растеж в рамките на регионалните, националните и международните пазари и участие в процеса на иновации</w:t>
            </w:r>
            <w:r w:rsidR="0083490E">
              <w:rPr>
                <w:sz w:val="24"/>
                <w:szCs w:val="24"/>
                <w:lang w:val="bg-BG"/>
              </w:rPr>
              <w:t>.</w:t>
            </w:r>
            <w:r w:rsidR="005828F1">
              <w:rPr>
                <w:sz w:val="24"/>
                <w:szCs w:val="24"/>
                <w:lang w:val="bg-BG"/>
              </w:rPr>
              <w:t xml:space="preserve"> (ЕФРР и КФ)</w:t>
            </w:r>
          </w:p>
        </w:tc>
      </w:tr>
      <w:tr w:rsidR="00E44D31" w:rsidRPr="00055808" w14:paraId="04024BBA" w14:textId="77777777" w:rsidTr="00E160BA">
        <w:trPr>
          <w:trHeight w:val="1178"/>
        </w:trPr>
        <w:tc>
          <w:tcPr>
            <w:tcW w:w="2518" w:type="dxa"/>
            <w:shd w:val="clear" w:color="auto" w:fill="auto"/>
            <w:vAlign w:val="center"/>
          </w:tcPr>
          <w:p w14:paraId="1CB5B9F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приоритетната ос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2AB6304" w14:textId="77777777" w:rsidR="00E44D31" w:rsidRPr="00055808" w:rsidRDefault="00360F9D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60F9D">
              <w:rPr>
                <w:sz w:val="24"/>
                <w:szCs w:val="24"/>
                <w:lang w:val="bg-BG"/>
              </w:rPr>
              <w:t>Подкрепа за МСП, които са особено засегнати от увеличения на цените на енергията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055808" w14:paraId="3B670B20" w14:textId="77777777" w:rsidTr="00E160BA">
        <w:trPr>
          <w:trHeight w:val="2258"/>
        </w:trPr>
        <w:tc>
          <w:tcPr>
            <w:tcW w:w="2518" w:type="dxa"/>
            <w:shd w:val="clear" w:color="auto" w:fill="auto"/>
            <w:vAlign w:val="center"/>
          </w:tcPr>
          <w:p w14:paraId="671FC5AF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Индикатори по приоритетната ос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EFB45D" w14:textId="4B445879" w:rsidR="00A01A56" w:rsidRPr="00A01A56" w:rsidRDefault="00A01A56" w:rsidP="00322F10">
            <w:pPr>
              <w:tabs>
                <w:tab w:val="left" w:pos="460"/>
              </w:tabs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1A56">
              <w:rPr>
                <w:sz w:val="24"/>
                <w:szCs w:val="24"/>
                <w:lang w:val="bg-BG"/>
              </w:rPr>
              <w:t>CO01</w:t>
            </w:r>
            <w:r w:rsidR="00322F10">
              <w:rPr>
                <w:sz w:val="24"/>
                <w:szCs w:val="24"/>
                <w:lang w:val="bg-BG"/>
              </w:rPr>
              <w:t xml:space="preserve"> </w:t>
            </w:r>
            <w:r w:rsidRPr="00A01A56">
              <w:rPr>
                <w:sz w:val="24"/>
                <w:szCs w:val="24"/>
                <w:lang w:val="bg-BG"/>
              </w:rPr>
              <w:t xml:space="preserve">Производствени инвестиции: Брой предприятия, получаващи подкрепа </w:t>
            </w:r>
          </w:p>
          <w:p w14:paraId="2EE7309F" w14:textId="51943C60" w:rsidR="007E332E" w:rsidRPr="007E332E" w:rsidRDefault="00A01A56" w:rsidP="007E332E">
            <w:pPr>
              <w:tabs>
                <w:tab w:val="left" w:pos="460"/>
              </w:tabs>
              <w:spacing w:before="120" w:after="120"/>
              <w:jc w:val="both"/>
              <w:rPr>
                <w:sz w:val="24"/>
                <w:szCs w:val="24"/>
                <w:lang w:val="en-US"/>
              </w:rPr>
            </w:pPr>
            <w:r w:rsidRPr="00A01A56">
              <w:rPr>
                <w:sz w:val="24"/>
                <w:szCs w:val="24"/>
                <w:lang w:val="bg-BG"/>
              </w:rPr>
              <w:t>CO02 Производствени инвестиции: Брой предприятия, които получават безвъзмездни средства</w:t>
            </w:r>
            <w:r w:rsidR="00CC0522">
              <w:rPr>
                <w:sz w:val="24"/>
                <w:szCs w:val="24"/>
                <w:lang w:val="en-US"/>
              </w:rPr>
              <w:t xml:space="preserve"> </w:t>
            </w:r>
          </w:p>
          <w:p w14:paraId="76411F9F" w14:textId="01F0E02D" w:rsidR="00A01A56" w:rsidRPr="00CC0522" w:rsidRDefault="00A01A56" w:rsidP="007E332E">
            <w:pPr>
              <w:tabs>
                <w:tab w:val="left" w:pos="460"/>
              </w:tabs>
              <w:spacing w:before="120" w:after="120"/>
              <w:jc w:val="both"/>
              <w:rPr>
                <w:sz w:val="24"/>
                <w:szCs w:val="24"/>
                <w:lang w:val="en-US"/>
              </w:rPr>
            </w:pPr>
            <w:r w:rsidRPr="00A01A56">
              <w:rPr>
                <w:sz w:val="24"/>
                <w:szCs w:val="24"/>
                <w:lang w:val="bg-BG"/>
              </w:rPr>
              <w:t>Безвъзмездни средства за компенсиране на завишените цени на енергията на МСП</w:t>
            </w:r>
            <w:r w:rsidR="00CC0522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D40AEE" w:rsidRPr="00055808" w14:paraId="0822D355" w14:textId="77777777" w:rsidTr="00E160BA">
        <w:tc>
          <w:tcPr>
            <w:tcW w:w="2518" w:type="dxa"/>
            <w:shd w:val="clear" w:color="auto" w:fill="auto"/>
          </w:tcPr>
          <w:p w14:paraId="7B22A7E8" w14:textId="77777777" w:rsidR="00D40AEE" w:rsidRPr="00D40AEE" w:rsidRDefault="00D40AEE" w:rsidP="00D40AE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  <w:p w14:paraId="7B9074F3" w14:textId="77777777" w:rsidR="00D40AEE" w:rsidRPr="00D40AEE" w:rsidRDefault="00D40AEE" w:rsidP="00D40AEE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6FE39046" w14:textId="77777777" w:rsidR="00D40AEE" w:rsidRPr="00055808" w:rsidRDefault="005828F1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</w:t>
            </w:r>
            <w:r w:rsidRPr="005828F1">
              <w:rPr>
                <w:sz w:val="24"/>
                <w:szCs w:val="24"/>
                <w:lang w:val="bg-BG"/>
              </w:rPr>
              <w:t xml:space="preserve">сигуряване на подкрепа на </w:t>
            </w:r>
            <w:r w:rsidR="00482C05">
              <w:rPr>
                <w:sz w:val="24"/>
                <w:szCs w:val="24"/>
                <w:lang w:val="bg-BG"/>
              </w:rPr>
              <w:t xml:space="preserve">особено </w:t>
            </w:r>
            <w:r w:rsidRPr="005828F1">
              <w:rPr>
                <w:sz w:val="24"/>
                <w:szCs w:val="24"/>
                <w:lang w:val="bg-BG"/>
              </w:rPr>
              <w:t>засегнати от увеличението на цените на енергията</w:t>
            </w:r>
            <w:r w:rsidR="00EC377D" w:rsidRPr="005828F1">
              <w:rPr>
                <w:sz w:val="24"/>
                <w:szCs w:val="24"/>
                <w:lang w:val="bg-BG"/>
              </w:rPr>
              <w:t xml:space="preserve"> МСП</w:t>
            </w:r>
            <w:r w:rsidRPr="005828F1">
              <w:rPr>
                <w:sz w:val="24"/>
                <w:szCs w:val="24"/>
                <w:lang w:val="bg-BG"/>
              </w:rPr>
              <w:t xml:space="preserve"> чрез мярка</w:t>
            </w:r>
            <w:r w:rsidR="00142150">
              <w:rPr>
                <w:sz w:val="24"/>
                <w:szCs w:val="24"/>
                <w:lang w:val="en-US"/>
              </w:rPr>
              <w:t>,</w:t>
            </w:r>
            <w:r w:rsidRPr="005828F1">
              <w:rPr>
                <w:sz w:val="24"/>
                <w:szCs w:val="24"/>
                <w:lang w:val="bg-BG"/>
              </w:rPr>
              <w:t xml:space="preserve"> прилагана от фонд "</w:t>
            </w:r>
            <w:r w:rsidR="00B438A1">
              <w:rPr>
                <w:sz w:val="24"/>
                <w:szCs w:val="24"/>
                <w:lang w:val="bg-BG"/>
              </w:rPr>
              <w:t>С</w:t>
            </w:r>
            <w:r w:rsidRPr="005828F1">
              <w:rPr>
                <w:sz w:val="24"/>
                <w:szCs w:val="24"/>
                <w:lang w:val="bg-BG"/>
              </w:rPr>
              <w:t xml:space="preserve">игурност на </w:t>
            </w:r>
            <w:proofErr w:type="spellStart"/>
            <w:r w:rsidRPr="005828F1">
              <w:rPr>
                <w:sz w:val="24"/>
                <w:szCs w:val="24"/>
                <w:lang w:val="bg-BG"/>
              </w:rPr>
              <w:t>електроенерийната</w:t>
            </w:r>
            <w:proofErr w:type="spellEnd"/>
            <w:r w:rsidRPr="005828F1">
              <w:rPr>
                <w:sz w:val="24"/>
                <w:szCs w:val="24"/>
                <w:lang w:val="bg-BG"/>
              </w:rPr>
              <w:t xml:space="preserve"> система</w:t>
            </w:r>
            <w:r w:rsidR="002C2B79">
              <w:rPr>
                <w:sz w:val="24"/>
                <w:szCs w:val="24"/>
                <w:lang w:val="en-US"/>
              </w:rPr>
              <w:t>”</w:t>
            </w:r>
            <w:r w:rsidRPr="005828F1">
              <w:rPr>
                <w:sz w:val="24"/>
                <w:szCs w:val="24"/>
                <w:lang w:val="bg-BG"/>
              </w:rPr>
              <w:t xml:space="preserve"> (SAFE)</w:t>
            </w:r>
          </w:p>
        </w:tc>
      </w:tr>
      <w:tr w:rsidR="00E44D31" w:rsidRPr="00055808" w14:paraId="339A96A7" w14:textId="77777777" w:rsidTr="00E160BA">
        <w:tc>
          <w:tcPr>
            <w:tcW w:w="2518" w:type="dxa"/>
            <w:shd w:val="clear" w:color="auto" w:fill="auto"/>
          </w:tcPr>
          <w:p w14:paraId="3B1207C5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DC0EAA1" w14:textId="77777777" w:rsidR="00107C25" w:rsidRDefault="00E44D31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Процедура </w:t>
            </w:r>
            <w:r w:rsidR="005828F1">
              <w:rPr>
                <w:sz w:val="24"/>
                <w:szCs w:val="24"/>
                <w:lang w:val="bg-BG"/>
              </w:rPr>
              <w:t>чрез</w:t>
            </w:r>
            <w:r w:rsidR="00D63D8E">
              <w:rPr>
                <w:sz w:val="24"/>
                <w:szCs w:val="24"/>
                <w:lang w:val="bg-BG"/>
              </w:rPr>
              <w:t xml:space="preserve"> директно предоставяне на безвъзмездна финансова помощ</w:t>
            </w:r>
            <w:r w:rsidR="0083490E">
              <w:rPr>
                <w:sz w:val="24"/>
                <w:szCs w:val="24"/>
                <w:lang w:val="bg-BG"/>
              </w:rPr>
              <w:t>.</w:t>
            </w:r>
          </w:p>
          <w:p w14:paraId="2CF60911" w14:textId="77777777" w:rsidR="003A5563" w:rsidRPr="003A5563" w:rsidRDefault="003A5563" w:rsidP="003A556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A5563">
              <w:rPr>
                <w:sz w:val="24"/>
                <w:szCs w:val="24"/>
                <w:lang w:val="bg-BG"/>
              </w:rPr>
              <w:t>Процедура чрез директно предоставяне е тази, при която безвъзмездната финансова помощ се предоставя само на кандидат, посочен в съответната програма, или в документ, одобрен от Комитета за наблюдение на програмата като конкретен бенефициент за съответната дейност.</w:t>
            </w:r>
          </w:p>
          <w:p w14:paraId="75C69E33" w14:textId="77777777" w:rsidR="003A5563" w:rsidRPr="003A5563" w:rsidRDefault="003A5563" w:rsidP="003A556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A5563">
              <w:rPr>
                <w:sz w:val="24"/>
                <w:szCs w:val="24"/>
                <w:lang w:val="bg-BG"/>
              </w:rPr>
              <w:t xml:space="preserve">Процедурата чрез директно предоставяне на конкретен бенефициент се осъществява съгласно разпоредбите на чл. 5, ал. 1 </w:t>
            </w:r>
            <w:r w:rsidRPr="003A5563">
              <w:rPr>
                <w:sz w:val="24"/>
                <w:szCs w:val="24"/>
                <w:lang w:val="bg-BG"/>
              </w:rPr>
              <w:lastRenderedPageBreak/>
              <w:t xml:space="preserve">и чл. 23-25 от ПМС № 162/05.07.2016 г. и ЗУСЕФСУ (в редакцията му до ДВ, бр. 51 от 2022 г.) по следния начин: </w:t>
            </w:r>
          </w:p>
          <w:p w14:paraId="5FB0003D" w14:textId="77777777" w:rsidR="003A5563" w:rsidRPr="003A5563" w:rsidRDefault="003A5563" w:rsidP="003A556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A5563">
              <w:rPr>
                <w:sz w:val="24"/>
                <w:szCs w:val="24"/>
                <w:lang w:val="bg-BG"/>
              </w:rPr>
              <w:t>-</w:t>
            </w:r>
            <w:r w:rsidR="003A4733">
              <w:rPr>
                <w:sz w:val="24"/>
                <w:szCs w:val="24"/>
                <w:lang w:val="bg-BG"/>
              </w:rPr>
              <w:t xml:space="preserve"> </w:t>
            </w:r>
            <w:r w:rsidR="00EC377D">
              <w:rPr>
                <w:sz w:val="24"/>
                <w:szCs w:val="24"/>
                <w:lang w:val="bg-BG"/>
              </w:rPr>
              <w:t>з</w:t>
            </w:r>
            <w:r w:rsidRPr="003A5563">
              <w:rPr>
                <w:sz w:val="24"/>
                <w:szCs w:val="24"/>
                <w:lang w:val="bg-BG"/>
              </w:rPr>
              <w:t>а всяка процедура ръководителят на управляващия орган (УО) на програмата утвърждава при условията и по реда на чл. 26, ал. 1, 3, 5 и 6 от ЗУСЕФСУ насоки и/или друг документ, определящи условията за кандидатстване и условията за изпълнение на одобрените проекти.</w:t>
            </w:r>
          </w:p>
          <w:p w14:paraId="7E060BC8" w14:textId="77777777" w:rsidR="003A5563" w:rsidRPr="003A5563" w:rsidRDefault="003A5563" w:rsidP="003A556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A5563">
              <w:rPr>
                <w:sz w:val="24"/>
                <w:szCs w:val="24"/>
                <w:lang w:val="bg-BG"/>
              </w:rPr>
              <w:t>-</w:t>
            </w:r>
            <w:r w:rsidR="003A4733">
              <w:rPr>
                <w:sz w:val="24"/>
                <w:szCs w:val="24"/>
                <w:lang w:val="bg-BG"/>
              </w:rPr>
              <w:t xml:space="preserve"> </w:t>
            </w:r>
            <w:r w:rsidR="00EC377D">
              <w:rPr>
                <w:sz w:val="24"/>
                <w:szCs w:val="24"/>
                <w:lang w:val="bg-BG"/>
              </w:rPr>
              <w:t>п</w:t>
            </w:r>
            <w:r w:rsidRPr="003A5563">
              <w:rPr>
                <w:sz w:val="24"/>
                <w:szCs w:val="24"/>
                <w:lang w:val="bg-BG"/>
              </w:rPr>
              <w:t xml:space="preserve">оканата за участие в процедура чрез директно предоставяне се изпраща на конкретния бенефициент заедно с документите по чл. 5, ал. 1 от ПМС № 162/05.07.2016 г. и се публикува в Информационната система за управление и наблюдение на Структурните инструменти на ЕС в България (ИСУН 2020) и на интернет страницата на съответната програма. </w:t>
            </w:r>
          </w:p>
          <w:p w14:paraId="48FEFFE0" w14:textId="77777777" w:rsidR="003A5563" w:rsidRPr="003A5563" w:rsidRDefault="003A5563" w:rsidP="003A556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A5563">
              <w:rPr>
                <w:sz w:val="24"/>
                <w:szCs w:val="24"/>
                <w:lang w:val="bg-BG"/>
              </w:rPr>
              <w:t>-</w:t>
            </w:r>
            <w:r w:rsidR="003A4733">
              <w:rPr>
                <w:sz w:val="24"/>
                <w:szCs w:val="24"/>
                <w:lang w:val="bg-BG"/>
              </w:rPr>
              <w:t xml:space="preserve"> </w:t>
            </w:r>
            <w:r w:rsidR="00EC377D">
              <w:rPr>
                <w:sz w:val="24"/>
                <w:szCs w:val="24"/>
                <w:lang w:val="bg-BG"/>
              </w:rPr>
              <w:t>п</w:t>
            </w:r>
            <w:r w:rsidRPr="003A5563">
              <w:rPr>
                <w:sz w:val="24"/>
                <w:szCs w:val="24"/>
                <w:lang w:val="bg-BG"/>
              </w:rPr>
              <w:t xml:space="preserve">ри процедурата чрез директно предоставяне се извършва оценка на проектното предложение по ред, определен в документите по чл. 5, ал. 1, т. 1 от ПМС № 162/05.07.2016 г. </w:t>
            </w:r>
          </w:p>
          <w:p w14:paraId="79AB16E7" w14:textId="77777777" w:rsidR="003A5563" w:rsidRPr="00255417" w:rsidRDefault="003A5563" w:rsidP="003A556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3A5563">
              <w:rPr>
                <w:sz w:val="24"/>
                <w:szCs w:val="24"/>
                <w:lang w:val="bg-BG"/>
              </w:rPr>
              <w:t>-</w:t>
            </w:r>
            <w:r w:rsidR="003A4733">
              <w:rPr>
                <w:sz w:val="24"/>
                <w:szCs w:val="24"/>
                <w:lang w:val="bg-BG"/>
              </w:rPr>
              <w:t xml:space="preserve"> </w:t>
            </w:r>
            <w:r w:rsidR="00EC377D">
              <w:rPr>
                <w:sz w:val="24"/>
                <w:szCs w:val="24"/>
                <w:lang w:val="bg-BG"/>
              </w:rPr>
              <w:t>о</w:t>
            </w:r>
            <w:r w:rsidRPr="003A5563">
              <w:rPr>
                <w:sz w:val="24"/>
                <w:szCs w:val="24"/>
                <w:lang w:val="bg-BG"/>
              </w:rPr>
              <w:t>ценяването на проектното предложение се извършва в срок до три месеца от датата на подаването му или от крайния срок за подаването му</w:t>
            </w:r>
            <w:r w:rsidR="00FE16CB">
              <w:rPr>
                <w:sz w:val="24"/>
                <w:szCs w:val="24"/>
                <w:lang w:val="en-US"/>
              </w:rPr>
              <w:t>.</w:t>
            </w:r>
            <w:r w:rsidRPr="003A5563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E44D31" w:rsidRPr="00055808" w14:paraId="2F817530" w14:textId="77777777" w:rsidTr="00E160BA">
        <w:tc>
          <w:tcPr>
            <w:tcW w:w="2518" w:type="dxa"/>
            <w:shd w:val="clear" w:color="auto" w:fill="auto"/>
            <w:vAlign w:val="center"/>
          </w:tcPr>
          <w:p w14:paraId="4C924C86" w14:textId="77777777" w:rsidR="00ED3126" w:rsidRPr="00055808" w:rsidRDefault="00E44D31" w:rsidP="00ED3126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lastRenderedPageBreak/>
              <w:t>Териториален обхват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38E91F0" w14:textId="77777777" w:rsidR="002B77C7" w:rsidRPr="00CB527B" w:rsidRDefault="00B446CA" w:rsidP="00997A01">
            <w:pPr>
              <w:spacing w:before="120" w:after="120"/>
              <w:jc w:val="both"/>
              <w:rPr>
                <w:sz w:val="24"/>
                <w:szCs w:val="24"/>
                <w:highlight w:val="yellow"/>
                <w:lang w:val="en-US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D63D8E">
              <w:rPr>
                <w:sz w:val="24"/>
                <w:szCs w:val="24"/>
                <w:lang w:val="bg-BG"/>
              </w:rPr>
              <w:t xml:space="preserve">ът </w:t>
            </w:r>
            <w:r w:rsidRPr="00B446CA">
              <w:rPr>
                <w:sz w:val="24"/>
                <w:szCs w:val="24"/>
                <w:lang w:val="bg-BG"/>
              </w:rPr>
              <w:t xml:space="preserve">по процедурата </w:t>
            </w:r>
            <w:r w:rsidR="00B66EBD">
              <w:rPr>
                <w:sz w:val="24"/>
                <w:szCs w:val="24"/>
                <w:lang w:val="bg-BG"/>
              </w:rPr>
              <w:t>се</w:t>
            </w:r>
            <w:r w:rsidRPr="00B446CA">
              <w:rPr>
                <w:sz w:val="24"/>
                <w:szCs w:val="24"/>
                <w:lang w:val="bg-BG"/>
              </w:rPr>
              <w:t xml:space="preserve"> изпълнява </w:t>
            </w:r>
            <w:r w:rsidR="00B66EBD">
              <w:rPr>
                <w:sz w:val="24"/>
                <w:szCs w:val="24"/>
                <w:lang w:val="bg-BG"/>
              </w:rPr>
              <w:t>на територията на</w:t>
            </w:r>
            <w:r w:rsidRPr="00B446CA">
              <w:rPr>
                <w:sz w:val="24"/>
                <w:szCs w:val="24"/>
                <w:lang w:val="bg-BG"/>
              </w:rPr>
              <w:t xml:space="preserve"> Република България</w:t>
            </w:r>
            <w:r w:rsidR="00CB527B">
              <w:rPr>
                <w:sz w:val="24"/>
                <w:szCs w:val="24"/>
                <w:lang w:val="en-US"/>
              </w:rPr>
              <w:t>.</w:t>
            </w:r>
          </w:p>
        </w:tc>
      </w:tr>
      <w:tr w:rsidR="00E44D31" w:rsidRPr="00055808" w14:paraId="7F6E0E25" w14:textId="77777777" w:rsidTr="00E160BA">
        <w:trPr>
          <w:trHeight w:val="416"/>
        </w:trPr>
        <w:tc>
          <w:tcPr>
            <w:tcW w:w="2518" w:type="dxa"/>
            <w:shd w:val="clear" w:color="auto" w:fill="auto"/>
            <w:vAlign w:val="center"/>
          </w:tcPr>
          <w:p w14:paraId="1479737A" w14:textId="77777777" w:rsidR="00ED3126" w:rsidRPr="007C3CFC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24FDC46" w14:textId="77777777" w:rsidR="00B10D1B" w:rsidRDefault="00482C05" w:rsidP="00D63D8E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bookmarkStart w:id="0" w:name="_Hlk142051636"/>
            <w:r>
              <w:rPr>
                <w:sz w:val="24"/>
                <w:szCs w:val="24"/>
                <w:lang w:val="bg-BG"/>
              </w:rPr>
              <w:t>Осигуряване на оперативен капитал</w:t>
            </w:r>
            <w:r w:rsidR="005828F1" w:rsidRPr="005828F1">
              <w:rPr>
                <w:sz w:val="24"/>
                <w:szCs w:val="24"/>
                <w:lang w:val="bg-BG"/>
              </w:rPr>
              <w:t xml:space="preserve"> за МСП с цел смекчаване на последиците от увеличението на цените на електрическата енергия, причинено от военната агресия на Русия срещу Украйна</w:t>
            </w:r>
            <w:r w:rsidR="005828F1">
              <w:rPr>
                <w:sz w:val="24"/>
                <w:szCs w:val="24"/>
                <w:lang w:val="bg-BG"/>
              </w:rPr>
              <w:t>.</w:t>
            </w:r>
            <w:bookmarkEnd w:id="0"/>
          </w:p>
          <w:p w14:paraId="1CC231D0" w14:textId="77777777" w:rsidR="00664715" w:rsidRPr="00664715" w:rsidRDefault="00664715" w:rsidP="00664715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 w:rsidRPr="00664715">
              <w:rPr>
                <w:sz w:val="24"/>
                <w:szCs w:val="24"/>
                <w:lang w:val="bg-BG"/>
              </w:rPr>
              <w:t xml:space="preserve">Руската военна агресия срещу Украйна, наложените санкции и предприетите ответни мерки доведоха до безпрецедентно високи цени на газа и електроенергията, значително над високите равнища, наблюдавани в периода преди агресията. В контекста на спешната намеса на Съюза за справяне с високите цени на енергията в резултат от агресивната война на Русия срещу Украйна, с приемането на Регламент (ЕС) 2023/435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на Кохезионната </w:t>
            </w:r>
            <w:proofErr w:type="spellStart"/>
            <w:r w:rsidRPr="00664715">
              <w:rPr>
                <w:sz w:val="24"/>
                <w:szCs w:val="24"/>
                <w:lang w:val="bg-BG"/>
              </w:rPr>
              <w:t>полтика</w:t>
            </w:r>
            <w:proofErr w:type="spellEnd"/>
            <w:r w:rsidRPr="00664715">
              <w:rPr>
                <w:sz w:val="24"/>
                <w:szCs w:val="24"/>
                <w:lang w:val="bg-BG"/>
              </w:rPr>
              <w:t xml:space="preserve"> в подкрепа на МСП, които са особено засегнати от увеличения на цените на енергията, считано от 1 февруари 2022 г., включително, съгласно рамката на политиката на сближаване за периода 2014—2020 г., посочени в Регламент (ЕС) № 1303/2013.</w:t>
            </w:r>
          </w:p>
          <w:p w14:paraId="60FDBDDF" w14:textId="77777777" w:rsidR="00664715" w:rsidRPr="00664715" w:rsidRDefault="00664715" w:rsidP="00664715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 w:rsidRPr="00664715">
              <w:rPr>
                <w:sz w:val="24"/>
                <w:szCs w:val="24"/>
                <w:lang w:val="bg-BG"/>
              </w:rPr>
              <w:t xml:space="preserve">В Особено засегнати от увеличението на цените на енергията МСП са тези, които отговарят на условията за получаване на помощ за допълнителни разходи поради изключително големи </w:t>
            </w:r>
            <w:proofErr w:type="spellStart"/>
            <w:r w:rsidRPr="00664715">
              <w:rPr>
                <w:sz w:val="24"/>
                <w:szCs w:val="24"/>
                <w:lang w:val="bg-BG"/>
              </w:rPr>
              <w:t>увеличния</w:t>
            </w:r>
            <w:proofErr w:type="spellEnd"/>
            <w:r w:rsidRPr="00664715">
              <w:rPr>
                <w:sz w:val="24"/>
                <w:szCs w:val="24"/>
                <w:lang w:val="bg-BG"/>
              </w:rPr>
              <w:t xml:space="preserve"> на цените на природния газ и електроенергията съгласно Временната кризисна рамка за мерки за държавна помощ.</w:t>
            </w:r>
          </w:p>
          <w:p w14:paraId="0169EE87" w14:textId="77777777" w:rsidR="00664715" w:rsidRPr="00CC0522" w:rsidRDefault="00664715" w:rsidP="00664715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en-US"/>
              </w:rPr>
            </w:pPr>
            <w:r w:rsidRPr="00664715">
              <w:rPr>
                <w:sz w:val="24"/>
                <w:szCs w:val="24"/>
                <w:lang w:val="bg-BG"/>
              </w:rPr>
              <w:lastRenderedPageBreak/>
              <w:t>В България всички МСП са особено засегнати от увеличения на цените на енергията съгласно критерия за допустимост на крайните получатели, посочен в т. 2.4. от Временната рамка. Анализът на постигнатата на организирания борсов пазар на електрическа енергия в Република България средномесечна цена лв./</w:t>
            </w:r>
            <w:proofErr w:type="spellStart"/>
            <w:r w:rsidRPr="00664715">
              <w:rPr>
                <w:sz w:val="24"/>
                <w:szCs w:val="24"/>
                <w:lang w:val="bg-BG"/>
              </w:rPr>
              <w:t>MWh</w:t>
            </w:r>
            <w:proofErr w:type="spellEnd"/>
            <w:r w:rsidRPr="00664715">
              <w:rPr>
                <w:sz w:val="24"/>
                <w:szCs w:val="24"/>
                <w:lang w:val="bg-BG"/>
              </w:rPr>
              <w:t xml:space="preserve"> през 2022 г. спрямо тази за референтния период през 2021 г. показва, че скокът на цената е варирал между 180%-380%.</w:t>
            </w:r>
            <w:r w:rsid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Поради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тази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причина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рамките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националните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програми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са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предоставени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компенсации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всички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небитови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крайни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клиенти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електрическа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енергия</w:t>
            </w:r>
            <w:proofErr w:type="spellEnd"/>
            <w:r w:rsidR="00CC0522" w:rsidRPr="00CC0522">
              <w:rPr>
                <w:sz w:val="24"/>
                <w:szCs w:val="24"/>
                <w:lang w:val="bg-BG"/>
              </w:rPr>
              <w:t>, в т.ч. всички МСП.</w:t>
            </w:r>
          </w:p>
          <w:p w14:paraId="57F074B4" w14:textId="77777777" w:rsidR="00007497" w:rsidRDefault="00664715" w:rsidP="00EC377D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en-US"/>
              </w:rPr>
            </w:pPr>
            <w:r w:rsidRPr="00664715">
              <w:rPr>
                <w:sz w:val="24"/>
                <w:szCs w:val="24"/>
                <w:lang w:val="bg-BG"/>
              </w:rPr>
              <w:t>В рамките на създадената за целта приоритетна ос ще се осигурява подкрепа за смекчаване на последствията от енергийната криза чрез операции, с които да се възстановят вече изплатени средства за компенсиране на МСП за увеличените им разходи за електрическа енергия</w:t>
            </w:r>
            <w:r w:rsid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за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периода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01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февруари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2022 г. – 30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септември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2022 г</w:t>
            </w:r>
            <w:r w:rsidRPr="00664715">
              <w:rPr>
                <w:sz w:val="24"/>
                <w:szCs w:val="24"/>
                <w:lang w:val="bg-BG"/>
              </w:rPr>
              <w:t xml:space="preserve">. Средствата са изплатени в рамките на Национална мярка за компенсиране на небитовите крайни клиенти на електрическа енергия, одобрена с решение на Министерски съвет и изпълнявана от Фонд "Сигурност на електроенергийната </w:t>
            </w:r>
            <w:proofErr w:type="gramStart"/>
            <w:r w:rsidRPr="00664715">
              <w:rPr>
                <w:sz w:val="24"/>
                <w:szCs w:val="24"/>
                <w:lang w:val="bg-BG"/>
              </w:rPr>
              <w:t>система“</w:t>
            </w:r>
            <w:proofErr w:type="gramEnd"/>
            <w:r w:rsidRPr="00664715">
              <w:rPr>
                <w:sz w:val="24"/>
                <w:szCs w:val="24"/>
                <w:lang w:val="bg-BG"/>
              </w:rPr>
              <w:t>.</w:t>
            </w:r>
            <w:r w:rsidR="00CC0522">
              <w:rPr>
                <w:sz w:val="24"/>
                <w:szCs w:val="24"/>
                <w:lang w:val="en-US"/>
              </w:rPr>
              <w:t xml:space="preserve"> </w:t>
            </w:r>
          </w:p>
          <w:p w14:paraId="3EB9F80E" w14:textId="77777777" w:rsidR="00CC0522" w:rsidRPr="00CC0522" w:rsidRDefault="00CC0522" w:rsidP="00EC377D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en-US"/>
              </w:rPr>
            </w:pPr>
            <w:r w:rsidRPr="00CC0522">
              <w:rPr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рамките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процедурата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ще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бъдат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финансирани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дейности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свързани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подготовка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организация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управление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проекта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както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и с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осигуряване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съответствие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приложимите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изисквания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информация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C0522">
              <w:rPr>
                <w:sz w:val="24"/>
                <w:szCs w:val="24"/>
                <w:lang w:val="en-US"/>
              </w:rPr>
              <w:t>комуникация</w:t>
            </w:r>
            <w:proofErr w:type="spellEnd"/>
            <w:r w:rsidRPr="00CC0522">
              <w:rPr>
                <w:sz w:val="24"/>
                <w:szCs w:val="24"/>
                <w:lang w:val="en-US"/>
              </w:rPr>
              <w:t>.</w:t>
            </w:r>
          </w:p>
        </w:tc>
      </w:tr>
      <w:tr w:rsidR="00E44D31" w:rsidRPr="00055808" w14:paraId="6CD1ABAB" w14:textId="77777777" w:rsidTr="00E160BA">
        <w:tc>
          <w:tcPr>
            <w:tcW w:w="2518" w:type="dxa"/>
            <w:shd w:val="clear" w:color="auto" w:fill="auto"/>
            <w:vAlign w:val="center"/>
          </w:tcPr>
          <w:p w14:paraId="3C219236" w14:textId="77777777" w:rsidR="00E44D31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lastRenderedPageBreak/>
              <w:t>Очаквани резултати от процедурата</w:t>
            </w:r>
          </w:p>
          <w:p w14:paraId="6EF2E354" w14:textId="77777777" w:rsidR="005C3D8C" w:rsidRDefault="005C3D8C" w:rsidP="004A172E">
            <w:pPr>
              <w:rPr>
                <w:sz w:val="24"/>
                <w:szCs w:val="24"/>
                <w:lang w:val="bg-BG"/>
              </w:rPr>
            </w:pPr>
          </w:p>
          <w:p w14:paraId="7707F2D1" w14:textId="77777777" w:rsidR="005C3D8C" w:rsidRPr="00055808" w:rsidRDefault="005C3D8C" w:rsidP="004A172E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06FB2BF3" w14:textId="04610E0D" w:rsidR="005E18FB" w:rsidRPr="00CC0522" w:rsidRDefault="00664715" w:rsidP="005828F1">
            <w:pPr>
              <w:spacing w:after="120"/>
              <w:jc w:val="both"/>
              <w:rPr>
                <w:sz w:val="24"/>
                <w:szCs w:val="24"/>
                <w:lang w:val="en-US"/>
              </w:rPr>
            </w:pPr>
            <w:bookmarkStart w:id="1" w:name="_Hlk142052047"/>
            <w:r w:rsidRPr="00664715">
              <w:rPr>
                <w:sz w:val="24"/>
                <w:szCs w:val="24"/>
                <w:lang w:val="bg-BG"/>
              </w:rPr>
              <w:t>Изпълнението на предложените мерки</w:t>
            </w:r>
            <w:r w:rsidR="0028107C">
              <w:rPr>
                <w:sz w:val="24"/>
                <w:szCs w:val="24"/>
                <w:lang w:val="bg-BG"/>
              </w:rPr>
              <w:t xml:space="preserve"> </w:t>
            </w:r>
            <w:r w:rsidRPr="00664715">
              <w:rPr>
                <w:sz w:val="24"/>
                <w:szCs w:val="24"/>
                <w:lang w:val="bg-BG"/>
              </w:rPr>
              <w:t>ще допринесе за смекчаване на последствията върху МСП от значителното увеличение на цените на енергията, причинено от военната агресия на Русия срещу Украйна</w:t>
            </w:r>
            <w:bookmarkEnd w:id="1"/>
            <w:r w:rsidR="00CC0522">
              <w:rPr>
                <w:sz w:val="24"/>
                <w:szCs w:val="24"/>
                <w:lang w:val="en-US"/>
              </w:rPr>
              <w:t xml:space="preserve">. </w:t>
            </w:r>
            <w:r w:rsidR="00CC0522" w:rsidRPr="00CC0522">
              <w:rPr>
                <w:sz w:val="24"/>
                <w:szCs w:val="24"/>
                <w:lang w:val="en-US"/>
              </w:rPr>
              <w:t xml:space="preserve">В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резултат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от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подкрепата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по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0522" w:rsidRPr="00CC0522">
              <w:rPr>
                <w:sz w:val="24"/>
                <w:szCs w:val="24"/>
                <w:lang w:val="en-US"/>
              </w:rPr>
              <w:t>процедурата</w:t>
            </w:r>
            <w:proofErr w:type="spellEnd"/>
            <w:r w:rsidR="00CC0522" w:rsidRPr="00CC0522">
              <w:rPr>
                <w:sz w:val="24"/>
                <w:szCs w:val="24"/>
                <w:lang w:val="en-US"/>
              </w:rPr>
              <w:t xml:space="preserve"> </w:t>
            </w:r>
            <w:r w:rsidR="00EF4D71">
              <w:rPr>
                <w:sz w:val="24"/>
                <w:szCs w:val="24"/>
                <w:lang w:val="bg-BG"/>
              </w:rPr>
              <w:t>безвъзмездни средства</w:t>
            </w:r>
            <w:r w:rsidR="00783A8F">
              <w:rPr>
                <w:sz w:val="24"/>
                <w:szCs w:val="24"/>
                <w:lang w:val="bg-BG"/>
              </w:rPr>
              <w:t xml:space="preserve"> в размер на </w:t>
            </w:r>
            <w:r w:rsidR="00783A8F" w:rsidRPr="00CC0522">
              <w:rPr>
                <w:sz w:val="24"/>
                <w:szCs w:val="24"/>
                <w:lang w:val="en-US"/>
              </w:rPr>
              <w:t xml:space="preserve">243 305 252 </w:t>
            </w:r>
            <w:proofErr w:type="spellStart"/>
            <w:r w:rsidR="00783A8F" w:rsidRPr="00CC0522">
              <w:rPr>
                <w:sz w:val="24"/>
                <w:szCs w:val="24"/>
                <w:lang w:val="en-US"/>
              </w:rPr>
              <w:t>лева</w:t>
            </w:r>
            <w:proofErr w:type="spellEnd"/>
            <w:r w:rsidR="00783A8F">
              <w:rPr>
                <w:sz w:val="24"/>
                <w:szCs w:val="24"/>
                <w:lang w:val="bg-BG"/>
              </w:rPr>
              <w:t xml:space="preserve"> ще бъд</w:t>
            </w:r>
            <w:r w:rsidR="00EF4D71">
              <w:rPr>
                <w:sz w:val="24"/>
                <w:szCs w:val="24"/>
                <w:lang w:val="bg-BG"/>
              </w:rPr>
              <w:t>ат</w:t>
            </w:r>
            <w:r w:rsidR="00783A8F">
              <w:rPr>
                <w:sz w:val="24"/>
                <w:szCs w:val="24"/>
                <w:lang w:val="bg-BG"/>
              </w:rPr>
              <w:t xml:space="preserve"> предоставен</w:t>
            </w:r>
            <w:r w:rsidR="00EF4D71">
              <w:rPr>
                <w:sz w:val="24"/>
                <w:szCs w:val="24"/>
                <w:lang w:val="bg-BG"/>
              </w:rPr>
              <w:t>и</w:t>
            </w:r>
            <w:r w:rsidR="00783A8F">
              <w:rPr>
                <w:sz w:val="24"/>
                <w:szCs w:val="24"/>
                <w:lang w:val="bg-BG"/>
              </w:rPr>
              <w:t xml:space="preserve"> за възстановяване на компенсации за </w:t>
            </w:r>
            <w:proofErr w:type="spellStart"/>
            <w:r w:rsidR="00783A8F" w:rsidRPr="00CC0522">
              <w:rPr>
                <w:sz w:val="24"/>
                <w:szCs w:val="24"/>
                <w:lang w:val="en-US"/>
              </w:rPr>
              <w:t>завишените</w:t>
            </w:r>
            <w:proofErr w:type="spellEnd"/>
            <w:r w:rsidR="00783A8F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3A8F" w:rsidRPr="00CC0522">
              <w:rPr>
                <w:sz w:val="24"/>
                <w:szCs w:val="24"/>
                <w:lang w:val="en-US"/>
              </w:rPr>
              <w:t>цени</w:t>
            </w:r>
            <w:proofErr w:type="spellEnd"/>
            <w:r w:rsidR="00783A8F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3A8F" w:rsidRPr="00CC0522">
              <w:rPr>
                <w:sz w:val="24"/>
                <w:szCs w:val="24"/>
                <w:lang w:val="en-US"/>
              </w:rPr>
              <w:t>на</w:t>
            </w:r>
            <w:proofErr w:type="spellEnd"/>
            <w:r w:rsidR="00783A8F" w:rsidRPr="00CC05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783A8F" w:rsidRPr="00CC0522">
              <w:rPr>
                <w:sz w:val="24"/>
                <w:szCs w:val="24"/>
                <w:lang w:val="en-US"/>
              </w:rPr>
              <w:t>енергията</w:t>
            </w:r>
            <w:proofErr w:type="spellEnd"/>
            <w:r w:rsidR="00783A8F" w:rsidRPr="00CC0522">
              <w:rPr>
                <w:sz w:val="24"/>
                <w:szCs w:val="24"/>
                <w:lang w:val="en-US"/>
              </w:rPr>
              <w:t xml:space="preserve"> </w:t>
            </w:r>
            <w:r w:rsidR="00783A8F">
              <w:rPr>
                <w:sz w:val="24"/>
                <w:szCs w:val="24"/>
                <w:lang w:val="bg-BG"/>
              </w:rPr>
              <w:t>на МСП</w:t>
            </w:r>
            <w:r w:rsidR="00CC0522" w:rsidRPr="00CC0522">
              <w:rPr>
                <w:sz w:val="24"/>
                <w:szCs w:val="24"/>
                <w:lang w:val="en-US"/>
              </w:rPr>
              <w:t>.</w:t>
            </w:r>
          </w:p>
        </w:tc>
      </w:tr>
      <w:tr w:rsidR="002844B7" w:rsidRPr="00C56631" w14:paraId="00DE04E2" w14:textId="77777777" w:rsidTr="00E160BA">
        <w:tc>
          <w:tcPr>
            <w:tcW w:w="2518" w:type="dxa"/>
            <w:shd w:val="clear" w:color="auto" w:fill="auto"/>
            <w:vAlign w:val="center"/>
          </w:tcPr>
          <w:p w14:paraId="42B3A746" w14:textId="77777777" w:rsidR="002844B7" w:rsidRPr="00C56631" w:rsidRDefault="002844B7" w:rsidP="004A172E">
            <w:pPr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t>Дата на обявяване на процедурата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124EE7E" w14:textId="77777777" w:rsidR="002844B7" w:rsidRPr="000D5D6F" w:rsidRDefault="00A01A56" w:rsidP="00686A4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септември-</w:t>
            </w:r>
            <w:r w:rsidR="005828F1">
              <w:rPr>
                <w:sz w:val="24"/>
                <w:szCs w:val="24"/>
                <w:lang w:val="bg-BG"/>
              </w:rPr>
              <w:t>октомври</w:t>
            </w:r>
            <w:r w:rsidR="00ED198C">
              <w:rPr>
                <w:sz w:val="24"/>
                <w:szCs w:val="24"/>
                <w:lang w:val="bg-BG"/>
              </w:rPr>
              <w:t xml:space="preserve"> </w:t>
            </w:r>
            <w:r w:rsidR="00E02241">
              <w:rPr>
                <w:sz w:val="24"/>
                <w:szCs w:val="24"/>
                <w:lang w:val="bg-BG"/>
              </w:rPr>
              <w:t>202</w:t>
            </w:r>
            <w:r w:rsidR="005828F1">
              <w:rPr>
                <w:sz w:val="24"/>
                <w:szCs w:val="24"/>
                <w:lang w:val="bg-BG"/>
              </w:rPr>
              <w:t>3</w:t>
            </w:r>
            <w:r w:rsidR="00E02241">
              <w:rPr>
                <w:sz w:val="24"/>
                <w:szCs w:val="24"/>
                <w:lang w:val="bg-BG"/>
              </w:rPr>
              <w:t xml:space="preserve"> г.</w:t>
            </w:r>
          </w:p>
        </w:tc>
      </w:tr>
      <w:tr w:rsidR="00E44D31" w:rsidRPr="00055808" w14:paraId="629D2B07" w14:textId="77777777" w:rsidTr="00E160BA">
        <w:tc>
          <w:tcPr>
            <w:tcW w:w="2518" w:type="dxa"/>
            <w:shd w:val="clear" w:color="auto" w:fill="auto"/>
            <w:vAlign w:val="center"/>
          </w:tcPr>
          <w:p w14:paraId="606E12EA" w14:textId="77777777" w:rsidR="00E44D31" w:rsidRPr="00DE04AC" w:rsidRDefault="00E44D31" w:rsidP="004A172E">
            <w:pPr>
              <w:rPr>
                <w:sz w:val="24"/>
                <w:szCs w:val="24"/>
                <w:lang w:val="bg-BG"/>
              </w:rPr>
            </w:pPr>
            <w:r w:rsidRPr="00DE04AC">
              <w:rPr>
                <w:sz w:val="24"/>
                <w:szCs w:val="24"/>
                <w:lang w:val="bg-BG"/>
              </w:rPr>
              <w:t>Бюджет на процедурата</w:t>
            </w:r>
          </w:p>
          <w:p w14:paraId="79D884EA" w14:textId="77777777" w:rsidR="00110F92" w:rsidRPr="00A11EEE" w:rsidRDefault="00110F92" w:rsidP="005828F1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026FF7CD" w14:textId="77777777" w:rsidR="003B506D" w:rsidRDefault="00654861" w:rsidP="003B506D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654861">
              <w:rPr>
                <w:sz w:val="24"/>
                <w:szCs w:val="24"/>
                <w:lang w:val="bg-BG"/>
              </w:rPr>
              <w:t xml:space="preserve">60 239 564 </w:t>
            </w:r>
            <w:r w:rsidR="00A01A56" w:rsidRPr="00A01A56">
              <w:rPr>
                <w:sz w:val="24"/>
                <w:szCs w:val="24"/>
                <w:lang w:val="bg-BG"/>
              </w:rPr>
              <w:t>лв.</w:t>
            </w:r>
            <w:r w:rsidR="003B506D" w:rsidRPr="00DE04AC">
              <w:rPr>
                <w:sz w:val="24"/>
                <w:szCs w:val="24"/>
                <w:lang w:val="bg-BG"/>
              </w:rPr>
              <w:t xml:space="preserve"> </w:t>
            </w:r>
            <w:r w:rsidR="005828F1">
              <w:rPr>
                <w:sz w:val="24"/>
                <w:szCs w:val="24"/>
                <w:lang w:val="bg-BG"/>
              </w:rPr>
              <w:t>– финансиране от ЕФРР</w:t>
            </w:r>
          </w:p>
          <w:p w14:paraId="1C823171" w14:textId="77777777" w:rsidR="00E44D31" w:rsidRDefault="00A01A56" w:rsidP="005828F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A01A56">
              <w:rPr>
                <w:sz w:val="24"/>
                <w:szCs w:val="24"/>
                <w:lang w:val="bg-BG"/>
              </w:rPr>
              <w:t>183 065 688 лв.</w:t>
            </w:r>
            <w:r w:rsidR="005828F1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–</w:t>
            </w:r>
            <w:r w:rsidR="005828F1">
              <w:rPr>
                <w:sz w:val="24"/>
                <w:szCs w:val="24"/>
                <w:lang w:val="bg-BG"/>
              </w:rPr>
              <w:t xml:space="preserve"> </w:t>
            </w:r>
            <w:r w:rsidR="005828F1" w:rsidRPr="005828F1">
              <w:rPr>
                <w:sz w:val="24"/>
                <w:szCs w:val="24"/>
                <w:lang w:val="bg-BG"/>
              </w:rPr>
              <w:t xml:space="preserve">финансиране от </w:t>
            </w:r>
            <w:r w:rsidR="005828F1">
              <w:rPr>
                <w:sz w:val="24"/>
                <w:szCs w:val="24"/>
                <w:lang w:val="bg-BG"/>
              </w:rPr>
              <w:t>КФ</w:t>
            </w:r>
          </w:p>
          <w:p w14:paraId="49AF77D8" w14:textId="77777777" w:rsidR="00A01A56" w:rsidRDefault="00A01A56" w:rsidP="005828F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Общо: </w:t>
            </w:r>
            <w:r w:rsidR="00654861" w:rsidRPr="00654861">
              <w:rPr>
                <w:sz w:val="24"/>
                <w:szCs w:val="24"/>
                <w:lang w:val="bg-BG"/>
              </w:rPr>
              <w:t xml:space="preserve">243 305 252 </w:t>
            </w:r>
            <w:r w:rsidRPr="00A01A56">
              <w:rPr>
                <w:sz w:val="24"/>
                <w:szCs w:val="24"/>
                <w:lang w:val="bg-BG"/>
              </w:rPr>
              <w:t>лв.</w:t>
            </w:r>
            <w:r>
              <w:rPr>
                <w:sz w:val="24"/>
                <w:szCs w:val="24"/>
                <w:lang w:val="bg-BG"/>
              </w:rPr>
              <w:t xml:space="preserve"> европейско финансиране</w:t>
            </w:r>
          </w:p>
          <w:p w14:paraId="6B95885C" w14:textId="77777777" w:rsidR="00A01A56" w:rsidRPr="00DE04AC" w:rsidRDefault="00A01A56" w:rsidP="005828F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A01A56">
              <w:rPr>
                <w:sz w:val="24"/>
                <w:szCs w:val="24"/>
                <w:lang w:val="bg-BG"/>
              </w:rPr>
              <w:t xml:space="preserve">Средствата </w:t>
            </w:r>
            <w:r w:rsidR="00657305">
              <w:rPr>
                <w:sz w:val="24"/>
                <w:szCs w:val="24"/>
                <w:lang w:val="bg-BG"/>
              </w:rPr>
              <w:t xml:space="preserve">по процедурата </w:t>
            </w:r>
            <w:r w:rsidRPr="00A01A56">
              <w:rPr>
                <w:sz w:val="24"/>
                <w:szCs w:val="24"/>
                <w:lang w:val="bg-BG"/>
              </w:rPr>
              <w:t xml:space="preserve">могат да бъдат увеличени </w:t>
            </w:r>
            <w:r w:rsidR="00657305">
              <w:rPr>
                <w:sz w:val="24"/>
                <w:szCs w:val="24"/>
                <w:lang w:val="bg-BG"/>
              </w:rPr>
              <w:t>по реда на документите по чл. 26, ал. 1 от ЗУСЕФСУ в частта условия за изпълнение, вкл. при необходимост с</w:t>
            </w:r>
            <w:r w:rsidRPr="00A01A56">
              <w:rPr>
                <w:sz w:val="24"/>
                <w:szCs w:val="24"/>
                <w:lang w:val="bg-BG"/>
              </w:rPr>
              <w:t xml:space="preserve"> решение  на МС.</w:t>
            </w:r>
          </w:p>
        </w:tc>
      </w:tr>
      <w:tr w:rsidR="00E44D31" w:rsidRPr="00055808" w14:paraId="46E3162F" w14:textId="77777777" w:rsidTr="00E160BA">
        <w:tc>
          <w:tcPr>
            <w:tcW w:w="2518" w:type="dxa"/>
            <w:shd w:val="clear" w:color="auto" w:fill="auto"/>
            <w:vAlign w:val="center"/>
          </w:tcPr>
          <w:p w14:paraId="4288A441" w14:textId="77777777" w:rsidR="00E44D3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Минимален </w:t>
            </w:r>
            <w:r w:rsidR="00DE1E4B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5808">
              <w:rPr>
                <w:sz w:val="24"/>
                <w:szCs w:val="24"/>
                <w:lang w:val="bg-BG"/>
              </w:rPr>
              <w:t xml:space="preserve">размер на БФП </w:t>
            </w:r>
            <w:r>
              <w:rPr>
                <w:sz w:val="24"/>
                <w:szCs w:val="24"/>
                <w:lang w:val="bg-BG"/>
              </w:rPr>
              <w:t>за</w:t>
            </w:r>
            <w:r w:rsidRPr="00055808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проект</w:t>
            </w:r>
          </w:p>
          <w:p w14:paraId="0F121CFF" w14:textId="77777777" w:rsidR="00662D53" w:rsidRPr="003C3B6E" w:rsidRDefault="00662D53" w:rsidP="00F408E2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44EF0BC6" w14:textId="77777777" w:rsidR="00C82225" w:rsidRPr="00CB527B" w:rsidRDefault="00C82225" w:rsidP="00C82225">
            <w:pPr>
              <w:shd w:val="clear" w:color="auto" w:fill="FFFFFF"/>
              <w:tabs>
                <w:tab w:val="left" w:pos="317"/>
              </w:tabs>
              <w:suppressAutoHyphens/>
              <w:spacing w:before="40" w:after="40"/>
              <w:jc w:val="both"/>
              <w:rPr>
                <w:rFonts w:eastAsia="Calibri"/>
                <w:sz w:val="24"/>
                <w:szCs w:val="24"/>
                <w:lang w:val="bg-BG" w:eastAsia="zh-CN"/>
              </w:rPr>
            </w:pPr>
            <w:r w:rsidRPr="00C82225">
              <w:rPr>
                <w:rFonts w:eastAsia="Calibri"/>
                <w:sz w:val="24"/>
                <w:szCs w:val="24"/>
                <w:lang w:val="bg-BG" w:eastAsia="zh-CN"/>
              </w:rPr>
              <w:t>Не е предвиден минимален размер на БФП за проектното предложение.</w:t>
            </w:r>
          </w:p>
          <w:p w14:paraId="21A37A0E" w14:textId="77777777" w:rsidR="00E44D31" w:rsidRDefault="00C82225" w:rsidP="00CB527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C82225">
              <w:rPr>
                <w:rFonts w:eastAsia="Calibri"/>
                <w:sz w:val="24"/>
                <w:szCs w:val="24"/>
                <w:lang w:val="bg-BG" w:eastAsia="zh-CN"/>
              </w:rPr>
              <w:t>Максималният размер на БФП</w:t>
            </w:r>
            <w:r w:rsidR="00DB7922">
              <w:rPr>
                <w:rFonts w:eastAsia="Calibri"/>
                <w:sz w:val="24"/>
                <w:szCs w:val="24"/>
                <w:lang w:val="bg-BG" w:eastAsia="zh-CN"/>
              </w:rPr>
              <w:t xml:space="preserve"> за конкретния бенефициент фонд СЕС</w:t>
            </w:r>
            <w:r w:rsidR="00CB527B">
              <w:rPr>
                <w:rFonts w:eastAsia="Calibri"/>
                <w:sz w:val="24"/>
                <w:szCs w:val="24"/>
                <w:lang w:val="en-US" w:eastAsia="zh-CN"/>
              </w:rPr>
              <w:t xml:space="preserve"> e </w:t>
            </w:r>
            <w:r w:rsidR="00654861" w:rsidRPr="00654861">
              <w:rPr>
                <w:sz w:val="24"/>
                <w:szCs w:val="24"/>
                <w:lang w:val="bg-BG"/>
              </w:rPr>
              <w:t xml:space="preserve">243 305 252 </w:t>
            </w:r>
            <w:r w:rsidR="00A01A56" w:rsidRPr="00A01A56">
              <w:rPr>
                <w:sz w:val="24"/>
                <w:szCs w:val="24"/>
                <w:lang w:val="bg-BG"/>
              </w:rPr>
              <w:t>лв.</w:t>
            </w:r>
            <w:r w:rsidR="00A01A56">
              <w:rPr>
                <w:sz w:val="24"/>
                <w:szCs w:val="24"/>
                <w:lang w:val="bg-BG"/>
              </w:rPr>
              <w:t xml:space="preserve"> </w:t>
            </w:r>
          </w:p>
          <w:p w14:paraId="178E3DBC" w14:textId="77777777" w:rsidR="00C57A78" w:rsidRPr="00055808" w:rsidRDefault="00C57A78" w:rsidP="00CB527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C57A78">
              <w:rPr>
                <w:sz w:val="24"/>
                <w:szCs w:val="24"/>
                <w:lang w:val="bg-BG"/>
              </w:rPr>
              <w:lastRenderedPageBreak/>
              <w:t>Максималният размер на разходите за предприятие, който следва да бъде възстановен на бенефициента, представлява реално предоставената от държавата компенсация  за съответния период</w:t>
            </w:r>
            <w:r>
              <w:rPr>
                <w:sz w:val="24"/>
                <w:szCs w:val="24"/>
                <w:lang w:val="bg-BG"/>
              </w:rPr>
              <w:t>.</w:t>
            </w:r>
            <w:r>
              <w:rPr>
                <w:rStyle w:val="FootnoteReference"/>
                <w:sz w:val="24"/>
                <w:szCs w:val="24"/>
                <w:lang w:val="bg-BG"/>
              </w:rPr>
              <w:footnoteReference w:id="1"/>
            </w:r>
          </w:p>
        </w:tc>
      </w:tr>
      <w:tr w:rsidR="00E44D31" w:rsidRPr="00055808" w14:paraId="69052BC3" w14:textId="77777777" w:rsidTr="00E160BA">
        <w:tc>
          <w:tcPr>
            <w:tcW w:w="2518" w:type="dxa"/>
            <w:shd w:val="clear" w:color="auto" w:fill="auto"/>
            <w:vAlign w:val="center"/>
          </w:tcPr>
          <w:p w14:paraId="10D6EE75" w14:textId="77777777" w:rsidR="00E37ECD" w:rsidRPr="00055808" w:rsidRDefault="001277BF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1277BF">
              <w:rPr>
                <w:sz w:val="24"/>
                <w:szCs w:val="24"/>
                <w:lang w:val="bg-BG"/>
              </w:rPr>
              <w:lastRenderedPageBreak/>
              <w:t>Интензитет на помощта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086A8C4" w14:textId="77777777" w:rsidR="00E44D31" w:rsidRPr="00055808" w:rsidRDefault="00041F17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 xml:space="preserve">100% </w:t>
            </w:r>
          </w:p>
        </w:tc>
      </w:tr>
      <w:tr w:rsidR="00150181" w:rsidRPr="00055808" w14:paraId="4F3AE8E2" w14:textId="77777777" w:rsidTr="00E160BA">
        <w:tc>
          <w:tcPr>
            <w:tcW w:w="2518" w:type="dxa"/>
            <w:shd w:val="clear" w:color="auto" w:fill="auto"/>
            <w:vAlign w:val="center"/>
          </w:tcPr>
          <w:p w14:paraId="066CB966" w14:textId="77777777" w:rsidR="00150181" w:rsidRPr="005828F1" w:rsidRDefault="00150181" w:rsidP="00150181">
            <w:pPr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Допустими бенефициенти по процедурата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114491" w14:textId="77777777" w:rsidR="00150181" w:rsidRDefault="005828F1" w:rsidP="00AB606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Фонд „Сигурност на електроенергийната система“</w:t>
            </w:r>
          </w:p>
          <w:p w14:paraId="75801F3A" w14:textId="77777777" w:rsidR="001277BF" w:rsidRPr="00604700" w:rsidRDefault="001277BF" w:rsidP="00AB606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1277BF">
              <w:rPr>
                <w:color w:val="000000"/>
                <w:sz w:val="24"/>
                <w:szCs w:val="24"/>
                <w:lang w:val="bg-BG"/>
              </w:rPr>
              <w:t>Конкретният бенефициент следва да разполага с необходимия административен, финансов и оперативен капацитет, който гарантира успешното изпълнение на дейностите по проекта</w:t>
            </w:r>
            <w:r w:rsidR="00654861">
              <w:rPr>
                <w:rStyle w:val="FootnoteReference"/>
                <w:color w:val="000000"/>
                <w:sz w:val="24"/>
                <w:szCs w:val="24"/>
                <w:lang w:val="bg-BG"/>
              </w:rPr>
              <w:footnoteReference w:id="2"/>
            </w:r>
            <w:r w:rsidRPr="001277BF"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50181" w:rsidRPr="00055808" w14:paraId="07D37C0B" w14:textId="77777777" w:rsidTr="00E160BA">
        <w:tc>
          <w:tcPr>
            <w:tcW w:w="2518" w:type="dxa"/>
            <w:shd w:val="clear" w:color="auto" w:fill="auto"/>
            <w:vAlign w:val="center"/>
          </w:tcPr>
          <w:p w14:paraId="220506D6" w14:textId="77777777" w:rsidR="00150181" w:rsidRPr="00114D3C" w:rsidRDefault="00150181" w:rsidP="00150181">
            <w:pPr>
              <w:rPr>
                <w:color w:val="000000"/>
                <w:sz w:val="24"/>
                <w:szCs w:val="24"/>
                <w:lang w:val="bg-BG"/>
              </w:rPr>
            </w:pPr>
            <w:r w:rsidRPr="006B4A1A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5E40653" w14:textId="77777777" w:rsidR="00150181" w:rsidRPr="006461CA" w:rsidRDefault="00147A4B" w:rsidP="003F1C65">
            <w:pPr>
              <w:spacing w:before="120" w:after="120"/>
              <w:jc w:val="both"/>
              <w:rPr>
                <w:color w:val="000000"/>
                <w:sz w:val="24"/>
                <w:szCs w:val="24"/>
                <w:highlight w:val="yellow"/>
                <w:lang w:val="bg-BG"/>
              </w:rPr>
            </w:pPr>
            <w:r w:rsidRPr="00147A4B">
              <w:rPr>
                <w:color w:val="000000"/>
                <w:sz w:val="24"/>
                <w:szCs w:val="24"/>
                <w:lang w:val="bg-BG"/>
              </w:rPr>
              <w:t>неприложимо</w:t>
            </w:r>
          </w:p>
        </w:tc>
      </w:tr>
      <w:tr w:rsidR="00150181" w:rsidRPr="00055808" w14:paraId="3A76B01A" w14:textId="77777777" w:rsidTr="00E160BA">
        <w:tc>
          <w:tcPr>
            <w:tcW w:w="2518" w:type="dxa"/>
            <w:shd w:val="clear" w:color="auto" w:fill="auto"/>
            <w:vAlign w:val="center"/>
          </w:tcPr>
          <w:p w14:paraId="574A55F6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  <w:p w14:paraId="59D09F66" w14:textId="77777777" w:rsidR="00150181" w:rsidRPr="003C3B6E" w:rsidRDefault="00150181" w:rsidP="00150181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337FEE83" w14:textId="77777777" w:rsidR="001B6264" w:rsidRDefault="001B6264" w:rsidP="002E2FB4">
            <w:pPr>
              <w:tabs>
                <w:tab w:val="left" w:pos="183"/>
              </w:tabs>
              <w:spacing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Pr="001B6264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Възстановяване на средства, използвани от държавата през 2022 г. за осигуряване на компенсации на МСП, които са били особено засегнати от увеличения на цените на електрическа енергия и отговарят на условията по т. 2.4,  </w:t>
            </w:r>
            <w:proofErr w:type="spellStart"/>
            <w:r w:rsidRPr="001B6264">
              <w:rPr>
                <w:rFonts w:eastAsia="Calibri"/>
                <w:bCs/>
                <w:sz w:val="24"/>
                <w:szCs w:val="24"/>
                <w:lang w:val="bg-BG" w:eastAsia="en-US"/>
              </w:rPr>
              <w:t>пар</w:t>
            </w:r>
            <w:proofErr w:type="spellEnd"/>
            <w:r w:rsidRPr="001B6264">
              <w:rPr>
                <w:rFonts w:eastAsia="Calibri"/>
                <w:bCs/>
                <w:sz w:val="24"/>
                <w:szCs w:val="24"/>
                <w:lang w:val="bg-BG" w:eastAsia="en-US"/>
              </w:rPr>
              <w:t>. 72 (д) от Временната рамка за мерки за държавна помощ при кризи и преход в подкрепа на икономиката след агресията на Русия срещу Украйна.</w:t>
            </w:r>
          </w:p>
          <w:p w14:paraId="4DEDE4FE" w14:textId="77777777" w:rsidR="001B6264" w:rsidRPr="001277BF" w:rsidRDefault="001B6264" w:rsidP="002E2FB4">
            <w:pPr>
              <w:tabs>
                <w:tab w:val="left" w:pos="183"/>
              </w:tabs>
              <w:spacing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 Дейности по подготовка, организация и управление на проекта, информация и комуникация.</w:t>
            </w:r>
          </w:p>
        </w:tc>
      </w:tr>
      <w:tr w:rsidR="00150181" w:rsidRPr="00055808" w14:paraId="3F773621" w14:textId="77777777" w:rsidTr="00E160BA">
        <w:tc>
          <w:tcPr>
            <w:tcW w:w="2518" w:type="dxa"/>
            <w:shd w:val="clear" w:color="auto" w:fill="auto"/>
            <w:vAlign w:val="center"/>
          </w:tcPr>
          <w:p w14:paraId="764EA863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  <w:p w14:paraId="429EE117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642E0466" w14:textId="77777777" w:rsidR="00C57A78" w:rsidRDefault="00C57A78" w:rsidP="006339FA">
            <w:pPr>
              <w:spacing w:before="6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sz w:val="24"/>
                <w:szCs w:val="24"/>
                <w:lang w:val="bg-BG" w:eastAsia="en-US"/>
              </w:rPr>
              <w:t>- Р</w:t>
            </w:r>
            <w:r w:rsidR="001B6264" w:rsidRPr="001B6264">
              <w:rPr>
                <w:rFonts w:eastAsia="Calibri"/>
                <w:sz w:val="24"/>
                <w:szCs w:val="24"/>
                <w:lang w:val="bg-BG" w:eastAsia="en-US"/>
              </w:rPr>
              <w:t xml:space="preserve">азходи, предоставени на МСП, допустими съгласно изискванията по т. 2.4,  </w:t>
            </w:r>
            <w:proofErr w:type="spellStart"/>
            <w:r w:rsidR="001B6264" w:rsidRPr="001B6264">
              <w:rPr>
                <w:rFonts w:eastAsia="Calibri"/>
                <w:sz w:val="24"/>
                <w:szCs w:val="24"/>
                <w:lang w:val="bg-BG" w:eastAsia="en-US"/>
              </w:rPr>
              <w:t>пар</w:t>
            </w:r>
            <w:proofErr w:type="spellEnd"/>
            <w:r w:rsidR="001B6264" w:rsidRPr="001B6264">
              <w:rPr>
                <w:rFonts w:eastAsia="Calibri"/>
                <w:sz w:val="24"/>
                <w:szCs w:val="24"/>
                <w:lang w:val="bg-BG" w:eastAsia="en-US"/>
              </w:rPr>
              <w:t>. 72 (д) от Временната рамка за мерки за държавна помощ при кризи и преход в подкрепа на икономиката след агресията на Русия срещу Украйна, за компенсации във връзка с увеличените цени на електрическа енергия в рамките на националните Програми за компенсиране на небитови крайни клиенти на електрическа енергия, одобрени от Министерския съвет с Решение № 30/2022 г. и Решение № 534/2022 г.</w:t>
            </w:r>
          </w:p>
          <w:p w14:paraId="546B9D1D" w14:textId="77777777" w:rsidR="001B6264" w:rsidRPr="00A209ED" w:rsidRDefault="00C57A78" w:rsidP="006339FA">
            <w:pPr>
              <w:spacing w:before="6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sz w:val="24"/>
                <w:szCs w:val="24"/>
                <w:lang w:val="bg-BG" w:eastAsia="en-US"/>
              </w:rPr>
              <w:t xml:space="preserve">- </w:t>
            </w:r>
            <w:r w:rsidR="001B6264">
              <w:rPr>
                <w:rFonts w:eastAsia="Calibri"/>
                <w:sz w:val="24"/>
                <w:szCs w:val="24"/>
                <w:lang w:val="bg-BG" w:eastAsia="en-US"/>
              </w:rPr>
              <w:t xml:space="preserve">Непреки разходи за </w:t>
            </w:r>
            <w:proofErr w:type="spellStart"/>
            <w:r w:rsidR="001B6264">
              <w:rPr>
                <w:rFonts w:eastAsia="Calibri"/>
                <w:sz w:val="24"/>
                <w:szCs w:val="24"/>
                <w:lang w:val="bg-BG" w:eastAsia="en-US"/>
              </w:rPr>
              <w:t>подготока</w:t>
            </w:r>
            <w:proofErr w:type="spellEnd"/>
            <w:r w:rsidR="001B6264">
              <w:rPr>
                <w:rFonts w:eastAsia="Calibri"/>
                <w:sz w:val="24"/>
                <w:szCs w:val="24"/>
                <w:lang w:val="bg-BG" w:eastAsia="en-US"/>
              </w:rPr>
              <w:t xml:space="preserve">, </w:t>
            </w:r>
            <w:r w:rsidR="001B6264" w:rsidRPr="001B6264">
              <w:rPr>
                <w:rFonts w:eastAsia="Calibri"/>
                <w:sz w:val="24"/>
                <w:szCs w:val="24"/>
                <w:lang w:val="bg-BG" w:eastAsia="en-US"/>
              </w:rPr>
              <w:t>организация и управление на проекта, информация и комуникация.</w:t>
            </w:r>
          </w:p>
        </w:tc>
      </w:tr>
      <w:tr w:rsidR="00150181" w:rsidRPr="00055808" w14:paraId="3594843E" w14:textId="77777777" w:rsidTr="00E160BA">
        <w:tc>
          <w:tcPr>
            <w:tcW w:w="2518" w:type="dxa"/>
            <w:shd w:val="clear" w:color="auto" w:fill="auto"/>
            <w:vAlign w:val="center"/>
          </w:tcPr>
          <w:p w14:paraId="5B646C99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FA7EBA">
              <w:rPr>
                <w:sz w:val="24"/>
                <w:szCs w:val="24"/>
                <w:lang w:val="bg-BG"/>
              </w:rPr>
              <w:t>Хоризонтални принципи</w:t>
            </w:r>
          </w:p>
          <w:p w14:paraId="36A716E7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highlight w:val="yellow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43267648" w14:textId="77777777" w:rsidR="00150181" w:rsidRPr="00C776CB" w:rsidRDefault="00150181" w:rsidP="00AD7E50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FA7EBA">
              <w:rPr>
                <w:sz w:val="24"/>
                <w:szCs w:val="24"/>
                <w:lang w:val="bg-BG"/>
              </w:rPr>
              <w:t xml:space="preserve">При изпълнение на дейностите по процедурата, следва да се прилагат </w:t>
            </w:r>
            <w:r w:rsidR="001277BF" w:rsidRPr="001277BF">
              <w:rPr>
                <w:sz w:val="24"/>
                <w:szCs w:val="24"/>
                <w:lang w:val="bg-BG"/>
              </w:rPr>
              <w:t>приложимите хоризонтални принципи, залегнали в чл.7 и чл.</w:t>
            </w:r>
            <w:r w:rsidR="00CB527B">
              <w:rPr>
                <w:sz w:val="24"/>
                <w:szCs w:val="24"/>
                <w:lang w:val="en-US"/>
              </w:rPr>
              <w:t xml:space="preserve"> </w:t>
            </w:r>
            <w:r w:rsidR="001277BF" w:rsidRPr="001277BF">
              <w:rPr>
                <w:sz w:val="24"/>
                <w:szCs w:val="24"/>
                <w:lang w:val="bg-BG"/>
              </w:rPr>
              <w:t xml:space="preserve">8 на Регламент (ЕС) № 1303/2013 на Европейския парламент и на Съвета, посочени в </w:t>
            </w:r>
            <w:r w:rsidR="001277BF">
              <w:rPr>
                <w:sz w:val="24"/>
                <w:szCs w:val="24"/>
                <w:lang w:val="bg-BG"/>
              </w:rPr>
              <w:t>у</w:t>
            </w:r>
            <w:r w:rsidR="001277BF" w:rsidRPr="001277BF">
              <w:rPr>
                <w:sz w:val="24"/>
                <w:szCs w:val="24"/>
                <w:lang w:val="bg-BG"/>
              </w:rPr>
              <w:t>словията за кандидатстване</w:t>
            </w:r>
            <w:r w:rsidRPr="00FA7EBA">
              <w:rPr>
                <w:sz w:val="24"/>
                <w:szCs w:val="24"/>
                <w:lang w:val="bg-BG"/>
              </w:rPr>
              <w:t>.</w:t>
            </w:r>
            <w:r w:rsidRPr="001F6471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150181" w:rsidRPr="00055808" w14:paraId="0D19461B" w14:textId="77777777" w:rsidTr="00E160BA">
        <w:trPr>
          <w:trHeight w:val="1416"/>
        </w:trPr>
        <w:tc>
          <w:tcPr>
            <w:tcW w:w="2518" w:type="dxa"/>
            <w:shd w:val="clear" w:color="auto" w:fill="auto"/>
            <w:vAlign w:val="center"/>
          </w:tcPr>
          <w:p w14:paraId="1DA2216E" w14:textId="77777777" w:rsidR="00150181" w:rsidRDefault="00150181" w:rsidP="00150181">
            <w:pPr>
              <w:rPr>
                <w:sz w:val="24"/>
                <w:szCs w:val="24"/>
                <w:lang w:val="bg-BG"/>
              </w:rPr>
            </w:pPr>
            <w:r w:rsidRPr="006201EE">
              <w:rPr>
                <w:sz w:val="24"/>
                <w:szCs w:val="24"/>
                <w:lang w:val="bg-BG"/>
              </w:rPr>
              <w:lastRenderedPageBreak/>
              <w:t>Максимален срок за изпълнение на проекта</w:t>
            </w:r>
          </w:p>
          <w:p w14:paraId="6FE949CE" w14:textId="77777777" w:rsidR="00150181" w:rsidRPr="006201EE" w:rsidRDefault="00150181" w:rsidP="00150181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63C163A9" w14:textId="77777777" w:rsidR="00150181" w:rsidRPr="00AB6062" w:rsidRDefault="00150181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AB6062">
              <w:rPr>
                <w:sz w:val="24"/>
                <w:szCs w:val="24"/>
                <w:lang w:val="bg-BG"/>
              </w:rPr>
              <w:t>31.12.2023 г.</w:t>
            </w:r>
          </w:p>
        </w:tc>
      </w:tr>
      <w:tr w:rsidR="00150181" w:rsidRPr="001D4A55" w14:paraId="3C2B6C6C" w14:textId="77777777" w:rsidTr="00E160BA">
        <w:tc>
          <w:tcPr>
            <w:tcW w:w="2518" w:type="dxa"/>
            <w:shd w:val="clear" w:color="auto" w:fill="auto"/>
            <w:vAlign w:val="center"/>
          </w:tcPr>
          <w:p w14:paraId="1DA32904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7694291" w14:textId="77777777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150181" w:rsidRPr="001D4A55" w14:paraId="548797EB" w14:textId="77777777" w:rsidTr="00E160BA">
        <w:tc>
          <w:tcPr>
            <w:tcW w:w="2518" w:type="dxa"/>
            <w:shd w:val="clear" w:color="auto" w:fill="auto"/>
            <w:vAlign w:val="center"/>
          </w:tcPr>
          <w:p w14:paraId="68EB4A77" w14:textId="77777777" w:rsidR="00150181" w:rsidRPr="00055808" w:rsidRDefault="00150181" w:rsidP="00150181">
            <w:pPr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>Краен срок за подаване на проектн</w:t>
            </w:r>
            <w:r>
              <w:rPr>
                <w:sz w:val="24"/>
                <w:szCs w:val="24"/>
                <w:lang w:val="bg-BG"/>
              </w:rPr>
              <w:t>и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>
              <w:rPr>
                <w:sz w:val="24"/>
                <w:szCs w:val="24"/>
                <w:lang w:val="bg-BG"/>
              </w:rPr>
              <w:t>я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594B244" w14:textId="77777777" w:rsidR="00150181" w:rsidRPr="00E46E55" w:rsidRDefault="003F5563" w:rsidP="0015018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 месец след датата на обявяване на процедурата</w:t>
            </w:r>
            <w:r w:rsidR="00C23359" w:rsidRPr="00715A17">
              <w:rPr>
                <w:sz w:val="24"/>
                <w:szCs w:val="24"/>
                <w:lang w:val="bg-BG"/>
              </w:rPr>
              <w:t>.</w:t>
            </w:r>
            <w:r w:rsidR="00150181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CC0522" w:rsidRPr="001D4A55" w14:paraId="2EBCC152" w14:textId="77777777" w:rsidTr="00E160BA">
        <w:tc>
          <w:tcPr>
            <w:tcW w:w="2518" w:type="dxa"/>
            <w:shd w:val="clear" w:color="auto" w:fill="auto"/>
            <w:vAlign w:val="center"/>
          </w:tcPr>
          <w:p w14:paraId="70DBFB91" w14:textId="77777777" w:rsidR="00CC0522" w:rsidRPr="000C79C7" w:rsidRDefault="00CC0522" w:rsidP="00CC0522">
            <w:pPr>
              <w:rPr>
                <w:sz w:val="24"/>
                <w:szCs w:val="24"/>
                <w:lang w:val="bg-BG"/>
              </w:rPr>
            </w:pPr>
            <w:proofErr w:type="spellStart"/>
            <w:r>
              <w:rPr>
                <w:sz w:val="24"/>
                <w:szCs w:val="24"/>
                <w:lang w:val="bg-BG"/>
              </w:rPr>
              <w:t>Демаркация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val="bg-BG"/>
              </w:rPr>
              <w:t>допълняемост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</w:tcPr>
          <w:p w14:paraId="424EEAC7" w14:textId="77777777" w:rsidR="00CC0522" w:rsidRPr="004C5AD6" w:rsidRDefault="00CC0522" w:rsidP="00CC0522">
            <w:pPr>
              <w:jc w:val="both"/>
              <w:rPr>
                <w:sz w:val="24"/>
                <w:szCs w:val="24"/>
                <w:lang w:val="bg-BG"/>
              </w:rPr>
            </w:pPr>
            <w:r w:rsidRPr="004C5AD6">
              <w:rPr>
                <w:sz w:val="24"/>
                <w:szCs w:val="24"/>
                <w:lang w:val="bg-BG"/>
              </w:rPr>
              <w:t>Допустимите разходи за компенсации, извършени от  Фонд „Сигурност на електроенергийната система“, ще могат да бъдат възстановявани по Оперативна програма „Иновации и конкурентоспособност“, Оперативна програма „Транспорт и транспортна инфраструктура, Оперативна програма „Региони в растеж“,</w:t>
            </w:r>
            <w:r w:rsidRPr="004C5AD6">
              <w:rPr>
                <w:sz w:val="24"/>
                <w:szCs w:val="24"/>
                <w:lang w:val="bg-BG"/>
              </w:rPr>
              <w:tab/>
              <w:t xml:space="preserve">Оперативна програма „Наука и образование за интелигентен растеж“ и Оперативна програма „Добро управление“ и Оперативна програма „Околна среда“. </w:t>
            </w:r>
          </w:p>
          <w:p w14:paraId="6891ACEE" w14:textId="77777777" w:rsidR="00CC0522" w:rsidRPr="00CC0522" w:rsidRDefault="00CC0522" w:rsidP="00CC0522">
            <w:pPr>
              <w:jc w:val="both"/>
              <w:rPr>
                <w:sz w:val="24"/>
                <w:szCs w:val="24"/>
                <w:lang w:val="bg-BG"/>
              </w:rPr>
            </w:pPr>
            <w:r w:rsidRPr="004C5AD6">
              <w:rPr>
                <w:sz w:val="24"/>
                <w:szCs w:val="24"/>
                <w:lang w:val="bg-BG"/>
              </w:rPr>
              <w:t xml:space="preserve">С оглед спазване на принципите на </w:t>
            </w:r>
            <w:proofErr w:type="spellStart"/>
            <w:r w:rsidRPr="004C5AD6">
              <w:rPr>
                <w:sz w:val="24"/>
                <w:szCs w:val="24"/>
                <w:lang w:val="bg-BG"/>
              </w:rPr>
              <w:t>допълняемост</w:t>
            </w:r>
            <w:proofErr w:type="spellEnd"/>
            <w:r w:rsidRPr="004C5AD6">
              <w:rPr>
                <w:sz w:val="24"/>
                <w:szCs w:val="24"/>
                <w:lang w:val="bg-BG"/>
              </w:rPr>
              <w:t xml:space="preserve"> и недопускане на двойно финансиране с другите програми на национално ниво, в рамките на които са предвидени аналогични мерки за възстановяване на средства във връзка с извършени компенсации към МСП, които са особено засегнати от увеличения на цените на енергията, се предвижда </w:t>
            </w:r>
            <w:proofErr w:type="spellStart"/>
            <w:r w:rsidRPr="004C5AD6">
              <w:rPr>
                <w:sz w:val="24"/>
                <w:szCs w:val="24"/>
                <w:lang w:val="bg-BG"/>
              </w:rPr>
              <w:t>демаркацията</w:t>
            </w:r>
            <w:proofErr w:type="spellEnd"/>
            <w:r w:rsidRPr="004C5AD6">
              <w:rPr>
                <w:sz w:val="24"/>
                <w:szCs w:val="24"/>
                <w:lang w:val="bg-BG"/>
              </w:rPr>
              <w:t xml:space="preserve"> да се осигури на база конкретни предприятия. </w:t>
            </w:r>
            <w:r w:rsidR="00783A8F" w:rsidRPr="00783A8F">
              <w:rPr>
                <w:sz w:val="24"/>
                <w:szCs w:val="24"/>
                <w:lang w:val="bg-BG"/>
              </w:rPr>
              <w:t>За тази цел допустимите крайни получатели на компенсации (МСП) ще бъдат разпределени между тези програми на изключващ принцип, т.е.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време. УО ще извършва проверка за коректното прилагане на този принцип.</w:t>
            </w:r>
          </w:p>
          <w:p w14:paraId="37A42218" w14:textId="69EABEA9" w:rsidR="00CC0522" w:rsidRDefault="00D60E9A" w:rsidP="00CC0522">
            <w:pPr>
              <w:jc w:val="both"/>
              <w:rPr>
                <w:sz w:val="24"/>
                <w:szCs w:val="24"/>
                <w:lang w:val="bg-BG"/>
              </w:rPr>
            </w:pPr>
            <w:r w:rsidRPr="00D60E9A">
              <w:rPr>
                <w:sz w:val="24"/>
                <w:szCs w:val="24"/>
                <w:lang w:val="bg-BG"/>
              </w:rPr>
              <w:t xml:space="preserve">С цел гарантиране на своевременното и ефективно изпълнение на операциите за прилагане на Инструмента SAFE и минимизиране на административната тежест,  както и с оглед осигуряване на </w:t>
            </w:r>
            <w:proofErr w:type="spellStart"/>
            <w:r w:rsidRPr="00D60E9A">
              <w:rPr>
                <w:sz w:val="24"/>
                <w:szCs w:val="24"/>
                <w:lang w:val="bg-BG"/>
              </w:rPr>
              <w:t>демаркация</w:t>
            </w:r>
            <w:proofErr w:type="spellEnd"/>
            <w:r w:rsidRPr="00D60E9A">
              <w:rPr>
                <w:sz w:val="24"/>
                <w:szCs w:val="24"/>
                <w:lang w:val="bg-BG"/>
              </w:rPr>
              <w:t xml:space="preserve"> и </w:t>
            </w:r>
            <w:proofErr w:type="spellStart"/>
            <w:r w:rsidRPr="00D60E9A">
              <w:rPr>
                <w:sz w:val="24"/>
                <w:szCs w:val="24"/>
                <w:lang w:val="bg-BG"/>
              </w:rPr>
              <w:t>допълняемост</w:t>
            </w:r>
            <w:proofErr w:type="spellEnd"/>
            <w:r w:rsidRPr="00D60E9A">
              <w:rPr>
                <w:sz w:val="24"/>
                <w:szCs w:val="24"/>
                <w:lang w:val="bg-BG"/>
              </w:rPr>
              <w:t xml:space="preserve"> между мерките по отделните програми и недопускане на двойно финансиране между тях, дейности, свързани с подготовка и управление на операциите и с осигуряване на информация и комуникация на тази подкрепа, ще бъдат допустими единствено по ОПОС</w:t>
            </w:r>
            <w:r w:rsidR="00CC0522" w:rsidRPr="00CC0522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</w:tbl>
    <w:p w14:paraId="1A512F06" w14:textId="77777777" w:rsidR="00C43636" w:rsidRDefault="00C43636" w:rsidP="00C26CE3">
      <w:pPr>
        <w:jc w:val="both"/>
        <w:rPr>
          <w:b/>
          <w:sz w:val="24"/>
          <w:szCs w:val="24"/>
          <w:lang w:val="bg-BG"/>
        </w:rPr>
      </w:pPr>
    </w:p>
    <w:sectPr w:rsidR="00C43636" w:rsidSect="00604700">
      <w:footerReference w:type="default" r:id="rId11"/>
      <w:footerReference w:type="first" r:id="rId12"/>
      <w:pgSz w:w="11906" w:h="16838"/>
      <w:pgMar w:top="1418" w:right="1286" w:bottom="1418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5F9F9" w14:textId="77777777" w:rsidR="009F56D5" w:rsidRDefault="009F56D5">
      <w:r>
        <w:separator/>
      </w:r>
    </w:p>
  </w:endnote>
  <w:endnote w:type="continuationSeparator" w:id="0">
    <w:p w14:paraId="66E63FB9" w14:textId="77777777" w:rsidR="009F56D5" w:rsidRDefault="009F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FC059" w14:textId="77777777" w:rsidR="00FA2B58" w:rsidRDefault="00FA2B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73A1">
      <w:rPr>
        <w:noProof/>
      </w:rPr>
      <w:t>5</w:t>
    </w:r>
    <w:r>
      <w:rPr>
        <w:noProof/>
      </w:rPr>
      <w:fldChar w:fldCharType="end"/>
    </w:r>
  </w:p>
  <w:p w14:paraId="1ED300F5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42EE" w14:textId="77777777" w:rsidR="00FA2B58" w:rsidRDefault="00FA2B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73A1">
      <w:rPr>
        <w:noProof/>
      </w:rPr>
      <w:t>1</w:t>
    </w:r>
    <w:r>
      <w:rPr>
        <w:noProof/>
      </w:rPr>
      <w:fldChar w:fldCharType="end"/>
    </w:r>
  </w:p>
  <w:p w14:paraId="22F879E2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A067C" w14:textId="77777777" w:rsidR="009F56D5" w:rsidRDefault="009F56D5">
      <w:r>
        <w:separator/>
      </w:r>
    </w:p>
  </w:footnote>
  <w:footnote w:type="continuationSeparator" w:id="0">
    <w:p w14:paraId="7B3AC89A" w14:textId="77777777" w:rsidR="009F56D5" w:rsidRDefault="009F56D5">
      <w:r>
        <w:continuationSeparator/>
      </w:r>
    </w:p>
  </w:footnote>
  <w:footnote w:id="1">
    <w:p w14:paraId="1A945F25" w14:textId="77777777" w:rsidR="00C57A78" w:rsidRPr="00C57A78" w:rsidRDefault="00C57A7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57A78">
        <w:t>Изплатена</w:t>
      </w:r>
      <w:proofErr w:type="spellEnd"/>
      <w:r w:rsidRPr="00C57A78">
        <w:t xml:space="preserve"> </w:t>
      </w:r>
      <w:proofErr w:type="spellStart"/>
      <w:r w:rsidRPr="00C57A78">
        <w:t>съгласно</w:t>
      </w:r>
      <w:proofErr w:type="spellEnd"/>
      <w:r w:rsidRPr="00C57A78">
        <w:t xml:space="preserve"> </w:t>
      </w:r>
      <w:proofErr w:type="spellStart"/>
      <w:r w:rsidRPr="00C57A78">
        <w:t>двете</w:t>
      </w:r>
      <w:proofErr w:type="spellEnd"/>
      <w:r w:rsidRPr="00C57A78">
        <w:t xml:space="preserve"> </w:t>
      </w:r>
      <w:proofErr w:type="spellStart"/>
      <w:r w:rsidRPr="00C57A78">
        <w:t>национални</w:t>
      </w:r>
      <w:proofErr w:type="spellEnd"/>
      <w:r w:rsidRPr="00C57A78">
        <w:t xml:space="preserve"> </w:t>
      </w:r>
      <w:proofErr w:type="spellStart"/>
      <w:r w:rsidRPr="00C57A78">
        <w:t>програми</w:t>
      </w:r>
      <w:proofErr w:type="spellEnd"/>
      <w:r w:rsidRPr="00C57A78">
        <w:t xml:space="preserve"> - </w:t>
      </w:r>
      <w:proofErr w:type="spellStart"/>
      <w:r w:rsidRPr="00C57A78">
        <w:t>Програма</w:t>
      </w:r>
      <w:proofErr w:type="spellEnd"/>
      <w:r w:rsidRPr="00C57A78">
        <w:t xml:space="preserve"> </w:t>
      </w:r>
      <w:proofErr w:type="spellStart"/>
      <w:r w:rsidRPr="00C57A78">
        <w:t>за</w:t>
      </w:r>
      <w:proofErr w:type="spellEnd"/>
      <w:r w:rsidRPr="00C57A78">
        <w:t xml:space="preserve"> </w:t>
      </w:r>
      <w:proofErr w:type="spellStart"/>
      <w:r w:rsidRPr="00C57A78">
        <w:t>компенсиране</w:t>
      </w:r>
      <w:proofErr w:type="spellEnd"/>
      <w:r w:rsidRPr="00C57A78">
        <w:t xml:space="preserve"> </w:t>
      </w:r>
      <w:proofErr w:type="spellStart"/>
      <w:r w:rsidRPr="00C57A78">
        <w:t>на</w:t>
      </w:r>
      <w:proofErr w:type="spellEnd"/>
      <w:r w:rsidRPr="00C57A78">
        <w:t xml:space="preserve"> </w:t>
      </w:r>
      <w:proofErr w:type="spellStart"/>
      <w:r w:rsidRPr="00C57A78">
        <w:t>небитови</w:t>
      </w:r>
      <w:proofErr w:type="spellEnd"/>
      <w:r w:rsidRPr="00C57A78">
        <w:t xml:space="preserve"> </w:t>
      </w:r>
      <w:proofErr w:type="spellStart"/>
      <w:r w:rsidRPr="00C57A78">
        <w:t>крайни</w:t>
      </w:r>
      <w:proofErr w:type="spellEnd"/>
      <w:r w:rsidRPr="00C57A78">
        <w:t xml:space="preserve"> </w:t>
      </w:r>
      <w:proofErr w:type="spellStart"/>
      <w:r w:rsidRPr="00C57A78">
        <w:t>клиенти</w:t>
      </w:r>
      <w:proofErr w:type="spellEnd"/>
      <w:r w:rsidRPr="00C57A78">
        <w:t xml:space="preserve"> </w:t>
      </w:r>
      <w:proofErr w:type="spellStart"/>
      <w:r w:rsidRPr="00C57A78">
        <w:t>на</w:t>
      </w:r>
      <w:proofErr w:type="spellEnd"/>
      <w:r w:rsidRPr="00C57A78">
        <w:t xml:space="preserve"> </w:t>
      </w:r>
      <w:proofErr w:type="spellStart"/>
      <w:r w:rsidRPr="00C57A78">
        <w:t>електрическа</w:t>
      </w:r>
      <w:proofErr w:type="spellEnd"/>
      <w:r w:rsidRPr="00C57A78">
        <w:t xml:space="preserve"> </w:t>
      </w:r>
      <w:proofErr w:type="spellStart"/>
      <w:r w:rsidRPr="00C57A78">
        <w:t>енергия</w:t>
      </w:r>
      <w:proofErr w:type="spellEnd"/>
      <w:r w:rsidRPr="00C57A78">
        <w:t xml:space="preserve">, </w:t>
      </w:r>
      <w:proofErr w:type="spellStart"/>
      <w:r w:rsidRPr="00C57A78">
        <w:t>одобрена</w:t>
      </w:r>
      <w:proofErr w:type="spellEnd"/>
      <w:r w:rsidRPr="00C57A78">
        <w:t xml:space="preserve"> с РМС № 30/2022 г. и </w:t>
      </w:r>
      <w:proofErr w:type="spellStart"/>
      <w:r w:rsidRPr="00C57A78">
        <w:t>Програма</w:t>
      </w:r>
      <w:proofErr w:type="spellEnd"/>
      <w:r w:rsidRPr="00C57A78">
        <w:t xml:space="preserve"> </w:t>
      </w:r>
      <w:proofErr w:type="spellStart"/>
      <w:r w:rsidRPr="00C57A78">
        <w:t>за</w:t>
      </w:r>
      <w:proofErr w:type="spellEnd"/>
      <w:r w:rsidRPr="00C57A78">
        <w:t xml:space="preserve"> </w:t>
      </w:r>
      <w:proofErr w:type="spellStart"/>
      <w:r w:rsidRPr="00C57A78">
        <w:t>компенсиране</w:t>
      </w:r>
      <w:proofErr w:type="spellEnd"/>
      <w:r w:rsidRPr="00C57A78">
        <w:t xml:space="preserve"> </w:t>
      </w:r>
      <w:proofErr w:type="spellStart"/>
      <w:r w:rsidRPr="00C57A78">
        <w:t>на</w:t>
      </w:r>
      <w:proofErr w:type="spellEnd"/>
      <w:r w:rsidRPr="00C57A78">
        <w:t xml:space="preserve"> </w:t>
      </w:r>
      <w:proofErr w:type="spellStart"/>
      <w:r w:rsidRPr="00C57A78">
        <w:t>небитови</w:t>
      </w:r>
      <w:proofErr w:type="spellEnd"/>
      <w:r w:rsidRPr="00C57A78">
        <w:t xml:space="preserve"> </w:t>
      </w:r>
      <w:proofErr w:type="spellStart"/>
      <w:r w:rsidRPr="00C57A78">
        <w:t>крайни</w:t>
      </w:r>
      <w:proofErr w:type="spellEnd"/>
      <w:r w:rsidRPr="00C57A78">
        <w:t xml:space="preserve"> </w:t>
      </w:r>
      <w:proofErr w:type="spellStart"/>
      <w:r w:rsidRPr="00C57A78">
        <w:t>клиенти</w:t>
      </w:r>
      <w:proofErr w:type="spellEnd"/>
      <w:r w:rsidRPr="00C57A78">
        <w:t xml:space="preserve"> </w:t>
      </w:r>
      <w:proofErr w:type="spellStart"/>
      <w:r w:rsidRPr="00C57A78">
        <w:t>на</w:t>
      </w:r>
      <w:proofErr w:type="spellEnd"/>
      <w:r w:rsidRPr="00C57A78">
        <w:t xml:space="preserve"> </w:t>
      </w:r>
      <w:proofErr w:type="spellStart"/>
      <w:r w:rsidRPr="00C57A78">
        <w:t>електрическа</w:t>
      </w:r>
      <w:proofErr w:type="spellEnd"/>
      <w:r w:rsidRPr="00C57A78">
        <w:t xml:space="preserve"> </w:t>
      </w:r>
      <w:proofErr w:type="spellStart"/>
      <w:r w:rsidRPr="00C57A78">
        <w:t>енергия</w:t>
      </w:r>
      <w:proofErr w:type="spellEnd"/>
      <w:r w:rsidRPr="00C57A78">
        <w:t xml:space="preserve">, </w:t>
      </w:r>
      <w:proofErr w:type="spellStart"/>
      <w:r w:rsidRPr="00C57A78">
        <w:t>одобрена</w:t>
      </w:r>
      <w:proofErr w:type="spellEnd"/>
      <w:r w:rsidRPr="00C57A78">
        <w:t xml:space="preserve"> с РМС № 534/2022 г.</w:t>
      </w:r>
    </w:p>
  </w:footnote>
  <w:footnote w:id="2">
    <w:p w14:paraId="4912C3CA" w14:textId="77777777" w:rsidR="00654861" w:rsidRDefault="00654861" w:rsidP="0065486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оценката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административния</w:t>
      </w:r>
      <w:proofErr w:type="spellEnd"/>
      <w:r>
        <w:t xml:space="preserve"> </w:t>
      </w:r>
      <w:proofErr w:type="spellStart"/>
      <w:r>
        <w:t>капацитет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взема</w:t>
      </w:r>
      <w:proofErr w:type="spellEnd"/>
      <w:r>
        <w:t xml:space="preserve"> </w:t>
      </w:r>
      <w:proofErr w:type="spellStart"/>
      <w:r>
        <w:t>предвид</w:t>
      </w:r>
      <w:proofErr w:type="spellEnd"/>
      <w:r>
        <w:t xml:space="preserve"> </w:t>
      </w:r>
      <w:r>
        <w:rPr>
          <w:lang w:val="bg-BG"/>
        </w:rPr>
        <w:t>наличието на</w:t>
      </w:r>
      <w:r>
        <w:t xml:space="preserve"> </w:t>
      </w:r>
      <w:proofErr w:type="spellStart"/>
      <w:r>
        <w:t>екип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rPr>
          <w:lang w:val="bg-BG"/>
        </w:rPr>
        <w:t>, който</w:t>
      </w:r>
      <w:r>
        <w:t xml:space="preserve"> е </w:t>
      </w:r>
      <w:proofErr w:type="spellStart"/>
      <w:r>
        <w:t>съобразен</w:t>
      </w:r>
      <w:proofErr w:type="spellEnd"/>
      <w:r>
        <w:t xml:space="preserve">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спецификата</w:t>
      </w:r>
      <w:proofErr w:type="spellEnd"/>
      <w:r>
        <w:t xml:space="preserve"> и </w:t>
      </w:r>
      <w:proofErr w:type="spellStart"/>
      <w:r>
        <w:t>обема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 и </w:t>
      </w:r>
      <w:proofErr w:type="spellStart"/>
      <w:r>
        <w:t>гарантира</w:t>
      </w:r>
      <w:proofErr w:type="spellEnd"/>
      <w:r>
        <w:t xml:space="preserve"> </w:t>
      </w:r>
      <w:proofErr w:type="spellStart"/>
      <w:r>
        <w:t>ефективното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 и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конкретния</w:t>
      </w:r>
      <w:proofErr w:type="spellEnd"/>
      <w:r>
        <w:t xml:space="preserve"> </w:t>
      </w:r>
      <w:proofErr w:type="spellStart"/>
      <w:r>
        <w:t>бенефициент</w:t>
      </w:r>
      <w:proofErr w:type="spellEnd"/>
      <w:r>
        <w:t xml:space="preserve">. </w:t>
      </w:r>
    </w:p>
    <w:p w14:paraId="6FEE02CF" w14:textId="77777777" w:rsidR="00654861" w:rsidRDefault="00654861" w:rsidP="00654861">
      <w:pPr>
        <w:pStyle w:val="FootnoteText"/>
        <w:jc w:val="both"/>
      </w:pPr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оценката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финансовия</w:t>
      </w:r>
      <w:proofErr w:type="spellEnd"/>
      <w:r>
        <w:t xml:space="preserve"> </w:t>
      </w:r>
      <w:proofErr w:type="spellStart"/>
      <w:r>
        <w:t>капацитет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взема</w:t>
      </w:r>
      <w:proofErr w:type="spellEnd"/>
      <w:r>
        <w:t xml:space="preserve"> </w:t>
      </w:r>
      <w:proofErr w:type="spellStart"/>
      <w:r>
        <w:t>предвид</w:t>
      </w:r>
      <w:proofErr w:type="spellEnd"/>
      <w:r>
        <w:t xml:space="preserve"> </w:t>
      </w:r>
      <w:proofErr w:type="spellStart"/>
      <w:r>
        <w:t>наличие</w:t>
      </w:r>
      <w:proofErr w:type="spellEnd"/>
      <w:r>
        <w:rPr>
          <w:lang w:val="bg-BG"/>
        </w:rPr>
        <w:t>то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изградена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финансово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 и </w:t>
      </w:r>
      <w:proofErr w:type="spellStart"/>
      <w:r>
        <w:t>контрол</w:t>
      </w:r>
      <w:proofErr w:type="spellEnd"/>
      <w:r>
        <w:t>.</w:t>
      </w:r>
    </w:p>
    <w:p w14:paraId="18EEA4A8" w14:textId="77777777" w:rsidR="00654861" w:rsidRPr="00654861" w:rsidRDefault="00654861" w:rsidP="00654861">
      <w:pPr>
        <w:pStyle w:val="FootnoteText"/>
        <w:jc w:val="both"/>
        <w:rPr>
          <w:lang w:val="bg-BG"/>
        </w:rPr>
      </w:pPr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оценката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оперативния</w:t>
      </w:r>
      <w:proofErr w:type="spellEnd"/>
      <w:r>
        <w:t xml:space="preserve"> </w:t>
      </w:r>
      <w:proofErr w:type="spellStart"/>
      <w:r>
        <w:t>капацитет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взема</w:t>
      </w:r>
      <w:proofErr w:type="spellEnd"/>
      <w:r>
        <w:t xml:space="preserve"> </w:t>
      </w:r>
      <w:proofErr w:type="spellStart"/>
      <w:r>
        <w:t>предвид</w:t>
      </w:r>
      <w:proofErr w:type="spellEnd"/>
      <w:r>
        <w:t xml:space="preserve"> </w:t>
      </w:r>
      <w:proofErr w:type="spellStart"/>
      <w:r>
        <w:t>следното</w:t>
      </w:r>
      <w:proofErr w:type="spellEnd"/>
      <w:r>
        <w:t xml:space="preserve">: </w:t>
      </w:r>
      <w:proofErr w:type="spellStart"/>
      <w:r>
        <w:t>конкретният</w:t>
      </w:r>
      <w:proofErr w:type="spellEnd"/>
      <w:r>
        <w:t xml:space="preserve"> </w:t>
      </w:r>
      <w:proofErr w:type="spellStart"/>
      <w:r>
        <w:t>бенефициент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опит</w:t>
      </w:r>
      <w:proofErr w:type="spellEnd"/>
      <w:r>
        <w:t xml:space="preserve"> в </w:t>
      </w:r>
      <w:proofErr w:type="spellStart"/>
      <w:r>
        <w:t>изпълнението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дейности</w:t>
      </w:r>
      <w:proofErr w:type="spellEnd"/>
      <w:r>
        <w:t xml:space="preserve">, </w:t>
      </w:r>
      <w:proofErr w:type="spellStart"/>
      <w:r>
        <w:t>сходни</w:t>
      </w:r>
      <w:proofErr w:type="spellEnd"/>
      <w:r>
        <w:t xml:space="preserve"> с </w:t>
      </w:r>
      <w:proofErr w:type="spellStart"/>
      <w:r>
        <w:t>дейностите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настоящия</w:t>
      </w:r>
      <w:proofErr w:type="spellEnd"/>
      <w:r>
        <w:t xml:space="preserve"> </w:t>
      </w:r>
      <w:proofErr w:type="spellStart"/>
      <w:r>
        <w:t>проект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опит</w:t>
      </w:r>
      <w:proofErr w:type="spellEnd"/>
      <w:r>
        <w:t xml:space="preserve"> в </w:t>
      </w:r>
      <w:proofErr w:type="spellStart"/>
      <w:r>
        <w:t>изпълнението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 xml:space="preserve">, </w:t>
      </w:r>
      <w:proofErr w:type="spellStart"/>
      <w:r>
        <w:t>финансирани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донори</w:t>
      </w:r>
      <w:proofErr w:type="spellEnd"/>
      <w: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C71B6"/>
    <w:multiLevelType w:val="hybridMultilevel"/>
    <w:tmpl w:val="051AF67E"/>
    <w:lvl w:ilvl="0" w:tplc="FE243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094986">
    <w:abstractNumId w:val="1"/>
  </w:num>
  <w:num w:numId="2" w16cid:durableId="1729261495">
    <w:abstractNumId w:val="3"/>
  </w:num>
  <w:num w:numId="3" w16cid:durableId="340476761">
    <w:abstractNumId w:val="2"/>
  </w:num>
  <w:num w:numId="4" w16cid:durableId="21398339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0E47"/>
    <w:rsid w:val="00000F3D"/>
    <w:rsid w:val="0000520E"/>
    <w:rsid w:val="00006C84"/>
    <w:rsid w:val="00006C98"/>
    <w:rsid w:val="00007497"/>
    <w:rsid w:val="00007556"/>
    <w:rsid w:val="00007AC0"/>
    <w:rsid w:val="00010E2B"/>
    <w:rsid w:val="000117E1"/>
    <w:rsid w:val="000138A8"/>
    <w:rsid w:val="00015258"/>
    <w:rsid w:val="00015A9C"/>
    <w:rsid w:val="00015DE0"/>
    <w:rsid w:val="00015F17"/>
    <w:rsid w:val="0001650B"/>
    <w:rsid w:val="00016BCD"/>
    <w:rsid w:val="00016EB6"/>
    <w:rsid w:val="00020A90"/>
    <w:rsid w:val="00021B6B"/>
    <w:rsid w:val="00021D8E"/>
    <w:rsid w:val="00024145"/>
    <w:rsid w:val="00025349"/>
    <w:rsid w:val="000270EE"/>
    <w:rsid w:val="00033472"/>
    <w:rsid w:val="00035678"/>
    <w:rsid w:val="000365B0"/>
    <w:rsid w:val="00037173"/>
    <w:rsid w:val="000377A6"/>
    <w:rsid w:val="00041F17"/>
    <w:rsid w:val="000428F0"/>
    <w:rsid w:val="00042C49"/>
    <w:rsid w:val="00044566"/>
    <w:rsid w:val="000468BC"/>
    <w:rsid w:val="00046ADB"/>
    <w:rsid w:val="00046ECD"/>
    <w:rsid w:val="0004729F"/>
    <w:rsid w:val="00050CC7"/>
    <w:rsid w:val="00051168"/>
    <w:rsid w:val="00051BD7"/>
    <w:rsid w:val="00052DC6"/>
    <w:rsid w:val="000577AA"/>
    <w:rsid w:val="000579F7"/>
    <w:rsid w:val="000608FF"/>
    <w:rsid w:val="0006114C"/>
    <w:rsid w:val="00062378"/>
    <w:rsid w:val="00063A6A"/>
    <w:rsid w:val="00064007"/>
    <w:rsid w:val="00065E60"/>
    <w:rsid w:val="00070B44"/>
    <w:rsid w:val="00070D87"/>
    <w:rsid w:val="00073EF0"/>
    <w:rsid w:val="00074390"/>
    <w:rsid w:val="00074643"/>
    <w:rsid w:val="000747D1"/>
    <w:rsid w:val="000762BD"/>
    <w:rsid w:val="00083041"/>
    <w:rsid w:val="00083D01"/>
    <w:rsid w:val="000900CA"/>
    <w:rsid w:val="00090E9D"/>
    <w:rsid w:val="00091C07"/>
    <w:rsid w:val="0009208E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4C77"/>
    <w:rsid w:val="000A541A"/>
    <w:rsid w:val="000B3158"/>
    <w:rsid w:val="000B4065"/>
    <w:rsid w:val="000B5A2E"/>
    <w:rsid w:val="000B72BE"/>
    <w:rsid w:val="000B7A99"/>
    <w:rsid w:val="000C0A2D"/>
    <w:rsid w:val="000C15C1"/>
    <w:rsid w:val="000C202A"/>
    <w:rsid w:val="000C35EB"/>
    <w:rsid w:val="000C4107"/>
    <w:rsid w:val="000C475E"/>
    <w:rsid w:val="000C47FC"/>
    <w:rsid w:val="000C536A"/>
    <w:rsid w:val="000C63EA"/>
    <w:rsid w:val="000C6AF1"/>
    <w:rsid w:val="000D03C0"/>
    <w:rsid w:val="000D173D"/>
    <w:rsid w:val="000D1D58"/>
    <w:rsid w:val="000D2D90"/>
    <w:rsid w:val="000D3D8E"/>
    <w:rsid w:val="000D5B06"/>
    <w:rsid w:val="000D5D6F"/>
    <w:rsid w:val="000D66FF"/>
    <w:rsid w:val="000D6988"/>
    <w:rsid w:val="000D6A59"/>
    <w:rsid w:val="000D706C"/>
    <w:rsid w:val="000E3696"/>
    <w:rsid w:val="000E546D"/>
    <w:rsid w:val="000E7BFE"/>
    <w:rsid w:val="000E7FE8"/>
    <w:rsid w:val="000F16D9"/>
    <w:rsid w:val="000F42E1"/>
    <w:rsid w:val="000F69E4"/>
    <w:rsid w:val="000F713C"/>
    <w:rsid w:val="0010086E"/>
    <w:rsid w:val="0010281A"/>
    <w:rsid w:val="00103931"/>
    <w:rsid w:val="00103CDA"/>
    <w:rsid w:val="00103E7D"/>
    <w:rsid w:val="00106BCB"/>
    <w:rsid w:val="00107C25"/>
    <w:rsid w:val="001101FA"/>
    <w:rsid w:val="0011071D"/>
    <w:rsid w:val="00110F92"/>
    <w:rsid w:val="00111130"/>
    <w:rsid w:val="001140B4"/>
    <w:rsid w:val="00114D3C"/>
    <w:rsid w:val="0011744A"/>
    <w:rsid w:val="00117878"/>
    <w:rsid w:val="00121A17"/>
    <w:rsid w:val="001252E7"/>
    <w:rsid w:val="00125595"/>
    <w:rsid w:val="0012632C"/>
    <w:rsid w:val="001264A8"/>
    <w:rsid w:val="001266AC"/>
    <w:rsid w:val="001277BF"/>
    <w:rsid w:val="00127D7B"/>
    <w:rsid w:val="001307EE"/>
    <w:rsid w:val="001315DE"/>
    <w:rsid w:val="0013167F"/>
    <w:rsid w:val="00133462"/>
    <w:rsid w:val="00135340"/>
    <w:rsid w:val="00136A1F"/>
    <w:rsid w:val="00136FE9"/>
    <w:rsid w:val="00141F09"/>
    <w:rsid w:val="00142150"/>
    <w:rsid w:val="0014327E"/>
    <w:rsid w:val="00143881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2C01"/>
    <w:rsid w:val="0015393D"/>
    <w:rsid w:val="0015663D"/>
    <w:rsid w:val="00156F0F"/>
    <w:rsid w:val="00157940"/>
    <w:rsid w:val="0016270A"/>
    <w:rsid w:val="0016282D"/>
    <w:rsid w:val="0016422F"/>
    <w:rsid w:val="00164424"/>
    <w:rsid w:val="00166110"/>
    <w:rsid w:val="0017147B"/>
    <w:rsid w:val="0017228A"/>
    <w:rsid w:val="00172496"/>
    <w:rsid w:val="0017283A"/>
    <w:rsid w:val="001730FD"/>
    <w:rsid w:val="0018013C"/>
    <w:rsid w:val="00180AB3"/>
    <w:rsid w:val="00180E0E"/>
    <w:rsid w:val="00180E8B"/>
    <w:rsid w:val="00183CA6"/>
    <w:rsid w:val="001851CB"/>
    <w:rsid w:val="0018683B"/>
    <w:rsid w:val="00186A6C"/>
    <w:rsid w:val="00186A88"/>
    <w:rsid w:val="00187CAB"/>
    <w:rsid w:val="00191232"/>
    <w:rsid w:val="00191715"/>
    <w:rsid w:val="00192316"/>
    <w:rsid w:val="00193577"/>
    <w:rsid w:val="00193965"/>
    <w:rsid w:val="00194023"/>
    <w:rsid w:val="0019427C"/>
    <w:rsid w:val="001964FB"/>
    <w:rsid w:val="0019773A"/>
    <w:rsid w:val="001A023D"/>
    <w:rsid w:val="001A0C43"/>
    <w:rsid w:val="001A0F91"/>
    <w:rsid w:val="001A26BF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264"/>
    <w:rsid w:val="001B6B85"/>
    <w:rsid w:val="001B700C"/>
    <w:rsid w:val="001C06FE"/>
    <w:rsid w:val="001C1213"/>
    <w:rsid w:val="001C38F2"/>
    <w:rsid w:val="001C437C"/>
    <w:rsid w:val="001C50C9"/>
    <w:rsid w:val="001C52DA"/>
    <w:rsid w:val="001D0217"/>
    <w:rsid w:val="001D0652"/>
    <w:rsid w:val="001D2018"/>
    <w:rsid w:val="001D37D1"/>
    <w:rsid w:val="001D6228"/>
    <w:rsid w:val="001D6CDE"/>
    <w:rsid w:val="001D7361"/>
    <w:rsid w:val="001E0B23"/>
    <w:rsid w:val="001E1128"/>
    <w:rsid w:val="001E1CFB"/>
    <w:rsid w:val="001E2660"/>
    <w:rsid w:val="001E4F8F"/>
    <w:rsid w:val="001E5AB2"/>
    <w:rsid w:val="001E600D"/>
    <w:rsid w:val="001E6584"/>
    <w:rsid w:val="001E7EAE"/>
    <w:rsid w:val="001F00B9"/>
    <w:rsid w:val="001F117F"/>
    <w:rsid w:val="001F1D4C"/>
    <w:rsid w:val="001F57EE"/>
    <w:rsid w:val="001F5BA3"/>
    <w:rsid w:val="001F6052"/>
    <w:rsid w:val="001F6B1A"/>
    <w:rsid w:val="0020752C"/>
    <w:rsid w:val="00207791"/>
    <w:rsid w:val="002103FC"/>
    <w:rsid w:val="00210F2E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334"/>
    <w:rsid w:val="00222C09"/>
    <w:rsid w:val="00222CBE"/>
    <w:rsid w:val="002244F4"/>
    <w:rsid w:val="00224988"/>
    <w:rsid w:val="00224BA7"/>
    <w:rsid w:val="00226F28"/>
    <w:rsid w:val="0022747F"/>
    <w:rsid w:val="00232B27"/>
    <w:rsid w:val="00234F66"/>
    <w:rsid w:val="00235C1A"/>
    <w:rsid w:val="00236DC9"/>
    <w:rsid w:val="00242B96"/>
    <w:rsid w:val="002435A2"/>
    <w:rsid w:val="00243F72"/>
    <w:rsid w:val="0024477A"/>
    <w:rsid w:val="00245B04"/>
    <w:rsid w:val="00250CEB"/>
    <w:rsid w:val="002519F5"/>
    <w:rsid w:val="00252D92"/>
    <w:rsid w:val="00254851"/>
    <w:rsid w:val="00255417"/>
    <w:rsid w:val="00255A20"/>
    <w:rsid w:val="00256D6E"/>
    <w:rsid w:val="002609C2"/>
    <w:rsid w:val="00260E2A"/>
    <w:rsid w:val="00263CD9"/>
    <w:rsid w:val="00265803"/>
    <w:rsid w:val="00265D7E"/>
    <w:rsid w:val="00267058"/>
    <w:rsid w:val="00267BFB"/>
    <w:rsid w:val="002723F9"/>
    <w:rsid w:val="00273D08"/>
    <w:rsid w:val="002779A2"/>
    <w:rsid w:val="0028107C"/>
    <w:rsid w:val="00281B94"/>
    <w:rsid w:val="002844B7"/>
    <w:rsid w:val="0028622A"/>
    <w:rsid w:val="002939EE"/>
    <w:rsid w:val="002957B4"/>
    <w:rsid w:val="002A564A"/>
    <w:rsid w:val="002A639E"/>
    <w:rsid w:val="002A6C3F"/>
    <w:rsid w:val="002B0C7D"/>
    <w:rsid w:val="002B1E65"/>
    <w:rsid w:val="002B20F4"/>
    <w:rsid w:val="002B4429"/>
    <w:rsid w:val="002B4BA8"/>
    <w:rsid w:val="002B4C9A"/>
    <w:rsid w:val="002B6A73"/>
    <w:rsid w:val="002B7487"/>
    <w:rsid w:val="002B77C7"/>
    <w:rsid w:val="002B78C2"/>
    <w:rsid w:val="002C1034"/>
    <w:rsid w:val="002C14AA"/>
    <w:rsid w:val="002C2452"/>
    <w:rsid w:val="002C2B79"/>
    <w:rsid w:val="002C2E15"/>
    <w:rsid w:val="002C4617"/>
    <w:rsid w:val="002C6E24"/>
    <w:rsid w:val="002C73BE"/>
    <w:rsid w:val="002D6543"/>
    <w:rsid w:val="002D73CE"/>
    <w:rsid w:val="002E2FB4"/>
    <w:rsid w:val="002E4120"/>
    <w:rsid w:val="002E413C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53CD"/>
    <w:rsid w:val="00305763"/>
    <w:rsid w:val="00306AC1"/>
    <w:rsid w:val="00306E28"/>
    <w:rsid w:val="00307099"/>
    <w:rsid w:val="0030734B"/>
    <w:rsid w:val="003101D9"/>
    <w:rsid w:val="00310445"/>
    <w:rsid w:val="0031083B"/>
    <w:rsid w:val="00310A78"/>
    <w:rsid w:val="00320EA9"/>
    <w:rsid w:val="00322505"/>
    <w:rsid w:val="00322F10"/>
    <w:rsid w:val="00323A69"/>
    <w:rsid w:val="00327908"/>
    <w:rsid w:val="00330297"/>
    <w:rsid w:val="003322D3"/>
    <w:rsid w:val="00333425"/>
    <w:rsid w:val="00333497"/>
    <w:rsid w:val="00334DD2"/>
    <w:rsid w:val="0033778E"/>
    <w:rsid w:val="00337C8A"/>
    <w:rsid w:val="0034133E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5C2C"/>
    <w:rsid w:val="00360390"/>
    <w:rsid w:val="00360F9D"/>
    <w:rsid w:val="00361173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733"/>
    <w:rsid w:val="003A5563"/>
    <w:rsid w:val="003A5B45"/>
    <w:rsid w:val="003A5CEA"/>
    <w:rsid w:val="003A73CB"/>
    <w:rsid w:val="003B0536"/>
    <w:rsid w:val="003B0D0C"/>
    <w:rsid w:val="003B124B"/>
    <w:rsid w:val="003B2F5E"/>
    <w:rsid w:val="003B398F"/>
    <w:rsid w:val="003B506D"/>
    <w:rsid w:val="003C1BD6"/>
    <w:rsid w:val="003C32DB"/>
    <w:rsid w:val="003C35F7"/>
    <w:rsid w:val="003C3B6E"/>
    <w:rsid w:val="003C63FC"/>
    <w:rsid w:val="003D4EA5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3EE"/>
    <w:rsid w:val="003F53F8"/>
    <w:rsid w:val="003F5563"/>
    <w:rsid w:val="003F62A6"/>
    <w:rsid w:val="003F72D5"/>
    <w:rsid w:val="004005CC"/>
    <w:rsid w:val="00400B91"/>
    <w:rsid w:val="00400EBD"/>
    <w:rsid w:val="0040160A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C7"/>
    <w:rsid w:val="00424AC1"/>
    <w:rsid w:val="00426A07"/>
    <w:rsid w:val="00430CB3"/>
    <w:rsid w:val="00435316"/>
    <w:rsid w:val="004364B9"/>
    <w:rsid w:val="004365D7"/>
    <w:rsid w:val="0043693A"/>
    <w:rsid w:val="0043698F"/>
    <w:rsid w:val="004375EA"/>
    <w:rsid w:val="00441F15"/>
    <w:rsid w:val="004469A4"/>
    <w:rsid w:val="0044798E"/>
    <w:rsid w:val="004502DB"/>
    <w:rsid w:val="00450CF9"/>
    <w:rsid w:val="00452684"/>
    <w:rsid w:val="00453F55"/>
    <w:rsid w:val="00455349"/>
    <w:rsid w:val="00460A97"/>
    <w:rsid w:val="00461567"/>
    <w:rsid w:val="004637FE"/>
    <w:rsid w:val="00463939"/>
    <w:rsid w:val="00464B26"/>
    <w:rsid w:val="00465098"/>
    <w:rsid w:val="00465D40"/>
    <w:rsid w:val="00467137"/>
    <w:rsid w:val="00467509"/>
    <w:rsid w:val="004678BC"/>
    <w:rsid w:val="00467DA2"/>
    <w:rsid w:val="00470889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2C05"/>
    <w:rsid w:val="00483D21"/>
    <w:rsid w:val="00484727"/>
    <w:rsid w:val="00485CE0"/>
    <w:rsid w:val="00486802"/>
    <w:rsid w:val="00486FE9"/>
    <w:rsid w:val="00490843"/>
    <w:rsid w:val="0049128F"/>
    <w:rsid w:val="004971B0"/>
    <w:rsid w:val="004A012F"/>
    <w:rsid w:val="004A04C4"/>
    <w:rsid w:val="004A172E"/>
    <w:rsid w:val="004A1978"/>
    <w:rsid w:val="004A1A46"/>
    <w:rsid w:val="004A2A65"/>
    <w:rsid w:val="004A2C81"/>
    <w:rsid w:val="004A4CDF"/>
    <w:rsid w:val="004A625B"/>
    <w:rsid w:val="004A7757"/>
    <w:rsid w:val="004A7ECB"/>
    <w:rsid w:val="004B0A8D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51E4"/>
    <w:rsid w:val="004D0872"/>
    <w:rsid w:val="004D4587"/>
    <w:rsid w:val="004D5544"/>
    <w:rsid w:val="004D6798"/>
    <w:rsid w:val="004D72CA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7864"/>
    <w:rsid w:val="004E7BA6"/>
    <w:rsid w:val="004F1470"/>
    <w:rsid w:val="004F1E41"/>
    <w:rsid w:val="004F3674"/>
    <w:rsid w:val="004F7532"/>
    <w:rsid w:val="005015AD"/>
    <w:rsid w:val="005018A0"/>
    <w:rsid w:val="00503621"/>
    <w:rsid w:val="005045F0"/>
    <w:rsid w:val="00504CC1"/>
    <w:rsid w:val="005058C2"/>
    <w:rsid w:val="00505A08"/>
    <w:rsid w:val="00506293"/>
    <w:rsid w:val="00506535"/>
    <w:rsid w:val="00513C33"/>
    <w:rsid w:val="005159B4"/>
    <w:rsid w:val="00515C26"/>
    <w:rsid w:val="0051699D"/>
    <w:rsid w:val="00517012"/>
    <w:rsid w:val="005177F5"/>
    <w:rsid w:val="00517ACD"/>
    <w:rsid w:val="00521379"/>
    <w:rsid w:val="005216EC"/>
    <w:rsid w:val="0053017D"/>
    <w:rsid w:val="00530542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473D5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725A"/>
    <w:rsid w:val="00557467"/>
    <w:rsid w:val="005615E9"/>
    <w:rsid w:val="00562C3C"/>
    <w:rsid w:val="0056318A"/>
    <w:rsid w:val="00563788"/>
    <w:rsid w:val="00565789"/>
    <w:rsid w:val="005668F2"/>
    <w:rsid w:val="00566AF4"/>
    <w:rsid w:val="00570D18"/>
    <w:rsid w:val="005712C5"/>
    <w:rsid w:val="005729D3"/>
    <w:rsid w:val="00572BEB"/>
    <w:rsid w:val="00574642"/>
    <w:rsid w:val="00576C4E"/>
    <w:rsid w:val="00580696"/>
    <w:rsid w:val="00580BBD"/>
    <w:rsid w:val="00581704"/>
    <w:rsid w:val="005822D5"/>
    <w:rsid w:val="00582484"/>
    <w:rsid w:val="005828F1"/>
    <w:rsid w:val="00582A0B"/>
    <w:rsid w:val="005862CA"/>
    <w:rsid w:val="00590319"/>
    <w:rsid w:val="00591854"/>
    <w:rsid w:val="00591AC0"/>
    <w:rsid w:val="00593126"/>
    <w:rsid w:val="0059345D"/>
    <w:rsid w:val="00593A5D"/>
    <w:rsid w:val="005948B8"/>
    <w:rsid w:val="00594F85"/>
    <w:rsid w:val="00595CFE"/>
    <w:rsid w:val="0059782B"/>
    <w:rsid w:val="005A047F"/>
    <w:rsid w:val="005A248E"/>
    <w:rsid w:val="005A2D6A"/>
    <w:rsid w:val="005A33BF"/>
    <w:rsid w:val="005A5A82"/>
    <w:rsid w:val="005A5D35"/>
    <w:rsid w:val="005A6F06"/>
    <w:rsid w:val="005A7E9C"/>
    <w:rsid w:val="005C0AD5"/>
    <w:rsid w:val="005C1290"/>
    <w:rsid w:val="005C1F65"/>
    <w:rsid w:val="005C287C"/>
    <w:rsid w:val="005C3D8C"/>
    <w:rsid w:val="005C4DF4"/>
    <w:rsid w:val="005C6EA8"/>
    <w:rsid w:val="005D0E34"/>
    <w:rsid w:val="005D332E"/>
    <w:rsid w:val="005D52C9"/>
    <w:rsid w:val="005D5B77"/>
    <w:rsid w:val="005D6C14"/>
    <w:rsid w:val="005D70EF"/>
    <w:rsid w:val="005E18FB"/>
    <w:rsid w:val="005E1F33"/>
    <w:rsid w:val="005E1F5D"/>
    <w:rsid w:val="005E7231"/>
    <w:rsid w:val="005F22E5"/>
    <w:rsid w:val="005F352D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99"/>
    <w:rsid w:val="0060525E"/>
    <w:rsid w:val="006068E4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64A8"/>
    <w:rsid w:val="00630426"/>
    <w:rsid w:val="00632BC6"/>
    <w:rsid w:val="006339FA"/>
    <w:rsid w:val="00634D02"/>
    <w:rsid w:val="006364B3"/>
    <w:rsid w:val="00640A91"/>
    <w:rsid w:val="00640B3C"/>
    <w:rsid w:val="00641EA1"/>
    <w:rsid w:val="00642043"/>
    <w:rsid w:val="00643FB5"/>
    <w:rsid w:val="0064420D"/>
    <w:rsid w:val="0064478C"/>
    <w:rsid w:val="006461CA"/>
    <w:rsid w:val="00646400"/>
    <w:rsid w:val="00647640"/>
    <w:rsid w:val="006525B7"/>
    <w:rsid w:val="0065442E"/>
    <w:rsid w:val="00654861"/>
    <w:rsid w:val="006569B3"/>
    <w:rsid w:val="00657305"/>
    <w:rsid w:val="00660DC4"/>
    <w:rsid w:val="00662D53"/>
    <w:rsid w:val="00664715"/>
    <w:rsid w:val="006668DB"/>
    <w:rsid w:val="006675B7"/>
    <w:rsid w:val="0066773D"/>
    <w:rsid w:val="00667F8E"/>
    <w:rsid w:val="00671955"/>
    <w:rsid w:val="0067208A"/>
    <w:rsid w:val="00674379"/>
    <w:rsid w:val="006770ED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90803"/>
    <w:rsid w:val="00690F1C"/>
    <w:rsid w:val="00693842"/>
    <w:rsid w:val="00693AE9"/>
    <w:rsid w:val="00694044"/>
    <w:rsid w:val="0069628F"/>
    <w:rsid w:val="0069638B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0679"/>
    <w:rsid w:val="006E1DBF"/>
    <w:rsid w:val="006E24C5"/>
    <w:rsid w:val="006E2712"/>
    <w:rsid w:val="006E485B"/>
    <w:rsid w:val="006E5819"/>
    <w:rsid w:val="006E5B00"/>
    <w:rsid w:val="006E6F1A"/>
    <w:rsid w:val="006E6F3A"/>
    <w:rsid w:val="006E732E"/>
    <w:rsid w:val="006E747C"/>
    <w:rsid w:val="006E7FE1"/>
    <w:rsid w:val="006F091F"/>
    <w:rsid w:val="006F207B"/>
    <w:rsid w:val="006F27AA"/>
    <w:rsid w:val="006F3402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2727"/>
    <w:rsid w:val="00712BE4"/>
    <w:rsid w:val="00715A17"/>
    <w:rsid w:val="00716358"/>
    <w:rsid w:val="0071798C"/>
    <w:rsid w:val="00721AB0"/>
    <w:rsid w:val="007231E9"/>
    <w:rsid w:val="00727069"/>
    <w:rsid w:val="00731CFF"/>
    <w:rsid w:val="007326D6"/>
    <w:rsid w:val="00732D1A"/>
    <w:rsid w:val="00732D8F"/>
    <w:rsid w:val="00735D6E"/>
    <w:rsid w:val="00735F20"/>
    <w:rsid w:val="007373E7"/>
    <w:rsid w:val="00737546"/>
    <w:rsid w:val="00740459"/>
    <w:rsid w:val="00744625"/>
    <w:rsid w:val="00745946"/>
    <w:rsid w:val="00746187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D30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3A8F"/>
    <w:rsid w:val="00785D58"/>
    <w:rsid w:val="007863B2"/>
    <w:rsid w:val="0079001A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5C25"/>
    <w:rsid w:val="007A6370"/>
    <w:rsid w:val="007A67D1"/>
    <w:rsid w:val="007B2655"/>
    <w:rsid w:val="007B4F28"/>
    <w:rsid w:val="007B539D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3CFC"/>
    <w:rsid w:val="007C4EDB"/>
    <w:rsid w:val="007C7CB1"/>
    <w:rsid w:val="007D2380"/>
    <w:rsid w:val="007D36CB"/>
    <w:rsid w:val="007D4426"/>
    <w:rsid w:val="007D6B19"/>
    <w:rsid w:val="007D77D7"/>
    <w:rsid w:val="007E2271"/>
    <w:rsid w:val="007E332E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12C97"/>
    <w:rsid w:val="00813B7D"/>
    <w:rsid w:val="008152FD"/>
    <w:rsid w:val="00815CB0"/>
    <w:rsid w:val="00816380"/>
    <w:rsid w:val="00816414"/>
    <w:rsid w:val="0081671C"/>
    <w:rsid w:val="00816A90"/>
    <w:rsid w:val="00816C69"/>
    <w:rsid w:val="0082053C"/>
    <w:rsid w:val="0082229F"/>
    <w:rsid w:val="00824A47"/>
    <w:rsid w:val="00824DED"/>
    <w:rsid w:val="008257F1"/>
    <w:rsid w:val="00826251"/>
    <w:rsid w:val="0082756D"/>
    <w:rsid w:val="00830940"/>
    <w:rsid w:val="0083286E"/>
    <w:rsid w:val="00834344"/>
    <w:rsid w:val="0083490E"/>
    <w:rsid w:val="00834999"/>
    <w:rsid w:val="00837206"/>
    <w:rsid w:val="00837936"/>
    <w:rsid w:val="00842175"/>
    <w:rsid w:val="00845F35"/>
    <w:rsid w:val="008524A9"/>
    <w:rsid w:val="008531A6"/>
    <w:rsid w:val="00854AF4"/>
    <w:rsid w:val="00860E77"/>
    <w:rsid w:val="00861386"/>
    <w:rsid w:val="008615B5"/>
    <w:rsid w:val="008621FE"/>
    <w:rsid w:val="008637BC"/>
    <w:rsid w:val="00864B5F"/>
    <w:rsid w:val="00865940"/>
    <w:rsid w:val="00866CAC"/>
    <w:rsid w:val="008767BB"/>
    <w:rsid w:val="008814B8"/>
    <w:rsid w:val="0088561B"/>
    <w:rsid w:val="00886D5F"/>
    <w:rsid w:val="00891348"/>
    <w:rsid w:val="008913B9"/>
    <w:rsid w:val="00892B05"/>
    <w:rsid w:val="00892C55"/>
    <w:rsid w:val="00893311"/>
    <w:rsid w:val="00893332"/>
    <w:rsid w:val="00893D09"/>
    <w:rsid w:val="00895581"/>
    <w:rsid w:val="00895D87"/>
    <w:rsid w:val="0089755D"/>
    <w:rsid w:val="008A029E"/>
    <w:rsid w:val="008A3A96"/>
    <w:rsid w:val="008A52D3"/>
    <w:rsid w:val="008A5DBD"/>
    <w:rsid w:val="008A74E0"/>
    <w:rsid w:val="008A7F96"/>
    <w:rsid w:val="008B0167"/>
    <w:rsid w:val="008B0288"/>
    <w:rsid w:val="008B0916"/>
    <w:rsid w:val="008B1BE0"/>
    <w:rsid w:val="008B2DA9"/>
    <w:rsid w:val="008B3093"/>
    <w:rsid w:val="008B3509"/>
    <w:rsid w:val="008B50BE"/>
    <w:rsid w:val="008B51EA"/>
    <w:rsid w:val="008B579F"/>
    <w:rsid w:val="008B629F"/>
    <w:rsid w:val="008B748A"/>
    <w:rsid w:val="008B7CE6"/>
    <w:rsid w:val="008C1A1D"/>
    <w:rsid w:val="008C6894"/>
    <w:rsid w:val="008C7351"/>
    <w:rsid w:val="008D0B55"/>
    <w:rsid w:val="008D2013"/>
    <w:rsid w:val="008D2029"/>
    <w:rsid w:val="008D2CA6"/>
    <w:rsid w:val="008D2E7C"/>
    <w:rsid w:val="008D3570"/>
    <w:rsid w:val="008D63B7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B5C"/>
    <w:rsid w:val="008F4131"/>
    <w:rsid w:val="008F4C37"/>
    <w:rsid w:val="008F52AA"/>
    <w:rsid w:val="008F6110"/>
    <w:rsid w:val="008F63E3"/>
    <w:rsid w:val="008F6DF6"/>
    <w:rsid w:val="008F7A72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104A8"/>
    <w:rsid w:val="00911794"/>
    <w:rsid w:val="00912C7D"/>
    <w:rsid w:val="0091321D"/>
    <w:rsid w:val="0091382D"/>
    <w:rsid w:val="00916DE8"/>
    <w:rsid w:val="009179FB"/>
    <w:rsid w:val="0092090D"/>
    <w:rsid w:val="00921114"/>
    <w:rsid w:val="009252B7"/>
    <w:rsid w:val="0093043A"/>
    <w:rsid w:val="00930670"/>
    <w:rsid w:val="009308AF"/>
    <w:rsid w:val="0093364A"/>
    <w:rsid w:val="009336E5"/>
    <w:rsid w:val="009344B0"/>
    <w:rsid w:val="00934922"/>
    <w:rsid w:val="009365E7"/>
    <w:rsid w:val="0093784C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3E19"/>
    <w:rsid w:val="00957C96"/>
    <w:rsid w:val="0096241E"/>
    <w:rsid w:val="009658E6"/>
    <w:rsid w:val="00965A3E"/>
    <w:rsid w:val="0096753E"/>
    <w:rsid w:val="009679D7"/>
    <w:rsid w:val="00967B36"/>
    <w:rsid w:val="00967FDB"/>
    <w:rsid w:val="00976345"/>
    <w:rsid w:val="00977746"/>
    <w:rsid w:val="00982D32"/>
    <w:rsid w:val="009838BF"/>
    <w:rsid w:val="009859B5"/>
    <w:rsid w:val="00985D2C"/>
    <w:rsid w:val="00985E1C"/>
    <w:rsid w:val="00993E17"/>
    <w:rsid w:val="00994FBD"/>
    <w:rsid w:val="00995268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55A7"/>
    <w:rsid w:val="009A681F"/>
    <w:rsid w:val="009A6874"/>
    <w:rsid w:val="009A75C5"/>
    <w:rsid w:val="009B028E"/>
    <w:rsid w:val="009B0636"/>
    <w:rsid w:val="009B1591"/>
    <w:rsid w:val="009B1FAB"/>
    <w:rsid w:val="009B5F91"/>
    <w:rsid w:val="009C0FD6"/>
    <w:rsid w:val="009C17A8"/>
    <w:rsid w:val="009C3E4D"/>
    <w:rsid w:val="009C5C3E"/>
    <w:rsid w:val="009C6E08"/>
    <w:rsid w:val="009C7765"/>
    <w:rsid w:val="009C7ECA"/>
    <w:rsid w:val="009D2455"/>
    <w:rsid w:val="009D4CC7"/>
    <w:rsid w:val="009D5DBE"/>
    <w:rsid w:val="009D7746"/>
    <w:rsid w:val="009E2A2C"/>
    <w:rsid w:val="009E74DD"/>
    <w:rsid w:val="009F146D"/>
    <w:rsid w:val="009F56D5"/>
    <w:rsid w:val="009F6006"/>
    <w:rsid w:val="009F611F"/>
    <w:rsid w:val="009F6335"/>
    <w:rsid w:val="009F76EF"/>
    <w:rsid w:val="009F7919"/>
    <w:rsid w:val="00A018A6"/>
    <w:rsid w:val="00A01A5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AE2"/>
    <w:rsid w:val="00A17EDE"/>
    <w:rsid w:val="00A209ED"/>
    <w:rsid w:val="00A20FED"/>
    <w:rsid w:val="00A2238E"/>
    <w:rsid w:val="00A23D34"/>
    <w:rsid w:val="00A23E08"/>
    <w:rsid w:val="00A25E38"/>
    <w:rsid w:val="00A31907"/>
    <w:rsid w:val="00A327DE"/>
    <w:rsid w:val="00A35C71"/>
    <w:rsid w:val="00A35FB1"/>
    <w:rsid w:val="00A37A46"/>
    <w:rsid w:val="00A37AAF"/>
    <w:rsid w:val="00A37AE6"/>
    <w:rsid w:val="00A42329"/>
    <w:rsid w:val="00A44878"/>
    <w:rsid w:val="00A475F1"/>
    <w:rsid w:val="00A47611"/>
    <w:rsid w:val="00A47994"/>
    <w:rsid w:val="00A50B02"/>
    <w:rsid w:val="00A50F75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1129"/>
    <w:rsid w:val="00A6135F"/>
    <w:rsid w:val="00A62471"/>
    <w:rsid w:val="00A65112"/>
    <w:rsid w:val="00A65288"/>
    <w:rsid w:val="00A65352"/>
    <w:rsid w:val="00A70F47"/>
    <w:rsid w:val="00A73E7F"/>
    <w:rsid w:val="00A75218"/>
    <w:rsid w:val="00A75348"/>
    <w:rsid w:val="00A75D8D"/>
    <w:rsid w:val="00A804F8"/>
    <w:rsid w:val="00A812F0"/>
    <w:rsid w:val="00A818FD"/>
    <w:rsid w:val="00A8292B"/>
    <w:rsid w:val="00A8335A"/>
    <w:rsid w:val="00A83B86"/>
    <w:rsid w:val="00A85203"/>
    <w:rsid w:val="00A85B82"/>
    <w:rsid w:val="00A86B0F"/>
    <w:rsid w:val="00A87B6A"/>
    <w:rsid w:val="00A91003"/>
    <w:rsid w:val="00A91C4F"/>
    <w:rsid w:val="00A91D9A"/>
    <w:rsid w:val="00A92394"/>
    <w:rsid w:val="00A93B7F"/>
    <w:rsid w:val="00A93F0F"/>
    <w:rsid w:val="00A9533B"/>
    <w:rsid w:val="00A957C2"/>
    <w:rsid w:val="00A959DF"/>
    <w:rsid w:val="00A9631B"/>
    <w:rsid w:val="00A9665F"/>
    <w:rsid w:val="00A96E59"/>
    <w:rsid w:val="00AA1DDD"/>
    <w:rsid w:val="00AA38D7"/>
    <w:rsid w:val="00AA4518"/>
    <w:rsid w:val="00AA484E"/>
    <w:rsid w:val="00AA5EB2"/>
    <w:rsid w:val="00AA6C3A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B7A5C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826"/>
    <w:rsid w:val="00AD5F98"/>
    <w:rsid w:val="00AD660A"/>
    <w:rsid w:val="00AD7E50"/>
    <w:rsid w:val="00AE0A64"/>
    <w:rsid w:val="00AE41CD"/>
    <w:rsid w:val="00AE5BC9"/>
    <w:rsid w:val="00AE6395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104E9"/>
    <w:rsid w:val="00B10D1B"/>
    <w:rsid w:val="00B10DDE"/>
    <w:rsid w:val="00B11FA8"/>
    <w:rsid w:val="00B1289F"/>
    <w:rsid w:val="00B14151"/>
    <w:rsid w:val="00B14618"/>
    <w:rsid w:val="00B20391"/>
    <w:rsid w:val="00B209BE"/>
    <w:rsid w:val="00B21492"/>
    <w:rsid w:val="00B23E8B"/>
    <w:rsid w:val="00B24D36"/>
    <w:rsid w:val="00B30CC3"/>
    <w:rsid w:val="00B30EDB"/>
    <w:rsid w:val="00B30FAB"/>
    <w:rsid w:val="00B31ED6"/>
    <w:rsid w:val="00B33030"/>
    <w:rsid w:val="00B34C2B"/>
    <w:rsid w:val="00B367B8"/>
    <w:rsid w:val="00B409E6"/>
    <w:rsid w:val="00B413F4"/>
    <w:rsid w:val="00B417A9"/>
    <w:rsid w:val="00B431B3"/>
    <w:rsid w:val="00B438A1"/>
    <w:rsid w:val="00B446CA"/>
    <w:rsid w:val="00B45B86"/>
    <w:rsid w:val="00B4612E"/>
    <w:rsid w:val="00B46498"/>
    <w:rsid w:val="00B474B0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BDC"/>
    <w:rsid w:val="00B62946"/>
    <w:rsid w:val="00B629C9"/>
    <w:rsid w:val="00B63B61"/>
    <w:rsid w:val="00B653BB"/>
    <w:rsid w:val="00B65455"/>
    <w:rsid w:val="00B66CA9"/>
    <w:rsid w:val="00B66EBD"/>
    <w:rsid w:val="00B704EF"/>
    <w:rsid w:val="00B71690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90985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B1397"/>
    <w:rsid w:val="00BB1D2B"/>
    <w:rsid w:val="00BB303F"/>
    <w:rsid w:val="00BB329E"/>
    <w:rsid w:val="00BB45DF"/>
    <w:rsid w:val="00BB6CAE"/>
    <w:rsid w:val="00BB73A1"/>
    <w:rsid w:val="00BC040F"/>
    <w:rsid w:val="00BC159F"/>
    <w:rsid w:val="00BC1A3A"/>
    <w:rsid w:val="00BC211D"/>
    <w:rsid w:val="00BC3B78"/>
    <w:rsid w:val="00BC650C"/>
    <w:rsid w:val="00BC7384"/>
    <w:rsid w:val="00BD1582"/>
    <w:rsid w:val="00BD2B83"/>
    <w:rsid w:val="00BD3493"/>
    <w:rsid w:val="00BD4841"/>
    <w:rsid w:val="00BD6395"/>
    <w:rsid w:val="00BD63E0"/>
    <w:rsid w:val="00BE34EF"/>
    <w:rsid w:val="00BE3DE4"/>
    <w:rsid w:val="00BE622F"/>
    <w:rsid w:val="00BE653E"/>
    <w:rsid w:val="00BE6EF5"/>
    <w:rsid w:val="00BF1A55"/>
    <w:rsid w:val="00BF2BA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5BA"/>
    <w:rsid w:val="00C06A76"/>
    <w:rsid w:val="00C072E9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6CE3"/>
    <w:rsid w:val="00C27A0E"/>
    <w:rsid w:val="00C304AC"/>
    <w:rsid w:val="00C30527"/>
    <w:rsid w:val="00C305E0"/>
    <w:rsid w:val="00C31248"/>
    <w:rsid w:val="00C32BA9"/>
    <w:rsid w:val="00C33059"/>
    <w:rsid w:val="00C33207"/>
    <w:rsid w:val="00C344DA"/>
    <w:rsid w:val="00C3465F"/>
    <w:rsid w:val="00C363C3"/>
    <w:rsid w:val="00C3673D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57A78"/>
    <w:rsid w:val="00C6255E"/>
    <w:rsid w:val="00C632CB"/>
    <w:rsid w:val="00C63792"/>
    <w:rsid w:val="00C65E76"/>
    <w:rsid w:val="00C67E48"/>
    <w:rsid w:val="00C67E64"/>
    <w:rsid w:val="00C70A8A"/>
    <w:rsid w:val="00C7177A"/>
    <w:rsid w:val="00C71A8A"/>
    <w:rsid w:val="00C7296D"/>
    <w:rsid w:val="00C75083"/>
    <w:rsid w:val="00C75596"/>
    <w:rsid w:val="00C76C1D"/>
    <w:rsid w:val="00C805BE"/>
    <w:rsid w:val="00C82225"/>
    <w:rsid w:val="00C82FA7"/>
    <w:rsid w:val="00C86647"/>
    <w:rsid w:val="00C8690D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27B"/>
    <w:rsid w:val="00CB5B38"/>
    <w:rsid w:val="00CB7701"/>
    <w:rsid w:val="00CB7992"/>
    <w:rsid w:val="00CC052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472C"/>
    <w:rsid w:val="00CD5534"/>
    <w:rsid w:val="00CD58B4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7A32"/>
    <w:rsid w:val="00CF0B66"/>
    <w:rsid w:val="00CF3D07"/>
    <w:rsid w:val="00CF41A5"/>
    <w:rsid w:val="00CF4347"/>
    <w:rsid w:val="00D00287"/>
    <w:rsid w:val="00D01B1C"/>
    <w:rsid w:val="00D033DC"/>
    <w:rsid w:val="00D03D5A"/>
    <w:rsid w:val="00D03FB0"/>
    <w:rsid w:val="00D03FD3"/>
    <w:rsid w:val="00D0553F"/>
    <w:rsid w:val="00D06B9E"/>
    <w:rsid w:val="00D06D7B"/>
    <w:rsid w:val="00D1039A"/>
    <w:rsid w:val="00D11D2F"/>
    <w:rsid w:val="00D1220F"/>
    <w:rsid w:val="00D1260A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748C"/>
    <w:rsid w:val="00D2761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3067"/>
    <w:rsid w:val="00D440A2"/>
    <w:rsid w:val="00D447B7"/>
    <w:rsid w:val="00D47F9A"/>
    <w:rsid w:val="00D51BB9"/>
    <w:rsid w:val="00D5297D"/>
    <w:rsid w:val="00D53481"/>
    <w:rsid w:val="00D539E1"/>
    <w:rsid w:val="00D55E44"/>
    <w:rsid w:val="00D571AB"/>
    <w:rsid w:val="00D60235"/>
    <w:rsid w:val="00D602E3"/>
    <w:rsid w:val="00D60E9A"/>
    <w:rsid w:val="00D634C5"/>
    <w:rsid w:val="00D63D8E"/>
    <w:rsid w:val="00D64279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7010"/>
    <w:rsid w:val="00D81DF7"/>
    <w:rsid w:val="00D822D4"/>
    <w:rsid w:val="00D82421"/>
    <w:rsid w:val="00D8417E"/>
    <w:rsid w:val="00D85656"/>
    <w:rsid w:val="00D865AE"/>
    <w:rsid w:val="00D937B3"/>
    <w:rsid w:val="00D952C7"/>
    <w:rsid w:val="00DA13D4"/>
    <w:rsid w:val="00DA62F1"/>
    <w:rsid w:val="00DA6D12"/>
    <w:rsid w:val="00DA77DB"/>
    <w:rsid w:val="00DB0995"/>
    <w:rsid w:val="00DB2D0D"/>
    <w:rsid w:val="00DB4C89"/>
    <w:rsid w:val="00DB7922"/>
    <w:rsid w:val="00DC21DB"/>
    <w:rsid w:val="00DC488E"/>
    <w:rsid w:val="00DC4DE8"/>
    <w:rsid w:val="00DC50E9"/>
    <w:rsid w:val="00DC7131"/>
    <w:rsid w:val="00DD3D95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4597"/>
    <w:rsid w:val="00DE54B4"/>
    <w:rsid w:val="00DE5FF5"/>
    <w:rsid w:val="00DE6A06"/>
    <w:rsid w:val="00DF0763"/>
    <w:rsid w:val="00DF2271"/>
    <w:rsid w:val="00DF4173"/>
    <w:rsid w:val="00DF519B"/>
    <w:rsid w:val="00DF5CE7"/>
    <w:rsid w:val="00DF6B76"/>
    <w:rsid w:val="00DF7947"/>
    <w:rsid w:val="00E001CC"/>
    <w:rsid w:val="00E01482"/>
    <w:rsid w:val="00E01E46"/>
    <w:rsid w:val="00E02241"/>
    <w:rsid w:val="00E02AC8"/>
    <w:rsid w:val="00E036CC"/>
    <w:rsid w:val="00E03782"/>
    <w:rsid w:val="00E04E29"/>
    <w:rsid w:val="00E07337"/>
    <w:rsid w:val="00E10B90"/>
    <w:rsid w:val="00E1117B"/>
    <w:rsid w:val="00E11F6D"/>
    <w:rsid w:val="00E12C47"/>
    <w:rsid w:val="00E135C6"/>
    <w:rsid w:val="00E13A26"/>
    <w:rsid w:val="00E14254"/>
    <w:rsid w:val="00E146C1"/>
    <w:rsid w:val="00E15D7D"/>
    <w:rsid w:val="00E160BA"/>
    <w:rsid w:val="00E16E02"/>
    <w:rsid w:val="00E22CF4"/>
    <w:rsid w:val="00E239C0"/>
    <w:rsid w:val="00E24FFF"/>
    <w:rsid w:val="00E25FCE"/>
    <w:rsid w:val="00E31EA4"/>
    <w:rsid w:val="00E3450F"/>
    <w:rsid w:val="00E35609"/>
    <w:rsid w:val="00E36C5C"/>
    <w:rsid w:val="00E37369"/>
    <w:rsid w:val="00E37ECD"/>
    <w:rsid w:val="00E40483"/>
    <w:rsid w:val="00E406AC"/>
    <w:rsid w:val="00E41EF8"/>
    <w:rsid w:val="00E41FEC"/>
    <w:rsid w:val="00E44D31"/>
    <w:rsid w:val="00E459DA"/>
    <w:rsid w:val="00E45A65"/>
    <w:rsid w:val="00E46CE3"/>
    <w:rsid w:val="00E47227"/>
    <w:rsid w:val="00E47C31"/>
    <w:rsid w:val="00E528E5"/>
    <w:rsid w:val="00E542DF"/>
    <w:rsid w:val="00E54FC2"/>
    <w:rsid w:val="00E55EE8"/>
    <w:rsid w:val="00E56B49"/>
    <w:rsid w:val="00E621EF"/>
    <w:rsid w:val="00E62CEA"/>
    <w:rsid w:val="00E63C75"/>
    <w:rsid w:val="00E661EF"/>
    <w:rsid w:val="00E67310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E0F"/>
    <w:rsid w:val="00E845C2"/>
    <w:rsid w:val="00E87653"/>
    <w:rsid w:val="00E935CD"/>
    <w:rsid w:val="00E9501F"/>
    <w:rsid w:val="00E95B80"/>
    <w:rsid w:val="00EA06C9"/>
    <w:rsid w:val="00EA16FF"/>
    <w:rsid w:val="00EA3BCE"/>
    <w:rsid w:val="00EA3C98"/>
    <w:rsid w:val="00EA7383"/>
    <w:rsid w:val="00EA7AB1"/>
    <w:rsid w:val="00EB07FE"/>
    <w:rsid w:val="00EB3C2A"/>
    <w:rsid w:val="00EB43BF"/>
    <w:rsid w:val="00EB58D8"/>
    <w:rsid w:val="00EB5AC4"/>
    <w:rsid w:val="00EB6FF8"/>
    <w:rsid w:val="00EB796A"/>
    <w:rsid w:val="00EC128D"/>
    <w:rsid w:val="00EC377D"/>
    <w:rsid w:val="00EC3A62"/>
    <w:rsid w:val="00EC3DF6"/>
    <w:rsid w:val="00EC5B57"/>
    <w:rsid w:val="00EC7585"/>
    <w:rsid w:val="00ED0583"/>
    <w:rsid w:val="00ED198C"/>
    <w:rsid w:val="00ED1E56"/>
    <w:rsid w:val="00ED3126"/>
    <w:rsid w:val="00ED4EDC"/>
    <w:rsid w:val="00ED5521"/>
    <w:rsid w:val="00EE06EA"/>
    <w:rsid w:val="00EE1904"/>
    <w:rsid w:val="00EE2606"/>
    <w:rsid w:val="00EE6792"/>
    <w:rsid w:val="00EE7A4F"/>
    <w:rsid w:val="00EE7D35"/>
    <w:rsid w:val="00EF0867"/>
    <w:rsid w:val="00EF2498"/>
    <w:rsid w:val="00EF27F3"/>
    <w:rsid w:val="00EF438D"/>
    <w:rsid w:val="00EF4C3A"/>
    <w:rsid w:val="00EF4D71"/>
    <w:rsid w:val="00EF53AA"/>
    <w:rsid w:val="00EF54E2"/>
    <w:rsid w:val="00EF7C43"/>
    <w:rsid w:val="00F001C3"/>
    <w:rsid w:val="00F00254"/>
    <w:rsid w:val="00F003AB"/>
    <w:rsid w:val="00F0209A"/>
    <w:rsid w:val="00F03216"/>
    <w:rsid w:val="00F03D42"/>
    <w:rsid w:val="00F05A59"/>
    <w:rsid w:val="00F062E8"/>
    <w:rsid w:val="00F06870"/>
    <w:rsid w:val="00F06EBD"/>
    <w:rsid w:val="00F07410"/>
    <w:rsid w:val="00F10186"/>
    <w:rsid w:val="00F105D8"/>
    <w:rsid w:val="00F11A6A"/>
    <w:rsid w:val="00F13E5F"/>
    <w:rsid w:val="00F14BC3"/>
    <w:rsid w:val="00F15350"/>
    <w:rsid w:val="00F157D0"/>
    <w:rsid w:val="00F159C0"/>
    <w:rsid w:val="00F23DAD"/>
    <w:rsid w:val="00F24444"/>
    <w:rsid w:val="00F2483C"/>
    <w:rsid w:val="00F408E2"/>
    <w:rsid w:val="00F43D76"/>
    <w:rsid w:val="00F440C6"/>
    <w:rsid w:val="00F4535B"/>
    <w:rsid w:val="00F45A8A"/>
    <w:rsid w:val="00F45B42"/>
    <w:rsid w:val="00F467A1"/>
    <w:rsid w:val="00F468CE"/>
    <w:rsid w:val="00F52E5E"/>
    <w:rsid w:val="00F52EE5"/>
    <w:rsid w:val="00F54240"/>
    <w:rsid w:val="00F54E55"/>
    <w:rsid w:val="00F55423"/>
    <w:rsid w:val="00F56134"/>
    <w:rsid w:val="00F613FF"/>
    <w:rsid w:val="00F61D4E"/>
    <w:rsid w:val="00F628C2"/>
    <w:rsid w:val="00F6296B"/>
    <w:rsid w:val="00F62A59"/>
    <w:rsid w:val="00F662C6"/>
    <w:rsid w:val="00F70D5E"/>
    <w:rsid w:val="00F722F5"/>
    <w:rsid w:val="00F7477A"/>
    <w:rsid w:val="00F76560"/>
    <w:rsid w:val="00F8004A"/>
    <w:rsid w:val="00F81303"/>
    <w:rsid w:val="00F8261B"/>
    <w:rsid w:val="00F85BB9"/>
    <w:rsid w:val="00F8644A"/>
    <w:rsid w:val="00F91768"/>
    <w:rsid w:val="00F917F0"/>
    <w:rsid w:val="00F962E4"/>
    <w:rsid w:val="00FA05BF"/>
    <w:rsid w:val="00FA0CE9"/>
    <w:rsid w:val="00FA2B58"/>
    <w:rsid w:val="00FA416F"/>
    <w:rsid w:val="00FA7EBA"/>
    <w:rsid w:val="00FA7F20"/>
    <w:rsid w:val="00FB113E"/>
    <w:rsid w:val="00FB12C2"/>
    <w:rsid w:val="00FB19AA"/>
    <w:rsid w:val="00FB3250"/>
    <w:rsid w:val="00FB5826"/>
    <w:rsid w:val="00FB5C2E"/>
    <w:rsid w:val="00FB63E8"/>
    <w:rsid w:val="00FB6DDC"/>
    <w:rsid w:val="00FB7361"/>
    <w:rsid w:val="00FC1002"/>
    <w:rsid w:val="00FC1B40"/>
    <w:rsid w:val="00FC3515"/>
    <w:rsid w:val="00FC4640"/>
    <w:rsid w:val="00FC4EC6"/>
    <w:rsid w:val="00FD040F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16CB"/>
    <w:rsid w:val="00FE245B"/>
    <w:rsid w:val="00FE2B84"/>
    <w:rsid w:val="00FE3A09"/>
    <w:rsid w:val="00FE48DA"/>
    <w:rsid w:val="00FE52D8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656C02"/>
  <w15:chartTrackingRefBased/>
  <w15:docId w15:val="{9F932F48-53C3-46DB-93F0-B24A8AF2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4131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te"/>
    <w:basedOn w:val="Normal"/>
    <w:link w:val="FootnoteTextChar"/>
    <w:rsid w:val="00816C69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816C69"/>
    <w:rPr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pe@moew.government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E9002BC-7EDA-426B-BFD3-CA2334ED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1564</Words>
  <Characters>8916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10460</CharactersWithSpaces>
  <SharedDoc>false</SharedDoc>
  <HLinks>
    <vt:vector size="6" baseType="variant">
      <vt:variant>
        <vt:i4>5832748</vt:i4>
      </vt:variant>
      <vt:variant>
        <vt:i4>0</vt:i4>
      </vt:variant>
      <vt:variant>
        <vt:i4>0</vt:i4>
      </vt:variant>
      <vt:variant>
        <vt:i4>5</vt:i4>
      </vt:variant>
      <vt:variant>
        <vt:lpwstr>mailto:ope@moew.government.bg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Administrator</cp:lastModifiedBy>
  <cp:revision>2</cp:revision>
  <cp:lastPrinted>2019-03-13T15:21:00Z</cp:lastPrinted>
  <dcterms:created xsi:type="dcterms:W3CDTF">2023-10-27T12:55:00Z</dcterms:created>
  <dcterms:modified xsi:type="dcterms:W3CDTF">2023-10-27T12:55:00Z</dcterms:modified>
</cp:coreProperties>
</file>