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80F3" w14:textId="77777777" w:rsidR="00E86334" w:rsidRDefault="008F70BE" w:rsidP="008F70BE">
      <w:pPr>
        <w:jc w:val="right"/>
        <w:rPr>
          <w:lang w:val="bg-BG"/>
        </w:rPr>
      </w:pPr>
      <w:r w:rsidRPr="00A950ED">
        <w:rPr>
          <w:b/>
          <w:i/>
          <w:lang w:val="bg-BG" w:eastAsia="bg-BG"/>
        </w:rPr>
        <w:t>Об</w:t>
      </w:r>
      <w:r>
        <w:rPr>
          <w:b/>
          <w:i/>
          <w:lang w:val="bg-BG" w:eastAsia="bg-BG"/>
        </w:rPr>
        <w:t>разец 2</w:t>
      </w:r>
    </w:p>
    <w:p w14:paraId="05A2D97A" w14:textId="77777777" w:rsidR="008F70BE" w:rsidRPr="00E86334" w:rsidRDefault="008F70BE" w:rsidP="003D1472">
      <w:pPr>
        <w:rPr>
          <w:lang w:val="bg-BG"/>
        </w:rPr>
      </w:pPr>
    </w:p>
    <w:p w14:paraId="537DBFB6" w14:textId="77777777" w:rsidR="00142D11" w:rsidRPr="003D1472" w:rsidRDefault="00142D11" w:rsidP="006770D5">
      <w:pPr>
        <w:jc w:val="center"/>
        <w:rPr>
          <w:b/>
          <w:lang w:val="bg-BG"/>
        </w:rPr>
      </w:pPr>
      <w:r w:rsidRPr="003D1472">
        <w:rPr>
          <w:b/>
          <w:lang w:val="bg-BG"/>
        </w:rPr>
        <w:t>ДЕКЛАРАЦИЯ</w:t>
      </w:r>
    </w:p>
    <w:p w14:paraId="1A309145" w14:textId="427BFD07" w:rsidR="00142D11" w:rsidRPr="003D1472" w:rsidRDefault="00142D11" w:rsidP="006770D5">
      <w:pPr>
        <w:jc w:val="center"/>
        <w:rPr>
          <w:b/>
          <w:lang w:val="bg-BG"/>
        </w:rPr>
      </w:pPr>
      <w:r w:rsidRPr="003D1472">
        <w:rPr>
          <w:b/>
          <w:lang w:val="bg-BG"/>
        </w:rPr>
        <w:t>за липса на конфликт на интереси по смисъла на чл. 61</w:t>
      </w:r>
      <w:r w:rsidR="00386B11">
        <w:rPr>
          <w:b/>
          <w:lang w:val="bg-BG"/>
        </w:rPr>
        <w:t xml:space="preserve"> </w:t>
      </w:r>
      <w:r w:rsidRPr="003D1472">
        <w:rPr>
          <w:b/>
          <w:lang w:val="bg-BG"/>
        </w:rPr>
        <w:t>от Регламент</w:t>
      </w:r>
    </w:p>
    <w:p w14:paraId="5441C9F9" w14:textId="62510820" w:rsidR="00142D11" w:rsidRPr="003D1472" w:rsidRDefault="00142D11" w:rsidP="006770D5">
      <w:pPr>
        <w:jc w:val="center"/>
        <w:rPr>
          <w:b/>
          <w:lang w:val="en-US"/>
        </w:rPr>
      </w:pPr>
      <w:r w:rsidRPr="003D1472">
        <w:rPr>
          <w:b/>
          <w:lang w:val="bg-BG"/>
        </w:rPr>
        <w:t xml:space="preserve">(ЕС, Евратом) </w:t>
      </w:r>
      <w:r w:rsidR="00BB76DE">
        <w:rPr>
          <w:b/>
          <w:lang w:val="bg-BG"/>
        </w:rPr>
        <w:t>№</w:t>
      </w:r>
      <w:r w:rsidR="00AD0DB4">
        <w:rPr>
          <w:b/>
          <w:lang w:val="en-US"/>
        </w:rPr>
        <w:t xml:space="preserve"> </w:t>
      </w:r>
      <w:r w:rsidRPr="003D1472">
        <w:rPr>
          <w:b/>
          <w:lang w:val="en-US"/>
        </w:rPr>
        <w:t>2018</w:t>
      </w:r>
      <w:r w:rsidRPr="003D1472">
        <w:rPr>
          <w:b/>
          <w:lang w:val="bg-BG"/>
        </w:rPr>
        <w:t>/</w:t>
      </w:r>
      <w:r w:rsidRPr="003D1472">
        <w:rPr>
          <w:b/>
          <w:lang w:val="en-US"/>
        </w:rPr>
        <w:t>1046</w:t>
      </w:r>
    </w:p>
    <w:p w14:paraId="7AEE415A" w14:textId="77777777" w:rsidR="00142D11" w:rsidRDefault="00142D11" w:rsidP="006770D5">
      <w:pPr>
        <w:jc w:val="both"/>
        <w:rPr>
          <w:lang w:val="bg-BG"/>
        </w:rPr>
      </w:pPr>
    </w:p>
    <w:p w14:paraId="214E091E" w14:textId="77777777" w:rsidR="00E86334" w:rsidRPr="006770D5" w:rsidRDefault="00E86334" w:rsidP="006770D5">
      <w:pPr>
        <w:jc w:val="both"/>
        <w:rPr>
          <w:lang w:val="bg-BG"/>
        </w:rPr>
      </w:pPr>
    </w:p>
    <w:p w14:paraId="7D1260C6" w14:textId="0A52D7C9" w:rsidR="000308FA" w:rsidRDefault="00142D11" w:rsidP="006770D5">
      <w:pPr>
        <w:jc w:val="both"/>
        <w:rPr>
          <w:lang w:val="bg-BG"/>
        </w:rPr>
      </w:pPr>
      <w:r w:rsidRPr="006770D5">
        <w:rPr>
          <w:lang w:val="bg-BG"/>
        </w:rPr>
        <w:t>Аз, долуподписаният</w:t>
      </w:r>
      <w:r w:rsidR="00916C78">
        <w:rPr>
          <w:lang w:val="bg-BG"/>
        </w:rPr>
        <w:t>/-ата</w:t>
      </w:r>
      <w:r w:rsidR="003D1472">
        <w:rPr>
          <w:lang w:val="en-US"/>
        </w:rPr>
        <w:t xml:space="preserve"> </w:t>
      </w:r>
      <w:r w:rsidR="00916C78">
        <w:rPr>
          <w:lang w:val="bg-BG"/>
        </w:rPr>
        <w:t>………………………………………</w:t>
      </w:r>
      <w:r w:rsidR="000308FA">
        <w:rPr>
          <w:lang w:val="bg-BG"/>
        </w:rPr>
        <w:t>………….</w:t>
      </w:r>
      <w:r w:rsidR="004F271F">
        <w:rPr>
          <w:lang w:val="bg-BG"/>
        </w:rPr>
        <w:t xml:space="preserve">, </w:t>
      </w:r>
    </w:p>
    <w:p w14:paraId="58C9646C" w14:textId="77777777" w:rsidR="000308FA" w:rsidRPr="006770D5" w:rsidRDefault="000308FA" w:rsidP="000308FA">
      <w:pPr>
        <w:ind w:left="2832" w:firstLine="708"/>
        <w:rPr>
          <w:i/>
          <w:lang w:val="bg-BG"/>
        </w:rPr>
      </w:pPr>
      <w:r w:rsidRPr="006770D5">
        <w:rPr>
          <w:i/>
          <w:lang w:val="bg-BG"/>
        </w:rPr>
        <w:t>(</w:t>
      </w:r>
      <w:r w:rsidRPr="00D85032">
        <w:rPr>
          <w:i/>
          <w:lang w:val="bg-BG"/>
        </w:rPr>
        <w:t>имена по документ за самоличност</w:t>
      </w:r>
      <w:r w:rsidRPr="006770D5">
        <w:rPr>
          <w:i/>
          <w:lang w:val="bg-BG"/>
        </w:rPr>
        <w:t>)</w:t>
      </w:r>
    </w:p>
    <w:p w14:paraId="272D0360" w14:textId="77777777" w:rsidR="000308FA" w:rsidRDefault="000308FA" w:rsidP="006770D5">
      <w:pPr>
        <w:jc w:val="both"/>
        <w:rPr>
          <w:lang w:val="bg-BG"/>
        </w:rPr>
      </w:pPr>
    </w:p>
    <w:p w14:paraId="49C07B45" w14:textId="0244B569" w:rsidR="00142D11" w:rsidRPr="006770D5" w:rsidRDefault="004F271F" w:rsidP="006770D5">
      <w:pPr>
        <w:jc w:val="both"/>
        <w:rPr>
          <w:lang w:val="bg-BG"/>
        </w:rPr>
      </w:pPr>
      <w:r>
        <w:rPr>
          <w:lang w:val="bg-BG"/>
        </w:rPr>
        <w:t>дата на раждане……………………………………</w:t>
      </w:r>
      <w:r w:rsidR="000308FA">
        <w:rPr>
          <w:lang w:val="bg-BG"/>
        </w:rPr>
        <w:t>…………………………,</w:t>
      </w:r>
    </w:p>
    <w:p w14:paraId="33D2DB18" w14:textId="27F0BFC6" w:rsidR="004F268C" w:rsidRDefault="00142D11" w:rsidP="006770D5">
      <w:pPr>
        <w:jc w:val="both"/>
        <w:rPr>
          <w:lang w:val="bg-BG"/>
        </w:rPr>
      </w:pPr>
      <w:r w:rsidRPr="006770D5">
        <w:rPr>
          <w:lang w:val="bg-BG"/>
        </w:rPr>
        <w:t>в качеството си на лице, заемащо</w:t>
      </w:r>
      <w:r w:rsidR="003D1472">
        <w:rPr>
          <w:lang w:val="en-US"/>
        </w:rPr>
        <w:t xml:space="preserve"> </w:t>
      </w:r>
      <w:r w:rsidRPr="006770D5">
        <w:rPr>
          <w:lang w:val="bg-BG"/>
        </w:rPr>
        <w:t>………………………</w:t>
      </w:r>
      <w:r w:rsidR="004F271F">
        <w:rPr>
          <w:lang w:val="bg-BG"/>
        </w:rPr>
        <w:t>длъжност при възложителя и изпълняващо следната функция в процедурата по възлагане на обществената поръчка</w:t>
      </w:r>
      <w:r w:rsidRPr="006770D5">
        <w:rPr>
          <w:lang w:val="bg-BG"/>
        </w:rPr>
        <w:t>………………………</w:t>
      </w:r>
      <w:r w:rsidR="003D1472">
        <w:rPr>
          <w:lang w:val="en-US"/>
        </w:rPr>
        <w:t>……</w:t>
      </w:r>
      <w:r w:rsidR="003D1472">
        <w:rPr>
          <w:lang w:val="bg-BG"/>
        </w:rPr>
        <w:t>………</w:t>
      </w:r>
      <w:r w:rsidRPr="006770D5">
        <w:rPr>
          <w:lang w:val="bg-BG"/>
        </w:rPr>
        <w:t>……………………………………………………………………………………………….......</w:t>
      </w:r>
    </w:p>
    <w:p w14:paraId="3B2C0322" w14:textId="77777777" w:rsidR="00142D11" w:rsidRPr="006770D5" w:rsidRDefault="00142D11" w:rsidP="004F268C">
      <w:pPr>
        <w:jc w:val="center"/>
        <w:rPr>
          <w:i/>
          <w:lang w:val="bg-BG"/>
        </w:rPr>
      </w:pPr>
      <w:r w:rsidRPr="006770D5">
        <w:rPr>
          <w:i/>
          <w:lang w:val="bg-BG"/>
        </w:rPr>
        <w:t>(изписва се институцията, заеманата длъжност или позиция или назначаване, определяне/упълномощаване да изпълнява някоя от следните функции:</w:t>
      </w:r>
      <w:r w:rsidR="00FD287C">
        <w:rPr>
          <w:i/>
          <w:lang w:val="bg-BG"/>
        </w:rPr>
        <w:t xml:space="preserve"> </w:t>
      </w:r>
      <w:r w:rsidRPr="006770D5">
        <w:rPr>
          <w:i/>
          <w:lang w:val="bg-BG"/>
        </w:rPr>
        <w:t>членове на звената/екипите за управление на проекти, финансирани със ср</w:t>
      </w:r>
      <w:r w:rsidR="00FD287C">
        <w:rPr>
          <w:i/>
          <w:lang w:val="bg-BG"/>
        </w:rPr>
        <w:t>едства от ЕС; друго - посочва се</w:t>
      </w:r>
      <w:r w:rsidRPr="006770D5">
        <w:rPr>
          <w:i/>
          <w:lang w:val="bg-BG"/>
        </w:rPr>
        <w:t>)</w:t>
      </w:r>
    </w:p>
    <w:p w14:paraId="490008DB" w14:textId="0D5615AB" w:rsidR="004B67EF" w:rsidRPr="004B67EF" w:rsidRDefault="003A1295" w:rsidP="004B67EF">
      <w:pPr>
        <w:jc w:val="both"/>
        <w:rPr>
          <w:lang w:val="bg-BG"/>
        </w:rPr>
      </w:pPr>
      <w:r>
        <w:rPr>
          <w:lang w:val="en-US"/>
        </w:rPr>
        <w:t>в</w:t>
      </w:r>
      <w:r w:rsidR="004F268C">
        <w:rPr>
          <w:lang w:val="bg-BG"/>
        </w:rPr>
        <w:t>ъв</w:t>
      </w:r>
      <w:r w:rsidR="004B67EF">
        <w:rPr>
          <w:lang w:val="bg-BG"/>
        </w:rPr>
        <w:t xml:space="preserve"> връзка с </w:t>
      </w:r>
      <w:r w:rsidR="004F271F">
        <w:rPr>
          <w:lang w:val="bg-BG"/>
        </w:rPr>
        <w:t>обществена поръчка, с предмет:…………………….</w:t>
      </w:r>
      <w:r w:rsidR="004B67EF">
        <w:rPr>
          <w:lang w:val="bg-BG"/>
        </w:rPr>
        <w:t xml:space="preserve"> </w:t>
      </w:r>
      <w:r w:rsidR="004F271F">
        <w:rPr>
          <w:lang w:val="bg-BG"/>
        </w:rPr>
        <w:t>по</w:t>
      </w:r>
      <w:r w:rsidR="004B67EF">
        <w:rPr>
          <w:lang w:val="bg-BG"/>
        </w:rPr>
        <w:t xml:space="preserve"> проект №……………………. с наименование „………………….“, финансиран </w:t>
      </w:r>
      <w:proofErr w:type="spellStart"/>
      <w:r w:rsidR="004B67EF">
        <w:t>по</w:t>
      </w:r>
      <w:proofErr w:type="spellEnd"/>
      <w:r w:rsidR="004B67EF">
        <w:t xml:space="preserve"> </w:t>
      </w:r>
      <w:r w:rsidR="007E6639" w:rsidRPr="007E6639">
        <w:rPr>
          <w:lang w:val="bg-BG"/>
        </w:rPr>
        <w:t>Програма „Околна среда“ 2021-2027 г.</w:t>
      </w:r>
    </w:p>
    <w:p w14:paraId="21608FA7" w14:textId="22CC6FFF" w:rsidR="00142D11" w:rsidRPr="00A23ED0" w:rsidRDefault="004B67EF" w:rsidP="004B67EF">
      <w:pPr>
        <w:jc w:val="both"/>
        <w:rPr>
          <w:b/>
          <w:lang w:val="bg-BG"/>
        </w:rPr>
      </w:pPr>
      <w:r w:rsidRPr="00A23ED0">
        <w:rPr>
          <w:b/>
          <w:lang w:val="bg-BG"/>
        </w:rPr>
        <w:t>декларирам, че</w:t>
      </w:r>
      <w:r w:rsidR="008A1E81" w:rsidRPr="00A23ED0">
        <w:rPr>
          <w:b/>
          <w:lang w:val="bg-BG"/>
        </w:rPr>
        <w:t xml:space="preserve"> съм запознат</w:t>
      </w:r>
      <w:r w:rsidR="00142D11" w:rsidRPr="00A23ED0">
        <w:rPr>
          <w:b/>
          <w:lang w:val="bg-BG"/>
        </w:rPr>
        <w:t>/</w:t>
      </w:r>
      <w:r w:rsidR="00BB76DE" w:rsidRPr="00A23ED0">
        <w:rPr>
          <w:b/>
          <w:lang w:val="bg-BG"/>
        </w:rPr>
        <w:t>-</w:t>
      </w:r>
      <w:r w:rsidR="00142D11" w:rsidRPr="00A23ED0">
        <w:rPr>
          <w:b/>
          <w:lang w:val="bg-BG"/>
        </w:rPr>
        <w:t xml:space="preserve">а с чл. 61 от </w:t>
      </w:r>
      <w:r w:rsidR="007F71D4" w:rsidRPr="00A23ED0">
        <w:rPr>
          <w:b/>
          <w:lang w:val="bg-BG"/>
        </w:rPr>
        <w:t>Регламент (ЕС, Евратом) №</w:t>
      </w:r>
      <w:r w:rsidR="00AD0DB4">
        <w:rPr>
          <w:b/>
          <w:lang w:val="en-US"/>
        </w:rPr>
        <w:t xml:space="preserve"> </w:t>
      </w:r>
      <w:r w:rsidR="007F71D4" w:rsidRPr="00A23ED0">
        <w:rPr>
          <w:b/>
          <w:lang w:val="bg-BG"/>
        </w:rPr>
        <w:t>2018/ 1046 на Европейския парламент и на Съвета от 18 юли 2018 г. за финансовите правила, приложими за общия бюджет на Съюза, за изменение на регламенти (ЕС) №</w:t>
      </w:r>
      <w:r w:rsidR="00AD0DB4">
        <w:rPr>
          <w:b/>
          <w:lang w:val="en-US"/>
        </w:rPr>
        <w:t xml:space="preserve"> </w:t>
      </w:r>
      <w:r w:rsidR="007F71D4" w:rsidRPr="00A23ED0">
        <w:rPr>
          <w:b/>
          <w:lang w:val="bg-BG"/>
        </w:rPr>
        <w:t>1296/ 2013, (ЕС) №</w:t>
      </w:r>
      <w:r w:rsidR="00AD0DB4">
        <w:rPr>
          <w:b/>
          <w:lang w:val="en-US"/>
        </w:rPr>
        <w:t xml:space="preserve"> </w:t>
      </w:r>
      <w:r w:rsidR="007F71D4" w:rsidRPr="00A23ED0">
        <w:rPr>
          <w:b/>
          <w:lang w:val="bg-BG"/>
        </w:rPr>
        <w:t>1301/ 2013, (ЕС) №</w:t>
      </w:r>
      <w:r w:rsidR="00AD0DB4">
        <w:rPr>
          <w:b/>
          <w:lang w:val="en-US"/>
        </w:rPr>
        <w:t xml:space="preserve"> </w:t>
      </w:r>
      <w:r w:rsidR="007F71D4" w:rsidRPr="00A23ED0">
        <w:rPr>
          <w:b/>
          <w:lang w:val="bg-BG"/>
        </w:rPr>
        <w:t>1303/ 2013, (ЕС) №1304/ 2013, (ЕС) №</w:t>
      </w:r>
      <w:r w:rsidR="00AD0DB4">
        <w:rPr>
          <w:b/>
          <w:lang w:val="en-US"/>
        </w:rPr>
        <w:t xml:space="preserve"> </w:t>
      </w:r>
      <w:r w:rsidR="007F71D4" w:rsidRPr="00A23ED0">
        <w:rPr>
          <w:b/>
          <w:lang w:val="bg-BG"/>
        </w:rPr>
        <w:t>1309/ 2013, (ЕС) №</w:t>
      </w:r>
      <w:r w:rsidR="00AD0DB4">
        <w:rPr>
          <w:b/>
          <w:lang w:val="en-US"/>
        </w:rPr>
        <w:t xml:space="preserve"> </w:t>
      </w:r>
      <w:r w:rsidR="007F71D4" w:rsidRPr="00A23ED0">
        <w:rPr>
          <w:b/>
          <w:lang w:val="bg-BG"/>
        </w:rPr>
        <w:t>1316/ 2013, (ЕС) №</w:t>
      </w:r>
      <w:r w:rsidR="00AD0DB4">
        <w:rPr>
          <w:b/>
          <w:lang w:val="en-US"/>
        </w:rPr>
        <w:t xml:space="preserve"> </w:t>
      </w:r>
      <w:r w:rsidR="007F71D4" w:rsidRPr="00A23ED0">
        <w:rPr>
          <w:b/>
          <w:lang w:val="bg-BG"/>
        </w:rPr>
        <w:t>223/ 2014 и (ЕС) № 283/2014 и на Решение №</w:t>
      </w:r>
      <w:r w:rsidR="00AD0DB4">
        <w:rPr>
          <w:b/>
          <w:lang w:val="en-US"/>
        </w:rPr>
        <w:t xml:space="preserve"> </w:t>
      </w:r>
      <w:r w:rsidR="007F71D4" w:rsidRPr="00A23ED0">
        <w:rPr>
          <w:b/>
          <w:lang w:val="bg-BG"/>
        </w:rPr>
        <w:t>541/ 2014/ ЕС и за отмя</w:t>
      </w:r>
      <w:r w:rsidR="00302986" w:rsidRPr="00A23ED0">
        <w:rPr>
          <w:b/>
          <w:lang w:val="bg-BG"/>
        </w:rPr>
        <w:t>на на Регламент (ЕС, Евратом) №</w:t>
      </w:r>
      <w:r w:rsidR="00AD0DB4">
        <w:rPr>
          <w:b/>
          <w:lang w:val="en-US"/>
        </w:rPr>
        <w:t xml:space="preserve"> </w:t>
      </w:r>
      <w:r w:rsidR="007F71D4" w:rsidRPr="00A23ED0">
        <w:rPr>
          <w:b/>
          <w:lang w:val="bg-BG"/>
        </w:rPr>
        <w:t>966/ 2012</w:t>
      </w:r>
      <w:r w:rsidR="003D1472" w:rsidRPr="00A23ED0">
        <w:rPr>
          <w:b/>
          <w:lang w:val="bg-BG"/>
        </w:rPr>
        <w:t>, съгласно който:</w:t>
      </w:r>
    </w:p>
    <w:p w14:paraId="1073C832" w14:textId="77777777" w:rsidR="003D1472" w:rsidRPr="006770D5" w:rsidRDefault="003D1472" w:rsidP="006770D5">
      <w:pPr>
        <w:ind w:firstLine="708"/>
        <w:jc w:val="both"/>
        <w:rPr>
          <w:lang w:val="bg-BG"/>
        </w:rPr>
      </w:pPr>
    </w:p>
    <w:p w14:paraId="44D3E76D" w14:textId="17F15F95" w:rsidR="00142D11" w:rsidRPr="00937F0A" w:rsidRDefault="00302986" w:rsidP="004B67EF">
      <w:pPr>
        <w:ind w:firstLine="708"/>
        <w:jc w:val="both"/>
        <w:rPr>
          <w:i/>
          <w:lang w:val="bg-BG"/>
        </w:rPr>
      </w:pPr>
      <w:r w:rsidRPr="00937F0A">
        <w:rPr>
          <w:rStyle w:val="st"/>
          <w:b/>
          <w:i/>
        </w:rPr>
        <w:t>§</w:t>
      </w:r>
      <w:r w:rsidRPr="00937F0A">
        <w:rPr>
          <w:b/>
          <w:i/>
          <w:lang w:val="bg-BG"/>
        </w:rPr>
        <w:t>1.</w:t>
      </w:r>
      <w:r w:rsidRPr="00937F0A">
        <w:rPr>
          <w:i/>
          <w:lang w:val="bg-BG"/>
        </w:rPr>
        <w:t xml:space="preserve"> Финансовите участници, по смисъла на глава 4 от дял</w:t>
      </w:r>
      <w:r w:rsidRPr="00937F0A">
        <w:rPr>
          <w:i/>
        </w:rPr>
        <w:t xml:space="preserve"> </w:t>
      </w:r>
      <w:r w:rsidRPr="00937F0A">
        <w:rPr>
          <w:i/>
          <w:lang w:val="bg-BG"/>
        </w:rPr>
        <w:t>IV на Първа част на Регламент (ЕС, Евратом) №</w:t>
      </w:r>
      <w:r w:rsidR="00AD0DB4">
        <w:rPr>
          <w:i/>
          <w:lang w:val="en-US"/>
        </w:rPr>
        <w:t xml:space="preserve"> </w:t>
      </w:r>
      <w:r w:rsidRPr="00937F0A">
        <w:rPr>
          <w:i/>
          <w:lang w:val="bg-BG"/>
        </w:rPr>
        <w:t>2018/ 1046,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w:t>
      </w:r>
    </w:p>
    <w:p w14:paraId="10622275" w14:textId="77777777" w:rsidR="003D1472" w:rsidRPr="00937F0A" w:rsidRDefault="003D1472" w:rsidP="006770D5">
      <w:pPr>
        <w:ind w:firstLine="708"/>
        <w:jc w:val="both"/>
        <w:rPr>
          <w:i/>
          <w:lang w:val="bg-BG"/>
        </w:rPr>
      </w:pPr>
    </w:p>
    <w:p w14:paraId="1FD09E86" w14:textId="77777777" w:rsidR="00142D11" w:rsidRPr="00937F0A" w:rsidRDefault="00302986" w:rsidP="004B67EF">
      <w:pPr>
        <w:ind w:firstLine="708"/>
        <w:jc w:val="both"/>
        <w:rPr>
          <w:i/>
          <w:lang w:val="bg-BG"/>
        </w:rPr>
      </w:pPr>
      <w:r w:rsidRPr="00AD0DB4">
        <w:rPr>
          <w:rStyle w:val="st"/>
          <w:b/>
          <w:i/>
        </w:rPr>
        <w:t>§</w:t>
      </w:r>
      <w:r w:rsidR="00142D11" w:rsidRPr="00AD0DB4">
        <w:rPr>
          <w:b/>
          <w:i/>
          <w:lang w:val="bg-BG"/>
        </w:rPr>
        <w:t>2.</w:t>
      </w:r>
      <w:r w:rsidR="00142D11" w:rsidRPr="00AD0DB4">
        <w:rPr>
          <w:i/>
          <w:lang w:val="bg-BG"/>
        </w:rPr>
        <w:t xml:space="preserve">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w:t>
      </w:r>
      <w:r w:rsidR="00142D11" w:rsidRPr="00AD0DB4">
        <w:rPr>
          <w:i/>
          <w:lang w:val="bg-BG"/>
        </w:rPr>
        <w:lastRenderedPageBreak/>
        <w:t>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w:t>
      </w:r>
      <w:r w:rsidR="003D1472" w:rsidRPr="00AD0DB4">
        <w:rPr>
          <w:i/>
          <w:lang w:val="bg-BG"/>
        </w:rPr>
        <w:t>ответствие с приложимото право.</w:t>
      </w:r>
    </w:p>
    <w:p w14:paraId="215E411D" w14:textId="77777777" w:rsidR="003D1472" w:rsidRPr="00937F0A" w:rsidRDefault="003D1472" w:rsidP="006770D5">
      <w:pPr>
        <w:ind w:firstLine="708"/>
        <w:jc w:val="both"/>
        <w:rPr>
          <w:i/>
          <w:lang w:val="bg-BG"/>
        </w:rPr>
      </w:pPr>
    </w:p>
    <w:p w14:paraId="37F4C57C" w14:textId="77777777" w:rsidR="00142D11" w:rsidRPr="00937F0A" w:rsidRDefault="00302986" w:rsidP="004B67EF">
      <w:pPr>
        <w:ind w:firstLine="708"/>
        <w:jc w:val="both"/>
        <w:rPr>
          <w:i/>
          <w:lang w:val="bg-BG"/>
        </w:rPr>
      </w:pPr>
      <w:r w:rsidRPr="00937F0A">
        <w:rPr>
          <w:rStyle w:val="st"/>
          <w:b/>
          <w:i/>
        </w:rPr>
        <w:t>§</w:t>
      </w:r>
      <w:r w:rsidR="00142D11" w:rsidRPr="00937F0A">
        <w:rPr>
          <w:b/>
          <w:i/>
          <w:lang w:val="bg-BG"/>
        </w:rPr>
        <w:t>3.</w:t>
      </w:r>
      <w:r w:rsidR="00142D11" w:rsidRPr="00937F0A">
        <w:rPr>
          <w:i/>
          <w:lang w:val="bg-BG"/>
        </w:rPr>
        <w:t xml:space="preserve">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142D11" w:rsidRPr="00937F0A">
        <w:rPr>
          <w:rStyle w:val="EndnoteReference"/>
          <w:i/>
        </w:rPr>
        <w:endnoteReference w:id="1"/>
      </w:r>
    </w:p>
    <w:p w14:paraId="4448F89E" w14:textId="77777777" w:rsidR="003D1472" w:rsidRPr="006770D5" w:rsidRDefault="003D1472" w:rsidP="006770D5">
      <w:pPr>
        <w:ind w:firstLine="708"/>
        <w:jc w:val="both"/>
        <w:rPr>
          <w:lang w:val="bg-BG"/>
        </w:rPr>
      </w:pPr>
    </w:p>
    <w:p w14:paraId="3E76A5AF" w14:textId="3A46BB24" w:rsidR="00142D11" w:rsidRDefault="00302986" w:rsidP="004B67EF">
      <w:pPr>
        <w:jc w:val="both"/>
        <w:rPr>
          <w:lang w:val="bg-BG"/>
        </w:rPr>
      </w:pPr>
      <w:r>
        <w:rPr>
          <w:lang w:val="bg-BG"/>
        </w:rPr>
        <w:t>С настоящо</w:t>
      </w:r>
      <w:r w:rsidR="00142D11" w:rsidRPr="006770D5">
        <w:rPr>
          <w:lang w:val="bg-BG"/>
        </w:rPr>
        <w:t xml:space="preserve">то декларирам, че </w:t>
      </w:r>
      <w:r w:rsidR="008A1E81">
        <w:rPr>
          <w:lang w:val="bg-BG"/>
        </w:rPr>
        <w:t xml:space="preserve">доколкото ми е известно, </w:t>
      </w:r>
      <w:r w:rsidR="00142D11" w:rsidRPr="006770D5">
        <w:rPr>
          <w:lang w:val="bg-BG"/>
        </w:rPr>
        <w:t xml:space="preserve">не се намирам в ситуация на </w:t>
      </w:r>
      <w:r w:rsidR="004F271F">
        <w:rPr>
          <w:lang w:val="bg-BG"/>
        </w:rPr>
        <w:t xml:space="preserve">привиден/потенциален/действителен </w:t>
      </w:r>
      <w:r w:rsidR="00142D11" w:rsidRPr="006770D5">
        <w:rPr>
          <w:lang w:val="bg-BG"/>
        </w:rPr>
        <w:t xml:space="preserve">конфликт на интереси съгласно чл. 61 от </w:t>
      </w:r>
      <w:r w:rsidRPr="00302986">
        <w:rPr>
          <w:lang w:val="bg-BG"/>
        </w:rPr>
        <w:t>Регламент (ЕС, Евратом) №</w:t>
      </w:r>
      <w:r w:rsidR="00524ABA">
        <w:rPr>
          <w:lang w:val="en-US"/>
        </w:rPr>
        <w:t xml:space="preserve"> </w:t>
      </w:r>
      <w:r w:rsidRPr="00302986">
        <w:rPr>
          <w:lang w:val="bg-BG"/>
        </w:rPr>
        <w:t>2018/ 1046</w:t>
      </w:r>
      <w:r w:rsidR="00142D11" w:rsidRPr="006770D5">
        <w:rPr>
          <w:lang w:val="bg-BG"/>
        </w:rPr>
        <w:t xml:space="preserve">, в горепосоченото ми качество и във връзка </w:t>
      </w:r>
      <w:r w:rsidR="004F271F">
        <w:rPr>
          <w:lang w:val="bg-BG"/>
        </w:rPr>
        <w:t>с посочената обществена поръчка</w:t>
      </w:r>
      <w:r w:rsidR="00142D11" w:rsidRPr="006770D5">
        <w:rPr>
          <w:lang w:val="bg-BG"/>
        </w:rPr>
        <w:t>.</w:t>
      </w:r>
    </w:p>
    <w:p w14:paraId="68BEEDB5" w14:textId="77777777" w:rsidR="003D1472" w:rsidRPr="006770D5" w:rsidRDefault="003D1472" w:rsidP="006770D5">
      <w:pPr>
        <w:ind w:firstLine="708"/>
        <w:jc w:val="both"/>
        <w:rPr>
          <w:lang w:val="bg-BG"/>
        </w:rPr>
      </w:pPr>
    </w:p>
    <w:p w14:paraId="7FB22F5D" w14:textId="77777777" w:rsidR="00142D11" w:rsidRDefault="00142D11" w:rsidP="004B67EF">
      <w:pPr>
        <w:jc w:val="both"/>
        <w:rPr>
          <w:lang w:val="bg-BG"/>
        </w:rPr>
      </w:pPr>
      <w:r w:rsidRPr="006770D5">
        <w:rPr>
          <w:lang w:val="bg-BG"/>
        </w:rPr>
        <w:t>Доколкото ми е известно не съществуват факти или обстоятелства в миналото, понастоящем или които биха могли да възникнат в обозримо бъдеще, които могат да поставят под съмнение моята независимост</w:t>
      </w:r>
      <w:r w:rsidR="00A23ED0">
        <w:rPr>
          <w:lang w:val="bg-BG"/>
        </w:rPr>
        <w:t>,</w:t>
      </w:r>
      <w:r w:rsidRPr="006770D5">
        <w:rPr>
          <w:lang w:val="bg-BG"/>
        </w:rPr>
        <w:t xml:space="preserve"> </w:t>
      </w:r>
      <w:r w:rsidR="00A23ED0" w:rsidRPr="00A23ED0">
        <w:rPr>
          <w:lang w:val="bg-BG"/>
        </w:rPr>
        <w:t>от гледна точка на която и да е от страните</w:t>
      </w:r>
      <w:r w:rsidR="00A23ED0">
        <w:rPr>
          <w:lang w:val="bg-BG"/>
        </w:rPr>
        <w:t xml:space="preserve">, </w:t>
      </w:r>
      <w:r w:rsidRPr="006770D5">
        <w:rPr>
          <w:lang w:val="bg-BG"/>
        </w:rPr>
        <w:t>и които да ме поставят в си</w:t>
      </w:r>
      <w:r w:rsidR="003D1472">
        <w:rPr>
          <w:lang w:val="bg-BG"/>
        </w:rPr>
        <w:t>туация на конфликт на интереси.</w:t>
      </w:r>
    </w:p>
    <w:p w14:paraId="71CFF13A" w14:textId="77777777" w:rsidR="003D1472" w:rsidRPr="006770D5" w:rsidRDefault="003D1472" w:rsidP="006770D5">
      <w:pPr>
        <w:ind w:firstLine="708"/>
        <w:jc w:val="both"/>
        <w:rPr>
          <w:lang w:val="bg-BG"/>
        </w:rPr>
      </w:pPr>
    </w:p>
    <w:p w14:paraId="51663462" w14:textId="49E54A86" w:rsidR="00142D11" w:rsidRDefault="00142D11" w:rsidP="004B67EF">
      <w:pPr>
        <w:jc w:val="both"/>
        <w:rPr>
          <w:lang w:val="bg-BG"/>
        </w:rPr>
      </w:pPr>
      <w:r w:rsidRPr="006770D5">
        <w:rPr>
          <w:lang w:val="bg-BG"/>
        </w:rPr>
        <w:t xml:space="preserve">Удостоверявам, че ако узная за </w:t>
      </w:r>
      <w:r w:rsidR="008C552D">
        <w:rPr>
          <w:lang w:val="bg-BG"/>
        </w:rPr>
        <w:t>или ако по време на изпълнението на задълженията и отговорностите ми във връзка с горепосочена</w:t>
      </w:r>
      <w:r w:rsidR="008C552D" w:rsidRPr="008C552D">
        <w:rPr>
          <w:lang w:val="bg-BG"/>
        </w:rPr>
        <w:t>т</w:t>
      </w:r>
      <w:r w:rsidR="008C552D">
        <w:rPr>
          <w:lang w:val="bg-BG"/>
        </w:rPr>
        <w:t xml:space="preserve">а </w:t>
      </w:r>
      <w:r w:rsidR="00536E85">
        <w:rPr>
          <w:lang w:val="bg-BG"/>
        </w:rPr>
        <w:t>обществена поръчка</w:t>
      </w:r>
      <w:r w:rsidR="008C552D">
        <w:rPr>
          <w:lang w:val="bg-BG"/>
        </w:rPr>
        <w:t xml:space="preserve"> възникне </w:t>
      </w:r>
      <w:r w:rsidRPr="006770D5">
        <w:rPr>
          <w:lang w:val="bg-BG"/>
        </w:rPr>
        <w:t>так</w:t>
      </w:r>
      <w:r w:rsidR="008C552D">
        <w:rPr>
          <w:lang w:val="bg-BG"/>
        </w:rPr>
        <w:t>ъв конфликт на интереси,</w:t>
      </w:r>
      <w:r w:rsidRPr="006770D5">
        <w:rPr>
          <w:lang w:val="bg-BG"/>
        </w:rPr>
        <w:t xml:space="preserve"> незабавно ще съобщя</w:t>
      </w:r>
      <w:r w:rsidR="008C552D">
        <w:rPr>
          <w:lang w:val="bg-BG"/>
        </w:rPr>
        <w:t xml:space="preserve"> за него</w:t>
      </w:r>
      <w:r w:rsidRPr="006770D5">
        <w:rPr>
          <w:lang w:val="bg-BG"/>
        </w:rPr>
        <w:t xml:space="preserve"> на компетентните лица и </w:t>
      </w:r>
      <w:r w:rsidR="008C552D" w:rsidRPr="008C552D">
        <w:rPr>
          <w:lang w:val="bg-BG"/>
        </w:rPr>
        <w:t>удостоверявам</w:t>
      </w:r>
      <w:r w:rsidR="008C552D">
        <w:rPr>
          <w:lang w:val="bg-BG"/>
        </w:rPr>
        <w:t>,</w:t>
      </w:r>
      <w:r w:rsidR="008C552D" w:rsidRPr="008C552D">
        <w:rPr>
          <w:lang w:val="bg-BG"/>
        </w:rPr>
        <w:t xml:space="preserve"> </w:t>
      </w:r>
      <w:r w:rsidRPr="006770D5">
        <w:rPr>
          <w:lang w:val="bg-BG"/>
        </w:rPr>
        <w:t xml:space="preserve">че ако бъде установен конфликт на интереси, ще се оттегля от заеманата от мен </w:t>
      </w:r>
      <w:r w:rsidR="00C85E1C">
        <w:rPr>
          <w:lang w:val="bg-BG"/>
        </w:rPr>
        <w:t>функция</w:t>
      </w:r>
      <w:r w:rsidR="00536E85">
        <w:rPr>
          <w:lang w:val="bg-BG"/>
        </w:rPr>
        <w:t xml:space="preserve"> в рамките на настоящата обществена поръчка</w:t>
      </w:r>
      <w:r w:rsidRPr="006770D5">
        <w:rPr>
          <w:lang w:val="bg-BG"/>
        </w:rPr>
        <w:t>.</w:t>
      </w:r>
    </w:p>
    <w:p w14:paraId="58F4663F" w14:textId="77777777" w:rsidR="003D1472" w:rsidRPr="006770D5" w:rsidRDefault="003D1472" w:rsidP="006770D5">
      <w:pPr>
        <w:ind w:firstLine="708"/>
        <w:jc w:val="both"/>
        <w:rPr>
          <w:lang w:val="bg-BG"/>
        </w:rPr>
      </w:pPr>
    </w:p>
    <w:p w14:paraId="24723218" w14:textId="77777777" w:rsidR="00142D11" w:rsidRPr="006770D5" w:rsidRDefault="00142D11" w:rsidP="006770D5">
      <w:pPr>
        <w:jc w:val="both"/>
        <w:rPr>
          <w:lang w:val="bg-BG"/>
        </w:rPr>
      </w:pPr>
    </w:p>
    <w:p w14:paraId="4BF89357" w14:textId="3491B639" w:rsidR="00142D11" w:rsidRDefault="00DD52D4" w:rsidP="006770D5">
      <w:pPr>
        <w:jc w:val="both"/>
        <w:rPr>
          <w:lang w:val="bg-BG"/>
        </w:rPr>
      </w:pPr>
      <w:r>
        <w:rPr>
          <w:lang w:val="bg-BG"/>
        </w:rPr>
        <w:t>Запознат съм, че съгласно</w:t>
      </w:r>
      <w:r w:rsidR="000308FA">
        <w:rPr>
          <w:lang w:val="bg-BG"/>
        </w:rPr>
        <w:t xml:space="preserve"> чл.313 от НК при деклариране на неверни данни нося наказателна отговорност.</w:t>
      </w:r>
    </w:p>
    <w:p w14:paraId="6B856018" w14:textId="77777777" w:rsidR="000308FA" w:rsidRPr="006770D5" w:rsidRDefault="000308FA" w:rsidP="006770D5">
      <w:pPr>
        <w:jc w:val="both"/>
        <w:rPr>
          <w:lang w:val="bg-BG"/>
        </w:rPr>
      </w:pPr>
    </w:p>
    <w:p w14:paraId="1A395B88" w14:textId="77777777" w:rsidR="00E86334" w:rsidRDefault="00E86334" w:rsidP="00E86334">
      <w:pPr>
        <w:jc w:val="both"/>
        <w:rPr>
          <w:lang w:val="bg-BG" w:eastAsia="fr-FR"/>
        </w:rPr>
      </w:pPr>
      <w:r>
        <w:rPr>
          <w:lang w:val="bg-BG"/>
        </w:rPr>
        <w:t>Дата: ………………</w:t>
      </w:r>
      <w:r>
        <w:rPr>
          <w:lang w:val="en-US"/>
        </w:rPr>
        <w:t>..</w:t>
      </w:r>
      <w:r>
        <w:rPr>
          <w:lang w:val="bg-BG"/>
        </w:rPr>
        <w:tab/>
      </w:r>
      <w:r>
        <w:rPr>
          <w:lang w:val="bg-BG"/>
        </w:rPr>
        <w:tab/>
      </w:r>
      <w:r>
        <w:rPr>
          <w:lang w:val="bg-BG"/>
        </w:rPr>
        <w:tab/>
      </w:r>
      <w:r>
        <w:rPr>
          <w:lang w:val="bg-BG"/>
        </w:rPr>
        <w:tab/>
      </w:r>
      <w:r>
        <w:rPr>
          <w:lang w:val="bg-BG"/>
        </w:rPr>
        <w:tab/>
        <w:t xml:space="preserve">        Декларатор: ………………..</w:t>
      </w:r>
    </w:p>
    <w:p w14:paraId="25792B9A" w14:textId="77777777" w:rsidR="00E86334" w:rsidRPr="00E86334" w:rsidRDefault="00E86334" w:rsidP="00E86334">
      <w:pPr>
        <w:jc w:val="both"/>
        <w:rPr>
          <w:sz w:val="10"/>
          <w:lang w:val="bg-BG"/>
        </w:rPr>
      </w:pPr>
    </w:p>
    <w:p w14:paraId="348A7974" w14:textId="77777777" w:rsidR="00E86334" w:rsidRPr="003C2696" w:rsidRDefault="00E86334" w:rsidP="00E86334">
      <w:pPr>
        <w:ind w:left="7080" w:firstLine="708"/>
        <w:jc w:val="both"/>
        <w:rPr>
          <w:i/>
          <w:lang w:val="bg-BG"/>
        </w:rPr>
      </w:pPr>
      <w:r w:rsidRPr="003C2696">
        <w:rPr>
          <w:i/>
          <w:lang w:val="bg-BG"/>
        </w:rPr>
        <w:t>(подпис)</w:t>
      </w:r>
    </w:p>
    <w:p w14:paraId="3F622E0F" w14:textId="77777777" w:rsidR="004A6FC4" w:rsidRPr="00E86334" w:rsidRDefault="004A6FC4" w:rsidP="006770D5">
      <w:pPr>
        <w:jc w:val="both"/>
      </w:pPr>
    </w:p>
    <w:sectPr w:rsidR="004A6FC4" w:rsidRPr="00E86334" w:rsidSect="00620C6A">
      <w:headerReference w:type="default" r:id="rId8"/>
      <w:headerReference w:type="first" r:id="rId9"/>
      <w:endnotePr>
        <w:numFmt w:val="decimal"/>
      </w:endnotePr>
      <w:pgSz w:w="11906" w:h="16838" w:code="9"/>
      <w:pgMar w:top="851" w:right="1418" w:bottom="851"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3CC4" w14:textId="77777777" w:rsidR="00DD1841" w:rsidRDefault="00DD1841">
      <w:r>
        <w:separator/>
      </w:r>
    </w:p>
  </w:endnote>
  <w:endnote w:type="continuationSeparator" w:id="0">
    <w:p w14:paraId="1796EA5A" w14:textId="77777777" w:rsidR="00DD1841" w:rsidRDefault="00DD1841">
      <w:r>
        <w:continuationSeparator/>
      </w:r>
    </w:p>
  </w:endnote>
  <w:endnote w:id="1">
    <w:p w14:paraId="15D55834" w14:textId="7AEB256D" w:rsidR="00302986" w:rsidRPr="003331DA" w:rsidRDefault="00142D11" w:rsidP="00142D11">
      <w:pPr>
        <w:pStyle w:val="EndnoteText"/>
        <w:jc w:val="both"/>
        <w:rPr>
          <w:rFonts w:ascii="Times New Roman" w:hAnsi="Times New Roman"/>
          <w:sz w:val="22"/>
          <w:lang w:val="bg-BG"/>
        </w:rPr>
      </w:pPr>
      <w:r w:rsidRPr="003331DA">
        <w:rPr>
          <w:rStyle w:val="EndnoteReference"/>
          <w:rFonts w:ascii="Times New Roman" w:hAnsi="Times New Roman"/>
          <w:sz w:val="22"/>
          <w:lang w:val="bg-BG"/>
        </w:rPr>
        <w:endnoteRef/>
      </w:r>
      <w:r w:rsidRPr="003331DA">
        <w:rPr>
          <w:rFonts w:ascii="Times New Roman" w:hAnsi="Times New Roman"/>
          <w:sz w:val="22"/>
          <w:lang w:val="bg-BG"/>
        </w:rPr>
        <w:t xml:space="preserve"> </w:t>
      </w:r>
      <w:proofErr w:type="spellStart"/>
      <w:r w:rsidR="00937F0A">
        <w:rPr>
          <w:rFonts w:ascii="Times New Roman" w:hAnsi="Times New Roman"/>
          <w:sz w:val="22"/>
          <w:lang w:val="en-US"/>
        </w:rPr>
        <w:t>Съгласно</w:t>
      </w:r>
      <w:proofErr w:type="spellEnd"/>
      <w:r w:rsidR="00937F0A">
        <w:rPr>
          <w:rFonts w:ascii="Times New Roman" w:hAnsi="Times New Roman"/>
          <w:sz w:val="22"/>
          <w:lang w:val="en-US"/>
        </w:rPr>
        <w:t xml:space="preserve"> </w:t>
      </w:r>
      <w:r w:rsidR="00EC1EB3">
        <w:rPr>
          <w:rFonts w:ascii="Times New Roman" w:hAnsi="Times New Roman"/>
          <w:sz w:val="22"/>
          <w:lang w:val="bg-BG"/>
        </w:rPr>
        <w:t xml:space="preserve">съображение </w:t>
      </w:r>
      <w:r w:rsidR="00937F0A" w:rsidRPr="00937F0A">
        <w:rPr>
          <w:rFonts w:ascii="Times New Roman" w:hAnsi="Times New Roman"/>
          <w:sz w:val="22"/>
          <w:lang w:val="en-US"/>
        </w:rPr>
        <w:t>104</w:t>
      </w:r>
      <w:r w:rsidR="00EC1EB3">
        <w:rPr>
          <w:rFonts w:ascii="Times New Roman" w:hAnsi="Times New Roman"/>
          <w:sz w:val="22"/>
          <w:lang w:val="bg-BG"/>
        </w:rPr>
        <w:t xml:space="preserve"> </w:t>
      </w:r>
      <w:r w:rsidR="00EC1EB3" w:rsidRPr="00EC1EB3">
        <w:rPr>
          <w:rFonts w:ascii="Times New Roman" w:hAnsi="Times New Roman"/>
          <w:sz w:val="22"/>
          <w:lang w:val="bg-BG"/>
        </w:rPr>
        <w:t>от Регламент (ЕС, Евратом) №</w:t>
      </w:r>
      <w:r w:rsidR="00524ABA">
        <w:rPr>
          <w:rFonts w:ascii="Times New Roman" w:hAnsi="Times New Roman"/>
          <w:sz w:val="22"/>
          <w:lang w:val="en-US"/>
        </w:rPr>
        <w:t xml:space="preserve"> </w:t>
      </w:r>
      <w:r w:rsidR="00EC1EB3" w:rsidRPr="00EC1EB3">
        <w:rPr>
          <w:rFonts w:ascii="Times New Roman" w:hAnsi="Times New Roman"/>
          <w:sz w:val="22"/>
          <w:lang w:val="bg-BG"/>
        </w:rPr>
        <w:t>2018/ 1046</w:t>
      </w:r>
      <w:r w:rsidR="00EC1EB3">
        <w:rPr>
          <w:rFonts w:ascii="Times New Roman" w:hAnsi="Times New Roman"/>
          <w:sz w:val="22"/>
          <w:lang w:val="bg-BG"/>
        </w:rPr>
        <w:t>: „</w:t>
      </w:r>
      <w:r w:rsidR="00302986" w:rsidRPr="003331DA">
        <w:rPr>
          <w:rFonts w:ascii="Times New Roman" w:hAnsi="Times New Roman"/>
          <w:sz w:val="22"/>
          <w:lang w:val="bg-BG"/>
        </w:rPr>
        <w:t>Понятието „конфликт на интереси“ следва да се използва единствено за случаите, в които лице или субект с отговорности по изпълнение на бюджета, одит или контрол или длъжностно лице или служител на институция на Съюза или на националните органи на всяко равнище се намира в такава ситуация. Опитите за оказване на неправомерно влияние върху процедура за възлагане, предоставяне или присъждане или за получаване на поверителна информация следва да се разглеждат като тежко професионално нарушение, което може да доведе до отхвърляне от процедура за възлагане, предоставяне или присъждане и/или до отстраняване във връзка със средства от Съюза. Наред с това икономическите оператори може да се окажат в ситуация, в която следва да не бъдат избрани за изпълнението на договор поради конфликтни професионални интереси. Например дадено дружество следва да не извършва оценка на проект, в който е участвало, или одитор следва да не може да одитира счетоводни отчети, които преди това е заверил.</w:t>
      </w:r>
      <w:r w:rsidR="00EC1EB3">
        <w:rPr>
          <w:rFonts w:ascii="Times New Roman" w:hAnsi="Times New Roman"/>
          <w:sz w:val="22"/>
          <w:lang w:val="bg-BG"/>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0F88" w14:textId="77777777" w:rsidR="00DD1841" w:rsidRDefault="00DD1841">
      <w:r>
        <w:separator/>
      </w:r>
    </w:p>
  </w:footnote>
  <w:footnote w:type="continuationSeparator" w:id="0">
    <w:p w14:paraId="47B2CA59" w14:textId="77777777" w:rsidR="00DD1841" w:rsidRDefault="00DD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10490"/>
    </w:tblGrid>
    <w:tr w:rsidR="00C371BA" w14:paraId="0A8F5EA7" w14:textId="77777777" w:rsidTr="009A0E74">
      <w:trPr>
        <w:trHeight w:val="851"/>
      </w:trPr>
      <w:tc>
        <w:tcPr>
          <w:tcW w:w="10490" w:type="dxa"/>
          <w:tcBorders>
            <w:left w:val="nil"/>
            <w:bottom w:val="double" w:sz="4" w:space="0" w:color="99CC00"/>
            <w:right w:val="nil"/>
          </w:tcBorders>
          <w:vAlign w:val="bottom"/>
        </w:tcPr>
        <w:p w14:paraId="576CF8BD" w14:textId="77777777" w:rsidR="00C371BA" w:rsidRDefault="00C371BA" w:rsidP="00C371BA">
          <w:pPr>
            <w:pStyle w:val="Header"/>
            <w:rPr>
              <w:noProof/>
              <w:lang w:val="bg-BG" w:eastAsia="bg-BG"/>
            </w:rPr>
          </w:pPr>
        </w:p>
      </w:tc>
    </w:tr>
    <w:tr w:rsidR="00C371BA" w14:paraId="57623137" w14:textId="77777777" w:rsidTr="009A0E74">
      <w:trPr>
        <w:trHeight w:val="50"/>
      </w:trPr>
      <w:tc>
        <w:tcPr>
          <w:tcW w:w="10490" w:type="dxa"/>
          <w:tcBorders>
            <w:top w:val="double" w:sz="4" w:space="0" w:color="99CC00"/>
            <w:left w:val="nil"/>
            <w:bottom w:val="nil"/>
            <w:right w:val="nil"/>
          </w:tcBorders>
        </w:tcPr>
        <w:p w14:paraId="392EE70A" w14:textId="77777777" w:rsidR="00C371BA" w:rsidRPr="00C371BA" w:rsidRDefault="00C371BA" w:rsidP="00C371BA">
          <w:pPr>
            <w:pStyle w:val="Header"/>
            <w:rPr>
              <w:noProof/>
              <w:lang w:val="en-US" w:eastAsia="bg-BG"/>
            </w:rPr>
          </w:pPr>
        </w:p>
      </w:tc>
    </w:tr>
  </w:tbl>
  <w:p w14:paraId="6D06E8DD" w14:textId="77777777" w:rsidR="00C371BA" w:rsidRPr="00C371BA" w:rsidRDefault="00C371BA" w:rsidP="00C371B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2438"/>
      <w:gridCol w:w="5784"/>
      <w:gridCol w:w="2268"/>
    </w:tblGrid>
    <w:tr w:rsidR="00716660" w14:paraId="04800F9D" w14:textId="77777777" w:rsidTr="00716660">
      <w:trPr>
        <w:trHeight w:val="2552"/>
      </w:trPr>
      <w:tc>
        <w:tcPr>
          <w:tcW w:w="2438" w:type="dxa"/>
          <w:tcBorders>
            <w:left w:val="nil"/>
            <w:bottom w:val="double" w:sz="4" w:space="0" w:color="99CC00"/>
            <w:right w:val="nil"/>
          </w:tcBorders>
          <w:vAlign w:val="bottom"/>
        </w:tcPr>
        <w:p w14:paraId="1AE768F8" w14:textId="47107365" w:rsidR="00716660" w:rsidRDefault="00744D36" w:rsidP="00716660">
          <w:pPr>
            <w:pStyle w:val="Header"/>
          </w:pPr>
          <w:r>
            <w:rPr>
              <w:noProof/>
            </w:rPr>
            <w:drawing>
              <wp:inline distT="0" distB="0" distL="0" distR="0" wp14:anchorId="5D27CA46" wp14:editId="5A87BE70">
                <wp:extent cx="819150" cy="8363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075" cy="839381"/>
                        </a:xfrm>
                        <a:prstGeom prst="rect">
                          <a:avLst/>
                        </a:prstGeom>
                        <a:noFill/>
                      </pic:spPr>
                    </pic:pic>
                  </a:graphicData>
                </a:graphic>
              </wp:inline>
            </w:drawing>
          </w:r>
        </w:p>
        <w:p w14:paraId="3AB2BB73" w14:textId="77777777" w:rsidR="00716660" w:rsidRDefault="00716660" w:rsidP="00716660">
          <w:pPr>
            <w:pStyle w:val="Header"/>
            <w:rPr>
              <w:noProof/>
              <w:lang w:eastAsia="bg-BG"/>
            </w:rPr>
          </w:pPr>
        </w:p>
      </w:tc>
      <w:tc>
        <w:tcPr>
          <w:tcW w:w="5784" w:type="dxa"/>
          <w:tcBorders>
            <w:left w:val="nil"/>
            <w:bottom w:val="double" w:sz="4" w:space="0" w:color="99CC00"/>
            <w:right w:val="nil"/>
          </w:tcBorders>
          <w:vAlign w:val="center"/>
        </w:tcPr>
        <w:p w14:paraId="75CDFDF2" w14:textId="256FC311" w:rsidR="00716660" w:rsidRDefault="00716660" w:rsidP="00716660">
          <w:pPr>
            <w:pStyle w:val="Header"/>
            <w:jc w:val="center"/>
            <w:rPr>
              <w:rFonts w:ascii="Arial Narrow" w:hAnsi="Arial Narrow" w:cs="Tahoma"/>
              <w:b/>
              <w:noProof/>
              <w:color w:val="808080"/>
              <w:spacing w:val="80"/>
              <w:lang w:eastAsia="bg-BG"/>
            </w:rPr>
          </w:pPr>
          <w:r>
            <w:rPr>
              <w:rFonts w:ascii="Arial Narrow" w:hAnsi="Arial Narrow" w:cs="Tahoma"/>
              <w:b/>
              <w:noProof/>
              <w:color w:val="808080"/>
              <w:spacing w:val="80"/>
              <w:lang w:eastAsia="bg-BG"/>
            </w:rPr>
            <w:t>ПРОГРАМА</w:t>
          </w:r>
        </w:p>
        <w:p w14:paraId="7A941E94" w14:textId="4C9EECA8" w:rsidR="00716660" w:rsidRDefault="00716660" w:rsidP="00716660">
          <w:pPr>
            <w:pStyle w:val="Header"/>
            <w:jc w:val="center"/>
            <w:rPr>
              <w:noProof/>
              <w:lang w:eastAsia="bg-BG"/>
            </w:rPr>
          </w:pPr>
          <w:r>
            <w:rPr>
              <w:rFonts w:ascii="Arial Narrow" w:hAnsi="Arial Narrow" w:cs="Tahoma"/>
              <w:b/>
              <w:noProof/>
              <w:color w:val="808080"/>
              <w:spacing w:val="80"/>
              <w:lang w:eastAsia="bg-BG"/>
            </w:rPr>
            <w:t>„ОКОЛНА СРЕДА</w:t>
          </w:r>
          <w:r w:rsidR="00744D36">
            <w:rPr>
              <w:rFonts w:ascii="Arial Narrow" w:hAnsi="Arial Narrow" w:cs="Tahoma"/>
              <w:b/>
              <w:noProof/>
              <w:color w:val="808080"/>
              <w:spacing w:val="80"/>
              <w:lang w:val="bg-BG" w:eastAsia="bg-BG"/>
            </w:rPr>
            <w:t>“</w:t>
          </w:r>
          <w:r>
            <w:rPr>
              <w:rFonts w:ascii="Arial Narrow" w:hAnsi="Arial Narrow" w:cs="Tahoma"/>
              <w:b/>
              <w:noProof/>
              <w:color w:val="808080"/>
              <w:spacing w:val="80"/>
              <w:lang w:eastAsia="bg-BG"/>
            </w:rPr>
            <w:t xml:space="preserve"> 20</w:t>
          </w:r>
          <w:r w:rsidR="00744D36">
            <w:rPr>
              <w:rFonts w:ascii="Arial Narrow" w:hAnsi="Arial Narrow" w:cs="Tahoma"/>
              <w:b/>
              <w:noProof/>
              <w:color w:val="808080"/>
              <w:spacing w:val="80"/>
              <w:lang w:val="ru-RU" w:eastAsia="bg-BG"/>
            </w:rPr>
            <w:t>21</w:t>
          </w:r>
          <w:r>
            <w:rPr>
              <w:rFonts w:ascii="Arial Narrow" w:hAnsi="Arial Narrow" w:cs="Tahoma"/>
              <w:b/>
              <w:noProof/>
              <w:color w:val="808080"/>
              <w:spacing w:val="80"/>
              <w:lang w:eastAsia="bg-BG"/>
            </w:rPr>
            <w:t xml:space="preserve"> – 20</w:t>
          </w:r>
          <w:r>
            <w:rPr>
              <w:rFonts w:ascii="Arial Narrow" w:hAnsi="Arial Narrow" w:cs="Tahoma"/>
              <w:b/>
              <w:noProof/>
              <w:color w:val="808080"/>
              <w:spacing w:val="80"/>
              <w:lang w:val="ru-RU" w:eastAsia="bg-BG"/>
            </w:rPr>
            <w:t>2</w:t>
          </w:r>
          <w:r w:rsidR="00744D36">
            <w:rPr>
              <w:rFonts w:ascii="Arial Narrow" w:hAnsi="Arial Narrow" w:cs="Tahoma"/>
              <w:b/>
              <w:noProof/>
              <w:color w:val="808080"/>
              <w:spacing w:val="80"/>
              <w:lang w:val="ru-RU" w:eastAsia="bg-BG"/>
            </w:rPr>
            <w:t>7</w:t>
          </w:r>
          <w:r>
            <w:rPr>
              <w:rFonts w:ascii="Arial Narrow" w:hAnsi="Arial Narrow" w:cs="Tahoma"/>
              <w:b/>
              <w:noProof/>
              <w:color w:val="808080"/>
              <w:spacing w:val="80"/>
              <w:lang w:eastAsia="bg-BG"/>
            </w:rPr>
            <w:t xml:space="preserve"> г.</w:t>
          </w:r>
        </w:p>
      </w:tc>
      <w:tc>
        <w:tcPr>
          <w:tcW w:w="2268" w:type="dxa"/>
          <w:tcBorders>
            <w:left w:val="nil"/>
            <w:bottom w:val="double" w:sz="4" w:space="0" w:color="99CC00"/>
            <w:right w:val="nil"/>
          </w:tcBorders>
          <w:vAlign w:val="bottom"/>
        </w:tcPr>
        <w:p w14:paraId="1F6602BD" w14:textId="33983163" w:rsidR="00716660" w:rsidRDefault="00744D36" w:rsidP="00716660">
          <w:pPr>
            <w:pStyle w:val="Header"/>
            <w:jc w:val="right"/>
            <w:rPr>
              <w:noProof/>
              <w:lang w:eastAsia="bg-BG"/>
            </w:rPr>
          </w:pPr>
          <w:r>
            <w:rPr>
              <w:noProof/>
            </w:rPr>
            <w:drawing>
              <wp:inline distT="0" distB="0" distL="0" distR="0" wp14:anchorId="70AB668C" wp14:editId="7A8A02EA">
                <wp:extent cx="1009650" cy="80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07720"/>
                        </a:xfrm>
                        <a:prstGeom prst="rect">
                          <a:avLst/>
                        </a:prstGeom>
                        <a:noFill/>
                      </pic:spPr>
                    </pic:pic>
                  </a:graphicData>
                </a:graphic>
              </wp:inline>
            </w:drawing>
          </w:r>
        </w:p>
        <w:p w14:paraId="2783C096" w14:textId="77777777" w:rsidR="00716660" w:rsidRPr="003F00F0" w:rsidRDefault="00716660" w:rsidP="00716660">
          <w:pPr>
            <w:pStyle w:val="Header"/>
            <w:rPr>
              <w:noProof/>
              <w:lang w:eastAsia="bg-BG"/>
            </w:rPr>
          </w:pPr>
        </w:p>
      </w:tc>
    </w:tr>
    <w:tr w:rsidR="00716660" w14:paraId="6AD74C7C" w14:textId="77777777" w:rsidTr="00D329F1">
      <w:trPr>
        <w:trHeight w:val="20"/>
      </w:trPr>
      <w:tc>
        <w:tcPr>
          <w:tcW w:w="10490" w:type="dxa"/>
          <w:gridSpan w:val="3"/>
          <w:tcBorders>
            <w:top w:val="double" w:sz="4" w:space="0" w:color="99CC00"/>
            <w:left w:val="nil"/>
            <w:bottom w:val="nil"/>
            <w:right w:val="nil"/>
          </w:tcBorders>
        </w:tcPr>
        <w:p w14:paraId="3FE3BAB3" w14:textId="77777777" w:rsidR="00716660" w:rsidRPr="009A13CC" w:rsidRDefault="00716660" w:rsidP="00716660">
          <w:pPr>
            <w:pStyle w:val="Header"/>
            <w:rPr>
              <w:noProof/>
              <w:sz w:val="10"/>
              <w:lang w:eastAsia="bg-BG"/>
            </w:rPr>
          </w:pPr>
        </w:p>
        <w:p w14:paraId="1E7E3581" w14:textId="77777777" w:rsidR="00716660" w:rsidRDefault="00716660" w:rsidP="00716660">
          <w:pPr>
            <w:pStyle w:val="Header"/>
            <w:rPr>
              <w:noProof/>
              <w:lang w:eastAsia="bg-BG"/>
            </w:rPr>
          </w:pPr>
        </w:p>
      </w:tc>
    </w:tr>
  </w:tbl>
  <w:p w14:paraId="609E1AD8" w14:textId="77777777" w:rsidR="00716660" w:rsidRPr="0081685B" w:rsidRDefault="00716660" w:rsidP="00716660">
    <w:pPr>
      <w:tabs>
        <w:tab w:val="center" w:pos="4536"/>
        <w:tab w:val="right" w:pos="9639"/>
      </w:tabs>
      <w:ind w:right="-851"/>
      <w:rPr>
        <w:noProof/>
        <w:sz w:val="2"/>
        <w:lang w:val="en-US"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1AB"/>
    <w:multiLevelType w:val="hybridMultilevel"/>
    <w:tmpl w:val="304EA7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0E25"/>
    <w:multiLevelType w:val="hybridMultilevel"/>
    <w:tmpl w:val="8D2E8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2C77E5E"/>
    <w:multiLevelType w:val="hybridMultilevel"/>
    <w:tmpl w:val="E2240C5C"/>
    <w:lvl w:ilvl="0" w:tplc="AFF856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876047435">
    <w:abstractNumId w:val="0"/>
  </w:num>
  <w:num w:numId="2" w16cid:durableId="172109064">
    <w:abstractNumId w:val="1"/>
  </w:num>
  <w:num w:numId="3" w16cid:durableId="79313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8F"/>
    <w:rsid w:val="00014365"/>
    <w:rsid w:val="000308FA"/>
    <w:rsid w:val="000B2C4F"/>
    <w:rsid w:val="000C3D99"/>
    <w:rsid w:val="000C4908"/>
    <w:rsid w:val="00142D11"/>
    <w:rsid w:val="001A00A0"/>
    <w:rsid w:val="001B2387"/>
    <w:rsid w:val="001E22C5"/>
    <w:rsid w:val="00221F38"/>
    <w:rsid w:val="00232600"/>
    <w:rsid w:val="002425BC"/>
    <w:rsid w:val="00247063"/>
    <w:rsid w:val="002A7A21"/>
    <w:rsid w:val="002B1A80"/>
    <w:rsid w:val="002B2EA6"/>
    <w:rsid w:val="002E67FC"/>
    <w:rsid w:val="002F5163"/>
    <w:rsid w:val="00302986"/>
    <w:rsid w:val="00306573"/>
    <w:rsid w:val="003331DA"/>
    <w:rsid w:val="00342530"/>
    <w:rsid w:val="00386B11"/>
    <w:rsid w:val="003A1295"/>
    <w:rsid w:val="003A63E5"/>
    <w:rsid w:val="003C2696"/>
    <w:rsid w:val="003D1472"/>
    <w:rsid w:val="00407205"/>
    <w:rsid w:val="00431AEE"/>
    <w:rsid w:val="004338E5"/>
    <w:rsid w:val="00462C94"/>
    <w:rsid w:val="00482081"/>
    <w:rsid w:val="004A0BD4"/>
    <w:rsid w:val="004A6FC4"/>
    <w:rsid w:val="004B67EF"/>
    <w:rsid w:val="004F268C"/>
    <w:rsid w:val="004F271F"/>
    <w:rsid w:val="00512CC7"/>
    <w:rsid w:val="00524ABA"/>
    <w:rsid w:val="00536E85"/>
    <w:rsid w:val="00562022"/>
    <w:rsid w:val="00593304"/>
    <w:rsid w:val="005B1431"/>
    <w:rsid w:val="005D179E"/>
    <w:rsid w:val="005E2400"/>
    <w:rsid w:val="005E6E92"/>
    <w:rsid w:val="005F2126"/>
    <w:rsid w:val="00620C6A"/>
    <w:rsid w:val="0063034B"/>
    <w:rsid w:val="006758F5"/>
    <w:rsid w:val="006770D5"/>
    <w:rsid w:val="0068183E"/>
    <w:rsid w:val="00683531"/>
    <w:rsid w:val="006A3CEE"/>
    <w:rsid w:val="006A514E"/>
    <w:rsid w:val="006F149C"/>
    <w:rsid w:val="00716660"/>
    <w:rsid w:val="00725FC4"/>
    <w:rsid w:val="007275CF"/>
    <w:rsid w:val="00732C23"/>
    <w:rsid w:val="00744D36"/>
    <w:rsid w:val="00746287"/>
    <w:rsid w:val="00775E21"/>
    <w:rsid w:val="007A6825"/>
    <w:rsid w:val="007B263F"/>
    <w:rsid w:val="007B2A41"/>
    <w:rsid w:val="007E6639"/>
    <w:rsid w:val="007F71D4"/>
    <w:rsid w:val="00821A35"/>
    <w:rsid w:val="00822916"/>
    <w:rsid w:val="00866FD9"/>
    <w:rsid w:val="008A1E81"/>
    <w:rsid w:val="008C165E"/>
    <w:rsid w:val="008C3FA7"/>
    <w:rsid w:val="008C552D"/>
    <w:rsid w:val="008C7EB7"/>
    <w:rsid w:val="008F70BE"/>
    <w:rsid w:val="00912C46"/>
    <w:rsid w:val="00916C78"/>
    <w:rsid w:val="00937F0A"/>
    <w:rsid w:val="00945A38"/>
    <w:rsid w:val="009475D4"/>
    <w:rsid w:val="00960B66"/>
    <w:rsid w:val="00984573"/>
    <w:rsid w:val="009F6F80"/>
    <w:rsid w:val="00A1028F"/>
    <w:rsid w:val="00A152A7"/>
    <w:rsid w:val="00A21682"/>
    <w:rsid w:val="00A23ED0"/>
    <w:rsid w:val="00A248FC"/>
    <w:rsid w:val="00A528E6"/>
    <w:rsid w:val="00A55D8B"/>
    <w:rsid w:val="00AD0DB4"/>
    <w:rsid w:val="00AD48CE"/>
    <w:rsid w:val="00AD7515"/>
    <w:rsid w:val="00AF306E"/>
    <w:rsid w:val="00B22675"/>
    <w:rsid w:val="00B40BB6"/>
    <w:rsid w:val="00B42FE8"/>
    <w:rsid w:val="00B44485"/>
    <w:rsid w:val="00B555C5"/>
    <w:rsid w:val="00BA495B"/>
    <w:rsid w:val="00BB76DE"/>
    <w:rsid w:val="00BD5CB8"/>
    <w:rsid w:val="00BE06AB"/>
    <w:rsid w:val="00C007DC"/>
    <w:rsid w:val="00C15A1B"/>
    <w:rsid w:val="00C165A2"/>
    <w:rsid w:val="00C228E5"/>
    <w:rsid w:val="00C371BA"/>
    <w:rsid w:val="00C80CC6"/>
    <w:rsid w:val="00C85E1C"/>
    <w:rsid w:val="00CB082C"/>
    <w:rsid w:val="00CC2E1F"/>
    <w:rsid w:val="00CF01A8"/>
    <w:rsid w:val="00D2105B"/>
    <w:rsid w:val="00D24223"/>
    <w:rsid w:val="00D27557"/>
    <w:rsid w:val="00D27B2D"/>
    <w:rsid w:val="00D4048E"/>
    <w:rsid w:val="00D65C65"/>
    <w:rsid w:val="00D85032"/>
    <w:rsid w:val="00D91193"/>
    <w:rsid w:val="00D93DA5"/>
    <w:rsid w:val="00DA6ADF"/>
    <w:rsid w:val="00DD1841"/>
    <w:rsid w:val="00DD52D4"/>
    <w:rsid w:val="00DE73B8"/>
    <w:rsid w:val="00E4156F"/>
    <w:rsid w:val="00E55DC5"/>
    <w:rsid w:val="00E86334"/>
    <w:rsid w:val="00EC1EB3"/>
    <w:rsid w:val="00ED51C5"/>
    <w:rsid w:val="00F20F3D"/>
    <w:rsid w:val="00F33DB5"/>
    <w:rsid w:val="00F37A4D"/>
    <w:rsid w:val="00F535D8"/>
    <w:rsid w:val="00F84EB4"/>
    <w:rsid w:val="00F871EB"/>
    <w:rsid w:val="00FA7CFB"/>
    <w:rsid w:val="00FC27C4"/>
    <w:rsid w:val="00FD287C"/>
    <w:rsid w:val="00FE4629"/>
    <w:rsid w:val="00FF4A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F47F1"/>
  <w15:chartTrackingRefBased/>
  <w15:docId w15:val="{B6FF3325-F865-48C7-A0DE-F3D3F5D1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28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028F"/>
    <w:pPr>
      <w:jc w:val="both"/>
    </w:pPr>
    <w:rPr>
      <w:sz w:val="18"/>
      <w:szCs w:val="20"/>
      <w:lang w:val="bg-BG"/>
    </w:rPr>
  </w:style>
  <w:style w:type="paragraph" w:styleId="Header">
    <w:name w:val="header"/>
    <w:basedOn w:val="Normal"/>
    <w:link w:val="HeaderChar"/>
    <w:rsid w:val="00A528E6"/>
    <w:pPr>
      <w:tabs>
        <w:tab w:val="center" w:pos="4536"/>
        <w:tab w:val="right" w:pos="9072"/>
      </w:tabs>
    </w:pPr>
  </w:style>
  <w:style w:type="paragraph" w:styleId="Footer">
    <w:name w:val="footer"/>
    <w:basedOn w:val="Normal"/>
    <w:rsid w:val="00A528E6"/>
    <w:pPr>
      <w:tabs>
        <w:tab w:val="center" w:pos="4536"/>
        <w:tab w:val="right" w:pos="9072"/>
      </w:tabs>
    </w:pPr>
  </w:style>
  <w:style w:type="paragraph" w:customStyle="1" w:styleId="a">
    <w:basedOn w:val="Normal"/>
    <w:rsid w:val="00D27557"/>
    <w:pPr>
      <w:tabs>
        <w:tab w:val="left" w:pos="709"/>
      </w:tabs>
    </w:pPr>
    <w:rPr>
      <w:rFonts w:ascii="Tahoma" w:hAnsi="Tahoma"/>
      <w:lang w:val="pl-PL" w:eastAsia="pl-PL"/>
    </w:rPr>
  </w:style>
  <w:style w:type="character" w:customStyle="1" w:styleId="HeaderChar">
    <w:name w:val="Header Char"/>
    <w:link w:val="Header"/>
    <w:rsid w:val="008C7EB7"/>
    <w:rPr>
      <w:sz w:val="24"/>
      <w:szCs w:val="24"/>
      <w:lang w:val="en-GB"/>
    </w:rPr>
  </w:style>
  <w:style w:type="paragraph" w:styleId="FootnoteText">
    <w:name w:val="footnote text"/>
    <w:aliases w:val="Footnote Text Char1, Car Car Char, Car Car"/>
    <w:basedOn w:val="Normal"/>
    <w:link w:val="FootnoteTextChar"/>
    <w:rsid w:val="00221F38"/>
    <w:rPr>
      <w:sz w:val="20"/>
      <w:szCs w:val="20"/>
      <w:lang w:eastAsia="hr-HR"/>
    </w:rPr>
  </w:style>
  <w:style w:type="character" w:customStyle="1" w:styleId="FootnoteTextChar">
    <w:name w:val="Footnote Text Char"/>
    <w:aliases w:val="Footnote Text Char1 Char, Car Car Char Char, Car Car Char1"/>
    <w:link w:val="FootnoteText"/>
    <w:rsid w:val="00221F38"/>
    <w:rPr>
      <w:lang w:val="en-GB" w:eastAsia="hr-HR"/>
    </w:rPr>
  </w:style>
  <w:style w:type="character" w:styleId="FootnoteReference">
    <w:name w:val="footnote reference"/>
    <w:rsid w:val="00221F38"/>
    <w:rPr>
      <w:vertAlign w:val="superscript"/>
    </w:rPr>
  </w:style>
  <w:style w:type="paragraph" w:customStyle="1" w:styleId="Default">
    <w:name w:val="Default"/>
    <w:rsid w:val="00221F38"/>
    <w:pPr>
      <w:autoSpaceDE w:val="0"/>
      <w:autoSpaceDN w:val="0"/>
      <w:adjustRightInd w:val="0"/>
    </w:pPr>
    <w:rPr>
      <w:rFonts w:ascii="Arial" w:hAnsi="Arial" w:cs="Arial"/>
      <w:color w:val="000000"/>
      <w:sz w:val="24"/>
      <w:szCs w:val="24"/>
      <w:lang w:val="en-GB" w:eastAsia="en-GB"/>
    </w:rPr>
  </w:style>
  <w:style w:type="paragraph" w:styleId="EndnoteText">
    <w:name w:val="endnote text"/>
    <w:basedOn w:val="Normal"/>
    <w:link w:val="EndnoteTextChar"/>
    <w:unhideWhenUsed/>
    <w:rsid w:val="00142D11"/>
    <w:rPr>
      <w:rFonts w:ascii="HebarU" w:hAnsi="HebarU"/>
      <w:sz w:val="20"/>
      <w:szCs w:val="20"/>
      <w:lang w:eastAsia="bg-BG"/>
    </w:rPr>
  </w:style>
  <w:style w:type="character" w:customStyle="1" w:styleId="EndnoteTextChar">
    <w:name w:val="Endnote Text Char"/>
    <w:basedOn w:val="DefaultParagraphFont"/>
    <w:link w:val="EndnoteText"/>
    <w:rsid w:val="00142D11"/>
    <w:rPr>
      <w:rFonts w:ascii="HebarU" w:hAnsi="HebarU"/>
      <w:lang w:val="en-GB"/>
    </w:rPr>
  </w:style>
  <w:style w:type="character" w:styleId="EndnoteReference">
    <w:name w:val="endnote reference"/>
    <w:unhideWhenUsed/>
    <w:rsid w:val="00142D11"/>
    <w:rPr>
      <w:vertAlign w:val="superscript"/>
    </w:rPr>
  </w:style>
  <w:style w:type="paragraph" w:styleId="NormalWeb">
    <w:name w:val="Normal (Web)"/>
    <w:basedOn w:val="Normal"/>
    <w:rsid w:val="00142D11"/>
    <w:pPr>
      <w:spacing w:before="100" w:beforeAutospacing="1" w:after="100" w:afterAutospacing="1"/>
    </w:pPr>
    <w:rPr>
      <w:lang w:val="bg-BG" w:eastAsia="bg-BG"/>
    </w:rPr>
  </w:style>
  <w:style w:type="paragraph" w:styleId="ListParagraph">
    <w:name w:val="List Paragraph"/>
    <w:basedOn w:val="Normal"/>
    <w:uiPriority w:val="34"/>
    <w:qFormat/>
    <w:rsid w:val="00302986"/>
    <w:pPr>
      <w:ind w:left="720"/>
      <w:contextualSpacing/>
    </w:pPr>
  </w:style>
  <w:style w:type="character" w:customStyle="1" w:styleId="st">
    <w:name w:val="st"/>
    <w:basedOn w:val="DefaultParagraphFont"/>
    <w:rsid w:val="00302986"/>
  </w:style>
  <w:style w:type="character" w:styleId="CommentReference">
    <w:name w:val="annotation reference"/>
    <w:basedOn w:val="DefaultParagraphFont"/>
    <w:rsid w:val="00BA495B"/>
    <w:rPr>
      <w:sz w:val="16"/>
      <w:szCs w:val="16"/>
    </w:rPr>
  </w:style>
  <w:style w:type="paragraph" w:styleId="CommentText">
    <w:name w:val="annotation text"/>
    <w:basedOn w:val="Normal"/>
    <w:link w:val="CommentTextChar"/>
    <w:uiPriority w:val="99"/>
    <w:rsid w:val="00BA495B"/>
    <w:rPr>
      <w:sz w:val="20"/>
      <w:szCs w:val="20"/>
    </w:rPr>
  </w:style>
  <w:style w:type="character" w:customStyle="1" w:styleId="CommentTextChar">
    <w:name w:val="Comment Text Char"/>
    <w:basedOn w:val="DefaultParagraphFont"/>
    <w:link w:val="CommentText"/>
    <w:uiPriority w:val="99"/>
    <w:rsid w:val="00BA495B"/>
    <w:rPr>
      <w:lang w:val="en-GB" w:eastAsia="en-US"/>
    </w:rPr>
  </w:style>
  <w:style w:type="paragraph" w:styleId="CommentSubject">
    <w:name w:val="annotation subject"/>
    <w:basedOn w:val="CommentText"/>
    <w:next w:val="CommentText"/>
    <w:link w:val="CommentSubjectChar"/>
    <w:rsid w:val="00BA495B"/>
    <w:rPr>
      <w:b/>
      <w:bCs/>
    </w:rPr>
  </w:style>
  <w:style w:type="character" w:customStyle="1" w:styleId="CommentSubjectChar">
    <w:name w:val="Comment Subject Char"/>
    <w:basedOn w:val="CommentTextChar"/>
    <w:link w:val="CommentSubject"/>
    <w:rsid w:val="00BA495B"/>
    <w:rPr>
      <w:b/>
      <w:bCs/>
      <w:lang w:val="en-GB" w:eastAsia="en-US"/>
    </w:rPr>
  </w:style>
  <w:style w:type="paragraph" w:styleId="BalloonText">
    <w:name w:val="Balloon Text"/>
    <w:basedOn w:val="Normal"/>
    <w:link w:val="BalloonTextChar"/>
    <w:rsid w:val="00BA495B"/>
    <w:rPr>
      <w:rFonts w:ascii="Segoe UI" w:hAnsi="Segoe UI" w:cs="Segoe UI"/>
      <w:sz w:val="18"/>
      <w:szCs w:val="18"/>
    </w:rPr>
  </w:style>
  <w:style w:type="character" w:customStyle="1" w:styleId="BalloonTextChar">
    <w:name w:val="Balloon Text Char"/>
    <w:basedOn w:val="DefaultParagraphFont"/>
    <w:link w:val="BalloonText"/>
    <w:rsid w:val="00BA495B"/>
    <w:rPr>
      <w:rFonts w:ascii="Segoe UI" w:hAnsi="Segoe UI" w:cs="Segoe UI"/>
      <w:sz w:val="18"/>
      <w:szCs w:val="18"/>
      <w:lang w:val="en-GB" w:eastAsia="en-US"/>
    </w:rPr>
  </w:style>
  <w:style w:type="character" w:styleId="Hyperlink">
    <w:name w:val="Hyperlink"/>
    <w:basedOn w:val="DefaultParagraphFont"/>
    <w:uiPriority w:val="99"/>
    <w:unhideWhenUsed/>
    <w:rsid w:val="00BA4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117">
      <w:bodyDiv w:val="1"/>
      <w:marLeft w:val="0"/>
      <w:marRight w:val="0"/>
      <w:marTop w:val="0"/>
      <w:marBottom w:val="0"/>
      <w:divBdr>
        <w:top w:val="none" w:sz="0" w:space="0" w:color="auto"/>
        <w:left w:val="none" w:sz="0" w:space="0" w:color="auto"/>
        <w:bottom w:val="none" w:sz="0" w:space="0" w:color="auto"/>
        <w:right w:val="none" w:sz="0" w:space="0" w:color="auto"/>
      </w:divBdr>
    </w:div>
    <w:div w:id="11849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3AA9-0B1D-4C43-82B2-5DB501D6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Искане за промяна</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Искане за промяна</dc:title>
  <dc:subject/>
  <dc:creator>RTsvetanova</dc:creator>
  <cp:keywords/>
  <cp:lastModifiedBy>Petya Petrova</cp:lastModifiedBy>
  <cp:revision>3</cp:revision>
  <cp:lastPrinted>2011-10-11T08:19:00Z</cp:lastPrinted>
  <dcterms:created xsi:type="dcterms:W3CDTF">2023-10-23T13:57:00Z</dcterms:created>
  <dcterms:modified xsi:type="dcterms:W3CDTF">2023-10-25T12:29:00Z</dcterms:modified>
</cp:coreProperties>
</file>