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4758C" w:rsidRPr="00186682" w14:paraId="6910918E" w14:textId="77777777" w:rsidTr="00B37251">
        <w:tc>
          <w:tcPr>
            <w:tcW w:w="9776" w:type="dxa"/>
            <w:shd w:val="clear" w:color="auto" w:fill="D9D9D9" w:themeFill="background1" w:themeFillShade="D9"/>
          </w:tcPr>
          <w:p w14:paraId="3F659ACB" w14:textId="5F5C981D" w:rsidR="00D4758C" w:rsidRPr="00186682" w:rsidRDefault="000D5863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Съгласно Националната приоритетна рамка за действие за мрежата Натура 2000 на България за периода 2021-2027 г. 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(НРПД) 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чрез Програма „Околна среда 2021-2027 г.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(ПОС)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следва да се осигури подкрепа за изпълнението на 37 от планираните мерки, както следва: 2, 3, 4, 5, 10, 12, 23, 24, 26, 27, 28, 29, 31, 33, 35, 36, 46, 47, 48, 49, 53, 54, 55, 56, 60, 61, 62, 63,64, 65, 67, 68, 69, 70, 71, </w:t>
            </w:r>
            <w:r w:rsidR="00251B4B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72 и 74. </w:t>
            </w:r>
          </w:p>
          <w:p w14:paraId="0F9C535C" w14:textId="77777777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02CC644" w14:textId="046008B6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Чрез изпълнението на ПОС следва да се подобри природозащитното състояние на определени видове и местообитания, предмет на опазване в целевите за програмата защитени зони от мрежата Натура 2000. Състоянието на видовете и местообитанията се докладва към ЕК от България на всеки 6 години съгласно чл. 17 от Директивата за местообитанията като оценките  се определят за всеки отделен  </w:t>
            </w:r>
            <w:proofErr w:type="spellStart"/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биогеоргафски</w:t>
            </w:r>
            <w:proofErr w:type="spellEnd"/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регион (за България Алпийски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ALP</w:t>
            </w:r>
            <w:r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Континентален</w:t>
            </w:r>
            <w:r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</w:t>
            </w:r>
            <w:r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Черноморски </w:t>
            </w:r>
            <w:r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BLS</w:t>
            </w:r>
            <w:r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Морски регион Черно море (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MBLS</w:t>
            </w:r>
            <w:r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Един вид или едно местообитание може да има повече от една оценка, ако е разпространен/ разпространено в повече от един биогеографски регион.</w:t>
            </w:r>
          </w:p>
          <w:p w14:paraId="2150C140" w14:textId="3212658E" w:rsidR="00251B4B" w:rsidRPr="00186682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2A0AEF3E" w14:textId="194E7625" w:rsidR="000F7781" w:rsidRPr="000F7781" w:rsidRDefault="007643C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отношение на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защитените видове,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НРПД предвижда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оценки да бъдат подобрени (или поне да покажат положителна тенденция) на биогеографско ниво от общо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453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От тези оценки </w:t>
            </w:r>
            <w:r w:rsidR="002B49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49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 планира да бъдат подобрени (или поне да покажат положителна тенденция) чрез подкрепа от ПОС, което се равнява на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10.8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 от общия брой. Тази стойност е заложена в програмата като целева по показател за резултат „</w:t>
            </w:r>
            <w:r w:rsidR="000F7781"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Специфичен за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F7781"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програмата</w:t>
            </w:r>
          </w:p>
          <w:p w14:paraId="06CEBFFF" w14:textId="7DCE1D3E" w:rsidR="00251B4B" w:rsidRPr="00186682" w:rsidRDefault="000F7781" w:rsidP="000F778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индикатор 3.2</w:t>
            </w:r>
            <w:r w:rsidR="007643C1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“. </w:t>
            </w:r>
          </w:p>
          <w:p w14:paraId="09009E7E" w14:textId="77777777" w:rsidR="00251B4B" w:rsidRPr="00B37251" w:rsidRDefault="00251B4B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5F660FA2" w14:textId="2020502D" w:rsidR="009F6C52" w:rsidRPr="00186682" w:rsidRDefault="009F6C52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Ако чрез ПОС за даден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защитен вид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НРПД е планирано подобрение само в един биогеографски регион, чрез изпълнението само на една мярка, то при включване на всички 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целеви зони в които тази мярка следва да се изпълни в даден проект, то по този проект може да се отчете една подобрена оценка. Кандидатът следва да изчисли процентното изражение на тази една оценка спрямо заложените </w:t>
            </w:r>
            <w:r w:rsidR="00EE0345"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 програмата 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целеви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EE03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%. Ако мярката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обхваща 2 или 3 биогеографски региона, то следва да се отчетат 2 или 3 подобрени оценки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A02E3A4" w14:textId="77777777" w:rsidR="009F6C52" w:rsidRPr="00186682" w:rsidRDefault="009F6C52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6CD383A2" w14:textId="3C2D9659" w:rsidR="000F7781" w:rsidRDefault="000F7781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 процедура „Изпълнение на 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ярка 6</w:t>
            </w:r>
            <w:r w:rsid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4486D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от НРПД”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се </w:t>
            </w:r>
            <w:r w:rsidR="005069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подкрепят седем </w:t>
            </w:r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пещеролюбиви видове прилепи (1302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Rhinolophus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mehelyi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1306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Rhinolophus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blasii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1307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Myotis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blythii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 1310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Miniopterus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schreibersii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1316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Myotis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capaccinii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1323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Myotis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bechsteinii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Дългоух, 1324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Myotis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myotis</w:t>
            </w:r>
            <w:proofErr w:type="spellEnd"/>
            <w:r w:rsidR="00B37251" w:rsidRP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като не е въведено изискване за кандидатите да включат </w:t>
            </w:r>
            <w:r w:rsidR="00B372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всички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069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целеви защитени зони и всички пещери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проектите си. </w:t>
            </w:r>
          </w:p>
          <w:p w14:paraId="54A7EAF5" w14:textId="77777777" w:rsidR="000F7781" w:rsidRDefault="000F7781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B9A0F9E" w14:textId="096DCEEC" w:rsidR="009F55C0" w:rsidRPr="00186682" w:rsidRDefault="009F55C0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Това налага определяне на единен подход при който всички кандидати, независимо от обхвата на техните проекти да могат сравнително лесно да определят приноса си за постигане на показателя за резултат.</w:t>
            </w:r>
          </w:p>
          <w:p w14:paraId="7754EE0E" w14:textId="77777777" w:rsidR="009F55C0" w:rsidRPr="00186682" w:rsidRDefault="009F55C0" w:rsidP="000448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5DC2C96" w14:textId="2D4A46E2" w:rsidR="007643C1" w:rsidRPr="00186682" w:rsidRDefault="009F55C0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УО на ПОС 2021-20</w:t>
            </w:r>
            <w:r w:rsidR="005069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 г. </w:t>
            </w:r>
            <w:r w:rsidR="008965B4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разработи такъв подход на </w:t>
            </w:r>
            <w:r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база на обхвата на </w:t>
            </w:r>
            <w:r w:rsidR="000F77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мярката</w:t>
            </w:r>
            <w:r w:rsidR="008965B4" w:rsidRPr="001866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както следва:</w:t>
            </w:r>
          </w:p>
          <w:p w14:paraId="2A2F0647" w14:textId="717E5051" w:rsidR="008965B4" w:rsidRPr="00186682" w:rsidRDefault="008965B4" w:rsidP="00251B4B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64331" w:rsidRPr="00186682" w14:paraId="5AF68BA7" w14:textId="77777777" w:rsidTr="00B37251">
        <w:tc>
          <w:tcPr>
            <w:tcW w:w="9776" w:type="dxa"/>
            <w:shd w:val="clear" w:color="auto" w:fill="D9D9D9" w:themeFill="background1" w:themeFillShade="D9"/>
          </w:tcPr>
          <w:p w14:paraId="0635D9F0" w14:textId="5ED0FC38" w:rsidR="00964331" w:rsidRPr="00186682" w:rsidRDefault="002C6E3E" w:rsidP="009643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Целеви зони за вида </w:t>
            </w:r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1302 </w:t>
            </w:r>
            <w:proofErr w:type="spellStart"/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Rhinolophus</w:t>
            </w:r>
            <w:proofErr w:type="spellEnd"/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mehelyi</w:t>
            </w:r>
            <w:proofErr w:type="spellEnd"/>
          </w:p>
        </w:tc>
      </w:tr>
      <w:tr w:rsidR="002C6E3E" w:rsidRPr="00186682" w14:paraId="1852EFA1" w14:textId="77777777" w:rsidTr="00B37251">
        <w:tc>
          <w:tcPr>
            <w:tcW w:w="9776" w:type="dxa"/>
          </w:tcPr>
          <w:p w14:paraId="314AA970" w14:textId="125159AD" w:rsidR="002C6E3E" w:rsidRPr="00186682" w:rsidRDefault="00C1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64331" w:rsidRPr="00186682" w14:paraId="514D3E73" w14:textId="77777777" w:rsidTr="00B37251">
        <w:tc>
          <w:tcPr>
            <w:tcW w:w="9776" w:type="dxa"/>
            <w:shd w:val="clear" w:color="auto" w:fill="D9D9D9" w:themeFill="background1" w:themeFillShade="D9"/>
          </w:tcPr>
          <w:p w14:paraId="0E9DA846" w14:textId="6C371325" w:rsidR="00964331" w:rsidRPr="00186682" w:rsidRDefault="002C6E3E" w:rsidP="009643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8648749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Целеви зони за вида </w:t>
            </w:r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1306 </w:t>
            </w:r>
            <w:proofErr w:type="spellStart"/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Rhinolophus</w:t>
            </w:r>
            <w:proofErr w:type="spellEnd"/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37251"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blasii</w:t>
            </w:r>
            <w:proofErr w:type="spellEnd"/>
          </w:p>
        </w:tc>
      </w:tr>
      <w:tr w:rsidR="002C6E3E" w:rsidRPr="00186682" w14:paraId="7BBF8683" w14:textId="77777777" w:rsidTr="00B37251">
        <w:tc>
          <w:tcPr>
            <w:tcW w:w="9776" w:type="dxa"/>
          </w:tcPr>
          <w:p w14:paraId="4151D75B" w14:textId="55E9F5D9" w:rsidR="00B37251" w:rsidRPr="00186682" w:rsidRDefault="00C17CFD" w:rsidP="00764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bookmarkEnd w:id="0"/>
      <w:tr w:rsidR="00B37251" w:rsidRPr="00186682" w14:paraId="34CF3902" w14:textId="77777777" w:rsidTr="00B37251">
        <w:tc>
          <w:tcPr>
            <w:tcW w:w="9776" w:type="dxa"/>
            <w:shd w:val="clear" w:color="auto" w:fill="D9D9D9" w:themeFill="background1" w:themeFillShade="D9"/>
          </w:tcPr>
          <w:p w14:paraId="15CEACFE" w14:textId="26516A7F" w:rsidR="00B37251" w:rsidRPr="00186682" w:rsidRDefault="00B37251" w:rsidP="006E7D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Целеви зони за вида </w:t>
            </w:r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1307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Myotis</w:t>
            </w:r>
            <w:proofErr w:type="spellEnd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blythii</w:t>
            </w:r>
            <w:proofErr w:type="spellEnd"/>
          </w:p>
        </w:tc>
      </w:tr>
      <w:tr w:rsidR="00B37251" w:rsidRPr="00186682" w14:paraId="5A1D2076" w14:textId="77777777" w:rsidTr="00B37251">
        <w:tc>
          <w:tcPr>
            <w:tcW w:w="9776" w:type="dxa"/>
          </w:tcPr>
          <w:p w14:paraId="0CCAC611" w14:textId="0B8961EC" w:rsidR="00B37251" w:rsidRPr="00186682" w:rsidRDefault="00C17CFD" w:rsidP="006E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tr w:rsidR="00B37251" w:rsidRPr="00186682" w14:paraId="46A43587" w14:textId="77777777" w:rsidTr="00B37251">
        <w:tc>
          <w:tcPr>
            <w:tcW w:w="9776" w:type="dxa"/>
            <w:shd w:val="clear" w:color="auto" w:fill="D9D9D9" w:themeFill="background1" w:themeFillShade="D9"/>
          </w:tcPr>
          <w:p w14:paraId="1A0B82C3" w14:textId="3D546A85" w:rsidR="00B37251" w:rsidRPr="00186682" w:rsidRDefault="00B37251" w:rsidP="006E7D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5864885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Целеви зони за вида </w:t>
            </w:r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1310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Miniopterus</w:t>
            </w:r>
            <w:proofErr w:type="spellEnd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schreibersii</w:t>
            </w:r>
            <w:proofErr w:type="spellEnd"/>
          </w:p>
        </w:tc>
      </w:tr>
      <w:tr w:rsidR="00B37251" w:rsidRPr="00186682" w14:paraId="1A456747" w14:textId="77777777" w:rsidTr="00B37251">
        <w:tc>
          <w:tcPr>
            <w:tcW w:w="9776" w:type="dxa"/>
          </w:tcPr>
          <w:p w14:paraId="24A648D9" w14:textId="307E5747" w:rsidR="00B37251" w:rsidRPr="00186682" w:rsidRDefault="00C17CFD" w:rsidP="006E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bookmarkEnd w:id="1"/>
      <w:tr w:rsidR="00B37251" w:rsidRPr="00186682" w14:paraId="0E293CAF" w14:textId="77777777" w:rsidTr="006E7D52">
        <w:tc>
          <w:tcPr>
            <w:tcW w:w="9776" w:type="dxa"/>
            <w:shd w:val="clear" w:color="auto" w:fill="D9D9D9" w:themeFill="background1" w:themeFillShade="D9"/>
          </w:tcPr>
          <w:p w14:paraId="5B4C0358" w14:textId="6992EBF3" w:rsidR="00B37251" w:rsidRPr="00186682" w:rsidRDefault="00B37251" w:rsidP="006E7D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Целеви зони за вида </w:t>
            </w:r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1316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Myotis</w:t>
            </w:r>
            <w:proofErr w:type="spellEnd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capaccinii</w:t>
            </w:r>
            <w:proofErr w:type="spellEnd"/>
          </w:p>
        </w:tc>
      </w:tr>
      <w:tr w:rsidR="00B37251" w:rsidRPr="00186682" w14:paraId="481E2312" w14:textId="77777777" w:rsidTr="006E7D52">
        <w:tc>
          <w:tcPr>
            <w:tcW w:w="9776" w:type="dxa"/>
          </w:tcPr>
          <w:p w14:paraId="151B01BB" w14:textId="79E70FA3" w:rsidR="00B37251" w:rsidRPr="00186682" w:rsidRDefault="00C17CFD" w:rsidP="006E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</w:t>
            </w:r>
            <w:r w:rsidRPr="00C17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BG0000593, BG0000594, BG0000608, BG0000610, BG0000613, BG0000615, BG0001013, BG0001036.</w:t>
            </w:r>
          </w:p>
        </w:tc>
      </w:tr>
      <w:tr w:rsidR="00B37251" w:rsidRPr="00186682" w14:paraId="2EBCF281" w14:textId="77777777" w:rsidTr="006E7D52">
        <w:tc>
          <w:tcPr>
            <w:tcW w:w="9776" w:type="dxa"/>
            <w:shd w:val="clear" w:color="auto" w:fill="D9D9D9" w:themeFill="background1" w:themeFillShade="D9"/>
          </w:tcPr>
          <w:p w14:paraId="78534CF9" w14:textId="2187D84D" w:rsidR="00B37251" w:rsidRPr="00186682" w:rsidRDefault="00B37251" w:rsidP="006E7D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5864891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Целеви зони за вида </w:t>
            </w:r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1323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Myotis</w:t>
            </w:r>
            <w:proofErr w:type="spellEnd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bechsteinii</w:t>
            </w:r>
            <w:proofErr w:type="spellEnd"/>
          </w:p>
        </w:tc>
      </w:tr>
      <w:tr w:rsidR="00B37251" w:rsidRPr="00186682" w14:paraId="4393BC9C" w14:textId="77777777" w:rsidTr="006E7D52">
        <w:tc>
          <w:tcPr>
            <w:tcW w:w="9776" w:type="dxa"/>
          </w:tcPr>
          <w:p w14:paraId="7B7145E8" w14:textId="304FE00B" w:rsidR="00B37251" w:rsidRPr="00186682" w:rsidRDefault="00C17CFD" w:rsidP="006E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bookmarkEnd w:id="2"/>
      <w:tr w:rsidR="00B37251" w:rsidRPr="00186682" w14:paraId="21785755" w14:textId="77777777" w:rsidTr="006E7D52">
        <w:tc>
          <w:tcPr>
            <w:tcW w:w="9776" w:type="dxa"/>
            <w:shd w:val="clear" w:color="auto" w:fill="D9D9D9" w:themeFill="background1" w:themeFillShade="D9"/>
          </w:tcPr>
          <w:p w14:paraId="6ABE4C0C" w14:textId="0C64E0BF" w:rsidR="00B37251" w:rsidRPr="00186682" w:rsidRDefault="00B37251" w:rsidP="006E7D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Целеви зони за вида </w:t>
            </w:r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Myotis</w:t>
            </w:r>
            <w:proofErr w:type="spellEnd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7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myotis</w:t>
            </w:r>
            <w:proofErr w:type="spellEnd"/>
          </w:p>
        </w:tc>
      </w:tr>
      <w:tr w:rsidR="00B37251" w:rsidRPr="00186682" w14:paraId="0757B7C8" w14:textId="77777777" w:rsidTr="006E7D52">
        <w:tc>
          <w:tcPr>
            <w:tcW w:w="9776" w:type="dxa"/>
          </w:tcPr>
          <w:p w14:paraId="42BDD315" w14:textId="0352DB58" w:rsidR="00B37251" w:rsidRPr="00186682" w:rsidRDefault="00C17CFD" w:rsidP="006E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CFD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</w:tbl>
    <w:p w14:paraId="0D0687C4" w14:textId="41B5D22E" w:rsidR="00610B4D" w:rsidRPr="00186682" w:rsidRDefault="00610B4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2410"/>
        <w:gridCol w:w="3685"/>
      </w:tblGrid>
      <w:tr w:rsidR="000B53F1" w:rsidRPr="00186682" w14:paraId="18018778" w14:textId="77777777" w:rsidTr="00425A02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BC0459B" w14:textId="7F196CAE" w:rsidR="00E1191E" w:rsidRPr="00186682" w:rsidRDefault="002C6E3E" w:rsidP="00EE0345">
            <w:pPr>
              <w:pStyle w:val="ListParagraph"/>
              <w:ind w:left="22"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8405854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Защитен вид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A3B1423" w14:textId="4FE03840" w:rsidR="00E1191E" w:rsidRPr="00EE0345" w:rsidRDefault="00E1191E" w:rsidP="00EE0345">
            <w:pPr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на мярка от НРПД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778071D5" w14:textId="14DCD2EA" w:rsidR="00E1191E" w:rsidRPr="00EE0345" w:rsidRDefault="00E1191E" w:rsidP="00EE0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Биогеографски регион/ бр. оценки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159BE088" w14:textId="4D0CD7A7" w:rsidR="00E1191E" w:rsidRPr="00EE0345" w:rsidRDefault="00E1191E" w:rsidP="00EE0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03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Целеви защитени зони</w:t>
            </w:r>
          </w:p>
        </w:tc>
      </w:tr>
      <w:tr w:rsidR="00EE0345" w:rsidRPr="00186682" w14:paraId="1F0A00BB" w14:textId="77777777" w:rsidTr="00425A02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5FA2E4CC" w14:textId="353890DB" w:rsidR="00EE0345" w:rsidRPr="00186682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29176617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14:paraId="073044E6" w14:textId="5619E452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14:paraId="61CFD669" w14:textId="56585624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6A6A6" w:themeFill="background1" w:themeFillShade="A6"/>
            <w:vAlign w:val="center"/>
          </w:tcPr>
          <w:p w14:paraId="7D617672" w14:textId="15ED7953" w:rsidR="00EE0345" w:rsidRPr="00EE0345" w:rsidRDefault="00EE0345" w:rsidP="00EE03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4"/>
      <w:tr w:rsidR="000B53F1" w:rsidRPr="00186682" w14:paraId="037CA8CF" w14:textId="77777777" w:rsidTr="00425A02">
        <w:tc>
          <w:tcPr>
            <w:tcW w:w="2263" w:type="dxa"/>
            <w:vAlign w:val="center"/>
          </w:tcPr>
          <w:p w14:paraId="17D4B5B0" w14:textId="1DCFE6B8" w:rsidR="00E1191E" w:rsidRPr="002C6E3E" w:rsidRDefault="005C7FBB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FBB">
              <w:rPr>
                <w:rFonts w:ascii="Times New Roman" w:hAnsi="Times New Roman" w:cs="Times New Roman"/>
                <w:sz w:val="24"/>
                <w:szCs w:val="24"/>
              </w:rPr>
              <w:t xml:space="preserve">1302 </w:t>
            </w:r>
            <w:proofErr w:type="spellStart"/>
            <w:r w:rsidRPr="005C7FBB">
              <w:rPr>
                <w:rFonts w:ascii="Times New Roman" w:hAnsi="Times New Roman" w:cs="Times New Roman"/>
                <w:sz w:val="24"/>
                <w:szCs w:val="24"/>
              </w:rPr>
              <w:t>Rhinolophus</w:t>
            </w:r>
            <w:proofErr w:type="spellEnd"/>
            <w:r w:rsidRPr="005C7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FBB">
              <w:rPr>
                <w:rFonts w:ascii="Times New Roman" w:hAnsi="Times New Roman" w:cs="Times New Roman"/>
                <w:sz w:val="24"/>
                <w:szCs w:val="24"/>
              </w:rPr>
              <w:t>mehelyi</w:t>
            </w:r>
            <w:proofErr w:type="spellEnd"/>
          </w:p>
        </w:tc>
        <w:tc>
          <w:tcPr>
            <w:tcW w:w="1418" w:type="dxa"/>
            <w:vAlign w:val="center"/>
          </w:tcPr>
          <w:p w14:paraId="564AE2E0" w14:textId="13D440C0" w:rsidR="00E1191E" w:rsidRPr="005C7FBB" w:rsidRDefault="002C6E3E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7F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vAlign w:val="center"/>
          </w:tcPr>
          <w:p w14:paraId="6B638860" w14:textId="77777777" w:rsidR="00E1191E" w:rsidRDefault="002C6E3E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ALP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  <w:r w:rsid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/BLS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E1191E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бр.</w:t>
            </w:r>
            <w:r w:rsidR="00472292" w:rsidRPr="00186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EE7F39" w14:textId="71F434F0" w:rsidR="00425A02" w:rsidRPr="00186682" w:rsidRDefault="00425A02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05936B01" w14:textId="1CB56E2D" w:rsidR="00E1191E" w:rsidRPr="00B37251" w:rsidRDefault="005C05A7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BG0000613, BG0000615, BG0001013, BG0001036.</w:t>
            </w:r>
          </w:p>
        </w:tc>
      </w:tr>
      <w:tr w:rsidR="000B53F1" w:rsidRPr="00186682" w14:paraId="59FAC8B4" w14:textId="77777777" w:rsidTr="00425A02">
        <w:tc>
          <w:tcPr>
            <w:tcW w:w="2263" w:type="dxa"/>
            <w:vAlign w:val="center"/>
          </w:tcPr>
          <w:p w14:paraId="518A2430" w14:textId="0A0C7BE8" w:rsidR="00E1191E" w:rsidRPr="002C6E3E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1306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Rhinolophus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blasii</w:t>
            </w:r>
            <w:proofErr w:type="spellEnd"/>
          </w:p>
        </w:tc>
        <w:tc>
          <w:tcPr>
            <w:tcW w:w="1418" w:type="dxa"/>
            <w:vAlign w:val="center"/>
          </w:tcPr>
          <w:p w14:paraId="3B9B2280" w14:textId="7CF4FF9B" w:rsidR="00E1191E" w:rsidRPr="005C05A7" w:rsidRDefault="002C6E3E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vAlign w:val="center"/>
          </w:tcPr>
          <w:p w14:paraId="309D0580" w14:textId="77777777" w:rsidR="00E1191E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5A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ALP/CON/BLS 3 </w:t>
            </w:r>
            <w:proofErr w:type="spellStart"/>
            <w:r w:rsidRPr="00425A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425A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98752E7" w14:textId="409FC31D" w:rsidR="00425A02" w:rsidRPr="00425A02" w:rsidRDefault="00425A02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7844FEB" w14:textId="77507875" w:rsidR="00E1191E" w:rsidRPr="00B37251" w:rsidRDefault="005C05A7" w:rsidP="00EE03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tr w:rsidR="005C05A7" w:rsidRPr="00186682" w14:paraId="6033561B" w14:textId="77777777" w:rsidTr="00425A02">
        <w:tc>
          <w:tcPr>
            <w:tcW w:w="2263" w:type="dxa"/>
            <w:vAlign w:val="center"/>
          </w:tcPr>
          <w:p w14:paraId="0BD43737" w14:textId="482B7256" w:rsidR="005C05A7" w:rsidRP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1307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blythii</w:t>
            </w:r>
            <w:proofErr w:type="spellEnd"/>
          </w:p>
        </w:tc>
        <w:tc>
          <w:tcPr>
            <w:tcW w:w="1418" w:type="dxa"/>
            <w:vAlign w:val="center"/>
          </w:tcPr>
          <w:p w14:paraId="6756E230" w14:textId="1FAE6C1D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vAlign w:val="center"/>
          </w:tcPr>
          <w:p w14:paraId="070861DF" w14:textId="77777777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ALP/CON/BLS 3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B3047E6" w14:textId="4C0D06FA" w:rsidR="00425A02" w:rsidRDefault="00425A02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5642EAB7" w14:textId="652A159D" w:rsidR="005C05A7" w:rsidRPr="005C05A7" w:rsidRDefault="005C05A7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BG0000613, BG0000615, BG0001013, BG0001036.</w:t>
            </w:r>
          </w:p>
        </w:tc>
      </w:tr>
      <w:tr w:rsidR="005C05A7" w:rsidRPr="00186682" w14:paraId="1D3B5C5E" w14:textId="77777777" w:rsidTr="00425A02">
        <w:tc>
          <w:tcPr>
            <w:tcW w:w="2263" w:type="dxa"/>
            <w:vAlign w:val="center"/>
          </w:tcPr>
          <w:p w14:paraId="62F7CDCA" w14:textId="21172669" w:rsidR="005C05A7" w:rsidRP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1310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Miniopterus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schreibersii</w:t>
            </w:r>
            <w:proofErr w:type="spellEnd"/>
          </w:p>
        </w:tc>
        <w:tc>
          <w:tcPr>
            <w:tcW w:w="1418" w:type="dxa"/>
            <w:vAlign w:val="center"/>
          </w:tcPr>
          <w:p w14:paraId="579EA9D4" w14:textId="1D891C42" w:rsidR="005C05A7" w:rsidRP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410" w:type="dxa"/>
            <w:vAlign w:val="center"/>
          </w:tcPr>
          <w:p w14:paraId="09FD2B26" w14:textId="77777777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ALP/CON/BLS 3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E615FC" w14:textId="2AD17DB0" w:rsidR="00425A02" w:rsidRPr="005C05A7" w:rsidRDefault="00425A02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21E65AF0" w14:textId="1A8C24A5" w:rsidR="005C05A7" w:rsidRPr="005C05A7" w:rsidRDefault="005C05A7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tr w:rsidR="005C05A7" w:rsidRPr="00186682" w14:paraId="53F0B08C" w14:textId="77777777" w:rsidTr="00425A02">
        <w:tc>
          <w:tcPr>
            <w:tcW w:w="2263" w:type="dxa"/>
            <w:vAlign w:val="center"/>
          </w:tcPr>
          <w:p w14:paraId="0B5530E9" w14:textId="058DC7A2" w:rsidR="005C05A7" w:rsidRP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1316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capaccinii</w:t>
            </w:r>
            <w:proofErr w:type="spellEnd"/>
          </w:p>
        </w:tc>
        <w:tc>
          <w:tcPr>
            <w:tcW w:w="1418" w:type="dxa"/>
            <w:vAlign w:val="center"/>
          </w:tcPr>
          <w:p w14:paraId="5E422233" w14:textId="2BD568F8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410" w:type="dxa"/>
            <w:vAlign w:val="center"/>
          </w:tcPr>
          <w:p w14:paraId="30D82732" w14:textId="77777777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ALP/CON/BLS 3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A26EA47" w14:textId="41CF8CBF" w:rsidR="00BF2DF6" w:rsidRPr="005C05A7" w:rsidRDefault="00BF2DF6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31F660EA" w14:textId="0D66840B" w:rsidR="005C05A7" w:rsidRPr="005C05A7" w:rsidRDefault="005C05A7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BG0000613, BG0000615, BG0001013, BG0001036.</w:t>
            </w:r>
          </w:p>
        </w:tc>
      </w:tr>
      <w:tr w:rsidR="005C05A7" w:rsidRPr="00186682" w14:paraId="5EAC7F5B" w14:textId="77777777" w:rsidTr="00425A02">
        <w:tc>
          <w:tcPr>
            <w:tcW w:w="2263" w:type="dxa"/>
            <w:vAlign w:val="center"/>
          </w:tcPr>
          <w:p w14:paraId="6E13A0DA" w14:textId="47CE3232" w:rsidR="005C05A7" w:rsidRP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1323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bechsteinii</w:t>
            </w:r>
            <w:proofErr w:type="spellEnd"/>
          </w:p>
        </w:tc>
        <w:tc>
          <w:tcPr>
            <w:tcW w:w="1418" w:type="dxa"/>
            <w:vAlign w:val="center"/>
          </w:tcPr>
          <w:p w14:paraId="020EBD51" w14:textId="5DA9D08E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410" w:type="dxa"/>
            <w:vAlign w:val="center"/>
          </w:tcPr>
          <w:p w14:paraId="5BC201F4" w14:textId="77777777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ALP/CON/BLS 3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A81721E" w14:textId="525763FC" w:rsidR="00BF2DF6" w:rsidRPr="005C05A7" w:rsidRDefault="00BF2DF6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2303AA64" w14:textId="14017ECB" w:rsidR="005C05A7" w:rsidRPr="005C05A7" w:rsidRDefault="005C05A7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</w:tc>
      </w:tr>
      <w:tr w:rsidR="005C05A7" w:rsidRPr="00186682" w14:paraId="082E5048" w14:textId="77777777" w:rsidTr="00425A02">
        <w:tc>
          <w:tcPr>
            <w:tcW w:w="2263" w:type="dxa"/>
            <w:vAlign w:val="center"/>
          </w:tcPr>
          <w:p w14:paraId="4D379C59" w14:textId="61D0C112" w:rsidR="005C05A7" w:rsidRP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1324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</w:p>
        </w:tc>
        <w:tc>
          <w:tcPr>
            <w:tcW w:w="1418" w:type="dxa"/>
            <w:vAlign w:val="center"/>
          </w:tcPr>
          <w:p w14:paraId="6975EADB" w14:textId="2C99B59F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410" w:type="dxa"/>
            <w:vAlign w:val="center"/>
          </w:tcPr>
          <w:p w14:paraId="220C14DE" w14:textId="77777777" w:rsidR="005C05A7" w:rsidRDefault="005C05A7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ALP/CON/BLS 3 </w:t>
            </w:r>
            <w:proofErr w:type="spellStart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5C0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BBFBC4E" w14:textId="7DA3AA43" w:rsidR="00BF2DF6" w:rsidRPr="005C05A7" w:rsidRDefault="00BF2DF6" w:rsidP="00E119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vAlign w:val="center"/>
          </w:tcPr>
          <w:p w14:paraId="35A7F9FE" w14:textId="1869E11B" w:rsidR="005C05A7" w:rsidRPr="005C05A7" w:rsidRDefault="005C05A7" w:rsidP="00EE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5A7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</w:t>
            </w:r>
            <w:r w:rsidRPr="005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BG0000613, BG0000615, BG0001013, BG0001036.</w:t>
            </w:r>
          </w:p>
        </w:tc>
      </w:tr>
      <w:bookmarkEnd w:id="3"/>
    </w:tbl>
    <w:p w14:paraId="3EDF595A" w14:textId="5D634B97" w:rsidR="00246EA7" w:rsidRPr="00186682" w:rsidRDefault="00246EA7">
      <w:pPr>
        <w:rPr>
          <w:rFonts w:ascii="Times New Roman" w:hAnsi="Times New Roman" w:cs="Times New Roman"/>
          <w:sz w:val="24"/>
          <w:szCs w:val="24"/>
        </w:rPr>
      </w:pPr>
    </w:p>
    <w:p w14:paraId="4557D93D" w14:textId="733ADFDE" w:rsidR="00DC2382" w:rsidRDefault="00186682" w:rsidP="00AD0EBE">
      <w:pPr>
        <w:jc w:val="both"/>
        <w:rPr>
          <w:rFonts w:ascii="Times New Roman" w:hAnsi="Times New Roman" w:cs="Times New Roman"/>
          <w:sz w:val="24"/>
          <w:szCs w:val="24"/>
        </w:rPr>
      </w:pPr>
      <w:r w:rsidRPr="00186682">
        <w:rPr>
          <w:rFonts w:ascii="Times New Roman" w:hAnsi="Times New Roman" w:cs="Times New Roman"/>
          <w:sz w:val="24"/>
          <w:szCs w:val="24"/>
        </w:rPr>
        <w:t xml:space="preserve">Чрез ПОС 2021-2027 г. следва да бъдат подобрени общо </w:t>
      </w:r>
      <w:r w:rsidR="008A2359">
        <w:rPr>
          <w:rFonts w:ascii="Times New Roman" w:hAnsi="Times New Roman" w:cs="Times New Roman"/>
          <w:sz w:val="24"/>
          <w:szCs w:val="24"/>
        </w:rPr>
        <w:t>49</w:t>
      </w:r>
      <w:r w:rsidRPr="00186682">
        <w:rPr>
          <w:rFonts w:ascii="Times New Roman" w:hAnsi="Times New Roman" w:cs="Times New Roman"/>
          <w:sz w:val="24"/>
          <w:szCs w:val="24"/>
        </w:rPr>
        <w:t xml:space="preserve"> оценки на </w:t>
      </w:r>
      <w:r w:rsidR="008A2359">
        <w:rPr>
          <w:rFonts w:ascii="Times New Roman" w:hAnsi="Times New Roman" w:cs="Times New Roman"/>
          <w:sz w:val="24"/>
          <w:szCs w:val="24"/>
        </w:rPr>
        <w:t>защитени видове</w:t>
      </w:r>
      <w:r w:rsidRPr="00186682">
        <w:rPr>
          <w:rFonts w:ascii="Times New Roman" w:hAnsi="Times New Roman" w:cs="Times New Roman"/>
          <w:sz w:val="24"/>
          <w:szCs w:val="24"/>
        </w:rPr>
        <w:t>, с което ще се постигне целевата стойност по показател за резултат „3.</w:t>
      </w:r>
      <w:r w:rsidR="00AD0EBE">
        <w:rPr>
          <w:rFonts w:ascii="Times New Roman" w:hAnsi="Times New Roman" w:cs="Times New Roman"/>
          <w:sz w:val="24"/>
          <w:szCs w:val="24"/>
        </w:rPr>
        <w:t>2</w:t>
      </w:r>
      <w:r w:rsidRPr="00186682">
        <w:rPr>
          <w:rFonts w:ascii="Times New Roman" w:hAnsi="Times New Roman" w:cs="Times New Roman"/>
          <w:sz w:val="24"/>
          <w:szCs w:val="24"/>
        </w:rPr>
        <w:t xml:space="preserve">. </w:t>
      </w:r>
      <w:r w:rsidR="00AD0EBE" w:rsidRPr="00AD0EBE">
        <w:rPr>
          <w:rFonts w:ascii="Times New Roman" w:hAnsi="Times New Roman" w:cs="Times New Roman"/>
          <w:sz w:val="24"/>
          <w:szCs w:val="24"/>
        </w:rPr>
        <w:t>Видове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подобрен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природозащитен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статус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(или с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тенденция за</w:t>
      </w:r>
      <w:r w:rsidR="00AD0EBE">
        <w:rPr>
          <w:rFonts w:ascii="Times New Roman" w:hAnsi="Times New Roman" w:cs="Times New Roman"/>
          <w:sz w:val="24"/>
          <w:szCs w:val="24"/>
        </w:rPr>
        <w:t xml:space="preserve"> </w:t>
      </w:r>
      <w:r w:rsidR="00AD0EBE" w:rsidRPr="00AD0EBE">
        <w:rPr>
          <w:rFonts w:ascii="Times New Roman" w:hAnsi="Times New Roman" w:cs="Times New Roman"/>
          <w:sz w:val="24"/>
          <w:szCs w:val="24"/>
        </w:rPr>
        <w:t>подобряване)</w:t>
      </w:r>
      <w:r w:rsidR="00AD0EBE">
        <w:rPr>
          <w:rFonts w:ascii="Times New Roman" w:hAnsi="Times New Roman" w:cs="Times New Roman"/>
          <w:sz w:val="24"/>
          <w:szCs w:val="24"/>
        </w:rPr>
        <w:t xml:space="preserve">“ </w:t>
      </w:r>
      <w:r w:rsidRPr="00186682">
        <w:rPr>
          <w:rFonts w:ascii="Times New Roman" w:hAnsi="Times New Roman" w:cs="Times New Roman"/>
          <w:sz w:val="24"/>
          <w:szCs w:val="24"/>
        </w:rPr>
        <w:t xml:space="preserve">- </w:t>
      </w:r>
      <w:r w:rsidR="00AD0EBE">
        <w:rPr>
          <w:rFonts w:ascii="Times New Roman" w:hAnsi="Times New Roman" w:cs="Times New Roman"/>
          <w:sz w:val="24"/>
          <w:szCs w:val="24"/>
        </w:rPr>
        <w:t>10</w:t>
      </w:r>
      <w:r w:rsidRPr="00186682">
        <w:rPr>
          <w:rFonts w:ascii="Times New Roman" w:hAnsi="Times New Roman" w:cs="Times New Roman"/>
          <w:sz w:val="24"/>
          <w:szCs w:val="24"/>
        </w:rPr>
        <w:t>,</w:t>
      </w:r>
      <w:r w:rsidR="00AD0EBE">
        <w:rPr>
          <w:rFonts w:ascii="Times New Roman" w:hAnsi="Times New Roman" w:cs="Times New Roman"/>
          <w:sz w:val="24"/>
          <w:szCs w:val="24"/>
        </w:rPr>
        <w:t>8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>. Следователно една оценка се равнява на 0,</w:t>
      </w:r>
      <w:r w:rsidR="00AD0EBE">
        <w:rPr>
          <w:rFonts w:ascii="Times New Roman" w:hAnsi="Times New Roman" w:cs="Times New Roman"/>
          <w:sz w:val="24"/>
          <w:szCs w:val="24"/>
        </w:rPr>
        <w:t xml:space="preserve">2 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 xml:space="preserve">. </w:t>
      </w:r>
      <w:r w:rsidR="00DC2382" w:rsidRPr="00186682">
        <w:rPr>
          <w:rFonts w:ascii="Times New Roman" w:hAnsi="Times New Roman" w:cs="Times New Roman"/>
          <w:sz w:val="24"/>
          <w:szCs w:val="24"/>
        </w:rPr>
        <w:t>Предвид факта, че кандидатите могат да правят различни комбинации в проектните си предложения</w:t>
      </w:r>
      <w:r w:rsidRPr="00186682">
        <w:rPr>
          <w:rFonts w:ascii="Times New Roman" w:hAnsi="Times New Roman" w:cs="Times New Roman"/>
          <w:sz w:val="24"/>
          <w:szCs w:val="24"/>
        </w:rPr>
        <w:t xml:space="preserve"> и може да не „покрият“ изцяло необходимия обхват за подобряване на една оценка или 0,</w:t>
      </w:r>
      <w:r w:rsidR="00AD0EBE">
        <w:rPr>
          <w:rFonts w:ascii="Times New Roman" w:hAnsi="Times New Roman" w:cs="Times New Roman"/>
          <w:sz w:val="24"/>
          <w:szCs w:val="24"/>
        </w:rPr>
        <w:t xml:space="preserve">2 </w:t>
      </w:r>
      <w:r w:rsidR="00EE0345">
        <w:rPr>
          <w:rFonts w:ascii="Times New Roman" w:hAnsi="Times New Roman" w:cs="Times New Roman"/>
          <w:sz w:val="24"/>
          <w:szCs w:val="24"/>
        </w:rPr>
        <w:t>%</w:t>
      </w:r>
      <w:r w:rsidRPr="00186682">
        <w:rPr>
          <w:rFonts w:ascii="Times New Roman" w:hAnsi="Times New Roman" w:cs="Times New Roman"/>
          <w:sz w:val="24"/>
          <w:szCs w:val="24"/>
        </w:rPr>
        <w:t xml:space="preserve">, 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следва да се оцени приносът на най-ниското </w:t>
      </w:r>
      <w:r w:rsidRPr="00186682">
        <w:rPr>
          <w:rFonts w:ascii="Times New Roman" w:hAnsi="Times New Roman" w:cs="Times New Roman"/>
          <w:sz w:val="24"/>
          <w:szCs w:val="24"/>
        </w:rPr>
        <w:t>възможно ниво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 – целева защитена зона по мярка</w:t>
      </w:r>
      <w:r w:rsidR="00AD0EBE">
        <w:rPr>
          <w:rFonts w:ascii="Times New Roman" w:hAnsi="Times New Roman" w:cs="Times New Roman"/>
          <w:sz w:val="24"/>
          <w:szCs w:val="24"/>
        </w:rPr>
        <w:t>та</w:t>
      </w:r>
      <w:r w:rsidR="00472292" w:rsidRPr="0018668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този смисъл в</w:t>
      </w:r>
      <w:r w:rsidR="00DC2382" w:rsidRPr="00186682">
        <w:rPr>
          <w:rFonts w:ascii="Times New Roman" w:hAnsi="Times New Roman" w:cs="Times New Roman"/>
          <w:sz w:val="24"/>
          <w:szCs w:val="24"/>
        </w:rPr>
        <w:t xml:space="preserve">сяка </w:t>
      </w:r>
      <w:r w:rsidR="00797CD3" w:rsidRPr="00186682">
        <w:rPr>
          <w:rFonts w:ascii="Times New Roman" w:hAnsi="Times New Roman" w:cs="Times New Roman"/>
          <w:sz w:val="24"/>
          <w:szCs w:val="24"/>
        </w:rPr>
        <w:t xml:space="preserve">целева защитена зона </w:t>
      </w:r>
      <w:r w:rsidR="00E1191E" w:rsidRPr="00186682">
        <w:rPr>
          <w:rFonts w:ascii="Times New Roman" w:hAnsi="Times New Roman" w:cs="Times New Roman"/>
          <w:sz w:val="24"/>
          <w:szCs w:val="24"/>
        </w:rPr>
        <w:t xml:space="preserve">от колона № 4 </w:t>
      </w:r>
      <w:r w:rsidR="00797CD3" w:rsidRPr="00186682">
        <w:rPr>
          <w:rFonts w:ascii="Times New Roman" w:hAnsi="Times New Roman" w:cs="Times New Roman"/>
          <w:sz w:val="24"/>
          <w:szCs w:val="24"/>
        </w:rPr>
        <w:t xml:space="preserve">се разглежда като единица допринасяща за подобряване </w:t>
      </w:r>
      <w:r w:rsidR="00E1191E" w:rsidRPr="00186682">
        <w:rPr>
          <w:rFonts w:ascii="Times New Roman" w:hAnsi="Times New Roman" w:cs="Times New Roman"/>
          <w:sz w:val="24"/>
          <w:szCs w:val="24"/>
        </w:rPr>
        <w:t>на о</w:t>
      </w:r>
      <w:r w:rsidR="00472292" w:rsidRPr="00186682">
        <w:rPr>
          <w:rFonts w:ascii="Times New Roman" w:hAnsi="Times New Roman" w:cs="Times New Roman"/>
          <w:sz w:val="24"/>
          <w:szCs w:val="24"/>
        </w:rPr>
        <w:t>ценката/оценките от колона № 3</w:t>
      </w:r>
      <w:r>
        <w:rPr>
          <w:rFonts w:ascii="Times New Roman" w:hAnsi="Times New Roman" w:cs="Times New Roman"/>
          <w:sz w:val="24"/>
          <w:szCs w:val="24"/>
        </w:rPr>
        <w:t xml:space="preserve"> и приносът на тази зона се изчислява като се съотнесе броят на всички целеви зони от колона № 4 към броя оценки от колона № 3. На тази база приносът на проекта се изчислява спрямо включените </w:t>
      </w:r>
      <w:r w:rsidR="00026D9F">
        <w:rPr>
          <w:rFonts w:ascii="Times New Roman" w:hAnsi="Times New Roman" w:cs="Times New Roman"/>
          <w:sz w:val="24"/>
          <w:szCs w:val="24"/>
        </w:rPr>
        <w:t xml:space="preserve">целеви </w:t>
      </w:r>
      <w:r w:rsidR="00AD0EBE">
        <w:rPr>
          <w:rFonts w:ascii="Times New Roman" w:hAnsi="Times New Roman" w:cs="Times New Roman"/>
          <w:sz w:val="24"/>
          <w:szCs w:val="24"/>
        </w:rPr>
        <w:t>видове</w:t>
      </w:r>
      <w:r w:rsidR="00026D9F">
        <w:rPr>
          <w:rFonts w:ascii="Times New Roman" w:hAnsi="Times New Roman" w:cs="Times New Roman"/>
          <w:sz w:val="24"/>
          <w:szCs w:val="24"/>
        </w:rPr>
        <w:t xml:space="preserve"> </w:t>
      </w:r>
      <w:r w:rsidR="00A03CDA">
        <w:rPr>
          <w:rFonts w:ascii="Times New Roman" w:hAnsi="Times New Roman" w:cs="Times New Roman"/>
          <w:sz w:val="24"/>
          <w:szCs w:val="24"/>
        </w:rPr>
        <w:t xml:space="preserve">в </w:t>
      </w:r>
      <w:r w:rsidR="00026D9F">
        <w:rPr>
          <w:rFonts w:ascii="Times New Roman" w:hAnsi="Times New Roman" w:cs="Times New Roman"/>
          <w:sz w:val="24"/>
          <w:szCs w:val="24"/>
        </w:rPr>
        <w:t>целевите за тях защитен</w:t>
      </w:r>
      <w:r w:rsidR="00A03CDA">
        <w:rPr>
          <w:rFonts w:ascii="Times New Roman" w:hAnsi="Times New Roman" w:cs="Times New Roman"/>
          <w:sz w:val="24"/>
          <w:szCs w:val="24"/>
        </w:rPr>
        <w:t>и</w:t>
      </w:r>
      <w:r w:rsidR="00026D9F">
        <w:rPr>
          <w:rFonts w:ascii="Times New Roman" w:hAnsi="Times New Roman" w:cs="Times New Roman"/>
          <w:sz w:val="24"/>
          <w:szCs w:val="24"/>
        </w:rPr>
        <w:t xml:space="preserve"> зони</w:t>
      </w:r>
      <w:r w:rsidR="00A03CDA">
        <w:rPr>
          <w:rFonts w:ascii="Times New Roman" w:hAnsi="Times New Roman" w:cs="Times New Roman"/>
          <w:sz w:val="24"/>
          <w:szCs w:val="24"/>
        </w:rPr>
        <w:t>,</w:t>
      </w:r>
      <w:r w:rsidR="00026D9F">
        <w:rPr>
          <w:rFonts w:ascii="Times New Roman" w:hAnsi="Times New Roman" w:cs="Times New Roman"/>
          <w:sz w:val="24"/>
          <w:szCs w:val="24"/>
        </w:rPr>
        <w:t xml:space="preserve"> като се сумират процентите за всяка включена в проекта </w:t>
      </w:r>
      <w:r w:rsidR="00AD0EBE">
        <w:rPr>
          <w:rFonts w:ascii="Times New Roman" w:hAnsi="Times New Roman" w:cs="Times New Roman"/>
          <w:sz w:val="24"/>
          <w:szCs w:val="24"/>
        </w:rPr>
        <w:t xml:space="preserve">зона </w:t>
      </w:r>
      <w:r w:rsidR="00026D9F">
        <w:rPr>
          <w:rFonts w:ascii="Times New Roman" w:hAnsi="Times New Roman" w:cs="Times New Roman"/>
          <w:sz w:val="24"/>
          <w:szCs w:val="24"/>
        </w:rPr>
        <w:t>от колона № 4</w:t>
      </w:r>
      <w:r>
        <w:rPr>
          <w:rFonts w:ascii="Times New Roman" w:hAnsi="Times New Roman" w:cs="Times New Roman"/>
          <w:sz w:val="24"/>
          <w:szCs w:val="24"/>
        </w:rPr>
        <w:t>, съгласно следната таблица: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993"/>
        <w:gridCol w:w="2409"/>
        <w:gridCol w:w="4111"/>
      </w:tblGrid>
      <w:tr w:rsidR="00186682" w:rsidRPr="00BB0DBA" w14:paraId="452DF93F" w14:textId="77777777" w:rsidTr="00E75CAF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5AD2628" w14:textId="77777777" w:rsidR="00186682" w:rsidRPr="00BB0DBA" w:rsidRDefault="00186682" w:rsidP="00EE0345">
            <w:pPr>
              <w:tabs>
                <w:tab w:val="left" w:pos="306"/>
              </w:tabs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на природно местообитание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E9DCBFC" w14:textId="33936050" w:rsidR="00186682" w:rsidRPr="00BB0DBA" w:rsidRDefault="000B53F1" w:rsidP="00AC1609">
            <w:pPr>
              <w:tabs>
                <w:tab w:val="left" w:pos="288"/>
              </w:tabs>
              <w:ind w:right="4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мярка от </w:t>
            </w:r>
            <w:r w:rsidR="00AC1609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РПД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6A75B43" w14:textId="219F33CA" w:rsidR="00186682" w:rsidRPr="00BB0DBA" w:rsidRDefault="00EE0345" w:rsidP="00AC1609">
            <w:pPr>
              <w:pStyle w:val="ListParagraph"/>
              <w:tabs>
                <w:tab w:val="left" w:pos="317"/>
              </w:tabs>
              <w:ind w:left="2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="00186682"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иогеографски регион/ бр. оценки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D64F594" w14:textId="77777777" w:rsidR="00186682" w:rsidRPr="00BB0DBA" w:rsidRDefault="00186682" w:rsidP="00EE0345">
            <w:pPr>
              <w:tabs>
                <w:tab w:val="left" w:pos="319"/>
              </w:tabs>
              <w:ind w:right="29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Целеви защитени зони</w:t>
            </w:r>
          </w:p>
        </w:tc>
      </w:tr>
      <w:tr w:rsidR="00EE0345" w:rsidRPr="00BB0DBA" w14:paraId="6C5260BC" w14:textId="77777777" w:rsidTr="00E75CAF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53C9D2B1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6A6A6" w:themeFill="background1" w:themeFillShade="A6"/>
            <w:vAlign w:val="center"/>
          </w:tcPr>
          <w:p w14:paraId="00A4C45E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6A6A6" w:themeFill="background1" w:themeFillShade="A6"/>
            <w:vAlign w:val="center"/>
          </w:tcPr>
          <w:p w14:paraId="4C0E0B7C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6A6A6" w:themeFill="background1" w:themeFillShade="A6"/>
            <w:vAlign w:val="center"/>
          </w:tcPr>
          <w:p w14:paraId="51DB7CDF" w14:textId="77777777" w:rsidR="00EE0345" w:rsidRPr="00BB0DBA" w:rsidRDefault="00EE0345" w:rsidP="00F02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D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123C" w:rsidRPr="009D0C0D" w14:paraId="4138EFB8" w14:textId="77777777" w:rsidTr="00E75CAF">
        <w:tc>
          <w:tcPr>
            <w:tcW w:w="2263" w:type="dxa"/>
          </w:tcPr>
          <w:p w14:paraId="0FBFAE7F" w14:textId="6ADACDEC" w:rsidR="00EE123C" w:rsidRPr="00BB0DBA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1302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Rhinolophus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mehelyi</w:t>
            </w:r>
            <w:proofErr w:type="spellEnd"/>
          </w:p>
        </w:tc>
        <w:tc>
          <w:tcPr>
            <w:tcW w:w="993" w:type="dxa"/>
          </w:tcPr>
          <w:p w14:paraId="4795F1FD" w14:textId="07F19230" w:rsidR="00EE123C" w:rsidRPr="00AD0EB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05C6315F" w14:textId="77777777" w:rsidR="00E75CAF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5E71450F" w14:textId="0C5DCA64" w:rsidR="00EE123C" w:rsidRPr="00AD0EB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CAF" w:rsidRPr="00E75CAF">
              <w:rPr>
                <w:rFonts w:ascii="Times New Roman" w:hAnsi="Times New Roman" w:cs="Times New Roman"/>
                <w:sz w:val="24"/>
                <w:szCs w:val="24"/>
              </w:rPr>
              <w:t>(0,6 %)</w:t>
            </w:r>
          </w:p>
        </w:tc>
        <w:tc>
          <w:tcPr>
            <w:tcW w:w="4111" w:type="dxa"/>
          </w:tcPr>
          <w:p w14:paraId="3BDAB506" w14:textId="7380A6EB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71C22CAD" w14:textId="04F4AFBF" w:rsidR="00D925BB" w:rsidRPr="00EE123C" w:rsidRDefault="00D925BB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EE123C" w:rsidRPr="009D0C0D" w14:paraId="01B42857" w14:textId="77777777" w:rsidTr="00E75CAF">
        <w:tc>
          <w:tcPr>
            <w:tcW w:w="2263" w:type="dxa"/>
          </w:tcPr>
          <w:p w14:paraId="40513DE3" w14:textId="489331FD" w:rsidR="00EE123C" w:rsidRPr="00F6079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1306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Rhinolophus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blasii</w:t>
            </w:r>
            <w:proofErr w:type="spellEnd"/>
          </w:p>
        </w:tc>
        <w:tc>
          <w:tcPr>
            <w:tcW w:w="993" w:type="dxa"/>
          </w:tcPr>
          <w:p w14:paraId="07BFF15B" w14:textId="397C1C3E" w:rsidR="00EE123C" w:rsidRPr="00AD0EB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38591043" w14:textId="77777777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699AD2E6" w14:textId="4BD1A378" w:rsidR="00E75CAF" w:rsidRPr="00F6079E" w:rsidRDefault="00E75CAF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4111" w:type="dxa"/>
          </w:tcPr>
          <w:p w14:paraId="69FE411C" w14:textId="29907252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</w:t>
            </w:r>
            <w:r w:rsidRPr="00EE1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699484B6" w14:textId="348DADE4" w:rsidR="00D925BB" w:rsidRPr="00EE123C" w:rsidRDefault="00D925BB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EE123C" w:rsidRPr="009D0C0D" w14:paraId="1CD76E25" w14:textId="77777777" w:rsidTr="00E75CAF">
        <w:tc>
          <w:tcPr>
            <w:tcW w:w="2263" w:type="dxa"/>
          </w:tcPr>
          <w:p w14:paraId="5FCE3283" w14:textId="3B749C8B" w:rsidR="00EE123C" w:rsidRPr="002C6E3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1307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blythii</w:t>
            </w:r>
            <w:proofErr w:type="spellEnd"/>
          </w:p>
        </w:tc>
        <w:tc>
          <w:tcPr>
            <w:tcW w:w="993" w:type="dxa"/>
          </w:tcPr>
          <w:p w14:paraId="0474C5BA" w14:textId="03A6674D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168CA4B9" w14:textId="77777777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0ED226E6" w14:textId="2C9815E4" w:rsidR="00E75CAF" w:rsidRPr="00EE123C" w:rsidRDefault="00E75CAF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4111" w:type="dxa"/>
          </w:tcPr>
          <w:p w14:paraId="4DD36ECC" w14:textId="257E6B76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2F2AED1E" w14:textId="633C0CA3" w:rsidR="00D925BB" w:rsidRPr="00B37251" w:rsidRDefault="00D925BB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EE123C" w:rsidRPr="009D0C0D" w14:paraId="194985CF" w14:textId="77777777" w:rsidTr="00E75CAF">
        <w:tc>
          <w:tcPr>
            <w:tcW w:w="2263" w:type="dxa"/>
          </w:tcPr>
          <w:p w14:paraId="53F6FF5E" w14:textId="07D75B03" w:rsidR="00EE123C" w:rsidRPr="002C6E3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1310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Miniopterus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schreibersii</w:t>
            </w:r>
            <w:proofErr w:type="spellEnd"/>
          </w:p>
        </w:tc>
        <w:tc>
          <w:tcPr>
            <w:tcW w:w="993" w:type="dxa"/>
          </w:tcPr>
          <w:p w14:paraId="45AF9A1B" w14:textId="6BCB357D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7CF538F8" w14:textId="77777777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7CB7D94B" w14:textId="669777A7" w:rsidR="00E75CAF" w:rsidRPr="00EE123C" w:rsidRDefault="00E75CAF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4111" w:type="dxa"/>
          </w:tcPr>
          <w:p w14:paraId="68318135" w14:textId="7DED6621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34180A22" w14:textId="37D0EBF6" w:rsidR="00D925BB" w:rsidRPr="00B37251" w:rsidRDefault="00D925BB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EE123C" w:rsidRPr="009D0C0D" w14:paraId="3E0A6D53" w14:textId="77777777" w:rsidTr="00E75CAF">
        <w:tc>
          <w:tcPr>
            <w:tcW w:w="2263" w:type="dxa"/>
          </w:tcPr>
          <w:p w14:paraId="2CE9F455" w14:textId="5E1F524D" w:rsidR="00EE123C" w:rsidRPr="002C6E3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1316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capaccinii</w:t>
            </w:r>
            <w:proofErr w:type="spellEnd"/>
          </w:p>
        </w:tc>
        <w:tc>
          <w:tcPr>
            <w:tcW w:w="993" w:type="dxa"/>
          </w:tcPr>
          <w:p w14:paraId="264F3360" w14:textId="72A5336E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50F54CEA" w14:textId="77777777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4772C330" w14:textId="6D948EDD" w:rsidR="00E75CAF" w:rsidRPr="00EE123C" w:rsidRDefault="00E75CAF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4111" w:type="dxa"/>
          </w:tcPr>
          <w:p w14:paraId="0E3FF9F0" w14:textId="1773FF25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BG0000117, BG0000130, BG0000166, BG0000616, BG0001014, BG0001031, BG0001032, BG0001040, BG0001493, BG0000104, BG0000106, BG0000107, </w:t>
            </w:r>
            <w:r w:rsidRPr="00EE1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18B6F60F" w14:textId="3ED0AF3A" w:rsidR="00D925BB" w:rsidRPr="00B37251" w:rsidRDefault="00D925BB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EE123C" w:rsidRPr="009D0C0D" w14:paraId="68F18B7C" w14:textId="77777777" w:rsidTr="00E75CAF">
        <w:tc>
          <w:tcPr>
            <w:tcW w:w="2263" w:type="dxa"/>
          </w:tcPr>
          <w:p w14:paraId="3DD4D9D4" w14:textId="4E30D71B" w:rsidR="00EE123C" w:rsidRPr="002C6E3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1323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bechsteinii</w:t>
            </w:r>
            <w:proofErr w:type="spellEnd"/>
          </w:p>
        </w:tc>
        <w:tc>
          <w:tcPr>
            <w:tcW w:w="993" w:type="dxa"/>
          </w:tcPr>
          <w:p w14:paraId="29B563D2" w14:textId="42B907B1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398D9AAF" w14:textId="77777777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2EC345E8" w14:textId="0873F708" w:rsidR="00E75CAF" w:rsidRPr="00EE123C" w:rsidRDefault="00E75CAF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4111" w:type="dxa"/>
          </w:tcPr>
          <w:p w14:paraId="1C6BB717" w14:textId="580FEB5B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145DAE39" w14:textId="155AEA0C" w:rsidR="00D925BB" w:rsidRPr="00B37251" w:rsidRDefault="00D925BB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25BB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  <w:tr w:rsidR="00EE123C" w:rsidRPr="009D0C0D" w14:paraId="445C4F2C" w14:textId="77777777" w:rsidTr="00E75CAF">
        <w:tc>
          <w:tcPr>
            <w:tcW w:w="2263" w:type="dxa"/>
          </w:tcPr>
          <w:p w14:paraId="41688684" w14:textId="35F95365" w:rsidR="00EE123C" w:rsidRPr="002C6E3E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1324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myotis</w:t>
            </w:r>
            <w:proofErr w:type="spellEnd"/>
          </w:p>
        </w:tc>
        <w:tc>
          <w:tcPr>
            <w:tcW w:w="993" w:type="dxa"/>
          </w:tcPr>
          <w:p w14:paraId="61FD6046" w14:textId="39012089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14:paraId="0185B262" w14:textId="77777777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ALP/CON/BLS 3 бр.</w:t>
            </w:r>
          </w:p>
          <w:p w14:paraId="506353F7" w14:textId="01190C2F" w:rsidR="00E75CAF" w:rsidRPr="00EE123C" w:rsidRDefault="00E75CAF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A02">
              <w:rPr>
                <w:rFonts w:ascii="Times New Roman" w:hAnsi="Times New Roman" w:cs="Times New Roman"/>
                <w:sz w:val="24"/>
                <w:szCs w:val="24"/>
              </w:rPr>
              <w:t xml:space="preserve"> %)</w:t>
            </w:r>
          </w:p>
        </w:tc>
        <w:tc>
          <w:tcPr>
            <w:tcW w:w="4111" w:type="dxa"/>
          </w:tcPr>
          <w:p w14:paraId="00F6E147" w14:textId="75C4F5BF" w:rsidR="00EE123C" w:rsidRDefault="00EE123C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23C">
              <w:rPr>
                <w:rFonts w:ascii="Times New Roman" w:hAnsi="Times New Roman" w:cs="Times New Roman"/>
                <w:sz w:val="24"/>
                <w:szCs w:val="24"/>
              </w:rPr>
              <w:t>BG0000117, BG0000130, BG0000166, BG0000616, BG0001014, BG0001031, BG0001032, BG0001040, BG0001493, BG0000104, BG0000106, BG0000107, BG0000118, BG0000168, BG0000190, BG0000192, BG0000212, BG0000213, BG0000214, BG0000216, BG0000217, BG0000218, BG0000219, BG0000239, BG0000240, BG0000247, BG0000263, BG0000266, BG0000269, BG0000282, BG0000298, BG0000304, BG0000322, BG0000366, BG0000374, BG0000382, BG0000421, BG0000487, BG0000494, BG0000503, BG0000589, BG0000591, BG0000593, BG0000594, BG0000608, BG0000610, BG0000613, BG0000615, BG0001013, BG0001036.</w:t>
            </w:r>
          </w:p>
          <w:p w14:paraId="0D991236" w14:textId="1248DF92" w:rsidR="00451EE2" w:rsidRPr="00B37251" w:rsidRDefault="00451EE2" w:rsidP="00EE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(една защитена зона има 0,01</w:t>
            </w:r>
            <w:r w:rsidR="00A24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1EE2">
              <w:rPr>
                <w:rFonts w:ascii="Times New Roman" w:hAnsi="Times New Roman" w:cs="Times New Roman"/>
                <w:sz w:val="24"/>
                <w:szCs w:val="24"/>
              </w:rPr>
              <w:t xml:space="preserve"> % принос)</w:t>
            </w:r>
          </w:p>
        </w:tc>
      </w:tr>
    </w:tbl>
    <w:p w14:paraId="4C7B4B39" w14:textId="4DFCC1F2" w:rsidR="00186682" w:rsidRPr="00186682" w:rsidRDefault="00186682" w:rsidP="001866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89D700" w14:textId="77777777" w:rsidR="00B96AF9" w:rsidRDefault="00B96A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1F3D7D" w14:textId="6EE955B4" w:rsidR="00472292" w:rsidRPr="00E77F69" w:rsidRDefault="00E77F6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7F69">
        <w:rPr>
          <w:rFonts w:ascii="Times New Roman" w:hAnsi="Times New Roman" w:cs="Times New Roman"/>
          <w:b/>
          <w:bCs/>
          <w:sz w:val="24"/>
          <w:szCs w:val="24"/>
        </w:rPr>
        <w:t>Пример:</w:t>
      </w:r>
    </w:p>
    <w:p w14:paraId="5733D199" w14:textId="47B6D9A8" w:rsidR="00E77F69" w:rsidRDefault="00E77F69" w:rsidP="00E77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Ако дадено проектно предложение цели подобряване на природозащитното състояние </w:t>
      </w:r>
      <w:r w:rsidR="00A63A9F">
        <w:rPr>
          <w:rFonts w:ascii="Times New Roman" w:hAnsi="Times New Roman" w:cs="Times New Roman"/>
          <w:sz w:val="24"/>
          <w:szCs w:val="24"/>
        </w:rPr>
        <w:t xml:space="preserve">на вида </w:t>
      </w:r>
      <w:r w:rsidR="00420B1B">
        <w:rPr>
          <w:rFonts w:ascii="Times New Roman" w:hAnsi="Times New Roman" w:cs="Times New Roman"/>
          <w:sz w:val="24"/>
          <w:szCs w:val="24"/>
        </w:rPr>
        <w:t xml:space="preserve">1324 </w:t>
      </w:r>
      <w:proofErr w:type="spellStart"/>
      <w:r w:rsidR="00EE123C" w:rsidRPr="00EE123C">
        <w:rPr>
          <w:rFonts w:ascii="Times New Roman" w:hAnsi="Times New Roman" w:cs="Times New Roman"/>
          <w:sz w:val="24"/>
          <w:szCs w:val="24"/>
        </w:rPr>
        <w:t>Myotis</w:t>
      </w:r>
      <w:proofErr w:type="spellEnd"/>
      <w:r w:rsidR="00EE123C" w:rsidRPr="00EE12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23C" w:rsidRPr="00EE123C">
        <w:rPr>
          <w:rFonts w:ascii="Times New Roman" w:hAnsi="Times New Roman" w:cs="Times New Roman"/>
          <w:sz w:val="24"/>
          <w:szCs w:val="24"/>
        </w:rPr>
        <w:t>myotis</w:t>
      </w:r>
      <w:proofErr w:type="spellEnd"/>
      <w:r w:rsidR="00EE123C" w:rsidRPr="00EE123C">
        <w:rPr>
          <w:rFonts w:ascii="Times New Roman" w:hAnsi="Times New Roman" w:cs="Times New Roman"/>
          <w:sz w:val="24"/>
          <w:szCs w:val="24"/>
        </w:rPr>
        <w:t xml:space="preserve"> </w:t>
      </w:r>
      <w:r w:rsidR="00A63A9F">
        <w:rPr>
          <w:rFonts w:ascii="Times New Roman" w:hAnsi="Times New Roman" w:cs="Times New Roman"/>
          <w:sz w:val="24"/>
          <w:szCs w:val="24"/>
        </w:rPr>
        <w:t xml:space="preserve">в защитени зони </w:t>
      </w:r>
      <w:r w:rsidR="00EE123C" w:rsidRPr="00EE123C">
        <w:rPr>
          <w:rFonts w:ascii="Times New Roman" w:hAnsi="Times New Roman" w:cs="Times New Roman"/>
          <w:sz w:val="24"/>
          <w:szCs w:val="24"/>
        </w:rPr>
        <w:t>BG0000117, BG0000130, BG0000166</w:t>
      </w:r>
      <w:r w:rsidR="00FE1D4C">
        <w:rPr>
          <w:rFonts w:ascii="Times New Roman" w:hAnsi="Times New Roman" w:cs="Times New Roman"/>
          <w:sz w:val="24"/>
          <w:szCs w:val="24"/>
        </w:rPr>
        <w:t>, то целевата стойност на показателя за резултат се изчислява както следва:</w:t>
      </w:r>
    </w:p>
    <w:p w14:paraId="62E10650" w14:textId="4B5450FB" w:rsidR="00E77F69" w:rsidRPr="00E85913" w:rsidRDefault="00A63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*</w:t>
      </w:r>
      <w:r w:rsidR="00E77F69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 (0,0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1249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77F69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%) </w:t>
      </w:r>
      <w:r w:rsidR="00E85913" w:rsidRPr="00E85913">
        <w:rPr>
          <w:rFonts w:ascii="Times New Roman" w:hAnsi="Times New Roman" w:cs="Times New Roman"/>
          <w:b/>
          <w:bCs/>
          <w:sz w:val="24"/>
          <w:szCs w:val="24"/>
        </w:rPr>
        <w:t xml:space="preserve">= </w:t>
      </w:r>
      <w:r w:rsidR="00F92241" w:rsidRPr="0090774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12494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FE1D4C" w:rsidRPr="00907742">
        <w:rPr>
          <w:rFonts w:ascii="Times New Roman" w:hAnsi="Times New Roman" w:cs="Times New Roman"/>
          <w:b/>
          <w:bCs/>
          <w:sz w:val="24"/>
          <w:szCs w:val="24"/>
        </w:rPr>
        <w:t xml:space="preserve">% </w:t>
      </w:r>
    </w:p>
    <w:sectPr w:rsidR="00E77F69" w:rsidRPr="00E85913" w:rsidSect="000B53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3" w:right="849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7069" w14:textId="77777777" w:rsidR="00F734DA" w:rsidRDefault="00F734DA" w:rsidP="00906C9E">
      <w:pPr>
        <w:spacing w:after="0" w:line="240" w:lineRule="auto"/>
      </w:pPr>
      <w:r>
        <w:separator/>
      </w:r>
    </w:p>
  </w:endnote>
  <w:endnote w:type="continuationSeparator" w:id="0">
    <w:p w14:paraId="3DDED8DC" w14:textId="77777777" w:rsidR="00F734DA" w:rsidRDefault="00F734DA" w:rsidP="0090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3032" w14:textId="77777777" w:rsidR="00A072B3" w:rsidRDefault="00A072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762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0B921F" w14:textId="055518FC" w:rsidR="000B53F1" w:rsidRDefault="000B53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8FADD" w14:textId="77777777" w:rsidR="000B53F1" w:rsidRDefault="000B53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05BD" w14:textId="77777777" w:rsidR="00A072B3" w:rsidRDefault="00A07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F7F5" w14:textId="77777777" w:rsidR="00F734DA" w:rsidRDefault="00F734DA" w:rsidP="00906C9E">
      <w:pPr>
        <w:spacing w:after="0" w:line="240" w:lineRule="auto"/>
      </w:pPr>
      <w:r>
        <w:separator/>
      </w:r>
    </w:p>
  </w:footnote>
  <w:footnote w:type="continuationSeparator" w:id="0">
    <w:p w14:paraId="6F8A7347" w14:textId="77777777" w:rsidR="00F734DA" w:rsidRDefault="00F734DA" w:rsidP="0090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7EF73" w14:textId="77777777" w:rsidR="00A072B3" w:rsidRDefault="00A072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CB36" w14:textId="77777777" w:rsidR="00A072B3" w:rsidRDefault="00A072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9"/>
      <w:gridCol w:w="3210"/>
      <w:gridCol w:w="3616"/>
    </w:tblGrid>
    <w:tr w:rsidR="006456BB" w14:paraId="7FE19A8E" w14:textId="77777777" w:rsidTr="006456BB">
      <w:tc>
        <w:tcPr>
          <w:tcW w:w="3239" w:type="dxa"/>
          <w:hideMark/>
        </w:tcPr>
        <w:p w14:paraId="7F1EB718" w14:textId="622DAEDC" w:rsidR="006456BB" w:rsidRDefault="006456BB" w:rsidP="006456BB">
          <w:pPr>
            <w:pStyle w:val="Header"/>
            <w:ind w:left="-247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  <w:bookmarkStart w:id="5" w:name="_Hlk158814703"/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BFD0636" wp14:editId="43CB1D3E">
                <wp:extent cx="2066925" cy="4381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69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58631199" w14:textId="77777777" w:rsidR="006456BB" w:rsidRDefault="006456BB" w:rsidP="006456BB">
          <w:pPr>
            <w:pStyle w:val="Header"/>
            <w:rPr>
              <w:rFonts w:ascii="Calibri" w:eastAsia="Calibri" w:hAnsi="Calibri" w:cs="Times New Roman"/>
              <w:b/>
              <w:sz w:val="20"/>
              <w:szCs w:val="20"/>
              <w:lang w:eastAsia="bg-BG"/>
            </w:rPr>
          </w:pPr>
        </w:p>
      </w:tc>
      <w:tc>
        <w:tcPr>
          <w:tcW w:w="3616" w:type="dxa"/>
          <w:hideMark/>
        </w:tcPr>
        <w:p w14:paraId="6BA6FA6A" w14:textId="4E1FD5F4" w:rsidR="006456BB" w:rsidRDefault="006456BB" w:rsidP="006456BB">
          <w:pPr>
            <w:pStyle w:val="Header"/>
            <w:jc w:val="right"/>
            <w:rPr>
              <w:rFonts w:ascii="Calibri" w:eastAsia="Calibri" w:hAnsi="Calibri"/>
              <w:b/>
              <w:sz w:val="20"/>
              <w:szCs w:val="20"/>
              <w:lang w:eastAsia="bg-BG"/>
            </w:rPr>
          </w:pPr>
          <w:r>
            <w:rPr>
              <w:rFonts w:ascii="Calibri" w:eastAsia="Calibri" w:hAnsi="Calibri"/>
              <w:b/>
              <w:noProof/>
              <w:sz w:val="20"/>
              <w:szCs w:val="20"/>
              <w:lang w:eastAsia="bg-BG"/>
            </w:rPr>
            <w:drawing>
              <wp:inline distT="0" distB="0" distL="0" distR="0" wp14:anchorId="44E422FA" wp14:editId="11358AF0">
                <wp:extent cx="1676400" cy="523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</w:tbl>
  <w:p w14:paraId="7F5ECA5B" w14:textId="77777777" w:rsidR="006456BB" w:rsidRDefault="006456BB" w:rsidP="00494BF9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46A79F3E" w14:textId="4374BBAE" w:rsidR="00FD02A8" w:rsidRPr="00E605DE" w:rsidRDefault="00494BF9" w:rsidP="00FD02A8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r w:rsidRPr="00AF2B0E">
      <w:rPr>
        <w:rFonts w:ascii="Times New Roman" w:hAnsi="Times New Roman" w:cs="Times New Roman"/>
        <w:b/>
        <w:bCs/>
        <w:i/>
        <w:iCs/>
        <w:sz w:val="24"/>
        <w:szCs w:val="24"/>
      </w:rPr>
      <w:t>Приложение №</w:t>
    </w:r>
    <w:r w:rsidR="00E433F6" w:rsidRPr="005069C7">
      <w:rPr>
        <w:rFonts w:ascii="Times New Roman" w:hAnsi="Times New Roman" w:cs="Times New Roman"/>
        <w:b/>
        <w:bCs/>
        <w:i/>
        <w:iCs/>
        <w:sz w:val="24"/>
        <w:szCs w:val="24"/>
      </w:rPr>
      <w:t xml:space="preserve"> </w:t>
    </w:r>
    <w:r w:rsidR="006F3177">
      <w:rPr>
        <w:rFonts w:ascii="Times New Roman" w:hAnsi="Times New Roman" w:cs="Times New Roman"/>
        <w:b/>
        <w:bCs/>
        <w:i/>
        <w:iCs/>
        <w:sz w:val="24"/>
        <w:szCs w:val="24"/>
      </w:rPr>
      <w:t>2</w:t>
    </w:r>
    <w:r w:rsidRPr="00AF2B0E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FD02A8" w:rsidRPr="00E605DE">
      <w:rPr>
        <w:rFonts w:ascii="Times New Roman" w:hAnsi="Times New Roman" w:cs="Times New Roman"/>
        <w:b/>
        <w:bCs/>
        <w:i/>
        <w:iCs/>
        <w:sz w:val="24"/>
        <w:szCs w:val="24"/>
      </w:rPr>
      <w:t xml:space="preserve">към Условия за кандидатстване по процедура </w:t>
    </w:r>
  </w:p>
  <w:p w14:paraId="3104BB1B" w14:textId="64827F04" w:rsidR="006456BB" w:rsidRPr="00E605DE" w:rsidRDefault="00FD02A8" w:rsidP="00FD02A8">
    <w:pPr>
      <w:pStyle w:val="Header"/>
      <w:jc w:val="right"/>
      <w:rPr>
        <w:rFonts w:ascii="Times New Roman" w:hAnsi="Times New Roman" w:cs="Times New Roman"/>
        <w:b/>
        <w:bCs/>
        <w:i/>
        <w:iCs/>
        <w:sz w:val="24"/>
        <w:szCs w:val="24"/>
      </w:rPr>
    </w:pPr>
    <w:bookmarkStart w:id="6" w:name="_Hlk158814192"/>
    <w:r w:rsidRPr="00E605DE">
      <w:rPr>
        <w:rFonts w:ascii="Times New Roman" w:hAnsi="Times New Roman" w:cs="Times New Roman"/>
        <w:b/>
        <w:bCs/>
        <w:i/>
        <w:iCs/>
        <w:sz w:val="24"/>
        <w:szCs w:val="24"/>
      </w:rPr>
      <w:t>BG16FFPR002-3.0</w:t>
    </w:r>
    <w:r w:rsidR="00B96AF9" w:rsidRPr="005069C7">
      <w:rPr>
        <w:rFonts w:ascii="Times New Roman" w:hAnsi="Times New Roman" w:cs="Times New Roman"/>
        <w:b/>
        <w:bCs/>
        <w:i/>
        <w:iCs/>
        <w:sz w:val="24"/>
        <w:szCs w:val="24"/>
      </w:rPr>
      <w:t>8</w:t>
    </w:r>
    <w:r w:rsidRPr="00E605DE">
      <w:rPr>
        <w:rFonts w:ascii="Times New Roman" w:hAnsi="Times New Roman" w:cs="Times New Roman"/>
        <w:b/>
        <w:bCs/>
        <w:i/>
        <w:iCs/>
        <w:sz w:val="24"/>
        <w:szCs w:val="24"/>
      </w:rPr>
      <w:t xml:space="preserve"> „</w:t>
    </w:r>
    <w:r w:rsidR="00B96AF9" w:rsidRPr="00B96AF9">
      <w:rPr>
        <w:rFonts w:ascii="Times New Roman" w:hAnsi="Times New Roman" w:cs="Times New Roman"/>
        <w:b/>
        <w:bCs/>
        <w:i/>
        <w:iCs/>
        <w:sz w:val="24"/>
        <w:szCs w:val="24"/>
      </w:rPr>
      <w:t>Изпълнение на мярка 67 от  Националната рамка за приоритетни действия за НАТУРА 2000</w:t>
    </w:r>
    <w:r w:rsidRPr="00E605DE">
      <w:rPr>
        <w:rFonts w:ascii="Times New Roman" w:hAnsi="Times New Roman" w:cs="Times New Roman"/>
        <w:b/>
        <w:bCs/>
        <w:i/>
        <w:iCs/>
        <w:sz w:val="24"/>
        <w:szCs w:val="24"/>
      </w:rPr>
      <w:t>“</w:t>
    </w:r>
  </w:p>
  <w:bookmarkEnd w:id="6"/>
  <w:p w14:paraId="3209C0A3" w14:textId="77777777" w:rsidR="002943C1" w:rsidRDefault="002943C1" w:rsidP="002943C1">
    <w:pPr>
      <w:pStyle w:val="Header"/>
      <w:jc w:val="center"/>
      <w:rPr>
        <w:rFonts w:ascii="Times New Roman" w:hAnsi="Times New Roman" w:cs="Times New Roman"/>
        <w:sz w:val="24"/>
        <w:szCs w:val="24"/>
      </w:rPr>
    </w:pPr>
  </w:p>
  <w:p w14:paraId="1EE49B48" w14:textId="520D9A67" w:rsidR="00494BF9" w:rsidRPr="00AF2B0E" w:rsidRDefault="001C1B4B" w:rsidP="002943C1">
    <w:pPr>
      <w:pStyle w:val="Header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УКАЗАНИЯ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 xml:space="preserve"> ЗА ИЗЧИСЛЯВАНЕ НА ЦЕЛЕВАТА СТОЙНОСТ</w:t>
    </w:r>
    <w:r w:rsidR="00AF2B0E" w:rsidRPr="00B37251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НА ИНДИКАТОР ЗА РЕЗУЛТАТ (ПОКАЗАТЕЛ ЗА РЕЗУЛТАТ):</w:t>
    </w:r>
    <w:r w:rsidR="00AF2B0E" w:rsidRPr="00B37251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80206F" w:rsidRPr="0080206F">
      <w:rPr>
        <w:rFonts w:ascii="Times New Roman" w:hAnsi="Times New Roman" w:cs="Times New Roman"/>
        <w:b/>
        <w:bCs/>
        <w:sz w:val="24"/>
        <w:szCs w:val="24"/>
      </w:rPr>
      <w:t>ВИДОВЕ С ПОДОБРЕН ПРИРОДОЗАЩИТЕН СТАТУС (ИЛИ С ТЕНДЕНЦИЯ ЗА ПОДОБРЯВАНЕ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  <w:r w:rsidR="00AF2B0E" w:rsidRPr="00AF2B0E">
      <w:rPr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ПО ПРОЦЕДУРА ЧРЕЗ ПОДБОР</w:t>
    </w:r>
    <w:r w:rsidR="00AF2B0E" w:rsidRPr="00B37251"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„</w:t>
    </w:r>
    <w:r w:rsidR="00B96AF9" w:rsidRPr="00B96AF9">
      <w:rPr>
        <w:rFonts w:ascii="Times New Roman" w:hAnsi="Times New Roman" w:cs="Times New Roman"/>
        <w:b/>
        <w:bCs/>
        <w:sz w:val="24"/>
        <w:szCs w:val="24"/>
      </w:rPr>
      <w:t>ИЗПЪЛНЕНИЕ НА МЯРКА 67 ОТ  НАЦИОНАЛНАТА РАМКА ЗА ПРИОРИТЕТНИ ДЕЙСТВИЯ ЗА НАТУРА 2000</w:t>
    </w:r>
    <w:r w:rsidR="00AF2B0E" w:rsidRPr="00AF2B0E">
      <w:rPr>
        <w:rFonts w:ascii="Times New Roman" w:hAnsi="Times New Roman" w:cs="Times New Roman"/>
        <w:b/>
        <w:bCs/>
        <w:sz w:val="24"/>
        <w:szCs w:val="24"/>
      </w:rPr>
      <w:t>“</w:t>
    </w:r>
  </w:p>
  <w:p w14:paraId="0373FD0B" w14:textId="4325D5A0" w:rsidR="00494BF9" w:rsidRPr="00494BF9" w:rsidRDefault="00494BF9" w:rsidP="00494BF9">
    <w:pPr>
      <w:pStyle w:val="Header"/>
      <w:jc w:val="right"/>
      <w:rPr>
        <w:rFonts w:ascii="Times New Roman" w:hAnsi="Times New Roman" w:cs="Times New Roman"/>
        <w:sz w:val="18"/>
        <w:szCs w:val="18"/>
      </w:rPr>
    </w:pPr>
  </w:p>
  <w:p w14:paraId="2E14EEB9" w14:textId="77777777" w:rsidR="00494BF9" w:rsidRPr="00494BF9" w:rsidRDefault="00494BF9" w:rsidP="00D4758C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</w:p>
  <w:p w14:paraId="448FE04D" w14:textId="77777777" w:rsidR="00D4758C" w:rsidRPr="00494BF9" w:rsidRDefault="00D4758C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008F7"/>
    <w:multiLevelType w:val="hybridMultilevel"/>
    <w:tmpl w:val="CD40CEB4"/>
    <w:lvl w:ilvl="0" w:tplc="81FC4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31065"/>
    <w:multiLevelType w:val="hybridMultilevel"/>
    <w:tmpl w:val="CD40CE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026418">
    <w:abstractNumId w:val="0"/>
  </w:num>
  <w:num w:numId="2" w16cid:durableId="58249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72"/>
    <w:rsid w:val="00000C58"/>
    <w:rsid w:val="000212CF"/>
    <w:rsid w:val="00026D9F"/>
    <w:rsid w:val="0004486D"/>
    <w:rsid w:val="000641F6"/>
    <w:rsid w:val="000742B5"/>
    <w:rsid w:val="000925C1"/>
    <w:rsid w:val="000B53F1"/>
    <w:rsid w:val="000B7716"/>
    <w:rsid w:val="000D5863"/>
    <w:rsid w:val="000F2C2E"/>
    <w:rsid w:val="000F7781"/>
    <w:rsid w:val="00154566"/>
    <w:rsid w:val="00183BB6"/>
    <w:rsid w:val="00186682"/>
    <w:rsid w:val="001A2B83"/>
    <w:rsid w:val="001C1B4B"/>
    <w:rsid w:val="00201714"/>
    <w:rsid w:val="002421F7"/>
    <w:rsid w:val="00246EA7"/>
    <w:rsid w:val="00251B4B"/>
    <w:rsid w:val="00255407"/>
    <w:rsid w:val="002943C1"/>
    <w:rsid w:val="002A6A77"/>
    <w:rsid w:val="002B491B"/>
    <w:rsid w:val="002C6E3E"/>
    <w:rsid w:val="003376C6"/>
    <w:rsid w:val="0038593D"/>
    <w:rsid w:val="00393EC2"/>
    <w:rsid w:val="003D6195"/>
    <w:rsid w:val="00420B1B"/>
    <w:rsid w:val="00425A02"/>
    <w:rsid w:val="00451EE2"/>
    <w:rsid w:val="00465976"/>
    <w:rsid w:val="00472292"/>
    <w:rsid w:val="00494BF9"/>
    <w:rsid w:val="004A2834"/>
    <w:rsid w:val="004E749F"/>
    <w:rsid w:val="005069C7"/>
    <w:rsid w:val="00516B84"/>
    <w:rsid w:val="005C05A7"/>
    <w:rsid w:val="005C7FBB"/>
    <w:rsid w:val="00610B4D"/>
    <w:rsid w:val="006456BB"/>
    <w:rsid w:val="006A55B1"/>
    <w:rsid w:val="006A7A67"/>
    <w:rsid w:val="006F3177"/>
    <w:rsid w:val="007643C1"/>
    <w:rsid w:val="00764ABA"/>
    <w:rsid w:val="00797CD3"/>
    <w:rsid w:val="0080206F"/>
    <w:rsid w:val="008965B4"/>
    <w:rsid w:val="008A2359"/>
    <w:rsid w:val="00906C9E"/>
    <w:rsid w:val="00907742"/>
    <w:rsid w:val="00927B72"/>
    <w:rsid w:val="00932F4F"/>
    <w:rsid w:val="00956F51"/>
    <w:rsid w:val="00964331"/>
    <w:rsid w:val="009D0C0D"/>
    <w:rsid w:val="009E76AC"/>
    <w:rsid w:val="009F55C0"/>
    <w:rsid w:val="009F6C52"/>
    <w:rsid w:val="00A03CDA"/>
    <w:rsid w:val="00A072B3"/>
    <w:rsid w:val="00A24044"/>
    <w:rsid w:val="00A63A9F"/>
    <w:rsid w:val="00AC1609"/>
    <w:rsid w:val="00AD0EBE"/>
    <w:rsid w:val="00AF2B0E"/>
    <w:rsid w:val="00B3018D"/>
    <w:rsid w:val="00B36E8F"/>
    <w:rsid w:val="00B37251"/>
    <w:rsid w:val="00B439CC"/>
    <w:rsid w:val="00B94EAB"/>
    <w:rsid w:val="00B96AF9"/>
    <w:rsid w:val="00BA1E83"/>
    <w:rsid w:val="00BB0DBA"/>
    <w:rsid w:val="00BF2DF6"/>
    <w:rsid w:val="00C10BDE"/>
    <w:rsid w:val="00C17CFD"/>
    <w:rsid w:val="00CC3ED6"/>
    <w:rsid w:val="00CE468A"/>
    <w:rsid w:val="00D0741F"/>
    <w:rsid w:val="00D203BE"/>
    <w:rsid w:val="00D33AEA"/>
    <w:rsid w:val="00D4758C"/>
    <w:rsid w:val="00D925BB"/>
    <w:rsid w:val="00DC2382"/>
    <w:rsid w:val="00DC5EFA"/>
    <w:rsid w:val="00E0707C"/>
    <w:rsid w:val="00E1191E"/>
    <w:rsid w:val="00E225B4"/>
    <w:rsid w:val="00E433F6"/>
    <w:rsid w:val="00E45717"/>
    <w:rsid w:val="00E605DE"/>
    <w:rsid w:val="00E75CAF"/>
    <w:rsid w:val="00E77B77"/>
    <w:rsid w:val="00E77F69"/>
    <w:rsid w:val="00E821F3"/>
    <w:rsid w:val="00E85913"/>
    <w:rsid w:val="00EB24B3"/>
    <w:rsid w:val="00EE0345"/>
    <w:rsid w:val="00EE123C"/>
    <w:rsid w:val="00F12494"/>
    <w:rsid w:val="00F6079E"/>
    <w:rsid w:val="00F72E40"/>
    <w:rsid w:val="00F734DA"/>
    <w:rsid w:val="00F92241"/>
    <w:rsid w:val="00FD02A8"/>
    <w:rsid w:val="00FE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F869C3"/>
  <w15:chartTrackingRefBased/>
  <w15:docId w15:val="{648FBECD-324D-4F21-89B1-F45150F5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43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06C9E"/>
  </w:style>
  <w:style w:type="paragraph" w:styleId="Footer">
    <w:name w:val="footer"/>
    <w:basedOn w:val="Normal"/>
    <w:link w:val="FooterChar"/>
    <w:uiPriority w:val="99"/>
    <w:unhideWhenUsed/>
    <w:rsid w:val="00906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C9E"/>
  </w:style>
  <w:style w:type="paragraph" w:styleId="ListParagraph">
    <w:name w:val="List Paragraph"/>
    <w:basedOn w:val="Normal"/>
    <w:uiPriority w:val="34"/>
    <w:qFormat/>
    <w:rsid w:val="00E11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6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CD01A-419C-467A-BDAD-6FFB53E2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10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OPOS</cp:lastModifiedBy>
  <cp:revision>55</cp:revision>
  <dcterms:created xsi:type="dcterms:W3CDTF">2023-03-09T11:05:00Z</dcterms:created>
  <dcterms:modified xsi:type="dcterms:W3CDTF">2024-04-16T07:31:00Z</dcterms:modified>
</cp:coreProperties>
</file>