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topFromText="573" w:vertAnchor="page" w:horzAnchor="margin" w:tblpXSpec="center" w:tblpY="511"/>
        <w:tblOverlap w:val="never"/>
        <w:tblW w:w="10961" w:type="dxa"/>
        <w:tblLayout w:type="fixed"/>
        <w:tblLook w:val="01E0" w:firstRow="1" w:lastRow="1" w:firstColumn="1" w:lastColumn="1" w:noHBand="0" w:noVBand="0"/>
      </w:tblPr>
      <w:tblGrid>
        <w:gridCol w:w="10961"/>
      </w:tblGrid>
      <w:tr w:rsidR="00C9124B" w:rsidRPr="001C7E20" w14:paraId="7F4BB778" w14:textId="77777777" w:rsidTr="00C9124B">
        <w:trPr>
          <w:trHeight w:val="1125"/>
        </w:trPr>
        <w:tc>
          <w:tcPr>
            <w:tcW w:w="10961" w:type="dxa"/>
            <w:shd w:val="clear" w:color="auto" w:fill="auto"/>
          </w:tcPr>
          <w:p w14:paraId="700D2E22" w14:textId="77777777" w:rsidR="00C9124B" w:rsidRPr="001C7E20" w:rsidRDefault="00C9124B" w:rsidP="00C9124B">
            <w:pPr>
              <w:tabs>
                <w:tab w:val="left" w:pos="3495"/>
              </w:tabs>
              <w:rPr>
                <w:lang w:val="bg-BG"/>
              </w:rPr>
            </w:pPr>
          </w:p>
          <w:tbl>
            <w:tblPr>
              <w:tblpPr w:leftFromText="142" w:rightFromText="142" w:topFromText="573" w:vertAnchor="page" w:horzAnchor="margin" w:tblpXSpec="center" w:tblpY="511"/>
              <w:tblOverlap w:val="never"/>
              <w:tblW w:w="11069" w:type="dxa"/>
              <w:tblLayout w:type="fixed"/>
              <w:tblLook w:val="01E0" w:firstRow="1" w:lastRow="1" w:firstColumn="1" w:lastColumn="1" w:noHBand="0" w:noVBand="0"/>
            </w:tblPr>
            <w:tblGrid>
              <w:gridCol w:w="10984"/>
              <w:gridCol w:w="85"/>
            </w:tblGrid>
            <w:tr w:rsidR="00C9124B" w:rsidRPr="001C7E20" w14:paraId="4411FA04" w14:textId="77777777" w:rsidTr="00B81CBD">
              <w:trPr>
                <w:trHeight w:val="1125"/>
              </w:trPr>
              <w:tc>
                <w:tcPr>
                  <w:tcW w:w="10961" w:type="dxa"/>
                  <w:gridSpan w:val="2"/>
                  <w:shd w:val="clear" w:color="auto" w:fill="auto"/>
                </w:tcPr>
                <w:tbl>
                  <w:tblPr>
                    <w:tblW w:w="10207" w:type="dxa"/>
                    <w:tblLayout w:type="fixed"/>
                    <w:tblLook w:val="04A0" w:firstRow="1" w:lastRow="0" w:firstColumn="1" w:lastColumn="0" w:noHBand="0" w:noVBand="1"/>
                  </w:tblPr>
                  <w:tblGrid>
                    <w:gridCol w:w="3451"/>
                    <w:gridCol w:w="3021"/>
                    <w:gridCol w:w="3735"/>
                  </w:tblGrid>
                  <w:tr w:rsidR="00C9124B" w:rsidRPr="001C7E20" w14:paraId="1D3115E4" w14:textId="77777777" w:rsidTr="00B81CBD">
                    <w:tc>
                      <w:tcPr>
                        <w:tcW w:w="3451" w:type="dxa"/>
                        <w:shd w:val="clear" w:color="auto" w:fill="auto"/>
                      </w:tcPr>
                      <w:p w14:paraId="44AFC1E4" w14:textId="03ACE5CB" w:rsidR="00C9124B" w:rsidRPr="001C7E20" w:rsidRDefault="00751CFE" w:rsidP="00B77D23">
                        <w:pPr>
                          <w:framePr w:hSpace="142" w:vSpace="573" w:wrap="around" w:vAnchor="page" w:hAnchor="margin" w:xAlign="center" w:y="511"/>
                          <w:tabs>
                            <w:tab w:val="center" w:pos="4536"/>
                            <w:tab w:val="right" w:pos="9072"/>
                          </w:tabs>
                          <w:spacing w:before="240"/>
                          <w:suppressOverlap/>
                          <w:rPr>
                            <w:rFonts w:ascii="Calibri" w:eastAsia="Calibri" w:hAnsi="Calibri"/>
                            <w:sz w:val="22"/>
                            <w:szCs w:val="22"/>
                            <w:lang w:val="bg-BG" w:eastAsia="en-US"/>
                          </w:rPr>
                        </w:pPr>
                        <w:bookmarkStart w:id="0" w:name="_Hlk111821436"/>
                        <w:r w:rsidRPr="001C7E20">
                          <w:rPr>
                            <w:rFonts w:ascii="Calibri" w:eastAsia="Calibri" w:hAnsi="Calibri"/>
                            <w:noProof/>
                            <w:sz w:val="22"/>
                            <w:szCs w:val="22"/>
                            <w:lang w:val="bg-BG" w:eastAsia="en-US"/>
                          </w:rPr>
                          <w:drawing>
                            <wp:inline distT="0" distB="0" distL="0" distR="0" wp14:anchorId="3768BE95" wp14:editId="4BA7E945">
                              <wp:extent cx="2057400" cy="428625"/>
                              <wp:effectExtent l="0" t="0" r="0" b="0"/>
                              <wp:docPr id="1"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57400" cy="428625"/>
                                      </a:xfrm>
                                      <a:prstGeom prst="rect">
                                        <a:avLst/>
                                      </a:prstGeom>
                                      <a:noFill/>
                                      <a:ln>
                                        <a:noFill/>
                                      </a:ln>
                                    </pic:spPr>
                                  </pic:pic>
                                </a:graphicData>
                              </a:graphic>
                            </wp:inline>
                          </w:drawing>
                        </w:r>
                      </w:p>
                    </w:tc>
                    <w:tc>
                      <w:tcPr>
                        <w:tcW w:w="3021" w:type="dxa"/>
                        <w:shd w:val="clear" w:color="auto" w:fill="auto"/>
                      </w:tcPr>
                      <w:p w14:paraId="25AE2544" w14:textId="77777777" w:rsidR="00C9124B" w:rsidRPr="001C7E20" w:rsidRDefault="00C9124B" w:rsidP="00B77D23">
                        <w:pPr>
                          <w:framePr w:hSpace="142" w:vSpace="573" w:wrap="around" w:vAnchor="page" w:hAnchor="margin" w:xAlign="center" w:y="511"/>
                          <w:tabs>
                            <w:tab w:val="center" w:pos="4536"/>
                            <w:tab w:val="right" w:pos="9072"/>
                          </w:tabs>
                          <w:suppressOverlap/>
                          <w:rPr>
                            <w:rFonts w:ascii="Calibri" w:eastAsia="Calibri" w:hAnsi="Calibri"/>
                            <w:sz w:val="22"/>
                            <w:szCs w:val="22"/>
                            <w:lang w:val="bg-BG" w:eastAsia="en-US"/>
                          </w:rPr>
                        </w:pPr>
                      </w:p>
                    </w:tc>
                    <w:tc>
                      <w:tcPr>
                        <w:tcW w:w="3735" w:type="dxa"/>
                        <w:shd w:val="clear" w:color="auto" w:fill="auto"/>
                      </w:tcPr>
                      <w:p w14:paraId="24D86896" w14:textId="549A00E2" w:rsidR="00C9124B" w:rsidRPr="001C7E20" w:rsidRDefault="00751CFE" w:rsidP="00B77D23">
                        <w:pPr>
                          <w:framePr w:hSpace="142" w:vSpace="573" w:wrap="around" w:vAnchor="page" w:hAnchor="margin" w:xAlign="center" w:y="511"/>
                          <w:tabs>
                            <w:tab w:val="center" w:pos="4536"/>
                            <w:tab w:val="right" w:pos="9072"/>
                          </w:tabs>
                          <w:suppressOverlap/>
                          <w:jc w:val="right"/>
                          <w:rPr>
                            <w:rFonts w:ascii="Calibri" w:eastAsia="Calibri" w:hAnsi="Calibri"/>
                            <w:sz w:val="22"/>
                            <w:szCs w:val="22"/>
                            <w:lang w:val="bg-BG" w:eastAsia="en-US"/>
                          </w:rPr>
                        </w:pPr>
                        <w:r w:rsidRPr="001C7E20">
                          <w:rPr>
                            <w:rFonts w:ascii="Calibri" w:eastAsia="Calibri" w:hAnsi="Calibri"/>
                            <w:noProof/>
                            <w:sz w:val="22"/>
                            <w:szCs w:val="22"/>
                            <w:lang w:val="bg-BG" w:eastAsia="en-US"/>
                          </w:rPr>
                          <w:drawing>
                            <wp:inline distT="0" distB="0" distL="0" distR="0" wp14:anchorId="48641925" wp14:editId="7A66CB81">
                              <wp:extent cx="1819275" cy="723900"/>
                              <wp:effectExtent l="0" t="0" r="0" b="0"/>
                              <wp:docPr id="2"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19275" cy="723900"/>
                                      </a:xfrm>
                                      <a:prstGeom prst="rect">
                                        <a:avLst/>
                                      </a:prstGeom>
                                      <a:noFill/>
                                      <a:ln>
                                        <a:noFill/>
                                      </a:ln>
                                    </pic:spPr>
                                  </pic:pic>
                                </a:graphicData>
                              </a:graphic>
                            </wp:inline>
                          </w:drawing>
                        </w:r>
                      </w:p>
                    </w:tc>
                  </w:tr>
                  <w:bookmarkEnd w:id="0"/>
                </w:tbl>
                <w:p w14:paraId="7F2185AB" w14:textId="77777777" w:rsidR="00C9124B" w:rsidRPr="001C7E20" w:rsidRDefault="00C9124B" w:rsidP="00B77D23">
                  <w:pPr>
                    <w:jc w:val="center"/>
                    <w:rPr>
                      <w:lang w:val="bg-BG"/>
                    </w:rPr>
                  </w:pPr>
                </w:p>
              </w:tc>
            </w:tr>
            <w:tr w:rsidR="00C9124B" w:rsidRPr="001C7E20" w14:paraId="67538BA2" w14:textId="77777777" w:rsidTr="00B81CBD">
              <w:trPr>
                <w:gridAfter w:val="1"/>
                <w:wAfter w:w="84" w:type="dxa"/>
                <w:trHeight w:val="520"/>
              </w:trPr>
              <w:tc>
                <w:tcPr>
                  <w:tcW w:w="10877" w:type="dxa"/>
                  <w:shd w:val="clear" w:color="auto" w:fill="auto"/>
                </w:tcPr>
                <w:p w14:paraId="00B13FE7" w14:textId="77777777" w:rsidR="00C9124B" w:rsidRPr="001C7E20" w:rsidRDefault="00C9124B" w:rsidP="00C9124B">
                  <w:pPr>
                    <w:tabs>
                      <w:tab w:val="center" w:pos="4536"/>
                      <w:tab w:val="right" w:pos="9072"/>
                    </w:tabs>
                    <w:spacing w:before="120"/>
                    <w:jc w:val="right"/>
                    <w:rPr>
                      <w:rFonts w:ascii="Arial Narrow" w:hAnsi="Arial Narrow" w:cs="Tahoma"/>
                      <w:noProof/>
                      <w:color w:val="808080"/>
                      <w:spacing w:val="24"/>
                      <w:sz w:val="16"/>
                      <w:szCs w:val="16"/>
                      <w:lang w:val="bg-BG" w:eastAsia="bg-BG"/>
                    </w:rPr>
                  </w:pPr>
                  <w:r w:rsidRPr="001C7E20">
                    <w:rPr>
                      <w:rFonts w:ascii="Arial Narrow" w:hAnsi="Arial Narrow" w:cs="Tahoma"/>
                      <w:noProof/>
                      <w:color w:val="808080"/>
                      <w:spacing w:val="24"/>
                      <w:sz w:val="16"/>
                      <w:szCs w:val="16"/>
                      <w:lang w:val="bg-BG" w:eastAsia="bg-BG"/>
                    </w:rPr>
                    <w:t>Главна дирекция “Оперативна програма околна среда”</w:t>
                  </w:r>
                </w:p>
                <w:p w14:paraId="2AED293B" w14:textId="77777777" w:rsidR="00C9124B" w:rsidRPr="001C7E20" w:rsidRDefault="00C9124B" w:rsidP="00C9124B">
                  <w:pPr>
                    <w:tabs>
                      <w:tab w:val="center" w:pos="4536"/>
                      <w:tab w:val="right" w:pos="9072"/>
                    </w:tabs>
                    <w:jc w:val="right"/>
                    <w:rPr>
                      <w:noProof/>
                      <w:lang w:val="bg-BG" w:eastAsia="bg-BG"/>
                    </w:rPr>
                  </w:pPr>
                  <w:r w:rsidRPr="001C7E20">
                    <w:rPr>
                      <w:rFonts w:ascii="Arial Narrow" w:hAnsi="Arial Narrow" w:cs="Tahoma"/>
                      <w:noProof/>
                      <w:color w:val="808080"/>
                      <w:spacing w:val="24"/>
                      <w:sz w:val="16"/>
                      <w:szCs w:val="16"/>
                      <w:lang w:val="bg-BG" w:eastAsia="bg-BG"/>
                    </w:rPr>
                    <w:t>programming@moew.government.bg</w:t>
                  </w:r>
                </w:p>
              </w:tc>
            </w:tr>
          </w:tbl>
          <w:p w14:paraId="0B20AAF9" w14:textId="77777777" w:rsidR="00C9124B" w:rsidRPr="001C7E20" w:rsidRDefault="00C9124B" w:rsidP="00C9124B">
            <w:pPr>
              <w:tabs>
                <w:tab w:val="left" w:pos="3495"/>
              </w:tabs>
              <w:rPr>
                <w:lang w:val="bg-BG"/>
              </w:rPr>
            </w:pPr>
          </w:p>
        </w:tc>
      </w:tr>
    </w:tbl>
    <w:p w14:paraId="60C23A01" w14:textId="77777777" w:rsidR="00B81CBD" w:rsidRPr="001C7E20" w:rsidRDefault="00B81CBD" w:rsidP="00B81CBD">
      <w:pPr>
        <w:rPr>
          <w:vanish/>
          <w:lang w:val="bg-BG"/>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8"/>
        <w:gridCol w:w="7655"/>
      </w:tblGrid>
      <w:tr w:rsidR="00E44D31" w:rsidRPr="00B77D23" w14:paraId="1D510FC3" w14:textId="77777777" w:rsidTr="00770892">
        <w:tc>
          <w:tcPr>
            <w:tcW w:w="10173" w:type="dxa"/>
            <w:gridSpan w:val="2"/>
            <w:shd w:val="clear" w:color="auto" w:fill="BFBFBF"/>
          </w:tcPr>
          <w:p w14:paraId="16381B7F" w14:textId="37BCB70B" w:rsidR="0025020B" w:rsidRPr="001C7E20" w:rsidRDefault="00E44D31" w:rsidP="0025020B">
            <w:pPr>
              <w:jc w:val="center"/>
              <w:rPr>
                <w:b/>
                <w:sz w:val="24"/>
                <w:szCs w:val="24"/>
                <w:lang w:val="bg-BG"/>
              </w:rPr>
            </w:pPr>
            <w:r w:rsidRPr="001C7E20">
              <w:rPr>
                <w:b/>
                <w:sz w:val="24"/>
                <w:szCs w:val="24"/>
                <w:lang w:val="bg-BG"/>
              </w:rPr>
              <w:t xml:space="preserve">ОБЩА ИНФОРМАЦИЯ ЗА </w:t>
            </w:r>
            <w:r w:rsidR="004A4CDF" w:rsidRPr="001C7E20">
              <w:rPr>
                <w:b/>
                <w:sz w:val="24"/>
                <w:szCs w:val="24"/>
                <w:lang w:val="bg-BG"/>
              </w:rPr>
              <w:t xml:space="preserve">ПРОЦЕДУРА </w:t>
            </w:r>
            <w:r w:rsidR="00D41F93">
              <w:rPr>
                <w:b/>
                <w:sz w:val="24"/>
                <w:szCs w:val="24"/>
                <w:lang w:val="bg-BG"/>
              </w:rPr>
              <w:t>ЧРЕЗ</w:t>
            </w:r>
            <w:r w:rsidR="003B4528" w:rsidRPr="001C7E20">
              <w:rPr>
                <w:b/>
                <w:sz w:val="24"/>
                <w:szCs w:val="24"/>
                <w:lang w:val="bg-BG"/>
              </w:rPr>
              <w:t xml:space="preserve"> </w:t>
            </w:r>
            <w:r w:rsidR="001B2CBD" w:rsidRPr="001C7E20">
              <w:rPr>
                <w:b/>
                <w:sz w:val="24"/>
                <w:szCs w:val="24"/>
                <w:lang w:val="bg-BG"/>
              </w:rPr>
              <w:t>ДИРЕКТНО ПРЕДОСТАВЯНЕ НА БФП</w:t>
            </w:r>
          </w:p>
          <w:p w14:paraId="01839688" w14:textId="77777777" w:rsidR="009308AF" w:rsidRPr="001C7E20" w:rsidRDefault="0025020B" w:rsidP="0025020B">
            <w:pPr>
              <w:spacing w:before="120" w:after="120"/>
              <w:jc w:val="center"/>
              <w:rPr>
                <w:b/>
                <w:sz w:val="24"/>
                <w:szCs w:val="24"/>
                <w:lang w:val="bg-BG"/>
              </w:rPr>
            </w:pPr>
            <w:r w:rsidRPr="001C7E20">
              <w:rPr>
                <w:b/>
                <w:caps/>
                <w:sz w:val="24"/>
                <w:szCs w:val="24"/>
                <w:lang w:val="bg-BG"/>
              </w:rPr>
              <w:t>„</w:t>
            </w:r>
            <w:r w:rsidR="00EB7DC7" w:rsidRPr="00663B43">
              <w:rPr>
                <w:b/>
                <w:caps/>
                <w:sz w:val="24"/>
                <w:szCs w:val="24"/>
                <w:lang w:val="bg-BG"/>
              </w:rPr>
              <w:t xml:space="preserve">Рекултивация на </w:t>
            </w:r>
            <w:r w:rsidR="000C45DA" w:rsidRPr="00663B43">
              <w:rPr>
                <w:b/>
                <w:caps/>
                <w:sz w:val="24"/>
                <w:szCs w:val="24"/>
                <w:lang w:val="bg-BG"/>
              </w:rPr>
              <w:t xml:space="preserve">РЕГИОНАЛНИ </w:t>
            </w:r>
            <w:r w:rsidR="00EB7DC7" w:rsidRPr="00663B43">
              <w:rPr>
                <w:b/>
                <w:caps/>
                <w:sz w:val="24"/>
                <w:szCs w:val="24"/>
                <w:lang w:val="bg-BG"/>
              </w:rPr>
              <w:t xml:space="preserve">депа / клетки на </w:t>
            </w:r>
            <w:r w:rsidR="000C45DA" w:rsidRPr="00663B43">
              <w:rPr>
                <w:b/>
                <w:caps/>
                <w:sz w:val="24"/>
                <w:szCs w:val="24"/>
                <w:lang w:val="bg-BG"/>
              </w:rPr>
              <w:t xml:space="preserve">РЕГИОНАЛНИ </w:t>
            </w:r>
            <w:r w:rsidR="00EB7DC7" w:rsidRPr="00663B43">
              <w:rPr>
                <w:b/>
                <w:caps/>
                <w:sz w:val="24"/>
                <w:szCs w:val="24"/>
                <w:lang w:val="bg-BG"/>
              </w:rPr>
              <w:t>депа за битови отпадъци</w:t>
            </w:r>
            <w:r w:rsidR="00A04CC3">
              <w:rPr>
                <w:b/>
                <w:caps/>
                <w:sz w:val="24"/>
                <w:szCs w:val="24"/>
                <w:lang w:val="bg-BG"/>
              </w:rPr>
              <w:t xml:space="preserve"> - ВТОРА</w:t>
            </w:r>
            <w:r w:rsidR="009308AF" w:rsidRPr="00663B43">
              <w:rPr>
                <w:b/>
                <w:sz w:val="24"/>
                <w:szCs w:val="24"/>
                <w:lang w:val="bg-BG"/>
              </w:rPr>
              <w:t>“</w:t>
            </w:r>
          </w:p>
          <w:p w14:paraId="30328625" w14:textId="77777777" w:rsidR="00E44D31" w:rsidRPr="001C7E20" w:rsidRDefault="00845F35" w:rsidP="009308AF">
            <w:pPr>
              <w:spacing w:before="120" w:after="120"/>
              <w:jc w:val="center"/>
              <w:rPr>
                <w:b/>
                <w:sz w:val="24"/>
                <w:szCs w:val="24"/>
                <w:lang w:val="bg-BG"/>
              </w:rPr>
            </w:pPr>
            <w:r w:rsidRPr="001C7E20">
              <w:rPr>
                <w:b/>
                <w:sz w:val="24"/>
                <w:szCs w:val="24"/>
                <w:lang w:val="bg-BG"/>
              </w:rPr>
              <w:t>ПО ПРИОРИТЕТ</w:t>
            </w:r>
            <w:r w:rsidR="00EB7DC7" w:rsidRPr="001C7E20">
              <w:rPr>
                <w:b/>
                <w:sz w:val="24"/>
                <w:szCs w:val="24"/>
                <w:lang w:val="bg-BG"/>
              </w:rPr>
              <w:t xml:space="preserve"> „ОТПАДЪЦИ“ </w:t>
            </w:r>
            <w:r w:rsidR="00B30CC3" w:rsidRPr="001C7E20">
              <w:rPr>
                <w:b/>
                <w:sz w:val="24"/>
                <w:szCs w:val="24"/>
                <w:lang w:val="bg-BG"/>
              </w:rPr>
              <w:t>НА П</w:t>
            </w:r>
            <w:r w:rsidR="00AE6E95" w:rsidRPr="001C7E20">
              <w:rPr>
                <w:b/>
                <w:sz w:val="24"/>
                <w:szCs w:val="24"/>
                <w:lang w:val="bg-BG"/>
              </w:rPr>
              <w:t>РОГРАМА „ОКОЛНА СРЕДА“</w:t>
            </w:r>
            <w:r w:rsidR="00B30CC3" w:rsidRPr="001C7E20">
              <w:rPr>
                <w:b/>
                <w:sz w:val="24"/>
                <w:szCs w:val="24"/>
                <w:lang w:val="bg-BG"/>
              </w:rPr>
              <w:t xml:space="preserve"> </w:t>
            </w:r>
            <w:r w:rsidR="00EB7DC7" w:rsidRPr="001C7E20">
              <w:rPr>
                <w:b/>
                <w:sz w:val="24"/>
                <w:szCs w:val="24"/>
                <w:lang w:val="bg-BG"/>
              </w:rPr>
              <w:t>2021-2027</w:t>
            </w:r>
            <w:r w:rsidR="004B5DBC" w:rsidRPr="001C7E20">
              <w:rPr>
                <w:b/>
                <w:sz w:val="24"/>
                <w:szCs w:val="24"/>
                <w:lang w:val="bg-BG"/>
              </w:rPr>
              <w:t xml:space="preserve"> г</w:t>
            </w:r>
            <w:r w:rsidR="00B30CC3" w:rsidRPr="001C7E20">
              <w:rPr>
                <w:b/>
                <w:sz w:val="24"/>
                <w:szCs w:val="24"/>
                <w:lang w:val="bg-BG"/>
              </w:rPr>
              <w:t>.</w:t>
            </w:r>
          </w:p>
        </w:tc>
      </w:tr>
      <w:tr w:rsidR="00E44D31" w:rsidRPr="001C7E20" w14:paraId="7E002152" w14:textId="77777777" w:rsidTr="00E036CC">
        <w:tc>
          <w:tcPr>
            <w:tcW w:w="2518" w:type="dxa"/>
            <w:shd w:val="clear" w:color="auto" w:fill="auto"/>
            <w:vAlign w:val="center"/>
          </w:tcPr>
          <w:p w14:paraId="433CA3B1" w14:textId="631BB308" w:rsidR="00E41FEC" w:rsidRPr="004D0E68" w:rsidRDefault="00E44D31" w:rsidP="00F408E2">
            <w:pPr>
              <w:spacing w:before="120" w:after="120"/>
              <w:rPr>
                <w:sz w:val="24"/>
                <w:szCs w:val="24"/>
                <w:lang w:val="bg-BG"/>
              </w:rPr>
            </w:pPr>
            <w:r w:rsidRPr="001C7E20">
              <w:rPr>
                <w:sz w:val="24"/>
                <w:szCs w:val="24"/>
                <w:lang w:val="bg-BG"/>
              </w:rPr>
              <w:t>Приоритет</w:t>
            </w:r>
          </w:p>
        </w:tc>
        <w:tc>
          <w:tcPr>
            <w:tcW w:w="7655" w:type="dxa"/>
            <w:shd w:val="clear" w:color="auto" w:fill="auto"/>
            <w:vAlign w:val="center"/>
          </w:tcPr>
          <w:p w14:paraId="0860A0A9" w14:textId="77777777" w:rsidR="00E44D31" w:rsidRPr="001C7E20" w:rsidRDefault="00134603" w:rsidP="00F408E2">
            <w:pPr>
              <w:spacing w:before="120" w:after="120"/>
              <w:rPr>
                <w:sz w:val="24"/>
                <w:szCs w:val="24"/>
                <w:lang w:val="bg-BG"/>
              </w:rPr>
            </w:pPr>
            <w:r w:rsidRPr="001C7E20">
              <w:rPr>
                <w:sz w:val="24"/>
                <w:szCs w:val="24"/>
                <w:lang w:val="bg-BG"/>
              </w:rPr>
              <w:t>Отпадъци</w:t>
            </w:r>
          </w:p>
        </w:tc>
      </w:tr>
      <w:tr w:rsidR="00E44D31" w:rsidRPr="00B77D23" w14:paraId="744A06F3" w14:textId="77777777" w:rsidTr="00E036CC">
        <w:tc>
          <w:tcPr>
            <w:tcW w:w="2518" w:type="dxa"/>
            <w:shd w:val="clear" w:color="auto" w:fill="auto"/>
            <w:vAlign w:val="center"/>
          </w:tcPr>
          <w:p w14:paraId="660B5440" w14:textId="77777777" w:rsidR="00E44D31" w:rsidRPr="001C7E20" w:rsidRDefault="003B4528" w:rsidP="00F408E2">
            <w:pPr>
              <w:spacing w:before="120" w:after="120"/>
              <w:rPr>
                <w:sz w:val="24"/>
                <w:szCs w:val="24"/>
                <w:lang w:val="bg-BG"/>
              </w:rPr>
            </w:pPr>
            <w:r w:rsidRPr="001C7E20">
              <w:rPr>
                <w:sz w:val="24"/>
                <w:szCs w:val="24"/>
                <w:lang w:val="bg-BG"/>
              </w:rPr>
              <w:t xml:space="preserve">Цел на политиката </w:t>
            </w:r>
          </w:p>
        </w:tc>
        <w:tc>
          <w:tcPr>
            <w:tcW w:w="7655" w:type="dxa"/>
            <w:shd w:val="clear" w:color="auto" w:fill="auto"/>
            <w:vAlign w:val="center"/>
          </w:tcPr>
          <w:p w14:paraId="5BAC190E" w14:textId="77777777" w:rsidR="00015DE0" w:rsidRPr="001C7E20" w:rsidRDefault="0005484C" w:rsidP="00EB2FD4">
            <w:pPr>
              <w:spacing w:before="120" w:after="120"/>
              <w:jc w:val="both"/>
              <w:rPr>
                <w:sz w:val="24"/>
                <w:szCs w:val="24"/>
                <w:lang w:val="bg-BG"/>
              </w:rPr>
            </w:pPr>
            <w:r w:rsidRPr="001C7E20">
              <w:rPr>
                <w:sz w:val="24"/>
                <w:szCs w:val="24"/>
                <w:lang w:val="bg-BG"/>
              </w:rPr>
              <w:t>По-зелена, нисковъглеродна и устойчива Европа с икономика в преход към нулеви нетни въглеродни емисии чрез насърчаване на чист и справедлив енергиен преход, зелени и сини инвестиции, кръгова икономика, смекчаване на последиците от изменението на климата и приспособяване към него, превенция и управление на риска и устойчива градска мобилност</w:t>
            </w:r>
          </w:p>
        </w:tc>
      </w:tr>
      <w:tr w:rsidR="00E44D31" w:rsidRPr="00B77D23" w14:paraId="6B4A5876" w14:textId="77777777" w:rsidTr="00E036CC">
        <w:trPr>
          <w:trHeight w:val="361"/>
        </w:trPr>
        <w:tc>
          <w:tcPr>
            <w:tcW w:w="2518" w:type="dxa"/>
            <w:shd w:val="clear" w:color="auto" w:fill="auto"/>
            <w:vAlign w:val="center"/>
          </w:tcPr>
          <w:p w14:paraId="56F98273" w14:textId="77777777" w:rsidR="00E44D31" w:rsidRPr="001C7E20" w:rsidRDefault="00E44D31" w:rsidP="00F408E2">
            <w:pPr>
              <w:spacing w:before="120" w:after="120"/>
              <w:rPr>
                <w:sz w:val="24"/>
                <w:szCs w:val="24"/>
                <w:lang w:val="bg-BG"/>
              </w:rPr>
            </w:pPr>
            <w:r w:rsidRPr="001C7E20">
              <w:rPr>
                <w:sz w:val="24"/>
                <w:szCs w:val="24"/>
                <w:lang w:val="bg-BG"/>
              </w:rPr>
              <w:t xml:space="preserve">Специфична цел </w:t>
            </w:r>
          </w:p>
        </w:tc>
        <w:tc>
          <w:tcPr>
            <w:tcW w:w="7655" w:type="dxa"/>
            <w:shd w:val="clear" w:color="auto" w:fill="auto"/>
            <w:vAlign w:val="center"/>
          </w:tcPr>
          <w:p w14:paraId="3D0E5E74" w14:textId="77777777" w:rsidR="00E44D31" w:rsidRPr="001C7E20" w:rsidRDefault="003B4528" w:rsidP="00F408E2">
            <w:pPr>
              <w:spacing w:before="120" w:after="120"/>
              <w:jc w:val="both"/>
              <w:rPr>
                <w:sz w:val="24"/>
                <w:szCs w:val="24"/>
                <w:lang w:val="bg-BG"/>
              </w:rPr>
            </w:pPr>
            <w:r w:rsidRPr="001C7E20">
              <w:rPr>
                <w:sz w:val="24"/>
                <w:szCs w:val="24"/>
                <w:lang w:val="bg-BG"/>
              </w:rPr>
              <w:t>Подобряване на защитата и опазването на природата, биологичното разнообразие и екологосъобразната инфраструктура, включително в градските райони, и намаляване на всички форми на замърсяване</w:t>
            </w:r>
          </w:p>
        </w:tc>
      </w:tr>
      <w:tr w:rsidR="00D40AEE" w:rsidRPr="00B77D23" w14:paraId="0ED5DBA6" w14:textId="77777777" w:rsidTr="00E036CC">
        <w:tc>
          <w:tcPr>
            <w:tcW w:w="2518" w:type="dxa"/>
            <w:shd w:val="clear" w:color="auto" w:fill="auto"/>
          </w:tcPr>
          <w:p w14:paraId="1E309C48" w14:textId="77777777" w:rsidR="00D40AEE" w:rsidRPr="001C7E20" w:rsidRDefault="00D40AEE" w:rsidP="00C5656F">
            <w:pPr>
              <w:spacing w:before="240"/>
              <w:rPr>
                <w:sz w:val="24"/>
                <w:szCs w:val="24"/>
                <w:lang w:val="bg-BG"/>
              </w:rPr>
            </w:pPr>
            <w:r w:rsidRPr="001C7E20">
              <w:rPr>
                <w:sz w:val="24"/>
                <w:szCs w:val="24"/>
                <w:lang w:val="bg-BG"/>
              </w:rPr>
              <w:t>Наименование на процедурата</w:t>
            </w:r>
          </w:p>
          <w:p w14:paraId="49E841E9" w14:textId="77777777" w:rsidR="00D40AEE" w:rsidRPr="001C7E20" w:rsidRDefault="00D40AEE" w:rsidP="00D40AEE">
            <w:pPr>
              <w:spacing w:before="120" w:after="120"/>
              <w:rPr>
                <w:i/>
                <w:sz w:val="24"/>
                <w:szCs w:val="24"/>
                <w:lang w:val="bg-BG"/>
              </w:rPr>
            </w:pPr>
          </w:p>
        </w:tc>
        <w:tc>
          <w:tcPr>
            <w:tcW w:w="7655" w:type="dxa"/>
            <w:shd w:val="clear" w:color="auto" w:fill="auto"/>
            <w:vAlign w:val="center"/>
          </w:tcPr>
          <w:p w14:paraId="6E35539F" w14:textId="77777777" w:rsidR="00D40AEE" w:rsidRPr="001C7E20" w:rsidRDefault="0067746B" w:rsidP="00204DE6">
            <w:pPr>
              <w:spacing w:before="120" w:after="120"/>
              <w:jc w:val="both"/>
              <w:rPr>
                <w:b/>
                <w:bCs/>
                <w:sz w:val="24"/>
                <w:szCs w:val="24"/>
                <w:lang w:val="bg-BG"/>
              </w:rPr>
            </w:pPr>
            <w:r w:rsidRPr="001C7E20">
              <w:rPr>
                <w:b/>
                <w:bCs/>
                <w:sz w:val="24"/>
                <w:szCs w:val="24"/>
                <w:lang w:val="bg-BG"/>
              </w:rPr>
              <w:t xml:space="preserve">Рекултивация </w:t>
            </w:r>
            <w:r w:rsidRPr="00663B43">
              <w:rPr>
                <w:b/>
                <w:bCs/>
                <w:sz w:val="24"/>
                <w:szCs w:val="24"/>
                <w:lang w:val="bg-BG"/>
              </w:rPr>
              <w:t xml:space="preserve">на </w:t>
            </w:r>
            <w:r w:rsidR="000C45DA" w:rsidRPr="00663B43">
              <w:rPr>
                <w:b/>
                <w:bCs/>
                <w:sz w:val="24"/>
                <w:szCs w:val="24"/>
                <w:lang w:val="bg-BG"/>
              </w:rPr>
              <w:t xml:space="preserve">регионални </w:t>
            </w:r>
            <w:r w:rsidRPr="00663B43">
              <w:rPr>
                <w:b/>
                <w:bCs/>
                <w:sz w:val="24"/>
                <w:szCs w:val="24"/>
                <w:lang w:val="bg-BG"/>
              </w:rPr>
              <w:t xml:space="preserve">депа / клетки на </w:t>
            </w:r>
            <w:r w:rsidR="000C45DA" w:rsidRPr="00663B43">
              <w:rPr>
                <w:b/>
                <w:bCs/>
                <w:sz w:val="24"/>
                <w:szCs w:val="24"/>
                <w:lang w:val="bg-BG"/>
              </w:rPr>
              <w:t>регионални</w:t>
            </w:r>
            <w:r w:rsidR="000C45DA">
              <w:rPr>
                <w:b/>
                <w:bCs/>
                <w:sz w:val="24"/>
                <w:szCs w:val="24"/>
                <w:lang w:val="bg-BG"/>
              </w:rPr>
              <w:t xml:space="preserve"> </w:t>
            </w:r>
            <w:r w:rsidRPr="001C7E20">
              <w:rPr>
                <w:b/>
                <w:bCs/>
                <w:sz w:val="24"/>
                <w:szCs w:val="24"/>
                <w:lang w:val="bg-BG"/>
              </w:rPr>
              <w:t>депа за битови отпадъци</w:t>
            </w:r>
            <w:r w:rsidR="00A04CC3">
              <w:rPr>
                <w:b/>
                <w:bCs/>
                <w:sz w:val="24"/>
                <w:szCs w:val="24"/>
                <w:lang w:val="bg-BG"/>
              </w:rPr>
              <w:t xml:space="preserve"> – втора </w:t>
            </w:r>
          </w:p>
        </w:tc>
      </w:tr>
      <w:tr w:rsidR="00E44D31" w:rsidRPr="00B77D23" w14:paraId="080C3B64" w14:textId="77777777" w:rsidTr="00E036CC">
        <w:tc>
          <w:tcPr>
            <w:tcW w:w="2518" w:type="dxa"/>
            <w:shd w:val="clear" w:color="auto" w:fill="auto"/>
          </w:tcPr>
          <w:p w14:paraId="3D581D89" w14:textId="77777777" w:rsidR="00E44D31" w:rsidRPr="001C7E20" w:rsidRDefault="00E44D31" w:rsidP="00C5656F">
            <w:pPr>
              <w:spacing w:before="240"/>
              <w:rPr>
                <w:sz w:val="24"/>
                <w:szCs w:val="24"/>
                <w:lang w:val="bg-BG"/>
              </w:rPr>
            </w:pPr>
            <w:r w:rsidRPr="001C7E20">
              <w:rPr>
                <w:sz w:val="24"/>
                <w:szCs w:val="24"/>
                <w:lang w:val="bg-BG"/>
              </w:rPr>
              <w:t>Вид на процедурата</w:t>
            </w:r>
          </w:p>
        </w:tc>
        <w:tc>
          <w:tcPr>
            <w:tcW w:w="7655" w:type="dxa"/>
            <w:shd w:val="clear" w:color="auto" w:fill="auto"/>
            <w:vAlign w:val="center"/>
          </w:tcPr>
          <w:p w14:paraId="7C64C74E" w14:textId="77777777" w:rsidR="006A13C0" w:rsidRDefault="0067746B" w:rsidP="006A13C0">
            <w:pPr>
              <w:spacing w:before="240"/>
              <w:rPr>
                <w:sz w:val="24"/>
                <w:szCs w:val="24"/>
                <w:lang w:val="bg-BG"/>
              </w:rPr>
            </w:pPr>
            <w:r w:rsidRPr="001C7E20">
              <w:rPr>
                <w:sz w:val="24"/>
                <w:szCs w:val="24"/>
                <w:lang w:val="bg-BG"/>
              </w:rPr>
              <w:t xml:space="preserve">Процедура </w:t>
            </w:r>
            <w:r w:rsidR="00F112FA" w:rsidRPr="001C7E20">
              <w:rPr>
                <w:sz w:val="24"/>
                <w:szCs w:val="24"/>
                <w:lang w:val="bg-BG"/>
              </w:rPr>
              <w:t>ч</w:t>
            </w:r>
            <w:r w:rsidR="00204DE6" w:rsidRPr="001C7E20">
              <w:rPr>
                <w:sz w:val="24"/>
                <w:szCs w:val="24"/>
                <w:lang w:val="bg-BG"/>
              </w:rPr>
              <w:t>рез директно предоставяне на БФП</w:t>
            </w:r>
          </w:p>
          <w:p w14:paraId="45AC8F8F" w14:textId="60CB901E" w:rsidR="006A13C0" w:rsidRPr="001C7E20" w:rsidRDefault="006A13C0" w:rsidP="006A13C0">
            <w:pPr>
              <w:spacing w:before="240"/>
              <w:rPr>
                <w:sz w:val="24"/>
                <w:szCs w:val="24"/>
                <w:lang w:val="bg-BG"/>
              </w:rPr>
            </w:pPr>
          </w:p>
        </w:tc>
      </w:tr>
      <w:tr w:rsidR="00E44D31" w:rsidRPr="00B77D23" w14:paraId="013E4E91" w14:textId="77777777" w:rsidTr="00E036CC">
        <w:tc>
          <w:tcPr>
            <w:tcW w:w="2518" w:type="dxa"/>
            <w:shd w:val="clear" w:color="auto" w:fill="auto"/>
            <w:vAlign w:val="center"/>
          </w:tcPr>
          <w:p w14:paraId="584F2805" w14:textId="77777777" w:rsidR="00E44D31" w:rsidRPr="001C7E20" w:rsidRDefault="00E44D31" w:rsidP="00F408E2">
            <w:pPr>
              <w:spacing w:before="120" w:after="120"/>
              <w:rPr>
                <w:sz w:val="24"/>
                <w:szCs w:val="24"/>
                <w:lang w:val="bg-BG"/>
              </w:rPr>
            </w:pPr>
            <w:r w:rsidRPr="001C7E20">
              <w:rPr>
                <w:sz w:val="24"/>
                <w:szCs w:val="24"/>
                <w:lang w:val="bg-BG"/>
              </w:rPr>
              <w:t>Териториален обхват</w:t>
            </w:r>
          </w:p>
          <w:p w14:paraId="6FBF2699" w14:textId="77777777" w:rsidR="00ED3126" w:rsidRPr="001C7E20" w:rsidRDefault="00ED3126" w:rsidP="00ED3126">
            <w:pPr>
              <w:spacing w:before="120" w:after="120"/>
              <w:rPr>
                <w:sz w:val="24"/>
                <w:szCs w:val="24"/>
                <w:lang w:val="bg-BG"/>
              </w:rPr>
            </w:pPr>
          </w:p>
        </w:tc>
        <w:tc>
          <w:tcPr>
            <w:tcW w:w="7655" w:type="dxa"/>
            <w:shd w:val="clear" w:color="auto" w:fill="auto"/>
            <w:vAlign w:val="center"/>
          </w:tcPr>
          <w:p w14:paraId="1338B32C" w14:textId="77777777" w:rsidR="002B77C7" w:rsidRPr="001C7E20" w:rsidRDefault="006223AF" w:rsidP="001E465C">
            <w:pPr>
              <w:jc w:val="both"/>
              <w:rPr>
                <w:sz w:val="24"/>
                <w:szCs w:val="24"/>
                <w:lang w:val="bg-BG"/>
              </w:rPr>
            </w:pPr>
            <w:r w:rsidRPr="001C7E20">
              <w:rPr>
                <w:sz w:val="24"/>
                <w:szCs w:val="24"/>
                <w:lang w:val="bg-BG"/>
              </w:rPr>
              <w:t>Проектите трябва да бъдат изпълнени на територията на Република България</w:t>
            </w:r>
            <w:r w:rsidR="00C35397" w:rsidRPr="001C7E20">
              <w:rPr>
                <w:sz w:val="24"/>
                <w:szCs w:val="24"/>
                <w:lang w:val="bg-BG"/>
              </w:rPr>
              <w:t xml:space="preserve"> в 6-те региона на планиране от ниво NUTS2 – Югозападен, Южен Централен, Югоизточен, Североизточен, Северен Централен и Северозападен.</w:t>
            </w:r>
          </w:p>
        </w:tc>
      </w:tr>
      <w:tr w:rsidR="00E44D31" w:rsidRPr="00B77D23" w14:paraId="459BDCD6" w14:textId="77777777" w:rsidTr="00E036CC">
        <w:trPr>
          <w:trHeight w:val="416"/>
        </w:trPr>
        <w:tc>
          <w:tcPr>
            <w:tcW w:w="2518" w:type="dxa"/>
            <w:shd w:val="clear" w:color="auto" w:fill="auto"/>
            <w:vAlign w:val="center"/>
          </w:tcPr>
          <w:p w14:paraId="4E58D143" w14:textId="77777777" w:rsidR="00E44D31" w:rsidRPr="001C7E20" w:rsidRDefault="00E44D31" w:rsidP="00F408E2">
            <w:pPr>
              <w:spacing w:before="120" w:after="120"/>
              <w:rPr>
                <w:sz w:val="24"/>
                <w:szCs w:val="24"/>
                <w:lang w:val="bg-BG"/>
              </w:rPr>
            </w:pPr>
            <w:r w:rsidRPr="001C7E20">
              <w:rPr>
                <w:sz w:val="24"/>
                <w:szCs w:val="24"/>
                <w:lang w:val="bg-BG"/>
              </w:rPr>
              <w:t>Цели на процедурата</w:t>
            </w:r>
          </w:p>
          <w:p w14:paraId="4060E736" w14:textId="77777777" w:rsidR="00ED3126" w:rsidRPr="001C7E20" w:rsidRDefault="00ED3126" w:rsidP="00F408E2">
            <w:pPr>
              <w:spacing w:before="120" w:after="120"/>
              <w:rPr>
                <w:sz w:val="24"/>
                <w:szCs w:val="24"/>
                <w:lang w:val="bg-BG"/>
              </w:rPr>
            </w:pPr>
          </w:p>
        </w:tc>
        <w:tc>
          <w:tcPr>
            <w:tcW w:w="7655" w:type="dxa"/>
            <w:shd w:val="clear" w:color="auto" w:fill="auto"/>
            <w:vAlign w:val="center"/>
          </w:tcPr>
          <w:p w14:paraId="6092C8D3" w14:textId="77777777" w:rsidR="009064E9" w:rsidRDefault="00B5305B" w:rsidP="00C526F9">
            <w:pPr>
              <w:spacing w:line="259" w:lineRule="auto"/>
              <w:jc w:val="both"/>
              <w:rPr>
                <w:color w:val="000000"/>
                <w:sz w:val="24"/>
                <w:szCs w:val="24"/>
                <w:lang w:val="bg-BG"/>
              </w:rPr>
            </w:pPr>
            <w:bookmarkStart w:id="1" w:name="_Hlk122595560"/>
            <w:r w:rsidRPr="00714754">
              <w:rPr>
                <w:color w:val="000000"/>
                <w:sz w:val="24"/>
                <w:szCs w:val="24"/>
                <w:lang w:val="bg-BG"/>
              </w:rPr>
              <w:t xml:space="preserve">Изпълнение </w:t>
            </w:r>
            <w:r w:rsidR="00714754" w:rsidRPr="00714754">
              <w:rPr>
                <w:color w:val="000000"/>
                <w:sz w:val="24"/>
                <w:szCs w:val="24"/>
                <w:lang w:val="bg-BG"/>
              </w:rPr>
              <w:t xml:space="preserve">на техническа рекултивация на запълнени регионални депа </w:t>
            </w:r>
            <w:r>
              <w:rPr>
                <w:color w:val="000000"/>
                <w:sz w:val="24"/>
                <w:szCs w:val="24"/>
                <w:lang w:val="bg-BG"/>
              </w:rPr>
              <w:t xml:space="preserve">или </w:t>
            </w:r>
            <w:r w:rsidRPr="00714754">
              <w:rPr>
                <w:color w:val="000000"/>
                <w:sz w:val="24"/>
                <w:szCs w:val="24"/>
                <w:lang w:val="bg-BG"/>
              </w:rPr>
              <w:t xml:space="preserve">клетки </w:t>
            </w:r>
            <w:r>
              <w:rPr>
                <w:color w:val="000000"/>
                <w:sz w:val="24"/>
                <w:szCs w:val="24"/>
                <w:lang w:val="bg-BG"/>
              </w:rPr>
              <w:t>на регионални депа</w:t>
            </w:r>
            <w:r w:rsidRPr="00714754">
              <w:rPr>
                <w:color w:val="000000"/>
                <w:sz w:val="24"/>
                <w:szCs w:val="24"/>
                <w:lang w:val="bg-BG"/>
              </w:rPr>
              <w:t xml:space="preserve"> </w:t>
            </w:r>
            <w:r w:rsidR="00714754" w:rsidRPr="00714754">
              <w:rPr>
                <w:color w:val="000000"/>
                <w:sz w:val="24"/>
                <w:szCs w:val="24"/>
                <w:lang w:val="bg-BG"/>
              </w:rPr>
              <w:t>за битови отпадъци с преустановена експлоатация, които трябва да бъдат закрити с цел намаляване на риска от по-нататъшно замърсяване на околната среда и предотвратяване на рисковете за човешкото здраве</w:t>
            </w:r>
            <w:r w:rsidR="007C6E1B" w:rsidRPr="001C7E20">
              <w:rPr>
                <w:color w:val="000000"/>
                <w:sz w:val="24"/>
                <w:szCs w:val="24"/>
                <w:lang w:val="bg-BG"/>
              </w:rPr>
              <w:t xml:space="preserve">. </w:t>
            </w:r>
            <w:bookmarkEnd w:id="1"/>
          </w:p>
          <w:p w14:paraId="7A2F280E" w14:textId="77777777" w:rsidR="008E5EF5" w:rsidRPr="008E5EF5" w:rsidRDefault="008E5EF5" w:rsidP="008E5EF5">
            <w:pPr>
              <w:spacing w:line="259" w:lineRule="auto"/>
              <w:jc w:val="both"/>
              <w:rPr>
                <w:sz w:val="24"/>
                <w:szCs w:val="24"/>
                <w:lang w:val="bg-BG"/>
              </w:rPr>
            </w:pPr>
            <w:r w:rsidRPr="008E5EF5">
              <w:rPr>
                <w:sz w:val="24"/>
                <w:szCs w:val="24"/>
                <w:lang w:val="bg-BG"/>
              </w:rPr>
              <w:t xml:space="preserve">Мярката е включена като допустима по приоритет 2 „Отпадъци“ на ПОС 2021-2027 г., допустима е за финансиране от Европейския фонд за регионално развитие и ще </w:t>
            </w:r>
            <w:r w:rsidRPr="006A17AD">
              <w:rPr>
                <w:sz w:val="24"/>
                <w:szCs w:val="24"/>
                <w:lang w:val="bg-BG"/>
              </w:rPr>
              <w:t>допринесе за постигане на специфична</w:t>
            </w:r>
            <w:r w:rsidRPr="008E5EF5">
              <w:rPr>
                <w:sz w:val="24"/>
                <w:szCs w:val="24"/>
                <w:lang w:val="bg-BG"/>
              </w:rPr>
              <w:t xml:space="preserve"> цел по приоритета „</w:t>
            </w:r>
            <w:r w:rsidRPr="008E5EF5">
              <w:rPr>
                <w:bCs/>
                <w:i/>
                <w:iCs/>
                <w:sz w:val="24"/>
                <w:szCs w:val="24"/>
                <w:lang w:val="bg-BG" w:bidi="bg-BG"/>
              </w:rPr>
              <w:t>Подобряване на защитата и опазването на природата, биологичното разнообразие и екологосъобразната инфраструктура, включително в градските райони, и намаляване на всички форми на замърсяване</w:t>
            </w:r>
            <w:r w:rsidRPr="008E5EF5">
              <w:rPr>
                <w:sz w:val="24"/>
                <w:szCs w:val="24"/>
                <w:lang w:val="bg-BG"/>
              </w:rPr>
              <w:t>“.</w:t>
            </w:r>
          </w:p>
          <w:p w14:paraId="7E20A661" w14:textId="77777777" w:rsidR="008E5EF5" w:rsidRPr="001C7E20" w:rsidRDefault="008E5EF5" w:rsidP="008E5EF5">
            <w:pPr>
              <w:spacing w:line="259" w:lineRule="auto"/>
              <w:jc w:val="both"/>
              <w:rPr>
                <w:sz w:val="24"/>
                <w:szCs w:val="24"/>
                <w:lang w:val="bg-BG"/>
              </w:rPr>
            </w:pPr>
            <w:r w:rsidRPr="008E5EF5">
              <w:rPr>
                <w:sz w:val="24"/>
                <w:szCs w:val="24"/>
                <w:lang w:val="bg-BG"/>
              </w:rPr>
              <w:lastRenderedPageBreak/>
              <w:t>Изпълнението на мярката е предвиден</w:t>
            </w:r>
            <w:r w:rsidR="00B5305B">
              <w:rPr>
                <w:sz w:val="24"/>
                <w:szCs w:val="24"/>
                <w:lang w:val="bg-BG"/>
              </w:rPr>
              <w:t>о</w:t>
            </w:r>
            <w:r w:rsidRPr="008E5EF5">
              <w:rPr>
                <w:sz w:val="24"/>
                <w:szCs w:val="24"/>
                <w:lang w:val="bg-BG"/>
              </w:rPr>
              <w:t xml:space="preserve"> и в Плана за действие към </w:t>
            </w:r>
            <w:r w:rsidRPr="008E5EF5">
              <w:rPr>
                <w:i/>
                <w:iCs/>
                <w:sz w:val="24"/>
                <w:szCs w:val="24"/>
                <w:lang w:val="bg-BG"/>
              </w:rPr>
              <w:t xml:space="preserve">Програмата за </w:t>
            </w:r>
            <w:r w:rsidR="00E77BBE">
              <w:rPr>
                <w:i/>
                <w:iCs/>
                <w:sz w:val="24"/>
                <w:szCs w:val="24"/>
                <w:lang w:val="bg-BG"/>
              </w:rPr>
              <w:t>намаляване на количествата и на риска от депонираните битови отпадъци и други</w:t>
            </w:r>
            <w:r w:rsidRPr="008E5EF5">
              <w:rPr>
                <w:sz w:val="24"/>
                <w:szCs w:val="24"/>
                <w:lang w:val="bg-BG"/>
              </w:rPr>
              <w:t xml:space="preserve"> към </w:t>
            </w:r>
            <w:r w:rsidRPr="008E5EF5">
              <w:rPr>
                <w:i/>
                <w:iCs/>
                <w:sz w:val="24"/>
                <w:szCs w:val="24"/>
                <w:lang w:val="bg-BG"/>
              </w:rPr>
              <w:t>Националния план за управление на отпадъците</w:t>
            </w:r>
            <w:r w:rsidRPr="008E5EF5">
              <w:rPr>
                <w:sz w:val="24"/>
                <w:szCs w:val="24"/>
                <w:lang w:val="bg-BG"/>
              </w:rPr>
              <w:t xml:space="preserve"> за периода 2021-2028 г., отключващо условие към специфичната цел по приоритет 2 на ПОС 2021-2027 г. </w:t>
            </w:r>
          </w:p>
        </w:tc>
      </w:tr>
      <w:tr w:rsidR="00E44D31" w:rsidRPr="00B77D23" w14:paraId="440B18C1" w14:textId="77777777" w:rsidTr="00E036CC">
        <w:tc>
          <w:tcPr>
            <w:tcW w:w="2518" w:type="dxa"/>
            <w:shd w:val="clear" w:color="auto" w:fill="auto"/>
            <w:vAlign w:val="center"/>
          </w:tcPr>
          <w:p w14:paraId="015EC999" w14:textId="199CCDBA" w:rsidR="005C3D8C" w:rsidRPr="001C7E20" w:rsidRDefault="00E44D31" w:rsidP="004C047B">
            <w:pPr>
              <w:spacing w:before="120" w:after="120"/>
              <w:rPr>
                <w:sz w:val="24"/>
                <w:szCs w:val="24"/>
                <w:lang w:val="bg-BG"/>
              </w:rPr>
            </w:pPr>
            <w:r w:rsidRPr="001C7E20">
              <w:rPr>
                <w:sz w:val="24"/>
                <w:szCs w:val="24"/>
                <w:lang w:val="bg-BG"/>
              </w:rPr>
              <w:lastRenderedPageBreak/>
              <w:t>Очаквани резултати от процедурата</w:t>
            </w:r>
          </w:p>
          <w:p w14:paraId="2C68B14C" w14:textId="77777777" w:rsidR="005C3D8C" w:rsidRPr="001C7E20" w:rsidRDefault="005C3D8C" w:rsidP="004A172E">
            <w:pPr>
              <w:rPr>
                <w:sz w:val="24"/>
                <w:szCs w:val="24"/>
                <w:lang w:val="bg-BG"/>
              </w:rPr>
            </w:pPr>
          </w:p>
        </w:tc>
        <w:tc>
          <w:tcPr>
            <w:tcW w:w="7655" w:type="dxa"/>
            <w:shd w:val="clear" w:color="auto" w:fill="auto"/>
            <w:vAlign w:val="center"/>
          </w:tcPr>
          <w:p w14:paraId="47668BB9" w14:textId="77777777" w:rsidR="005E18FB" w:rsidRPr="001C7E20" w:rsidRDefault="00204DE6" w:rsidP="005C1100">
            <w:pPr>
              <w:spacing w:after="120"/>
              <w:jc w:val="both"/>
              <w:rPr>
                <w:sz w:val="24"/>
                <w:szCs w:val="24"/>
                <w:lang w:val="bg-BG"/>
              </w:rPr>
            </w:pPr>
            <w:r w:rsidRPr="001C7E20">
              <w:rPr>
                <w:color w:val="000000"/>
                <w:sz w:val="24"/>
                <w:szCs w:val="24"/>
                <w:lang w:val="bg-BG"/>
              </w:rPr>
              <w:t xml:space="preserve">Изпълнени проекти за техническа рекултивация на </w:t>
            </w:r>
            <w:r w:rsidR="00F3398E" w:rsidRPr="001C7E20">
              <w:rPr>
                <w:color w:val="000000"/>
                <w:sz w:val="24"/>
                <w:szCs w:val="24"/>
                <w:lang w:val="bg-BG"/>
              </w:rPr>
              <w:t>регионални депа за битови отпадъци</w:t>
            </w:r>
            <w:r w:rsidR="00B5305B">
              <w:rPr>
                <w:color w:val="000000"/>
                <w:sz w:val="24"/>
                <w:szCs w:val="24"/>
                <w:lang w:val="bg-BG"/>
              </w:rPr>
              <w:t xml:space="preserve"> или клетки на регионални депа</w:t>
            </w:r>
            <w:r w:rsidR="007C6E1B" w:rsidRPr="001C7E20">
              <w:rPr>
                <w:color w:val="000000"/>
                <w:sz w:val="24"/>
                <w:szCs w:val="24"/>
                <w:lang w:val="bg-BG"/>
              </w:rPr>
              <w:t>, които отговарят на нормативните изисквания</w:t>
            </w:r>
            <w:r w:rsidR="00F3398E" w:rsidRPr="001C7E20">
              <w:rPr>
                <w:color w:val="000000"/>
                <w:sz w:val="24"/>
                <w:szCs w:val="24"/>
                <w:lang w:val="bg-BG"/>
              </w:rPr>
              <w:t xml:space="preserve">. </w:t>
            </w:r>
          </w:p>
        </w:tc>
      </w:tr>
      <w:tr w:rsidR="00E44D31" w:rsidRPr="00B77D23" w14:paraId="2DE33420" w14:textId="77777777" w:rsidTr="00E036CC">
        <w:tc>
          <w:tcPr>
            <w:tcW w:w="2518" w:type="dxa"/>
            <w:shd w:val="clear" w:color="auto" w:fill="auto"/>
            <w:vAlign w:val="center"/>
          </w:tcPr>
          <w:p w14:paraId="5EB33500" w14:textId="2F8D25F9" w:rsidR="005C3D8C" w:rsidRPr="001C7E20" w:rsidRDefault="00E44D31" w:rsidP="004A172E">
            <w:pPr>
              <w:rPr>
                <w:sz w:val="24"/>
                <w:szCs w:val="24"/>
                <w:lang w:val="bg-BG"/>
              </w:rPr>
            </w:pPr>
            <w:r w:rsidRPr="001C7E20">
              <w:rPr>
                <w:sz w:val="24"/>
                <w:szCs w:val="24"/>
                <w:lang w:val="bg-BG"/>
              </w:rPr>
              <w:t>Индикатори по процедурата</w:t>
            </w:r>
          </w:p>
        </w:tc>
        <w:tc>
          <w:tcPr>
            <w:tcW w:w="7655" w:type="dxa"/>
            <w:shd w:val="clear" w:color="auto" w:fill="auto"/>
            <w:vAlign w:val="center"/>
          </w:tcPr>
          <w:p w14:paraId="0E5BB3D2" w14:textId="77777777" w:rsidR="00204DE6" w:rsidRDefault="00714754" w:rsidP="00204DE6">
            <w:pPr>
              <w:rPr>
                <w:b/>
                <w:color w:val="000000"/>
                <w:sz w:val="24"/>
                <w:szCs w:val="24"/>
                <w:lang w:val="bg-BG"/>
              </w:rPr>
            </w:pPr>
            <w:r w:rsidRPr="00714754">
              <w:rPr>
                <w:b/>
                <w:color w:val="000000"/>
                <w:sz w:val="24"/>
                <w:szCs w:val="24"/>
                <w:lang w:val="bg-BG"/>
              </w:rPr>
              <w:t xml:space="preserve">Във всяко проектно предложение трябва да бъдат включени </w:t>
            </w:r>
            <w:r>
              <w:rPr>
                <w:b/>
                <w:color w:val="000000"/>
                <w:sz w:val="24"/>
                <w:szCs w:val="24"/>
                <w:lang w:val="bg-BG"/>
              </w:rPr>
              <w:t xml:space="preserve">задължително </w:t>
            </w:r>
            <w:r w:rsidRPr="00714754">
              <w:rPr>
                <w:b/>
                <w:color w:val="000000"/>
                <w:sz w:val="24"/>
                <w:szCs w:val="24"/>
                <w:lang w:val="bg-BG"/>
              </w:rPr>
              <w:t>следните индикатори:</w:t>
            </w:r>
          </w:p>
          <w:p w14:paraId="6F0E2AE5" w14:textId="77777777" w:rsidR="00714754" w:rsidRPr="001C7E20" w:rsidRDefault="00714754" w:rsidP="00204DE6">
            <w:pPr>
              <w:rPr>
                <w:sz w:val="24"/>
                <w:szCs w:val="24"/>
                <w:lang w:val="bg-BG"/>
              </w:rPr>
            </w:pPr>
          </w:p>
          <w:p w14:paraId="0D908875" w14:textId="77777777" w:rsidR="00204DE6" w:rsidRPr="001C7E20" w:rsidRDefault="00204DE6" w:rsidP="00204DE6">
            <w:pPr>
              <w:rPr>
                <w:b/>
                <w:sz w:val="24"/>
                <w:szCs w:val="24"/>
                <w:lang w:val="bg-BG"/>
              </w:rPr>
            </w:pPr>
            <w:r w:rsidRPr="001C7E20">
              <w:rPr>
                <w:b/>
                <w:sz w:val="24"/>
                <w:szCs w:val="24"/>
                <w:lang w:val="bg-BG"/>
              </w:rPr>
              <w:t>Индикатор за резултат:</w:t>
            </w:r>
          </w:p>
          <w:p w14:paraId="7CCFAE51" w14:textId="77777777" w:rsidR="00204DE6" w:rsidRPr="001C7E20" w:rsidRDefault="00204DE6" w:rsidP="00204DE6">
            <w:pPr>
              <w:rPr>
                <w:b/>
                <w:sz w:val="24"/>
                <w:szCs w:val="24"/>
                <w:lang w:val="bg-BG"/>
              </w:rPr>
            </w:pPr>
          </w:p>
          <w:p w14:paraId="465F5402" w14:textId="77777777" w:rsidR="00204DE6" w:rsidRDefault="00204DE6" w:rsidP="00204DE6">
            <w:pPr>
              <w:rPr>
                <w:sz w:val="24"/>
                <w:szCs w:val="24"/>
                <w:lang w:val="bg-BG"/>
              </w:rPr>
            </w:pPr>
            <w:r w:rsidRPr="001C7E20">
              <w:rPr>
                <w:sz w:val="24"/>
                <w:szCs w:val="24"/>
                <w:lang w:val="bg-BG"/>
              </w:rPr>
              <w:t xml:space="preserve">1. </w:t>
            </w:r>
            <w:r w:rsidR="008E3D19" w:rsidRPr="001C7E20">
              <w:rPr>
                <w:i/>
                <w:iCs/>
                <w:sz w:val="24"/>
                <w:szCs w:val="24"/>
                <w:lang w:val="bg-BG"/>
              </w:rPr>
              <w:t>Рехабилитирана земя, използвана за зелени площи, социално жилищно настаняване, стопанско или друго ползване</w:t>
            </w:r>
            <w:r w:rsidR="008E3D19" w:rsidRPr="001C7E20">
              <w:rPr>
                <w:sz w:val="24"/>
                <w:szCs w:val="24"/>
                <w:lang w:val="bg-BG"/>
              </w:rPr>
              <w:t xml:space="preserve"> </w:t>
            </w:r>
            <w:r w:rsidRPr="00714754">
              <w:rPr>
                <w:sz w:val="24"/>
                <w:szCs w:val="24"/>
                <w:lang w:val="bg-BG"/>
              </w:rPr>
              <w:t xml:space="preserve">– </w:t>
            </w:r>
            <w:r w:rsidR="008E3D19" w:rsidRPr="00714754">
              <w:rPr>
                <w:sz w:val="24"/>
                <w:szCs w:val="24"/>
                <w:lang w:val="bg-BG"/>
              </w:rPr>
              <w:t>ха (</w:t>
            </w:r>
            <w:r w:rsidR="008E3D19" w:rsidRPr="00714754">
              <w:rPr>
                <w:b/>
                <w:bCs/>
                <w:sz w:val="24"/>
                <w:szCs w:val="24"/>
                <w:lang w:val="bg-BG"/>
              </w:rPr>
              <w:t>показател за ре</w:t>
            </w:r>
            <w:r w:rsidR="00B5305B">
              <w:rPr>
                <w:b/>
                <w:bCs/>
                <w:sz w:val="24"/>
                <w:szCs w:val="24"/>
                <w:lang w:val="bg-BG"/>
              </w:rPr>
              <w:t>з</w:t>
            </w:r>
            <w:r w:rsidR="008E3D19" w:rsidRPr="00714754">
              <w:rPr>
                <w:b/>
                <w:bCs/>
                <w:sz w:val="24"/>
                <w:szCs w:val="24"/>
                <w:lang w:val="bg-BG"/>
              </w:rPr>
              <w:t>ултат по приоритет „Отпадъци“ на ПОС 2021-2027 г.</w:t>
            </w:r>
            <w:r w:rsidR="008E3D19" w:rsidRPr="00714754">
              <w:rPr>
                <w:sz w:val="24"/>
                <w:szCs w:val="24"/>
                <w:lang w:val="bg-BG"/>
              </w:rPr>
              <w:t>)</w:t>
            </w:r>
          </w:p>
          <w:p w14:paraId="5226B0DC" w14:textId="77777777" w:rsidR="00B5305B" w:rsidRPr="00714754" w:rsidRDefault="00B5305B" w:rsidP="00204DE6">
            <w:pPr>
              <w:rPr>
                <w:sz w:val="24"/>
                <w:szCs w:val="24"/>
                <w:lang w:val="bg-BG"/>
              </w:rPr>
            </w:pPr>
          </w:p>
          <w:p w14:paraId="315BC37C" w14:textId="38A1FF2B" w:rsidR="00204DE6" w:rsidRPr="00714754" w:rsidRDefault="00204DE6" w:rsidP="00204DE6">
            <w:pPr>
              <w:jc w:val="both"/>
              <w:rPr>
                <w:sz w:val="24"/>
                <w:szCs w:val="24"/>
                <w:lang w:val="bg-BG"/>
              </w:rPr>
            </w:pPr>
            <w:r w:rsidRPr="00714754">
              <w:rPr>
                <w:sz w:val="24"/>
                <w:szCs w:val="24"/>
                <w:lang w:val="bg-BG"/>
              </w:rPr>
              <w:t xml:space="preserve">Като базова стойност се посочва 0 </w:t>
            </w:r>
            <w:r w:rsidR="008E3D19" w:rsidRPr="00714754">
              <w:rPr>
                <w:sz w:val="24"/>
                <w:szCs w:val="24"/>
                <w:lang w:val="bg-BG"/>
              </w:rPr>
              <w:t>ха</w:t>
            </w:r>
            <w:r w:rsidRPr="00714754">
              <w:rPr>
                <w:sz w:val="24"/>
                <w:szCs w:val="24"/>
                <w:lang w:val="bg-BG"/>
              </w:rPr>
              <w:t xml:space="preserve">, а като целева стойност се посочва площта на </w:t>
            </w:r>
            <w:r w:rsidR="009A168C" w:rsidRPr="00714754">
              <w:rPr>
                <w:sz w:val="24"/>
                <w:szCs w:val="24"/>
                <w:lang w:val="bg-BG"/>
              </w:rPr>
              <w:t>клетката/</w:t>
            </w:r>
            <w:r w:rsidR="00ED26A4" w:rsidRPr="00714754">
              <w:rPr>
                <w:sz w:val="24"/>
                <w:szCs w:val="24"/>
                <w:lang w:val="bg-BG"/>
              </w:rPr>
              <w:t>клетките</w:t>
            </w:r>
            <w:r w:rsidR="00DB6812">
              <w:rPr>
                <w:sz w:val="24"/>
                <w:szCs w:val="24"/>
                <w:lang w:val="bg-BG"/>
              </w:rPr>
              <w:t xml:space="preserve"> от регионалното депо</w:t>
            </w:r>
            <w:r w:rsidR="00ED26A4" w:rsidRPr="00714754">
              <w:rPr>
                <w:sz w:val="24"/>
                <w:szCs w:val="24"/>
                <w:lang w:val="bg-BG"/>
              </w:rPr>
              <w:t>/</w:t>
            </w:r>
            <w:r w:rsidR="00DB6812">
              <w:rPr>
                <w:sz w:val="24"/>
                <w:szCs w:val="24"/>
                <w:lang w:val="bg-BG"/>
              </w:rPr>
              <w:t xml:space="preserve">регионалното </w:t>
            </w:r>
            <w:r w:rsidRPr="00714754">
              <w:rPr>
                <w:sz w:val="24"/>
                <w:szCs w:val="24"/>
                <w:lang w:val="bg-BG"/>
              </w:rPr>
              <w:t>депо</w:t>
            </w:r>
            <w:r w:rsidRPr="00912860">
              <w:rPr>
                <w:sz w:val="24"/>
                <w:szCs w:val="24"/>
                <w:lang w:val="bg-BG"/>
              </w:rPr>
              <w:t xml:space="preserve">, която ще бъде </w:t>
            </w:r>
            <w:r w:rsidR="00ED26A4" w:rsidRPr="00912860">
              <w:rPr>
                <w:sz w:val="24"/>
                <w:szCs w:val="24"/>
                <w:lang w:val="bg-BG"/>
              </w:rPr>
              <w:t xml:space="preserve">технически </w:t>
            </w:r>
            <w:r w:rsidRPr="00912860">
              <w:rPr>
                <w:sz w:val="24"/>
                <w:szCs w:val="24"/>
                <w:lang w:val="bg-BG"/>
              </w:rPr>
              <w:t>рекултивирана в резултат от изпълнението на проекта</w:t>
            </w:r>
            <w:r w:rsidR="009A168C" w:rsidRPr="00912860">
              <w:rPr>
                <w:sz w:val="24"/>
                <w:szCs w:val="24"/>
                <w:lang w:val="bg-BG"/>
              </w:rPr>
              <w:t xml:space="preserve"> и която може да бъде използвана за друго предназначение</w:t>
            </w:r>
            <w:r w:rsidR="00912860">
              <w:rPr>
                <w:sz w:val="24"/>
                <w:szCs w:val="24"/>
                <w:lang w:val="bg-BG"/>
              </w:rPr>
              <w:t xml:space="preserve"> спрямо настоящото</w:t>
            </w:r>
            <w:r w:rsidRPr="00912860">
              <w:rPr>
                <w:sz w:val="24"/>
                <w:szCs w:val="24"/>
                <w:lang w:val="bg-BG"/>
              </w:rPr>
              <w:t>.</w:t>
            </w:r>
          </w:p>
          <w:p w14:paraId="2867448A" w14:textId="77777777" w:rsidR="00204DE6" w:rsidRPr="001C7E20" w:rsidRDefault="00204DE6" w:rsidP="00204DE6">
            <w:pPr>
              <w:jc w:val="both"/>
              <w:rPr>
                <w:sz w:val="24"/>
                <w:szCs w:val="24"/>
                <w:lang w:val="bg-BG"/>
              </w:rPr>
            </w:pPr>
          </w:p>
          <w:p w14:paraId="1CBD2978" w14:textId="77777777" w:rsidR="00204DE6" w:rsidRPr="001C7E20" w:rsidRDefault="00204DE6" w:rsidP="00204DE6">
            <w:pPr>
              <w:rPr>
                <w:b/>
                <w:sz w:val="24"/>
                <w:szCs w:val="24"/>
                <w:lang w:val="bg-BG"/>
              </w:rPr>
            </w:pPr>
            <w:r w:rsidRPr="001C7E20">
              <w:rPr>
                <w:b/>
                <w:sz w:val="24"/>
                <w:szCs w:val="24"/>
                <w:lang w:val="bg-BG"/>
              </w:rPr>
              <w:t>Индикатор</w:t>
            </w:r>
            <w:r w:rsidR="004669AB">
              <w:rPr>
                <w:b/>
                <w:sz w:val="24"/>
                <w:szCs w:val="24"/>
                <w:lang w:val="bg-BG"/>
              </w:rPr>
              <w:t>и</w:t>
            </w:r>
            <w:r w:rsidRPr="001C7E20">
              <w:rPr>
                <w:b/>
                <w:sz w:val="24"/>
                <w:szCs w:val="24"/>
                <w:lang w:val="bg-BG"/>
              </w:rPr>
              <w:t xml:space="preserve"> за изпълнение:</w:t>
            </w:r>
          </w:p>
          <w:p w14:paraId="1FEC9113" w14:textId="77777777" w:rsidR="00204DE6" w:rsidRDefault="009A168C" w:rsidP="00204DE6">
            <w:pPr>
              <w:rPr>
                <w:i/>
                <w:iCs/>
                <w:sz w:val="24"/>
                <w:szCs w:val="24"/>
                <w:lang w:val="bg-BG"/>
              </w:rPr>
            </w:pPr>
            <w:r w:rsidRPr="001C7E20">
              <w:rPr>
                <w:i/>
                <w:iCs/>
                <w:sz w:val="24"/>
                <w:szCs w:val="24"/>
                <w:lang w:val="bg-BG"/>
              </w:rPr>
              <w:t xml:space="preserve">1. </w:t>
            </w:r>
            <w:r w:rsidR="008E3D19" w:rsidRPr="00714754">
              <w:rPr>
                <w:i/>
                <w:iCs/>
                <w:sz w:val="24"/>
                <w:szCs w:val="24"/>
                <w:lang w:val="bg-BG"/>
              </w:rPr>
              <w:t>Площ на рехабилитираната земя, за която се отпуска подкрепа – ха</w:t>
            </w:r>
            <w:r w:rsidR="008E3D19" w:rsidRPr="00714754">
              <w:rPr>
                <w:b/>
                <w:bCs/>
                <w:sz w:val="24"/>
                <w:szCs w:val="24"/>
                <w:lang w:val="bg-BG"/>
              </w:rPr>
              <w:t xml:space="preserve">  (показател за краен продукт по приоритет „Отпадъци“ на ПОС 2021-2027 г.</w:t>
            </w:r>
            <w:r w:rsidR="008E3D19" w:rsidRPr="00714754">
              <w:rPr>
                <w:sz w:val="24"/>
                <w:szCs w:val="24"/>
                <w:lang w:val="bg-BG"/>
              </w:rPr>
              <w:t>)</w:t>
            </w:r>
            <w:r w:rsidR="008E3D19" w:rsidRPr="00714754">
              <w:rPr>
                <w:i/>
                <w:iCs/>
                <w:sz w:val="24"/>
                <w:szCs w:val="24"/>
                <w:lang w:val="bg-BG"/>
              </w:rPr>
              <w:t xml:space="preserve"> </w:t>
            </w:r>
          </w:p>
          <w:p w14:paraId="51864D62" w14:textId="77777777" w:rsidR="00B5305B" w:rsidRPr="00714754" w:rsidRDefault="00B5305B" w:rsidP="00204DE6">
            <w:pPr>
              <w:rPr>
                <w:sz w:val="24"/>
                <w:szCs w:val="24"/>
                <w:lang w:val="bg-BG"/>
              </w:rPr>
            </w:pPr>
          </w:p>
          <w:p w14:paraId="28538D62" w14:textId="39C6F1D5" w:rsidR="009A168C" w:rsidRPr="00714754" w:rsidRDefault="009A168C" w:rsidP="009A168C">
            <w:pPr>
              <w:jc w:val="both"/>
              <w:rPr>
                <w:sz w:val="24"/>
                <w:szCs w:val="24"/>
                <w:lang w:val="bg-BG"/>
              </w:rPr>
            </w:pPr>
            <w:r w:rsidRPr="00714754">
              <w:rPr>
                <w:sz w:val="24"/>
                <w:szCs w:val="24"/>
                <w:lang w:val="bg-BG"/>
              </w:rPr>
              <w:t xml:space="preserve">Като базова стойност се посочва 0 </w:t>
            </w:r>
            <w:r w:rsidR="00674C11" w:rsidRPr="00714754">
              <w:rPr>
                <w:sz w:val="24"/>
                <w:szCs w:val="24"/>
                <w:lang w:val="bg-BG"/>
              </w:rPr>
              <w:t>ха</w:t>
            </w:r>
            <w:r w:rsidRPr="00714754">
              <w:rPr>
                <w:sz w:val="24"/>
                <w:szCs w:val="24"/>
                <w:lang w:val="bg-BG"/>
              </w:rPr>
              <w:t xml:space="preserve">, а като целева стойност се посочва площта на </w:t>
            </w:r>
            <w:r w:rsidR="00ED26A4" w:rsidRPr="00714754">
              <w:rPr>
                <w:sz w:val="24"/>
                <w:szCs w:val="24"/>
                <w:lang w:val="bg-BG"/>
              </w:rPr>
              <w:t>клетката/клетките</w:t>
            </w:r>
            <w:r w:rsidR="00DB6812">
              <w:rPr>
                <w:sz w:val="24"/>
                <w:szCs w:val="24"/>
                <w:lang w:val="bg-BG"/>
              </w:rPr>
              <w:t xml:space="preserve"> от регионалното депо</w:t>
            </w:r>
            <w:r w:rsidR="00ED26A4" w:rsidRPr="00714754">
              <w:rPr>
                <w:sz w:val="24"/>
                <w:szCs w:val="24"/>
                <w:lang w:val="bg-BG"/>
              </w:rPr>
              <w:t>/</w:t>
            </w:r>
            <w:r w:rsidR="00DB6812">
              <w:rPr>
                <w:sz w:val="24"/>
                <w:szCs w:val="24"/>
                <w:lang w:val="bg-BG"/>
              </w:rPr>
              <w:t xml:space="preserve">регионалното </w:t>
            </w:r>
            <w:r w:rsidRPr="00714754">
              <w:rPr>
                <w:sz w:val="24"/>
                <w:szCs w:val="24"/>
                <w:lang w:val="bg-BG"/>
              </w:rPr>
              <w:t xml:space="preserve">депо, която ще бъде </w:t>
            </w:r>
            <w:r w:rsidR="00ED26A4" w:rsidRPr="00714754">
              <w:rPr>
                <w:sz w:val="24"/>
                <w:szCs w:val="24"/>
                <w:lang w:val="bg-BG"/>
              </w:rPr>
              <w:t xml:space="preserve">технически </w:t>
            </w:r>
            <w:r w:rsidRPr="00714754">
              <w:rPr>
                <w:sz w:val="24"/>
                <w:szCs w:val="24"/>
                <w:lang w:val="bg-BG"/>
              </w:rPr>
              <w:t>рекултивирана в резултат от изпълнението на проекта, финансиран по ПОС 2021-2027 г.</w:t>
            </w:r>
          </w:p>
          <w:p w14:paraId="2863A7D8" w14:textId="77777777" w:rsidR="009A168C" w:rsidRPr="00714754" w:rsidRDefault="009A168C" w:rsidP="00204DE6">
            <w:pPr>
              <w:rPr>
                <w:sz w:val="24"/>
                <w:szCs w:val="24"/>
                <w:lang w:val="bg-BG"/>
              </w:rPr>
            </w:pPr>
          </w:p>
          <w:p w14:paraId="122AC8A3" w14:textId="77777777" w:rsidR="00204DE6" w:rsidRDefault="00CD44A2" w:rsidP="00B5305B">
            <w:pPr>
              <w:jc w:val="both"/>
              <w:rPr>
                <w:sz w:val="24"/>
                <w:szCs w:val="24"/>
                <w:lang w:val="bg-BG"/>
              </w:rPr>
            </w:pPr>
            <w:r w:rsidRPr="00714754">
              <w:rPr>
                <w:sz w:val="24"/>
                <w:szCs w:val="24"/>
                <w:lang w:val="bg-BG"/>
              </w:rPr>
              <w:t xml:space="preserve">2. </w:t>
            </w:r>
            <w:r w:rsidR="00B5305B" w:rsidRPr="00B5305B">
              <w:rPr>
                <w:i/>
                <w:iCs/>
                <w:sz w:val="24"/>
                <w:szCs w:val="24"/>
                <w:lang w:val="bg-BG"/>
              </w:rPr>
              <w:t>Клетки от регионалното депо за битови отпадъци със</w:t>
            </w:r>
            <w:r w:rsidR="00B5305B">
              <w:rPr>
                <w:sz w:val="24"/>
                <w:szCs w:val="24"/>
                <w:lang w:val="bg-BG"/>
              </w:rPr>
              <w:t xml:space="preserve"> </w:t>
            </w:r>
            <w:r w:rsidR="00B5305B" w:rsidRPr="00714754">
              <w:rPr>
                <w:i/>
                <w:sz w:val="24"/>
                <w:szCs w:val="24"/>
                <w:lang w:val="bg-BG"/>
              </w:rPr>
              <w:t xml:space="preserve">завършена </w:t>
            </w:r>
            <w:r w:rsidR="00204DE6" w:rsidRPr="00714754">
              <w:rPr>
                <w:i/>
                <w:sz w:val="24"/>
                <w:szCs w:val="24"/>
                <w:lang w:val="bg-BG"/>
              </w:rPr>
              <w:t>техническа рекултивация</w:t>
            </w:r>
            <w:r w:rsidR="00F3398E" w:rsidRPr="00714754">
              <w:rPr>
                <w:i/>
                <w:sz w:val="24"/>
                <w:szCs w:val="24"/>
                <w:lang w:val="bg-BG"/>
              </w:rPr>
              <w:t xml:space="preserve"> </w:t>
            </w:r>
            <w:r w:rsidR="009A168C" w:rsidRPr="00714754">
              <w:rPr>
                <w:b/>
                <w:sz w:val="24"/>
                <w:szCs w:val="24"/>
                <w:lang w:val="bg-BG"/>
              </w:rPr>
              <w:t xml:space="preserve">(индивидуален </w:t>
            </w:r>
            <w:r w:rsidR="008E3D19" w:rsidRPr="00714754">
              <w:rPr>
                <w:b/>
                <w:sz w:val="24"/>
                <w:szCs w:val="24"/>
                <w:lang w:val="bg-BG"/>
              </w:rPr>
              <w:t xml:space="preserve">индикатор </w:t>
            </w:r>
            <w:r w:rsidR="009A168C" w:rsidRPr="00714754">
              <w:rPr>
                <w:b/>
                <w:sz w:val="24"/>
                <w:szCs w:val="24"/>
                <w:lang w:val="bg-BG"/>
              </w:rPr>
              <w:t xml:space="preserve">за процедурата) </w:t>
            </w:r>
            <w:r w:rsidR="00204DE6" w:rsidRPr="00714754">
              <w:rPr>
                <w:sz w:val="24"/>
                <w:szCs w:val="24"/>
                <w:lang w:val="bg-BG"/>
              </w:rPr>
              <w:t>– брой</w:t>
            </w:r>
          </w:p>
          <w:p w14:paraId="0E5FCD6A" w14:textId="77777777" w:rsidR="00B5305B" w:rsidRPr="00714754" w:rsidRDefault="00B5305B" w:rsidP="00B5305B">
            <w:pPr>
              <w:jc w:val="both"/>
              <w:rPr>
                <w:sz w:val="24"/>
                <w:szCs w:val="24"/>
                <w:lang w:val="bg-BG"/>
              </w:rPr>
            </w:pPr>
          </w:p>
          <w:p w14:paraId="0C5817D4" w14:textId="203850B9" w:rsidR="00204DE6" w:rsidRPr="00714754" w:rsidRDefault="00204DE6" w:rsidP="00204DE6">
            <w:pPr>
              <w:jc w:val="both"/>
              <w:rPr>
                <w:sz w:val="24"/>
                <w:szCs w:val="24"/>
                <w:lang w:val="bg-BG"/>
              </w:rPr>
            </w:pPr>
            <w:r w:rsidRPr="00714754">
              <w:rPr>
                <w:sz w:val="24"/>
                <w:szCs w:val="24"/>
                <w:lang w:val="bg-BG"/>
              </w:rPr>
              <w:t>Всеки кандидат</w:t>
            </w:r>
            <w:r w:rsidR="00CD44A2" w:rsidRPr="00714754">
              <w:rPr>
                <w:sz w:val="24"/>
                <w:szCs w:val="24"/>
                <w:lang w:val="bg-BG"/>
              </w:rPr>
              <w:t xml:space="preserve"> </w:t>
            </w:r>
            <w:r w:rsidRPr="00714754">
              <w:rPr>
                <w:sz w:val="24"/>
                <w:szCs w:val="24"/>
                <w:lang w:val="bg-BG"/>
              </w:rPr>
              <w:t>следва да включ</w:t>
            </w:r>
            <w:r w:rsidR="00CD44A2" w:rsidRPr="00714754">
              <w:rPr>
                <w:sz w:val="24"/>
                <w:szCs w:val="24"/>
                <w:lang w:val="bg-BG"/>
              </w:rPr>
              <w:t>и в подадения проект</w:t>
            </w:r>
            <w:r w:rsidR="00B5305B">
              <w:rPr>
                <w:sz w:val="24"/>
                <w:szCs w:val="24"/>
                <w:lang w:val="bg-BG"/>
              </w:rPr>
              <w:t xml:space="preserve"> броя на</w:t>
            </w:r>
            <w:r w:rsidR="00CD44A2" w:rsidRPr="00714754">
              <w:rPr>
                <w:sz w:val="24"/>
                <w:szCs w:val="24"/>
                <w:lang w:val="bg-BG"/>
              </w:rPr>
              <w:t xml:space="preserve"> </w:t>
            </w:r>
            <w:r w:rsidR="00ED26A4" w:rsidRPr="00714754">
              <w:rPr>
                <w:sz w:val="24"/>
                <w:szCs w:val="24"/>
                <w:lang w:val="bg-BG"/>
              </w:rPr>
              <w:t xml:space="preserve">клетките от </w:t>
            </w:r>
            <w:r w:rsidR="00F3398E" w:rsidRPr="00714754">
              <w:rPr>
                <w:sz w:val="24"/>
                <w:szCs w:val="24"/>
                <w:lang w:val="bg-BG"/>
              </w:rPr>
              <w:t xml:space="preserve">регионалното депо за битови отпадъци, за техническата рекултивация на което се иска финансиране по процедурата. </w:t>
            </w:r>
            <w:r w:rsidRPr="00714754">
              <w:rPr>
                <w:sz w:val="24"/>
                <w:szCs w:val="24"/>
                <w:lang w:val="bg-BG"/>
              </w:rPr>
              <w:t xml:space="preserve">Като базова стойност на индикатора се посочва 0 бр., а като целева стойност се посочва броят на </w:t>
            </w:r>
            <w:r w:rsidR="00F3398E" w:rsidRPr="00714754">
              <w:rPr>
                <w:sz w:val="24"/>
                <w:szCs w:val="24"/>
                <w:lang w:val="bg-BG"/>
              </w:rPr>
              <w:t>клетките на депото</w:t>
            </w:r>
            <w:r w:rsidRPr="00714754">
              <w:rPr>
                <w:sz w:val="24"/>
                <w:szCs w:val="24"/>
                <w:lang w:val="bg-BG"/>
              </w:rPr>
              <w:t xml:space="preserve">, чиято техническа рекултивация </w:t>
            </w:r>
            <w:r w:rsidR="00F3398E" w:rsidRPr="00714754">
              <w:rPr>
                <w:sz w:val="24"/>
                <w:szCs w:val="24"/>
                <w:lang w:val="bg-BG"/>
              </w:rPr>
              <w:t>ще бъде</w:t>
            </w:r>
            <w:r w:rsidRPr="00714754">
              <w:rPr>
                <w:sz w:val="24"/>
                <w:szCs w:val="24"/>
                <w:lang w:val="bg-BG"/>
              </w:rPr>
              <w:t xml:space="preserve"> завършена в резултат от изпълнение на проектното предложение</w:t>
            </w:r>
            <w:r w:rsidR="00B5305B">
              <w:rPr>
                <w:sz w:val="24"/>
                <w:szCs w:val="24"/>
                <w:lang w:val="bg-BG"/>
              </w:rPr>
              <w:t xml:space="preserve"> – </w:t>
            </w:r>
            <w:r w:rsidR="00A04CC3">
              <w:rPr>
                <w:sz w:val="24"/>
                <w:szCs w:val="24"/>
                <w:lang w:val="bg-BG"/>
              </w:rPr>
              <w:t xml:space="preserve">най-малко </w:t>
            </w:r>
            <w:r w:rsidR="00B5305B">
              <w:rPr>
                <w:sz w:val="24"/>
                <w:szCs w:val="24"/>
                <w:lang w:val="bg-BG"/>
              </w:rPr>
              <w:t>1</w:t>
            </w:r>
            <w:r w:rsidR="00A04CC3">
              <w:rPr>
                <w:sz w:val="24"/>
                <w:szCs w:val="24"/>
                <w:lang w:val="bg-BG"/>
              </w:rPr>
              <w:t xml:space="preserve"> брой</w:t>
            </w:r>
            <w:r w:rsidRPr="00714754">
              <w:rPr>
                <w:sz w:val="24"/>
                <w:szCs w:val="24"/>
                <w:lang w:val="bg-BG"/>
              </w:rPr>
              <w:t>.</w:t>
            </w:r>
          </w:p>
          <w:p w14:paraId="78812BD4" w14:textId="77777777" w:rsidR="00CD44A2" w:rsidRPr="001C7E20" w:rsidRDefault="00CD44A2" w:rsidP="00204DE6">
            <w:pPr>
              <w:jc w:val="both"/>
              <w:rPr>
                <w:color w:val="000000"/>
                <w:sz w:val="24"/>
                <w:szCs w:val="24"/>
                <w:lang w:val="bg-BG"/>
              </w:rPr>
            </w:pPr>
          </w:p>
          <w:p w14:paraId="0E7B5E74" w14:textId="058C6AC5" w:rsidR="009D4F34" w:rsidRPr="001C7E20" w:rsidRDefault="00714754" w:rsidP="007E2B1A">
            <w:pPr>
              <w:jc w:val="both"/>
              <w:rPr>
                <w:sz w:val="24"/>
                <w:szCs w:val="24"/>
                <w:lang w:val="bg-BG"/>
              </w:rPr>
            </w:pPr>
            <w:r w:rsidRPr="00663B43">
              <w:rPr>
                <w:sz w:val="24"/>
                <w:szCs w:val="24"/>
                <w:lang w:val="bg-BG"/>
              </w:rPr>
              <w:lastRenderedPageBreak/>
              <w:t xml:space="preserve">ВАЖНО: </w:t>
            </w:r>
            <w:r w:rsidR="009F59DC" w:rsidRPr="001C7E20">
              <w:rPr>
                <w:sz w:val="24"/>
                <w:szCs w:val="24"/>
                <w:lang w:val="bg-BG"/>
              </w:rPr>
              <w:t xml:space="preserve">Индикаторите ще се приемат от Управляващия орган на ПОС 2021-2027 г. за изпълнени </w:t>
            </w:r>
            <w:r w:rsidR="00A04CC3" w:rsidRPr="00A04CC3">
              <w:rPr>
                <w:sz w:val="24"/>
                <w:szCs w:val="24"/>
                <w:lang w:val="bg-BG"/>
              </w:rPr>
              <w:t>съгласно предвиденото в АДБФП и приложенията към него</w:t>
            </w:r>
            <w:r w:rsidR="009F59DC" w:rsidRPr="009F59DC">
              <w:rPr>
                <w:i/>
                <w:iCs/>
                <w:sz w:val="24"/>
                <w:szCs w:val="24"/>
                <w:lang w:val="ru-RU" w:eastAsia="bg-BG"/>
              </w:rPr>
              <w:t>.</w:t>
            </w:r>
          </w:p>
        </w:tc>
      </w:tr>
      <w:tr w:rsidR="002844B7" w:rsidRPr="00B77D23" w14:paraId="161BF2CE" w14:textId="77777777" w:rsidTr="00E036CC">
        <w:tc>
          <w:tcPr>
            <w:tcW w:w="2518" w:type="dxa"/>
            <w:shd w:val="clear" w:color="auto" w:fill="auto"/>
            <w:vAlign w:val="center"/>
          </w:tcPr>
          <w:p w14:paraId="00537B02" w14:textId="77777777" w:rsidR="002844B7" w:rsidRPr="001C7E20" w:rsidRDefault="002844B7" w:rsidP="004A172E">
            <w:pPr>
              <w:rPr>
                <w:sz w:val="24"/>
                <w:szCs w:val="24"/>
                <w:lang w:val="bg-BG"/>
              </w:rPr>
            </w:pPr>
            <w:bookmarkStart w:id="2" w:name="_Hlk118963820"/>
            <w:r w:rsidRPr="001C7E20">
              <w:rPr>
                <w:sz w:val="24"/>
                <w:szCs w:val="24"/>
                <w:lang w:val="bg-BG"/>
              </w:rPr>
              <w:lastRenderedPageBreak/>
              <w:t>Дата на обявяване на процедурата</w:t>
            </w:r>
          </w:p>
        </w:tc>
        <w:tc>
          <w:tcPr>
            <w:tcW w:w="7655" w:type="dxa"/>
            <w:shd w:val="clear" w:color="auto" w:fill="auto"/>
            <w:vAlign w:val="center"/>
          </w:tcPr>
          <w:p w14:paraId="1DA2A4DD" w14:textId="77777777" w:rsidR="00D87D09" w:rsidRPr="00B77D23" w:rsidRDefault="00D87D09" w:rsidP="00686A4C">
            <w:pPr>
              <w:jc w:val="both"/>
              <w:rPr>
                <w:sz w:val="24"/>
                <w:szCs w:val="24"/>
                <w:lang w:val="bg-BG"/>
              </w:rPr>
            </w:pPr>
          </w:p>
          <w:p w14:paraId="039B816A" w14:textId="12B70DEC" w:rsidR="002844B7" w:rsidRPr="00B77D23" w:rsidRDefault="006F499D" w:rsidP="00686A4C">
            <w:pPr>
              <w:jc w:val="both"/>
              <w:rPr>
                <w:sz w:val="24"/>
                <w:szCs w:val="24"/>
                <w:lang w:val="bg-BG"/>
              </w:rPr>
            </w:pPr>
            <w:r w:rsidRPr="00B77D23">
              <w:rPr>
                <w:sz w:val="24"/>
                <w:szCs w:val="24"/>
                <w:lang w:val="bg-BG"/>
              </w:rPr>
              <w:t xml:space="preserve">м. </w:t>
            </w:r>
            <w:r w:rsidR="00DB6812" w:rsidRPr="00B77D23">
              <w:rPr>
                <w:sz w:val="24"/>
                <w:szCs w:val="24"/>
                <w:lang w:val="bg-BG"/>
              </w:rPr>
              <w:t>юли</w:t>
            </w:r>
            <w:r w:rsidRPr="00B77D23">
              <w:rPr>
                <w:sz w:val="24"/>
                <w:szCs w:val="24"/>
                <w:lang w:val="bg-BG"/>
              </w:rPr>
              <w:t xml:space="preserve">/м. </w:t>
            </w:r>
            <w:r w:rsidR="00DB6812" w:rsidRPr="00B77D23">
              <w:rPr>
                <w:sz w:val="24"/>
                <w:szCs w:val="24"/>
                <w:lang w:val="bg-BG"/>
              </w:rPr>
              <w:t>август</w:t>
            </w:r>
            <w:r w:rsidR="00E02241" w:rsidRPr="00B77D23">
              <w:rPr>
                <w:sz w:val="24"/>
                <w:szCs w:val="24"/>
                <w:lang w:val="bg-BG"/>
              </w:rPr>
              <w:t xml:space="preserve"> 202</w:t>
            </w:r>
            <w:r w:rsidR="00A04CC3" w:rsidRPr="00B77D23">
              <w:rPr>
                <w:sz w:val="24"/>
                <w:szCs w:val="24"/>
                <w:lang w:val="bg-BG"/>
              </w:rPr>
              <w:t>4</w:t>
            </w:r>
            <w:r w:rsidR="00E02241" w:rsidRPr="00B77D23">
              <w:rPr>
                <w:sz w:val="24"/>
                <w:szCs w:val="24"/>
                <w:lang w:val="bg-BG"/>
              </w:rPr>
              <w:t xml:space="preserve"> г.</w:t>
            </w:r>
          </w:p>
          <w:p w14:paraId="7FC07A2C" w14:textId="77777777" w:rsidR="00D87D09" w:rsidRPr="00B77D23" w:rsidRDefault="00D87D09" w:rsidP="00686A4C">
            <w:pPr>
              <w:jc w:val="both"/>
              <w:rPr>
                <w:sz w:val="24"/>
                <w:szCs w:val="24"/>
                <w:lang w:val="bg-BG"/>
              </w:rPr>
            </w:pPr>
          </w:p>
        </w:tc>
      </w:tr>
      <w:bookmarkEnd w:id="2"/>
      <w:tr w:rsidR="00E44D31" w:rsidRPr="00B77D23" w14:paraId="4500CBEC" w14:textId="77777777" w:rsidTr="00E036CC">
        <w:tc>
          <w:tcPr>
            <w:tcW w:w="2518" w:type="dxa"/>
            <w:shd w:val="clear" w:color="auto" w:fill="auto"/>
            <w:vAlign w:val="center"/>
          </w:tcPr>
          <w:p w14:paraId="493E9663" w14:textId="77777777" w:rsidR="00110F92" w:rsidRPr="006804A9" w:rsidRDefault="00E44D31" w:rsidP="006804A9">
            <w:pPr>
              <w:rPr>
                <w:sz w:val="24"/>
                <w:szCs w:val="24"/>
                <w:lang w:val="bg-BG"/>
              </w:rPr>
            </w:pPr>
            <w:r w:rsidRPr="006804A9">
              <w:rPr>
                <w:sz w:val="24"/>
                <w:szCs w:val="24"/>
                <w:lang w:val="bg-BG"/>
              </w:rPr>
              <w:t>Бюджет на процедурата</w:t>
            </w:r>
          </w:p>
        </w:tc>
        <w:tc>
          <w:tcPr>
            <w:tcW w:w="7655" w:type="dxa"/>
            <w:shd w:val="clear" w:color="auto" w:fill="auto"/>
            <w:vAlign w:val="center"/>
          </w:tcPr>
          <w:p w14:paraId="011C2DBC" w14:textId="1D10AF9E" w:rsidR="00714754" w:rsidRDefault="00714754" w:rsidP="00714754">
            <w:pPr>
              <w:jc w:val="both"/>
              <w:rPr>
                <w:sz w:val="24"/>
                <w:szCs w:val="24"/>
                <w:lang w:val="bg-BG"/>
              </w:rPr>
            </w:pPr>
            <w:r w:rsidRPr="00714754">
              <w:rPr>
                <w:sz w:val="24"/>
                <w:szCs w:val="24"/>
                <w:lang w:val="bg-BG"/>
              </w:rPr>
              <w:t xml:space="preserve">Общият бюджет по процедурата е </w:t>
            </w:r>
            <w:r w:rsidR="000B1BB6" w:rsidRPr="001C1654">
              <w:rPr>
                <w:b/>
                <w:bCs/>
                <w:sz w:val="24"/>
                <w:szCs w:val="24"/>
                <w:lang w:val="bg-BG"/>
              </w:rPr>
              <w:t>59</w:t>
            </w:r>
            <w:r w:rsidR="006A13C0">
              <w:rPr>
                <w:b/>
                <w:bCs/>
                <w:sz w:val="24"/>
                <w:szCs w:val="24"/>
                <w:lang w:val="bg-BG"/>
              </w:rPr>
              <w:t> </w:t>
            </w:r>
            <w:r w:rsidR="000B1BB6" w:rsidRPr="001C1654">
              <w:rPr>
                <w:b/>
                <w:bCs/>
                <w:sz w:val="24"/>
                <w:szCs w:val="24"/>
                <w:lang w:val="bg-BG"/>
              </w:rPr>
              <w:t>728</w:t>
            </w:r>
            <w:r w:rsidR="006A13C0">
              <w:rPr>
                <w:b/>
                <w:bCs/>
                <w:sz w:val="24"/>
                <w:szCs w:val="24"/>
                <w:lang w:val="bg-BG"/>
              </w:rPr>
              <w:t xml:space="preserve"> </w:t>
            </w:r>
            <w:r w:rsidR="000B1BB6" w:rsidRPr="001C1654">
              <w:rPr>
                <w:b/>
                <w:bCs/>
                <w:sz w:val="24"/>
                <w:szCs w:val="24"/>
                <w:lang w:val="bg-BG"/>
              </w:rPr>
              <w:t>975,46</w:t>
            </w:r>
            <w:r w:rsidRPr="001C1654">
              <w:rPr>
                <w:sz w:val="24"/>
                <w:szCs w:val="24"/>
                <w:lang w:val="bg-BG"/>
              </w:rPr>
              <w:t xml:space="preserve"> лв., от които </w:t>
            </w:r>
            <w:r w:rsidR="000B1BB6" w:rsidRPr="001C1654">
              <w:rPr>
                <w:b/>
                <w:bCs/>
                <w:sz w:val="24"/>
                <w:szCs w:val="24"/>
                <w:lang w:val="bg-BG"/>
              </w:rPr>
              <w:t>2 053 107,77</w:t>
            </w:r>
            <w:r w:rsidRPr="001C1654">
              <w:rPr>
                <w:sz w:val="24"/>
                <w:szCs w:val="24"/>
                <w:lang w:val="bg-BG"/>
              </w:rPr>
              <w:t xml:space="preserve"> лв. са за рекултивация на регионални депа на общини от Югозападния регион за планиране (ЮЗР), а </w:t>
            </w:r>
            <w:r w:rsidR="000B1BB6" w:rsidRPr="001C1654">
              <w:rPr>
                <w:b/>
                <w:bCs/>
                <w:sz w:val="24"/>
                <w:szCs w:val="24"/>
                <w:lang w:val="bg-BG"/>
              </w:rPr>
              <w:t>57 675 867,69</w:t>
            </w:r>
            <w:r w:rsidRPr="001C1654">
              <w:rPr>
                <w:sz w:val="24"/>
                <w:szCs w:val="24"/>
                <w:lang w:val="bg-BG"/>
              </w:rPr>
              <w:t xml:space="preserve"> лв.</w:t>
            </w:r>
            <w:r w:rsidRPr="00714754">
              <w:rPr>
                <w:sz w:val="24"/>
                <w:szCs w:val="24"/>
                <w:lang w:val="bg-BG"/>
              </w:rPr>
              <w:t xml:space="preserve"> са за рекултивация на регионални депа на общини от Северозападния регион на планиране (СЗР), Северния Централен регион за планиране (СЦР), Североизточния регион за планиране (СИР), Югоизточния регион за планиране (ЮИР) и Южния Централен регион за планиране (ЮЦР). </w:t>
            </w:r>
          </w:p>
          <w:p w14:paraId="311329A3" w14:textId="77777777" w:rsidR="00714754" w:rsidRPr="00714754" w:rsidRDefault="00714754" w:rsidP="00714754">
            <w:pPr>
              <w:jc w:val="both"/>
              <w:rPr>
                <w:sz w:val="24"/>
                <w:szCs w:val="24"/>
                <w:lang w:val="bg-BG"/>
              </w:rPr>
            </w:pPr>
          </w:p>
          <w:p w14:paraId="47312FBA" w14:textId="53BB702F" w:rsidR="00AD4AE4" w:rsidRPr="00714754" w:rsidRDefault="0026664D" w:rsidP="0026664D">
            <w:pPr>
              <w:jc w:val="both"/>
              <w:rPr>
                <w:sz w:val="24"/>
                <w:szCs w:val="24"/>
                <w:lang w:val="bg-BG"/>
              </w:rPr>
            </w:pPr>
            <w:r w:rsidRPr="0026664D">
              <w:rPr>
                <w:sz w:val="24"/>
                <w:szCs w:val="24"/>
                <w:lang w:val="bg-BG"/>
              </w:rPr>
              <w:t>Управляващият орган си запазва правото да не предостави изцяло посочената по-горе сума, в</w:t>
            </w:r>
            <w:r>
              <w:rPr>
                <w:sz w:val="24"/>
                <w:szCs w:val="24"/>
                <w:lang w:val="bg-BG"/>
              </w:rPr>
              <w:t xml:space="preserve"> </w:t>
            </w:r>
            <w:r w:rsidRPr="0026664D">
              <w:rPr>
                <w:sz w:val="24"/>
                <w:szCs w:val="24"/>
                <w:lang w:val="bg-BG"/>
              </w:rPr>
              <w:t>случай че за всички подадени проектни предложения се изисква по-малък финансов ресурс.</w:t>
            </w:r>
            <w:r>
              <w:rPr>
                <w:sz w:val="24"/>
                <w:szCs w:val="24"/>
                <w:lang w:val="bg-BG"/>
              </w:rPr>
              <w:t xml:space="preserve"> </w:t>
            </w:r>
            <w:r w:rsidR="00A04CC3" w:rsidRPr="00DB6812">
              <w:rPr>
                <w:sz w:val="24"/>
                <w:szCs w:val="24"/>
                <w:lang w:val="bg-BG"/>
              </w:rPr>
              <w:t>Посоченият общ размер на безвъзмездната финансова помощ (БФП) по процедурата може да бъде увеличаван при наличие на финансов ресурс по приоритета и/или по съответния фонд, без изменение на условията за кандидатстване</w:t>
            </w:r>
            <w:r w:rsidR="00714754">
              <w:rPr>
                <w:sz w:val="24"/>
                <w:szCs w:val="24"/>
                <w:lang w:val="bg-BG"/>
              </w:rPr>
              <w:t>.</w:t>
            </w:r>
          </w:p>
        </w:tc>
      </w:tr>
      <w:tr w:rsidR="00E44D31" w:rsidRPr="00B77D23" w14:paraId="3ADB9DE7" w14:textId="77777777" w:rsidTr="00E036CC">
        <w:tc>
          <w:tcPr>
            <w:tcW w:w="2518" w:type="dxa"/>
            <w:shd w:val="clear" w:color="auto" w:fill="auto"/>
            <w:vAlign w:val="center"/>
          </w:tcPr>
          <w:p w14:paraId="5CED4FF6" w14:textId="54F68D49" w:rsidR="00662D53" w:rsidRPr="004C047B" w:rsidRDefault="00E44D31" w:rsidP="00F408E2">
            <w:pPr>
              <w:spacing w:before="120" w:after="120"/>
              <w:rPr>
                <w:sz w:val="24"/>
                <w:szCs w:val="24"/>
                <w:lang w:val="bg-BG"/>
              </w:rPr>
            </w:pPr>
            <w:r w:rsidRPr="001C7E20">
              <w:rPr>
                <w:sz w:val="24"/>
                <w:szCs w:val="24"/>
                <w:lang w:val="bg-BG"/>
              </w:rPr>
              <w:t xml:space="preserve">Минимален </w:t>
            </w:r>
            <w:r w:rsidR="00DE1E4B" w:rsidRPr="001C7E20">
              <w:rPr>
                <w:sz w:val="24"/>
                <w:szCs w:val="24"/>
                <w:lang w:val="bg-BG"/>
              </w:rPr>
              <w:t xml:space="preserve">и максимален </w:t>
            </w:r>
            <w:r w:rsidRPr="001C7E20">
              <w:rPr>
                <w:sz w:val="24"/>
                <w:szCs w:val="24"/>
                <w:lang w:val="bg-BG"/>
              </w:rPr>
              <w:t>размер на БФП за проект</w:t>
            </w:r>
          </w:p>
        </w:tc>
        <w:tc>
          <w:tcPr>
            <w:tcW w:w="7655" w:type="dxa"/>
            <w:shd w:val="clear" w:color="auto" w:fill="auto"/>
            <w:vAlign w:val="center"/>
          </w:tcPr>
          <w:p w14:paraId="17216D48" w14:textId="77777777" w:rsidR="00714754" w:rsidRPr="00714754" w:rsidRDefault="00714754" w:rsidP="00714754">
            <w:pPr>
              <w:spacing w:before="120" w:after="120"/>
              <w:jc w:val="both"/>
              <w:rPr>
                <w:sz w:val="24"/>
                <w:szCs w:val="24"/>
                <w:lang w:val="bg-BG"/>
              </w:rPr>
            </w:pPr>
            <w:bookmarkStart w:id="3" w:name="_Hlk122596149"/>
            <w:r w:rsidRPr="00714754">
              <w:rPr>
                <w:sz w:val="24"/>
                <w:szCs w:val="24"/>
                <w:lang w:val="bg-BG"/>
              </w:rPr>
              <w:t>По процедурата не се предвижда определянето на минимален размер на БФП за отделно проектно предложение.</w:t>
            </w:r>
          </w:p>
          <w:p w14:paraId="786A1F9F" w14:textId="77777777" w:rsidR="00714754" w:rsidRPr="00714754" w:rsidRDefault="00714754" w:rsidP="00714754">
            <w:pPr>
              <w:spacing w:before="120" w:after="120"/>
              <w:jc w:val="both"/>
              <w:rPr>
                <w:sz w:val="24"/>
                <w:szCs w:val="24"/>
                <w:lang w:val="bg-BG"/>
              </w:rPr>
            </w:pPr>
            <w:r w:rsidRPr="00714754">
              <w:rPr>
                <w:sz w:val="24"/>
                <w:szCs w:val="24"/>
                <w:lang w:val="bg-BG"/>
              </w:rPr>
              <w:t xml:space="preserve">Максималният размер на БФП за проектно предложение ще се определя въз основа на максимална стойност за техническа рекултивация, умножена по площта за рекултивация на съответната клетка/клетки/депо, предвидена/и за финансиране по процедурата, като се отчитат и натрупаните средства по чл. 60 от </w:t>
            </w:r>
            <w:r w:rsidR="00E115B3" w:rsidRPr="00E115B3">
              <w:rPr>
                <w:i/>
                <w:iCs/>
                <w:sz w:val="24"/>
                <w:szCs w:val="24"/>
                <w:lang w:val="bg-BG"/>
              </w:rPr>
              <w:t>Закона за управление на отпадъците</w:t>
            </w:r>
            <w:r w:rsidR="00E115B3">
              <w:rPr>
                <w:sz w:val="24"/>
                <w:szCs w:val="24"/>
                <w:lang w:val="bg-BG"/>
              </w:rPr>
              <w:t xml:space="preserve"> (</w:t>
            </w:r>
            <w:r w:rsidRPr="00714754">
              <w:rPr>
                <w:sz w:val="24"/>
                <w:szCs w:val="24"/>
                <w:lang w:val="bg-BG"/>
              </w:rPr>
              <w:t>ЗУО</w:t>
            </w:r>
            <w:r w:rsidR="00E115B3">
              <w:rPr>
                <w:sz w:val="24"/>
                <w:szCs w:val="24"/>
                <w:lang w:val="bg-BG"/>
              </w:rPr>
              <w:t>)</w:t>
            </w:r>
            <w:r w:rsidR="00F70417">
              <w:rPr>
                <w:sz w:val="24"/>
                <w:szCs w:val="24"/>
                <w:lang w:val="bg-BG"/>
              </w:rPr>
              <w:t xml:space="preserve"> към датата на издаване на решението/заповедта на директора на РИОСВ за преустановяване на експлоатацията на депото/клетката от депото</w:t>
            </w:r>
            <w:r w:rsidRPr="00714754">
              <w:rPr>
                <w:sz w:val="24"/>
                <w:szCs w:val="24"/>
                <w:lang w:val="bg-BG"/>
              </w:rPr>
              <w:t xml:space="preserve">. </w:t>
            </w:r>
          </w:p>
          <w:p w14:paraId="1A4C0702" w14:textId="2C8C7779" w:rsidR="00B2523C" w:rsidRDefault="00714754" w:rsidP="00714754">
            <w:pPr>
              <w:spacing w:before="120" w:after="120"/>
              <w:jc w:val="both"/>
              <w:rPr>
                <w:sz w:val="24"/>
                <w:szCs w:val="24"/>
                <w:lang w:val="bg-BG"/>
              </w:rPr>
            </w:pPr>
            <w:r w:rsidRPr="00714754">
              <w:rPr>
                <w:sz w:val="24"/>
                <w:szCs w:val="24"/>
                <w:lang w:val="bg-BG"/>
              </w:rPr>
              <w:t>Максималната стойност за техническа рекултивация е до 101 лв. (с ДДС)/кв. м площ на регионално депо/клетка/клетки на регионално депо</w:t>
            </w:r>
            <w:r w:rsidR="00424431">
              <w:rPr>
                <w:sz w:val="24"/>
                <w:szCs w:val="24"/>
                <w:lang w:val="bg-BG"/>
              </w:rPr>
              <w:t xml:space="preserve"> </w:t>
            </w:r>
            <w:r w:rsidRPr="00714754">
              <w:rPr>
                <w:sz w:val="24"/>
                <w:szCs w:val="24"/>
                <w:lang w:val="bg-BG"/>
              </w:rPr>
              <w:t xml:space="preserve">за техническа рекултивация. В стойността са включени всички допустими разходи, в т.ч. </w:t>
            </w:r>
            <w:r w:rsidR="00992E06" w:rsidRPr="00992E06">
              <w:rPr>
                <w:sz w:val="24"/>
                <w:szCs w:val="24"/>
                <w:lang w:val="bg-BG"/>
              </w:rPr>
              <w:t>спомагателни дейности, за изпълнение на техническа рекултивация (СМР, непредвидени разходи за СМР, разходи за доставка на оборудване и обучение, ако са приложими, и др.), за организация и управление, видимост, прозрачност и комуникация и подготовка на документация за възлагане на обществени поръчки</w:t>
            </w:r>
            <w:r w:rsidRPr="00714754">
              <w:rPr>
                <w:sz w:val="24"/>
                <w:szCs w:val="24"/>
                <w:lang w:val="bg-BG"/>
              </w:rPr>
              <w:t>.</w:t>
            </w:r>
            <w:r w:rsidR="00AE7E71">
              <w:rPr>
                <w:sz w:val="24"/>
                <w:szCs w:val="24"/>
                <w:lang w:val="bg-BG"/>
              </w:rPr>
              <w:t xml:space="preserve"> </w:t>
            </w:r>
          </w:p>
          <w:p w14:paraId="71B58F19" w14:textId="5EC5CC70" w:rsidR="00714754" w:rsidRPr="00B2523C" w:rsidRDefault="00AE7E71" w:rsidP="00714754">
            <w:pPr>
              <w:spacing w:before="120" w:after="120"/>
              <w:jc w:val="both"/>
              <w:rPr>
                <w:sz w:val="24"/>
                <w:szCs w:val="24"/>
                <w:lang w:val="bg-BG"/>
              </w:rPr>
            </w:pPr>
            <w:r w:rsidRPr="00B2523C">
              <w:rPr>
                <w:sz w:val="24"/>
                <w:szCs w:val="24"/>
                <w:lang w:val="bg-BG"/>
              </w:rPr>
              <w:t>Максималната стойност е определена като усреднен размер на получена БФП спрямо кв</w:t>
            </w:r>
            <w:r w:rsidR="00E115B3">
              <w:rPr>
                <w:sz w:val="24"/>
                <w:szCs w:val="24"/>
                <w:lang w:val="bg-BG"/>
              </w:rPr>
              <w:t>адратен</w:t>
            </w:r>
            <w:r w:rsidRPr="00B2523C">
              <w:rPr>
                <w:sz w:val="24"/>
                <w:szCs w:val="24"/>
                <w:lang w:val="bg-BG"/>
              </w:rPr>
              <w:t xml:space="preserve"> м</w:t>
            </w:r>
            <w:r w:rsidR="00E115B3">
              <w:rPr>
                <w:sz w:val="24"/>
                <w:szCs w:val="24"/>
                <w:lang w:val="bg-BG"/>
              </w:rPr>
              <w:t>етър</w:t>
            </w:r>
            <w:r w:rsidRPr="00B2523C">
              <w:rPr>
                <w:sz w:val="24"/>
                <w:szCs w:val="24"/>
                <w:lang w:val="bg-BG"/>
              </w:rPr>
              <w:t xml:space="preserve"> рекултивирана площ по сключените АДБФП за изпълнение на проекти за рекултивация, финансирани по ОПОС 2014-2020 г.</w:t>
            </w:r>
            <w:r w:rsidR="00B2523C" w:rsidRPr="00B2523C">
              <w:rPr>
                <w:sz w:val="24"/>
                <w:szCs w:val="24"/>
                <w:lang w:val="bg-BG"/>
              </w:rPr>
              <w:t xml:space="preserve"> (средно 84</w:t>
            </w:r>
            <w:r w:rsidR="00E115B3">
              <w:rPr>
                <w:sz w:val="24"/>
                <w:szCs w:val="24"/>
                <w:lang w:val="bg-BG"/>
              </w:rPr>
              <w:t>,</w:t>
            </w:r>
            <w:r w:rsidR="00B2523C" w:rsidRPr="00B2523C">
              <w:rPr>
                <w:sz w:val="24"/>
                <w:szCs w:val="24"/>
                <w:lang w:val="bg-BG"/>
              </w:rPr>
              <w:t>16 лв. за кв. метър)</w:t>
            </w:r>
            <w:r w:rsidRPr="00B2523C">
              <w:rPr>
                <w:sz w:val="24"/>
                <w:szCs w:val="24"/>
                <w:lang w:val="bg-BG"/>
              </w:rPr>
              <w:t xml:space="preserve">, </w:t>
            </w:r>
            <w:r w:rsidR="00A02EC7" w:rsidRPr="00B2523C">
              <w:rPr>
                <w:sz w:val="24"/>
                <w:szCs w:val="24"/>
                <w:lang w:val="bg-BG"/>
              </w:rPr>
              <w:t xml:space="preserve">завишен с 20% </w:t>
            </w:r>
            <w:r w:rsidR="005A2285" w:rsidRPr="00B2523C">
              <w:rPr>
                <w:sz w:val="24"/>
                <w:szCs w:val="24"/>
                <w:lang w:val="bg-BG"/>
              </w:rPr>
              <w:t xml:space="preserve">за </w:t>
            </w:r>
            <w:r w:rsidR="00A02EC7" w:rsidRPr="00B2523C">
              <w:rPr>
                <w:sz w:val="24"/>
                <w:szCs w:val="24"/>
                <w:lang w:val="bg-BG"/>
              </w:rPr>
              <w:t xml:space="preserve">отчитане на </w:t>
            </w:r>
            <w:r w:rsidRPr="00B2523C">
              <w:rPr>
                <w:sz w:val="24"/>
                <w:szCs w:val="24"/>
                <w:lang w:val="bg-BG"/>
              </w:rPr>
              <w:t>инфлацията.</w:t>
            </w:r>
            <w:r w:rsidR="00626AA6">
              <w:rPr>
                <w:sz w:val="24"/>
                <w:szCs w:val="24"/>
                <w:lang w:val="bg-BG"/>
              </w:rPr>
              <w:t xml:space="preserve"> </w:t>
            </w:r>
            <w:bookmarkStart w:id="4" w:name="_Hlk164176077"/>
            <w:r w:rsidR="00397A68">
              <w:rPr>
                <w:sz w:val="24"/>
                <w:szCs w:val="24"/>
                <w:lang w:val="bg-BG"/>
              </w:rPr>
              <w:t xml:space="preserve">За периода </w:t>
            </w:r>
            <w:r w:rsidR="00FC0628">
              <w:rPr>
                <w:sz w:val="24"/>
                <w:szCs w:val="24"/>
                <w:lang w:val="bg-BG"/>
              </w:rPr>
              <w:t xml:space="preserve">от м. </w:t>
            </w:r>
            <w:r w:rsidR="00D979F0">
              <w:rPr>
                <w:sz w:val="24"/>
                <w:szCs w:val="24"/>
                <w:lang w:val="bg-BG"/>
              </w:rPr>
              <w:t>декември</w:t>
            </w:r>
            <w:r w:rsidR="00397A68">
              <w:rPr>
                <w:sz w:val="24"/>
                <w:szCs w:val="24"/>
                <w:lang w:val="bg-BG"/>
              </w:rPr>
              <w:t xml:space="preserve"> 202</w:t>
            </w:r>
            <w:r w:rsidR="00D979F0">
              <w:rPr>
                <w:sz w:val="24"/>
                <w:szCs w:val="24"/>
                <w:lang w:val="bg-BG"/>
              </w:rPr>
              <w:t>2</w:t>
            </w:r>
            <w:r w:rsidR="00397A68">
              <w:rPr>
                <w:sz w:val="24"/>
                <w:szCs w:val="24"/>
                <w:lang w:val="bg-BG"/>
              </w:rPr>
              <w:t xml:space="preserve"> г.</w:t>
            </w:r>
            <w:r w:rsidR="00D979F0">
              <w:rPr>
                <w:sz w:val="24"/>
                <w:szCs w:val="24"/>
                <w:lang w:val="bg-BG"/>
              </w:rPr>
              <w:t xml:space="preserve"> (когато е публикувана ИГРП 2023 г. с актуализирана максимална стойност от 101 лв.</w:t>
            </w:r>
            <w:r w:rsidR="000C7A03">
              <w:rPr>
                <w:sz w:val="24"/>
                <w:szCs w:val="24"/>
                <w:lang w:val="bg-BG"/>
              </w:rPr>
              <w:t xml:space="preserve">/кв. м) </w:t>
            </w:r>
            <w:r w:rsidR="00397A68">
              <w:rPr>
                <w:sz w:val="24"/>
                <w:szCs w:val="24"/>
                <w:lang w:val="bg-BG"/>
              </w:rPr>
              <w:t xml:space="preserve">до </w:t>
            </w:r>
            <w:r w:rsidR="00FC0628">
              <w:rPr>
                <w:sz w:val="24"/>
                <w:szCs w:val="24"/>
                <w:lang w:val="bg-BG"/>
              </w:rPr>
              <w:t xml:space="preserve">м. </w:t>
            </w:r>
            <w:r w:rsidR="00D979F0" w:rsidRPr="005749D2">
              <w:rPr>
                <w:sz w:val="24"/>
                <w:szCs w:val="24"/>
                <w:lang w:val="bg-BG"/>
              </w:rPr>
              <w:t>март</w:t>
            </w:r>
            <w:r w:rsidR="00397A68">
              <w:rPr>
                <w:sz w:val="24"/>
                <w:szCs w:val="24"/>
                <w:lang w:val="bg-BG"/>
              </w:rPr>
              <w:t xml:space="preserve"> 2024 г. по данни на НСИ инфлацията </w:t>
            </w:r>
            <w:r w:rsidR="004C4765">
              <w:rPr>
                <w:sz w:val="24"/>
                <w:szCs w:val="24"/>
                <w:lang w:val="bg-BG"/>
              </w:rPr>
              <w:t xml:space="preserve">за България </w:t>
            </w:r>
            <w:r w:rsidR="00397A68">
              <w:rPr>
                <w:sz w:val="24"/>
                <w:szCs w:val="24"/>
                <w:lang w:val="bg-BG"/>
              </w:rPr>
              <w:t xml:space="preserve">е </w:t>
            </w:r>
            <w:r w:rsidR="000C7A03">
              <w:rPr>
                <w:sz w:val="24"/>
                <w:szCs w:val="24"/>
                <w:lang w:val="bg-BG"/>
              </w:rPr>
              <w:t>5,7</w:t>
            </w:r>
            <w:r w:rsidR="00397A68">
              <w:rPr>
                <w:sz w:val="24"/>
                <w:szCs w:val="24"/>
                <w:lang w:val="bg-BG"/>
              </w:rPr>
              <w:t>%</w:t>
            </w:r>
            <w:r w:rsidR="004C4765">
              <w:rPr>
                <w:sz w:val="24"/>
                <w:szCs w:val="24"/>
                <w:lang w:val="bg-BG"/>
              </w:rPr>
              <w:t xml:space="preserve">. По прогноза на ЕК се очаква инфлацията в ЕС да продължава да </w:t>
            </w:r>
            <w:r w:rsidR="004C4765">
              <w:rPr>
                <w:sz w:val="24"/>
                <w:szCs w:val="24"/>
                <w:lang w:val="bg-BG"/>
              </w:rPr>
              <w:lastRenderedPageBreak/>
              <w:t xml:space="preserve">спада и през 2025 г. да е 2,5%, </w:t>
            </w:r>
            <w:r w:rsidR="00E67282">
              <w:rPr>
                <w:sz w:val="24"/>
                <w:szCs w:val="24"/>
                <w:lang w:val="bg-BG"/>
              </w:rPr>
              <w:t xml:space="preserve">поради което </w:t>
            </w:r>
            <w:r w:rsidR="00E72E36">
              <w:rPr>
                <w:sz w:val="24"/>
                <w:szCs w:val="24"/>
                <w:lang w:val="bg-BG"/>
              </w:rPr>
              <w:t xml:space="preserve">няма основание за </w:t>
            </w:r>
            <w:r w:rsidR="00E67282">
              <w:rPr>
                <w:sz w:val="24"/>
                <w:szCs w:val="24"/>
                <w:lang w:val="bg-BG"/>
              </w:rPr>
              <w:t xml:space="preserve">нова актуализация на максималната стойност за техническа рекултивация. </w:t>
            </w:r>
            <w:bookmarkEnd w:id="4"/>
          </w:p>
          <w:p w14:paraId="5D3F94D6" w14:textId="419A897F" w:rsidR="00880F0F" w:rsidRPr="001C7E20" w:rsidRDefault="00714754" w:rsidP="00714754">
            <w:pPr>
              <w:spacing w:before="120" w:after="120"/>
              <w:jc w:val="both"/>
              <w:rPr>
                <w:sz w:val="24"/>
                <w:szCs w:val="24"/>
                <w:lang w:val="bg-BG"/>
              </w:rPr>
            </w:pPr>
            <w:r w:rsidRPr="00714754">
              <w:rPr>
                <w:sz w:val="24"/>
                <w:szCs w:val="24"/>
                <w:lang w:val="bg-BG"/>
              </w:rPr>
              <w:t xml:space="preserve">Площта за техническа рекултивация на съответното </w:t>
            </w:r>
            <w:r w:rsidR="00DB6812">
              <w:rPr>
                <w:sz w:val="24"/>
                <w:szCs w:val="24"/>
                <w:lang w:val="bg-BG"/>
              </w:rPr>
              <w:t xml:space="preserve">регионално </w:t>
            </w:r>
            <w:r w:rsidRPr="00714754">
              <w:rPr>
                <w:sz w:val="24"/>
                <w:szCs w:val="24"/>
                <w:lang w:val="bg-BG"/>
              </w:rPr>
              <w:t xml:space="preserve">депо/клетка/клетки </w:t>
            </w:r>
            <w:r w:rsidR="00DB6812">
              <w:rPr>
                <w:sz w:val="24"/>
                <w:szCs w:val="24"/>
                <w:lang w:val="bg-BG"/>
              </w:rPr>
              <w:t xml:space="preserve">от регионално депо </w:t>
            </w:r>
            <w:r w:rsidRPr="00714754">
              <w:rPr>
                <w:sz w:val="24"/>
                <w:szCs w:val="24"/>
                <w:lang w:val="bg-BG"/>
              </w:rPr>
              <w:t xml:space="preserve">е тази, която е вписана в издадената от директора на съответната РИОСВ заповед или решение за преустановяване на експлоатацията. При разминаване на тази площ с площта от одобрен работен проект, за която се иска финансиране, за меродавна се приема площта от работния проект за рекултивацията на съответното </w:t>
            </w:r>
            <w:r w:rsidR="00DB6812">
              <w:rPr>
                <w:sz w:val="24"/>
                <w:szCs w:val="24"/>
                <w:lang w:val="bg-BG"/>
              </w:rPr>
              <w:t xml:space="preserve">регионално </w:t>
            </w:r>
            <w:r w:rsidRPr="00714754">
              <w:rPr>
                <w:sz w:val="24"/>
                <w:szCs w:val="24"/>
                <w:lang w:val="bg-BG"/>
              </w:rPr>
              <w:t>депо/клетка/клетки</w:t>
            </w:r>
            <w:r w:rsidR="00DB6812">
              <w:rPr>
                <w:sz w:val="24"/>
                <w:szCs w:val="24"/>
                <w:lang w:val="bg-BG"/>
              </w:rPr>
              <w:t xml:space="preserve"> от регионално депо</w:t>
            </w:r>
            <w:r w:rsidR="00467EDD" w:rsidRPr="001C7E20">
              <w:rPr>
                <w:sz w:val="24"/>
                <w:szCs w:val="24"/>
                <w:lang w:val="bg-BG"/>
              </w:rPr>
              <w:t>.</w:t>
            </w:r>
          </w:p>
          <w:bookmarkEnd w:id="3"/>
          <w:p w14:paraId="6B3DBF2A" w14:textId="77777777" w:rsidR="008B0787" w:rsidRPr="001C7E20" w:rsidRDefault="008B0787" w:rsidP="00726719">
            <w:pPr>
              <w:spacing w:before="120" w:after="120"/>
              <w:jc w:val="both"/>
              <w:rPr>
                <w:sz w:val="24"/>
                <w:szCs w:val="24"/>
                <w:lang w:val="bg-BG"/>
              </w:rPr>
            </w:pPr>
          </w:p>
        </w:tc>
      </w:tr>
      <w:tr w:rsidR="00E44D31" w:rsidRPr="00B77D23" w14:paraId="785DEAE4" w14:textId="77777777" w:rsidTr="00E036CC">
        <w:tc>
          <w:tcPr>
            <w:tcW w:w="2518" w:type="dxa"/>
            <w:shd w:val="clear" w:color="auto" w:fill="auto"/>
            <w:vAlign w:val="center"/>
          </w:tcPr>
          <w:p w14:paraId="16457346" w14:textId="77777777" w:rsidR="00E37ECD" w:rsidRPr="001C7E20" w:rsidRDefault="00E44D31" w:rsidP="00F408E2">
            <w:pPr>
              <w:spacing w:before="120" w:after="120"/>
              <w:rPr>
                <w:sz w:val="24"/>
                <w:szCs w:val="24"/>
                <w:lang w:val="bg-BG"/>
              </w:rPr>
            </w:pPr>
            <w:r w:rsidRPr="001C7E20">
              <w:rPr>
                <w:sz w:val="24"/>
                <w:szCs w:val="24"/>
                <w:lang w:val="bg-BG"/>
              </w:rPr>
              <w:lastRenderedPageBreak/>
              <w:t>Съфинансиране от страна на бенефициента</w:t>
            </w:r>
          </w:p>
        </w:tc>
        <w:tc>
          <w:tcPr>
            <w:tcW w:w="7655" w:type="dxa"/>
            <w:shd w:val="clear" w:color="auto" w:fill="auto"/>
            <w:vAlign w:val="center"/>
          </w:tcPr>
          <w:p w14:paraId="0163FB6E" w14:textId="77777777" w:rsidR="00240578" w:rsidRPr="001C7E20" w:rsidRDefault="00240578" w:rsidP="00240578">
            <w:pPr>
              <w:spacing w:before="60" w:after="60"/>
              <w:jc w:val="both"/>
              <w:rPr>
                <w:color w:val="000000"/>
                <w:sz w:val="24"/>
                <w:szCs w:val="24"/>
                <w:lang w:val="bg-BG"/>
              </w:rPr>
            </w:pPr>
            <w:r w:rsidRPr="001C7E20">
              <w:rPr>
                <w:color w:val="000000"/>
                <w:sz w:val="24"/>
                <w:szCs w:val="24"/>
                <w:lang w:val="bg-BG"/>
              </w:rPr>
              <w:t xml:space="preserve">Допустимо е </w:t>
            </w:r>
            <w:proofErr w:type="spellStart"/>
            <w:r w:rsidRPr="001C7E20">
              <w:rPr>
                <w:color w:val="000000"/>
                <w:sz w:val="24"/>
                <w:szCs w:val="24"/>
                <w:lang w:val="bg-BG"/>
              </w:rPr>
              <w:t>съ</w:t>
            </w:r>
            <w:proofErr w:type="spellEnd"/>
            <w:r w:rsidRPr="001C7E20">
              <w:rPr>
                <w:color w:val="000000"/>
                <w:sz w:val="24"/>
                <w:szCs w:val="24"/>
                <w:lang w:val="bg-BG"/>
              </w:rPr>
              <w:t>-финансиране (собствено участие) от</w:t>
            </w:r>
            <w:r w:rsidR="00247AF6" w:rsidRPr="001C7E20">
              <w:rPr>
                <w:color w:val="000000"/>
                <w:sz w:val="24"/>
                <w:szCs w:val="24"/>
                <w:lang w:val="bg-BG"/>
              </w:rPr>
              <w:t xml:space="preserve"> </w:t>
            </w:r>
            <w:r w:rsidRPr="001C7E20">
              <w:rPr>
                <w:color w:val="000000"/>
                <w:sz w:val="24"/>
                <w:szCs w:val="24"/>
                <w:lang w:val="bg-BG"/>
              </w:rPr>
              <w:t xml:space="preserve">страна на бенефициента без ограничение на неговия дял. </w:t>
            </w:r>
          </w:p>
          <w:p w14:paraId="73B16ADF" w14:textId="77777777" w:rsidR="00E44D31" w:rsidRPr="001C7E20" w:rsidRDefault="009C515C" w:rsidP="006D4F88">
            <w:pPr>
              <w:spacing w:before="120" w:after="120"/>
              <w:jc w:val="both"/>
              <w:rPr>
                <w:sz w:val="24"/>
                <w:szCs w:val="24"/>
                <w:highlight w:val="yellow"/>
                <w:lang w:val="bg-BG"/>
              </w:rPr>
            </w:pPr>
            <w:r w:rsidRPr="001C7E20">
              <w:rPr>
                <w:b/>
                <w:bCs/>
                <w:sz w:val="24"/>
                <w:szCs w:val="24"/>
                <w:lang w:val="bg-BG"/>
              </w:rPr>
              <w:t xml:space="preserve">ВАЖНО: </w:t>
            </w:r>
            <w:r w:rsidR="00572F09" w:rsidRPr="001C7E20">
              <w:rPr>
                <w:b/>
                <w:bCs/>
                <w:sz w:val="24"/>
                <w:szCs w:val="24"/>
                <w:lang w:val="bg-BG"/>
              </w:rPr>
              <w:t>Задължително е съфинансирането</w:t>
            </w:r>
            <w:r w:rsidR="00572F09" w:rsidRPr="001C7E20">
              <w:rPr>
                <w:sz w:val="24"/>
                <w:szCs w:val="24"/>
                <w:lang w:val="bg-BG"/>
              </w:rPr>
              <w:t xml:space="preserve"> в случаите, при които, след приспадане на необходимите средства за биологична рекултивация и следексплоатационни грижи на площадката на депото (съгласно проекта за рекултивация)</w:t>
            </w:r>
            <w:r w:rsidR="00AF28C0" w:rsidRPr="001C7E20">
              <w:rPr>
                <w:sz w:val="24"/>
                <w:szCs w:val="24"/>
                <w:lang w:val="bg-BG"/>
              </w:rPr>
              <w:t>,</w:t>
            </w:r>
            <w:r w:rsidR="00572F09" w:rsidRPr="001C7E20">
              <w:rPr>
                <w:sz w:val="24"/>
                <w:szCs w:val="24"/>
                <w:lang w:val="bg-BG"/>
              </w:rPr>
              <w:t xml:space="preserve"> остават средства от внасяните </w:t>
            </w:r>
            <w:r w:rsidR="0097482E" w:rsidRPr="001C7E20">
              <w:rPr>
                <w:sz w:val="24"/>
                <w:szCs w:val="24"/>
                <w:lang w:val="bg-BG"/>
              </w:rPr>
              <w:t xml:space="preserve">от всички общини, ползващи регионалното депо, </w:t>
            </w:r>
            <w:r w:rsidR="00572F09" w:rsidRPr="001C7E20">
              <w:rPr>
                <w:sz w:val="24"/>
                <w:szCs w:val="24"/>
                <w:lang w:val="bg-BG"/>
              </w:rPr>
              <w:t xml:space="preserve">обезпечения по чл. 60 от ЗУО за съответната клетка/клетки/депо, за които се иска финансиране за техническа рекултивация. </w:t>
            </w:r>
          </w:p>
        </w:tc>
      </w:tr>
      <w:tr w:rsidR="00150181" w:rsidRPr="00B77D23" w14:paraId="2DC4F795" w14:textId="77777777" w:rsidTr="00E036CC">
        <w:tc>
          <w:tcPr>
            <w:tcW w:w="2518" w:type="dxa"/>
            <w:shd w:val="clear" w:color="auto" w:fill="auto"/>
            <w:vAlign w:val="center"/>
          </w:tcPr>
          <w:p w14:paraId="46091833" w14:textId="77777777" w:rsidR="00150181" w:rsidRPr="006804A9" w:rsidRDefault="00150181" w:rsidP="00150181">
            <w:pPr>
              <w:rPr>
                <w:color w:val="000000"/>
                <w:sz w:val="24"/>
                <w:szCs w:val="24"/>
                <w:lang w:val="bg-BG"/>
              </w:rPr>
            </w:pPr>
            <w:r w:rsidRPr="001C7E20">
              <w:rPr>
                <w:color w:val="000000"/>
                <w:sz w:val="24"/>
                <w:szCs w:val="24"/>
                <w:lang w:val="bg-BG"/>
              </w:rPr>
              <w:t xml:space="preserve">Допустими </w:t>
            </w:r>
            <w:r w:rsidR="007A6501" w:rsidRPr="001C7E20">
              <w:rPr>
                <w:color w:val="000000"/>
                <w:sz w:val="24"/>
                <w:szCs w:val="24"/>
                <w:lang w:val="bg-BG"/>
              </w:rPr>
              <w:t>кандидати</w:t>
            </w:r>
            <w:r w:rsidRPr="001C7E20">
              <w:rPr>
                <w:color w:val="000000"/>
                <w:sz w:val="24"/>
                <w:szCs w:val="24"/>
                <w:lang w:val="bg-BG"/>
              </w:rPr>
              <w:t xml:space="preserve"> по процедурата</w:t>
            </w:r>
          </w:p>
        </w:tc>
        <w:tc>
          <w:tcPr>
            <w:tcW w:w="7655" w:type="dxa"/>
            <w:shd w:val="clear" w:color="auto" w:fill="auto"/>
            <w:vAlign w:val="center"/>
          </w:tcPr>
          <w:p w14:paraId="65F2419B" w14:textId="77777777" w:rsidR="0026406C" w:rsidRDefault="00911DE4" w:rsidP="00911DE4">
            <w:pPr>
              <w:spacing w:before="120" w:after="120"/>
              <w:jc w:val="both"/>
              <w:rPr>
                <w:sz w:val="24"/>
                <w:szCs w:val="24"/>
                <w:lang w:val="bg-BG"/>
              </w:rPr>
            </w:pPr>
            <w:r w:rsidRPr="00911DE4">
              <w:rPr>
                <w:sz w:val="24"/>
                <w:szCs w:val="24"/>
                <w:lang w:val="bg-BG"/>
              </w:rPr>
              <w:t>Допустими кандидати</w:t>
            </w:r>
            <w:r w:rsidR="0068713F">
              <w:rPr>
                <w:sz w:val="24"/>
                <w:szCs w:val="24"/>
                <w:lang w:val="bg-BG"/>
              </w:rPr>
              <w:t>, които са конкретни бенефициенти</w:t>
            </w:r>
            <w:r w:rsidR="0068713F" w:rsidRPr="00911DE4">
              <w:rPr>
                <w:sz w:val="24"/>
                <w:szCs w:val="24"/>
                <w:lang w:val="bg-BG"/>
              </w:rPr>
              <w:t xml:space="preserve"> по процедурата</w:t>
            </w:r>
            <w:r w:rsidR="0068713F">
              <w:rPr>
                <w:sz w:val="24"/>
                <w:szCs w:val="24"/>
                <w:lang w:val="bg-BG"/>
              </w:rPr>
              <w:t xml:space="preserve">, </w:t>
            </w:r>
            <w:r w:rsidRPr="00911DE4">
              <w:rPr>
                <w:sz w:val="24"/>
                <w:szCs w:val="24"/>
                <w:lang w:val="bg-BG"/>
              </w:rPr>
              <w:t>са общини</w:t>
            </w:r>
            <w:r w:rsidR="0026406C">
              <w:rPr>
                <w:sz w:val="24"/>
                <w:szCs w:val="24"/>
                <w:lang w:val="bg-BG"/>
              </w:rPr>
              <w:t>:</w:t>
            </w:r>
          </w:p>
          <w:p w14:paraId="19CBB26D" w14:textId="77777777" w:rsidR="0026406C" w:rsidRPr="0026406C" w:rsidRDefault="0026406C" w:rsidP="0026406C">
            <w:pPr>
              <w:numPr>
                <w:ilvl w:val="0"/>
                <w:numId w:val="17"/>
              </w:numPr>
              <w:spacing w:before="120" w:after="120"/>
              <w:jc w:val="both"/>
              <w:rPr>
                <w:sz w:val="24"/>
                <w:szCs w:val="24"/>
                <w:lang w:val="bg-BG"/>
              </w:rPr>
            </w:pPr>
            <w:r w:rsidRPr="0026406C">
              <w:rPr>
                <w:sz w:val="24"/>
                <w:szCs w:val="24"/>
                <w:lang w:val="bg-BG"/>
              </w:rPr>
              <w:t xml:space="preserve">на чиято територия се намира регионалното депо </w:t>
            </w:r>
            <w:r w:rsidRPr="0026406C">
              <w:rPr>
                <w:b/>
                <w:bCs/>
                <w:sz w:val="24"/>
                <w:szCs w:val="24"/>
                <w:lang w:val="bg-BG"/>
              </w:rPr>
              <w:t xml:space="preserve">и/или </w:t>
            </w:r>
          </w:p>
          <w:p w14:paraId="3688AE47" w14:textId="77777777" w:rsidR="0026406C" w:rsidRPr="0026406C" w:rsidRDefault="0026406C" w:rsidP="0026406C">
            <w:pPr>
              <w:numPr>
                <w:ilvl w:val="0"/>
                <w:numId w:val="17"/>
              </w:numPr>
              <w:spacing w:before="120" w:after="120"/>
              <w:jc w:val="both"/>
              <w:rPr>
                <w:sz w:val="24"/>
                <w:szCs w:val="24"/>
                <w:lang w:val="bg-BG"/>
              </w:rPr>
            </w:pPr>
            <w:r w:rsidRPr="0026406C">
              <w:rPr>
                <w:sz w:val="24"/>
                <w:szCs w:val="24"/>
                <w:lang w:val="bg-BG"/>
              </w:rPr>
              <w:t>собственици на регионално депо за битови отпадъци</w:t>
            </w:r>
            <w:r w:rsidR="00E115B3">
              <w:rPr>
                <w:sz w:val="24"/>
                <w:szCs w:val="24"/>
                <w:lang w:val="bg-BG"/>
              </w:rPr>
              <w:t>,</w:t>
            </w:r>
            <w:r w:rsidRPr="0026406C">
              <w:rPr>
                <w:sz w:val="24"/>
                <w:szCs w:val="24"/>
                <w:lang w:val="bg-BG"/>
              </w:rPr>
              <w:t xml:space="preserve"> </w:t>
            </w:r>
            <w:r w:rsidRPr="0026406C">
              <w:rPr>
                <w:b/>
                <w:bCs/>
                <w:sz w:val="24"/>
                <w:szCs w:val="24"/>
                <w:lang w:val="bg-BG"/>
              </w:rPr>
              <w:t>и/или</w:t>
            </w:r>
          </w:p>
          <w:p w14:paraId="3492B9DA" w14:textId="77777777" w:rsidR="0026406C" w:rsidRPr="0026406C" w:rsidRDefault="0026406C" w:rsidP="0026406C">
            <w:pPr>
              <w:numPr>
                <w:ilvl w:val="0"/>
                <w:numId w:val="17"/>
              </w:numPr>
              <w:spacing w:before="120" w:after="120"/>
              <w:jc w:val="both"/>
              <w:rPr>
                <w:sz w:val="24"/>
                <w:szCs w:val="24"/>
                <w:lang w:val="bg-BG"/>
              </w:rPr>
            </w:pPr>
            <w:r w:rsidRPr="0026406C">
              <w:rPr>
                <w:sz w:val="24"/>
                <w:szCs w:val="24"/>
                <w:lang w:val="bg-BG"/>
              </w:rPr>
              <w:t>оператори по комплексното разрешително за съответното регионално депо</w:t>
            </w:r>
            <w:r>
              <w:rPr>
                <w:sz w:val="24"/>
                <w:szCs w:val="24"/>
                <w:lang w:val="bg-BG"/>
              </w:rPr>
              <w:t>,</w:t>
            </w:r>
          </w:p>
          <w:p w14:paraId="7BF0B4C9" w14:textId="77777777" w:rsidR="00911DE4" w:rsidRPr="007E2B1A" w:rsidRDefault="00911DE4" w:rsidP="00911DE4">
            <w:pPr>
              <w:spacing w:before="120" w:after="120"/>
              <w:jc w:val="both"/>
              <w:rPr>
                <w:sz w:val="24"/>
                <w:szCs w:val="24"/>
                <w:lang w:val="bg-BG"/>
              </w:rPr>
            </w:pPr>
            <w:r w:rsidRPr="00911DE4">
              <w:rPr>
                <w:sz w:val="24"/>
                <w:szCs w:val="24"/>
                <w:lang w:val="bg-BG"/>
              </w:rPr>
              <w:t xml:space="preserve">за </w:t>
            </w:r>
            <w:r w:rsidRPr="007E2B1A">
              <w:rPr>
                <w:sz w:val="24"/>
                <w:szCs w:val="24"/>
                <w:lang w:val="bg-BG"/>
              </w:rPr>
              <w:t xml:space="preserve">което или за клетка/клетки е издадена заповед или решение на директора на РИОСВ за преустановяване на експлоатацията до </w:t>
            </w:r>
            <w:r w:rsidR="00A64FC0" w:rsidRPr="007E2B1A">
              <w:rPr>
                <w:sz w:val="24"/>
                <w:szCs w:val="24"/>
                <w:lang w:val="bg-BG"/>
              </w:rPr>
              <w:t>15.04.</w:t>
            </w:r>
            <w:r w:rsidRPr="007E2B1A">
              <w:rPr>
                <w:sz w:val="24"/>
                <w:szCs w:val="24"/>
                <w:lang w:val="bg-BG"/>
              </w:rPr>
              <w:t xml:space="preserve">2027 г. </w:t>
            </w:r>
          </w:p>
          <w:p w14:paraId="5C5485FE" w14:textId="3C671969" w:rsidR="00911DE4" w:rsidRDefault="00911DE4" w:rsidP="00911DE4">
            <w:pPr>
              <w:spacing w:before="120" w:after="120"/>
              <w:jc w:val="both"/>
              <w:rPr>
                <w:sz w:val="24"/>
                <w:szCs w:val="24"/>
                <w:lang w:val="bg-BG"/>
              </w:rPr>
            </w:pPr>
            <w:r w:rsidRPr="007E2B1A">
              <w:rPr>
                <w:sz w:val="24"/>
                <w:szCs w:val="24"/>
                <w:lang w:val="bg-BG"/>
              </w:rPr>
              <w:t>Въз основа на предоставена информация от Регионалните инспекции по околна среда и водит</w:t>
            </w:r>
            <w:r w:rsidR="00E115B3" w:rsidRPr="007E2B1A">
              <w:rPr>
                <w:sz w:val="24"/>
                <w:szCs w:val="24"/>
                <w:lang w:val="bg-BG"/>
              </w:rPr>
              <w:t>е</w:t>
            </w:r>
            <w:r w:rsidRPr="007E2B1A">
              <w:rPr>
                <w:sz w:val="24"/>
                <w:szCs w:val="24"/>
                <w:lang w:val="bg-BG"/>
              </w:rPr>
              <w:t xml:space="preserve"> (РИОСВ), от общините (през м. август 2022 г.) </w:t>
            </w:r>
            <w:r w:rsidR="00E115B3" w:rsidRPr="007E2B1A">
              <w:rPr>
                <w:sz w:val="24"/>
                <w:szCs w:val="24"/>
                <w:lang w:val="bg-BG"/>
              </w:rPr>
              <w:t xml:space="preserve">от </w:t>
            </w:r>
            <w:r w:rsidRPr="007E2B1A">
              <w:rPr>
                <w:sz w:val="24"/>
                <w:szCs w:val="24"/>
                <w:lang w:val="bg-BG"/>
              </w:rPr>
              <w:t xml:space="preserve"> Регионални</w:t>
            </w:r>
            <w:r w:rsidR="00E115B3" w:rsidRPr="007E2B1A">
              <w:rPr>
                <w:sz w:val="24"/>
                <w:szCs w:val="24"/>
                <w:lang w:val="bg-BG"/>
              </w:rPr>
              <w:t>те</w:t>
            </w:r>
            <w:r w:rsidRPr="007E2B1A">
              <w:rPr>
                <w:sz w:val="24"/>
                <w:szCs w:val="24"/>
                <w:lang w:val="bg-BG"/>
              </w:rPr>
              <w:t xml:space="preserve"> сдружения за управление на отпадъците (РСУО) и извършен анализ от У</w:t>
            </w:r>
            <w:r w:rsidR="00E115B3" w:rsidRPr="007E2B1A">
              <w:rPr>
                <w:sz w:val="24"/>
                <w:szCs w:val="24"/>
                <w:lang w:val="bg-BG"/>
              </w:rPr>
              <w:t>правляващия орган</w:t>
            </w:r>
            <w:r w:rsidRPr="007E2B1A">
              <w:rPr>
                <w:sz w:val="24"/>
                <w:szCs w:val="24"/>
                <w:lang w:val="bg-BG"/>
              </w:rPr>
              <w:t xml:space="preserve"> на ПОС 2021-2027 г. по налична публична информация и документация (комплексни разрешителни, техническа оценка, годишни доклади по околна среда, доклади от проверки на комплексни разрешителни и др.) е установено, че за регионалните депа, в т.ч. и техни клетки, на 10 РСУО - Габрово, Луковит, Рудозем, Пазарджик, Севлиево, Златица, Ботевград, Шумен, Благоевград и Столична община, не се очаква преустановяване на експлоатация им до </w:t>
            </w:r>
            <w:r w:rsidR="000C45DA" w:rsidRPr="007E2B1A">
              <w:rPr>
                <w:sz w:val="24"/>
                <w:szCs w:val="24"/>
                <w:lang w:val="bg-BG"/>
              </w:rPr>
              <w:t>15.04.2027 г.</w:t>
            </w:r>
            <w:r w:rsidRPr="007E2B1A">
              <w:rPr>
                <w:sz w:val="24"/>
                <w:szCs w:val="24"/>
                <w:lang w:val="bg-BG"/>
              </w:rPr>
              <w:t xml:space="preserve"> Общините</w:t>
            </w:r>
            <w:r w:rsidRPr="00911DE4">
              <w:rPr>
                <w:sz w:val="24"/>
                <w:szCs w:val="24"/>
                <w:lang w:val="bg-BG"/>
              </w:rPr>
              <w:t xml:space="preserve"> от 2 РСУО - Дупница и Провадия, не разполагат с изградени и въведени в експлоатация регионални депа за битови отпадъци. Регионалното депо на РСУО Костинброд е собственост на юридическо лице, което има ангажимент </w:t>
            </w:r>
            <w:r w:rsidRPr="00911DE4">
              <w:rPr>
                <w:sz w:val="24"/>
                <w:szCs w:val="24"/>
                <w:lang w:val="bg-BG"/>
              </w:rPr>
              <w:lastRenderedPageBreak/>
              <w:t xml:space="preserve">да внася отчисленията по чл. 60 от ЗУО, с което не удовлетворяват заложените цели и изисквания по ПОС 2021-2027 г. </w:t>
            </w:r>
          </w:p>
          <w:p w14:paraId="5A469CD2" w14:textId="15F3DAA6" w:rsidR="005C79AB" w:rsidRPr="005C79AB" w:rsidRDefault="005C79AB" w:rsidP="00911DE4">
            <w:pPr>
              <w:spacing w:before="120" w:after="120"/>
              <w:jc w:val="both"/>
              <w:rPr>
                <w:sz w:val="24"/>
                <w:szCs w:val="24"/>
                <w:lang w:val="bg-BG"/>
              </w:rPr>
            </w:pPr>
            <w:r w:rsidRPr="005C79AB">
              <w:rPr>
                <w:sz w:val="24"/>
                <w:szCs w:val="24"/>
                <w:lang w:val="bg-BG"/>
              </w:rPr>
              <w:t>През м. май 2024 г., въз основа на информация от общините от останалите 40 РСУО и справка за подадени проектни предложения по процедура BG16FFPR002-2.002 „Рекултивация на регионални депа / клетки на регионални депа за битови отпадъци“ и сключените АДБФП, се актуализира информацията</w:t>
            </w:r>
            <w:r w:rsidRPr="00B77D23">
              <w:rPr>
                <w:sz w:val="24"/>
                <w:szCs w:val="24"/>
                <w:lang w:val="bg-BG"/>
              </w:rPr>
              <w:t xml:space="preserve"> </w:t>
            </w:r>
            <w:r w:rsidRPr="005C79AB">
              <w:rPr>
                <w:sz w:val="24"/>
                <w:szCs w:val="24"/>
                <w:lang w:val="bg-BG"/>
              </w:rPr>
              <w:t>по отношение на очакванията за запълване на депата/клетки от регионалните депа преди 15.04.2027 г. Въз основа на актуалните данни, не се очаква запълване и преустановяване на експлоатацията на регионалните депа/клетки на регионалните депа на РСУО Петрич, Харманли, Хасково и Варна</w:t>
            </w:r>
            <w:r>
              <w:rPr>
                <w:sz w:val="24"/>
                <w:szCs w:val="24"/>
                <w:lang w:val="bg-BG"/>
              </w:rPr>
              <w:t>.</w:t>
            </w:r>
          </w:p>
          <w:p w14:paraId="31A54E98" w14:textId="5A04EB7F" w:rsidR="000204ED" w:rsidRPr="001C7E20" w:rsidRDefault="00911DE4" w:rsidP="00911DE4">
            <w:pPr>
              <w:spacing w:before="120" w:after="120"/>
              <w:jc w:val="both"/>
              <w:rPr>
                <w:sz w:val="24"/>
                <w:szCs w:val="24"/>
                <w:lang w:val="bg-BG"/>
              </w:rPr>
            </w:pPr>
            <w:r w:rsidRPr="00911DE4">
              <w:rPr>
                <w:sz w:val="24"/>
                <w:szCs w:val="24"/>
                <w:lang w:val="bg-BG"/>
              </w:rPr>
              <w:t>В тази връзка, допустими</w:t>
            </w:r>
            <w:r w:rsidR="0068713F">
              <w:rPr>
                <w:sz w:val="24"/>
                <w:szCs w:val="24"/>
                <w:lang w:val="bg-BG"/>
              </w:rPr>
              <w:t>те</w:t>
            </w:r>
            <w:r w:rsidRPr="00911DE4">
              <w:rPr>
                <w:sz w:val="24"/>
                <w:szCs w:val="24"/>
                <w:lang w:val="bg-BG"/>
              </w:rPr>
              <w:t xml:space="preserve"> кандидати по процедурата са съответните общини</w:t>
            </w:r>
            <w:r w:rsidRPr="005749D2">
              <w:rPr>
                <w:sz w:val="24"/>
                <w:szCs w:val="24"/>
                <w:lang w:val="bg-BG"/>
              </w:rPr>
              <w:t>, които отговорят на посоченото по-горе условие</w:t>
            </w:r>
            <w:r w:rsidR="0068713F" w:rsidRPr="005749D2">
              <w:rPr>
                <w:sz w:val="24"/>
                <w:szCs w:val="24"/>
                <w:lang w:val="bg-BG"/>
              </w:rPr>
              <w:t>,</w:t>
            </w:r>
            <w:r w:rsidRPr="005749D2">
              <w:rPr>
                <w:sz w:val="24"/>
                <w:szCs w:val="24"/>
                <w:lang w:val="bg-BG"/>
              </w:rPr>
              <w:t xml:space="preserve"> от следните </w:t>
            </w:r>
            <w:r w:rsidR="005C79AB">
              <w:rPr>
                <w:b/>
                <w:bCs/>
                <w:sz w:val="24"/>
                <w:szCs w:val="24"/>
                <w:lang w:val="bg-BG"/>
              </w:rPr>
              <w:t>36</w:t>
            </w:r>
            <w:r w:rsidR="005C79AB" w:rsidRPr="005749D2">
              <w:rPr>
                <w:b/>
                <w:bCs/>
                <w:sz w:val="24"/>
                <w:szCs w:val="24"/>
                <w:lang w:val="bg-BG"/>
              </w:rPr>
              <w:t xml:space="preserve"> </w:t>
            </w:r>
            <w:r w:rsidRPr="005749D2">
              <w:rPr>
                <w:b/>
                <w:bCs/>
                <w:sz w:val="24"/>
                <w:szCs w:val="24"/>
                <w:lang w:val="bg-BG"/>
              </w:rPr>
              <w:t>РСУО: Карлово, Перник, Монтана, Велико Търново, Плевен, Самоков, Стара Загора, Враца, Силистра, Малко Търново, Ловеч, Панагюрище, Търговище, Омуртаг, Разлог, Видин, Кърджали, Асеновград, Оряхово, Троян, Гоце Делчев, Ямбол, Сандански, Мадан, Созопол, Добрич, Бяла, Левски, Разград, Доспат, Смолян, Горна Малина, Елхово, Русе, Пловдив, Бургас</w:t>
            </w:r>
            <w:r w:rsidRPr="005749D2">
              <w:rPr>
                <w:sz w:val="24"/>
                <w:szCs w:val="24"/>
                <w:lang w:val="bg-BG"/>
              </w:rPr>
              <w:t>.</w:t>
            </w:r>
          </w:p>
        </w:tc>
      </w:tr>
      <w:tr w:rsidR="00150181" w:rsidRPr="00B77D23" w14:paraId="3D4EEE87" w14:textId="77777777" w:rsidTr="00E036CC">
        <w:tc>
          <w:tcPr>
            <w:tcW w:w="2518" w:type="dxa"/>
            <w:shd w:val="clear" w:color="auto" w:fill="auto"/>
            <w:vAlign w:val="center"/>
          </w:tcPr>
          <w:p w14:paraId="785AEB36" w14:textId="77777777" w:rsidR="00150181" w:rsidRPr="001C7E20" w:rsidRDefault="00150181" w:rsidP="00150181">
            <w:pPr>
              <w:rPr>
                <w:sz w:val="24"/>
                <w:szCs w:val="24"/>
                <w:lang w:val="bg-BG"/>
              </w:rPr>
            </w:pPr>
            <w:r w:rsidRPr="001C7E20">
              <w:rPr>
                <w:sz w:val="24"/>
                <w:szCs w:val="24"/>
                <w:lang w:val="bg-BG"/>
              </w:rPr>
              <w:lastRenderedPageBreak/>
              <w:t>Допустими партньори по процедурата</w:t>
            </w:r>
          </w:p>
        </w:tc>
        <w:tc>
          <w:tcPr>
            <w:tcW w:w="7655" w:type="dxa"/>
            <w:shd w:val="clear" w:color="auto" w:fill="auto"/>
            <w:vAlign w:val="center"/>
          </w:tcPr>
          <w:p w14:paraId="52FE7FE3" w14:textId="77777777" w:rsidR="00911DE4" w:rsidRDefault="00911DE4" w:rsidP="003F1C65">
            <w:pPr>
              <w:spacing w:before="120" w:after="120"/>
              <w:jc w:val="both"/>
              <w:rPr>
                <w:sz w:val="24"/>
                <w:szCs w:val="24"/>
                <w:lang w:val="bg-BG"/>
              </w:rPr>
            </w:pPr>
            <w:r w:rsidRPr="00911DE4">
              <w:rPr>
                <w:sz w:val="24"/>
                <w:szCs w:val="24"/>
                <w:lang w:val="bg-BG"/>
              </w:rPr>
              <w:t xml:space="preserve">Допустимо е партньорство за кандидатстване по процедурата (в т.ч. за подготовка и изпълнение). </w:t>
            </w:r>
          </w:p>
          <w:p w14:paraId="087CF851" w14:textId="40BF7AE1" w:rsidR="007A6501" w:rsidRPr="00A431DB" w:rsidRDefault="00911DE4" w:rsidP="003F1C65">
            <w:pPr>
              <w:spacing w:before="120" w:after="120"/>
              <w:jc w:val="both"/>
              <w:rPr>
                <w:sz w:val="24"/>
                <w:szCs w:val="24"/>
                <w:lang w:val="bg-BG"/>
              </w:rPr>
            </w:pPr>
            <w:r w:rsidRPr="00911DE4">
              <w:rPr>
                <w:sz w:val="24"/>
                <w:szCs w:val="24"/>
                <w:lang w:val="bg-BG"/>
              </w:rPr>
              <w:t xml:space="preserve">Партньор може да е община/общини от същото РСУО като общината-кандидат, само в случаите при </w:t>
            </w:r>
            <w:proofErr w:type="spellStart"/>
            <w:r w:rsidRPr="00911DE4">
              <w:rPr>
                <w:sz w:val="24"/>
                <w:szCs w:val="24"/>
                <w:lang w:val="bg-BG"/>
              </w:rPr>
              <w:t>съ</w:t>
            </w:r>
            <w:proofErr w:type="spellEnd"/>
            <w:r w:rsidRPr="00911DE4">
              <w:rPr>
                <w:sz w:val="24"/>
                <w:szCs w:val="24"/>
                <w:lang w:val="bg-BG"/>
              </w:rPr>
              <w:t>-собственост на депото/клетката от две или повече общини или при определени по комплексно разрешително като оператори дружества</w:t>
            </w:r>
            <w:r w:rsidRPr="007E2B1A">
              <w:rPr>
                <w:sz w:val="24"/>
                <w:szCs w:val="24"/>
                <w:lang w:val="bg-BG"/>
              </w:rPr>
              <w:t>, в които съдружници са само общините, ползващи регионалното депо</w:t>
            </w:r>
            <w:r w:rsidR="009617E1" w:rsidRPr="007E2B1A">
              <w:rPr>
                <w:sz w:val="24"/>
                <w:szCs w:val="24"/>
                <w:lang w:val="bg-BG"/>
              </w:rPr>
              <w:t xml:space="preserve">, </w:t>
            </w:r>
            <w:r w:rsidR="004C1BC9">
              <w:rPr>
                <w:sz w:val="24"/>
                <w:szCs w:val="24"/>
                <w:lang w:val="bg-BG"/>
              </w:rPr>
              <w:t>и/</w:t>
            </w:r>
            <w:r w:rsidR="009617E1" w:rsidRPr="007E2B1A">
              <w:rPr>
                <w:sz w:val="24"/>
                <w:szCs w:val="24"/>
                <w:lang w:val="bg-BG"/>
              </w:rPr>
              <w:t>или по решение на Общото събрание на РСУО въз основа на решения на съответните Общински съвети</w:t>
            </w:r>
            <w:r w:rsidR="004C1BC9">
              <w:rPr>
                <w:sz w:val="24"/>
                <w:szCs w:val="24"/>
                <w:lang w:val="bg-BG"/>
              </w:rPr>
              <w:t xml:space="preserve"> за партньорство по процедурата</w:t>
            </w:r>
            <w:r w:rsidR="00A431DB" w:rsidRPr="007E2B1A">
              <w:rPr>
                <w:sz w:val="24"/>
                <w:szCs w:val="24"/>
                <w:lang w:val="bg-BG"/>
              </w:rPr>
              <w:t>.</w:t>
            </w:r>
          </w:p>
        </w:tc>
      </w:tr>
      <w:tr w:rsidR="00150181" w:rsidRPr="00B77D23" w14:paraId="1EFA3927" w14:textId="77777777" w:rsidTr="00E036CC">
        <w:tc>
          <w:tcPr>
            <w:tcW w:w="2518" w:type="dxa"/>
            <w:shd w:val="clear" w:color="auto" w:fill="auto"/>
            <w:vAlign w:val="center"/>
          </w:tcPr>
          <w:p w14:paraId="1821863D" w14:textId="77777777" w:rsidR="00150181" w:rsidRPr="006804A9" w:rsidRDefault="00150181" w:rsidP="00150181">
            <w:pPr>
              <w:spacing w:before="120" w:after="120"/>
              <w:rPr>
                <w:sz w:val="24"/>
                <w:szCs w:val="24"/>
                <w:lang w:val="bg-BG"/>
              </w:rPr>
            </w:pPr>
            <w:r w:rsidRPr="001C7E20">
              <w:rPr>
                <w:sz w:val="24"/>
                <w:szCs w:val="24"/>
                <w:lang w:val="bg-BG"/>
              </w:rPr>
              <w:t>Допустими дейности по процедурата</w:t>
            </w:r>
          </w:p>
        </w:tc>
        <w:tc>
          <w:tcPr>
            <w:tcW w:w="7655" w:type="dxa"/>
            <w:shd w:val="clear" w:color="auto" w:fill="auto"/>
            <w:vAlign w:val="center"/>
          </w:tcPr>
          <w:p w14:paraId="592799CA" w14:textId="77777777" w:rsidR="009337D1" w:rsidRPr="001C7E20" w:rsidRDefault="000C45DA" w:rsidP="009337D1">
            <w:pPr>
              <w:numPr>
                <w:ilvl w:val="0"/>
                <w:numId w:val="9"/>
              </w:numPr>
              <w:tabs>
                <w:tab w:val="left" w:pos="183"/>
              </w:tabs>
              <w:spacing w:after="240"/>
              <w:jc w:val="both"/>
              <w:rPr>
                <w:rFonts w:eastAsia="Calibri"/>
                <w:b/>
                <w:sz w:val="24"/>
                <w:szCs w:val="24"/>
                <w:lang w:val="bg-BG" w:eastAsia="en-US"/>
              </w:rPr>
            </w:pPr>
            <w:bookmarkStart w:id="5" w:name="_Hlk122597309"/>
            <w:r>
              <w:rPr>
                <w:rFonts w:eastAsia="Calibri"/>
                <w:b/>
                <w:i/>
                <w:iCs/>
                <w:sz w:val="24"/>
                <w:szCs w:val="24"/>
                <w:lang w:val="bg-BG" w:eastAsia="en-US"/>
              </w:rPr>
              <w:t>Спомагателни дейности</w:t>
            </w:r>
            <w:r w:rsidR="00240578" w:rsidRPr="001C7E20">
              <w:rPr>
                <w:rFonts w:eastAsia="Calibri"/>
                <w:b/>
                <w:sz w:val="24"/>
                <w:szCs w:val="24"/>
                <w:lang w:val="bg-BG" w:eastAsia="en-US"/>
              </w:rPr>
              <w:t xml:space="preserve"> </w:t>
            </w:r>
          </w:p>
          <w:p w14:paraId="5F43CD19" w14:textId="23D01B73" w:rsidR="00240578" w:rsidRPr="001C7E20" w:rsidRDefault="009337D1" w:rsidP="009337D1">
            <w:pPr>
              <w:tabs>
                <w:tab w:val="left" w:pos="183"/>
              </w:tabs>
              <w:spacing w:after="240"/>
              <w:jc w:val="both"/>
              <w:rPr>
                <w:rFonts w:eastAsia="Calibri"/>
                <w:bCs/>
                <w:sz w:val="24"/>
                <w:szCs w:val="24"/>
                <w:lang w:val="bg-BG" w:eastAsia="en-US"/>
              </w:rPr>
            </w:pPr>
            <w:r w:rsidRPr="001C7E20">
              <w:rPr>
                <w:rFonts w:eastAsia="Calibri"/>
                <w:bCs/>
                <w:sz w:val="24"/>
                <w:szCs w:val="24"/>
                <w:lang w:val="bg-BG" w:eastAsia="en-US"/>
              </w:rPr>
              <w:t>Допустимо е изготвяне на</w:t>
            </w:r>
            <w:r w:rsidR="00E04970">
              <w:rPr>
                <w:rFonts w:eastAsia="Calibri"/>
                <w:bCs/>
                <w:sz w:val="24"/>
                <w:szCs w:val="24"/>
                <w:lang w:val="bg-BG" w:eastAsia="en-US"/>
              </w:rPr>
              <w:t>:</w:t>
            </w:r>
            <w:r w:rsidRPr="001C7E20">
              <w:rPr>
                <w:rFonts w:eastAsia="Calibri"/>
                <w:bCs/>
                <w:sz w:val="24"/>
                <w:szCs w:val="24"/>
                <w:lang w:val="bg-BG" w:eastAsia="en-US"/>
              </w:rPr>
              <w:t xml:space="preserve"> </w:t>
            </w:r>
            <w:r w:rsidR="00911DE4" w:rsidRPr="00911DE4">
              <w:rPr>
                <w:rFonts w:eastAsia="Calibri"/>
                <w:bCs/>
                <w:sz w:val="24"/>
                <w:szCs w:val="24"/>
                <w:lang w:val="bg-BG" w:eastAsia="en-US"/>
              </w:rPr>
              <w:t xml:space="preserve">анализ на остойностяването; </w:t>
            </w:r>
            <w:bookmarkStart w:id="6" w:name="_Hlk137196625"/>
            <w:r w:rsidR="004C1BC9" w:rsidRPr="004C1BC9">
              <w:rPr>
                <w:rFonts w:eastAsia="Calibri"/>
                <w:sz w:val="24"/>
                <w:szCs w:val="24"/>
                <w:lang w:val="bg-BG" w:eastAsia="en-US"/>
              </w:rPr>
              <w:t xml:space="preserve">консолидирана документация </w:t>
            </w:r>
            <w:r w:rsidR="004C1BC9" w:rsidRPr="004C1BC9">
              <w:rPr>
                <w:sz w:val="24"/>
                <w:szCs w:val="24"/>
                <w:lang w:val="bg-BG" w:eastAsia="en-US"/>
              </w:rPr>
              <w:t>за доказване на климатична устойчивост</w:t>
            </w:r>
            <w:bookmarkEnd w:id="6"/>
            <w:r w:rsidR="004C1BC9" w:rsidRPr="004C1BC9">
              <w:rPr>
                <w:sz w:val="24"/>
                <w:szCs w:val="24"/>
                <w:lang w:val="bg-BG" w:eastAsia="en-US"/>
              </w:rPr>
              <w:t>;</w:t>
            </w:r>
            <w:r w:rsidR="004C1BC9" w:rsidRPr="004C1BC9">
              <w:rPr>
                <w:rFonts w:eastAsia="Calibri"/>
                <w:sz w:val="24"/>
                <w:szCs w:val="24"/>
                <w:lang w:val="bg-BG" w:eastAsia="en-US"/>
              </w:rPr>
              <w:t xml:space="preserve"> </w:t>
            </w:r>
            <w:r w:rsidR="00911DE4" w:rsidRPr="00911DE4">
              <w:rPr>
                <w:rFonts w:eastAsia="Calibri"/>
                <w:bCs/>
                <w:sz w:val="24"/>
                <w:szCs w:val="24"/>
                <w:lang w:val="bg-BG" w:eastAsia="en-US"/>
              </w:rPr>
              <w:t xml:space="preserve">инвестиционно проектиране – </w:t>
            </w:r>
            <w:r w:rsidR="004C1BC9" w:rsidRPr="001C1654">
              <w:rPr>
                <w:rFonts w:eastAsia="Calibri"/>
                <w:b/>
                <w:sz w:val="24"/>
                <w:szCs w:val="24"/>
                <w:lang w:val="bg-BG" w:eastAsia="en-US"/>
              </w:rPr>
              <w:t>при обоснована необходимост</w:t>
            </w:r>
            <w:r w:rsidR="004C1BC9">
              <w:rPr>
                <w:rFonts w:eastAsia="Calibri"/>
                <w:bCs/>
                <w:sz w:val="24"/>
                <w:szCs w:val="24"/>
                <w:lang w:val="bg-BG" w:eastAsia="en-US"/>
              </w:rPr>
              <w:t xml:space="preserve"> </w:t>
            </w:r>
            <w:r w:rsidR="00911DE4" w:rsidRPr="00911DE4">
              <w:rPr>
                <w:rFonts w:eastAsia="Calibri"/>
                <w:bCs/>
                <w:sz w:val="24"/>
                <w:szCs w:val="24"/>
                <w:lang w:val="bg-BG" w:eastAsia="en-US"/>
              </w:rPr>
              <w:t xml:space="preserve">само актуализация на проекта за рекултивация/частта „техническа рекултивация“ от проекта за регионалното депо/клетка, по реда на </w:t>
            </w:r>
            <w:r w:rsidR="00911DE4" w:rsidRPr="00A431DB">
              <w:rPr>
                <w:rFonts w:eastAsia="Calibri"/>
                <w:bCs/>
                <w:i/>
                <w:iCs/>
                <w:sz w:val="24"/>
                <w:szCs w:val="24"/>
                <w:lang w:val="bg-BG" w:eastAsia="en-US"/>
              </w:rPr>
              <w:t>Закона за устройство на територията</w:t>
            </w:r>
            <w:r w:rsidR="00911DE4" w:rsidRPr="00911DE4">
              <w:rPr>
                <w:rFonts w:eastAsia="Calibri"/>
                <w:bCs/>
                <w:sz w:val="24"/>
                <w:szCs w:val="24"/>
                <w:lang w:val="bg-BG" w:eastAsia="en-US"/>
              </w:rPr>
              <w:t xml:space="preserve"> (ЗУТ) и при съобразяване на приложимите изисквания в специалната нормативна уредба за рекултивация на депа за неопасни битови отпадъци, които са неотложни за реализацията на проекта; документация и провеждане на изискващи се процедури </w:t>
            </w:r>
            <w:r w:rsidR="004C1BC9">
              <w:rPr>
                <w:rFonts w:eastAsia="Calibri"/>
                <w:bCs/>
                <w:sz w:val="24"/>
                <w:szCs w:val="24"/>
                <w:lang w:val="bg-BG" w:eastAsia="en-US"/>
              </w:rPr>
              <w:t xml:space="preserve">(при актуализация на проекта) </w:t>
            </w:r>
            <w:r w:rsidR="00911DE4" w:rsidRPr="00911DE4">
              <w:rPr>
                <w:rFonts w:eastAsia="Calibri"/>
                <w:bCs/>
                <w:sz w:val="24"/>
                <w:szCs w:val="24"/>
                <w:lang w:val="bg-BG" w:eastAsia="en-US"/>
              </w:rPr>
              <w:t xml:space="preserve">по реда на </w:t>
            </w:r>
            <w:r w:rsidR="00911DE4" w:rsidRPr="00A431DB">
              <w:rPr>
                <w:rFonts w:eastAsia="Calibri"/>
                <w:bCs/>
                <w:i/>
                <w:iCs/>
                <w:sz w:val="24"/>
                <w:szCs w:val="24"/>
                <w:lang w:val="bg-BG" w:eastAsia="en-US"/>
              </w:rPr>
              <w:t>Закона за опазване на околната среда</w:t>
            </w:r>
            <w:r w:rsidR="00911DE4" w:rsidRPr="00911DE4">
              <w:rPr>
                <w:rFonts w:eastAsia="Calibri"/>
                <w:bCs/>
                <w:sz w:val="24"/>
                <w:szCs w:val="24"/>
                <w:lang w:val="bg-BG" w:eastAsia="en-US"/>
              </w:rPr>
              <w:t xml:space="preserve"> </w:t>
            </w:r>
            <w:r w:rsidR="00E04970">
              <w:rPr>
                <w:rFonts w:eastAsia="Calibri"/>
                <w:bCs/>
                <w:sz w:val="24"/>
                <w:szCs w:val="24"/>
                <w:lang w:val="bg-BG" w:eastAsia="en-US"/>
              </w:rPr>
              <w:t xml:space="preserve">(ЗООС) </w:t>
            </w:r>
            <w:r w:rsidR="00911DE4" w:rsidRPr="00911DE4">
              <w:rPr>
                <w:rFonts w:eastAsia="Calibri"/>
                <w:bCs/>
                <w:sz w:val="24"/>
                <w:szCs w:val="24"/>
                <w:lang w:val="bg-BG" w:eastAsia="en-US"/>
              </w:rPr>
              <w:t xml:space="preserve">и/или </w:t>
            </w:r>
            <w:r w:rsidR="00911DE4" w:rsidRPr="00A431DB">
              <w:rPr>
                <w:rFonts w:eastAsia="Calibri"/>
                <w:bCs/>
                <w:i/>
                <w:iCs/>
                <w:sz w:val="24"/>
                <w:szCs w:val="24"/>
                <w:lang w:val="bg-BG" w:eastAsia="en-US"/>
              </w:rPr>
              <w:t>Закона за биологичното разнообразие</w:t>
            </w:r>
            <w:r w:rsidR="00E04970">
              <w:rPr>
                <w:rFonts w:eastAsia="Calibri"/>
                <w:bCs/>
                <w:i/>
                <w:iCs/>
                <w:sz w:val="24"/>
                <w:szCs w:val="24"/>
                <w:lang w:val="bg-BG" w:eastAsia="en-US"/>
              </w:rPr>
              <w:t xml:space="preserve"> </w:t>
            </w:r>
            <w:r w:rsidR="00E04970" w:rsidRPr="00E04970">
              <w:rPr>
                <w:rFonts w:eastAsia="Calibri"/>
                <w:bCs/>
                <w:sz w:val="24"/>
                <w:szCs w:val="24"/>
                <w:lang w:val="bg-BG" w:eastAsia="en-US"/>
              </w:rPr>
              <w:t>(ЗБР</w:t>
            </w:r>
            <w:r w:rsidR="00E04970">
              <w:rPr>
                <w:rFonts w:eastAsia="Calibri"/>
                <w:bCs/>
                <w:i/>
                <w:iCs/>
                <w:sz w:val="24"/>
                <w:szCs w:val="24"/>
                <w:lang w:val="bg-BG" w:eastAsia="en-US"/>
              </w:rPr>
              <w:t>)</w:t>
            </w:r>
            <w:r w:rsidR="00911DE4" w:rsidRPr="00911DE4">
              <w:rPr>
                <w:rFonts w:eastAsia="Calibri"/>
                <w:bCs/>
                <w:sz w:val="24"/>
                <w:szCs w:val="24"/>
                <w:lang w:val="bg-BG" w:eastAsia="en-US"/>
              </w:rPr>
              <w:t xml:space="preserve">, </w:t>
            </w:r>
            <w:r w:rsidR="00911DE4" w:rsidRPr="00A431DB">
              <w:rPr>
                <w:rFonts w:eastAsia="Calibri"/>
                <w:bCs/>
                <w:i/>
                <w:iCs/>
                <w:sz w:val="24"/>
                <w:szCs w:val="24"/>
                <w:lang w:val="bg-BG" w:eastAsia="en-US"/>
              </w:rPr>
              <w:t>Закона за водите</w:t>
            </w:r>
            <w:r w:rsidR="00911DE4" w:rsidRPr="00911DE4">
              <w:rPr>
                <w:rFonts w:eastAsia="Calibri"/>
                <w:bCs/>
                <w:sz w:val="24"/>
                <w:szCs w:val="24"/>
                <w:lang w:val="bg-BG" w:eastAsia="en-US"/>
              </w:rPr>
              <w:t xml:space="preserve"> </w:t>
            </w:r>
            <w:r w:rsidR="00E04970">
              <w:rPr>
                <w:rFonts w:eastAsia="Calibri"/>
                <w:bCs/>
                <w:sz w:val="24"/>
                <w:szCs w:val="24"/>
                <w:lang w:val="bg-BG" w:eastAsia="en-US"/>
              </w:rPr>
              <w:t xml:space="preserve">(ЗВ) </w:t>
            </w:r>
            <w:r w:rsidR="00911DE4" w:rsidRPr="00911DE4">
              <w:rPr>
                <w:rFonts w:eastAsia="Calibri"/>
                <w:bCs/>
                <w:sz w:val="24"/>
                <w:szCs w:val="24"/>
                <w:lang w:val="bg-BG" w:eastAsia="en-US"/>
              </w:rPr>
              <w:t>и др. приложим</w:t>
            </w:r>
            <w:r w:rsidR="00E04970">
              <w:rPr>
                <w:rFonts w:eastAsia="Calibri"/>
                <w:bCs/>
                <w:sz w:val="24"/>
                <w:szCs w:val="24"/>
                <w:lang w:val="bg-BG" w:eastAsia="en-US"/>
              </w:rPr>
              <w:t>и</w:t>
            </w:r>
            <w:r w:rsidR="00911DE4" w:rsidRPr="00911DE4">
              <w:rPr>
                <w:rFonts w:eastAsia="Calibri"/>
                <w:bCs/>
                <w:sz w:val="24"/>
                <w:szCs w:val="24"/>
                <w:lang w:val="bg-BG" w:eastAsia="en-US"/>
              </w:rPr>
              <w:t xml:space="preserve"> по законодателство по околна среда; </w:t>
            </w:r>
            <w:bookmarkStart w:id="7" w:name="_Hlk164176285"/>
            <w:r w:rsidR="004741FC" w:rsidRPr="006F2D94">
              <w:rPr>
                <w:rFonts w:eastAsia="Calibri"/>
                <w:sz w:val="24"/>
                <w:szCs w:val="24"/>
                <w:lang w:val="bg-BG" w:eastAsia="en-US"/>
              </w:rPr>
              <w:t>к</w:t>
            </w:r>
            <w:r w:rsidR="004741FC" w:rsidRPr="006F2D94">
              <w:rPr>
                <w:rFonts w:eastAsia="Calibri"/>
                <w:bCs/>
                <w:sz w:val="24"/>
                <w:szCs w:val="24"/>
                <w:lang w:val="bg-BG" w:eastAsia="en-US"/>
              </w:rPr>
              <w:t>онсултантски услуги съгласно чл. 166 от ЗУТ</w:t>
            </w:r>
            <w:bookmarkEnd w:id="7"/>
            <w:r w:rsidR="00911DE4" w:rsidRPr="006F2D94">
              <w:rPr>
                <w:rFonts w:eastAsia="Calibri"/>
                <w:bCs/>
                <w:sz w:val="24"/>
                <w:szCs w:val="24"/>
                <w:lang w:val="bg-BG" w:eastAsia="en-US"/>
              </w:rPr>
              <w:t>; авторски</w:t>
            </w:r>
            <w:r w:rsidR="00911DE4" w:rsidRPr="00911DE4">
              <w:rPr>
                <w:rFonts w:eastAsia="Calibri"/>
                <w:bCs/>
                <w:sz w:val="24"/>
                <w:szCs w:val="24"/>
                <w:lang w:val="bg-BG" w:eastAsia="en-US"/>
              </w:rPr>
              <w:t xml:space="preserve"> надзор</w:t>
            </w:r>
            <w:r w:rsidR="00240578" w:rsidRPr="001C7E20">
              <w:rPr>
                <w:rFonts w:eastAsia="Calibri"/>
                <w:bCs/>
                <w:sz w:val="24"/>
                <w:szCs w:val="24"/>
                <w:lang w:val="bg-BG" w:eastAsia="en-US"/>
              </w:rPr>
              <w:t>.</w:t>
            </w:r>
          </w:p>
          <w:p w14:paraId="47201571" w14:textId="77777777" w:rsidR="00F0612C" w:rsidRPr="001C7E20" w:rsidRDefault="009C515C" w:rsidP="009337D1">
            <w:pPr>
              <w:tabs>
                <w:tab w:val="left" w:pos="183"/>
              </w:tabs>
              <w:spacing w:after="240"/>
              <w:jc w:val="both"/>
              <w:rPr>
                <w:rFonts w:eastAsia="Calibri"/>
                <w:bCs/>
                <w:sz w:val="24"/>
                <w:szCs w:val="24"/>
                <w:lang w:val="bg-BG" w:eastAsia="en-US"/>
              </w:rPr>
            </w:pPr>
            <w:r w:rsidRPr="001C7E20">
              <w:rPr>
                <w:rFonts w:eastAsia="Calibri"/>
                <w:b/>
                <w:sz w:val="24"/>
                <w:szCs w:val="24"/>
                <w:lang w:val="bg-BG" w:eastAsia="en-US"/>
              </w:rPr>
              <w:t>ВАЖНО:</w:t>
            </w:r>
            <w:r w:rsidRPr="001C7E20">
              <w:rPr>
                <w:rFonts w:eastAsia="Calibri"/>
                <w:bCs/>
                <w:sz w:val="24"/>
                <w:szCs w:val="24"/>
                <w:lang w:val="bg-BG" w:eastAsia="en-US"/>
              </w:rPr>
              <w:t xml:space="preserve"> </w:t>
            </w:r>
            <w:r w:rsidR="00911DE4" w:rsidRPr="00911DE4">
              <w:rPr>
                <w:rFonts w:eastAsia="Calibri"/>
                <w:bCs/>
                <w:sz w:val="24"/>
                <w:szCs w:val="24"/>
                <w:lang w:val="bg-BG" w:eastAsia="en-US"/>
              </w:rPr>
              <w:t>Актуализация на проекта ще се приема като обоснована само при необходимост от промяна в площта</w:t>
            </w:r>
            <w:r w:rsidR="009617E1">
              <w:rPr>
                <w:rFonts w:eastAsia="Calibri"/>
                <w:bCs/>
                <w:sz w:val="24"/>
                <w:szCs w:val="24"/>
                <w:lang w:val="bg-BG" w:eastAsia="en-US"/>
              </w:rPr>
              <w:t xml:space="preserve"> за рекултивация</w:t>
            </w:r>
            <w:r w:rsidR="00911DE4" w:rsidRPr="00911DE4">
              <w:rPr>
                <w:rFonts w:eastAsia="Calibri"/>
                <w:bCs/>
                <w:sz w:val="24"/>
                <w:szCs w:val="24"/>
                <w:lang w:val="bg-BG" w:eastAsia="en-US"/>
              </w:rPr>
              <w:t xml:space="preserve"> спрямо тази, </w:t>
            </w:r>
            <w:r w:rsidR="00911DE4" w:rsidRPr="00911DE4">
              <w:rPr>
                <w:rFonts w:eastAsia="Calibri"/>
                <w:bCs/>
                <w:sz w:val="24"/>
                <w:szCs w:val="24"/>
                <w:lang w:val="bg-BG" w:eastAsia="en-US"/>
              </w:rPr>
              <w:lastRenderedPageBreak/>
              <w:t xml:space="preserve">заложена в </w:t>
            </w:r>
            <w:r w:rsidR="00911DE4" w:rsidRPr="007E2B1A">
              <w:rPr>
                <w:rFonts w:eastAsia="Calibri"/>
                <w:bCs/>
                <w:sz w:val="24"/>
                <w:szCs w:val="24"/>
                <w:lang w:val="bg-BG" w:eastAsia="en-US"/>
              </w:rPr>
              <w:t>одобрения проект за регионалното депо/клетка, част „техническа рекултивация“</w:t>
            </w:r>
            <w:r w:rsidR="009602A2" w:rsidRPr="007E2B1A">
              <w:rPr>
                <w:rFonts w:eastAsia="Calibri"/>
                <w:bCs/>
                <w:sz w:val="24"/>
                <w:szCs w:val="24"/>
                <w:lang w:val="bg-BG" w:eastAsia="en-US"/>
              </w:rPr>
              <w:t xml:space="preserve"> или при обосновани технологични промени за техническата рекултивация</w:t>
            </w:r>
            <w:r w:rsidR="00911DE4" w:rsidRPr="007E2B1A">
              <w:rPr>
                <w:rFonts w:eastAsia="Calibri"/>
                <w:bCs/>
                <w:sz w:val="24"/>
                <w:szCs w:val="24"/>
                <w:lang w:val="bg-BG" w:eastAsia="en-US"/>
              </w:rPr>
              <w:t>.</w:t>
            </w:r>
          </w:p>
          <w:bookmarkEnd w:id="5"/>
          <w:p w14:paraId="34E37654" w14:textId="4B844FB8" w:rsidR="00240578" w:rsidRPr="001C7E20" w:rsidRDefault="00240578" w:rsidP="00240578">
            <w:pPr>
              <w:tabs>
                <w:tab w:val="left" w:pos="183"/>
              </w:tabs>
              <w:spacing w:after="240"/>
              <w:jc w:val="both"/>
              <w:rPr>
                <w:rFonts w:eastAsia="Calibri"/>
                <w:b/>
                <w:sz w:val="24"/>
                <w:szCs w:val="24"/>
                <w:lang w:val="bg-BG" w:eastAsia="en-US"/>
              </w:rPr>
            </w:pPr>
            <w:r w:rsidRPr="001C7E20">
              <w:rPr>
                <w:rFonts w:eastAsia="Calibri"/>
                <w:bCs/>
                <w:sz w:val="24"/>
                <w:szCs w:val="24"/>
                <w:lang w:val="bg-BG" w:eastAsia="en-US"/>
              </w:rPr>
              <w:t xml:space="preserve">2. </w:t>
            </w:r>
            <w:bookmarkStart w:id="8" w:name="_Hlk122597404"/>
            <w:r w:rsidRPr="001C7E20">
              <w:rPr>
                <w:rFonts w:eastAsia="Calibri"/>
                <w:b/>
                <w:i/>
                <w:iCs/>
                <w:sz w:val="24"/>
                <w:szCs w:val="24"/>
                <w:lang w:val="bg-BG" w:eastAsia="en-US"/>
              </w:rPr>
              <w:t xml:space="preserve">Техническа рекултивация </w:t>
            </w:r>
            <w:r w:rsidR="00911DE4" w:rsidRPr="00911DE4">
              <w:rPr>
                <w:rFonts w:eastAsia="Calibri"/>
                <w:b/>
                <w:i/>
                <w:iCs/>
                <w:sz w:val="24"/>
                <w:szCs w:val="24"/>
                <w:lang w:val="bg-BG" w:eastAsia="en-US"/>
              </w:rPr>
              <w:t>на регионално депо/клетка/клетки от регионално депо</w:t>
            </w:r>
            <w:r w:rsidR="00535362">
              <w:rPr>
                <w:rFonts w:eastAsia="Calibri"/>
                <w:b/>
                <w:i/>
                <w:iCs/>
                <w:sz w:val="24"/>
                <w:szCs w:val="24"/>
                <w:lang w:val="bg-BG" w:eastAsia="en-US"/>
              </w:rPr>
              <w:t xml:space="preserve"> за битови отпадъци</w:t>
            </w:r>
            <w:r w:rsidR="00911DE4" w:rsidRPr="00911DE4">
              <w:rPr>
                <w:rFonts w:eastAsia="Calibri"/>
                <w:b/>
                <w:i/>
                <w:iCs/>
                <w:sz w:val="24"/>
                <w:szCs w:val="24"/>
                <w:lang w:val="bg-BG" w:eastAsia="en-US"/>
              </w:rPr>
              <w:t xml:space="preserve"> </w:t>
            </w:r>
          </w:p>
          <w:p w14:paraId="153F4C09" w14:textId="65D66E6E" w:rsidR="003A1959" w:rsidRPr="001C7E20" w:rsidRDefault="00911DE4" w:rsidP="00240578">
            <w:pPr>
              <w:tabs>
                <w:tab w:val="left" w:pos="183"/>
              </w:tabs>
              <w:spacing w:after="240"/>
              <w:jc w:val="both"/>
              <w:rPr>
                <w:rFonts w:eastAsia="Calibri"/>
                <w:bCs/>
                <w:sz w:val="24"/>
                <w:szCs w:val="24"/>
                <w:lang w:val="bg-BG" w:eastAsia="en-US"/>
              </w:rPr>
            </w:pPr>
            <w:bookmarkStart w:id="9" w:name="_Hlk122597442"/>
            <w:bookmarkEnd w:id="8"/>
            <w:r w:rsidRPr="00911DE4">
              <w:rPr>
                <w:rFonts w:eastAsia="Calibri"/>
                <w:bCs/>
                <w:sz w:val="24"/>
                <w:szCs w:val="24"/>
                <w:lang w:val="bg-BG" w:eastAsia="en-US"/>
              </w:rPr>
              <w:t xml:space="preserve">Дейността включва изпълнение </w:t>
            </w:r>
            <w:r w:rsidR="00340251">
              <w:rPr>
                <w:rFonts w:eastAsia="Calibri"/>
                <w:bCs/>
                <w:sz w:val="24"/>
                <w:szCs w:val="24"/>
                <w:lang w:val="bg-BG" w:eastAsia="en-US"/>
              </w:rPr>
              <w:t xml:space="preserve">на </w:t>
            </w:r>
            <w:r w:rsidRPr="00911DE4">
              <w:rPr>
                <w:rFonts w:eastAsia="Calibri"/>
                <w:bCs/>
                <w:sz w:val="24"/>
                <w:szCs w:val="24"/>
                <w:lang w:val="bg-BG" w:eastAsia="en-US"/>
              </w:rPr>
              <w:t xml:space="preserve">строително-монтажни работи (СМР) </w:t>
            </w:r>
            <w:r w:rsidR="00340251">
              <w:rPr>
                <w:rFonts w:eastAsia="Calibri"/>
                <w:bCs/>
                <w:sz w:val="24"/>
                <w:szCs w:val="24"/>
                <w:lang w:val="bg-BG" w:eastAsia="en-US"/>
              </w:rPr>
              <w:t>по</w:t>
            </w:r>
            <w:r w:rsidRPr="00911DE4">
              <w:rPr>
                <w:rFonts w:eastAsia="Calibri"/>
                <w:bCs/>
                <w:sz w:val="24"/>
                <w:szCs w:val="24"/>
                <w:lang w:val="bg-BG" w:eastAsia="en-US"/>
              </w:rPr>
              <w:t xml:space="preserve"> одобрен проект за рекултивация/част „техническа рекултивация“</w:t>
            </w:r>
            <w:r w:rsidR="009617E1">
              <w:rPr>
                <w:rFonts w:eastAsia="Calibri"/>
                <w:bCs/>
                <w:sz w:val="24"/>
                <w:szCs w:val="24"/>
                <w:lang w:val="bg-BG" w:eastAsia="en-US"/>
              </w:rPr>
              <w:t xml:space="preserve"> от </w:t>
            </w:r>
            <w:r w:rsidRPr="00911DE4">
              <w:rPr>
                <w:rFonts w:eastAsia="Calibri"/>
                <w:bCs/>
                <w:sz w:val="24"/>
                <w:szCs w:val="24"/>
                <w:lang w:val="bg-BG" w:eastAsia="en-US"/>
              </w:rPr>
              <w:t xml:space="preserve">одобрен проект за </w:t>
            </w:r>
            <w:r w:rsidR="00922304">
              <w:rPr>
                <w:rFonts w:eastAsia="Calibri"/>
                <w:bCs/>
                <w:sz w:val="24"/>
                <w:szCs w:val="24"/>
                <w:lang w:val="bg-BG" w:eastAsia="en-US"/>
              </w:rPr>
              <w:t xml:space="preserve">регионално </w:t>
            </w:r>
            <w:r w:rsidRPr="00911DE4">
              <w:rPr>
                <w:rFonts w:eastAsia="Calibri"/>
                <w:bCs/>
                <w:sz w:val="24"/>
                <w:szCs w:val="24"/>
                <w:lang w:val="bg-BG" w:eastAsia="en-US"/>
              </w:rPr>
              <w:t>депо/клетка/клетки</w:t>
            </w:r>
            <w:r w:rsidR="00922304">
              <w:rPr>
                <w:rFonts w:eastAsia="Calibri"/>
                <w:bCs/>
                <w:sz w:val="24"/>
                <w:szCs w:val="24"/>
                <w:lang w:val="bg-BG" w:eastAsia="en-US"/>
              </w:rPr>
              <w:t xml:space="preserve"> от регионално депо</w:t>
            </w:r>
            <w:r w:rsidRPr="00911DE4">
              <w:rPr>
                <w:rFonts w:eastAsia="Calibri"/>
                <w:bCs/>
                <w:sz w:val="24"/>
                <w:szCs w:val="24"/>
                <w:lang w:val="bg-BG" w:eastAsia="en-US"/>
              </w:rPr>
              <w:t xml:space="preserve">, за който е издадено разрешение за строеж по реда на ЗУТ. Допустимо е включване на разходи за демонтаж на изградени постоянни съоръжения, ако тази дейност е включена в плана за закриване на </w:t>
            </w:r>
            <w:r w:rsidR="00922304">
              <w:rPr>
                <w:rFonts w:eastAsia="Calibri"/>
                <w:bCs/>
                <w:sz w:val="24"/>
                <w:szCs w:val="24"/>
                <w:lang w:val="bg-BG" w:eastAsia="en-US"/>
              </w:rPr>
              <w:t xml:space="preserve">регионалното </w:t>
            </w:r>
            <w:r w:rsidRPr="00911DE4">
              <w:rPr>
                <w:rFonts w:eastAsia="Calibri"/>
                <w:bCs/>
                <w:sz w:val="24"/>
                <w:szCs w:val="24"/>
                <w:lang w:val="bg-BG" w:eastAsia="en-US"/>
              </w:rPr>
              <w:t>депо или на клетка</w:t>
            </w:r>
            <w:r w:rsidR="009617E1">
              <w:rPr>
                <w:rFonts w:eastAsia="Calibri"/>
                <w:bCs/>
                <w:sz w:val="24"/>
                <w:szCs w:val="24"/>
                <w:lang w:val="bg-BG" w:eastAsia="en-US"/>
              </w:rPr>
              <w:t>/клетки</w:t>
            </w:r>
            <w:r w:rsidRPr="00911DE4">
              <w:rPr>
                <w:rFonts w:eastAsia="Calibri"/>
                <w:bCs/>
                <w:sz w:val="24"/>
                <w:szCs w:val="24"/>
                <w:lang w:val="bg-BG" w:eastAsia="en-US"/>
              </w:rPr>
              <w:t xml:space="preserve"> от него, както и на изпълнение на необходимите мерки от плана за контрол и мониторинг с цел осъществяване на мониторинг след закриване на </w:t>
            </w:r>
            <w:r w:rsidR="00922304">
              <w:rPr>
                <w:rFonts w:eastAsia="Calibri"/>
                <w:bCs/>
                <w:sz w:val="24"/>
                <w:szCs w:val="24"/>
                <w:lang w:val="bg-BG" w:eastAsia="en-US"/>
              </w:rPr>
              <w:t xml:space="preserve">регионалното </w:t>
            </w:r>
            <w:r w:rsidRPr="00911DE4">
              <w:rPr>
                <w:rFonts w:eastAsia="Calibri"/>
                <w:bCs/>
                <w:sz w:val="24"/>
                <w:szCs w:val="24"/>
                <w:lang w:val="bg-BG" w:eastAsia="en-US"/>
              </w:rPr>
              <w:t>депо, ако такива вече не са били изпълнени.</w:t>
            </w:r>
          </w:p>
          <w:p w14:paraId="3854AEBE" w14:textId="5FD2E8CD" w:rsidR="00911DE4" w:rsidRPr="00911DE4" w:rsidRDefault="00911DE4" w:rsidP="00911DE4">
            <w:pPr>
              <w:tabs>
                <w:tab w:val="left" w:pos="183"/>
              </w:tabs>
              <w:spacing w:after="240"/>
              <w:jc w:val="both"/>
              <w:rPr>
                <w:rFonts w:eastAsia="Calibri"/>
                <w:bCs/>
                <w:sz w:val="24"/>
                <w:szCs w:val="24"/>
                <w:lang w:val="bg-BG" w:eastAsia="en-US"/>
              </w:rPr>
            </w:pPr>
            <w:r w:rsidRPr="00340251">
              <w:rPr>
                <w:rFonts w:eastAsia="Calibri"/>
                <w:b/>
                <w:sz w:val="24"/>
                <w:szCs w:val="24"/>
                <w:lang w:val="bg-BG" w:eastAsia="en-US"/>
              </w:rPr>
              <w:t>ВАЖНО</w:t>
            </w:r>
            <w:r w:rsidRPr="00340251">
              <w:rPr>
                <w:rFonts w:eastAsia="Calibri"/>
                <w:bCs/>
                <w:sz w:val="24"/>
                <w:szCs w:val="24"/>
                <w:lang w:val="bg-BG" w:eastAsia="en-US"/>
              </w:rPr>
              <w:t>: След извършване на техническата рекултивация задължително следва да се извърши биологична рекултивация на клетката на депото в срока на дълготрайност на проекта – 5 години от окончателното плащане към бенефициента по проекта. Дейностите и разходите за биологична рекулт</w:t>
            </w:r>
            <w:r w:rsidR="0058310A">
              <w:rPr>
                <w:rFonts w:eastAsia="Calibri"/>
                <w:bCs/>
                <w:sz w:val="24"/>
                <w:szCs w:val="24"/>
                <w:lang w:val="bg-BG" w:eastAsia="en-US"/>
              </w:rPr>
              <w:t>и</w:t>
            </w:r>
            <w:r w:rsidRPr="00340251">
              <w:rPr>
                <w:rFonts w:eastAsia="Calibri"/>
                <w:bCs/>
                <w:sz w:val="24"/>
                <w:szCs w:val="24"/>
                <w:lang w:val="bg-BG" w:eastAsia="en-US"/>
              </w:rPr>
              <w:t>вация са недопустими по процедурата и кандидатите следва да осигурят за тях други средства извън предоставените средства по процедурата, вкл. от средствата за обезпечение по чл. 60 от З</w:t>
            </w:r>
            <w:r w:rsidR="00340251">
              <w:rPr>
                <w:rFonts w:eastAsia="Calibri"/>
                <w:bCs/>
                <w:sz w:val="24"/>
                <w:szCs w:val="24"/>
                <w:lang w:val="bg-BG" w:eastAsia="en-US"/>
              </w:rPr>
              <w:t>УО</w:t>
            </w:r>
            <w:r w:rsidR="00F260E9">
              <w:rPr>
                <w:rFonts w:eastAsia="Calibri"/>
                <w:bCs/>
                <w:sz w:val="24"/>
                <w:szCs w:val="24"/>
                <w:lang w:val="bg-BG" w:eastAsia="en-US"/>
              </w:rPr>
              <w:t>.</w:t>
            </w:r>
          </w:p>
          <w:bookmarkEnd w:id="9"/>
          <w:p w14:paraId="23C06EB7" w14:textId="2BD19354" w:rsidR="00770A90" w:rsidRPr="001C7E20" w:rsidRDefault="00240578" w:rsidP="00770A90">
            <w:pPr>
              <w:tabs>
                <w:tab w:val="left" w:pos="183"/>
              </w:tabs>
              <w:spacing w:after="240"/>
              <w:jc w:val="both"/>
              <w:rPr>
                <w:rFonts w:eastAsia="Calibri"/>
                <w:b/>
                <w:sz w:val="24"/>
                <w:szCs w:val="24"/>
                <w:lang w:val="bg-BG" w:eastAsia="en-US"/>
              </w:rPr>
            </w:pPr>
            <w:r w:rsidRPr="001C7E20">
              <w:rPr>
                <w:rFonts w:eastAsia="Calibri"/>
                <w:bCs/>
                <w:sz w:val="24"/>
                <w:szCs w:val="24"/>
                <w:lang w:val="bg-BG" w:eastAsia="en-US"/>
              </w:rPr>
              <w:t xml:space="preserve">3. </w:t>
            </w:r>
            <w:bookmarkStart w:id="10" w:name="_Hlk122597661"/>
            <w:r w:rsidR="00E955FD" w:rsidRPr="00E955FD">
              <w:rPr>
                <w:rFonts w:eastAsia="Calibri"/>
                <w:b/>
                <w:i/>
                <w:iCs/>
                <w:sz w:val="24"/>
                <w:szCs w:val="24"/>
                <w:lang w:val="bg-BG" w:eastAsia="en-US"/>
              </w:rPr>
              <w:t xml:space="preserve">Организация и управление на проекта, видимост, прозрачност и комуникация и </w:t>
            </w:r>
            <w:r w:rsidR="00E955FD" w:rsidRPr="00E955FD">
              <w:rPr>
                <w:rFonts w:eastAsia="Calibri"/>
                <w:b/>
                <w:bCs/>
                <w:i/>
                <w:iCs/>
                <w:sz w:val="24"/>
                <w:szCs w:val="24"/>
                <w:lang w:val="bg-BG" w:eastAsia="en-US"/>
              </w:rPr>
              <w:t>подготовка на документации за възлагане на обществени поръчки</w:t>
            </w:r>
          </w:p>
          <w:bookmarkEnd w:id="10"/>
          <w:p w14:paraId="1B116DB9" w14:textId="77777777" w:rsidR="009337D1" w:rsidRDefault="00BE48B1" w:rsidP="005D1581">
            <w:pPr>
              <w:tabs>
                <w:tab w:val="left" w:pos="183"/>
              </w:tabs>
              <w:spacing w:after="240"/>
              <w:jc w:val="both"/>
              <w:rPr>
                <w:rFonts w:eastAsia="Calibri"/>
                <w:bCs/>
                <w:sz w:val="24"/>
                <w:szCs w:val="24"/>
                <w:lang w:val="bg-BG" w:eastAsia="en-US"/>
              </w:rPr>
            </w:pPr>
            <w:r w:rsidRPr="008F5F39">
              <w:rPr>
                <w:rFonts w:eastAsia="Calibri"/>
                <w:b/>
                <w:sz w:val="24"/>
                <w:szCs w:val="24"/>
                <w:lang w:val="bg-BG" w:eastAsia="en-US"/>
              </w:rPr>
              <w:t>ВАЖНО</w:t>
            </w:r>
            <w:r w:rsidRPr="008F5F39">
              <w:rPr>
                <w:rFonts w:eastAsia="Calibri"/>
                <w:bCs/>
                <w:sz w:val="24"/>
                <w:szCs w:val="24"/>
                <w:lang w:val="bg-BG" w:eastAsia="en-US"/>
              </w:rPr>
              <w:t xml:space="preserve">: </w:t>
            </w:r>
            <w:r w:rsidR="00AB3D36" w:rsidRPr="008F5F39">
              <w:rPr>
                <w:rFonts w:eastAsia="Calibri"/>
                <w:bCs/>
                <w:sz w:val="24"/>
                <w:szCs w:val="24"/>
                <w:lang w:val="bg-BG" w:eastAsia="en-US"/>
              </w:rPr>
              <w:t xml:space="preserve">Допустимо е финансиране на </w:t>
            </w:r>
            <w:r w:rsidR="00AA7619" w:rsidRPr="008F5F39">
              <w:rPr>
                <w:rFonts w:eastAsia="Calibri"/>
                <w:bCs/>
                <w:sz w:val="24"/>
                <w:szCs w:val="24"/>
                <w:lang w:val="bg-BG" w:eastAsia="en-US"/>
              </w:rPr>
              <w:t>дейности</w:t>
            </w:r>
            <w:r w:rsidR="00AB3D36" w:rsidRPr="008F5F39">
              <w:rPr>
                <w:rFonts w:eastAsia="Calibri"/>
                <w:bCs/>
                <w:sz w:val="24"/>
                <w:szCs w:val="24"/>
                <w:lang w:val="bg-BG" w:eastAsia="en-US"/>
              </w:rPr>
              <w:t>, които вече са изпълнени, единствено</w:t>
            </w:r>
            <w:r w:rsidR="00AA7619" w:rsidRPr="008F5F39">
              <w:rPr>
                <w:rFonts w:eastAsia="Calibri"/>
                <w:bCs/>
                <w:sz w:val="24"/>
                <w:szCs w:val="24"/>
                <w:lang w:val="bg-BG" w:eastAsia="en-US"/>
              </w:rPr>
              <w:t xml:space="preserve"> </w:t>
            </w:r>
            <w:r w:rsidR="00AB3D36" w:rsidRPr="008F5F39">
              <w:rPr>
                <w:rFonts w:eastAsia="Calibri"/>
                <w:bCs/>
                <w:sz w:val="24"/>
                <w:szCs w:val="24"/>
                <w:lang w:val="bg-BG" w:eastAsia="en-US"/>
              </w:rPr>
              <w:t xml:space="preserve"> при условие, че</w:t>
            </w:r>
            <w:r w:rsidR="00AA7619" w:rsidRPr="008F5F39">
              <w:rPr>
                <w:rFonts w:eastAsia="Calibri"/>
                <w:bCs/>
                <w:sz w:val="24"/>
                <w:szCs w:val="24"/>
                <w:lang w:val="bg-BG" w:eastAsia="en-US"/>
              </w:rPr>
              <w:t xml:space="preserve"> разходите за тях са извършени след 01.01.2021 г. и</w:t>
            </w:r>
            <w:r w:rsidR="00AB3D36" w:rsidRPr="008F5F39">
              <w:rPr>
                <w:rFonts w:eastAsia="Calibri"/>
                <w:bCs/>
                <w:sz w:val="24"/>
                <w:szCs w:val="24"/>
                <w:lang w:val="bg-BG" w:eastAsia="en-US"/>
              </w:rPr>
              <w:t xml:space="preserve"> че същите </w:t>
            </w:r>
            <w:r w:rsidR="00AA7619" w:rsidRPr="008F5F39">
              <w:rPr>
                <w:rFonts w:eastAsia="Calibri"/>
                <w:bCs/>
                <w:sz w:val="24"/>
                <w:szCs w:val="24"/>
                <w:lang w:val="bg-BG" w:eastAsia="en-US"/>
              </w:rPr>
              <w:t>са</w:t>
            </w:r>
            <w:r w:rsidR="00AB3D36" w:rsidRPr="008F5F39">
              <w:rPr>
                <w:rFonts w:eastAsia="Calibri"/>
                <w:bCs/>
                <w:sz w:val="24"/>
                <w:szCs w:val="24"/>
                <w:lang w:val="bg-BG" w:eastAsia="en-US"/>
              </w:rPr>
              <w:t xml:space="preserve"> в изпълнение на проекта и</w:t>
            </w:r>
            <w:r w:rsidR="00AA7619" w:rsidRPr="008F5F39">
              <w:rPr>
                <w:rFonts w:eastAsia="Calibri"/>
                <w:bCs/>
                <w:sz w:val="24"/>
                <w:szCs w:val="24"/>
                <w:lang w:val="bg-BG" w:eastAsia="en-US"/>
              </w:rPr>
              <w:t xml:space="preserve"> </w:t>
            </w:r>
            <w:r w:rsidR="00AB3D36" w:rsidRPr="008F5F39">
              <w:rPr>
                <w:rFonts w:eastAsia="Calibri"/>
                <w:bCs/>
                <w:sz w:val="24"/>
                <w:szCs w:val="24"/>
                <w:lang w:val="bg-BG" w:eastAsia="en-US"/>
              </w:rPr>
              <w:t xml:space="preserve">съобразяват изцяло </w:t>
            </w:r>
            <w:r w:rsidR="008F5F39" w:rsidRPr="008F5F39">
              <w:rPr>
                <w:rFonts w:eastAsia="Calibri"/>
                <w:bCs/>
                <w:sz w:val="24"/>
                <w:szCs w:val="24"/>
                <w:lang w:val="bg-BG" w:eastAsia="en-US"/>
              </w:rPr>
              <w:t xml:space="preserve">документите по процедурата и </w:t>
            </w:r>
            <w:r w:rsidR="00AA7619" w:rsidRPr="008F5F39">
              <w:rPr>
                <w:rFonts w:eastAsia="Calibri"/>
                <w:bCs/>
                <w:sz w:val="24"/>
                <w:szCs w:val="24"/>
                <w:lang w:val="bg-BG" w:eastAsia="en-US"/>
              </w:rPr>
              <w:t>приложимото законодателство.</w:t>
            </w:r>
          </w:p>
          <w:p w14:paraId="2F7A43AC" w14:textId="0AE538FE" w:rsidR="0032165B" w:rsidRPr="006F2D94" w:rsidRDefault="0032165B" w:rsidP="005D1581">
            <w:pPr>
              <w:tabs>
                <w:tab w:val="left" w:pos="183"/>
              </w:tabs>
              <w:spacing w:after="240"/>
              <w:jc w:val="both"/>
              <w:rPr>
                <w:rFonts w:eastAsia="Calibri"/>
                <w:bCs/>
                <w:sz w:val="24"/>
                <w:szCs w:val="24"/>
                <w:lang w:val="bg-BG" w:eastAsia="en-US"/>
              </w:rPr>
            </w:pPr>
            <w:r w:rsidRPr="0032165B">
              <w:rPr>
                <w:rFonts w:eastAsia="Calibri"/>
                <w:bCs/>
                <w:sz w:val="24"/>
                <w:szCs w:val="24"/>
                <w:lang w:val="bg-BG" w:eastAsia="en-US"/>
              </w:rPr>
              <w:t xml:space="preserve">Обществените поръчки </w:t>
            </w:r>
            <w:r w:rsidRPr="006F2D94">
              <w:rPr>
                <w:rFonts w:eastAsia="Calibri"/>
                <w:bCs/>
                <w:sz w:val="24"/>
                <w:szCs w:val="24"/>
                <w:lang w:val="bg-BG" w:eastAsia="en-US"/>
              </w:rPr>
              <w:t>за основните дейности по проекта, предвидени за изпълнение от външен изпълнител, трябва да бъдат обявени, вкл. поръчките, за които приложение намира чл. 114 от ЗОП, на етапа на кандидатстване по настоящата процедура. Основни са всички дейности без тези по организация и управление, видимост, прозрачност и комуникация и разработване на документации за възлагане на обществени поръчки.</w:t>
            </w:r>
          </w:p>
          <w:p w14:paraId="24EFCF8E" w14:textId="3EEAFDB5" w:rsidR="00742630" w:rsidRPr="001C1654" w:rsidRDefault="00742630" w:rsidP="005D1581">
            <w:pPr>
              <w:tabs>
                <w:tab w:val="left" w:pos="183"/>
              </w:tabs>
              <w:spacing w:after="240"/>
              <w:jc w:val="both"/>
              <w:rPr>
                <w:rFonts w:eastAsia="Calibri"/>
                <w:b/>
                <w:sz w:val="24"/>
                <w:szCs w:val="24"/>
                <w:lang w:val="bg-BG" w:eastAsia="en-US"/>
              </w:rPr>
            </w:pPr>
            <w:r w:rsidRPr="006F2D94">
              <w:rPr>
                <w:rFonts w:eastAsia="Calibri"/>
                <w:b/>
                <w:sz w:val="24"/>
                <w:szCs w:val="24"/>
                <w:lang w:val="bg-BG" w:eastAsia="en-US"/>
              </w:rPr>
              <w:t>Дейностите трябва да се отнасят единствено и само за регионално депо или клетка/клетки от регионално депо, за което е издадено комплексно разрешително по реда на Закона за опазване на околната среда за регионално депо.</w:t>
            </w:r>
            <w:r w:rsidRPr="001C1654">
              <w:rPr>
                <w:rFonts w:eastAsia="Calibri"/>
                <w:b/>
                <w:sz w:val="24"/>
                <w:szCs w:val="24"/>
                <w:lang w:val="bg-BG" w:eastAsia="en-US"/>
              </w:rPr>
              <w:t xml:space="preserve">  </w:t>
            </w:r>
          </w:p>
        </w:tc>
      </w:tr>
      <w:tr w:rsidR="00150181" w:rsidRPr="00B77D23" w14:paraId="119CC960" w14:textId="77777777" w:rsidTr="00E036CC">
        <w:tc>
          <w:tcPr>
            <w:tcW w:w="2518" w:type="dxa"/>
            <w:shd w:val="clear" w:color="auto" w:fill="auto"/>
            <w:vAlign w:val="center"/>
          </w:tcPr>
          <w:p w14:paraId="4AE9BF41" w14:textId="1196FC78" w:rsidR="00150181" w:rsidRPr="001C7E20" w:rsidRDefault="00150181" w:rsidP="00150181">
            <w:pPr>
              <w:spacing w:before="120" w:after="120"/>
              <w:rPr>
                <w:sz w:val="24"/>
                <w:szCs w:val="24"/>
                <w:lang w:val="bg-BG"/>
              </w:rPr>
            </w:pPr>
            <w:r w:rsidRPr="001C7E20">
              <w:rPr>
                <w:sz w:val="24"/>
                <w:szCs w:val="24"/>
                <w:lang w:val="bg-BG"/>
              </w:rPr>
              <w:lastRenderedPageBreak/>
              <w:t xml:space="preserve">Индикативни </w:t>
            </w:r>
            <w:r w:rsidR="002665E5" w:rsidRPr="001C7E20">
              <w:rPr>
                <w:sz w:val="24"/>
                <w:szCs w:val="24"/>
                <w:lang w:val="bg-BG"/>
              </w:rPr>
              <w:t xml:space="preserve">категории </w:t>
            </w:r>
            <w:r w:rsidRPr="001C7E20">
              <w:rPr>
                <w:sz w:val="24"/>
                <w:szCs w:val="24"/>
                <w:lang w:val="bg-BG"/>
              </w:rPr>
              <w:t>допустими разходи по процедурата</w:t>
            </w:r>
          </w:p>
        </w:tc>
        <w:tc>
          <w:tcPr>
            <w:tcW w:w="7655" w:type="dxa"/>
            <w:shd w:val="clear" w:color="auto" w:fill="auto"/>
            <w:vAlign w:val="center"/>
          </w:tcPr>
          <w:p w14:paraId="045AFFED" w14:textId="77777777" w:rsidR="00C96FC0" w:rsidRPr="001C7E20" w:rsidRDefault="00C96FC0" w:rsidP="00D00437">
            <w:pPr>
              <w:spacing w:before="60"/>
              <w:jc w:val="both"/>
              <w:rPr>
                <w:rFonts w:eastAsia="Calibri"/>
                <w:b/>
                <w:bCs/>
                <w:sz w:val="24"/>
                <w:szCs w:val="24"/>
                <w:lang w:val="bg-BG" w:eastAsia="en-US"/>
              </w:rPr>
            </w:pPr>
            <w:bookmarkStart w:id="11" w:name="_Hlk122597790"/>
            <w:r w:rsidRPr="001C7E20">
              <w:rPr>
                <w:rFonts w:eastAsia="Calibri"/>
                <w:b/>
                <w:bCs/>
                <w:sz w:val="24"/>
                <w:szCs w:val="24"/>
                <w:lang w:val="bg-BG" w:eastAsia="en-US"/>
              </w:rPr>
              <w:t xml:space="preserve">Допустими </w:t>
            </w:r>
            <w:r w:rsidR="000D21EB" w:rsidRPr="001C7E20">
              <w:rPr>
                <w:rFonts w:eastAsia="Calibri"/>
                <w:b/>
                <w:bCs/>
                <w:sz w:val="24"/>
                <w:szCs w:val="24"/>
                <w:lang w:val="bg-BG" w:eastAsia="en-US"/>
              </w:rPr>
              <w:t xml:space="preserve">по процедурата </w:t>
            </w:r>
            <w:r w:rsidRPr="001C7E20">
              <w:rPr>
                <w:rFonts w:eastAsia="Calibri"/>
                <w:b/>
                <w:bCs/>
                <w:sz w:val="24"/>
                <w:szCs w:val="24"/>
                <w:lang w:val="bg-BG" w:eastAsia="en-US"/>
              </w:rPr>
              <w:t>категории разходи:</w:t>
            </w:r>
          </w:p>
          <w:p w14:paraId="3218E7D6" w14:textId="68D0CD25" w:rsidR="00D00437" w:rsidRPr="001C7E20" w:rsidRDefault="00D00437" w:rsidP="00D00437">
            <w:pPr>
              <w:spacing w:before="60"/>
              <w:jc w:val="both"/>
              <w:rPr>
                <w:rFonts w:eastAsia="Calibri"/>
                <w:sz w:val="24"/>
                <w:szCs w:val="24"/>
                <w:lang w:val="bg-BG" w:eastAsia="en-US"/>
              </w:rPr>
            </w:pPr>
            <w:r w:rsidRPr="001C7E20">
              <w:rPr>
                <w:rFonts w:eastAsia="Calibri"/>
                <w:sz w:val="24"/>
                <w:szCs w:val="24"/>
                <w:lang w:val="bg-BG" w:eastAsia="en-US"/>
              </w:rPr>
              <w:t>-</w:t>
            </w:r>
            <w:r w:rsidR="009337D1" w:rsidRPr="001C7E20">
              <w:rPr>
                <w:rFonts w:eastAsia="Calibri"/>
                <w:sz w:val="24"/>
                <w:szCs w:val="24"/>
                <w:lang w:val="bg-BG" w:eastAsia="en-US"/>
              </w:rPr>
              <w:t xml:space="preserve"> </w:t>
            </w:r>
            <w:r w:rsidRPr="001C7E20">
              <w:rPr>
                <w:rFonts w:eastAsia="Calibri"/>
                <w:sz w:val="24"/>
                <w:szCs w:val="24"/>
                <w:lang w:val="bg-BG" w:eastAsia="en-US"/>
              </w:rPr>
              <w:t>Разходи за СМР</w:t>
            </w:r>
            <w:r w:rsidR="000D21EB" w:rsidRPr="001C7E20">
              <w:rPr>
                <w:rFonts w:eastAsia="Calibri"/>
                <w:sz w:val="24"/>
                <w:szCs w:val="24"/>
                <w:lang w:val="bg-BG" w:eastAsia="en-US"/>
              </w:rPr>
              <w:t xml:space="preserve"> (</w:t>
            </w:r>
            <w:r w:rsidR="000D21EB" w:rsidRPr="001C7E20">
              <w:rPr>
                <w:rFonts w:eastAsia="Calibri"/>
                <w:i/>
                <w:iCs/>
                <w:sz w:val="24"/>
                <w:szCs w:val="24"/>
                <w:lang w:val="bg-BG" w:eastAsia="en-US"/>
              </w:rPr>
              <w:t>за техническа рекултивация на клетка/</w:t>
            </w:r>
            <w:r w:rsidR="00C74F92">
              <w:rPr>
                <w:rFonts w:eastAsia="Calibri"/>
                <w:i/>
                <w:iCs/>
                <w:sz w:val="24"/>
                <w:szCs w:val="24"/>
                <w:lang w:val="bg-BG" w:eastAsia="en-US"/>
              </w:rPr>
              <w:t>клетки/</w:t>
            </w:r>
            <w:r w:rsidR="000D21EB" w:rsidRPr="001C7E20">
              <w:rPr>
                <w:rFonts w:eastAsia="Calibri"/>
                <w:i/>
                <w:iCs/>
                <w:sz w:val="24"/>
                <w:szCs w:val="24"/>
                <w:lang w:val="bg-BG" w:eastAsia="en-US"/>
              </w:rPr>
              <w:t xml:space="preserve"> регионално депо; </w:t>
            </w:r>
            <w:r w:rsidR="00FD1EB9">
              <w:rPr>
                <w:rFonts w:eastAsia="Calibri"/>
                <w:i/>
                <w:iCs/>
                <w:sz w:val="24"/>
                <w:szCs w:val="24"/>
                <w:lang w:val="bg-BG" w:eastAsia="en-US"/>
              </w:rPr>
              <w:t xml:space="preserve">непредвидени разходи за СМР; </w:t>
            </w:r>
            <w:r w:rsidR="000D21EB" w:rsidRPr="001C7E20">
              <w:rPr>
                <w:rFonts w:eastAsia="Calibri"/>
                <w:i/>
                <w:iCs/>
                <w:sz w:val="24"/>
                <w:szCs w:val="24"/>
                <w:lang w:val="bg-BG" w:eastAsia="en-US"/>
              </w:rPr>
              <w:t>за оборудване и съоръжения, пряко свързани с извършването на техническата рекултивация</w:t>
            </w:r>
            <w:r w:rsidR="00424431">
              <w:rPr>
                <w:rFonts w:eastAsia="Calibri"/>
                <w:i/>
                <w:iCs/>
                <w:sz w:val="24"/>
                <w:szCs w:val="24"/>
                <w:lang w:val="bg-BG" w:eastAsia="en-US"/>
              </w:rPr>
              <w:t xml:space="preserve"> </w:t>
            </w:r>
            <w:r w:rsidR="00424431" w:rsidRPr="00424431">
              <w:rPr>
                <w:rFonts w:eastAsia="Calibri"/>
                <w:i/>
                <w:sz w:val="24"/>
                <w:szCs w:val="24"/>
                <w:lang w:val="bg-BG" w:eastAsia="bg-BG"/>
              </w:rPr>
              <w:t>и за такива, необходими за изпълнение на мерките от плана за контрол и мониторинг с цел осъществяване на мониторинг след закриване на депото. Включват се, при необходимост, и разходи за обучение на ангажирания персонал за използване на оборудването и съоръженията</w:t>
            </w:r>
            <w:r w:rsidR="000D21EB" w:rsidRPr="001C7E20">
              <w:rPr>
                <w:rFonts w:eastAsia="Calibri"/>
                <w:sz w:val="24"/>
                <w:szCs w:val="24"/>
                <w:lang w:val="bg-BG" w:eastAsia="en-US"/>
              </w:rPr>
              <w:t>)</w:t>
            </w:r>
            <w:r w:rsidRPr="001C7E20">
              <w:rPr>
                <w:rFonts w:eastAsia="Calibri"/>
                <w:sz w:val="24"/>
                <w:szCs w:val="24"/>
                <w:lang w:val="bg-BG" w:eastAsia="en-US"/>
              </w:rPr>
              <w:t>;</w:t>
            </w:r>
          </w:p>
          <w:p w14:paraId="0082D430" w14:textId="202472C9" w:rsidR="00D00437" w:rsidRPr="001C7E20" w:rsidRDefault="00D00437" w:rsidP="00D00437">
            <w:pPr>
              <w:spacing w:before="60"/>
              <w:jc w:val="both"/>
              <w:rPr>
                <w:rFonts w:eastAsia="Calibri"/>
                <w:sz w:val="24"/>
                <w:szCs w:val="24"/>
                <w:lang w:val="bg-BG" w:eastAsia="en-US"/>
              </w:rPr>
            </w:pPr>
            <w:r w:rsidRPr="001C7E20">
              <w:rPr>
                <w:rFonts w:eastAsia="Calibri"/>
                <w:sz w:val="24"/>
                <w:szCs w:val="24"/>
                <w:lang w:val="bg-BG" w:eastAsia="en-US"/>
              </w:rPr>
              <w:t>-</w:t>
            </w:r>
            <w:r w:rsidR="009337D1" w:rsidRPr="001C7E20">
              <w:rPr>
                <w:rFonts w:eastAsia="Calibri"/>
                <w:sz w:val="24"/>
                <w:szCs w:val="24"/>
                <w:lang w:val="bg-BG" w:eastAsia="en-US"/>
              </w:rPr>
              <w:t xml:space="preserve"> </w:t>
            </w:r>
            <w:r w:rsidRPr="001C7E20">
              <w:rPr>
                <w:rFonts w:eastAsia="Calibri"/>
                <w:sz w:val="24"/>
                <w:szCs w:val="24"/>
                <w:lang w:val="bg-BG" w:eastAsia="en-US"/>
              </w:rPr>
              <w:t>Разходи за услуги</w:t>
            </w:r>
            <w:r w:rsidR="000D21EB" w:rsidRPr="001C7E20">
              <w:rPr>
                <w:rFonts w:eastAsia="Calibri"/>
                <w:sz w:val="24"/>
                <w:szCs w:val="24"/>
                <w:lang w:val="bg-BG" w:eastAsia="en-US"/>
              </w:rPr>
              <w:t xml:space="preserve"> (</w:t>
            </w:r>
            <w:r w:rsidR="000D21EB" w:rsidRPr="001C7E20">
              <w:rPr>
                <w:i/>
                <w:iCs/>
                <w:color w:val="000000"/>
                <w:sz w:val="24"/>
                <w:szCs w:val="24"/>
                <w:lang w:val="bg-BG"/>
              </w:rPr>
              <w:t xml:space="preserve">за </w:t>
            </w:r>
            <w:r w:rsidR="00FD1EB9">
              <w:rPr>
                <w:i/>
                <w:iCs/>
                <w:color w:val="000000"/>
                <w:sz w:val="24"/>
                <w:szCs w:val="24"/>
                <w:lang w:val="bg-BG"/>
              </w:rPr>
              <w:t>допустими спомагателни дейности</w:t>
            </w:r>
            <w:r w:rsidR="000D21EB" w:rsidRPr="001C7E20">
              <w:rPr>
                <w:i/>
                <w:iCs/>
                <w:color w:val="000000"/>
                <w:sz w:val="24"/>
                <w:szCs w:val="24"/>
                <w:lang w:val="bg-BG"/>
              </w:rPr>
              <w:t>)</w:t>
            </w:r>
            <w:r w:rsidRPr="001C7E20">
              <w:rPr>
                <w:rFonts w:eastAsia="Calibri"/>
                <w:sz w:val="24"/>
                <w:szCs w:val="24"/>
                <w:lang w:val="bg-BG" w:eastAsia="en-US"/>
              </w:rPr>
              <w:t>;</w:t>
            </w:r>
          </w:p>
          <w:p w14:paraId="3612E7F1" w14:textId="77777777" w:rsidR="00D00437" w:rsidRPr="001C7E20" w:rsidRDefault="00D00437" w:rsidP="00D00437">
            <w:pPr>
              <w:spacing w:before="60"/>
              <w:jc w:val="both"/>
              <w:rPr>
                <w:rFonts w:eastAsia="Calibri"/>
                <w:sz w:val="24"/>
                <w:szCs w:val="24"/>
                <w:lang w:val="bg-BG" w:eastAsia="en-US"/>
              </w:rPr>
            </w:pPr>
            <w:r w:rsidRPr="001C7E20">
              <w:rPr>
                <w:rFonts w:eastAsia="Calibri"/>
                <w:sz w:val="24"/>
                <w:szCs w:val="24"/>
                <w:lang w:val="bg-BG" w:eastAsia="en-US"/>
              </w:rPr>
              <w:t>-</w:t>
            </w:r>
            <w:r w:rsidR="009337D1" w:rsidRPr="001C7E20">
              <w:rPr>
                <w:rFonts w:eastAsia="Calibri"/>
                <w:sz w:val="24"/>
                <w:szCs w:val="24"/>
                <w:lang w:val="bg-BG" w:eastAsia="en-US"/>
              </w:rPr>
              <w:t xml:space="preserve"> </w:t>
            </w:r>
            <w:r w:rsidRPr="001C7E20">
              <w:rPr>
                <w:rFonts w:eastAsia="Calibri"/>
                <w:sz w:val="24"/>
                <w:szCs w:val="24"/>
                <w:lang w:val="bg-BG" w:eastAsia="en-US"/>
              </w:rPr>
              <w:t>Разходи за такси</w:t>
            </w:r>
            <w:r w:rsidR="000D21EB" w:rsidRPr="001C7E20">
              <w:rPr>
                <w:rFonts w:eastAsia="Calibri"/>
                <w:sz w:val="24"/>
                <w:szCs w:val="24"/>
                <w:lang w:val="bg-BG" w:eastAsia="en-US"/>
              </w:rPr>
              <w:t xml:space="preserve"> (</w:t>
            </w:r>
            <w:r w:rsidR="000D21EB" w:rsidRPr="001C7E20">
              <w:rPr>
                <w:rFonts w:eastAsia="Calibri"/>
                <w:i/>
                <w:iCs/>
                <w:sz w:val="24"/>
                <w:szCs w:val="24"/>
                <w:lang w:val="bg-BG" w:eastAsia="en-US"/>
              </w:rPr>
              <w:t>за административни такси</w:t>
            </w:r>
            <w:r w:rsidR="000D21EB" w:rsidRPr="001C7E20">
              <w:rPr>
                <w:rFonts w:eastAsia="Calibri"/>
                <w:sz w:val="24"/>
                <w:szCs w:val="24"/>
                <w:lang w:val="bg-BG" w:eastAsia="en-US"/>
              </w:rPr>
              <w:t>)</w:t>
            </w:r>
            <w:r w:rsidRPr="001C7E20">
              <w:rPr>
                <w:rFonts w:eastAsia="Calibri"/>
                <w:sz w:val="24"/>
                <w:szCs w:val="24"/>
                <w:lang w:val="bg-BG" w:eastAsia="en-US"/>
              </w:rPr>
              <w:t>;</w:t>
            </w:r>
          </w:p>
          <w:p w14:paraId="0E58CC5E" w14:textId="6F18490C" w:rsidR="00150181" w:rsidRPr="001C7E20" w:rsidRDefault="00D00437" w:rsidP="00D00437">
            <w:pPr>
              <w:jc w:val="both"/>
              <w:rPr>
                <w:rFonts w:eastAsia="Calibri"/>
                <w:sz w:val="24"/>
                <w:szCs w:val="24"/>
                <w:lang w:val="bg-BG" w:eastAsia="en-US"/>
              </w:rPr>
            </w:pPr>
            <w:r w:rsidRPr="001C7E20">
              <w:rPr>
                <w:rFonts w:eastAsia="Calibri"/>
                <w:sz w:val="24"/>
                <w:szCs w:val="24"/>
                <w:lang w:val="bg-BG" w:eastAsia="en-US"/>
              </w:rPr>
              <w:t xml:space="preserve">- Непреки разходи </w:t>
            </w:r>
            <w:r w:rsidR="00FD1EB9" w:rsidRPr="00FD1EB9">
              <w:rPr>
                <w:rFonts w:eastAsia="Calibri"/>
                <w:sz w:val="24"/>
                <w:szCs w:val="24"/>
                <w:lang w:val="bg-BG" w:eastAsia="en-US"/>
              </w:rPr>
              <w:t xml:space="preserve">по чл. 55, ал. 1, т. 4 от ЗУСЕФСУ </w:t>
            </w:r>
            <w:r w:rsidR="00FD1EB9" w:rsidRPr="00FD1EB9">
              <w:rPr>
                <w:rFonts w:eastAsia="Calibri"/>
                <w:b/>
                <w:bCs/>
                <w:sz w:val="24"/>
                <w:szCs w:val="24"/>
                <w:lang w:val="bg-BG" w:eastAsia="en-US"/>
              </w:rPr>
              <w:t>(</w:t>
            </w:r>
            <w:r w:rsidR="00FD1EB9" w:rsidRPr="00FD1EB9">
              <w:rPr>
                <w:rFonts w:eastAsia="Calibri"/>
                <w:i/>
                <w:iCs/>
                <w:sz w:val="24"/>
                <w:szCs w:val="24"/>
                <w:lang w:val="bg-BG" w:eastAsia="en-US"/>
              </w:rPr>
              <w:t>в т.ч. разходи за организация и управление, разходи за комуникация и видимост и разходи за разработване на тръжни документации по Закона за обществените поръчки</w:t>
            </w:r>
            <w:r w:rsidR="00FD1EB9" w:rsidRPr="00FD1EB9">
              <w:rPr>
                <w:rFonts w:eastAsia="Calibri"/>
                <w:sz w:val="24"/>
                <w:szCs w:val="24"/>
                <w:lang w:val="bg-BG" w:eastAsia="en-US"/>
              </w:rPr>
              <w:t>)</w:t>
            </w:r>
            <w:r w:rsidRPr="007E2B1A">
              <w:rPr>
                <w:rFonts w:eastAsia="Calibri"/>
                <w:sz w:val="24"/>
                <w:szCs w:val="24"/>
                <w:lang w:val="bg-BG" w:eastAsia="en-US"/>
              </w:rPr>
              <w:t>.</w:t>
            </w:r>
          </w:p>
          <w:bookmarkEnd w:id="11"/>
          <w:p w14:paraId="7FA4D97B" w14:textId="77777777" w:rsidR="009337D1" w:rsidRPr="001C7E20" w:rsidRDefault="009337D1" w:rsidP="00D00437">
            <w:pPr>
              <w:jc w:val="both"/>
              <w:rPr>
                <w:rFonts w:eastAsia="Calibri"/>
                <w:sz w:val="24"/>
                <w:szCs w:val="24"/>
                <w:lang w:val="bg-BG" w:eastAsia="en-US"/>
              </w:rPr>
            </w:pPr>
          </w:p>
          <w:p w14:paraId="723851BF" w14:textId="719A8AB3" w:rsidR="00E77BBE" w:rsidRPr="00424431" w:rsidRDefault="007C5647" w:rsidP="00E77BBE">
            <w:pPr>
              <w:jc w:val="both"/>
              <w:rPr>
                <w:rFonts w:eastAsia="Calibri"/>
                <w:sz w:val="24"/>
                <w:szCs w:val="24"/>
                <w:lang w:val="bg-BG" w:eastAsia="en-US"/>
              </w:rPr>
            </w:pPr>
            <w:r>
              <w:rPr>
                <w:rFonts w:eastAsia="Calibri"/>
                <w:sz w:val="24"/>
                <w:szCs w:val="24"/>
                <w:lang w:val="bg-BG" w:eastAsia="en-US"/>
              </w:rPr>
              <w:t xml:space="preserve">ВАЖНО: </w:t>
            </w:r>
            <w:r w:rsidR="00E77BBE">
              <w:rPr>
                <w:rFonts w:eastAsia="Calibri"/>
                <w:sz w:val="24"/>
                <w:szCs w:val="24"/>
                <w:lang w:val="bg-BG" w:eastAsia="en-US"/>
              </w:rPr>
              <w:t>Дейностите следва да бъдат остойностени въз основа на анализ</w:t>
            </w:r>
            <w:r w:rsidR="007C6ED6">
              <w:rPr>
                <w:rFonts w:eastAsia="Calibri"/>
                <w:sz w:val="24"/>
                <w:szCs w:val="24"/>
                <w:lang w:val="bg-BG" w:eastAsia="en-US"/>
              </w:rPr>
              <w:t>.</w:t>
            </w:r>
            <w:r w:rsidR="00E77BBE">
              <w:rPr>
                <w:rFonts w:eastAsia="Calibri"/>
                <w:sz w:val="24"/>
                <w:szCs w:val="24"/>
                <w:lang w:val="bg-BG" w:eastAsia="en-US"/>
              </w:rPr>
              <w:t xml:space="preserve"> </w:t>
            </w:r>
            <w:r w:rsidR="00424431" w:rsidRPr="00424431">
              <w:rPr>
                <w:rFonts w:eastAsia="Calibri"/>
                <w:sz w:val="24"/>
                <w:szCs w:val="24"/>
                <w:lang w:val="bg-BG" w:eastAsia="en-US"/>
              </w:rPr>
              <w:t xml:space="preserve">Кандидатите следва да осигурят необходимите средства за недопустимите дейностите и разходите за биологична рекултивация, както и за следексплоатационните грижи за площадката на депото, извън предоставените безвъзмездни средства по процедурата, вкл. от средствата за обезпечение по чл. 60 от ЗУО. </w:t>
            </w:r>
          </w:p>
          <w:p w14:paraId="0091BC7F" w14:textId="77777777" w:rsidR="00572391" w:rsidRPr="001C7E20" w:rsidRDefault="00572391" w:rsidP="00774CBC">
            <w:pPr>
              <w:jc w:val="both"/>
              <w:rPr>
                <w:rFonts w:eastAsia="Calibri"/>
                <w:sz w:val="24"/>
                <w:szCs w:val="24"/>
                <w:lang w:val="bg-BG" w:eastAsia="en-US"/>
              </w:rPr>
            </w:pPr>
            <w:bookmarkStart w:id="12" w:name="_Hlk122597871"/>
          </w:p>
          <w:p w14:paraId="71F8FD0B" w14:textId="46F82F26" w:rsidR="00774CBC" w:rsidRPr="001C7E20" w:rsidRDefault="00774CBC" w:rsidP="00774CBC">
            <w:pPr>
              <w:jc w:val="both"/>
              <w:rPr>
                <w:rFonts w:eastAsia="Calibri"/>
                <w:sz w:val="24"/>
                <w:szCs w:val="24"/>
                <w:lang w:val="bg-BG" w:eastAsia="en-US"/>
              </w:rPr>
            </w:pPr>
            <w:r w:rsidRPr="001C7E20">
              <w:rPr>
                <w:rFonts w:eastAsia="Calibri"/>
                <w:b/>
                <w:bCs/>
                <w:sz w:val="24"/>
                <w:szCs w:val="24"/>
                <w:lang w:val="bg-BG" w:eastAsia="en-US"/>
              </w:rPr>
              <w:t>Ограничения в категории разходи</w:t>
            </w:r>
            <w:r w:rsidRPr="001C7E20">
              <w:rPr>
                <w:rFonts w:eastAsia="Calibri"/>
                <w:sz w:val="24"/>
                <w:szCs w:val="24"/>
                <w:lang w:val="bg-BG" w:eastAsia="en-US"/>
              </w:rPr>
              <w:t>:</w:t>
            </w:r>
          </w:p>
          <w:p w14:paraId="781095F1" w14:textId="0DF9EE13" w:rsidR="00774CBC" w:rsidRDefault="008F31D2" w:rsidP="00774CBC">
            <w:pPr>
              <w:jc w:val="both"/>
              <w:rPr>
                <w:rFonts w:eastAsia="Calibri"/>
                <w:sz w:val="24"/>
                <w:szCs w:val="24"/>
                <w:lang w:val="bg-BG" w:eastAsia="en-US"/>
              </w:rPr>
            </w:pPr>
            <w:r>
              <w:rPr>
                <w:rFonts w:eastAsia="Calibri"/>
                <w:sz w:val="24"/>
                <w:szCs w:val="24"/>
                <w:lang w:val="bg-BG" w:eastAsia="en-US"/>
              </w:rPr>
              <w:t>О</w:t>
            </w:r>
            <w:r w:rsidR="00774CBC" w:rsidRPr="001C7E20">
              <w:rPr>
                <w:rFonts w:eastAsia="Calibri"/>
                <w:sz w:val="24"/>
                <w:szCs w:val="24"/>
                <w:lang w:val="bg-BG" w:eastAsia="en-US"/>
              </w:rPr>
              <w:t xml:space="preserve">бщите </w:t>
            </w:r>
            <w:r w:rsidR="0072369A">
              <w:rPr>
                <w:rFonts w:eastAsia="Calibri"/>
                <w:sz w:val="24"/>
                <w:szCs w:val="24"/>
                <w:lang w:val="bg-BG" w:eastAsia="en-US"/>
              </w:rPr>
              <w:t xml:space="preserve">допустими </w:t>
            </w:r>
            <w:r w:rsidR="00774CBC" w:rsidRPr="001C7E20">
              <w:rPr>
                <w:rFonts w:eastAsia="Calibri"/>
                <w:sz w:val="24"/>
                <w:szCs w:val="24"/>
                <w:lang w:val="bg-BG" w:eastAsia="en-US"/>
              </w:rPr>
              <w:t xml:space="preserve">разходи </w:t>
            </w:r>
            <w:r w:rsidR="0072369A">
              <w:rPr>
                <w:rFonts w:eastAsia="Calibri"/>
                <w:sz w:val="24"/>
                <w:szCs w:val="24"/>
                <w:lang w:val="bg-BG" w:eastAsia="en-US"/>
              </w:rPr>
              <w:t>за</w:t>
            </w:r>
            <w:r w:rsidR="0072369A" w:rsidRPr="001C7E20">
              <w:rPr>
                <w:rFonts w:eastAsia="Calibri"/>
                <w:sz w:val="24"/>
                <w:szCs w:val="24"/>
                <w:lang w:val="bg-BG" w:eastAsia="en-US"/>
              </w:rPr>
              <w:t xml:space="preserve"> </w:t>
            </w:r>
            <w:r w:rsidR="00774CBC" w:rsidRPr="001C7E20">
              <w:rPr>
                <w:rFonts w:eastAsia="Calibri"/>
                <w:sz w:val="24"/>
                <w:szCs w:val="24"/>
                <w:lang w:val="bg-BG" w:eastAsia="en-US"/>
              </w:rPr>
              <w:t xml:space="preserve">проект за техническа рекултивация, в т.ч. подготовка, </w:t>
            </w:r>
            <w:r w:rsidR="004741FC">
              <w:rPr>
                <w:rFonts w:eastAsia="Calibri"/>
                <w:sz w:val="24"/>
                <w:szCs w:val="24"/>
                <w:lang w:val="bg-BG" w:eastAsia="en-US"/>
              </w:rPr>
              <w:t xml:space="preserve">надзор, </w:t>
            </w:r>
            <w:r w:rsidR="00774CBC" w:rsidRPr="001C7E20">
              <w:rPr>
                <w:rFonts w:eastAsia="Calibri"/>
                <w:sz w:val="24"/>
                <w:szCs w:val="24"/>
                <w:lang w:val="bg-BG" w:eastAsia="en-US"/>
              </w:rPr>
              <w:t>изпълнение</w:t>
            </w:r>
            <w:r w:rsidR="00044B0C" w:rsidRPr="001C7E20">
              <w:rPr>
                <w:rFonts w:eastAsia="Calibri"/>
                <w:sz w:val="24"/>
                <w:szCs w:val="24"/>
                <w:lang w:val="bg-BG" w:eastAsia="en-US"/>
              </w:rPr>
              <w:t xml:space="preserve"> на техническа рекултивация</w:t>
            </w:r>
            <w:r w:rsidR="00774CBC" w:rsidRPr="001C7E20">
              <w:rPr>
                <w:rFonts w:eastAsia="Calibri"/>
                <w:sz w:val="24"/>
                <w:szCs w:val="24"/>
                <w:lang w:val="bg-BG" w:eastAsia="en-US"/>
              </w:rPr>
              <w:t xml:space="preserve"> и непреки разходи, са в размер на до </w:t>
            </w:r>
            <w:r w:rsidR="00C96FC0" w:rsidRPr="001C7E20">
              <w:rPr>
                <w:rFonts w:eastAsia="Calibri"/>
                <w:sz w:val="24"/>
                <w:szCs w:val="24"/>
                <w:lang w:val="bg-BG" w:eastAsia="en-US"/>
              </w:rPr>
              <w:t>101</w:t>
            </w:r>
            <w:r w:rsidR="00774CBC" w:rsidRPr="001C7E20">
              <w:rPr>
                <w:rFonts w:eastAsia="Calibri"/>
                <w:sz w:val="24"/>
                <w:szCs w:val="24"/>
                <w:lang w:val="bg-BG" w:eastAsia="en-US"/>
              </w:rPr>
              <w:t xml:space="preserve"> лв. с ДДС за 1 кв. м площ на </w:t>
            </w:r>
            <w:r w:rsidR="005513CC" w:rsidRPr="001C7E20">
              <w:rPr>
                <w:rFonts w:eastAsia="Calibri"/>
                <w:sz w:val="24"/>
                <w:szCs w:val="24"/>
                <w:lang w:val="bg-BG" w:eastAsia="en-US"/>
              </w:rPr>
              <w:t>депото/клетката</w:t>
            </w:r>
            <w:r w:rsidR="00475F1C">
              <w:rPr>
                <w:rFonts w:eastAsia="Calibri"/>
                <w:sz w:val="24"/>
                <w:szCs w:val="24"/>
                <w:lang w:val="bg-BG" w:eastAsia="en-US"/>
              </w:rPr>
              <w:t>/клетките</w:t>
            </w:r>
            <w:r w:rsidR="00013F8B">
              <w:rPr>
                <w:sz w:val="24"/>
                <w:szCs w:val="24"/>
                <w:lang w:val="bg-BG"/>
              </w:rPr>
              <w:t xml:space="preserve">, </w:t>
            </w:r>
            <w:r w:rsidR="005513CC" w:rsidRPr="001C7E20">
              <w:rPr>
                <w:rFonts w:eastAsia="Calibri"/>
                <w:sz w:val="24"/>
                <w:szCs w:val="24"/>
                <w:lang w:val="bg-BG" w:eastAsia="en-US"/>
              </w:rPr>
              <w:t>за ко</w:t>
            </w:r>
            <w:r w:rsidR="00A431DB">
              <w:rPr>
                <w:rFonts w:eastAsia="Calibri"/>
                <w:sz w:val="24"/>
                <w:szCs w:val="24"/>
                <w:lang w:val="bg-BG" w:eastAsia="en-US"/>
              </w:rPr>
              <w:t>я</w:t>
            </w:r>
            <w:r w:rsidR="005513CC" w:rsidRPr="001C7E20">
              <w:rPr>
                <w:rFonts w:eastAsia="Calibri"/>
                <w:sz w:val="24"/>
                <w:szCs w:val="24"/>
                <w:lang w:val="bg-BG" w:eastAsia="en-US"/>
              </w:rPr>
              <w:t>то се иска финансиране за техническа ре</w:t>
            </w:r>
            <w:r w:rsidR="00774CBC" w:rsidRPr="001C7E20">
              <w:rPr>
                <w:rFonts w:eastAsia="Calibri"/>
                <w:sz w:val="24"/>
                <w:szCs w:val="24"/>
                <w:lang w:val="bg-BG" w:eastAsia="en-US"/>
              </w:rPr>
              <w:t>култивация</w:t>
            </w:r>
            <w:r w:rsidR="00C47A32">
              <w:rPr>
                <w:rFonts w:eastAsia="Calibri"/>
                <w:sz w:val="24"/>
                <w:szCs w:val="24"/>
                <w:lang w:val="bg-BG" w:eastAsia="en-US"/>
              </w:rPr>
              <w:t>.</w:t>
            </w:r>
          </w:p>
          <w:bookmarkEnd w:id="12"/>
          <w:p w14:paraId="7197A985" w14:textId="77777777" w:rsidR="003F1A61" w:rsidRDefault="003F1A61" w:rsidP="002979C1">
            <w:pPr>
              <w:jc w:val="both"/>
              <w:rPr>
                <w:rFonts w:eastAsia="Calibri"/>
                <w:color w:val="00B050"/>
                <w:sz w:val="24"/>
                <w:szCs w:val="24"/>
                <w:lang w:val="bg-BG" w:eastAsia="en-US"/>
              </w:rPr>
            </w:pPr>
          </w:p>
          <w:p w14:paraId="1410D76F" w14:textId="34ADCFC9" w:rsidR="000D52E8" w:rsidRPr="00B77D23" w:rsidRDefault="00B31702" w:rsidP="002979C1">
            <w:pPr>
              <w:jc w:val="both"/>
              <w:rPr>
                <w:rFonts w:eastAsia="Calibri"/>
                <w:sz w:val="24"/>
                <w:szCs w:val="24"/>
                <w:lang w:val="bg-BG" w:eastAsia="en-US"/>
              </w:rPr>
            </w:pPr>
            <w:r w:rsidRPr="006F2D94">
              <w:rPr>
                <w:rFonts w:eastAsia="Calibri"/>
                <w:sz w:val="24"/>
                <w:szCs w:val="24"/>
                <w:lang w:val="bg-BG" w:eastAsia="en-US"/>
              </w:rPr>
              <w:t xml:space="preserve">ДДС е допустим разход по процедурата, ако не е възстановим съгласно чл. 8 от ПМС № 86/2023 г. </w:t>
            </w:r>
            <w:r w:rsidR="00FB5624" w:rsidRPr="006F2D94">
              <w:rPr>
                <w:rFonts w:eastAsia="Calibri"/>
                <w:sz w:val="24"/>
                <w:szCs w:val="24"/>
                <w:lang w:val="bg-BG" w:eastAsia="en-US"/>
              </w:rPr>
              <w:t xml:space="preserve">Относно третирането на ДДС, кандидатите следва да се запознаят с </w:t>
            </w:r>
            <w:r w:rsidR="00FB5624" w:rsidRPr="006F2D94">
              <w:rPr>
                <w:rFonts w:eastAsia="Calibri"/>
                <w:i/>
                <w:iCs/>
                <w:sz w:val="24"/>
                <w:szCs w:val="24"/>
                <w:lang w:val="bg-BG" w:eastAsia="en-US"/>
              </w:rPr>
              <w:t>Указанието на министъра на финансите за третиране на данък върху добавената стойност като допустим разход при изпълнение на проекти по програмите, финансирани от Европейския фонд за регионално развитие (ЕФРР), Европейския социален фонд плюс (ЕСФ+), Кохезионния фонд (КФ), Фонда за справедлив преход (ФСП) и Европейския фонд за морско дело, рибарство и аквакултури (ЕФМДРА), Фонд "Убежище, миграция и интеграция" (ФУМИ), Фонд "Вътрешна сигурност" (ФВС), програмата по Инструмента за финансова подкрепа за управлението на границите и визовата политика (ИУГВП), както и на средствата за финансиране на подхода "Водено от общностите местно развитие" от Европейския земеделски фонд за развитие на селските райони (ВОМР) на ЕС, за програмен период 2021 – 2027 г</w:t>
            </w:r>
            <w:r w:rsidR="00FB5624" w:rsidRPr="006F2D94">
              <w:rPr>
                <w:rFonts w:eastAsia="Calibri"/>
                <w:sz w:val="24"/>
                <w:szCs w:val="24"/>
                <w:lang w:val="bg-BG" w:eastAsia="en-US"/>
              </w:rPr>
              <w:t xml:space="preserve">., което е публикувано на </w:t>
            </w:r>
            <w:r w:rsidR="00B77D23">
              <w:fldChar w:fldCharType="begin"/>
            </w:r>
            <w:r w:rsidR="00B77D23" w:rsidRPr="00B77D23">
              <w:rPr>
                <w:lang w:val="bg-BG"/>
              </w:rPr>
              <w:instrText xml:space="preserve"> </w:instrText>
            </w:r>
            <w:r w:rsidR="00B77D23">
              <w:instrText>HYPERLINK</w:instrText>
            </w:r>
            <w:r w:rsidR="00B77D23" w:rsidRPr="00B77D23">
              <w:rPr>
                <w:lang w:val="bg-BG"/>
              </w:rPr>
              <w:instrText xml:space="preserve"> "</w:instrText>
            </w:r>
            <w:r w:rsidR="00B77D23">
              <w:instrText>https</w:instrText>
            </w:r>
            <w:r w:rsidR="00B77D23" w:rsidRPr="00B77D23">
              <w:rPr>
                <w:lang w:val="bg-BG"/>
              </w:rPr>
              <w:instrText>://</w:instrText>
            </w:r>
            <w:r w:rsidR="00B77D23">
              <w:instrText>www</w:instrText>
            </w:r>
            <w:r w:rsidR="00B77D23" w:rsidRPr="00B77D23">
              <w:rPr>
                <w:lang w:val="bg-BG"/>
              </w:rPr>
              <w:instrText>.</w:instrText>
            </w:r>
            <w:r w:rsidR="00B77D23">
              <w:instrText>eufunds</w:instrText>
            </w:r>
            <w:r w:rsidR="00B77D23" w:rsidRPr="00B77D23">
              <w:rPr>
                <w:lang w:val="bg-BG"/>
              </w:rPr>
              <w:instrText>.</w:instrText>
            </w:r>
            <w:r w:rsidR="00B77D23">
              <w:instrText>bg</w:instrText>
            </w:r>
            <w:r w:rsidR="00B77D23" w:rsidRPr="00B77D23">
              <w:rPr>
                <w:lang w:val="bg-BG"/>
              </w:rPr>
              <w:instrText>/</w:instrText>
            </w:r>
            <w:r w:rsidR="00B77D23">
              <w:instrText>bg</w:instrText>
            </w:r>
            <w:r w:rsidR="00B77D23" w:rsidRPr="00B77D23">
              <w:rPr>
                <w:lang w:val="bg-BG"/>
              </w:rPr>
              <w:instrText>/</w:instrText>
            </w:r>
            <w:r w:rsidR="00B77D23">
              <w:instrText>opos</w:instrText>
            </w:r>
            <w:r w:rsidR="00B77D23" w:rsidRPr="00B77D23">
              <w:rPr>
                <w:lang w:val="bg-BG"/>
              </w:rPr>
              <w:instrText>/</w:instrText>
            </w:r>
            <w:r w:rsidR="00B77D23">
              <w:instrText>node</w:instrText>
            </w:r>
            <w:r w:rsidR="00B77D23" w:rsidRPr="00B77D23">
              <w:rPr>
                <w:lang w:val="bg-BG"/>
              </w:rPr>
              <w:instrText xml:space="preserve">/14647" </w:instrText>
            </w:r>
            <w:r w:rsidR="00B77D23">
              <w:fldChar w:fldCharType="separate"/>
            </w:r>
            <w:r w:rsidR="00FB5624" w:rsidRPr="006F2D94">
              <w:rPr>
                <w:rStyle w:val="Hyperlink"/>
                <w:rFonts w:eastAsia="Calibri"/>
                <w:sz w:val="24"/>
                <w:szCs w:val="24"/>
                <w:lang w:val="bg-BG" w:eastAsia="en-US"/>
              </w:rPr>
              <w:t>https://www.eufunds.bg/bg/opos/node/14647</w:t>
            </w:r>
            <w:r w:rsidR="00B77D23">
              <w:rPr>
                <w:rStyle w:val="Hyperlink"/>
                <w:rFonts w:eastAsia="Calibri"/>
                <w:sz w:val="24"/>
                <w:szCs w:val="24"/>
                <w:lang w:val="bg-BG" w:eastAsia="en-US"/>
              </w:rPr>
              <w:fldChar w:fldCharType="end"/>
            </w:r>
            <w:r w:rsidR="00FB5624">
              <w:rPr>
                <w:rFonts w:eastAsia="Calibri"/>
                <w:sz w:val="24"/>
                <w:szCs w:val="24"/>
                <w:lang w:val="bg-BG" w:eastAsia="en-US"/>
              </w:rPr>
              <w:t xml:space="preserve"> </w:t>
            </w:r>
          </w:p>
          <w:p w14:paraId="6A620340" w14:textId="77777777" w:rsidR="000D52E8" w:rsidRPr="009E43EF" w:rsidRDefault="000D52E8" w:rsidP="007220CD">
            <w:pPr>
              <w:pStyle w:val="ListBullet"/>
              <w:widowControl w:val="0"/>
              <w:numPr>
                <w:ilvl w:val="0"/>
                <w:numId w:val="0"/>
              </w:numPr>
              <w:tabs>
                <w:tab w:val="left" w:pos="720"/>
              </w:tabs>
              <w:spacing w:before="60" w:after="60"/>
              <w:rPr>
                <w:szCs w:val="16"/>
              </w:rPr>
            </w:pPr>
          </w:p>
          <w:p w14:paraId="4D23AD7A" w14:textId="30950085" w:rsidR="007220CD" w:rsidRPr="009E43EF" w:rsidRDefault="007220CD" w:rsidP="007220CD">
            <w:pPr>
              <w:pStyle w:val="ListBullet"/>
              <w:widowControl w:val="0"/>
              <w:numPr>
                <w:ilvl w:val="0"/>
                <w:numId w:val="0"/>
              </w:numPr>
              <w:tabs>
                <w:tab w:val="left" w:pos="720"/>
              </w:tabs>
              <w:spacing w:before="60" w:after="60"/>
              <w:rPr>
                <w:szCs w:val="16"/>
              </w:rPr>
            </w:pPr>
            <w:r w:rsidRPr="009E43EF">
              <w:rPr>
                <w:b/>
                <w:bCs/>
                <w:szCs w:val="16"/>
              </w:rPr>
              <w:lastRenderedPageBreak/>
              <w:t>ВАЖНО:</w:t>
            </w:r>
            <w:r w:rsidRPr="009E43EF">
              <w:rPr>
                <w:szCs w:val="16"/>
              </w:rPr>
              <w:t xml:space="preserve"> </w:t>
            </w:r>
          </w:p>
          <w:p w14:paraId="5C2190EE" w14:textId="77777777" w:rsidR="007220CD" w:rsidRDefault="006022E3" w:rsidP="002979C1">
            <w:pPr>
              <w:jc w:val="both"/>
              <w:rPr>
                <w:rFonts w:eastAsia="Calibri"/>
                <w:color w:val="00B050"/>
                <w:sz w:val="24"/>
                <w:szCs w:val="24"/>
                <w:lang w:val="bg-BG" w:eastAsia="en-US"/>
              </w:rPr>
            </w:pPr>
            <w:r w:rsidRPr="00933D27">
              <w:rPr>
                <w:rFonts w:eastAsia="Calibri"/>
                <w:sz w:val="24"/>
                <w:szCs w:val="24"/>
                <w:lang w:val="bg-BG" w:eastAsia="en-US"/>
              </w:rPr>
              <w:t>Във формуляра за кандидатстване бенефициентът трябва да представи информация как</w:t>
            </w:r>
            <w:r w:rsidR="00C232EC" w:rsidRPr="00933D27">
              <w:rPr>
                <w:rFonts w:eastAsia="Calibri"/>
                <w:sz w:val="24"/>
                <w:szCs w:val="24"/>
                <w:lang w:val="bg-BG" w:eastAsia="en-US"/>
              </w:rPr>
              <w:t xml:space="preserve"> са определени и кой е източникът на финансиране за: </w:t>
            </w:r>
            <w:r w:rsidRPr="00933D27">
              <w:rPr>
                <w:rFonts w:eastAsia="Calibri"/>
                <w:sz w:val="24"/>
                <w:szCs w:val="24"/>
                <w:lang w:val="bg-BG" w:eastAsia="en-US"/>
              </w:rPr>
              <w:t xml:space="preserve"> покриване на собствения принос</w:t>
            </w:r>
            <w:r w:rsidR="00B119C6" w:rsidRPr="00933D27">
              <w:rPr>
                <w:rFonts w:eastAsia="Calibri"/>
                <w:sz w:val="24"/>
                <w:szCs w:val="24"/>
                <w:lang w:val="bg-BG" w:eastAsia="en-US"/>
              </w:rPr>
              <w:t xml:space="preserve">; </w:t>
            </w:r>
            <w:r w:rsidRPr="00933D27">
              <w:rPr>
                <w:rFonts w:eastAsia="Calibri"/>
                <w:sz w:val="24"/>
                <w:szCs w:val="24"/>
                <w:lang w:val="bg-BG" w:eastAsia="en-US"/>
              </w:rPr>
              <w:t>покриване на допустимите за финансиране разходи, преди те да му бъдат възстановени от безвъзмездната финансова помощ по АДБФП</w:t>
            </w:r>
            <w:r w:rsidR="00B119C6" w:rsidRPr="00933D27">
              <w:rPr>
                <w:rFonts w:eastAsia="Calibri"/>
                <w:sz w:val="24"/>
                <w:szCs w:val="24"/>
                <w:lang w:val="bg-BG" w:eastAsia="en-US"/>
              </w:rPr>
              <w:t xml:space="preserve">; </w:t>
            </w:r>
            <w:r w:rsidRPr="00933D27">
              <w:rPr>
                <w:rFonts w:eastAsia="Calibri"/>
                <w:sz w:val="24"/>
                <w:szCs w:val="24"/>
                <w:lang w:val="bg-BG" w:eastAsia="en-US"/>
              </w:rPr>
              <w:t>необходимите средства за недопустимите по процедурата дейности и разходи, включително и за извършване на биологичната рекултивация</w:t>
            </w:r>
            <w:r w:rsidR="00C232EC" w:rsidRPr="00933D27">
              <w:rPr>
                <w:rFonts w:eastAsia="Calibri"/>
                <w:sz w:val="24"/>
                <w:szCs w:val="24"/>
                <w:lang w:val="bg-BG" w:eastAsia="en-US"/>
              </w:rPr>
              <w:t xml:space="preserve">, както и </w:t>
            </w:r>
            <w:r w:rsidR="00C232EC" w:rsidRPr="00C232EC">
              <w:rPr>
                <w:rFonts w:eastAsia="Calibri"/>
                <w:sz w:val="24"/>
                <w:szCs w:val="24"/>
                <w:lang w:val="bg-BG" w:eastAsia="en-US"/>
              </w:rPr>
              <w:t xml:space="preserve">за </w:t>
            </w:r>
            <w:r w:rsidR="00C232EC">
              <w:rPr>
                <w:rFonts w:eastAsia="Calibri"/>
                <w:sz w:val="24"/>
                <w:szCs w:val="24"/>
                <w:lang w:val="bg-BG" w:eastAsia="en-US"/>
              </w:rPr>
              <w:t xml:space="preserve">целия период на </w:t>
            </w:r>
            <w:r w:rsidR="00C232EC" w:rsidRPr="00C232EC">
              <w:rPr>
                <w:rFonts w:eastAsia="Calibri"/>
                <w:sz w:val="24"/>
                <w:szCs w:val="24"/>
                <w:lang w:val="bg-BG" w:eastAsia="en-US"/>
              </w:rPr>
              <w:t>следексплоатационните грижи за площадката на депото</w:t>
            </w:r>
            <w:r w:rsidR="00B119C6">
              <w:rPr>
                <w:rFonts w:eastAsia="Calibri"/>
                <w:color w:val="00B050"/>
                <w:sz w:val="24"/>
                <w:szCs w:val="24"/>
                <w:lang w:val="bg-BG" w:eastAsia="en-US"/>
              </w:rPr>
              <w:t>.</w:t>
            </w:r>
          </w:p>
          <w:p w14:paraId="6CC30B7E" w14:textId="4BDAE1D9" w:rsidR="0085532E" w:rsidRPr="00B77D23" w:rsidRDefault="0085532E" w:rsidP="0085532E">
            <w:pPr>
              <w:jc w:val="both"/>
              <w:rPr>
                <w:rFonts w:eastAsia="Calibri"/>
                <w:sz w:val="24"/>
                <w:szCs w:val="24"/>
                <w:lang w:val="bg-BG" w:eastAsia="en-US"/>
              </w:rPr>
            </w:pPr>
          </w:p>
        </w:tc>
      </w:tr>
      <w:tr w:rsidR="00150181" w:rsidRPr="00B77D23" w14:paraId="5528409C" w14:textId="77777777" w:rsidTr="009436B6">
        <w:trPr>
          <w:trHeight w:val="1408"/>
        </w:trPr>
        <w:tc>
          <w:tcPr>
            <w:tcW w:w="2518" w:type="dxa"/>
            <w:shd w:val="clear" w:color="auto" w:fill="auto"/>
            <w:vAlign w:val="center"/>
          </w:tcPr>
          <w:p w14:paraId="46E6313B" w14:textId="77777777" w:rsidR="00150181" w:rsidRPr="001C7E20" w:rsidRDefault="00150181" w:rsidP="00150181">
            <w:pPr>
              <w:rPr>
                <w:sz w:val="24"/>
                <w:szCs w:val="24"/>
                <w:lang w:val="bg-BG"/>
              </w:rPr>
            </w:pPr>
            <w:r w:rsidRPr="001C7E20">
              <w:rPr>
                <w:sz w:val="24"/>
                <w:szCs w:val="24"/>
                <w:lang w:val="bg-BG"/>
              </w:rPr>
              <w:lastRenderedPageBreak/>
              <w:t>Максимален срок за изпълнение на проекта</w:t>
            </w:r>
          </w:p>
        </w:tc>
        <w:tc>
          <w:tcPr>
            <w:tcW w:w="7655" w:type="dxa"/>
            <w:shd w:val="clear" w:color="auto" w:fill="auto"/>
            <w:vAlign w:val="center"/>
          </w:tcPr>
          <w:p w14:paraId="07FB779C" w14:textId="372B15DE" w:rsidR="005E270B" w:rsidRPr="001C7E20" w:rsidRDefault="00324658" w:rsidP="005E270B">
            <w:pPr>
              <w:tabs>
                <w:tab w:val="left" w:pos="317"/>
              </w:tabs>
              <w:spacing w:before="80" w:after="80"/>
              <w:jc w:val="both"/>
              <w:rPr>
                <w:sz w:val="24"/>
                <w:szCs w:val="24"/>
                <w:highlight w:val="green"/>
                <w:lang w:val="bg-BG"/>
              </w:rPr>
            </w:pPr>
            <w:r w:rsidRPr="00324658">
              <w:rPr>
                <w:sz w:val="24"/>
                <w:szCs w:val="24"/>
                <w:lang w:val="bg-BG"/>
              </w:rPr>
              <w:t>До 24 месеца от сключване на АДБФП</w:t>
            </w:r>
            <w:r w:rsidR="0015353D">
              <w:rPr>
                <w:sz w:val="24"/>
                <w:szCs w:val="24"/>
                <w:lang w:val="bg-BG"/>
              </w:rPr>
              <w:t xml:space="preserve"> </w:t>
            </w:r>
            <w:r w:rsidR="0015353D" w:rsidRPr="00D772C0">
              <w:rPr>
                <w:sz w:val="24"/>
                <w:szCs w:val="24"/>
                <w:lang w:val="bg-BG"/>
              </w:rPr>
              <w:t xml:space="preserve">при съобразяване на </w:t>
            </w:r>
            <w:r w:rsidRPr="00D772C0">
              <w:rPr>
                <w:sz w:val="24"/>
                <w:szCs w:val="24"/>
                <w:lang w:val="bg-BG"/>
              </w:rPr>
              <w:t>крайния срок за допустимост на разходите по чл. 63, параграф 2 на Регламент (ЕС) 2021/1060</w:t>
            </w:r>
            <w:r w:rsidR="005C5609" w:rsidRPr="005C5609">
              <w:rPr>
                <w:sz w:val="24"/>
                <w:szCs w:val="24"/>
                <w:lang w:val="bg-BG"/>
              </w:rPr>
              <w:t>, а именно – до 31.12.2029 г.</w:t>
            </w:r>
          </w:p>
        </w:tc>
      </w:tr>
      <w:tr w:rsidR="00150181" w:rsidRPr="00B77D23" w14:paraId="0249B002" w14:textId="77777777" w:rsidTr="00E036CC">
        <w:tc>
          <w:tcPr>
            <w:tcW w:w="2518" w:type="dxa"/>
            <w:shd w:val="clear" w:color="auto" w:fill="auto"/>
            <w:vAlign w:val="center"/>
          </w:tcPr>
          <w:p w14:paraId="04438F92" w14:textId="77777777" w:rsidR="00150181" w:rsidRPr="001C7E20" w:rsidRDefault="00150181" w:rsidP="00150181">
            <w:pPr>
              <w:spacing w:before="120" w:after="120"/>
              <w:rPr>
                <w:sz w:val="24"/>
                <w:szCs w:val="24"/>
                <w:lang w:val="bg-BG"/>
              </w:rPr>
            </w:pPr>
            <w:r w:rsidRPr="001C7E20">
              <w:rPr>
                <w:sz w:val="24"/>
                <w:szCs w:val="24"/>
                <w:lang w:val="bg-BG"/>
              </w:rPr>
              <w:t>Начин на подаване на проектните предложения</w:t>
            </w:r>
          </w:p>
        </w:tc>
        <w:tc>
          <w:tcPr>
            <w:tcW w:w="7655" w:type="dxa"/>
            <w:shd w:val="clear" w:color="auto" w:fill="auto"/>
            <w:vAlign w:val="center"/>
          </w:tcPr>
          <w:p w14:paraId="2EE780EC" w14:textId="77777777" w:rsidR="00150181" w:rsidRPr="001C7E20" w:rsidRDefault="00150181" w:rsidP="00150181">
            <w:pPr>
              <w:spacing w:before="120" w:after="120"/>
              <w:jc w:val="both"/>
              <w:rPr>
                <w:sz w:val="24"/>
                <w:szCs w:val="24"/>
                <w:lang w:val="bg-BG"/>
              </w:rPr>
            </w:pPr>
            <w:bookmarkStart w:id="13" w:name="_Hlk122598608"/>
            <w:r w:rsidRPr="001C7E20">
              <w:rPr>
                <w:sz w:val="24"/>
                <w:szCs w:val="24"/>
                <w:lang w:val="bg-BG"/>
              </w:rPr>
              <w:t>Попълване на уеб базиран формуляр за кандидатстване и подаването му с електронен подпис чрез системата ИСУН.</w:t>
            </w:r>
            <w:bookmarkEnd w:id="13"/>
          </w:p>
        </w:tc>
      </w:tr>
      <w:tr w:rsidR="00BD564B" w:rsidRPr="001C7E20" w14:paraId="5D78E9D0" w14:textId="77777777" w:rsidTr="00E036CC">
        <w:tc>
          <w:tcPr>
            <w:tcW w:w="2518" w:type="dxa"/>
            <w:shd w:val="clear" w:color="auto" w:fill="auto"/>
            <w:vAlign w:val="center"/>
          </w:tcPr>
          <w:p w14:paraId="5FF20122" w14:textId="77777777" w:rsidR="00BD564B" w:rsidRPr="006804A9" w:rsidRDefault="00BD564B" w:rsidP="006804A9">
            <w:pPr>
              <w:spacing w:before="60" w:after="60"/>
              <w:rPr>
                <w:color w:val="000000"/>
                <w:sz w:val="24"/>
                <w:szCs w:val="24"/>
                <w:lang w:val="bg-BG"/>
              </w:rPr>
            </w:pPr>
            <w:bookmarkStart w:id="14" w:name="_Hlk122598712"/>
            <w:r w:rsidRPr="001C7E20">
              <w:rPr>
                <w:color w:val="000000"/>
                <w:sz w:val="24"/>
                <w:szCs w:val="24"/>
                <w:lang w:val="bg-BG"/>
              </w:rPr>
              <w:t>Документи, които ще се изискват на етап на кандидатстване</w:t>
            </w:r>
          </w:p>
        </w:tc>
        <w:tc>
          <w:tcPr>
            <w:tcW w:w="7655" w:type="dxa"/>
            <w:shd w:val="clear" w:color="auto" w:fill="auto"/>
            <w:vAlign w:val="center"/>
          </w:tcPr>
          <w:p w14:paraId="62226F56" w14:textId="77777777" w:rsidR="00BD564B" w:rsidRPr="001C7E20" w:rsidRDefault="000E1199" w:rsidP="00BD564B">
            <w:pPr>
              <w:tabs>
                <w:tab w:val="left" w:pos="183"/>
              </w:tabs>
              <w:spacing w:after="240"/>
              <w:jc w:val="both"/>
              <w:rPr>
                <w:rFonts w:eastAsia="Calibri"/>
                <w:b/>
                <w:sz w:val="24"/>
                <w:szCs w:val="24"/>
                <w:lang w:val="bg-BG" w:eastAsia="en-US"/>
              </w:rPr>
            </w:pPr>
            <w:r w:rsidRPr="001C7E20">
              <w:rPr>
                <w:rFonts w:eastAsia="Calibri"/>
                <w:b/>
                <w:sz w:val="24"/>
                <w:szCs w:val="24"/>
                <w:lang w:val="bg-BG" w:eastAsia="en-US"/>
              </w:rPr>
              <w:t>Индикативен списък на документите, които ще се изискват на етап</w:t>
            </w:r>
            <w:r w:rsidR="00FA7B81">
              <w:rPr>
                <w:rFonts w:eastAsia="Calibri"/>
                <w:b/>
                <w:sz w:val="24"/>
                <w:szCs w:val="24"/>
                <w:lang w:val="bg-BG" w:eastAsia="en-US"/>
              </w:rPr>
              <w:t>а</w:t>
            </w:r>
            <w:r w:rsidRPr="001C7E20">
              <w:rPr>
                <w:rFonts w:eastAsia="Calibri"/>
                <w:b/>
                <w:sz w:val="24"/>
                <w:szCs w:val="24"/>
                <w:lang w:val="bg-BG" w:eastAsia="en-US"/>
              </w:rPr>
              <w:t xml:space="preserve"> на кандидатстване</w:t>
            </w:r>
            <w:r w:rsidR="00BD564B" w:rsidRPr="001C7E20">
              <w:rPr>
                <w:rFonts w:eastAsia="Calibri"/>
                <w:b/>
                <w:sz w:val="24"/>
                <w:szCs w:val="24"/>
                <w:lang w:val="bg-BG" w:eastAsia="en-US"/>
              </w:rPr>
              <w:t xml:space="preserve">: </w:t>
            </w:r>
          </w:p>
          <w:p w14:paraId="5E161BFE" w14:textId="77777777" w:rsidR="0067040B" w:rsidRPr="00B77D23" w:rsidRDefault="0067040B" w:rsidP="0067040B">
            <w:pPr>
              <w:pStyle w:val="ListParagraph"/>
              <w:numPr>
                <w:ilvl w:val="0"/>
                <w:numId w:val="14"/>
              </w:numPr>
              <w:spacing w:after="160" w:line="259" w:lineRule="auto"/>
              <w:jc w:val="both"/>
              <w:rPr>
                <w:rFonts w:ascii="Times New Roman" w:hAnsi="Times New Roman"/>
                <w:sz w:val="24"/>
                <w:szCs w:val="24"/>
                <w:lang w:val="bg-BG"/>
              </w:rPr>
            </w:pPr>
            <w:r w:rsidRPr="00B77D23">
              <w:rPr>
                <w:rFonts w:ascii="Times New Roman" w:hAnsi="Times New Roman"/>
                <w:sz w:val="24"/>
                <w:szCs w:val="24"/>
                <w:lang w:val="bg-BG"/>
              </w:rPr>
              <w:t xml:space="preserve">Решение или заповед на директора на РИОСВ за преустановяване експлоатацията на клетката/клетките на или регионалното депо за битови отпадъци; </w:t>
            </w:r>
          </w:p>
          <w:p w14:paraId="113CD2BE" w14:textId="1F8811AD" w:rsidR="0067040B" w:rsidRPr="00B77D23" w:rsidRDefault="0067040B" w:rsidP="0067040B">
            <w:pPr>
              <w:pStyle w:val="ListParagraph"/>
              <w:numPr>
                <w:ilvl w:val="0"/>
                <w:numId w:val="14"/>
              </w:numPr>
              <w:spacing w:after="160" w:line="259" w:lineRule="auto"/>
              <w:jc w:val="both"/>
              <w:rPr>
                <w:rFonts w:ascii="Times New Roman" w:hAnsi="Times New Roman"/>
                <w:sz w:val="24"/>
                <w:szCs w:val="24"/>
                <w:lang w:val="bg-BG"/>
              </w:rPr>
            </w:pPr>
            <w:r w:rsidRPr="00B77D23">
              <w:rPr>
                <w:rFonts w:ascii="Times New Roman" w:hAnsi="Times New Roman"/>
                <w:sz w:val="24"/>
                <w:szCs w:val="24"/>
                <w:lang w:val="bg-BG"/>
              </w:rPr>
              <w:t xml:space="preserve">Налична проектна документация – инвестиционни проекти, вкл. актуализирани, изготвени по реда на ЗУТ и приложимата подзаконова нормативна уредба и изисквания в специалната нормативна уредба относно рекултивация на депа – проекти за рекултивация на </w:t>
            </w:r>
            <w:r w:rsidR="00C626E5">
              <w:rPr>
                <w:rFonts w:ascii="Times New Roman" w:hAnsi="Times New Roman"/>
                <w:sz w:val="24"/>
                <w:szCs w:val="24"/>
                <w:lang w:val="bg-BG"/>
              </w:rPr>
              <w:t xml:space="preserve">регионалното </w:t>
            </w:r>
            <w:r w:rsidRPr="00B77D23">
              <w:rPr>
                <w:rFonts w:ascii="Times New Roman" w:hAnsi="Times New Roman"/>
                <w:sz w:val="24"/>
                <w:szCs w:val="24"/>
                <w:lang w:val="bg-BG"/>
              </w:rPr>
              <w:t>депо/клетката</w:t>
            </w:r>
            <w:r w:rsidR="00C626E5">
              <w:rPr>
                <w:rFonts w:ascii="Times New Roman" w:hAnsi="Times New Roman"/>
                <w:sz w:val="24"/>
                <w:szCs w:val="24"/>
                <w:lang w:val="bg-BG"/>
              </w:rPr>
              <w:t xml:space="preserve"> на регионалното депо</w:t>
            </w:r>
            <w:r w:rsidRPr="00B77D23">
              <w:rPr>
                <w:rFonts w:ascii="Times New Roman" w:hAnsi="Times New Roman"/>
                <w:sz w:val="24"/>
                <w:szCs w:val="24"/>
                <w:lang w:val="bg-BG"/>
              </w:rPr>
              <w:t xml:space="preserve">, за която се иска финансиране и/или част „техническа </w:t>
            </w:r>
            <w:r w:rsidRPr="002D5306">
              <w:rPr>
                <w:rFonts w:ascii="Times New Roman" w:hAnsi="Times New Roman"/>
                <w:sz w:val="24"/>
                <w:szCs w:val="24"/>
                <w:lang w:val="bg-BG"/>
              </w:rPr>
              <w:t>рекултивация“</w:t>
            </w:r>
            <w:r w:rsidR="003F0689" w:rsidRPr="002D5306">
              <w:rPr>
                <w:rFonts w:ascii="Times New Roman" w:hAnsi="Times New Roman"/>
                <w:sz w:val="24"/>
                <w:szCs w:val="24"/>
                <w:lang w:val="bg-BG"/>
              </w:rPr>
              <w:t xml:space="preserve"> </w:t>
            </w:r>
            <w:r w:rsidRPr="002D5306">
              <w:rPr>
                <w:rFonts w:ascii="Times New Roman" w:hAnsi="Times New Roman"/>
                <w:sz w:val="24"/>
                <w:szCs w:val="24"/>
                <w:lang w:val="bg-BG"/>
              </w:rPr>
              <w:t xml:space="preserve">и други части, имащи отношение към рекултивацията, от одобрени проекти за </w:t>
            </w:r>
            <w:r w:rsidR="00C626E5" w:rsidRPr="002D5306">
              <w:rPr>
                <w:rFonts w:ascii="Times New Roman" w:hAnsi="Times New Roman"/>
                <w:sz w:val="24"/>
                <w:szCs w:val="24"/>
                <w:lang w:val="bg-BG"/>
              </w:rPr>
              <w:t xml:space="preserve">регионално </w:t>
            </w:r>
            <w:r w:rsidRPr="002D5306">
              <w:rPr>
                <w:rFonts w:ascii="Times New Roman" w:hAnsi="Times New Roman"/>
                <w:sz w:val="24"/>
                <w:szCs w:val="24"/>
                <w:lang w:val="bg-BG"/>
              </w:rPr>
              <w:t xml:space="preserve">депо/клетка на </w:t>
            </w:r>
            <w:r w:rsidR="00C626E5" w:rsidRPr="002D5306">
              <w:rPr>
                <w:rFonts w:ascii="Times New Roman" w:hAnsi="Times New Roman"/>
                <w:sz w:val="24"/>
                <w:szCs w:val="24"/>
                <w:lang w:val="bg-BG"/>
              </w:rPr>
              <w:t xml:space="preserve">регионално </w:t>
            </w:r>
            <w:r w:rsidRPr="002D5306">
              <w:rPr>
                <w:rFonts w:ascii="Times New Roman" w:hAnsi="Times New Roman"/>
                <w:sz w:val="24"/>
                <w:szCs w:val="24"/>
                <w:lang w:val="bg-BG"/>
              </w:rPr>
              <w:t>депо</w:t>
            </w:r>
            <w:r w:rsidR="00475F1C" w:rsidRPr="007E2B1A">
              <w:rPr>
                <w:rFonts w:ascii="Times New Roman" w:hAnsi="Times New Roman"/>
                <w:i/>
                <w:iCs/>
                <w:sz w:val="24"/>
                <w:szCs w:val="24"/>
                <w:lang w:val="bg-BG"/>
              </w:rPr>
              <w:t xml:space="preserve">. </w:t>
            </w:r>
            <w:r w:rsidR="00475F1C" w:rsidRPr="007E2B1A">
              <w:rPr>
                <w:rFonts w:ascii="Times New Roman" w:hAnsi="Times New Roman"/>
                <w:sz w:val="24"/>
                <w:szCs w:val="24"/>
                <w:lang w:val="bg-BG"/>
              </w:rPr>
              <w:t>При актуализация на проекта се представят както актуализирания, така и първоначалн</w:t>
            </w:r>
            <w:r w:rsidR="00340251" w:rsidRPr="007E2B1A">
              <w:rPr>
                <w:rFonts w:ascii="Times New Roman" w:hAnsi="Times New Roman"/>
                <w:sz w:val="24"/>
                <w:szCs w:val="24"/>
                <w:lang w:val="bg-BG"/>
              </w:rPr>
              <w:t>о</w:t>
            </w:r>
            <w:r w:rsidR="00475F1C" w:rsidRPr="007E2B1A">
              <w:rPr>
                <w:rFonts w:ascii="Times New Roman" w:hAnsi="Times New Roman"/>
                <w:sz w:val="24"/>
                <w:szCs w:val="24"/>
                <w:lang w:val="bg-BG"/>
              </w:rPr>
              <w:t xml:space="preserve"> </w:t>
            </w:r>
            <w:r w:rsidR="00340251" w:rsidRPr="007E2B1A">
              <w:rPr>
                <w:rFonts w:ascii="Times New Roman" w:hAnsi="Times New Roman"/>
                <w:sz w:val="24"/>
                <w:szCs w:val="24"/>
                <w:lang w:val="bg-BG"/>
              </w:rPr>
              <w:t xml:space="preserve">одобрения </w:t>
            </w:r>
            <w:r w:rsidR="00475F1C" w:rsidRPr="007E2B1A">
              <w:rPr>
                <w:rFonts w:ascii="Times New Roman" w:hAnsi="Times New Roman"/>
                <w:sz w:val="24"/>
                <w:szCs w:val="24"/>
                <w:lang w:val="bg-BG"/>
              </w:rPr>
              <w:t>проект</w:t>
            </w:r>
            <w:r w:rsidRPr="00B77D23">
              <w:rPr>
                <w:rFonts w:ascii="Times New Roman" w:hAnsi="Times New Roman"/>
                <w:sz w:val="24"/>
                <w:szCs w:val="24"/>
                <w:lang w:val="bg-BG"/>
              </w:rPr>
              <w:t xml:space="preserve">; </w:t>
            </w:r>
          </w:p>
          <w:p w14:paraId="656D72FA" w14:textId="5BCD6CDC" w:rsidR="0067040B" w:rsidRPr="00B77D23" w:rsidRDefault="0067040B" w:rsidP="0067040B">
            <w:pPr>
              <w:pStyle w:val="ListParagraph"/>
              <w:numPr>
                <w:ilvl w:val="0"/>
                <w:numId w:val="14"/>
              </w:numPr>
              <w:spacing w:after="160" w:line="259" w:lineRule="auto"/>
              <w:jc w:val="both"/>
              <w:rPr>
                <w:rFonts w:ascii="Times New Roman" w:hAnsi="Times New Roman"/>
                <w:sz w:val="24"/>
                <w:szCs w:val="24"/>
                <w:lang w:val="bg-BG"/>
              </w:rPr>
            </w:pPr>
            <w:r w:rsidRPr="00B77D23">
              <w:rPr>
                <w:rFonts w:ascii="Times New Roman" w:hAnsi="Times New Roman"/>
                <w:sz w:val="24"/>
                <w:szCs w:val="24"/>
                <w:lang w:val="bg-BG"/>
              </w:rPr>
              <w:t>Издадени и влезли в сила разрешения за строеж</w:t>
            </w:r>
            <w:r w:rsidR="00C626E5">
              <w:rPr>
                <w:rFonts w:ascii="Times New Roman" w:hAnsi="Times New Roman"/>
                <w:sz w:val="24"/>
                <w:szCs w:val="24"/>
                <w:lang w:val="bg-BG"/>
              </w:rPr>
              <w:t>,</w:t>
            </w:r>
            <w:r w:rsidR="00C626E5" w:rsidRPr="00B77D23">
              <w:rPr>
                <w:lang w:val="bg-BG"/>
              </w:rPr>
              <w:t xml:space="preserve"> </w:t>
            </w:r>
            <w:r w:rsidR="00C626E5" w:rsidRPr="00B77D23">
              <w:rPr>
                <w:rFonts w:ascii="Times New Roman" w:hAnsi="Times New Roman"/>
                <w:sz w:val="24"/>
                <w:szCs w:val="24"/>
                <w:lang w:val="bg-BG"/>
              </w:rPr>
              <w:t>въз основа на които може да се извърши техническата рекултивация</w:t>
            </w:r>
            <w:r w:rsidRPr="00B77D23">
              <w:rPr>
                <w:rFonts w:ascii="Times New Roman" w:hAnsi="Times New Roman"/>
                <w:sz w:val="24"/>
                <w:szCs w:val="24"/>
                <w:lang w:val="bg-BG"/>
              </w:rPr>
              <w:t xml:space="preserve">; </w:t>
            </w:r>
          </w:p>
          <w:p w14:paraId="32E0C440" w14:textId="4306805E" w:rsidR="0067040B" w:rsidRPr="00B77D23" w:rsidRDefault="0067040B" w:rsidP="0067040B">
            <w:pPr>
              <w:pStyle w:val="ListParagraph"/>
              <w:numPr>
                <w:ilvl w:val="0"/>
                <w:numId w:val="14"/>
              </w:numPr>
              <w:spacing w:after="160" w:line="259" w:lineRule="auto"/>
              <w:jc w:val="both"/>
              <w:rPr>
                <w:rFonts w:ascii="Times New Roman" w:hAnsi="Times New Roman"/>
                <w:sz w:val="24"/>
                <w:szCs w:val="24"/>
                <w:lang w:val="bg-BG"/>
              </w:rPr>
            </w:pPr>
            <w:r w:rsidRPr="00B77D23">
              <w:rPr>
                <w:rFonts w:ascii="Times New Roman" w:hAnsi="Times New Roman"/>
                <w:sz w:val="24"/>
                <w:szCs w:val="24"/>
                <w:lang w:val="bg-BG"/>
              </w:rPr>
              <w:t>Номера на влезли в сила административни актове след приключили процедури по реда на ЗООС, ЗБР, ЗВ, ако са публично достъпни или копия от актовете, ако не са публично достъпни;</w:t>
            </w:r>
          </w:p>
          <w:p w14:paraId="6B777561" w14:textId="7A08EE59" w:rsidR="00C626E5" w:rsidRPr="00B77D23" w:rsidRDefault="00C626E5" w:rsidP="0067040B">
            <w:pPr>
              <w:pStyle w:val="ListParagraph"/>
              <w:numPr>
                <w:ilvl w:val="0"/>
                <w:numId w:val="14"/>
              </w:numPr>
              <w:spacing w:after="160" w:line="259" w:lineRule="auto"/>
              <w:jc w:val="both"/>
              <w:rPr>
                <w:rFonts w:ascii="Times New Roman" w:hAnsi="Times New Roman"/>
                <w:sz w:val="24"/>
                <w:szCs w:val="24"/>
                <w:lang w:val="bg-BG"/>
              </w:rPr>
            </w:pPr>
            <w:r>
              <w:rPr>
                <w:rFonts w:ascii="Times New Roman" w:hAnsi="Times New Roman"/>
                <w:sz w:val="24"/>
                <w:szCs w:val="24"/>
                <w:lang w:val="bg-BG"/>
              </w:rPr>
              <w:t xml:space="preserve"> </w:t>
            </w:r>
            <w:r w:rsidRPr="00B77D23">
              <w:rPr>
                <w:rFonts w:ascii="Times New Roman" w:hAnsi="Times New Roman"/>
                <w:sz w:val="24"/>
                <w:szCs w:val="24"/>
                <w:lang w:val="bg-BG"/>
              </w:rPr>
              <w:t>Номер/а на комплексно разрешително за експлоатация на съответното регионално депо, издадено и влязло в сила по реда на ЗООС</w:t>
            </w:r>
            <w:r>
              <w:rPr>
                <w:rFonts w:ascii="Times New Roman" w:hAnsi="Times New Roman"/>
                <w:sz w:val="24"/>
                <w:szCs w:val="24"/>
                <w:lang w:val="bg-BG"/>
              </w:rPr>
              <w:t>;</w:t>
            </w:r>
          </w:p>
          <w:p w14:paraId="73D5A683" w14:textId="76823B6E" w:rsidR="0067040B" w:rsidRPr="00B77D23" w:rsidRDefault="0067040B" w:rsidP="0067040B">
            <w:pPr>
              <w:pStyle w:val="ListParagraph"/>
              <w:numPr>
                <w:ilvl w:val="0"/>
                <w:numId w:val="14"/>
              </w:numPr>
              <w:spacing w:after="160" w:line="259" w:lineRule="auto"/>
              <w:jc w:val="both"/>
              <w:rPr>
                <w:rFonts w:ascii="Times New Roman" w:hAnsi="Times New Roman"/>
                <w:sz w:val="24"/>
                <w:szCs w:val="24"/>
                <w:lang w:val="bg-BG"/>
              </w:rPr>
            </w:pPr>
            <w:r w:rsidRPr="00B77D23">
              <w:rPr>
                <w:rFonts w:ascii="Times New Roman" w:hAnsi="Times New Roman"/>
                <w:sz w:val="24"/>
                <w:szCs w:val="24"/>
                <w:lang w:val="bg-BG"/>
              </w:rPr>
              <w:t xml:space="preserve">Доказателства за обявявени обществени поръчки </w:t>
            </w:r>
            <w:r w:rsidR="008C67E2">
              <w:rPr>
                <w:rFonts w:ascii="Times New Roman" w:hAnsi="Times New Roman"/>
                <w:sz w:val="24"/>
                <w:szCs w:val="24"/>
                <w:lang w:val="bg-BG"/>
              </w:rPr>
              <w:t xml:space="preserve">за основните дейности </w:t>
            </w:r>
            <w:r w:rsidRPr="00B77D23">
              <w:rPr>
                <w:rFonts w:ascii="Times New Roman" w:hAnsi="Times New Roman"/>
                <w:sz w:val="24"/>
                <w:szCs w:val="24"/>
                <w:lang w:val="bg-BG"/>
              </w:rPr>
              <w:t xml:space="preserve">под условие по чл. 114 от ЗОП за дейностите по проектното </w:t>
            </w:r>
            <w:r w:rsidRPr="00B77D23">
              <w:rPr>
                <w:rFonts w:ascii="Times New Roman" w:hAnsi="Times New Roman"/>
                <w:sz w:val="24"/>
                <w:szCs w:val="24"/>
                <w:lang w:val="bg-BG"/>
              </w:rPr>
              <w:lastRenderedPageBreak/>
              <w:t xml:space="preserve">предложение - </w:t>
            </w:r>
            <w:r w:rsidR="00B954BF" w:rsidRPr="009E43EF">
              <w:rPr>
                <w:rFonts w:ascii="Times New Roman" w:hAnsi="Times New Roman"/>
                <w:sz w:val="24"/>
                <w:szCs w:val="24"/>
                <w:lang w:val="bg-BG"/>
              </w:rPr>
              <w:t>линкове към регистъра на обществените поръчки в ЦАИС ЕОП</w:t>
            </w:r>
            <w:r w:rsidRPr="00B77D23">
              <w:rPr>
                <w:rFonts w:ascii="Times New Roman" w:hAnsi="Times New Roman"/>
                <w:sz w:val="24"/>
                <w:szCs w:val="24"/>
                <w:lang w:val="bg-BG"/>
              </w:rPr>
              <w:t>;</w:t>
            </w:r>
          </w:p>
          <w:p w14:paraId="6661D291" w14:textId="77777777" w:rsidR="00A02EBB" w:rsidRPr="00B77D23" w:rsidRDefault="00A02EBB" w:rsidP="00A02EBB">
            <w:pPr>
              <w:pStyle w:val="ListParagraph"/>
              <w:spacing w:after="160" w:line="259" w:lineRule="auto"/>
              <w:ind w:left="0"/>
              <w:jc w:val="both"/>
              <w:rPr>
                <w:rFonts w:ascii="Times New Roman" w:hAnsi="Times New Roman"/>
                <w:sz w:val="24"/>
                <w:szCs w:val="24"/>
                <w:lang w:val="bg-BG"/>
              </w:rPr>
            </w:pPr>
            <w:r w:rsidRPr="00505FC4">
              <w:rPr>
                <w:rFonts w:ascii="Times New Roman" w:hAnsi="Times New Roman"/>
                <w:i/>
                <w:iCs/>
                <w:sz w:val="24"/>
                <w:szCs w:val="24"/>
                <w:lang w:val="bg-BG"/>
              </w:rPr>
              <w:t>Бележка: Във формуляр</w:t>
            </w:r>
            <w:r>
              <w:rPr>
                <w:rFonts w:ascii="Times New Roman" w:hAnsi="Times New Roman"/>
                <w:i/>
                <w:iCs/>
                <w:sz w:val="24"/>
                <w:szCs w:val="24"/>
                <w:lang w:val="bg-BG"/>
              </w:rPr>
              <w:t>а</w:t>
            </w:r>
            <w:r w:rsidRPr="00505FC4">
              <w:rPr>
                <w:rFonts w:ascii="Times New Roman" w:hAnsi="Times New Roman"/>
                <w:i/>
                <w:iCs/>
                <w:sz w:val="24"/>
                <w:szCs w:val="24"/>
                <w:lang w:val="bg-BG"/>
              </w:rPr>
              <w:t xml:space="preserve"> за кандидатстване не се попълва информация за план за външно възлагане</w:t>
            </w:r>
          </w:p>
          <w:p w14:paraId="51D802EE" w14:textId="421ACD66" w:rsidR="0067040B" w:rsidRPr="00B77D23" w:rsidRDefault="0067040B" w:rsidP="0067040B">
            <w:pPr>
              <w:pStyle w:val="ListParagraph"/>
              <w:numPr>
                <w:ilvl w:val="0"/>
                <w:numId w:val="14"/>
              </w:numPr>
              <w:spacing w:after="160" w:line="259" w:lineRule="auto"/>
              <w:jc w:val="both"/>
              <w:rPr>
                <w:rFonts w:ascii="Times New Roman" w:hAnsi="Times New Roman"/>
                <w:sz w:val="24"/>
                <w:szCs w:val="24"/>
                <w:lang w:val="bg-BG"/>
              </w:rPr>
            </w:pPr>
            <w:r w:rsidRPr="00B77D23">
              <w:rPr>
                <w:rFonts w:ascii="Times New Roman" w:hAnsi="Times New Roman"/>
                <w:sz w:val="24"/>
                <w:szCs w:val="24"/>
                <w:lang w:val="bg-BG"/>
              </w:rPr>
              <w:t xml:space="preserve">Писмо от съответната РИОСВ със справка за налични средства по чл. 60 от ЗУО към </w:t>
            </w:r>
            <w:r w:rsidR="00742630" w:rsidRPr="00B77D23">
              <w:rPr>
                <w:rFonts w:ascii="Times New Roman" w:hAnsi="Times New Roman"/>
                <w:sz w:val="24"/>
                <w:szCs w:val="24"/>
                <w:lang w:val="bg-BG"/>
              </w:rPr>
              <w:t>към датата на издаване на решението/заповедта за преустановяване на депото/клетката</w:t>
            </w:r>
            <w:r w:rsidRPr="00B77D23">
              <w:rPr>
                <w:rFonts w:ascii="Times New Roman" w:hAnsi="Times New Roman"/>
                <w:sz w:val="24"/>
                <w:szCs w:val="24"/>
                <w:lang w:val="bg-BG"/>
              </w:rPr>
              <w:t>, внасяни от всички общини, които депонират битовите си отпадъци на клетката/клетките на регионалното депо за управление на отпадъците и от която е видно какви средства по чл. 60 от ЗУО по години са внасяни за конкретната клетка/клетки/депо, за които се иска финансиране по процедурата;</w:t>
            </w:r>
          </w:p>
          <w:p w14:paraId="66F540C5" w14:textId="31240936" w:rsidR="0067040B" w:rsidRPr="00B77D23" w:rsidRDefault="0067040B" w:rsidP="0067040B">
            <w:pPr>
              <w:pStyle w:val="ListParagraph"/>
              <w:numPr>
                <w:ilvl w:val="0"/>
                <w:numId w:val="14"/>
              </w:numPr>
              <w:spacing w:after="160" w:line="259" w:lineRule="auto"/>
              <w:jc w:val="both"/>
              <w:rPr>
                <w:rFonts w:ascii="Times New Roman" w:hAnsi="Times New Roman"/>
                <w:sz w:val="24"/>
                <w:szCs w:val="24"/>
                <w:lang w:val="bg-BG"/>
              </w:rPr>
            </w:pPr>
            <w:r w:rsidRPr="00B77D23">
              <w:rPr>
                <w:rFonts w:ascii="Times New Roman" w:hAnsi="Times New Roman"/>
                <w:sz w:val="24"/>
                <w:szCs w:val="24"/>
                <w:lang w:val="bg-BG"/>
              </w:rPr>
              <w:t xml:space="preserve">Решение на Общото събрание на РСУО за кандидатстване по процедурата с </w:t>
            </w:r>
            <w:r w:rsidR="000C45DA">
              <w:rPr>
                <w:rFonts w:ascii="Times New Roman" w:hAnsi="Times New Roman"/>
                <w:sz w:val="24"/>
                <w:szCs w:val="24"/>
                <w:lang w:val="bg-BG"/>
              </w:rPr>
              <w:t xml:space="preserve">разписани </w:t>
            </w:r>
            <w:r w:rsidRPr="00B77D23">
              <w:rPr>
                <w:rFonts w:ascii="Times New Roman" w:hAnsi="Times New Roman"/>
                <w:sz w:val="24"/>
                <w:szCs w:val="24"/>
                <w:lang w:val="bg-BG"/>
              </w:rPr>
              <w:t>ясни финансови взаимоотношения между общините за подготовка и изпълнение на рекултивацията</w:t>
            </w:r>
            <w:r w:rsidR="00742630" w:rsidRPr="00742630">
              <w:rPr>
                <w:rFonts w:ascii="Times New Roman" w:hAnsi="Times New Roman"/>
                <w:color w:val="000000"/>
                <w:sz w:val="24"/>
                <w:szCs w:val="24"/>
                <w:lang w:val="bg-BG"/>
              </w:rPr>
              <w:t xml:space="preserve"> (в т.ч. техническа и биологична, както и за следексплоатационните грижи на площадката), включително и за партньорство по процедурата, ако е приложимо</w:t>
            </w:r>
            <w:r w:rsidRPr="00B77D23">
              <w:rPr>
                <w:rFonts w:ascii="Times New Roman" w:hAnsi="Times New Roman"/>
                <w:sz w:val="24"/>
                <w:szCs w:val="24"/>
                <w:lang w:val="bg-BG"/>
              </w:rPr>
              <w:t xml:space="preserve">; </w:t>
            </w:r>
          </w:p>
          <w:p w14:paraId="69C2BD60" w14:textId="01EFA701" w:rsidR="0067040B" w:rsidRPr="00B77D23" w:rsidRDefault="0067040B" w:rsidP="0067040B">
            <w:pPr>
              <w:pStyle w:val="ListParagraph"/>
              <w:numPr>
                <w:ilvl w:val="0"/>
                <w:numId w:val="14"/>
              </w:numPr>
              <w:spacing w:after="160" w:line="259" w:lineRule="auto"/>
              <w:jc w:val="both"/>
              <w:rPr>
                <w:rFonts w:ascii="Times New Roman" w:hAnsi="Times New Roman"/>
                <w:sz w:val="24"/>
                <w:szCs w:val="24"/>
                <w:lang w:val="bg-BG"/>
              </w:rPr>
            </w:pPr>
            <w:r w:rsidRPr="00B77D23">
              <w:rPr>
                <w:rFonts w:ascii="Times New Roman" w:hAnsi="Times New Roman"/>
                <w:sz w:val="24"/>
                <w:szCs w:val="24"/>
                <w:lang w:val="bg-BG"/>
              </w:rPr>
              <w:t xml:space="preserve">Решения на Общинските съвети на всички общини, ползващи регионалното депо/клетката/клетките и имащи задължения за внасяне на обезпечение по чл. 60 от ЗУО за рекултивацията му/й/им, за кандидатстване по процедурата </w:t>
            </w:r>
            <w:r w:rsidR="000C45DA">
              <w:rPr>
                <w:rFonts w:ascii="Times New Roman" w:hAnsi="Times New Roman"/>
                <w:sz w:val="24"/>
                <w:szCs w:val="24"/>
                <w:lang w:val="bg-BG"/>
              </w:rPr>
              <w:t>с разписани</w:t>
            </w:r>
            <w:r w:rsidRPr="00B77D23">
              <w:rPr>
                <w:rFonts w:ascii="Times New Roman" w:hAnsi="Times New Roman"/>
                <w:sz w:val="24"/>
                <w:szCs w:val="24"/>
                <w:lang w:val="bg-BG"/>
              </w:rPr>
              <w:t xml:space="preserve"> ясни финансови отношения за подготовката и изпълнение на рекултивацията</w:t>
            </w:r>
            <w:r w:rsidR="00742630" w:rsidRPr="00B77D23">
              <w:rPr>
                <w:lang w:val="bg-BG"/>
              </w:rPr>
              <w:t xml:space="preserve"> </w:t>
            </w:r>
            <w:r w:rsidR="00742630" w:rsidRPr="00B77D23">
              <w:rPr>
                <w:rFonts w:ascii="Times New Roman" w:hAnsi="Times New Roman"/>
                <w:sz w:val="24"/>
                <w:szCs w:val="24"/>
                <w:lang w:val="bg-BG"/>
              </w:rPr>
              <w:t>включително и за партньорство, ако е приложимо</w:t>
            </w:r>
            <w:r w:rsidRPr="00B77D23">
              <w:rPr>
                <w:rFonts w:ascii="Times New Roman" w:hAnsi="Times New Roman"/>
                <w:sz w:val="24"/>
                <w:szCs w:val="24"/>
                <w:lang w:val="bg-BG"/>
              </w:rPr>
              <w:t>;</w:t>
            </w:r>
          </w:p>
          <w:p w14:paraId="61E67D0B" w14:textId="3A8FF616" w:rsidR="00902604" w:rsidRPr="00B77D23" w:rsidRDefault="00902604" w:rsidP="0067040B">
            <w:pPr>
              <w:pStyle w:val="ListParagraph"/>
              <w:numPr>
                <w:ilvl w:val="0"/>
                <w:numId w:val="14"/>
              </w:numPr>
              <w:spacing w:after="160" w:line="259" w:lineRule="auto"/>
              <w:jc w:val="both"/>
              <w:rPr>
                <w:rFonts w:ascii="Times New Roman" w:hAnsi="Times New Roman"/>
                <w:sz w:val="24"/>
                <w:szCs w:val="24"/>
                <w:lang w:val="bg-BG"/>
              </w:rPr>
            </w:pPr>
            <w:r w:rsidRPr="00B77D23">
              <w:rPr>
                <w:rFonts w:ascii="Times New Roman" w:hAnsi="Times New Roman"/>
                <w:sz w:val="24"/>
                <w:szCs w:val="24"/>
                <w:lang w:val="bg-BG"/>
              </w:rPr>
              <w:t>Споразумение за партньорство, ако е приложимо</w:t>
            </w:r>
            <w:r>
              <w:rPr>
                <w:rFonts w:ascii="Times New Roman" w:hAnsi="Times New Roman"/>
                <w:sz w:val="24"/>
                <w:szCs w:val="24"/>
                <w:lang w:val="bg-BG"/>
              </w:rPr>
              <w:t>;</w:t>
            </w:r>
          </w:p>
          <w:p w14:paraId="3FE07F7C" w14:textId="38BEDD68" w:rsidR="00902604" w:rsidRPr="00B77D23" w:rsidRDefault="00902604" w:rsidP="0067040B">
            <w:pPr>
              <w:pStyle w:val="ListParagraph"/>
              <w:numPr>
                <w:ilvl w:val="0"/>
                <w:numId w:val="14"/>
              </w:numPr>
              <w:spacing w:after="160" w:line="259" w:lineRule="auto"/>
              <w:jc w:val="both"/>
              <w:rPr>
                <w:rFonts w:ascii="Times New Roman" w:hAnsi="Times New Roman"/>
                <w:sz w:val="24"/>
                <w:szCs w:val="24"/>
                <w:lang w:val="bg-BG"/>
              </w:rPr>
            </w:pPr>
            <w:r w:rsidRPr="00B77D23">
              <w:rPr>
                <w:rFonts w:ascii="Times New Roman" w:hAnsi="Times New Roman"/>
                <w:sz w:val="24"/>
                <w:szCs w:val="24"/>
                <w:lang w:val="bg-BG"/>
              </w:rPr>
              <w:t>Решение на Общото събрание на РСУО по чл. 26, ал. 1, т. 11 от ЗУО, от което да е видно, че регионалното депо е собственост на кандидата/съсобствено на кандидата и партньора/ите</w:t>
            </w:r>
            <w:r>
              <w:rPr>
                <w:rFonts w:ascii="Times New Roman" w:hAnsi="Times New Roman"/>
                <w:sz w:val="24"/>
                <w:szCs w:val="24"/>
                <w:lang w:val="bg-BG"/>
              </w:rPr>
              <w:t>;</w:t>
            </w:r>
          </w:p>
          <w:p w14:paraId="0D40AC69" w14:textId="34BBB795" w:rsidR="00902604" w:rsidRPr="00B77D23" w:rsidRDefault="00902604" w:rsidP="0067040B">
            <w:pPr>
              <w:pStyle w:val="ListParagraph"/>
              <w:numPr>
                <w:ilvl w:val="0"/>
                <w:numId w:val="14"/>
              </w:numPr>
              <w:spacing w:after="160" w:line="259" w:lineRule="auto"/>
              <w:jc w:val="both"/>
              <w:rPr>
                <w:rFonts w:ascii="Times New Roman" w:hAnsi="Times New Roman"/>
                <w:sz w:val="24"/>
                <w:szCs w:val="24"/>
                <w:lang w:val="bg-BG"/>
              </w:rPr>
            </w:pPr>
            <w:r w:rsidRPr="00B77D23">
              <w:rPr>
                <w:rFonts w:ascii="Times New Roman" w:hAnsi="Times New Roman"/>
                <w:sz w:val="24"/>
                <w:szCs w:val="24"/>
                <w:lang w:val="bg-BG"/>
              </w:rPr>
              <w:t>Акт за общинска собственост на имота, върху който е разположено регионалното депо/клетка/клетки, предмет на рекултивация</w:t>
            </w:r>
            <w:r>
              <w:rPr>
                <w:rFonts w:ascii="Times New Roman" w:hAnsi="Times New Roman"/>
                <w:sz w:val="24"/>
                <w:szCs w:val="24"/>
                <w:lang w:val="bg-BG"/>
              </w:rPr>
              <w:t>;</w:t>
            </w:r>
          </w:p>
          <w:p w14:paraId="207E8E12" w14:textId="194306C5" w:rsidR="00902604" w:rsidRPr="00B77D23" w:rsidRDefault="00902604" w:rsidP="0067040B">
            <w:pPr>
              <w:pStyle w:val="ListParagraph"/>
              <w:numPr>
                <w:ilvl w:val="0"/>
                <w:numId w:val="14"/>
              </w:numPr>
              <w:spacing w:after="160" w:line="259" w:lineRule="auto"/>
              <w:jc w:val="both"/>
              <w:rPr>
                <w:rFonts w:ascii="Times New Roman" w:hAnsi="Times New Roman"/>
                <w:sz w:val="24"/>
                <w:szCs w:val="24"/>
                <w:lang w:val="bg-BG"/>
              </w:rPr>
            </w:pPr>
            <w:r w:rsidRPr="00B77D23">
              <w:rPr>
                <w:rFonts w:ascii="Times New Roman" w:hAnsi="Times New Roman"/>
                <w:sz w:val="24"/>
                <w:szCs w:val="24"/>
                <w:lang w:val="bg-BG"/>
              </w:rPr>
              <w:t>Консолидирана документация за доказване на климатична устойчивост</w:t>
            </w:r>
            <w:r>
              <w:rPr>
                <w:rFonts w:ascii="Times New Roman" w:hAnsi="Times New Roman"/>
                <w:sz w:val="24"/>
                <w:szCs w:val="24"/>
                <w:lang w:val="bg-BG"/>
              </w:rPr>
              <w:t>;</w:t>
            </w:r>
          </w:p>
          <w:p w14:paraId="6EE7F6B8" w14:textId="77777777" w:rsidR="00BD564B" w:rsidRPr="007907E4" w:rsidRDefault="0067040B" w:rsidP="004C3237">
            <w:pPr>
              <w:pStyle w:val="ListParagraph"/>
              <w:numPr>
                <w:ilvl w:val="0"/>
                <w:numId w:val="14"/>
              </w:numPr>
              <w:spacing w:after="160" w:line="259" w:lineRule="auto"/>
              <w:jc w:val="both"/>
              <w:rPr>
                <w:rFonts w:ascii="Times New Roman" w:hAnsi="Times New Roman"/>
                <w:sz w:val="24"/>
                <w:szCs w:val="24"/>
              </w:rPr>
            </w:pPr>
            <w:proofErr w:type="spellStart"/>
            <w:r w:rsidRPr="009E316A">
              <w:rPr>
                <w:rFonts w:ascii="Times New Roman" w:hAnsi="Times New Roman"/>
                <w:sz w:val="24"/>
                <w:szCs w:val="24"/>
              </w:rPr>
              <w:t>Анализ</w:t>
            </w:r>
            <w:proofErr w:type="spellEnd"/>
            <w:r w:rsidRPr="009E316A">
              <w:rPr>
                <w:rFonts w:ascii="Times New Roman" w:hAnsi="Times New Roman"/>
                <w:sz w:val="24"/>
                <w:szCs w:val="24"/>
              </w:rPr>
              <w:t xml:space="preserve"> </w:t>
            </w:r>
            <w:proofErr w:type="spellStart"/>
            <w:r w:rsidRPr="009E316A">
              <w:rPr>
                <w:rFonts w:ascii="Times New Roman" w:hAnsi="Times New Roman"/>
                <w:sz w:val="24"/>
                <w:szCs w:val="24"/>
              </w:rPr>
              <w:t>на</w:t>
            </w:r>
            <w:proofErr w:type="spellEnd"/>
            <w:r w:rsidRPr="009E316A">
              <w:rPr>
                <w:rFonts w:ascii="Times New Roman" w:hAnsi="Times New Roman"/>
                <w:sz w:val="24"/>
                <w:szCs w:val="24"/>
              </w:rPr>
              <w:t xml:space="preserve"> </w:t>
            </w:r>
            <w:proofErr w:type="spellStart"/>
            <w:r w:rsidRPr="009E316A">
              <w:rPr>
                <w:rFonts w:ascii="Times New Roman" w:hAnsi="Times New Roman"/>
                <w:sz w:val="24"/>
                <w:szCs w:val="24"/>
              </w:rPr>
              <w:t>остойностяването</w:t>
            </w:r>
            <w:proofErr w:type="spellEnd"/>
            <w:r w:rsidR="004C3237">
              <w:rPr>
                <w:rFonts w:ascii="Times New Roman" w:hAnsi="Times New Roman"/>
                <w:sz w:val="24"/>
                <w:szCs w:val="24"/>
                <w:lang w:val="bg-BG"/>
              </w:rPr>
              <w:t>.</w:t>
            </w:r>
          </w:p>
          <w:p w14:paraId="53F0F1CB" w14:textId="77777777" w:rsidR="007907E4" w:rsidRPr="00E06FDF" w:rsidRDefault="007907E4" w:rsidP="007907E4">
            <w:pPr>
              <w:pStyle w:val="ListParagraph"/>
              <w:spacing w:after="160" w:line="259" w:lineRule="auto"/>
              <w:ind w:left="0"/>
              <w:jc w:val="both"/>
              <w:rPr>
                <w:rFonts w:ascii="Times New Roman" w:hAnsi="Times New Roman"/>
                <w:sz w:val="24"/>
                <w:szCs w:val="24"/>
                <w:lang w:val="bg-BG"/>
              </w:rPr>
            </w:pPr>
          </w:p>
        </w:tc>
      </w:tr>
      <w:bookmarkEnd w:id="14"/>
      <w:tr w:rsidR="00150181" w:rsidRPr="00B77D23" w14:paraId="12F78ADF" w14:textId="77777777" w:rsidTr="00E036CC">
        <w:tc>
          <w:tcPr>
            <w:tcW w:w="2518" w:type="dxa"/>
            <w:shd w:val="clear" w:color="auto" w:fill="auto"/>
            <w:vAlign w:val="center"/>
          </w:tcPr>
          <w:p w14:paraId="0258DCC2" w14:textId="68603DFD" w:rsidR="00150181" w:rsidRPr="001C7E20" w:rsidRDefault="00150181" w:rsidP="00150181">
            <w:pPr>
              <w:rPr>
                <w:sz w:val="24"/>
                <w:szCs w:val="24"/>
                <w:lang w:val="bg-BG"/>
              </w:rPr>
            </w:pPr>
            <w:r w:rsidRPr="001C7E20">
              <w:rPr>
                <w:sz w:val="24"/>
                <w:szCs w:val="24"/>
                <w:lang w:val="bg-BG"/>
              </w:rPr>
              <w:lastRenderedPageBreak/>
              <w:t>Краен срок за подаване на проектни предложения</w:t>
            </w:r>
          </w:p>
        </w:tc>
        <w:tc>
          <w:tcPr>
            <w:tcW w:w="7655" w:type="dxa"/>
            <w:shd w:val="clear" w:color="auto" w:fill="auto"/>
            <w:vAlign w:val="center"/>
          </w:tcPr>
          <w:p w14:paraId="4137788C" w14:textId="673FB4BE" w:rsidR="003403AB" w:rsidRPr="003403AB" w:rsidRDefault="003403AB" w:rsidP="003403AB">
            <w:pPr>
              <w:jc w:val="both"/>
              <w:rPr>
                <w:sz w:val="24"/>
                <w:szCs w:val="24"/>
                <w:lang w:val="bg-BG"/>
              </w:rPr>
            </w:pPr>
            <w:bookmarkStart w:id="15" w:name="_Hlk122600832"/>
            <w:r w:rsidRPr="003403AB">
              <w:rPr>
                <w:sz w:val="24"/>
                <w:szCs w:val="24"/>
                <w:lang w:val="bg-BG"/>
              </w:rPr>
              <w:t xml:space="preserve">По процедурата се предвижда да се определят </w:t>
            </w:r>
            <w:r w:rsidRPr="00D772C0">
              <w:rPr>
                <w:sz w:val="24"/>
                <w:szCs w:val="24"/>
                <w:lang w:val="bg-BG"/>
              </w:rPr>
              <w:t xml:space="preserve">общо </w:t>
            </w:r>
            <w:r w:rsidR="005C5609">
              <w:rPr>
                <w:sz w:val="24"/>
                <w:szCs w:val="24"/>
                <w:lang w:val="bg-BG"/>
              </w:rPr>
              <w:t>3</w:t>
            </w:r>
            <w:r w:rsidRPr="00D772C0">
              <w:rPr>
                <w:sz w:val="24"/>
                <w:szCs w:val="24"/>
                <w:lang w:val="bg-BG"/>
              </w:rPr>
              <w:t xml:space="preserve"> срока</w:t>
            </w:r>
            <w:r w:rsidRPr="003403AB">
              <w:rPr>
                <w:sz w:val="24"/>
                <w:szCs w:val="24"/>
                <w:lang w:val="bg-BG"/>
              </w:rPr>
              <w:t xml:space="preserve"> за подаване на проектни предложения:</w:t>
            </w:r>
          </w:p>
          <w:p w14:paraId="7B735940" w14:textId="77777777" w:rsidR="003403AB" w:rsidRPr="007E2B1A" w:rsidRDefault="003403AB" w:rsidP="003403AB">
            <w:pPr>
              <w:jc w:val="both"/>
              <w:rPr>
                <w:sz w:val="24"/>
                <w:szCs w:val="24"/>
                <w:lang w:val="bg-BG"/>
              </w:rPr>
            </w:pPr>
            <w:r w:rsidRPr="007E2B1A">
              <w:rPr>
                <w:sz w:val="24"/>
                <w:szCs w:val="24"/>
                <w:lang w:val="bg-BG"/>
              </w:rPr>
              <w:t>-</w:t>
            </w:r>
            <w:r w:rsidRPr="007E2B1A">
              <w:rPr>
                <w:sz w:val="24"/>
                <w:szCs w:val="24"/>
                <w:lang w:val="bg-BG"/>
              </w:rPr>
              <w:tab/>
              <w:t xml:space="preserve">До 15.04.2025 г. - за проекти за рекултивация на клетки/депа, които са изведени от експлоатация с решение/заповед на директор на РИОСВ, издадена не по-късно от </w:t>
            </w:r>
            <w:r w:rsidR="003F44AC" w:rsidRPr="007E2B1A">
              <w:rPr>
                <w:sz w:val="24"/>
                <w:szCs w:val="24"/>
                <w:lang w:val="bg-BG"/>
              </w:rPr>
              <w:t>15.04.2025 г.;</w:t>
            </w:r>
          </w:p>
          <w:p w14:paraId="1333F3E0" w14:textId="7555F22E" w:rsidR="003403AB" w:rsidRPr="007E2B1A" w:rsidRDefault="003403AB" w:rsidP="002B1F85">
            <w:pPr>
              <w:jc w:val="both"/>
              <w:rPr>
                <w:sz w:val="24"/>
                <w:szCs w:val="24"/>
                <w:lang w:val="bg-BG"/>
              </w:rPr>
            </w:pPr>
            <w:r w:rsidRPr="007E2B1A">
              <w:rPr>
                <w:sz w:val="24"/>
                <w:szCs w:val="24"/>
                <w:lang w:val="bg-BG"/>
              </w:rPr>
              <w:t>-</w:t>
            </w:r>
            <w:r w:rsidRPr="007E2B1A">
              <w:rPr>
                <w:sz w:val="24"/>
                <w:szCs w:val="24"/>
                <w:lang w:val="bg-BG"/>
              </w:rPr>
              <w:tab/>
              <w:t xml:space="preserve">До 15.04.2026 г. - за проекти за рекултивация на клетки/депа, които са изведени от експлоатация </w:t>
            </w:r>
            <w:r w:rsidR="00661635">
              <w:rPr>
                <w:sz w:val="24"/>
                <w:szCs w:val="24"/>
                <w:lang w:val="bg-BG"/>
              </w:rPr>
              <w:t xml:space="preserve">с </w:t>
            </w:r>
            <w:r w:rsidRPr="007E2B1A">
              <w:rPr>
                <w:sz w:val="24"/>
                <w:szCs w:val="24"/>
                <w:lang w:val="bg-BG"/>
              </w:rPr>
              <w:t xml:space="preserve">решение/заповед на директор на РИОСВ, издадена не по-късно от </w:t>
            </w:r>
            <w:r w:rsidR="003F44AC" w:rsidRPr="007E2B1A">
              <w:rPr>
                <w:sz w:val="24"/>
                <w:szCs w:val="24"/>
                <w:lang w:val="bg-BG"/>
              </w:rPr>
              <w:t>15.04.2026 г.</w:t>
            </w:r>
            <w:r w:rsidRPr="007E2B1A">
              <w:rPr>
                <w:sz w:val="24"/>
                <w:szCs w:val="24"/>
                <w:lang w:val="bg-BG"/>
              </w:rPr>
              <w:t>;</w:t>
            </w:r>
          </w:p>
          <w:p w14:paraId="234039EA" w14:textId="77777777" w:rsidR="005E328C" w:rsidRDefault="003403AB" w:rsidP="00A44452">
            <w:pPr>
              <w:numPr>
                <w:ilvl w:val="0"/>
                <w:numId w:val="8"/>
              </w:numPr>
              <w:ind w:left="33" w:hanging="33"/>
              <w:rPr>
                <w:sz w:val="24"/>
                <w:szCs w:val="24"/>
                <w:lang w:val="bg-BG"/>
              </w:rPr>
            </w:pPr>
            <w:r w:rsidRPr="007E2B1A">
              <w:rPr>
                <w:sz w:val="24"/>
                <w:szCs w:val="24"/>
                <w:lang w:val="bg-BG"/>
              </w:rPr>
              <w:t xml:space="preserve">До 15.04.2027 г. - за проекти за рекултивация на клетки/депа, които са изведени от експлоатация с решение/заповед на директор на РИОСВ, издадена не по-късно от </w:t>
            </w:r>
            <w:r w:rsidR="003F44AC" w:rsidRPr="007E2B1A">
              <w:rPr>
                <w:sz w:val="24"/>
                <w:szCs w:val="24"/>
                <w:lang w:val="bg-BG"/>
              </w:rPr>
              <w:t>15.04.2027 г.</w:t>
            </w:r>
            <w:bookmarkEnd w:id="15"/>
          </w:p>
          <w:p w14:paraId="4B1F8329" w14:textId="79EA0EA1" w:rsidR="00275898" w:rsidRPr="00A44452" w:rsidRDefault="00275898" w:rsidP="00275898">
            <w:pPr>
              <w:ind w:left="33"/>
              <w:rPr>
                <w:sz w:val="24"/>
                <w:szCs w:val="24"/>
                <w:lang w:val="bg-BG"/>
              </w:rPr>
            </w:pPr>
          </w:p>
        </w:tc>
      </w:tr>
      <w:tr w:rsidR="00C1390C" w:rsidRPr="00B77D23" w14:paraId="254F2DCB" w14:textId="77777777" w:rsidTr="00E036CC">
        <w:tc>
          <w:tcPr>
            <w:tcW w:w="2518" w:type="dxa"/>
            <w:shd w:val="clear" w:color="auto" w:fill="auto"/>
            <w:vAlign w:val="center"/>
          </w:tcPr>
          <w:p w14:paraId="7126EF56" w14:textId="4F370E2B" w:rsidR="00C1390C" w:rsidRPr="00A13525" w:rsidRDefault="00B25C66" w:rsidP="00150181">
            <w:pPr>
              <w:rPr>
                <w:sz w:val="24"/>
                <w:szCs w:val="24"/>
                <w:lang w:val="bg-BG"/>
              </w:rPr>
            </w:pPr>
            <w:r w:rsidRPr="00A13525">
              <w:rPr>
                <w:sz w:val="24"/>
                <w:szCs w:val="24"/>
                <w:lang w:val="bg-BG"/>
              </w:rPr>
              <w:lastRenderedPageBreak/>
              <w:t>Други задължителни условия и изисквания</w:t>
            </w:r>
          </w:p>
        </w:tc>
        <w:tc>
          <w:tcPr>
            <w:tcW w:w="7655" w:type="dxa"/>
            <w:shd w:val="clear" w:color="auto" w:fill="auto"/>
            <w:vAlign w:val="center"/>
          </w:tcPr>
          <w:p w14:paraId="7DB89ADE" w14:textId="77777777" w:rsidR="00774CBC" w:rsidRPr="00A13525" w:rsidRDefault="00774CBC" w:rsidP="00774CBC">
            <w:pPr>
              <w:jc w:val="both"/>
              <w:rPr>
                <w:rFonts w:eastAsia="Calibri"/>
                <w:b/>
                <w:bCs/>
                <w:sz w:val="24"/>
                <w:szCs w:val="24"/>
                <w:lang w:val="bg-BG" w:eastAsia="en-US"/>
              </w:rPr>
            </w:pPr>
            <w:bookmarkStart w:id="16" w:name="_Hlk122600474"/>
            <w:r w:rsidRPr="00A13525">
              <w:rPr>
                <w:rFonts w:eastAsia="Calibri"/>
                <w:b/>
                <w:bCs/>
                <w:sz w:val="24"/>
                <w:szCs w:val="24"/>
                <w:lang w:val="bg-BG" w:eastAsia="en-US"/>
              </w:rPr>
              <w:t>Някои видове недопустими дейности</w:t>
            </w:r>
            <w:r w:rsidR="005E270B" w:rsidRPr="00A13525">
              <w:rPr>
                <w:rFonts w:eastAsia="Calibri"/>
                <w:b/>
                <w:bCs/>
                <w:sz w:val="24"/>
                <w:szCs w:val="24"/>
                <w:lang w:val="bg-BG" w:eastAsia="en-US"/>
              </w:rPr>
              <w:t>, съответно разходи</w:t>
            </w:r>
            <w:r w:rsidRPr="00A13525">
              <w:rPr>
                <w:rFonts w:eastAsia="Calibri"/>
                <w:b/>
                <w:bCs/>
                <w:sz w:val="24"/>
                <w:szCs w:val="24"/>
                <w:lang w:val="bg-BG" w:eastAsia="en-US"/>
              </w:rPr>
              <w:t>:</w:t>
            </w:r>
          </w:p>
          <w:p w14:paraId="2E1A34C1" w14:textId="77777777" w:rsidR="00774CBC" w:rsidRPr="00A13525" w:rsidRDefault="00774CBC" w:rsidP="00774CBC">
            <w:pPr>
              <w:numPr>
                <w:ilvl w:val="0"/>
                <w:numId w:val="8"/>
              </w:numPr>
              <w:jc w:val="both"/>
              <w:rPr>
                <w:rFonts w:eastAsia="Calibri"/>
                <w:sz w:val="24"/>
                <w:szCs w:val="24"/>
                <w:lang w:val="bg-BG" w:eastAsia="en-US"/>
              </w:rPr>
            </w:pPr>
            <w:r w:rsidRPr="00A13525">
              <w:rPr>
                <w:rFonts w:eastAsia="Calibri"/>
                <w:sz w:val="24"/>
                <w:szCs w:val="24"/>
                <w:lang w:val="bg-BG" w:eastAsia="en-US"/>
              </w:rPr>
              <w:t>извършване на биологична рекултивация;</w:t>
            </w:r>
          </w:p>
          <w:p w14:paraId="3E669E90" w14:textId="338272C0" w:rsidR="00774CBC" w:rsidRPr="006F2D94" w:rsidRDefault="005E270B" w:rsidP="00774CBC">
            <w:pPr>
              <w:numPr>
                <w:ilvl w:val="0"/>
                <w:numId w:val="8"/>
              </w:numPr>
              <w:jc w:val="both"/>
              <w:rPr>
                <w:rFonts w:eastAsia="Calibri"/>
                <w:sz w:val="24"/>
                <w:szCs w:val="24"/>
                <w:lang w:val="bg-BG" w:eastAsia="en-US"/>
              </w:rPr>
            </w:pPr>
            <w:r w:rsidRPr="00A13525">
              <w:rPr>
                <w:rFonts w:eastAsia="Calibri"/>
                <w:sz w:val="24"/>
                <w:szCs w:val="24"/>
                <w:lang w:val="bg-BG" w:eastAsia="en-US"/>
              </w:rPr>
              <w:t>дейности/разходи, които</w:t>
            </w:r>
            <w:r w:rsidR="00774CBC" w:rsidRPr="00A13525">
              <w:rPr>
                <w:rFonts w:eastAsia="Calibri"/>
                <w:sz w:val="24"/>
                <w:szCs w:val="24"/>
                <w:lang w:val="bg-BG" w:eastAsia="en-US"/>
              </w:rPr>
              <w:t xml:space="preserve"> не са свързани пряко с изпълнението на техническата рекултивация </w:t>
            </w:r>
            <w:r w:rsidR="007A319B">
              <w:rPr>
                <w:rFonts w:eastAsia="Calibri"/>
                <w:sz w:val="24"/>
                <w:szCs w:val="24"/>
                <w:lang w:val="bg-BG" w:eastAsia="en-US"/>
              </w:rPr>
              <w:t xml:space="preserve">на регионалното депо/клетка/клетки на регионалното депо </w:t>
            </w:r>
            <w:r w:rsidR="00774CBC" w:rsidRPr="00A13525">
              <w:rPr>
                <w:rFonts w:eastAsia="Calibri"/>
                <w:sz w:val="24"/>
                <w:szCs w:val="24"/>
                <w:lang w:val="bg-BG" w:eastAsia="en-US"/>
              </w:rPr>
              <w:t>и са извън изискванията на Наредба № 6</w:t>
            </w:r>
            <w:r w:rsidR="00CB1890">
              <w:rPr>
                <w:rFonts w:eastAsia="Calibri"/>
                <w:sz w:val="24"/>
                <w:szCs w:val="24"/>
                <w:lang w:val="bg-BG" w:eastAsia="en-US"/>
              </w:rPr>
              <w:t xml:space="preserve"> от </w:t>
            </w:r>
            <w:r w:rsidR="00774CBC" w:rsidRPr="00A13525">
              <w:rPr>
                <w:rFonts w:eastAsia="Calibri"/>
                <w:sz w:val="24"/>
                <w:szCs w:val="24"/>
                <w:lang w:val="bg-BG" w:eastAsia="en-US"/>
              </w:rPr>
              <w:t>2013 г.</w:t>
            </w:r>
            <w:r w:rsidR="00B5177D" w:rsidRPr="00A13525">
              <w:rPr>
                <w:rFonts w:eastAsia="Calibri"/>
                <w:sz w:val="24"/>
                <w:szCs w:val="24"/>
                <w:lang w:val="bg-BG" w:eastAsia="en-US"/>
              </w:rPr>
              <w:t xml:space="preserve"> и </w:t>
            </w:r>
            <w:r w:rsidR="00B5177D" w:rsidRPr="006F2D94">
              <w:rPr>
                <w:rFonts w:eastAsia="Calibri"/>
                <w:sz w:val="24"/>
                <w:szCs w:val="24"/>
                <w:lang w:val="bg-BG" w:eastAsia="en-US"/>
              </w:rPr>
              <w:t>ЗУТ</w:t>
            </w:r>
            <w:r w:rsidR="00774CBC" w:rsidRPr="006F2D94">
              <w:rPr>
                <w:rFonts w:eastAsia="Calibri"/>
                <w:sz w:val="24"/>
                <w:szCs w:val="24"/>
                <w:lang w:val="bg-BG" w:eastAsia="en-US"/>
              </w:rPr>
              <w:t>;</w:t>
            </w:r>
          </w:p>
          <w:p w14:paraId="2E78F7D5" w14:textId="1A368EAC" w:rsidR="007A319B" w:rsidRPr="006F2D94" w:rsidRDefault="007A319B" w:rsidP="00774CBC">
            <w:pPr>
              <w:numPr>
                <w:ilvl w:val="0"/>
                <w:numId w:val="8"/>
              </w:numPr>
              <w:jc w:val="both"/>
              <w:rPr>
                <w:rFonts w:eastAsia="Calibri"/>
                <w:sz w:val="24"/>
                <w:szCs w:val="24"/>
                <w:lang w:val="bg-BG" w:eastAsia="en-US"/>
              </w:rPr>
            </w:pPr>
            <w:bookmarkStart w:id="17" w:name="_Hlk164180432"/>
            <w:r w:rsidRPr="006F2D94">
              <w:rPr>
                <w:rFonts w:eastAsia="Calibri"/>
                <w:sz w:val="24"/>
                <w:szCs w:val="24"/>
                <w:lang w:val="bg-BG" w:eastAsia="en-US"/>
              </w:rPr>
              <w:t xml:space="preserve">рекултивация на общински депа </w:t>
            </w:r>
            <w:r w:rsidR="00C6383D" w:rsidRPr="006F2D94">
              <w:rPr>
                <w:rFonts w:eastAsia="Calibri"/>
                <w:sz w:val="24"/>
                <w:szCs w:val="24"/>
                <w:lang w:val="bg-BG" w:eastAsia="en-US"/>
              </w:rPr>
              <w:t xml:space="preserve">за битови отпадъци, неотговарящи на нормативните изисквания </w:t>
            </w:r>
            <w:r w:rsidRPr="006F2D94">
              <w:rPr>
                <w:rFonts w:eastAsia="Calibri"/>
                <w:sz w:val="24"/>
                <w:szCs w:val="24"/>
                <w:lang w:val="bg-BG" w:eastAsia="en-US"/>
              </w:rPr>
              <w:t>и на депа за отпадъци, които не са битови</w:t>
            </w:r>
            <w:bookmarkEnd w:id="17"/>
            <w:r w:rsidRPr="006F2D94">
              <w:rPr>
                <w:rFonts w:eastAsia="Calibri"/>
                <w:sz w:val="24"/>
                <w:szCs w:val="24"/>
                <w:lang w:val="bg-BG" w:eastAsia="en-US"/>
              </w:rPr>
              <w:t xml:space="preserve">; </w:t>
            </w:r>
          </w:p>
          <w:p w14:paraId="01DDDAF9" w14:textId="77777777" w:rsidR="00774CBC" w:rsidRPr="00A13525" w:rsidRDefault="00774CBC" w:rsidP="00774CBC">
            <w:pPr>
              <w:numPr>
                <w:ilvl w:val="0"/>
                <w:numId w:val="8"/>
              </w:numPr>
              <w:jc w:val="both"/>
              <w:rPr>
                <w:rFonts w:eastAsia="Calibri"/>
                <w:sz w:val="24"/>
                <w:szCs w:val="24"/>
                <w:lang w:val="bg-BG" w:eastAsia="en-US"/>
              </w:rPr>
            </w:pPr>
            <w:r w:rsidRPr="00A13525">
              <w:rPr>
                <w:rFonts w:eastAsia="Calibri"/>
                <w:sz w:val="24"/>
                <w:szCs w:val="24"/>
                <w:lang w:val="bg-BG" w:eastAsia="en-US"/>
              </w:rPr>
              <w:t>третиране на отпадъци,</w:t>
            </w:r>
            <w:r w:rsidR="005E270B" w:rsidRPr="00A13525">
              <w:rPr>
                <w:rFonts w:eastAsia="Calibri"/>
                <w:sz w:val="24"/>
                <w:szCs w:val="24"/>
                <w:lang w:val="bg-BG" w:eastAsia="en-US"/>
              </w:rPr>
              <w:t xml:space="preserve"> </w:t>
            </w:r>
            <w:r w:rsidRPr="00A13525">
              <w:rPr>
                <w:rFonts w:eastAsia="Calibri"/>
                <w:sz w:val="24"/>
                <w:szCs w:val="24"/>
                <w:lang w:val="bg-BG" w:eastAsia="en-US"/>
              </w:rPr>
              <w:t>в т.ч. депониране на терени извън определените по съответния ред за рекултивация, за предепониране на битови или други отпадъци</w:t>
            </w:r>
            <w:r w:rsidR="00771214">
              <w:rPr>
                <w:rFonts w:eastAsia="Calibri"/>
                <w:sz w:val="24"/>
                <w:szCs w:val="24"/>
                <w:lang w:val="bg-BG" w:eastAsia="en-US"/>
              </w:rPr>
              <w:t xml:space="preserve">, </w:t>
            </w:r>
            <w:r w:rsidR="00771214" w:rsidRPr="00771214">
              <w:rPr>
                <w:rFonts w:eastAsia="Calibri"/>
                <w:sz w:val="24"/>
                <w:szCs w:val="24"/>
                <w:lang w:val="bg-BG" w:eastAsia="en-US"/>
              </w:rPr>
              <w:t>преместване на отпадъци в рамките на депото, допълнително уплътняване или други строителни дейности, които не са част от проекта за рекултивация и е трябвало да бъдат извършени преди преустановяване на експлоатацията на регионалното депо или на клетката/клетките от регионалното депо</w:t>
            </w:r>
            <w:r w:rsidRPr="00A13525">
              <w:rPr>
                <w:rFonts w:eastAsia="Calibri"/>
                <w:sz w:val="24"/>
                <w:szCs w:val="24"/>
                <w:lang w:val="bg-BG" w:eastAsia="en-US"/>
              </w:rPr>
              <w:t xml:space="preserve"> и др.;</w:t>
            </w:r>
          </w:p>
          <w:p w14:paraId="37264212" w14:textId="77777777" w:rsidR="00774CBC" w:rsidRPr="00A13525" w:rsidRDefault="00774CBC" w:rsidP="00774CBC">
            <w:pPr>
              <w:numPr>
                <w:ilvl w:val="0"/>
                <w:numId w:val="8"/>
              </w:numPr>
              <w:jc w:val="both"/>
              <w:rPr>
                <w:rFonts w:eastAsia="Calibri"/>
                <w:sz w:val="24"/>
                <w:szCs w:val="24"/>
                <w:lang w:val="bg-BG" w:eastAsia="en-US"/>
              </w:rPr>
            </w:pPr>
            <w:r w:rsidRPr="00A13525">
              <w:rPr>
                <w:rFonts w:eastAsia="Calibri"/>
                <w:sz w:val="24"/>
                <w:szCs w:val="24"/>
                <w:lang w:val="bg-BG" w:eastAsia="en-US"/>
              </w:rPr>
              <w:t xml:space="preserve">рекултивация на терени извън определената площ </w:t>
            </w:r>
            <w:r w:rsidR="00044B0C" w:rsidRPr="00A13525">
              <w:rPr>
                <w:rFonts w:eastAsia="Calibri"/>
                <w:sz w:val="24"/>
                <w:szCs w:val="24"/>
                <w:lang w:val="bg-BG" w:eastAsia="en-US"/>
              </w:rPr>
              <w:t xml:space="preserve">в </w:t>
            </w:r>
            <w:r w:rsidR="00C642E3" w:rsidRPr="00A13525">
              <w:rPr>
                <w:rFonts w:eastAsia="Calibri"/>
                <w:sz w:val="24"/>
                <w:szCs w:val="24"/>
                <w:lang w:val="bg-BG" w:eastAsia="en-US"/>
              </w:rPr>
              <w:t xml:space="preserve">заповед или решение </w:t>
            </w:r>
            <w:r w:rsidR="00044B0C" w:rsidRPr="00A13525">
              <w:rPr>
                <w:rFonts w:eastAsia="Calibri"/>
                <w:sz w:val="24"/>
                <w:szCs w:val="24"/>
                <w:lang w:val="bg-BG" w:eastAsia="en-US"/>
              </w:rPr>
              <w:t xml:space="preserve">на директора на съответната РИОСВ за преустановяване експлоатацията на </w:t>
            </w:r>
            <w:r w:rsidR="00771214">
              <w:rPr>
                <w:rFonts w:eastAsia="Calibri"/>
                <w:sz w:val="24"/>
                <w:szCs w:val="24"/>
                <w:lang w:val="bg-BG" w:eastAsia="en-US"/>
              </w:rPr>
              <w:t xml:space="preserve">регионалното </w:t>
            </w:r>
            <w:r w:rsidR="00044B0C" w:rsidRPr="00A13525">
              <w:rPr>
                <w:rFonts w:eastAsia="Calibri"/>
                <w:sz w:val="24"/>
                <w:szCs w:val="24"/>
                <w:lang w:val="bg-BG" w:eastAsia="en-US"/>
              </w:rPr>
              <w:t>депо</w:t>
            </w:r>
            <w:r w:rsidR="00771214">
              <w:rPr>
                <w:rFonts w:eastAsia="Calibri"/>
                <w:sz w:val="24"/>
                <w:szCs w:val="24"/>
                <w:lang w:val="bg-BG" w:eastAsia="en-US"/>
              </w:rPr>
              <w:t>/клетката или клетките на регионалното депо</w:t>
            </w:r>
            <w:r w:rsidR="00044B0C" w:rsidRPr="00A13525">
              <w:rPr>
                <w:rFonts w:eastAsia="Calibri"/>
                <w:sz w:val="24"/>
                <w:szCs w:val="24"/>
                <w:lang w:val="bg-BG" w:eastAsia="en-US"/>
              </w:rPr>
              <w:t xml:space="preserve"> от експлоатация</w:t>
            </w:r>
            <w:r w:rsidR="005E270B" w:rsidRPr="00A13525">
              <w:rPr>
                <w:rFonts w:eastAsia="Calibri"/>
                <w:sz w:val="24"/>
                <w:szCs w:val="24"/>
                <w:lang w:val="bg-BG" w:eastAsia="en-US"/>
              </w:rPr>
              <w:t xml:space="preserve"> или в одобрен</w:t>
            </w:r>
            <w:r w:rsidR="00030985">
              <w:rPr>
                <w:rFonts w:eastAsia="Calibri"/>
                <w:sz w:val="24"/>
                <w:szCs w:val="24"/>
                <w:lang w:val="bg-BG" w:eastAsia="en-US"/>
              </w:rPr>
              <w:t xml:space="preserve"> </w:t>
            </w:r>
            <w:r w:rsidR="005E270B" w:rsidRPr="00A13525">
              <w:rPr>
                <w:rFonts w:eastAsia="Calibri"/>
                <w:sz w:val="24"/>
                <w:szCs w:val="24"/>
                <w:lang w:val="bg-BG" w:eastAsia="en-US"/>
              </w:rPr>
              <w:t>проект</w:t>
            </w:r>
            <w:r w:rsidR="00771214">
              <w:rPr>
                <w:rFonts w:eastAsia="Calibri"/>
                <w:sz w:val="24"/>
                <w:szCs w:val="24"/>
                <w:lang w:val="bg-BG" w:eastAsia="en-US"/>
              </w:rPr>
              <w:t>;</w:t>
            </w:r>
          </w:p>
          <w:p w14:paraId="51C18E8C" w14:textId="7CE8853E" w:rsidR="00774CBC" w:rsidRDefault="00302B5B" w:rsidP="00774CBC">
            <w:pPr>
              <w:numPr>
                <w:ilvl w:val="0"/>
                <w:numId w:val="8"/>
              </w:numPr>
              <w:jc w:val="both"/>
              <w:rPr>
                <w:rFonts w:eastAsia="Calibri"/>
                <w:sz w:val="24"/>
                <w:szCs w:val="24"/>
                <w:lang w:val="bg-BG" w:eastAsia="en-US"/>
              </w:rPr>
            </w:pPr>
            <w:r w:rsidRPr="00A13525">
              <w:rPr>
                <w:rFonts w:eastAsia="Calibri"/>
                <w:sz w:val="24"/>
                <w:szCs w:val="24"/>
                <w:lang w:val="bg-BG" w:eastAsia="en-US"/>
              </w:rPr>
              <w:t xml:space="preserve">проектиране / </w:t>
            </w:r>
            <w:r w:rsidR="00774CBC" w:rsidRPr="00A13525">
              <w:rPr>
                <w:rFonts w:eastAsia="Calibri"/>
                <w:sz w:val="24"/>
                <w:szCs w:val="24"/>
                <w:lang w:val="bg-BG" w:eastAsia="en-US"/>
              </w:rPr>
              <w:t>изграждане/ основен ремонт/ реконструкция на инфраструктура, която няма пряко отношение към рекултивацията, например довеждащ/отвеждащ път, водопровод, пречиствателни съоръжения, канализация, електропроводи</w:t>
            </w:r>
            <w:r w:rsidRPr="00A13525">
              <w:rPr>
                <w:rFonts w:eastAsia="Calibri"/>
                <w:sz w:val="24"/>
                <w:szCs w:val="24"/>
                <w:lang w:val="bg-BG" w:eastAsia="en-US"/>
              </w:rPr>
              <w:t xml:space="preserve">, </w:t>
            </w:r>
            <w:r w:rsidRPr="00D772C0">
              <w:rPr>
                <w:rFonts w:eastAsia="Calibri"/>
                <w:sz w:val="24"/>
                <w:szCs w:val="24"/>
                <w:lang w:val="bg-BG" w:eastAsia="en-US"/>
              </w:rPr>
              <w:t xml:space="preserve">инсталации и съоръжения за оползотворяване на отделения газ </w:t>
            </w:r>
            <w:r w:rsidR="00774CBC" w:rsidRPr="00D772C0">
              <w:rPr>
                <w:rFonts w:eastAsia="Calibri"/>
                <w:sz w:val="24"/>
                <w:szCs w:val="24"/>
                <w:lang w:val="bg-BG" w:eastAsia="en-US"/>
              </w:rPr>
              <w:t>и др.;</w:t>
            </w:r>
          </w:p>
          <w:p w14:paraId="7F4C9940" w14:textId="6DFAF7A5" w:rsidR="0091266E" w:rsidRPr="00D772C0" w:rsidRDefault="0091266E" w:rsidP="00774CBC">
            <w:pPr>
              <w:numPr>
                <w:ilvl w:val="0"/>
                <w:numId w:val="8"/>
              </w:numPr>
              <w:jc w:val="both"/>
              <w:rPr>
                <w:rFonts w:eastAsia="Calibri"/>
                <w:sz w:val="24"/>
                <w:szCs w:val="24"/>
                <w:lang w:val="bg-BG" w:eastAsia="en-US"/>
              </w:rPr>
            </w:pPr>
            <w:r w:rsidRPr="0091266E">
              <w:rPr>
                <w:rFonts w:eastAsia="Calibri"/>
                <w:sz w:val="24"/>
                <w:szCs w:val="24"/>
                <w:lang w:val="bg-BG" w:eastAsia="en-US"/>
              </w:rPr>
              <w:t>за СМР и за закупуване/доставка/монтаж (пускане в експлоатация) на оборудване/съоръжения, които не са част от одобрения за финансиране инвестиционен проект за техническа рекултивация</w:t>
            </w:r>
            <w:r>
              <w:rPr>
                <w:rFonts w:eastAsia="Calibri"/>
                <w:sz w:val="24"/>
                <w:szCs w:val="24"/>
                <w:lang w:val="bg-BG" w:eastAsia="en-US"/>
              </w:rPr>
              <w:t>;</w:t>
            </w:r>
          </w:p>
          <w:p w14:paraId="098671D2" w14:textId="77777777" w:rsidR="00270FDE" w:rsidRPr="00A13525" w:rsidRDefault="00270FDE" w:rsidP="00774CBC">
            <w:pPr>
              <w:numPr>
                <w:ilvl w:val="0"/>
                <w:numId w:val="8"/>
              </w:numPr>
              <w:jc w:val="both"/>
              <w:rPr>
                <w:rFonts w:eastAsia="Calibri"/>
                <w:sz w:val="24"/>
                <w:szCs w:val="24"/>
                <w:lang w:val="bg-BG" w:eastAsia="en-US"/>
              </w:rPr>
            </w:pPr>
            <w:r w:rsidRPr="00A13525">
              <w:rPr>
                <w:rFonts w:eastAsia="Calibri"/>
                <w:sz w:val="24"/>
                <w:szCs w:val="24"/>
                <w:lang w:val="bg-BG" w:eastAsia="en-US"/>
              </w:rPr>
              <w:t>устройствено планиране;</w:t>
            </w:r>
          </w:p>
          <w:p w14:paraId="05C93A6B" w14:textId="77777777" w:rsidR="00270FDE" w:rsidRPr="00A13525" w:rsidRDefault="00270FDE" w:rsidP="00774CBC">
            <w:pPr>
              <w:numPr>
                <w:ilvl w:val="0"/>
                <w:numId w:val="8"/>
              </w:numPr>
              <w:jc w:val="both"/>
              <w:rPr>
                <w:rFonts w:eastAsia="Calibri"/>
                <w:sz w:val="24"/>
                <w:szCs w:val="24"/>
                <w:lang w:val="bg-BG" w:eastAsia="en-US"/>
              </w:rPr>
            </w:pPr>
            <w:r w:rsidRPr="00A13525">
              <w:rPr>
                <w:rFonts w:eastAsia="Calibri"/>
                <w:sz w:val="24"/>
                <w:szCs w:val="24"/>
                <w:lang w:val="bg-BG" w:eastAsia="en-US"/>
              </w:rPr>
              <w:t>инвестиционно проектиране, с изключение на допуснатата актуализация при обоснована необходимост;</w:t>
            </w:r>
          </w:p>
          <w:p w14:paraId="13D2C608" w14:textId="77777777" w:rsidR="00774CBC" w:rsidRPr="00A13525" w:rsidRDefault="00774CBC" w:rsidP="00774CBC">
            <w:pPr>
              <w:numPr>
                <w:ilvl w:val="0"/>
                <w:numId w:val="8"/>
              </w:numPr>
              <w:jc w:val="both"/>
              <w:rPr>
                <w:rFonts w:eastAsia="Calibri"/>
                <w:sz w:val="24"/>
                <w:szCs w:val="24"/>
                <w:lang w:val="bg-BG" w:eastAsia="en-US"/>
              </w:rPr>
            </w:pPr>
            <w:r w:rsidRPr="00A13525">
              <w:rPr>
                <w:rFonts w:eastAsia="Calibri"/>
                <w:sz w:val="24"/>
                <w:szCs w:val="24"/>
                <w:lang w:val="bg-BG" w:eastAsia="en-US"/>
              </w:rPr>
              <w:t>последваща поддръжка на рекултивираните терени и следексплоатационните грижи за площадката на депото по смисъла на т. 28 от § 1 от Допълнителните разпоредби на Наредба № 6</w:t>
            </w:r>
            <w:r w:rsidR="00CB1890">
              <w:rPr>
                <w:rFonts w:eastAsia="Calibri"/>
                <w:sz w:val="24"/>
                <w:szCs w:val="24"/>
                <w:lang w:val="bg-BG" w:eastAsia="en-US"/>
              </w:rPr>
              <w:t xml:space="preserve"> от </w:t>
            </w:r>
            <w:r w:rsidRPr="00A13525">
              <w:rPr>
                <w:rFonts w:eastAsia="Calibri"/>
                <w:sz w:val="24"/>
                <w:szCs w:val="24"/>
                <w:lang w:val="bg-BG" w:eastAsia="en-US"/>
              </w:rPr>
              <w:t>2013 г., както и извършването на същинския контрол и мониторинг;</w:t>
            </w:r>
          </w:p>
          <w:p w14:paraId="61A6D754" w14:textId="17372B8E" w:rsidR="005B766B" w:rsidRPr="00A13525" w:rsidRDefault="00F16677" w:rsidP="00774CBC">
            <w:pPr>
              <w:numPr>
                <w:ilvl w:val="0"/>
                <w:numId w:val="8"/>
              </w:numPr>
              <w:jc w:val="both"/>
              <w:rPr>
                <w:rFonts w:eastAsia="Calibri"/>
                <w:sz w:val="24"/>
                <w:szCs w:val="24"/>
                <w:lang w:val="bg-BG" w:eastAsia="en-US"/>
              </w:rPr>
            </w:pPr>
            <w:r w:rsidRPr="00A13525">
              <w:rPr>
                <w:rFonts w:eastAsia="Calibri"/>
                <w:sz w:val="24"/>
                <w:szCs w:val="24"/>
                <w:lang w:val="bg-BG" w:eastAsia="en-US"/>
              </w:rPr>
              <w:t xml:space="preserve">извършване на стопанска дейност от общините или други лица по смисъла на </w:t>
            </w:r>
            <w:r w:rsidRPr="00A13525">
              <w:rPr>
                <w:rFonts w:eastAsia="Calibri"/>
                <w:i/>
                <w:iCs/>
                <w:sz w:val="24"/>
                <w:szCs w:val="24"/>
                <w:lang w:val="bg-BG" w:eastAsia="en-US"/>
              </w:rPr>
              <w:t>Закона за общинската собственост</w:t>
            </w:r>
            <w:r w:rsidRPr="00A13525">
              <w:rPr>
                <w:rFonts w:eastAsia="Calibri"/>
                <w:sz w:val="24"/>
                <w:szCs w:val="24"/>
                <w:lang w:val="bg-BG" w:eastAsia="en-US"/>
              </w:rPr>
              <w:t xml:space="preserve"> </w:t>
            </w:r>
            <w:r w:rsidR="000C45DA">
              <w:rPr>
                <w:rFonts w:eastAsia="Calibri"/>
                <w:sz w:val="24"/>
                <w:szCs w:val="24"/>
                <w:lang w:val="bg-BG" w:eastAsia="en-US"/>
              </w:rPr>
              <w:t xml:space="preserve">върху </w:t>
            </w:r>
            <w:r w:rsidRPr="00A13525">
              <w:rPr>
                <w:rFonts w:eastAsia="Calibri"/>
                <w:sz w:val="24"/>
                <w:szCs w:val="24"/>
                <w:lang w:val="bg-BG" w:eastAsia="en-US"/>
              </w:rPr>
              <w:t>площта за рекултивация, по време на изпълнение на проекта и в срока на дълготрайност на проектното предложение - 5 години от окончателното плащане към бенефициента по проекта</w:t>
            </w:r>
            <w:r w:rsidR="00302B5B" w:rsidRPr="00A13525">
              <w:rPr>
                <w:rFonts w:eastAsia="Calibri"/>
                <w:sz w:val="24"/>
                <w:szCs w:val="24"/>
                <w:lang w:val="bg-BG" w:eastAsia="en-US"/>
              </w:rPr>
              <w:t>;</w:t>
            </w:r>
          </w:p>
          <w:p w14:paraId="698F5BE3" w14:textId="53228039" w:rsidR="00774CBC" w:rsidRPr="00A13525" w:rsidRDefault="00774CBC" w:rsidP="00774CBC">
            <w:pPr>
              <w:numPr>
                <w:ilvl w:val="0"/>
                <w:numId w:val="8"/>
              </w:numPr>
              <w:jc w:val="both"/>
              <w:rPr>
                <w:rFonts w:eastAsia="Calibri"/>
                <w:sz w:val="24"/>
                <w:szCs w:val="24"/>
                <w:lang w:val="bg-BG" w:eastAsia="en-US"/>
              </w:rPr>
            </w:pPr>
            <w:r w:rsidRPr="00A13525">
              <w:rPr>
                <w:rFonts w:eastAsia="Calibri"/>
                <w:sz w:val="24"/>
                <w:szCs w:val="24"/>
                <w:lang w:val="bg-BG" w:eastAsia="en-US"/>
              </w:rPr>
              <w:t>изпълнението</w:t>
            </w:r>
            <w:r w:rsidR="008539EF" w:rsidRPr="00B77D23">
              <w:rPr>
                <w:rFonts w:eastAsia="Calibri"/>
                <w:sz w:val="24"/>
                <w:szCs w:val="24"/>
                <w:lang w:val="bg-BG" w:eastAsia="en-US"/>
              </w:rPr>
              <w:t xml:space="preserve"> </w:t>
            </w:r>
            <w:r w:rsidR="008539EF">
              <w:rPr>
                <w:rFonts w:eastAsia="Calibri"/>
                <w:sz w:val="24"/>
                <w:szCs w:val="24"/>
                <w:lang w:val="bg-BG" w:eastAsia="en-US"/>
              </w:rPr>
              <w:t>на</w:t>
            </w:r>
            <w:r w:rsidRPr="00A13525">
              <w:rPr>
                <w:rFonts w:eastAsia="Calibri"/>
                <w:sz w:val="24"/>
                <w:szCs w:val="24"/>
                <w:lang w:val="bg-BG" w:eastAsia="en-US"/>
              </w:rPr>
              <w:t xml:space="preserve"> </w:t>
            </w:r>
            <w:r w:rsidR="00270FDE" w:rsidRPr="00A13525">
              <w:rPr>
                <w:rFonts w:eastAsia="Calibri"/>
                <w:sz w:val="24"/>
                <w:szCs w:val="24"/>
                <w:lang w:val="bg-BG" w:eastAsia="en-US"/>
              </w:rPr>
              <w:t>дейности, за които</w:t>
            </w:r>
            <w:r w:rsidRPr="00A13525">
              <w:rPr>
                <w:rFonts w:eastAsia="Calibri"/>
                <w:sz w:val="24"/>
                <w:szCs w:val="24"/>
                <w:lang w:val="bg-BG" w:eastAsia="en-US"/>
              </w:rPr>
              <w:t xml:space="preserve"> вече е било предоставено финансиране със средства от </w:t>
            </w:r>
            <w:r w:rsidR="00CB1890">
              <w:rPr>
                <w:rFonts w:eastAsia="Calibri"/>
                <w:sz w:val="24"/>
                <w:szCs w:val="24"/>
                <w:lang w:val="bg-BG" w:eastAsia="en-US"/>
              </w:rPr>
              <w:t xml:space="preserve">Европейските фондове за споделено управление </w:t>
            </w:r>
            <w:r w:rsidRPr="00A13525">
              <w:rPr>
                <w:rFonts w:eastAsia="Calibri"/>
                <w:sz w:val="24"/>
                <w:szCs w:val="24"/>
                <w:lang w:val="bg-BG" w:eastAsia="en-US"/>
              </w:rPr>
              <w:t>или чрез други инструменти на Европейския съюз, както и с други публични средства, различни от тези на бенефициента;</w:t>
            </w:r>
          </w:p>
          <w:p w14:paraId="6C3A46B0" w14:textId="77777777" w:rsidR="000B7930" w:rsidRDefault="00774CBC" w:rsidP="00774CBC">
            <w:pPr>
              <w:numPr>
                <w:ilvl w:val="0"/>
                <w:numId w:val="8"/>
              </w:numPr>
              <w:jc w:val="both"/>
              <w:rPr>
                <w:rFonts w:eastAsia="Calibri"/>
                <w:sz w:val="24"/>
                <w:szCs w:val="24"/>
                <w:lang w:val="bg-BG" w:eastAsia="en-US"/>
              </w:rPr>
            </w:pPr>
            <w:r w:rsidRPr="00A13525">
              <w:rPr>
                <w:rFonts w:eastAsia="Calibri"/>
                <w:sz w:val="24"/>
                <w:szCs w:val="24"/>
                <w:lang w:val="bg-BG" w:eastAsia="en-US"/>
              </w:rPr>
              <w:t>закупуване</w:t>
            </w:r>
            <w:r w:rsidR="000450EB" w:rsidRPr="00A13525">
              <w:rPr>
                <w:rFonts w:eastAsia="Calibri"/>
                <w:sz w:val="24"/>
                <w:szCs w:val="24"/>
                <w:lang w:val="bg-BG" w:eastAsia="en-US"/>
              </w:rPr>
              <w:t xml:space="preserve"> </w:t>
            </w:r>
            <w:r w:rsidRPr="00A13525">
              <w:rPr>
                <w:rFonts w:eastAsia="Calibri"/>
                <w:sz w:val="24"/>
                <w:szCs w:val="24"/>
                <w:lang w:val="bg-BG" w:eastAsia="en-US"/>
              </w:rPr>
              <w:t>/ придобиване</w:t>
            </w:r>
            <w:r w:rsidR="000450EB" w:rsidRPr="00A13525">
              <w:rPr>
                <w:rFonts w:eastAsia="Calibri"/>
                <w:sz w:val="24"/>
                <w:szCs w:val="24"/>
                <w:lang w:val="bg-BG" w:eastAsia="en-US"/>
              </w:rPr>
              <w:t xml:space="preserve"> </w:t>
            </w:r>
            <w:r w:rsidRPr="00A13525">
              <w:rPr>
                <w:rFonts w:eastAsia="Calibri"/>
                <w:sz w:val="24"/>
                <w:szCs w:val="24"/>
                <w:lang w:val="bg-BG" w:eastAsia="en-US"/>
              </w:rPr>
              <w:t>/ отчуждаване на застроени и незастроени земи и недвижими имоти</w:t>
            </w:r>
            <w:r w:rsidR="000B7930">
              <w:rPr>
                <w:rFonts w:eastAsia="Calibri"/>
                <w:sz w:val="24"/>
                <w:szCs w:val="24"/>
                <w:lang w:val="bg-BG" w:eastAsia="en-US"/>
              </w:rPr>
              <w:t>;</w:t>
            </w:r>
          </w:p>
          <w:p w14:paraId="3BC504D5" w14:textId="6D9DE4D8" w:rsidR="00774CBC" w:rsidRPr="00A13525" w:rsidRDefault="000B7930" w:rsidP="00774CBC">
            <w:pPr>
              <w:numPr>
                <w:ilvl w:val="0"/>
                <w:numId w:val="8"/>
              </w:numPr>
              <w:jc w:val="both"/>
              <w:rPr>
                <w:rFonts w:eastAsia="Calibri"/>
                <w:sz w:val="24"/>
                <w:szCs w:val="24"/>
                <w:lang w:val="bg-BG" w:eastAsia="en-US"/>
              </w:rPr>
            </w:pPr>
            <w:r w:rsidRPr="000B7930">
              <w:rPr>
                <w:rFonts w:eastAsia="Calibri"/>
                <w:sz w:val="24"/>
                <w:szCs w:val="24"/>
                <w:lang w:val="bg-BG" w:eastAsia="en-US"/>
              </w:rPr>
              <w:t>ДДС върху недопустими дейности и възстановим ДДС съгласно чл. 8 от ПМС № 86/2023 г.</w:t>
            </w:r>
          </w:p>
          <w:p w14:paraId="3BF294BB" w14:textId="77777777" w:rsidR="006C0166" w:rsidRDefault="006C0166" w:rsidP="00680BB8">
            <w:pPr>
              <w:tabs>
                <w:tab w:val="left" w:pos="183"/>
              </w:tabs>
              <w:spacing w:after="240"/>
              <w:jc w:val="both"/>
              <w:rPr>
                <w:rFonts w:eastAsia="Calibri"/>
                <w:bCs/>
                <w:sz w:val="24"/>
                <w:szCs w:val="24"/>
                <w:lang w:val="bg-BG" w:eastAsia="en-US"/>
              </w:rPr>
            </w:pPr>
          </w:p>
          <w:p w14:paraId="7C3556C8" w14:textId="67B593C3" w:rsidR="00E3137D" w:rsidRPr="00A13525" w:rsidRDefault="00A13525" w:rsidP="00680BB8">
            <w:pPr>
              <w:tabs>
                <w:tab w:val="left" w:pos="183"/>
              </w:tabs>
              <w:spacing w:after="240"/>
              <w:jc w:val="both"/>
              <w:rPr>
                <w:rFonts w:eastAsia="Calibri"/>
                <w:bCs/>
                <w:sz w:val="24"/>
                <w:szCs w:val="24"/>
                <w:lang w:val="bg-BG" w:eastAsia="en-US"/>
              </w:rPr>
            </w:pPr>
            <w:r w:rsidRPr="00A13525">
              <w:rPr>
                <w:rFonts w:eastAsia="Calibri"/>
                <w:bCs/>
                <w:sz w:val="24"/>
                <w:szCs w:val="24"/>
                <w:lang w:val="bg-BG" w:eastAsia="en-US"/>
              </w:rPr>
              <w:t xml:space="preserve">Кандидатът трябва </w:t>
            </w:r>
            <w:r w:rsidR="0011290D">
              <w:rPr>
                <w:rFonts w:eastAsia="Calibri"/>
                <w:bCs/>
                <w:sz w:val="24"/>
                <w:szCs w:val="24"/>
                <w:lang w:val="bg-BG" w:eastAsia="en-US"/>
              </w:rPr>
              <w:t xml:space="preserve">да </w:t>
            </w:r>
            <w:r w:rsidRPr="00A13525">
              <w:rPr>
                <w:rFonts w:eastAsia="Calibri"/>
                <w:bCs/>
                <w:sz w:val="24"/>
                <w:szCs w:val="24"/>
                <w:lang w:val="bg-BG" w:eastAsia="en-US"/>
              </w:rPr>
              <w:t xml:space="preserve">изпълни биологичната рекултивация в срок до 5 години от окончателното плащане по проекта. </w:t>
            </w:r>
            <w:r w:rsidR="002254C9" w:rsidRPr="002254C9">
              <w:rPr>
                <w:sz w:val="24"/>
                <w:szCs w:val="24"/>
                <w:lang w:val="bg-BG"/>
              </w:rPr>
              <w:t>В случай че бенефициентът и партньорът не изпълнят посоченото задължение, те се задължават да върнат на Управляващия орган предоставената безвъзмездна финансова помощ по договора</w:t>
            </w:r>
            <w:r>
              <w:rPr>
                <w:rFonts w:eastAsia="Calibri"/>
                <w:bCs/>
                <w:sz w:val="24"/>
                <w:szCs w:val="24"/>
                <w:lang w:val="bg-BG" w:eastAsia="en-US"/>
              </w:rPr>
              <w:t>.</w:t>
            </w:r>
            <w:bookmarkEnd w:id="16"/>
          </w:p>
        </w:tc>
      </w:tr>
    </w:tbl>
    <w:p w14:paraId="699C9764" w14:textId="77777777" w:rsidR="00C43636" w:rsidRPr="00A13525" w:rsidRDefault="00C43636" w:rsidP="006B424A">
      <w:pPr>
        <w:jc w:val="both"/>
        <w:rPr>
          <w:b/>
          <w:sz w:val="24"/>
          <w:szCs w:val="24"/>
          <w:lang w:val="bg-BG"/>
        </w:rPr>
      </w:pPr>
    </w:p>
    <w:sectPr w:rsidR="00C43636" w:rsidRPr="00A13525" w:rsidSect="00C9124B">
      <w:footerReference w:type="default" r:id="rId10"/>
      <w:footerReference w:type="first" r:id="rId11"/>
      <w:pgSz w:w="11906" w:h="16838"/>
      <w:pgMar w:top="1843" w:right="1286" w:bottom="1418" w:left="1260" w:header="709"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D1C88A" w14:textId="77777777" w:rsidR="00464C18" w:rsidRDefault="00464C18">
      <w:r>
        <w:separator/>
      </w:r>
    </w:p>
  </w:endnote>
  <w:endnote w:type="continuationSeparator" w:id="0">
    <w:p w14:paraId="00A0FC01" w14:textId="77777777" w:rsidR="00464C18" w:rsidRDefault="00464C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Futura Bk">
    <w:altName w:val="Century Gothic"/>
    <w:charset w:val="CC"/>
    <w:family w:val="swiss"/>
    <w:pitch w:val="variable"/>
    <w:sig w:usb0="00000287" w:usb1="00000000" w:usb2="00000000" w:usb3="00000000" w:csb0="0000009F" w:csb1="00000000"/>
  </w:font>
  <w:font w:name="EUAlbertina">
    <w:altName w:val="Times New Roman"/>
    <w:panose1 w:val="00000000000000000000"/>
    <w:charset w:val="CC"/>
    <w:family w:val="swiss"/>
    <w:notTrueType/>
    <w:pitch w:val="default"/>
    <w:sig w:usb0="00000201" w:usb1="00000000" w:usb2="00000000" w:usb3="00000000" w:csb0="00000004" w:csb1="00000000"/>
  </w:font>
  <w:font w:name="Arial Narrow">
    <w:panose1 w:val="020B0606020202030204"/>
    <w:charset w:val="CC"/>
    <w:family w:val="swiss"/>
    <w:pitch w:val="variable"/>
    <w:sig w:usb0="00000287" w:usb1="000008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1C2046" w14:textId="77777777" w:rsidR="00FA2B58" w:rsidRDefault="00FA2B58">
    <w:pPr>
      <w:pStyle w:val="Footer"/>
      <w:jc w:val="right"/>
    </w:pPr>
    <w:r>
      <w:fldChar w:fldCharType="begin"/>
    </w:r>
    <w:r>
      <w:instrText xml:space="preserve"> PAGE   \* MERGEFORMAT </w:instrText>
    </w:r>
    <w:r>
      <w:fldChar w:fldCharType="separate"/>
    </w:r>
    <w:r w:rsidR="00BB73A1">
      <w:rPr>
        <w:noProof/>
      </w:rPr>
      <w:t>5</w:t>
    </w:r>
    <w:r>
      <w:rPr>
        <w:noProof/>
      </w:rPr>
      <w:fldChar w:fldCharType="end"/>
    </w:r>
  </w:p>
  <w:p w14:paraId="100F0A74" w14:textId="77777777" w:rsidR="00FA2B58" w:rsidRDefault="00FA2B5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078710" w14:textId="77777777" w:rsidR="00FA2B58" w:rsidRDefault="00FA2B58">
    <w:pPr>
      <w:pStyle w:val="Footer"/>
      <w:jc w:val="right"/>
    </w:pPr>
    <w:r>
      <w:fldChar w:fldCharType="begin"/>
    </w:r>
    <w:r>
      <w:instrText xml:space="preserve"> PAGE   \* MERGEFORMAT </w:instrText>
    </w:r>
    <w:r>
      <w:fldChar w:fldCharType="separate"/>
    </w:r>
    <w:r w:rsidR="00BB73A1">
      <w:rPr>
        <w:noProof/>
      </w:rPr>
      <w:t>1</w:t>
    </w:r>
    <w:r>
      <w:rPr>
        <w:noProof/>
      </w:rPr>
      <w:fldChar w:fldCharType="end"/>
    </w:r>
  </w:p>
  <w:p w14:paraId="2DD52BDC" w14:textId="77777777" w:rsidR="00FA2B58" w:rsidRDefault="00FA2B58" w:rsidP="0047500E">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17ED09" w14:textId="77777777" w:rsidR="00464C18" w:rsidRDefault="00464C18">
      <w:r>
        <w:separator/>
      </w:r>
    </w:p>
  </w:footnote>
  <w:footnote w:type="continuationSeparator" w:id="0">
    <w:p w14:paraId="1221C0D8" w14:textId="77777777" w:rsidR="00464C18" w:rsidRDefault="00464C1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2594F234"/>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27322EF"/>
    <w:multiLevelType w:val="hybridMultilevel"/>
    <w:tmpl w:val="284078C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046E2B18"/>
    <w:multiLevelType w:val="hybridMultilevel"/>
    <w:tmpl w:val="D5A81522"/>
    <w:lvl w:ilvl="0" w:tplc="2036028E">
      <w:start w:val="1"/>
      <w:numFmt w:val="bullet"/>
      <w:lvlText w:val="-"/>
      <w:lvlJc w:val="left"/>
      <w:pPr>
        <w:tabs>
          <w:tab w:val="num" w:pos="720"/>
        </w:tabs>
        <w:ind w:left="720" w:hanging="360"/>
      </w:pPr>
      <w:rPr>
        <w:rFonts w:ascii="Times New Roman" w:hAnsi="Times New Roman" w:hint="default"/>
      </w:rPr>
    </w:lvl>
    <w:lvl w:ilvl="1" w:tplc="4798FA38" w:tentative="1">
      <w:start w:val="1"/>
      <w:numFmt w:val="bullet"/>
      <w:lvlText w:val="-"/>
      <w:lvlJc w:val="left"/>
      <w:pPr>
        <w:tabs>
          <w:tab w:val="num" w:pos="1440"/>
        </w:tabs>
        <w:ind w:left="1440" w:hanging="360"/>
      </w:pPr>
      <w:rPr>
        <w:rFonts w:ascii="Times New Roman" w:hAnsi="Times New Roman" w:hint="default"/>
      </w:rPr>
    </w:lvl>
    <w:lvl w:ilvl="2" w:tplc="C1E4D856" w:tentative="1">
      <w:start w:val="1"/>
      <w:numFmt w:val="bullet"/>
      <w:lvlText w:val="-"/>
      <w:lvlJc w:val="left"/>
      <w:pPr>
        <w:tabs>
          <w:tab w:val="num" w:pos="2160"/>
        </w:tabs>
        <w:ind w:left="2160" w:hanging="360"/>
      </w:pPr>
      <w:rPr>
        <w:rFonts w:ascii="Times New Roman" w:hAnsi="Times New Roman" w:hint="default"/>
      </w:rPr>
    </w:lvl>
    <w:lvl w:ilvl="3" w:tplc="EBF4B42C" w:tentative="1">
      <w:start w:val="1"/>
      <w:numFmt w:val="bullet"/>
      <w:lvlText w:val="-"/>
      <w:lvlJc w:val="left"/>
      <w:pPr>
        <w:tabs>
          <w:tab w:val="num" w:pos="2880"/>
        </w:tabs>
        <w:ind w:left="2880" w:hanging="360"/>
      </w:pPr>
      <w:rPr>
        <w:rFonts w:ascii="Times New Roman" w:hAnsi="Times New Roman" w:hint="default"/>
      </w:rPr>
    </w:lvl>
    <w:lvl w:ilvl="4" w:tplc="A09ADD9A" w:tentative="1">
      <w:start w:val="1"/>
      <w:numFmt w:val="bullet"/>
      <w:lvlText w:val="-"/>
      <w:lvlJc w:val="left"/>
      <w:pPr>
        <w:tabs>
          <w:tab w:val="num" w:pos="3600"/>
        </w:tabs>
        <w:ind w:left="3600" w:hanging="360"/>
      </w:pPr>
      <w:rPr>
        <w:rFonts w:ascii="Times New Roman" w:hAnsi="Times New Roman" w:hint="default"/>
      </w:rPr>
    </w:lvl>
    <w:lvl w:ilvl="5" w:tplc="0C883184" w:tentative="1">
      <w:start w:val="1"/>
      <w:numFmt w:val="bullet"/>
      <w:lvlText w:val="-"/>
      <w:lvlJc w:val="left"/>
      <w:pPr>
        <w:tabs>
          <w:tab w:val="num" w:pos="4320"/>
        </w:tabs>
        <w:ind w:left="4320" w:hanging="360"/>
      </w:pPr>
      <w:rPr>
        <w:rFonts w:ascii="Times New Roman" w:hAnsi="Times New Roman" w:hint="default"/>
      </w:rPr>
    </w:lvl>
    <w:lvl w:ilvl="6" w:tplc="DD8AB158" w:tentative="1">
      <w:start w:val="1"/>
      <w:numFmt w:val="bullet"/>
      <w:lvlText w:val="-"/>
      <w:lvlJc w:val="left"/>
      <w:pPr>
        <w:tabs>
          <w:tab w:val="num" w:pos="5040"/>
        </w:tabs>
        <w:ind w:left="5040" w:hanging="360"/>
      </w:pPr>
      <w:rPr>
        <w:rFonts w:ascii="Times New Roman" w:hAnsi="Times New Roman" w:hint="default"/>
      </w:rPr>
    </w:lvl>
    <w:lvl w:ilvl="7" w:tplc="17A6861A" w:tentative="1">
      <w:start w:val="1"/>
      <w:numFmt w:val="bullet"/>
      <w:lvlText w:val="-"/>
      <w:lvlJc w:val="left"/>
      <w:pPr>
        <w:tabs>
          <w:tab w:val="num" w:pos="5760"/>
        </w:tabs>
        <w:ind w:left="5760" w:hanging="360"/>
      </w:pPr>
      <w:rPr>
        <w:rFonts w:ascii="Times New Roman" w:hAnsi="Times New Roman" w:hint="default"/>
      </w:rPr>
    </w:lvl>
    <w:lvl w:ilvl="8" w:tplc="FDFA276E" w:tentative="1">
      <w:start w:val="1"/>
      <w:numFmt w:val="bullet"/>
      <w:lvlText w:val="-"/>
      <w:lvlJc w:val="left"/>
      <w:pPr>
        <w:tabs>
          <w:tab w:val="num" w:pos="6480"/>
        </w:tabs>
        <w:ind w:left="6480" w:hanging="360"/>
      </w:pPr>
      <w:rPr>
        <w:rFonts w:ascii="Times New Roman" w:hAnsi="Times New Roman" w:hint="default"/>
      </w:rPr>
    </w:lvl>
  </w:abstractNum>
  <w:abstractNum w:abstractNumId="3" w15:restartNumberingAfterBreak="0">
    <w:nsid w:val="05C4566F"/>
    <w:multiLevelType w:val="hybridMultilevel"/>
    <w:tmpl w:val="29EC9276"/>
    <w:lvl w:ilvl="0" w:tplc="015EEB3E">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07EB68BD"/>
    <w:multiLevelType w:val="hybridMultilevel"/>
    <w:tmpl w:val="1202595C"/>
    <w:lvl w:ilvl="0" w:tplc="65F281FC">
      <w:start w:val="1"/>
      <w:numFmt w:val="decimal"/>
      <w:lvlText w:val="%1."/>
      <w:lvlJc w:val="left"/>
      <w:pPr>
        <w:ind w:left="720" w:hanging="360"/>
      </w:pPr>
      <w:rPr>
        <w:rFonts w:hint="default"/>
        <w:i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15:restartNumberingAfterBreak="0">
    <w:nsid w:val="08CC1C1F"/>
    <w:multiLevelType w:val="hybridMultilevel"/>
    <w:tmpl w:val="2BB88A6E"/>
    <w:lvl w:ilvl="0" w:tplc="0402000F">
      <w:start w:val="1"/>
      <w:numFmt w:val="decimal"/>
      <w:lvlText w:val="%1."/>
      <w:lvlJc w:val="left"/>
      <w:pPr>
        <w:ind w:left="360" w:hanging="360"/>
      </w:pPr>
      <w:rPr>
        <w:rFonts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6" w15:restartNumberingAfterBreak="0">
    <w:nsid w:val="104D05DB"/>
    <w:multiLevelType w:val="hybridMultilevel"/>
    <w:tmpl w:val="13340300"/>
    <w:lvl w:ilvl="0" w:tplc="0402000F">
      <w:start w:val="1"/>
      <w:numFmt w:val="decimal"/>
      <w:lvlText w:val="%1."/>
      <w:lvlJc w:val="left"/>
      <w:pPr>
        <w:ind w:left="543" w:hanging="360"/>
      </w:pPr>
    </w:lvl>
    <w:lvl w:ilvl="1" w:tplc="04020019" w:tentative="1">
      <w:start w:val="1"/>
      <w:numFmt w:val="lowerLetter"/>
      <w:lvlText w:val="%2."/>
      <w:lvlJc w:val="left"/>
      <w:pPr>
        <w:ind w:left="1263" w:hanging="360"/>
      </w:pPr>
    </w:lvl>
    <w:lvl w:ilvl="2" w:tplc="0402001B" w:tentative="1">
      <w:start w:val="1"/>
      <w:numFmt w:val="lowerRoman"/>
      <w:lvlText w:val="%3."/>
      <w:lvlJc w:val="right"/>
      <w:pPr>
        <w:ind w:left="1983" w:hanging="180"/>
      </w:pPr>
    </w:lvl>
    <w:lvl w:ilvl="3" w:tplc="0402000F" w:tentative="1">
      <w:start w:val="1"/>
      <w:numFmt w:val="decimal"/>
      <w:lvlText w:val="%4."/>
      <w:lvlJc w:val="left"/>
      <w:pPr>
        <w:ind w:left="2703" w:hanging="360"/>
      </w:pPr>
    </w:lvl>
    <w:lvl w:ilvl="4" w:tplc="04020019" w:tentative="1">
      <w:start w:val="1"/>
      <w:numFmt w:val="lowerLetter"/>
      <w:lvlText w:val="%5."/>
      <w:lvlJc w:val="left"/>
      <w:pPr>
        <w:ind w:left="3423" w:hanging="360"/>
      </w:pPr>
    </w:lvl>
    <w:lvl w:ilvl="5" w:tplc="0402001B" w:tentative="1">
      <w:start w:val="1"/>
      <w:numFmt w:val="lowerRoman"/>
      <w:lvlText w:val="%6."/>
      <w:lvlJc w:val="right"/>
      <w:pPr>
        <w:ind w:left="4143" w:hanging="180"/>
      </w:pPr>
    </w:lvl>
    <w:lvl w:ilvl="6" w:tplc="0402000F" w:tentative="1">
      <w:start w:val="1"/>
      <w:numFmt w:val="decimal"/>
      <w:lvlText w:val="%7."/>
      <w:lvlJc w:val="left"/>
      <w:pPr>
        <w:ind w:left="4863" w:hanging="360"/>
      </w:pPr>
    </w:lvl>
    <w:lvl w:ilvl="7" w:tplc="04020019" w:tentative="1">
      <w:start w:val="1"/>
      <w:numFmt w:val="lowerLetter"/>
      <w:lvlText w:val="%8."/>
      <w:lvlJc w:val="left"/>
      <w:pPr>
        <w:ind w:left="5583" w:hanging="360"/>
      </w:pPr>
    </w:lvl>
    <w:lvl w:ilvl="8" w:tplc="0402001B" w:tentative="1">
      <w:start w:val="1"/>
      <w:numFmt w:val="lowerRoman"/>
      <w:lvlText w:val="%9."/>
      <w:lvlJc w:val="right"/>
      <w:pPr>
        <w:ind w:left="6303" w:hanging="180"/>
      </w:pPr>
    </w:lvl>
  </w:abstractNum>
  <w:abstractNum w:abstractNumId="7" w15:restartNumberingAfterBreak="0">
    <w:nsid w:val="14FE0D6A"/>
    <w:multiLevelType w:val="multilevel"/>
    <w:tmpl w:val="8738162C"/>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26456DE5"/>
    <w:multiLevelType w:val="hybridMultilevel"/>
    <w:tmpl w:val="2BC21E46"/>
    <w:lvl w:ilvl="0" w:tplc="6C625174">
      <w:start w:val="1"/>
      <w:numFmt w:val="bullet"/>
      <w:lvlText w:val="-"/>
      <w:lvlJc w:val="left"/>
      <w:pPr>
        <w:ind w:left="720" w:hanging="360"/>
      </w:pPr>
      <w:rPr>
        <w:rFonts w:ascii="Times New Roman" w:eastAsia="Times New Roman" w:hAnsi="Times New Roman" w:cs="Times New Roman" w:hint="default"/>
        <w:color w:val="FF000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15:restartNumberingAfterBreak="0">
    <w:nsid w:val="32E823C2"/>
    <w:multiLevelType w:val="hybridMultilevel"/>
    <w:tmpl w:val="B9A2EE50"/>
    <w:lvl w:ilvl="0" w:tplc="CB3A1B54">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15:restartNumberingAfterBreak="0">
    <w:nsid w:val="34043C41"/>
    <w:multiLevelType w:val="hybridMultilevel"/>
    <w:tmpl w:val="E6108864"/>
    <w:lvl w:ilvl="0" w:tplc="5EC2B742">
      <w:start w:val="8"/>
      <w:numFmt w:val="bullet"/>
      <w:lvlText w:val="-"/>
      <w:lvlJc w:val="left"/>
      <w:pPr>
        <w:ind w:left="360" w:hanging="360"/>
      </w:pPr>
      <w:rPr>
        <w:rFonts w:ascii="Times New Roman" w:eastAsia="Calibri" w:hAnsi="Times New Roman" w:cs="Times New Roman"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1" w15:restartNumberingAfterBreak="0">
    <w:nsid w:val="386E1C95"/>
    <w:multiLevelType w:val="hybridMultilevel"/>
    <w:tmpl w:val="8E34E79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15:restartNumberingAfterBreak="0">
    <w:nsid w:val="3EA578ED"/>
    <w:multiLevelType w:val="hybridMultilevel"/>
    <w:tmpl w:val="8FC8776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15:restartNumberingAfterBreak="0">
    <w:nsid w:val="43B82998"/>
    <w:multiLevelType w:val="hybridMultilevel"/>
    <w:tmpl w:val="5BD468AC"/>
    <w:lvl w:ilvl="0" w:tplc="722EE6FE">
      <w:numFmt w:val="bullet"/>
      <w:lvlText w:val="-"/>
      <w:lvlJc w:val="left"/>
      <w:pPr>
        <w:ind w:left="360" w:hanging="360"/>
      </w:pPr>
      <w:rPr>
        <w:rFonts w:ascii="Times New Roman" w:eastAsia="Times New Roman" w:hAnsi="Times New Roman" w:cs="Times New Roman"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4" w15:restartNumberingAfterBreak="0">
    <w:nsid w:val="4E8F88EF"/>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552D7571"/>
    <w:multiLevelType w:val="hybridMultilevel"/>
    <w:tmpl w:val="F29263E0"/>
    <w:lvl w:ilvl="0" w:tplc="A8C88340">
      <w:numFmt w:val="bullet"/>
      <w:lvlText w:val="-"/>
      <w:lvlJc w:val="left"/>
      <w:pPr>
        <w:ind w:left="360" w:hanging="360"/>
      </w:pPr>
      <w:rPr>
        <w:rFonts w:ascii="Times New Roman" w:eastAsia="Times New Roman" w:hAnsi="Times New Roman" w:cs="Times New Roman"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6" w15:restartNumberingAfterBreak="0">
    <w:nsid w:val="559E674A"/>
    <w:multiLevelType w:val="hybridMultilevel"/>
    <w:tmpl w:val="7D8E4EE4"/>
    <w:lvl w:ilvl="0" w:tplc="0402000F">
      <w:start w:val="1"/>
      <w:numFmt w:val="decimal"/>
      <w:lvlText w:val="%1."/>
      <w:lvlJc w:val="left"/>
      <w:pPr>
        <w:ind w:left="360" w:hanging="360"/>
      </w:pPr>
    </w:lvl>
    <w:lvl w:ilvl="1" w:tplc="04020019">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17" w15:restartNumberingAfterBreak="0">
    <w:nsid w:val="5EE94B56"/>
    <w:multiLevelType w:val="hybridMultilevel"/>
    <w:tmpl w:val="711A7BBC"/>
    <w:lvl w:ilvl="0" w:tplc="E3501C4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8" w15:restartNumberingAfterBreak="0">
    <w:nsid w:val="67131C36"/>
    <w:multiLevelType w:val="hybridMultilevel"/>
    <w:tmpl w:val="5FE07702"/>
    <w:lvl w:ilvl="0" w:tplc="0402000F">
      <w:start w:val="1"/>
      <w:numFmt w:val="decimal"/>
      <w:lvlText w:val="%1."/>
      <w:lvlJc w:val="left"/>
      <w:pPr>
        <w:ind w:left="360" w:hanging="360"/>
      </w:pPr>
      <w:rPr>
        <w:rFonts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19" w15:restartNumberingAfterBreak="0">
    <w:nsid w:val="70117EDC"/>
    <w:multiLevelType w:val="hybridMultilevel"/>
    <w:tmpl w:val="F8DCA88A"/>
    <w:lvl w:ilvl="0" w:tplc="43E89F34">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0" w15:restartNumberingAfterBreak="0">
    <w:nsid w:val="768934E4"/>
    <w:multiLevelType w:val="hybridMultilevel"/>
    <w:tmpl w:val="C02CE6D2"/>
    <w:lvl w:ilvl="0" w:tplc="EC1A68E8">
      <w:start w:val="20"/>
      <w:numFmt w:val="bullet"/>
      <w:lvlText w:val="-"/>
      <w:lvlJc w:val="left"/>
      <w:pPr>
        <w:ind w:left="720" w:hanging="360"/>
      </w:pPr>
      <w:rPr>
        <w:rFonts w:ascii="Times New Roman" w:eastAsia="Times New Roman" w:hAnsi="Times New Roman" w:cs="Times New Roman"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79895059"/>
    <w:multiLevelType w:val="multilevel"/>
    <w:tmpl w:val="2D14AD7E"/>
    <w:lvl w:ilvl="0">
      <w:start w:val="1"/>
      <w:numFmt w:val="decimal"/>
      <w:lvlText w:val="%1."/>
      <w:lvlJc w:val="left"/>
      <w:pPr>
        <w:ind w:left="1069" w:hanging="360"/>
      </w:pPr>
      <w:rPr>
        <w:rFonts w:hint="default"/>
      </w:rPr>
    </w:lvl>
    <w:lvl w:ilvl="1">
      <w:start w:val="1"/>
      <w:numFmt w:val="decimal"/>
      <w:isLgl/>
      <w:lvlText w:val="%1.%2."/>
      <w:lvlJc w:val="left"/>
      <w:pPr>
        <w:ind w:left="928"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22" w15:restartNumberingAfterBreak="0">
    <w:nsid w:val="7B9A0408"/>
    <w:multiLevelType w:val="hybridMultilevel"/>
    <w:tmpl w:val="F5181E8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15:restartNumberingAfterBreak="0">
    <w:nsid w:val="7CAC3203"/>
    <w:multiLevelType w:val="hybridMultilevel"/>
    <w:tmpl w:val="B4AA888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4" w15:restartNumberingAfterBreak="0">
    <w:nsid w:val="7CDC52F8"/>
    <w:multiLevelType w:val="hybridMultilevel"/>
    <w:tmpl w:val="A69056C8"/>
    <w:lvl w:ilvl="0" w:tplc="97423CCC">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16cid:durableId="923957315">
    <w:abstractNumId w:val="0"/>
  </w:num>
  <w:num w:numId="2" w16cid:durableId="2088960323">
    <w:abstractNumId w:val="8"/>
  </w:num>
  <w:num w:numId="3" w16cid:durableId="92943323">
    <w:abstractNumId w:val="1"/>
  </w:num>
  <w:num w:numId="4" w16cid:durableId="632293947">
    <w:abstractNumId w:val="11"/>
  </w:num>
  <w:num w:numId="5" w16cid:durableId="906763712">
    <w:abstractNumId w:val="15"/>
  </w:num>
  <w:num w:numId="6" w16cid:durableId="160707075">
    <w:abstractNumId w:val="6"/>
  </w:num>
  <w:num w:numId="7" w16cid:durableId="1512986740">
    <w:abstractNumId w:val="17"/>
  </w:num>
  <w:num w:numId="8" w16cid:durableId="574121715">
    <w:abstractNumId w:val="13"/>
  </w:num>
  <w:num w:numId="9" w16cid:durableId="858423192">
    <w:abstractNumId w:val="24"/>
  </w:num>
  <w:num w:numId="10" w16cid:durableId="766268387">
    <w:abstractNumId w:val="4"/>
  </w:num>
  <w:num w:numId="11" w16cid:durableId="2069571491">
    <w:abstractNumId w:val="9"/>
  </w:num>
  <w:num w:numId="12" w16cid:durableId="1546060573">
    <w:abstractNumId w:val="21"/>
  </w:num>
  <w:num w:numId="13" w16cid:durableId="341667961">
    <w:abstractNumId w:val="10"/>
  </w:num>
  <w:num w:numId="14" w16cid:durableId="281956471">
    <w:abstractNumId w:val="16"/>
  </w:num>
  <w:num w:numId="15" w16cid:durableId="436407982">
    <w:abstractNumId w:val="14"/>
  </w:num>
  <w:num w:numId="16" w16cid:durableId="1758207486">
    <w:abstractNumId w:val="3"/>
  </w:num>
  <w:num w:numId="17" w16cid:durableId="1145897440">
    <w:abstractNumId w:val="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4C60"/>
    <w:rsid w:val="00000E47"/>
    <w:rsid w:val="00000F3D"/>
    <w:rsid w:val="0000520E"/>
    <w:rsid w:val="00006C84"/>
    <w:rsid w:val="00006C98"/>
    <w:rsid w:val="00007556"/>
    <w:rsid w:val="00007993"/>
    <w:rsid w:val="00007AC0"/>
    <w:rsid w:val="00010E2B"/>
    <w:rsid w:val="000117E1"/>
    <w:rsid w:val="000138A8"/>
    <w:rsid w:val="00013F8B"/>
    <w:rsid w:val="00015258"/>
    <w:rsid w:val="00015A9C"/>
    <w:rsid w:val="00015DE0"/>
    <w:rsid w:val="00015F17"/>
    <w:rsid w:val="0001650B"/>
    <w:rsid w:val="00016BCD"/>
    <w:rsid w:val="00016EB6"/>
    <w:rsid w:val="00016F85"/>
    <w:rsid w:val="00017862"/>
    <w:rsid w:val="000203D2"/>
    <w:rsid w:val="000204ED"/>
    <w:rsid w:val="00020A90"/>
    <w:rsid w:val="00021B6B"/>
    <w:rsid w:val="00021C1E"/>
    <w:rsid w:val="00021D8E"/>
    <w:rsid w:val="00023981"/>
    <w:rsid w:val="00024145"/>
    <w:rsid w:val="00025349"/>
    <w:rsid w:val="000270EE"/>
    <w:rsid w:val="00030985"/>
    <w:rsid w:val="00033472"/>
    <w:rsid w:val="00035678"/>
    <w:rsid w:val="00035F85"/>
    <w:rsid w:val="00036576"/>
    <w:rsid w:val="000365B0"/>
    <w:rsid w:val="00037173"/>
    <w:rsid w:val="000377A6"/>
    <w:rsid w:val="000405C9"/>
    <w:rsid w:val="00041097"/>
    <w:rsid w:val="00041F17"/>
    <w:rsid w:val="000428F0"/>
    <w:rsid w:val="00042C49"/>
    <w:rsid w:val="00044566"/>
    <w:rsid w:val="00044B0C"/>
    <w:rsid w:val="000450EB"/>
    <w:rsid w:val="000468BC"/>
    <w:rsid w:val="00046A30"/>
    <w:rsid w:val="00046ADB"/>
    <w:rsid w:val="00046ECD"/>
    <w:rsid w:val="0004729F"/>
    <w:rsid w:val="00050CC7"/>
    <w:rsid w:val="00051168"/>
    <w:rsid w:val="00051BD7"/>
    <w:rsid w:val="00052DC6"/>
    <w:rsid w:val="0005484C"/>
    <w:rsid w:val="00055EAE"/>
    <w:rsid w:val="000577AA"/>
    <w:rsid w:val="000579F7"/>
    <w:rsid w:val="000608FF"/>
    <w:rsid w:val="0006114C"/>
    <w:rsid w:val="00062378"/>
    <w:rsid w:val="00062868"/>
    <w:rsid w:val="00063A6A"/>
    <w:rsid w:val="00064007"/>
    <w:rsid w:val="00065E60"/>
    <w:rsid w:val="00070AD0"/>
    <w:rsid w:val="00070B44"/>
    <w:rsid w:val="00070D87"/>
    <w:rsid w:val="00071F21"/>
    <w:rsid w:val="00073EF0"/>
    <w:rsid w:val="000743D0"/>
    <w:rsid w:val="00074643"/>
    <w:rsid w:val="000747D1"/>
    <w:rsid w:val="000762BD"/>
    <w:rsid w:val="00077DBE"/>
    <w:rsid w:val="0008214F"/>
    <w:rsid w:val="00083041"/>
    <w:rsid w:val="000836FA"/>
    <w:rsid w:val="00083D01"/>
    <w:rsid w:val="0008477C"/>
    <w:rsid w:val="00084B37"/>
    <w:rsid w:val="000878B9"/>
    <w:rsid w:val="00090068"/>
    <w:rsid w:val="000900CA"/>
    <w:rsid w:val="00091C07"/>
    <w:rsid w:val="0009208E"/>
    <w:rsid w:val="00096517"/>
    <w:rsid w:val="00096B16"/>
    <w:rsid w:val="00097226"/>
    <w:rsid w:val="0009734C"/>
    <w:rsid w:val="000A0497"/>
    <w:rsid w:val="000A05DE"/>
    <w:rsid w:val="000A1B38"/>
    <w:rsid w:val="000A21A3"/>
    <w:rsid w:val="000A2DA8"/>
    <w:rsid w:val="000A309C"/>
    <w:rsid w:val="000A4C77"/>
    <w:rsid w:val="000A541A"/>
    <w:rsid w:val="000B02D1"/>
    <w:rsid w:val="000B1BB6"/>
    <w:rsid w:val="000B3158"/>
    <w:rsid w:val="000B4065"/>
    <w:rsid w:val="000B5A2E"/>
    <w:rsid w:val="000B7930"/>
    <w:rsid w:val="000B7A99"/>
    <w:rsid w:val="000C15C1"/>
    <w:rsid w:val="000C202A"/>
    <w:rsid w:val="000C35EB"/>
    <w:rsid w:val="000C4107"/>
    <w:rsid w:val="000C45DA"/>
    <w:rsid w:val="000C475E"/>
    <w:rsid w:val="000C47FC"/>
    <w:rsid w:val="000C536A"/>
    <w:rsid w:val="000C63EA"/>
    <w:rsid w:val="000C6AF1"/>
    <w:rsid w:val="000C7A03"/>
    <w:rsid w:val="000D03C0"/>
    <w:rsid w:val="000D173D"/>
    <w:rsid w:val="000D1D58"/>
    <w:rsid w:val="000D21EB"/>
    <w:rsid w:val="000D2D90"/>
    <w:rsid w:val="000D3D8E"/>
    <w:rsid w:val="000D52E8"/>
    <w:rsid w:val="000D5B06"/>
    <w:rsid w:val="000D5D6F"/>
    <w:rsid w:val="000D66FF"/>
    <w:rsid w:val="000D6988"/>
    <w:rsid w:val="000D6A59"/>
    <w:rsid w:val="000D706C"/>
    <w:rsid w:val="000D7F06"/>
    <w:rsid w:val="000E1199"/>
    <w:rsid w:val="000E3696"/>
    <w:rsid w:val="000E546D"/>
    <w:rsid w:val="000E7224"/>
    <w:rsid w:val="000E7FE8"/>
    <w:rsid w:val="000F062B"/>
    <w:rsid w:val="000F16D9"/>
    <w:rsid w:val="000F2A43"/>
    <w:rsid w:val="000F386B"/>
    <w:rsid w:val="000F42E1"/>
    <w:rsid w:val="000F58D2"/>
    <w:rsid w:val="000F69E4"/>
    <w:rsid w:val="000F713C"/>
    <w:rsid w:val="0010086E"/>
    <w:rsid w:val="0010281A"/>
    <w:rsid w:val="00103931"/>
    <w:rsid w:val="00103CDA"/>
    <w:rsid w:val="00103E7D"/>
    <w:rsid w:val="00106BCB"/>
    <w:rsid w:val="00107C25"/>
    <w:rsid w:val="001101FA"/>
    <w:rsid w:val="0011071D"/>
    <w:rsid w:val="00110F92"/>
    <w:rsid w:val="00111130"/>
    <w:rsid w:val="0011290D"/>
    <w:rsid w:val="00112A24"/>
    <w:rsid w:val="001140B4"/>
    <w:rsid w:val="00114D3C"/>
    <w:rsid w:val="00117315"/>
    <w:rsid w:val="0011744A"/>
    <w:rsid w:val="00121316"/>
    <w:rsid w:val="00121684"/>
    <w:rsid w:val="00121A17"/>
    <w:rsid w:val="001252E7"/>
    <w:rsid w:val="00125595"/>
    <w:rsid w:val="0012632C"/>
    <w:rsid w:val="001263BB"/>
    <w:rsid w:val="001264A8"/>
    <w:rsid w:val="001266AC"/>
    <w:rsid w:val="00127D7B"/>
    <w:rsid w:val="001307EE"/>
    <w:rsid w:val="001315DE"/>
    <w:rsid w:val="0013167F"/>
    <w:rsid w:val="00133462"/>
    <w:rsid w:val="00134603"/>
    <w:rsid w:val="00135340"/>
    <w:rsid w:val="00136147"/>
    <w:rsid w:val="00136A1F"/>
    <w:rsid w:val="00136FE9"/>
    <w:rsid w:val="00140709"/>
    <w:rsid w:val="00141F09"/>
    <w:rsid w:val="0014327E"/>
    <w:rsid w:val="00143881"/>
    <w:rsid w:val="00145177"/>
    <w:rsid w:val="0014627A"/>
    <w:rsid w:val="00146364"/>
    <w:rsid w:val="0014705C"/>
    <w:rsid w:val="0014731D"/>
    <w:rsid w:val="00147565"/>
    <w:rsid w:val="00147A4B"/>
    <w:rsid w:val="00150181"/>
    <w:rsid w:val="0015079F"/>
    <w:rsid w:val="00151E88"/>
    <w:rsid w:val="00151FBF"/>
    <w:rsid w:val="001522ED"/>
    <w:rsid w:val="001532FC"/>
    <w:rsid w:val="0015353D"/>
    <w:rsid w:val="0015359F"/>
    <w:rsid w:val="0015393D"/>
    <w:rsid w:val="00155C16"/>
    <w:rsid w:val="0015663D"/>
    <w:rsid w:val="00156F0F"/>
    <w:rsid w:val="00157940"/>
    <w:rsid w:val="0016270A"/>
    <w:rsid w:val="0016282D"/>
    <w:rsid w:val="00162F8A"/>
    <w:rsid w:val="0016422F"/>
    <w:rsid w:val="00164424"/>
    <w:rsid w:val="00166090"/>
    <w:rsid w:val="00166110"/>
    <w:rsid w:val="00166496"/>
    <w:rsid w:val="00167C8C"/>
    <w:rsid w:val="0017147B"/>
    <w:rsid w:val="0017228A"/>
    <w:rsid w:val="00172496"/>
    <w:rsid w:val="0017283A"/>
    <w:rsid w:val="001730FD"/>
    <w:rsid w:val="0018013C"/>
    <w:rsid w:val="00180AB3"/>
    <w:rsid w:val="00180E0E"/>
    <w:rsid w:val="00180E8B"/>
    <w:rsid w:val="00183CA6"/>
    <w:rsid w:val="001851CB"/>
    <w:rsid w:val="0018683B"/>
    <w:rsid w:val="00186A6C"/>
    <w:rsid w:val="00186A88"/>
    <w:rsid w:val="0018703C"/>
    <w:rsid w:val="00187CAB"/>
    <w:rsid w:val="00191232"/>
    <w:rsid w:val="00191715"/>
    <w:rsid w:val="00191DC0"/>
    <w:rsid w:val="0019210D"/>
    <w:rsid w:val="00192316"/>
    <w:rsid w:val="00193577"/>
    <w:rsid w:val="00193965"/>
    <w:rsid w:val="00194023"/>
    <w:rsid w:val="0019427C"/>
    <w:rsid w:val="0019773A"/>
    <w:rsid w:val="00197D78"/>
    <w:rsid w:val="001A023D"/>
    <w:rsid w:val="001A0C43"/>
    <w:rsid w:val="001A0F91"/>
    <w:rsid w:val="001A26BF"/>
    <w:rsid w:val="001A4004"/>
    <w:rsid w:val="001A4D74"/>
    <w:rsid w:val="001A572C"/>
    <w:rsid w:val="001A588F"/>
    <w:rsid w:val="001A5D8D"/>
    <w:rsid w:val="001A6328"/>
    <w:rsid w:val="001B0CD2"/>
    <w:rsid w:val="001B1140"/>
    <w:rsid w:val="001B1AB4"/>
    <w:rsid w:val="001B23A7"/>
    <w:rsid w:val="001B2CBD"/>
    <w:rsid w:val="001B2EF6"/>
    <w:rsid w:val="001B3156"/>
    <w:rsid w:val="001B34A3"/>
    <w:rsid w:val="001B4C33"/>
    <w:rsid w:val="001B5815"/>
    <w:rsid w:val="001B6B85"/>
    <w:rsid w:val="001B6BC1"/>
    <w:rsid w:val="001C06FE"/>
    <w:rsid w:val="001C1213"/>
    <w:rsid w:val="001C1654"/>
    <w:rsid w:val="001C38F2"/>
    <w:rsid w:val="001C437C"/>
    <w:rsid w:val="001C50C9"/>
    <w:rsid w:val="001C52DA"/>
    <w:rsid w:val="001C5379"/>
    <w:rsid w:val="001C7E20"/>
    <w:rsid w:val="001D0217"/>
    <w:rsid w:val="001D0652"/>
    <w:rsid w:val="001D2018"/>
    <w:rsid w:val="001D2B5C"/>
    <w:rsid w:val="001D328F"/>
    <w:rsid w:val="001D37D1"/>
    <w:rsid w:val="001D3AC9"/>
    <w:rsid w:val="001D6228"/>
    <w:rsid w:val="001D6CDE"/>
    <w:rsid w:val="001D6DEF"/>
    <w:rsid w:val="001D7361"/>
    <w:rsid w:val="001E0B23"/>
    <w:rsid w:val="001E1128"/>
    <w:rsid w:val="001E1CFB"/>
    <w:rsid w:val="001E2660"/>
    <w:rsid w:val="001E465C"/>
    <w:rsid w:val="001E4F8F"/>
    <w:rsid w:val="001E5AB2"/>
    <w:rsid w:val="001E5AC3"/>
    <w:rsid w:val="001E600D"/>
    <w:rsid w:val="001E6584"/>
    <w:rsid w:val="001E6C90"/>
    <w:rsid w:val="001E7EAE"/>
    <w:rsid w:val="001F00B9"/>
    <w:rsid w:val="001F1D4C"/>
    <w:rsid w:val="001F2181"/>
    <w:rsid w:val="001F57EE"/>
    <w:rsid w:val="001F5BA3"/>
    <w:rsid w:val="001F5F7E"/>
    <w:rsid w:val="001F6052"/>
    <w:rsid w:val="001F6B1A"/>
    <w:rsid w:val="00204DE6"/>
    <w:rsid w:val="00206254"/>
    <w:rsid w:val="0020752C"/>
    <w:rsid w:val="00207791"/>
    <w:rsid w:val="002077DF"/>
    <w:rsid w:val="002103FC"/>
    <w:rsid w:val="002119A5"/>
    <w:rsid w:val="00211A76"/>
    <w:rsid w:val="00213266"/>
    <w:rsid w:val="002141F2"/>
    <w:rsid w:val="00214E88"/>
    <w:rsid w:val="00216947"/>
    <w:rsid w:val="00216E64"/>
    <w:rsid w:val="002170E1"/>
    <w:rsid w:val="002175F2"/>
    <w:rsid w:val="002177A9"/>
    <w:rsid w:val="00220E2B"/>
    <w:rsid w:val="00222C09"/>
    <w:rsid w:val="00222CBE"/>
    <w:rsid w:val="00223CEE"/>
    <w:rsid w:val="002244F4"/>
    <w:rsid w:val="00224BA7"/>
    <w:rsid w:val="002254C9"/>
    <w:rsid w:val="00226F28"/>
    <w:rsid w:val="0022747F"/>
    <w:rsid w:val="00230F0E"/>
    <w:rsid w:val="00232B27"/>
    <w:rsid w:val="00234E07"/>
    <w:rsid w:val="00234F66"/>
    <w:rsid w:val="00235C1A"/>
    <w:rsid w:val="00236DC9"/>
    <w:rsid w:val="00240578"/>
    <w:rsid w:val="00242B96"/>
    <w:rsid w:val="002435A2"/>
    <w:rsid w:val="00243F72"/>
    <w:rsid w:val="0024477A"/>
    <w:rsid w:val="00245B04"/>
    <w:rsid w:val="00247AF6"/>
    <w:rsid w:val="0025020B"/>
    <w:rsid w:val="00250CEB"/>
    <w:rsid w:val="002519F5"/>
    <w:rsid w:val="00252D92"/>
    <w:rsid w:val="00254851"/>
    <w:rsid w:val="00255198"/>
    <w:rsid w:val="00255417"/>
    <w:rsid w:val="00255A20"/>
    <w:rsid w:val="00255AFD"/>
    <w:rsid w:val="00256D6E"/>
    <w:rsid w:val="002609C2"/>
    <w:rsid w:val="00260E2A"/>
    <w:rsid w:val="00263CD9"/>
    <w:rsid w:val="0026406C"/>
    <w:rsid w:val="00265803"/>
    <w:rsid w:val="00265D7E"/>
    <w:rsid w:val="002665E5"/>
    <w:rsid w:val="0026664D"/>
    <w:rsid w:val="00267058"/>
    <w:rsid w:val="00267BFB"/>
    <w:rsid w:val="00270FDE"/>
    <w:rsid w:val="00271073"/>
    <w:rsid w:val="00271A32"/>
    <w:rsid w:val="002723F9"/>
    <w:rsid w:val="00272739"/>
    <w:rsid w:val="00273D08"/>
    <w:rsid w:val="00275898"/>
    <w:rsid w:val="002779A2"/>
    <w:rsid w:val="00281B94"/>
    <w:rsid w:val="002844B7"/>
    <w:rsid w:val="0028622A"/>
    <w:rsid w:val="00287603"/>
    <w:rsid w:val="00290CBA"/>
    <w:rsid w:val="002939EE"/>
    <w:rsid w:val="002943CB"/>
    <w:rsid w:val="002957B4"/>
    <w:rsid w:val="002979C1"/>
    <w:rsid w:val="00297B15"/>
    <w:rsid w:val="002A564A"/>
    <w:rsid w:val="002A639E"/>
    <w:rsid w:val="002A6C3F"/>
    <w:rsid w:val="002B0C7D"/>
    <w:rsid w:val="002B1F85"/>
    <w:rsid w:val="002B20F4"/>
    <w:rsid w:val="002B4429"/>
    <w:rsid w:val="002B4BA8"/>
    <w:rsid w:val="002B4C9A"/>
    <w:rsid w:val="002B6A73"/>
    <w:rsid w:val="002B7487"/>
    <w:rsid w:val="002B77C7"/>
    <w:rsid w:val="002B78C2"/>
    <w:rsid w:val="002C01D8"/>
    <w:rsid w:val="002C1034"/>
    <w:rsid w:val="002C14AA"/>
    <w:rsid w:val="002C2452"/>
    <w:rsid w:val="002C2AA7"/>
    <w:rsid w:val="002C2E15"/>
    <w:rsid w:val="002C3AA0"/>
    <w:rsid w:val="002C4617"/>
    <w:rsid w:val="002C6E24"/>
    <w:rsid w:val="002C73BE"/>
    <w:rsid w:val="002D073C"/>
    <w:rsid w:val="002D4A76"/>
    <w:rsid w:val="002D5306"/>
    <w:rsid w:val="002D6543"/>
    <w:rsid w:val="002D73CE"/>
    <w:rsid w:val="002E4120"/>
    <w:rsid w:val="002E413C"/>
    <w:rsid w:val="002E5F8F"/>
    <w:rsid w:val="002E5F9E"/>
    <w:rsid w:val="002E6910"/>
    <w:rsid w:val="002E7EC9"/>
    <w:rsid w:val="002F0195"/>
    <w:rsid w:val="002F0783"/>
    <w:rsid w:val="002F09D8"/>
    <w:rsid w:val="002F2261"/>
    <w:rsid w:val="002F3186"/>
    <w:rsid w:val="002F35BD"/>
    <w:rsid w:val="002F4015"/>
    <w:rsid w:val="002F48A0"/>
    <w:rsid w:val="002F6682"/>
    <w:rsid w:val="002F6C98"/>
    <w:rsid w:val="002F74DB"/>
    <w:rsid w:val="002F7A30"/>
    <w:rsid w:val="00302AF7"/>
    <w:rsid w:val="00302B5B"/>
    <w:rsid w:val="00302CE4"/>
    <w:rsid w:val="00304645"/>
    <w:rsid w:val="003053CD"/>
    <w:rsid w:val="0030547E"/>
    <w:rsid w:val="00305763"/>
    <w:rsid w:val="00306AC1"/>
    <w:rsid w:val="00306E28"/>
    <w:rsid w:val="0030734B"/>
    <w:rsid w:val="003101D9"/>
    <w:rsid w:val="00310445"/>
    <w:rsid w:val="0031083B"/>
    <w:rsid w:val="00310A78"/>
    <w:rsid w:val="0031388B"/>
    <w:rsid w:val="00314C17"/>
    <w:rsid w:val="00320EA9"/>
    <w:rsid w:val="0032165B"/>
    <w:rsid w:val="00321AD5"/>
    <w:rsid w:val="00322505"/>
    <w:rsid w:val="00324658"/>
    <w:rsid w:val="00327908"/>
    <w:rsid w:val="00330297"/>
    <w:rsid w:val="00331F15"/>
    <w:rsid w:val="003322D3"/>
    <w:rsid w:val="00333425"/>
    <w:rsid w:val="00333497"/>
    <w:rsid w:val="00334DD2"/>
    <w:rsid w:val="0033778E"/>
    <w:rsid w:val="00337EBF"/>
    <w:rsid w:val="00340251"/>
    <w:rsid w:val="003403AB"/>
    <w:rsid w:val="0034133E"/>
    <w:rsid w:val="0034306F"/>
    <w:rsid w:val="003432C3"/>
    <w:rsid w:val="00343CB1"/>
    <w:rsid w:val="00343F6D"/>
    <w:rsid w:val="0034493A"/>
    <w:rsid w:val="00344E7E"/>
    <w:rsid w:val="00345027"/>
    <w:rsid w:val="003450DB"/>
    <w:rsid w:val="00350040"/>
    <w:rsid w:val="00350157"/>
    <w:rsid w:val="00351064"/>
    <w:rsid w:val="00351CB3"/>
    <w:rsid w:val="003540D1"/>
    <w:rsid w:val="00355C2C"/>
    <w:rsid w:val="00360390"/>
    <w:rsid w:val="00361EEF"/>
    <w:rsid w:val="00362903"/>
    <w:rsid w:val="00363453"/>
    <w:rsid w:val="00363748"/>
    <w:rsid w:val="00363A0F"/>
    <w:rsid w:val="00363EEC"/>
    <w:rsid w:val="0036470E"/>
    <w:rsid w:val="00365CD5"/>
    <w:rsid w:val="003663C2"/>
    <w:rsid w:val="0036734C"/>
    <w:rsid w:val="00371D41"/>
    <w:rsid w:val="003727C7"/>
    <w:rsid w:val="00372B9E"/>
    <w:rsid w:val="00374823"/>
    <w:rsid w:val="00374FC8"/>
    <w:rsid w:val="00376056"/>
    <w:rsid w:val="00376BCE"/>
    <w:rsid w:val="00380912"/>
    <w:rsid w:val="00381640"/>
    <w:rsid w:val="00383DDB"/>
    <w:rsid w:val="003853F4"/>
    <w:rsid w:val="00385BB4"/>
    <w:rsid w:val="00385C30"/>
    <w:rsid w:val="003867E7"/>
    <w:rsid w:val="00386F78"/>
    <w:rsid w:val="0038726E"/>
    <w:rsid w:val="00387CB8"/>
    <w:rsid w:val="003912B4"/>
    <w:rsid w:val="003915AE"/>
    <w:rsid w:val="00392917"/>
    <w:rsid w:val="00392E7D"/>
    <w:rsid w:val="00397A68"/>
    <w:rsid w:val="00397F52"/>
    <w:rsid w:val="003A1959"/>
    <w:rsid w:val="003A299C"/>
    <w:rsid w:val="003A3590"/>
    <w:rsid w:val="003A517D"/>
    <w:rsid w:val="003A5B45"/>
    <w:rsid w:val="003A5CEA"/>
    <w:rsid w:val="003A73CB"/>
    <w:rsid w:val="003A7E38"/>
    <w:rsid w:val="003B0536"/>
    <w:rsid w:val="003B0D0C"/>
    <w:rsid w:val="003B124B"/>
    <w:rsid w:val="003B1D64"/>
    <w:rsid w:val="003B2F5E"/>
    <w:rsid w:val="003B398F"/>
    <w:rsid w:val="003B4528"/>
    <w:rsid w:val="003B506D"/>
    <w:rsid w:val="003C1BAF"/>
    <w:rsid w:val="003C1BD6"/>
    <w:rsid w:val="003C32DB"/>
    <w:rsid w:val="003C35F7"/>
    <w:rsid w:val="003C3B6E"/>
    <w:rsid w:val="003C63FC"/>
    <w:rsid w:val="003C71C2"/>
    <w:rsid w:val="003D2CFF"/>
    <w:rsid w:val="003D4EA5"/>
    <w:rsid w:val="003D6356"/>
    <w:rsid w:val="003D70E7"/>
    <w:rsid w:val="003E00AF"/>
    <w:rsid w:val="003E0EB8"/>
    <w:rsid w:val="003E2673"/>
    <w:rsid w:val="003E2981"/>
    <w:rsid w:val="003E41D7"/>
    <w:rsid w:val="003E5FDD"/>
    <w:rsid w:val="003E640C"/>
    <w:rsid w:val="003E6EE1"/>
    <w:rsid w:val="003F0689"/>
    <w:rsid w:val="003F1A61"/>
    <w:rsid w:val="003F1C65"/>
    <w:rsid w:val="003F44AC"/>
    <w:rsid w:val="003F53EE"/>
    <w:rsid w:val="003F53F8"/>
    <w:rsid w:val="003F5E8D"/>
    <w:rsid w:val="003F62A6"/>
    <w:rsid w:val="003F72D5"/>
    <w:rsid w:val="004005CC"/>
    <w:rsid w:val="00400B91"/>
    <w:rsid w:val="00400EBD"/>
    <w:rsid w:val="0040160A"/>
    <w:rsid w:val="0040512B"/>
    <w:rsid w:val="004054AE"/>
    <w:rsid w:val="004067B6"/>
    <w:rsid w:val="00407851"/>
    <w:rsid w:val="004107E4"/>
    <w:rsid w:val="00411C7A"/>
    <w:rsid w:val="0041210E"/>
    <w:rsid w:val="00413026"/>
    <w:rsid w:val="00413185"/>
    <w:rsid w:val="004142D9"/>
    <w:rsid w:val="00415558"/>
    <w:rsid w:val="00416004"/>
    <w:rsid w:val="00420B73"/>
    <w:rsid w:val="00421D62"/>
    <w:rsid w:val="00421EA6"/>
    <w:rsid w:val="00424431"/>
    <w:rsid w:val="004246C7"/>
    <w:rsid w:val="00424AC1"/>
    <w:rsid w:val="00426A07"/>
    <w:rsid w:val="00430CB3"/>
    <w:rsid w:val="00432595"/>
    <w:rsid w:val="004344DD"/>
    <w:rsid w:val="00434717"/>
    <w:rsid w:val="00435316"/>
    <w:rsid w:val="004365D7"/>
    <w:rsid w:val="004368A2"/>
    <w:rsid w:val="0043693A"/>
    <w:rsid w:val="0043698F"/>
    <w:rsid w:val="00436D4B"/>
    <w:rsid w:val="004375EA"/>
    <w:rsid w:val="004405B1"/>
    <w:rsid w:val="00441F15"/>
    <w:rsid w:val="004469A4"/>
    <w:rsid w:val="0044798E"/>
    <w:rsid w:val="004502DB"/>
    <w:rsid w:val="00450CF9"/>
    <w:rsid w:val="00452684"/>
    <w:rsid w:val="00453F55"/>
    <w:rsid w:val="00455349"/>
    <w:rsid w:val="00456BF9"/>
    <w:rsid w:val="00456F03"/>
    <w:rsid w:val="00460A97"/>
    <w:rsid w:val="00461567"/>
    <w:rsid w:val="004637FE"/>
    <w:rsid w:val="00463939"/>
    <w:rsid w:val="0046479A"/>
    <w:rsid w:val="00464B26"/>
    <w:rsid w:val="00464C18"/>
    <w:rsid w:val="00464D62"/>
    <w:rsid w:val="00465098"/>
    <w:rsid w:val="00465D40"/>
    <w:rsid w:val="004669AB"/>
    <w:rsid w:val="00467137"/>
    <w:rsid w:val="00467509"/>
    <w:rsid w:val="004678BC"/>
    <w:rsid w:val="00467DA2"/>
    <w:rsid w:val="00467EDD"/>
    <w:rsid w:val="00470889"/>
    <w:rsid w:val="00470E02"/>
    <w:rsid w:val="004724E8"/>
    <w:rsid w:val="0047288F"/>
    <w:rsid w:val="00472E01"/>
    <w:rsid w:val="00472FA5"/>
    <w:rsid w:val="004741FC"/>
    <w:rsid w:val="0047500E"/>
    <w:rsid w:val="00475727"/>
    <w:rsid w:val="00475CCC"/>
    <w:rsid w:val="00475F1C"/>
    <w:rsid w:val="0047653F"/>
    <w:rsid w:val="0047741B"/>
    <w:rsid w:val="00480434"/>
    <w:rsid w:val="0048119E"/>
    <w:rsid w:val="00483338"/>
    <w:rsid w:val="00483D21"/>
    <w:rsid w:val="00484727"/>
    <w:rsid w:val="00485CE0"/>
    <w:rsid w:val="00486802"/>
    <w:rsid w:val="00486FE9"/>
    <w:rsid w:val="0049128F"/>
    <w:rsid w:val="004971B0"/>
    <w:rsid w:val="004A012F"/>
    <w:rsid w:val="004A04C4"/>
    <w:rsid w:val="004A172E"/>
    <w:rsid w:val="004A1978"/>
    <w:rsid w:val="004A1A46"/>
    <w:rsid w:val="004A2A65"/>
    <w:rsid w:val="004A2C81"/>
    <w:rsid w:val="004A4CDF"/>
    <w:rsid w:val="004A5EA9"/>
    <w:rsid w:val="004A625B"/>
    <w:rsid w:val="004A7757"/>
    <w:rsid w:val="004A7ECB"/>
    <w:rsid w:val="004B0A8D"/>
    <w:rsid w:val="004B379B"/>
    <w:rsid w:val="004B3820"/>
    <w:rsid w:val="004B4368"/>
    <w:rsid w:val="004B4C76"/>
    <w:rsid w:val="004B5DBC"/>
    <w:rsid w:val="004B6128"/>
    <w:rsid w:val="004B64F5"/>
    <w:rsid w:val="004B692E"/>
    <w:rsid w:val="004C047B"/>
    <w:rsid w:val="004C07A0"/>
    <w:rsid w:val="004C1BC9"/>
    <w:rsid w:val="004C2B20"/>
    <w:rsid w:val="004C3237"/>
    <w:rsid w:val="004C3319"/>
    <w:rsid w:val="004C3842"/>
    <w:rsid w:val="004C4512"/>
    <w:rsid w:val="004C4765"/>
    <w:rsid w:val="004C49D5"/>
    <w:rsid w:val="004C500D"/>
    <w:rsid w:val="004C51E4"/>
    <w:rsid w:val="004D0872"/>
    <w:rsid w:val="004D0E68"/>
    <w:rsid w:val="004D5544"/>
    <w:rsid w:val="004D6798"/>
    <w:rsid w:val="004D72CA"/>
    <w:rsid w:val="004D77A9"/>
    <w:rsid w:val="004D7F00"/>
    <w:rsid w:val="004E1AFE"/>
    <w:rsid w:val="004E247F"/>
    <w:rsid w:val="004E373A"/>
    <w:rsid w:val="004E3ED2"/>
    <w:rsid w:val="004E43D3"/>
    <w:rsid w:val="004E443B"/>
    <w:rsid w:val="004E444B"/>
    <w:rsid w:val="004E4926"/>
    <w:rsid w:val="004E4CCE"/>
    <w:rsid w:val="004E7864"/>
    <w:rsid w:val="004E7BA6"/>
    <w:rsid w:val="004F1211"/>
    <w:rsid w:val="004F1470"/>
    <w:rsid w:val="004F1E41"/>
    <w:rsid w:val="004F3674"/>
    <w:rsid w:val="004F7532"/>
    <w:rsid w:val="005015AD"/>
    <w:rsid w:val="005018A0"/>
    <w:rsid w:val="00502726"/>
    <w:rsid w:val="005045F0"/>
    <w:rsid w:val="00504CC1"/>
    <w:rsid w:val="005058C2"/>
    <w:rsid w:val="00505A08"/>
    <w:rsid w:val="00506535"/>
    <w:rsid w:val="00513C2E"/>
    <w:rsid w:val="00513C33"/>
    <w:rsid w:val="005159B4"/>
    <w:rsid w:val="00515C26"/>
    <w:rsid w:val="0051699D"/>
    <w:rsid w:val="00517012"/>
    <w:rsid w:val="005177F5"/>
    <w:rsid w:val="00517ACD"/>
    <w:rsid w:val="00521379"/>
    <w:rsid w:val="005216EC"/>
    <w:rsid w:val="0053017D"/>
    <w:rsid w:val="00530542"/>
    <w:rsid w:val="0053151B"/>
    <w:rsid w:val="0053276E"/>
    <w:rsid w:val="00533720"/>
    <w:rsid w:val="00533AFC"/>
    <w:rsid w:val="0053471D"/>
    <w:rsid w:val="00535362"/>
    <w:rsid w:val="00536E1A"/>
    <w:rsid w:val="00537C81"/>
    <w:rsid w:val="0054029D"/>
    <w:rsid w:val="0054041D"/>
    <w:rsid w:val="0054123E"/>
    <w:rsid w:val="00544F01"/>
    <w:rsid w:val="00545AEE"/>
    <w:rsid w:val="005509B2"/>
    <w:rsid w:val="00550F45"/>
    <w:rsid w:val="00551163"/>
    <w:rsid w:val="005513CC"/>
    <w:rsid w:val="00551F3D"/>
    <w:rsid w:val="005522C6"/>
    <w:rsid w:val="00552E90"/>
    <w:rsid w:val="0055315C"/>
    <w:rsid w:val="00553237"/>
    <w:rsid w:val="00554034"/>
    <w:rsid w:val="00554ACF"/>
    <w:rsid w:val="00554FCF"/>
    <w:rsid w:val="00555149"/>
    <w:rsid w:val="00556819"/>
    <w:rsid w:val="00557467"/>
    <w:rsid w:val="005615E9"/>
    <w:rsid w:val="00562C3C"/>
    <w:rsid w:val="0056318A"/>
    <w:rsid w:val="00563788"/>
    <w:rsid w:val="00565789"/>
    <w:rsid w:val="005657D1"/>
    <w:rsid w:val="005668F2"/>
    <w:rsid w:val="00566AF4"/>
    <w:rsid w:val="00570D18"/>
    <w:rsid w:val="005712C5"/>
    <w:rsid w:val="00572391"/>
    <w:rsid w:val="005729D3"/>
    <w:rsid w:val="00572BEB"/>
    <w:rsid w:val="00572F09"/>
    <w:rsid w:val="00574642"/>
    <w:rsid w:val="005749D2"/>
    <w:rsid w:val="00576C4E"/>
    <w:rsid w:val="00580696"/>
    <w:rsid w:val="00580BBD"/>
    <w:rsid w:val="00581704"/>
    <w:rsid w:val="005822D5"/>
    <w:rsid w:val="00582484"/>
    <w:rsid w:val="00582A0B"/>
    <w:rsid w:val="0058310A"/>
    <w:rsid w:val="00585BF3"/>
    <w:rsid w:val="005862CA"/>
    <w:rsid w:val="00590319"/>
    <w:rsid w:val="00591854"/>
    <w:rsid w:val="00591AC0"/>
    <w:rsid w:val="00593126"/>
    <w:rsid w:val="0059345D"/>
    <w:rsid w:val="00593A5D"/>
    <w:rsid w:val="005948B8"/>
    <w:rsid w:val="00594F85"/>
    <w:rsid w:val="005955DA"/>
    <w:rsid w:val="00595CFE"/>
    <w:rsid w:val="00596E33"/>
    <w:rsid w:val="0059782B"/>
    <w:rsid w:val="00597DF3"/>
    <w:rsid w:val="005A047F"/>
    <w:rsid w:val="005A1420"/>
    <w:rsid w:val="005A2285"/>
    <w:rsid w:val="005A248E"/>
    <w:rsid w:val="005A2D6A"/>
    <w:rsid w:val="005A33BF"/>
    <w:rsid w:val="005A502B"/>
    <w:rsid w:val="005A594E"/>
    <w:rsid w:val="005A5A82"/>
    <w:rsid w:val="005A5D35"/>
    <w:rsid w:val="005A6F06"/>
    <w:rsid w:val="005A7E9C"/>
    <w:rsid w:val="005B766B"/>
    <w:rsid w:val="005C0AD5"/>
    <w:rsid w:val="005C1100"/>
    <w:rsid w:val="005C1290"/>
    <w:rsid w:val="005C1F65"/>
    <w:rsid w:val="005C3D8C"/>
    <w:rsid w:val="005C4DF4"/>
    <w:rsid w:val="005C5609"/>
    <w:rsid w:val="005C6EA8"/>
    <w:rsid w:val="005C79AB"/>
    <w:rsid w:val="005D0E34"/>
    <w:rsid w:val="005D1581"/>
    <w:rsid w:val="005D332E"/>
    <w:rsid w:val="005D52C9"/>
    <w:rsid w:val="005D5B77"/>
    <w:rsid w:val="005D6C14"/>
    <w:rsid w:val="005D70EF"/>
    <w:rsid w:val="005E18FB"/>
    <w:rsid w:val="005E1F33"/>
    <w:rsid w:val="005E1F5D"/>
    <w:rsid w:val="005E270B"/>
    <w:rsid w:val="005E328C"/>
    <w:rsid w:val="005E6C11"/>
    <w:rsid w:val="005E6FCE"/>
    <w:rsid w:val="005E7231"/>
    <w:rsid w:val="005F22E5"/>
    <w:rsid w:val="005F4E4F"/>
    <w:rsid w:val="005F5DE3"/>
    <w:rsid w:val="005F67D9"/>
    <w:rsid w:val="005F707D"/>
    <w:rsid w:val="005F79BE"/>
    <w:rsid w:val="005F7E3B"/>
    <w:rsid w:val="006022E3"/>
    <w:rsid w:val="0060325C"/>
    <w:rsid w:val="00604700"/>
    <w:rsid w:val="00604B75"/>
    <w:rsid w:val="00605199"/>
    <w:rsid w:val="0060525E"/>
    <w:rsid w:val="006068E4"/>
    <w:rsid w:val="00606B9A"/>
    <w:rsid w:val="0060775C"/>
    <w:rsid w:val="00607F0A"/>
    <w:rsid w:val="006107FA"/>
    <w:rsid w:val="00610FA4"/>
    <w:rsid w:val="00611007"/>
    <w:rsid w:val="0061252A"/>
    <w:rsid w:val="00612C57"/>
    <w:rsid w:val="0061504A"/>
    <w:rsid w:val="0061631B"/>
    <w:rsid w:val="0061639C"/>
    <w:rsid w:val="00617D1F"/>
    <w:rsid w:val="006201EE"/>
    <w:rsid w:val="0062026B"/>
    <w:rsid w:val="0062147A"/>
    <w:rsid w:val="006223AF"/>
    <w:rsid w:val="00625E7D"/>
    <w:rsid w:val="006264A8"/>
    <w:rsid w:val="00626AA6"/>
    <w:rsid w:val="00630426"/>
    <w:rsid w:val="00632BC6"/>
    <w:rsid w:val="00634D02"/>
    <w:rsid w:val="006364B3"/>
    <w:rsid w:val="00640486"/>
    <w:rsid w:val="00640A91"/>
    <w:rsid w:val="00640B3C"/>
    <w:rsid w:val="00640F95"/>
    <w:rsid w:val="00641EA1"/>
    <w:rsid w:val="00642043"/>
    <w:rsid w:val="00642999"/>
    <w:rsid w:val="00643FB5"/>
    <w:rsid w:val="0064420D"/>
    <w:rsid w:val="0064478C"/>
    <w:rsid w:val="006461CA"/>
    <w:rsid w:val="00646400"/>
    <w:rsid w:val="00646A59"/>
    <w:rsid w:val="00647640"/>
    <w:rsid w:val="00652419"/>
    <w:rsid w:val="0065252D"/>
    <w:rsid w:val="006525B7"/>
    <w:rsid w:val="00653F04"/>
    <w:rsid w:val="0065442E"/>
    <w:rsid w:val="00654981"/>
    <w:rsid w:val="006569B3"/>
    <w:rsid w:val="0065732E"/>
    <w:rsid w:val="00660DC4"/>
    <w:rsid w:val="00661635"/>
    <w:rsid w:val="00662D53"/>
    <w:rsid w:val="00663B43"/>
    <w:rsid w:val="006668DB"/>
    <w:rsid w:val="006675B7"/>
    <w:rsid w:val="00667F8E"/>
    <w:rsid w:val="0067040B"/>
    <w:rsid w:val="00671955"/>
    <w:rsid w:val="0067208A"/>
    <w:rsid w:val="00674379"/>
    <w:rsid w:val="00674C11"/>
    <w:rsid w:val="006771F9"/>
    <w:rsid w:val="0067746B"/>
    <w:rsid w:val="0067783C"/>
    <w:rsid w:val="00680140"/>
    <w:rsid w:val="006804A9"/>
    <w:rsid w:val="00680BB8"/>
    <w:rsid w:val="00681363"/>
    <w:rsid w:val="00681D4C"/>
    <w:rsid w:val="00682C25"/>
    <w:rsid w:val="006831FF"/>
    <w:rsid w:val="00685E1B"/>
    <w:rsid w:val="00686A4C"/>
    <w:rsid w:val="0068713F"/>
    <w:rsid w:val="00690803"/>
    <w:rsid w:val="00690F1C"/>
    <w:rsid w:val="00693842"/>
    <w:rsid w:val="00693AE9"/>
    <w:rsid w:val="00694044"/>
    <w:rsid w:val="0069628F"/>
    <w:rsid w:val="0069638B"/>
    <w:rsid w:val="006A0AB8"/>
    <w:rsid w:val="006A13C0"/>
    <w:rsid w:val="006A17AD"/>
    <w:rsid w:val="006A2960"/>
    <w:rsid w:val="006A2C63"/>
    <w:rsid w:val="006A38D9"/>
    <w:rsid w:val="006A3E0A"/>
    <w:rsid w:val="006A6097"/>
    <w:rsid w:val="006A6F02"/>
    <w:rsid w:val="006A6F1D"/>
    <w:rsid w:val="006B00BE"/>
    <w:rsid w:val="006B2A09"/>
    <w:rsid w:val="006B2A37"/>
    <w:rsid w:val="006B2A54"/>
    <w:rsid w:val="006B3FA7"/>
    <w:rsid w:val="006B424A"/>
    <w:rsid w:val="006B4A1A"/>
    <w:rsid w:val="006B513B"/>
    <w:rsid w:val="006B5CDC"/>
    <w:rsid w:val="006B773F"/>
    <w:rsid w:val="006B787E"/>
    <w:rsid w:val="006C00D3"/>
    <w:rsid w:val="006C0166"/>
    <w:rsid w:val="006C0C2D"/>
    <w:rsid w:val="006C4ADA"/>
    <w:rsid w:val="006C4C60"/>
    <w:rsid w:val="006C6BF9"/>
    <w:rsid w:val="006C6CF5"/>
    <w:rsid w:val="006C6EF0"/>
    <w:rsid w:val="006C7240"/>
    <w:rsid w:val="006C7AE1"/>
    <w:rsid w:val="006C7C96"/>
    <w:rsid w:val="006D1903"/>
    <w:rsid w:val="006D1E07"/>
    <w:rsid w:val="006D2D03"/>
    <w:rsid w:val="006D4811"/>
    <w:rsid w:val="006D4F88"/>
    <w:rsid w:val="006D6374"/>
    <w:rsid w:val="006D6F4A"/>
    <w:rsid w:val="006D7BCF"/>
    <w:rsid w:val="006D7D77"/>
    <w:rsid w:val="006E1DBF"/>
    <w:rsid w:val="006E24C5"/>
    <w:rsid w:val="006E2712"/>
    <w:rsid w:val="006E485B"/>
    <w:rsid w:val="006E5819"/>
    <w:rsid w:val="006E5B00"/>
    <w:rsid w:val="006E6F1A"/>
    <w:rsid w:val="006E732E"/>
    <w:rsid w:val="006E747C"/>
    <w:rsid w:val="006E7738"/>
    <w:rsid w:val="006E7FE1"/>
    <w:rsid w:val="006F091F"/>
    <w:rsid w:val="006F207B"/>
    <w:rsid w:val="006F2085"/>
    <w:rsid w:val="006F27AA"/>
    <w:rsid w:val="006F2D94"/>
    <w:rsid w:val="006F2F6F"/>
    <w:rsid w:val="006F3402"/>
    <w:rsid w:val="006F41AB"/>
    <w:rsid w:val="006F4572"/>
    <w:rsid w:val="006F499D"/>
    <w:rsid w:val="006F4C72"/>
    <w:rsid w:val="006F4E2B"/>
    <w:rsid w:val="006F56EE"/>
    <w:rsid w:val="006F634F"/>
    <w:rsid w:val="00700443"/>
    <w:rsid w:val="007004A2"/>
    <w:rsid w:val="007006D5"/>
    <w:rsid w:val="00705BC4"/>
    <w:rsid w:val="00710BEA"/>
    <w:rsid w:val="007112A4"/>
    <w:rsid w:val="00712727"/>
    <w:rsid w:val="00712BE4"/>
    <w:rsid w:val="00714754"/>
    <w:rsid w:val="00715A17"/>
    <w:rsid w:val="00716358"/>
    <w:rsid w:val="00716C8F"/>
    <w:rsid w:val="0071798C"/>
    <w:rsid w:val="0072026B"/>
    <w:rsid w:val="00721AB0"/>
    <w:rsid w:val="007220CD"/>
    <w:rsid w:val="007227E0"/>
    <w:rsid w:val="007231E9"/>
    <w:rsid w:val="0072369A"/>
    <w:rsid w:val="007249B9"/>
    <w:rsid w:val="00726536"/>
    <w:rsid w:val="00726719"/>
    <w:rsid w:val="00727069"/>
    <w:rsid w:val="00731CFF"/>
    <w:rsid w:val="00732161"/>
    <w:rsid w:val="007326D6"/>
    <w:rsid w:val="00732D1A"/>
    <w:rsid w:val="00732D8F"/>
    <w:rsid w:val="00735D6E"/>
    <w:rsid w:val="00735F20"/>
    <w:rsid w:val="007373E7"/>
    <w:rsid w:val="00737546"/>
    <w:rsid w:val="00740459"/>
    <w:rsid w:val="00742630"/>
    <w:rsid w:val="0074433E"/>
    <w:rsid w:val="00744625"/>
    <w:rsid w:val="00745946"/>
    <w:rsid w:val="00746187"/>
    <w:rsid w:val="00751CFE"/>
    <w:rsid w:val="0075297C"/>
    <w:rsid w:val="00754214"/>
    <w:rsid w:val="00754328"/>
    <w:rsid w:val="00754E14"/>
    <w:rsid w:val="00755226"/>
    <w:rsid w:val="00756139"/>
    <w:rsid w:val="00756548"/>
    <w:rsid w:val="00756C56"/>
    <w:rsid w:val="00760949"/>
    <w:rsid w:val="00761388"/>
    <w:rsid w:val="007615C9"/>
    <w:rsid w:val="00761A1F"/>
    <w:rsid w:val="00762039"/>
    <w:rsid w:val="0076222F"/>
    <w:rsid w:val="00762331"/>
    <w:rsid w:val="00763945"/>
    <w:rsid w:val="00763BEB"/>
    <w:rsid w:val="00763D69"/>
    <w:rsid w:val="007641C3"/>
    <w:rsid w:val="00765AA6"/>
    <w:rsid w:val="00765D30"/>
    <w:rsid w:val="00770892"/>
    <w:rsid w:val="00770A90"/>
    <w:rsid w:val="00770F5A"/>
    <w:rsid w:val="00771214"/>
    <w:rsid w:val="007716E2"/>
    <w:rsid w:val="00771D48"/>
    <w:rsid w:val="007726E9"/>
    <w:rsid w:val="00774CBC"/>
    <w:rsid w:val="00774E32"/>
    <w:rsid w:val="00776D48"/>
    <w:rsid w:val="0078075A"/>
    <w:rsid w:val="00781F08"/>
    <w:rsid w:val="00782378"/>
    <w:rsid w:val="00785D58"/>
    <w:rsid w:val="007863B2"/>
    <w:rsid w:val="00787484"/>
    <w:rsid w:val="0079001A"/>
    <w:rsid w:val="007907E4"/>
    <w:rsid w:val="00791C6A"/>
    <w:rsid w:val="00792215"/>
    <w:rsid w:val="00794172"/>
    <w:rsid w:val="0079467F"/>
    <w:rsid w:val="00794887"/>
    <w:rsid w:val="00794F5D"/>
    <w:rsid w:val="00795464"/>
    <w:rsid w:val="00796E13"/>
    <w:rsid w:val="00797564"/>
    <w:rsid w:val="00797CE7"/>
    <w:rsid w:val="007A2F8A"/>
    <w:rsid w:val="007A319B"/>
    <w:rsid w:val="007A4308"/>
    <w:rsid w:val="007A5C25"/>
    <w:rsid w:val="007A6370"/>
    <w:rsid w:val="007A63FA"/>
    <w:rsid w:val="007A6501"/>
    <w:rsid w:val="007A67D1"/>
    <w:rsid w:val="007B23D3"/>
    <w:rsid w:val="007B2655"/>
    <w:rsid w:val="007B2B5C"/>
    <w:rsid w:val="007B4F28"/>
    <w:rsid w:val="007B539D"/>
    <w:rsid w:val="007B77BC"/>
    <w:rsid w:val="007C0121"/>
    <w:rsid w:val="007C069D"/>
    <w:rsid w:val="007C0834"/>
    <w:rsid w:val="007C0A44"/>
    <w:rsid w:val="007C0AC4"/>
    <w:rsid w:val="007C1198"/>
    <w:rsid w:val="007C16CD"/>
    <w:rsid w:val="007C18A4"/>
    <w:rsid w:val="007C23BE"/>
    <w:rsid w:val="007C3CFC"/>
    <w:rsid w:val="007C4EDB"/>
    <w:rsid w:val="007C5647"/>
    <w:rsid w:val="007C5F16"/>
    <w:rsid w:val="007C6E1B"/>
    <w:rsid w:val="007C6ED6"/>
    <w:rsid w:val="007C7CB1"/>
    <w:rsid w:val="007D2380"/>
    <w:rsid w:val="007D36CB"/>
    <w:rsid w:val="007D4426"/>
    <w:rsid w:val="007D6B19"/>
    <w:rsid w:val="007D77D7"/>
    <w:rsid w:val="007E2271"/>
    <w:rsid w:val="007E2B1A"/>
    <w:rsid w:val="007E3EBF"/>
    <w:rsid w:val="007E43E9"/>
    <w:rsid w:val="007E49DB"/>
    <w:rsid w:val="007E51CB"/>
    <w:rsid w:val="007E5293"/>
    <w:rsid w:val="007E579F"/>
    <w:rsid w:val="007E77D5"/>
    <w:rsid w:val="007E798F"/>
    <w:rsid w:val="007E7EA2"/>
    <w:rsid w:val="007F1502"/>
    <w:rsid w:val="007F349F"/>
    <w:rsid w:val="007F3A4D"/>
    <w:rsid w:val="007F4D27"/>
    <w:rsid w:val="007F55D2"/>
    <w:rsid w:val="007F6696"/>
    <w:rsid w:val="007F7B07"/>
    <w:rsid w:val="0080272C"/>
    <w:rsid w:val="00802A89"/>
    <w:rsid w:val="00804BDA"/>
    <w:rsid w:val="00806935"/>
    <w:rsid w:val="00806DBF"/>
    <w:rsid w:val="00807222"/>
    <w:rsid w:val="00812C97"/>
    <w:rsid w:val="00813B7D"/>
    <w:rsid w:val="008152FD"/>
    <w:rsid w:val="00815CB0"/>
    <w:rsid w:val="00816380"/>
    <w:rsid w:val="00816414"/>
    <w:rsid w:val="00816A90"/>
    <w:rsid w:val="00816C69"/>
    <w:rsid w:val="0082053C"/>
    <w:rsid w:val="00821112"/>
    <w:rsid w:val="0082229F"/>
    <w:rsid w:val="00824A47"/>
    <w:rsid w:val="00824DED"/>
    <w:rsid w:val="008257F1"/>
    <w:rsid w:val="00826251"/>
    <w:rsid w:val="0082756D"/>
    <w:rsid w:val="00827FA4"/>
    <w:rsid w:val="00830940"/>
    <w:rsid w:val="0083286E"/>
    <w:rsid w:val="00834344"/>
    <w:rsid w:val="0083490E"/>
    <w:rsid w:val="00834999"/>
    <w:rsid w:val="00835935"/>
    <w:rsid w:val="00837206"/>
    <w:rsid w:val="00837936"/>
    <w:rsid w:val="00837EC7"/>
    <w:rsid w:val="00842175"/>
    <w:rsid w:val="00845F35"/>
    <w:rsid w:val="008524A9"/>
    <w:rsid w:val="008531A6"/>
    <w:rsid w:val="008539EF"/>
    <w:rsid w:val="00854AF4"/>
    <w:rsid w:val="00854B60"/>
    <w:rsid w:val="00854D43"/>
    <w:rsid w:val="0085532E"/>
    <w:rsid w:val="00860E77"/>
    <w:rsid w:val="00861386"/>
    <w:rsid w:val="008615B5"/>
    <w:rsid w:val="008621FE"/>
    <w:rsid w:val="008637BC"/>
    <w:rsid w:val="00864B5F"/>
    <w:rsid w:val="00865940"/>
    <w:rsid w:val="00866CAC"/>
    <w:rsid w:val="00873905"/>
    <w:rsid w:val="008767BB"/>
    <w:rsid w:val="00877DCD"/>
    <w:rsid w:val="00880F0F"/>
    <w:rsid w:val="008814B8"/>
    <w:rsid w:val="0088561B"/>
    <w:rsid w:val="00886D5F"/>
    <w:rsid w:val="008875FE"/>
    <w:rsid w:val="00891348"/>
    <w:rsid w:val="008913B9"/>
    <w:rsid w:val="00892B05"/>
    <w:rsid w:val="00892C55"/>
    <w:rsid w:val="00893311"/>
    <w:rsid w:val="00893D09"/>
    <w:rsid w:val="00895581"/>
    <w:rsid w:val="00895ABD"/>
    <w:rsid w:val="00895D87"/>
    <w:rsid w:val="0089755D"/>
    <w:rsid w:val="008A029E"/>
    <w:rsid w:val="008A3A96"/>
    <w:rsid w:val="008A4A14"/>
    <w:rsid w:val="008A52D3"/>
    <w:rsid w:val="008A5C6D"/>
    <w:rsid w:val="008A5DBD"/>
    <w:rsid w:val="008A74E0"/>
    <w:rsid w:val="008A7F96"/>
    <w:rsid w:val="008B0288"/>
    <w:rsid w:val="008B0787"/>
    <w:rsid w:val="008B0916"/>
    <w:rsid w:val="008B1BE0"/>
    <w:rsid w:val="008B3509"/>
    <w:rsid w:val="008B50BE"/>
    <w:rsid w:val="008B51EA"/>
    <w:rsid w:val="008B579F"/>
    <w:rsid w:val="008B748A"/>
    <w:rsid w:val="008C1A1D"/>
    <w:rsid w:val="008C4C6C"/>
    <w:rsid w:val="008C5D1A"/>
    <w:rsid w:val="008C67E2"/>
    <w:rsid w:val="008C6894"/>
    <w:rsid w:val="008C7351"/>
    <w:rsid w:val="008D0B55"/>
    <w:rsid w:val="008D15BF"/>
    <w:rsid w:val="008D2029"/>
    <w:rsid w:val="008D2CA6"/>
    <w:rsid w:val="008D2E7C"/>
    <w:rsid w:val="008D3570"/>
    <w:rsid w:val="008D63B7"/>
    <w:rsid w:val="008E0FCF"/>
    <w:rsid w:val="008E1170"/>
    <w:rsid w:val="008E2B75"/>
    <w:rsid w:val="008E3D19"/>
    <w:rsid w:val="008E4CCC"/>
    <w:rsid w:val="008E4F08"/>
    <w:rsid w:val="008E54E7"/>
    <w:rsid w:val="008E5539"/>
    <w:rsid w:val="008E5EF5"/>
    <w:rsid w:val="008E6497"/>
    <w:rsid w:val="008F064F"/>
    <w:rsid w:val="008F1E2C"/>
    <w:rsid w:val="008F2FE8"/>
    <w:rsid w:val="008F306E"/>
    <w:rsid w:val="008F31D2"/>
    <w:rsid w:val="008F3460"/>
    <w:rsid w:val="008F3B5C"/>
    <w:rsid w:val="008F4131"/>
    <w:rsid w:val="008F4C37"/>
    <w:rsid w:val="008F52AA"/>
    <w:rsid w:val="008F5F39"/>
    <w:rsid w:val="008F6110"/>
    <w:rsid w:val="008F63E3"/>
    <w:rsid w:val="008F6DF6"/>
    <w:rsid w:val="008F6F41"/>
    <w:rsid w:val="008F7A72"/>
    <w:rsid w:val="00902604"/>
    <w:rsid w:val="009026D0"/>
    <w:rsid w:val="00903A9B"/>
    <w:rsid w:val="00903E98"/>
    <w:rsid w:val="009043EF"/>
    <w:rsid w:val="00904A1B"/>
    <w:rsid w:val="00904ACC"/>
    <w:rsid w:val="00905CCA"/>
    <w:rsid w:val="009064E9"/>
    <w:rsid w:val="00906940"/>
    <w:rsid w:val="00906C2D"/>
    <w:rsid w:val="00906DA7"/>
    <w:rsid w:val="00907834"/>
    <w:rsid w:val="009104A8"/>
    <w:rsid w:val="00911794"/>
    <w:rsid w:val="00911DE4"/>
    <w:rsid w:val="0091266E"/>
    <w:rsid w:val="00912860"/>
    <w:rsid w:val="00912C7D"/>
    <w:rsid w:val="0091321D"/>
    <w:rsid w:val="0091382D"/>
    <w:rsid w:val="00916DE8"/>
    <w:rsid w:val="009179FB"/>
    <w:rsid w:val="0092090D"/>
    <w:rsid w:val="00920CB2"/>
    <w:rsid w:val="00921114"/>
    <w:rsid w:val="00922304"/>
    <w:rsid w:val="0092414C"/>
    <w:rsid w:val="0092500A"/>
    <w:rsid w:val="009252B7"/>
    <w:rsid w:val="0093043A"/>
    <w:rsid w:val="00930670"/>
    <w:rsid w:val="009308AF"/>
    <w:rsid w:val="00931117"/>
    <w:rsid w:val="00932953"/>
    <w:rsid w:val="0093364A"/>
    <w:rsid w:val="009336E5"/>
    <w:rsid w:val="009337D1"/>
    <w:rsid w:val="00933D27"/>
    <w:rsid w:val="009344B0"/>
    <w:rsid w:val="00934922"/>
    <w:rsid w:val="009359AF"/>
    <w:rsid w:val="009365E7"/>
    <w:rsid w:val="00940223"/>
    <w:rsid w:val="00940DC2"/>
    <w:rsid w:val="00941792"/>
    <w:rsid w:val="0094227B"/>
    <w:rsid w:val="009431B9"/>
    <w:rsid w:val="009436B6"/>
    <w:rsid w:val="00943E8F"/>
    <w:rsid w:val="009446BD"/>
    <w:rsid w:val="00944D10"/>
    <w:rsid w:val="00944D3C"/>
    <w:rsid w:val="0094510A"/>
    <w:rsid w:val="00945E8C"/>
    <w:rsid w:val="009460BE"/>
    <w:rsid w:val="00946594"/>
    <w:rsid w:val="009477A5"/>
    <w:rsid w:val="00947AA9"/>
    <w:rsid w:val="009500FC"/>
    <w:rsid w:val="00953E19"/>
    <w:rsid w:val="009575E3"/>
    <w:rsid w:val="00957653"/>
    <w:rsid w:val="00957C96"/>
    <w:rsid w:val="009602A2"/>
    <w:rsid w:val="009617E1"/>
    <w:rsid w:val="00961D22"/>
    <w:rsid w:val="0096241E"/>
    <w:rsid w:val="00965A3E"/>
    <w:rsid w:val="0096753E"/>
    <w:rsid w:val="0096765E"/>
    <w:rsid w:val="009679D7"/>
    <w:rsid w:val="00967B36"/>
    <w:rsid w:val="00967FDB"/>
    <w:rsid w:val="00971FB2"/>
    <w:rsid w:val="0097482E"/>
    <w:rsid w:val="00976345"/>
    <w:rsid w:val="00977746"/>
    <w:rsid w:val="00982D32"/>
    <w:rsid w:val="00982ED8"/>
    <w:rsid w:val="009838BF"/>
    <w:rsid w:val="009859B5"/>
    <w:rsid w:val="00985D2C"/>
    <w:rsid w:val="00985E1C"/>
    <w:rsid w:val="00992E06"/>
    <w:rsid w:val="00993E17"/>
    <w:rsid w:val="00995268"/>
    <w:rsid w:val="009967A7"/>
    <w:rsid w:val="009968C4"/>
    <w:rsid w:val="009969A1"/>
    <w:rsid w:val="00996B42"/>
    <w:rsid w:val="00996E40"/>
    <w:rsid w:val="00997A01"/>
    <w:rsid w:val="009A110F"/>
    <w:rsid w:val="009A168C"/>
    <w:rsid w:val="009A19AE"/>
    <w:rsid w:val="009A1F1F"/>
    <w:rsid w:val="009A2C99"/>
    <w:rsid w:val="009A36FB"/>
    <w:rsid w:val="009A4709"/>
    <w:rsid w:val="009A4944"/>
    <w:rsid w:val="009A4D60"/>
    <w:rsid w:val="009A4FAC"/>
    <w:rsid w:val="009A681F"/>
    <w:rsid w:val="009A6874"/>
    <w:rsid w:val="009A75C5"/>
    <w:rsid w:val="009B028E"/>
    <w:rsid w:val="009B0636"/>
    <w:rsid w:val="009B1591"/>
    <w:rsid w:val="009B1FAB"/>
    <w:rsid w:val="009B5F91"/>
    <w:rsid w:val="009B7994"/>
    <w:rsid w:val="009C17A8"/>
    <w:rsid w:val="009C3E4D"/>
    <w:rsid w:val="009C515C"/>
    <w:rsid w:val="009C5C3E"/>
    <w:rsid w:val="009C6E08"/>
    <w:rsid w:val="009C7765"/>
    <w:rsid w:val="009C7ECA"/>
    <w:rsid w:val="009D2455"/>
    <w:rsid w:val="009D4CC7"/>
    <w:rsid w:val="009D4F34"/>
    <w:rsid w:val="009D5DBE"/>
    <w:rsid w:val="009D7746"/>
    <w:rsid w:val="009D798A"/>
    <w:rsid w:val="009E0663"/>
    <w:rsid w:val="009E2A2C"/>
    <w:rsid w:val="009E40FD"/>
    <w:rsid w:val="009E43EF"/>
    <w:rsid w:val="009E4A62"/>
    <w:rsid w:val="009E5C38"/>
    <w:rsid w:val="009E6ADB"/>
    <w:rsid w:val="009E74DD"/>
    <w:rsid w:val="009F146D"/>
    <w:rsid w:val="009F59DC"/>
    <w:rsid w:val="009F5BBD"/>
    <w:rsid w:val="009F6006"/>
    <w:rsid w:val="009F611F"/>
    <w:rsid w:val="009F6335"/>
    <w:rsid w:val="009F76EF"/>
    <w:rsid w:val="009F7919"/>
    <w:rsid w:val="00A018A6"/>
    <w:rsid w:val="00A02EBB"/>
    <w:rsid w:val="00A02EC7"/>
    <w:rsid w:val="00A04522"/>
    <w:rsid w:val="00A04CC3"/>
    <w:rsid w:val="00A07131"/>
    <w:rsid w:val="00A071BA"/>
    <w:rsid w:val="00A116B0"/>
    <w:rsid w:val="00A11EEE"/>
    <w:rsid w:val="00A12A03"/>
    <w:rsid w:val="00A13525"/>
    <w:rsid w:val="00A14E3A"/>
    <w:rsid w:val="00A14F1C"/>
    <w:rsid w:val="00A16E6F"/>
    <w:rsid w:val="00A17170"/>
    <w:rsid w:val="00A1750D"/>
    <w:rsid w:val="00A17AE2"/>
    <w:rsid w:val="00A17EDE"/>
    <w:rsid w:val="00A20B81"/>
    <w:rsid w:val="00A20FED"/>
    <w:rsid w:val="00A2238E"/>
    <w:rsid w:val="00A23D34"/>
    <w:rsid w:val="00A23E08"/>
    <w:rsid w:val="00A25E38"/>
    <w:rsid w:val="00A306CD"/>
    <w:rsid w:val="00A311E3"/>
    <w:rsid w:val="00A31907"/>
    <w:rsid w:val="00A32685"/>
    <w:rsid w:val="00A327DE"/>
    <w:rsid w:val="00A35C71"/>
    <w:rsid w:val="00A35FB1"/>
    <w:rsid w:val="00A37A46"/>
    <w:rsid w:val="00A37AAF"/>
    <w:rsid w:val="00A37AE6"/>
    <w:rsid w:val="00A42329"/>
    <w:rsid w:val="00A431DB"/>
    <w:rsid w:val="00A44291"/>
    <w:rsid w:val="00A44452"/>
    <w:rsid w:val="00A44878"/>
    <w:rsid w:val="00A45126"/>
    <w:rsid w:val="00A475F1"/>
    <w:rsid w:val="00A47611"/>
    <w:rsid w:val="00A47994"/>
    <w:rsid w:val="00A50B02"/>
    <w:rsid w:val="00A50F75"/>
    <w:rsid w:val="00A52582"/>
    <w:rsid w:val="00A52B74"/>
    <w:rsid w:val="00A549C4"/>
    <w:rsid w:val="00A5525E"/>
    <w:rsid w:val="00A55E57"/>
    <w:rsid w:val="00A56FAD"/>
    <w:rsid w:val="00A57CA0"/>
    <w:rsid w:val="00A60756"/>
    <w:rsid w:val="00A607F5"/>
    <w:rsid w:val="00A60B64"/>
    <w:rsid w:val="00A61129"/>
    <w:rsid w:val="00A6135F"/>
    <w:rsid w:val="00A6437E"/>
    <w:rsid w:val="00A64FC0"/>
    <w:rsid w:val="00A65112"/>
    <w:rsid w:val="00A651C0"/>
    <w:rsid w:val="00A65288"/>
    <w:rsid w:val="00A65352"/>
    <w:rsid w:val="00A6782E"/>
    <w:rsid w:val="00A67DB3"/>
    <w:rsid w:val="00A70F47"/>
    <w:rsid w:val="00A71834"/>
    <w:rsid w:val="00A73E7F"/>
    <w:rsid w:val="00A75218"/>
    <w:rsid w:val="00A75348"/>
    <w:rsid w:val="00A75D8D"/>
    <w:rsid w:val="00A804F8"/>
    <w:rsid w:val="00A816A2"/>
    <w:rsid w:val="00A818FD"/>
    <w:rsid w:val="00A8292B"/>
    <w:rsid w:val="00A8335A"/>
    <w:rsid w:val="00A83B86"/>
    <w:rsid w:val="00A85203"/>
    <w:rsid w:val="00A85B82"/>
    <w:rsid w:val="00A8653C"/>
    <w:rsid w:val="00A86B0F"/>
    <w:rsid w:val="00A87B6A"/>
    <w:rsid w:val="00A91003"/>
    <w:rsid w:val="00A91C4F"/>
    <w:rsid w:val="00A91D9A"/>
    <w:rsid w:val="00A92394"/>
    <w:rsid w:val="00A92C82"/>
    <w:rsid w:val="00A93105"/>
    <w:rsid w:val="00A935E3"/>
    <w:rsid w:val="00A93B7F"/>
    <w:rsid w:val="00A93F0F"/>
    <w:rsid w:val="00A9533B"/>
    <w:rsid w:val="00A957C2"/>
    <w:rsid w:val="00A959DF"/>
    <w:rsid w:val="00A9631B"/>
    <w:rsid w:val="00A9653A"/>
    <w:rsid w:val="00A9665F"/>
    <w:rsid w:val="00A968BA"/>
    <w:rsid w:val="00A96E59"/>
    <w:rsid w:val="00A97436"/>
    <w:rsid w:val="00AA1DDD"/>
    <w:rsid w:val="00AA4518"/>
    <w:rsid w:val="00AA484E"/>
    <w:rsid w:val="00AA5EB2"/>
    <w:rsid w:val="00AA6C3A"/>
    <w:rsid w:val="00AA7146"/>
    <w:rsid w:val="00AA7619"/>
    <w:rsid w:val="00AA7B4D"/>
    <w:rsid w:val="00AA7DDB"/>
    <w:rsid w:val="00AB09E2"/>
    <w:rsid w:val="00AB135E"/>
    <w:rsid w:val="00AB16C1"/>
    <w:rsid w:val="00AB1E9C"/>
    <w:rsid w:val="00AB337F"/>
    <w:rsid w:val="00AB3D36"/>
    <w:rsid w:val="00AB46C4"/>
    <w:rsid w:val="00AC092B"/>
    <w:rsid w:val="00AC2F16"/>
    <w:rsid w:val="00AC3412"/>
    <w:rsid w:val="00AC3C7E"/>
    <w:rsid w:val="00AC58DD"/>
    <w:rsid w:val="00AC6340"/>
    <w:rsid w:val="00AC71D3"/>
    <w:rsid w:val="00AC734A"/>
    <w:rsid w:val="00AC7EE8"/>
    <w:rsid w:val="00AD1350"/>
    <w:rsid w:val="00AD1826"/>
    <w:rsid w:val="00AD1F0C"/>
    <w:rsid w:val="00AD4AE4"/>
    <w:rsid w:val="00AD5F98"/>
    <w:rsid w:val="00AD660A"/>
    <w:rsid w:val="00AD7E50"/>
    <w:rsid w:val="00AE0A64"/>
    <w:rsid w:val="00AE19B6"/>
    <w:rsid w:val="00AE41CD"/>
    <w:rsid w:val="00AE43D2"/>
    <w:rsid w:val="00AE4436"/>
    <w:rsid w:val="00AE5BC9"/>
    <w:rsid w:val="00AE6395"/>
    <w:rsid w:val="00AE6E95"/>
    <w:rsid w:val="00AE7E71"/>
    <w:rsid w:val="00AF1038"/>
    <w:rsid w:val="00AF1DCB"/>
    <w:rsid w:val="00AF28C0"/>
    <w:rsid w:val="00AF3205"/>
    <w:rsid w:val="00AF4239"/>
    <w:rsid w:val="00AF4479"/>
    <w:rsid w:val="00AF5C88"/>
    <w:rsid w:val="00AF6396"/>
    <w:rsid w:val="00AF7005"/>
    <w:rsid w:val="00AF703F"/>
    <w:rsid w:val="00AF72FC"/>
    <w:rsid w:val="00B03AE3"/>
    <w:rsid w:val="00B05DEA"/>
    <w:rsid w:val="00B07014"/>
    <w:rsid w:val="00B104E9"/>
    <w:rsid w:val="00B10D1B"/>
    <w:rsid w:val="00B10DDE"/>
    <w:rsid w:val="00B1102C"/>
    <w:rsid w:val="00B119C6"/>
    <w:rsid w:val="00B11FA8"/>
    <w:rsid w:val="00B1289F"/>
    <w:rsid w:val="00B14151"/>
    <w:rsid w:val="00B14618"/>
    <w:rsid w:val="00B20391"/>
    <w:rsid w:val="00B209BE"/>
    <w:rsid w:val="00B21492"/>
    <w:rsid w:val="00B23E8B"/>
    <w:rsid w:val="00B24576"/>
    <w:rsid w:val="00B24D36"/>
    <w:rsid w:val="00B2523C"/>
    <w:rsid w:val="00B25C66"/>
    <w:rsid w:val="00B30CC3"/>
    <w:rsid w:val="00B30EDB"/>
    <w:rsid w:val="00B30FAB"/>
    <w:rsid w:val="00B31702"/>
    <w:rsid w:val="00B31ED6"/>
    <w:rsid w:val="00B33030"/>
    <w:rsid w:val="00B33F2E"/>
    <w:rsid w:val="00B34C2B"/>
    <w:rsid w:val="00B367B8"/>
    <w:rsid w:val="00B409E6"/>
    <w:rsid w:val="00B413F4"/>
    <w:rsid w:val="00B417A9"/>
    <w:rsid w:val="00B431B3"/>
    <w:rsid w:val="00B446CA"/>
    <w:rsid w:val="00B45B86"/>
    <w:rsid w:val="00B4612E"/>
    <w:rsid w:val="00B46498"/>
    <w:rsid w:val="00B474B0"/>
    <w:rsid w:val="00B47BBD"/>
    <w:rsid w:val="00B51073"/>
    <w:rsid w:val="00B51595"/>
    <w:rsid w:val="00B5170E"/>
    <w:rsid w:val="00B5177D"/>
    <w:rsid w:val="00B52038"/>
    <w:rsid w:val="00B5283D"/>
    <w:rsid w:val="00B5305B"/>
    <w:rsid w:val="00B53A26"/>
    <w:rsid w:val="00B54BA9"/>
    <w:rsid w:val="00B55FF3"/>
    <w:rsid w:val="00B5602D"/>
    <w:rsid w:val="00B57BDC"/>
    <w:rsid w:val="00B57CF1"/>
    <w:rsid w:val="00B62946"/>
    <w:rsid w:val="00B629C9"/>
    <w:rsid w:val="00B63B61"/>
    <w:rsid w:val="00B653BB"/>
    <w:rsid w:val="00B65455"/>
    <w:rsid w:val="00B65DF3"/>
    <w:rsid w:val="00B66CA9"/>
    <w:rsid w:val="00B70047"/>
    <w:rsid w:val="00B704EF"/>
    <w:rsid w:val="00B71690"/>
    <w:rsid w:val="00B7316B"/>
    <w:rsid w:val="00B736EA"/>
    <w:rsid w:val="00B73EC8"/>
    <w:rsid w:val="00B74F23"/>
    <w:rsid w:val="00B77953"/>
    <w:rsid w:val="00B77D23"/>
    <w:rsid w:val="00B80283"/>
    <w:rsid w:val="00B805ED"/>
    <w:rsid w:val="00B81C8C"/>
    <w:rsid w:val="00B81CBD"/>
    <w:rsid w:val="00B82E02"/>
    <w:rsid w:val="00B83505"/>
    <w:rsid w:val="00B83758"/>
    <w:rsid w:val="00B848BB"/>
    <w:rsid w:val="00B859A7"/>
    <w:rsid w:val="00B867A0"/>
    <w:rsid w:val="00B90985"/>
    <w:rsid w:val="00B92096"/>
    <w:rsid w:val="00B92962"/>
    <w:rsid w:val="00B93524"/>
    <w:rsid w:val="00B93592"/>
    <w:rsid w:val="00B94AB0"/>
    <w:rsid w:val="00B954BF"/>
    <w:rsid w:val="00B95583"/>
    <w:rsid w:val="00B973C5"/>
    <w:rsid w:val="00B975A3"/>
    <w:rsid w:val="00BA08EC"/>
    <w:rsid w:val="00BA112E"/>
    <w:rsid w:val="00BA115F"/>
    <w:rsid w:val="00BA24C9"/>
    <w:rsid w:val="00BA283E"/>
    <w:rsid w:val="00BA2969"/>
    <w:rsid w:val="00BA2BF5"/>
    <w:rsid w:val="00BA3557"/>
    <w:rsid w:val="00BA3906"/>
    <w:rsid w:val="00BA3C62"/>
    <w:rsid w:val="00BA427D"/>
    <w:rsid w:val="00BA4382"/>
    <w:rsid w:val="00BA46B5"/>
    <w:rsid w:val="00BA5074"/>
    <w:rsid w:val="00BB1397"/>
    <w:rsid w:val="00BB1D2B"/>
    <w:rsid w:val="00BB303F"/>
    <w:rsid w:val="00BB329E"/>
    <w:rsid w:val="00BB4025"/>
    <w:rsid w:val="00BB45DF"/>
    <w:rsid w:val="00BB4758"/>
    <w:rsid w:val="00BB48D3"/>
    <w:rsid w:val="00BB6CAE"/>
    <w:rsid w:val="00BB73A1"/>
    <w:rsid w:val="00BC040F"/>
    <w:rsid w:val="00BC159F"/>
    <w:rsid w:val="00BC1A3A"/>
    <w:rsid w:val="00BC211D"/>
    <w:rsid w:val="00BC2BF3"/>
    <w:rsid w:val="00BC3B78"/>
    <w:rsid w:val="00BC6470"/>
    <w:rsid w:val="00BC650C"/>
    <w:rsid w:val="00BC7384"/>
    <w:rsid w:val="00BD1582"/>
    <w:rsid w:val="00BD19E1"/>
    <w:rsid w:val="00BD3493"/>
    <w:rsid w:val="00BD4841"/>
    <w:rsid w:val="00BD524A"/>
    <w:rsid w:val="00BD564B"/>
    <w:rsid w:val="00BD6395"/>
    <w:rsid w:val="00BD63E0"/>
    <w:rsid w:val="00BE34EF"/>
    <w:rsid w:val="00BE3DE4"/>
    <w:rsid w:val="00BE48B1"/>
    <w:rsid w:val="00BE622F"/>
    <w:rsid w:val="00BE653E"/>
    <w:rsid w:val="00BE6EF5"/>
    <w:rsid w:val="00BF1A55"/>
    <w:rsid w:val="00BF2BAB"/>
    <w:rsid w:val="00BF5B8A"/>
    <w:rsid w:val="00C028D7"/>
    <w:rsid w:val="00C03056"/>
    <w:rsid w:val="00C0487D"/>
    <w:rsid w:val="00C04F7D"/>
    <w:rsid w:val="00C05383"/>
    <w:rsid w:val="00C05B88"/>
    <w:rsid w:val="00C05F10"/>
    <w:rsid w:val="00C05FEE"/>
    <w:rsid w:val="00C06A76"/>
    <w:rsid w:val="00C072E9"/>
    <w:rsid w:val="00C1231F"/>
    <w:rsid w:val="00C13429"/>
    <w:rsid w:val="00C1390C"/>
    <w:rsid w:val="00C170A4"/>
    <w:rsid w:val="00C1764B"/>
    <w:rsid w:val="00C20397"/>
    <w:rsid w:val="00C2039D"/>
    <w:rsid w:val="00C2046F"/>
    <w:rsid w:val="00C20BC2"/>
    <w:rsid w:val="00C212DF"/>
    <w:rsid w:val="00C217B5"/>
    <w:rsid w:val="00C221FB"/>
    <w:rsid w:val="00C2273D"/>
    <w:rsid w:val="00C232EC"/>
    <w:rsid w:val="00C23359"/>
    <w:rsid w:val="00C23B2B"/>
    <w:rsid w:val="00C25308"/>
    <w:rsid w:val="00C26724"/>
    <w:rsid w:val="00C27A0E"/>
    <w:rsid w:val="00C304AC"/>
    <w:rsid w:val="00C30527"/>
    <w:rsid w:val="00C305E0"/>
    <w:rsid w:val="00C31248"/>
    <w:rsid w:val="00C31872"/>
    <w:rsid w:val="00C31C8D"/>
    <w:rsid w:val="00C32BA9"/>
    <w:rsid w:val="00C33059"/>
    <w:rsid w:val="00C33207"/>
    <w:rsid w:val="00C342C2"/>
    <w:rsid w:val="00C344DA"/>
    <w:rsid w:val="00C3465F"/>
    <w:rsid w:val="00C35397"/>
    <w:rsid w:val="00C363C3"/>
    <w:rsid w:val="00C3710F"/>
    <w:rsid w:val="00C40DC2"/>
    <w:rsid w:val="00C4143B"/>
    <w:rsid w:val="00C41732"/>
    <w:rsid w:val="00C41CB8"/>
    <w:rsid w:val="00C42BCE"/>
    <w:rsid w:val="00C43636"/>
    <w:rsid w:val="00C4562F"/>
    <w:rsid w:val="00C47A32"/>
    <w:rsid w:val="00C526F9"/>
    <w:rsid w:val="00C55173"/>
    <w:rsid w:val="00C5656F"/>
    <w:rsid w:val="00C56631"/>
    <w:rsid w:val="00C57290"/>
    <w:rsid w:val="00C579F2"/>
    <w:rsid w:val="00C6255E"/>
    <w:rsid w:val="00C626E5"/>
    <w:rsid w:val="00C632CB"/>
    <w:rsid w:val="00C63792"/>
    <w:rsid w:val="00C6383D"/>
    <w:rsid w:val="00C642E3"/>
    <w:rsid w:val="00C6456A"/>
    <w:rsid w:val="00C65E76"/>
    <w:rsid w:val="00C67694"/>
    <w:rsid w:val="00C67E48"/>
    <w:rsid w:val="00C67E64"/>
    <w:rsid w:val="00C70A8A"/>
    <w:rsid w:val="00C7177A"/>
    <w:rsid w:val="00C71A8A"/>
    <w:rsid w:val="00C7296D"/>
    <w:rsid w:val="00C73EBB"/>
    <w:rsid w:val="00C74F92"/>
    <w:rsid w:val="00C75083"/>
    <w:rsid w:val="00C7508A"/>
    <w:rsid w:val="00C75596"/>
    <w:rsid w:val="00C76576"/>
    <w:rsid w:val="00C7691A"/>
    <w:rsid w:val="00C76C1D"/>
    <w:rsid w:val="00C805BE"/>
    <w:rsid w:val="00C82FA7"/>
    <w:rsid w:val="00C84782"/>
    <w:rsid w:val="00C8690D"/>
    <w:rsid w:val="00C87B41"/>
    <w:rsid w:val="00C9124B"/>
    <w:rsid w:val="00C92C68"/>
    <w:rsid w:val="00C945A5"/>
    <w:rsid w:val="00C952AD"/>
    <w:rsid w:val="00C955FD"/>
    <w:rsid w:val="00C96378"/>
    <w:rsid w:val="00C96741"/>
    <w:rsid w:val="00C96FC0"/>
    <w:rsid w:val="00CA0F78"/>
    <w:rsid w:val="00CA4434"/>
    <w:rsid w:val="00CA502A"/>
    <w:rsid w:val="00CB0089"/>
    <w:rsid w:val="00CB1890"/>
    <w:rsid w:val="00CB268B"/>
    <w:rsid w:val="00CB3178"/>
    <w:rsid w:val="00CB3DFA"/>
    <w:rsid w:val="00CB423D"/>
    <w:rsid w:val="00CB59B3"/>
    <w:rsid w:val="00CB5B38"/>
    <w:rsid w:val="00CB7701"/>
    <w:rsid w:val="00CB7992"/>
    <w:rsid w:val="00CC08A0"/>
    <w:rsid w:val="00CC155B"/>
    <w:rsid w:val="00CC1FC4"/>
    <w:rsid w:val="00CC2975"/>
    <w:rsid w:val="00CC29D5"/>
    <w:rsid w:val="00CC2E89"/>
    <w:rsid w:val="00CC4C41"/>
    <w:rsid w:val="00CC53F1"/>
    <w:rsid w:val="00CC62E9"/>
    <w:rsid w:val="00CC662A"/>
    <w:rsid w:val="00CC6965"/>
    <w:rsid w:val="00CC6B30"/>
    <w:rsid w:val="00CC6E26"/>
    <w:rsid w:val="00CC7EF2"/>
    <w:rsid w:val="00CD0285"/>
    <w:rsid w:val="00CD068A"/>
    <w:rsid w:val="00CD1EB3"/>
    <w:rsid w:val="00CD3F17"/>
    <w:rsid w:val="00CD44A2"/>
    <w:rsid w:val="00CD472C"/>
    <w:rsid w:val="00CD5534"/>
    <w:rsid w:val="00CD58B4"/>
    <w:rsid w:val="00CD7DF7"/>
    <w:rsid w:val="00CD7F8C"/>
    <w:rsid w:val="00CE032C"/>
    <w:rsid w:val="00CE0CCE"/>
    <w:rsid w:val="00CE12A9"/>
    <w:rsid w:val="00CE17BF"/>
    <w:rsid w:val="00CE376D"/>
    <w:rsid w:val="00CE39A8"/>
    <w:rsid w:val="00CE3D15"/>
    <w:rsid w:val="00CE5316"/>
    <w:rsid w:val="00CE5437"/>
    <w:rsid w:val="00CE552D"/>
    <w:rsid w:val="00CE6736"/>
    <w:rsid w:val="00CE7A32"/>
    <w:rsid w:val="00CF0B66"/>
    <w:rsid w:val="00CF3D07"/>
    <w:rsid w:val="00CF41A5"/>
    <w:rsid w:val="00CF4347"/>
    <w:rsid w:val="00D00287"/>
    <w:rsid w:val="00D00437"/>
    <w:rsid w:val="00D01B1C"/>
    <w:rsid w:val="00D033DC"/>
    <w:rsid w:val="00D03D5A"/>
    <w:rsid w:val="00D03FB0"/>
    <w:rsid w:val="00D0553F"/>
    <w:rsid w:val="00D06B9E"/>
    <w:rsid w:val="00D06D7B"/>
    <w:rsid w:val="00D1039A"/>
    <w:rsid w:val="00D11D2F"/>
    <w:rsid w:val="00D1220F"/>
    <w:rsid w:val="00D1260A"/>
    <w:rsid w:val="00D1267B"/>
    <w:rsid w:val="00D12C29"/>
    <w:rsid w:val="00D15790"/>
    <w:rsid w:val="00D16EAB"/>
    <w:rsid w:val="00D20175"/>
    <w:rsid w:val="00D209C4"/>
    <w:rsid w:val="00D23398"/>
    <w:rsid w:val="00D2353E"/>
    <w:rsid w:val="00D244B2"/>
    <w:rsid w:val="00D25721"/>
    <w:rsid w:val="00D25E8A"/>
    <w:rsid w:val="00D2748C"/>
    <w:rsid w:val="00D27615"/>
    <w:rsid w:val="00D305E1"/>
    <w:rsid w:val="00D3077D"/>
    <w:rsid w:val="00D30B32"/>
    <w:rsid w:val="00D31B2A"/>
    <w:rsid w:val="00D323F9"/>
    <w:rsid w:val="00D3380D"/>
    <w:rsid w:val="00D35047"/>
    <w:rsid w:val="00D37D60"/>
    <w:rsid w:val="00D404DD"/>
    <w:rsid w:val="00D40AEE"/>
    <w:rsid w:val="00D41F93"/>
    <w:rsid w:val="00D43067"/>
    <w:rsid w:val="00D440A2"/>
    <w:rsid w:val="00D447B7"/>
    <w:rsid w:val="00D46891"/>
    <w:rsid w:val="00D46EB9"/>
    <w:rsid w:val="00D47F9A"/>
    <w:rsid w:val="00D51BB9"/>
    <w:rsid w:val="00D5297D"/>
    <w:rsid w:val="00D53481"/>
    <w:rsid w:val="00D534F2"/>
    <w:rsid w:val="00D53561"/>
    <w:rsid w:val="00D539E1"/>
    <w:rsid w:val="00D55BE9"/>
    <w:rsid w:val="00D55E44"/>
    <w:rsid w:val="00D56549"/>
    <w:rsid w:val="00D5693F"/>
    <w:rsid w:val="00D571AB"/>
    <w:rsid w:val="00D60235"/>
    <w:rsid w:val="00D602E3"/>
    <w:rsid w:val="00D612FC"/>
    <w:rsid w:val="00D634C5"/>
    <w:rsid w:val="00D63D8E"/>
    <w:rsid w:val="00D64279"/>
    <w:rsid w:val="00D65F7A"/>
    <w:rsid w:val="00D666A4"/>
    <w:rsid w:val="00D67772"/>
    <w:rsid w:val="00D7105B"/>
    <w:rsid w:val="00D722C1"/>
    <w:rsid w:val="00D72DFE"/>
    <w:rsid w:val="00D7350F"/>
    <w:rsid w:val="00D74121"/>
    <w:rsid w:val="00D74F23"/>
    <w:rsid w:val="00D75A16"/>
    <w:rsid w:val="00D75F82"/>
    <w:rsid w:val="00D76B35"/>
    <w:rsid w:val="00D77010"/>
    <w:rsid w:val="00D772C0"/>
    <w:rsid w:val="00D77A50"/>
    <w:rsid w:val="00D81DF7"/>
    <w:rsid w:val="00D822D4"/>
    <w:rsid w:val="00D82421"/>
    <w:rsid w:val="00D8417E"/>
    <w:rsid w:val="00D85225"/>
    <w:rsid w:val="00D85656"/>
    <w:rsid w:val="00D865AE"/>
    <w:rsid w:val="00D86D36"/>
    <w:rsid w:val="00D87008"/>
    <w:rsid w:val="00D87D09"/>
    <w:rsid w:val="00D937B3"/>
    <w:rsid w:val="00D9481B"/>
    <w:rsid w:val="00D94880"/>
    <w:rsid w:val="00D952C7"/>
    <w:rsid w:val="00D979F0"/>
    <w:rsid w:val="00DA13D4"/>
    <w:rsid w:val="00DA62F1"/>
    <w:rsid w:val="00DA6D12"/>
    <w:rsid w:val="00DA6DB8"/>
    <w:rsid w:val="00DA77DB"/>
    <w:rsid w:val="00DB0995"/>
    <w:rsid w:val="00DB0BA6"/>
    <w:rsid w:val="00DB2D0D"/>
    <w:rsid w:val="00DB4C89"/>
    <w:rsid w:val="00DB5811"/>
    <w:rsid w:val="00DB65A4"/>
    <w:rsid w:val="00DB6812"/>
    <w:rsid w:val="00DC21DB"/>
    <w:rsid w:val="00DC488E"/>
    <w:rsid w:val="00DC4DE8"/>
    <w:rsid w:val="00DC50E9"/>
    <w:rsid w:val="00DC7131"/>
    <w:rsid w:val="00DC7A73"/>
    <w:rsid w:val="00DD3D95"/>
    <w:rsid w:val="00DD3DE9"/>
    <w:rsid w:val="00DD4E5F"/>
    <w:rsid w:val="00DD5408"/>
    <w:rsid w:val="00DD723F"/>
    <w:rsid w:val="00DE04AC"/>
    <w:rsid w:val="00DE0687"/>
    <w:rsid w:val="00DE0692"/>
    <w:rsid w:val="00DE0855"/>
    <w:rsid w:val="00DE0DA7"/>
    <w:rsid w:val="00DE151B"/>
    <w:rsid w:val="00DE1DEB"/>
    <w:rsid w:val="00DE1E4B"/>
    <w:rsid w:val="00DE20E9"/>
    <w:rsid w:val="00DE2112"/>
    <w:rsid w:val="00DE4597"/>
    <w:rsid w:val="00DE54B4"/>
    <w:rsid w:val="00DE5FF5"/>
    <w:rsid w:val="00DE655F"/>
    <w:rsid w:val="00DE6A06"/>
    <w:rsid w:val="00DF0763"/>
    <w:rsid w:val="00DF2271"/>
    <w:rsid w:val="00DF4173"/>
    <w:rsid w:val="00DF4759"/>
    <w:rsid w:val="00DF519B"/>
    <w:rsid w:val="00DF5CE7"/>
    <w:rsid w:val="00DF6B76"/>
    <w:rsid w:val="00DF7947"/>
    <w:rsid w:val="00E001CC"/>
    <w:rsid w:val="00E01482"/>
    <w:rsid w:val="00E0178E"/>
    <w:rsid w:val="00E01E46"/>
    <w:rsid w:val="00E02241"/>
    <w:rsid w:val="00E023FF"/>
    <w:rsid w:val="00E02AC8"/>
    <w:rsid w:val="00E036CC"/>
    <w:rsid w:val="00E03782"/>
    <w:rsid w:val="00E04970"/>
    <w:rsid w:val="00E04E29"/>
    <w:rsid w:val="00E06D17"/>
    <w:rsid w:val="00E06FDF"/>
    <w:rsid w:val="00E07337"/>
    <w:rsid w:val="00E10AC1"/>
    <w:rsid w:val="00E10B90"/>
    <w:rsid w:val="00E1117B"/>
    <w:rsid w:val="00E115B3"/>
    <w:rsid w:val="00E11F6D"/>
    <w:rsid w:val="00E12C47"/>
    <w:rsid w:val="00E135C6"/>
    <w:rsid w:val="00E1373A"/>
    <w:rsid w:val="00E13A26"/>
    <w:rsid w:val="00E14254"/>
    <w:rsid w:val="00E146C1"/>
    <w:rsid w:val="00E15D7D"/>
    <w:rsid w:val="00E16E02"/>
    <w:rsid w:val="00E22CF4"/>
    <w:rsid w:val="00E239C0"/>
    <w:rsid w:val="00E24FFF"/>
    <w:rsid w:val="00E25FCE"/>
    <w:rsid w:val="00E263EC"/>
    <w:rsid w:val="00E3137D"/>
    <w:rsid w:val="00E31EA4"/>
    <w:rsid w:val="00E33B38"/>
    <w:rsid w:val="00E3450F"/>
    <w:rsid w:val="00E35609"/>
    <w:rsid w:val="00E37369"/>
    <w:rsid w:val="00E37C0A"/>
    <w:rsid w:val="00E37ECD"/>
    <w:rsid w:val="00E40483"/>
    <w:rsid w:val="00E406AC"/>
    <w:rsid w:val="00E41EF8"/>
    <w:rsid w:val="00E41FEC"/>
    <w:rsid w:val="00E43EEC"/>
    <w:rsid w:val="00E44D31"/>
    <w:rsid w:val="00E45249"/>
    <w:rsid w:val="00E459DA"/>
    <w:rsid w:val="00E45A65"/>
    <w:rsid w:val="00E46CE3"/>
    <w:rsid w:val="00E47227"/>
    <w:rsid w:val="00E47C31"/>
    <w:rsid w:val="00E528E5"/>
    <w:rsid w:val="00E53CF2"/>
    <w:rsid w:val="00E542DF"/>
    <w:rsid w:val="00E54FC2"/>
    <w:rsid w:val="00E55EE8"/>
    <w:rsid w:val="00E56B49"/>
    <w:rsid w:val="00E621EF"/>
    <w:rsid w:val="00E62CEA"/>
    <w:rsid w:val="00E63C75"/>
    <w:rsid w:val="00E661EF"/>
    <w:rsid w:val="00E67282"/>
    <w:rsid w:val="00E67310"/>
    <w:rsid w:val="00E718F0"/>
    <w:rsid w:val="00E72B94"/>
    <w:rsid w:val="00E72E36"/>
    <w:rsid w:val="00E7300C"/>
    <w:rsid w:val="00E7301D"/>
    <w:rsid w:val="00E74119"/>
    <w:rsid w:val="00E74989"/>
    <w:rsid w:val="00E75A7E"/>
    <w:rsid w:val="00E763BC"/>
    <w:rsid w:val="00E763C2"/>
    <w:rsid w:val="00E763EF"/>
    <w:rsid w:val="00E77BBE"/>
    <w:rsid w:val="00E806ED"/>
    <w:rsid w:val="00E80D1A"/>
    <w:rsid w:val="00E80FA2"/>
    <w:rsid w:val="00E81E0F"/>
    <w:rsid w:val="00E81F14"/>
    <w:rsid w:val="00E82D5D"/>
    <w:rsid w:val="00E845C2"/>
    <w:rsid w:val="00E87328"/>
    <w:rsid w:val="00E87653"/>
    <w:rsid w:val="00E935CD"/>
    <w:rsid w:val="00E9501F"/>
    <w:rsid w:val="00E955FD"/>
    <w:rsid w:val="00E95B80"/>
    <w:rsid w:val="00E97F0C"/>
    <w:rsid w:val="00EA06C9"/>
    <w:rsid w:val="00EA16FF"/>
    <w:rsid w:val="00EA3BCE"/>
    <w:rsid w:val="00EA3C98"/>
    <w:rsid w:val="00EA6A2F"/>
    <w:rsid w:val="00EA7383"/>
    <w:rsid w:val="00EA7AB1"/>
    <w:rsid w:val="00EB07FE"/>
    <w:rsid w:val="00EB2FD4"/>
    <w:rsid w:val="00EB3C2A"/>
    <w:rsid w:val="00EB43BF"/>
    <w:rsid w:val="00EB4FB1"/>
    <w:rsid w:val="00EB58D8"/>
    <w:rsid w:val="00EB5AC4"/>
    <w:rsid w:val="00EB6FF8"/>
    <w:rsid w:val="00EB796A"/>
    <w:rsid w:val="00EB7DC7"/>
    <w:rsid w:val="00EC128D"/>
    <w:rsid w:val="00EC3A62"/>
    <w:rsid w:val="00EC3DF6"/>
    <w:rsid w:val="00EC5B57"/>
    <w:rsid w:val="00EC7585"/>
    <w:rsid w:val="00ED0583"/>
    <w:rsid w:val="00ED1E56"/>
    <w:rsid w:val="00ED26A4"/>
    <w:rsid w:val="00ED3126"/>
    <w:rsid w:val="00ED4EDC"/>
    <w:rsid w:val="00ED5521"/>
    <w:rsid w:val="00EE06EA"/>
    <w:rsid w:val="00EE1904"/>
    <w:rsid w:val="00EE2606"/>
    <w:rsid w:val="00EE2F13"/>
    <w:rsid w:val="00EE6792"/>
    <w:rsid w:val="00EE7A4F"/>
    <w:rsid w:val="00EE7D35"/>
    <w:rsid w:val="00EF0867"/>
    <w:rsid w:val="00EF2498"/>
    <w:rsid w:val="00EF27F3"/>
    <w:rsid w:val="00EF438D"/>
    <w:rsid w:val="00EF4782"/>
    <w:rsid w:val="00EF4C3A"/>
    <w:rsid w:val="00EF53AA"/>
    <w:rsid w:val="00EF54E2"/>
    <w:rsid w:val="00EF7C43"/>
    <w:rsid w:val="00F001C3"/>
    <w:rsid w:val="00F00254"/>
    <w:rsid w:val="00F003AB"/>
    <w:rsid w:val="00F0209A"/>
    <w:rsid w:val="00F03216"/>
    <w:rsid w:val="00F0344A"/>
    <w:rsid w:val="00F03D42"/>
    <w:rsid w:val="00F05A59"/>
    <w:rsid w:val="00F0612C"/>
    <w:rsid w:val="00F062E8"/>
    <w:rsid w:val="00F06870"/>
    <w:rsid w:val="00F07410"/>
    <w:rsid w:val="00F105D8"/>
    <w:rsid w:val="00F112FA"/>
    <w:rsid w:val="00F11A6A"/>
    <w:rsid w:val="00F13E5F"/>
    <w:rsid w:val="00F1455A"/>
    <w:rsid w:val="00F14BC3"/>
    <w:rsid w:val="00F15350"/>
    <w:rsid w:val="00F157D0"/>
    <w:rsid w:val="00F159C0"/>
    <w:rsid w:val="00F16677"/>
    <w:rsid w:val="00F20092"/>
    <w:rsid w:val="00F2044F"/>
    <w:rsid w:val="00F2256E"/>
    <w:rsid w:val="00F23DAD"/>
    <w:rsid w:val="00F2483C"/>
    <w:rsid w:val="00F260E9"/>
    <w:rsid w:val="00F272E2"/>
    <w:rsid w:val="00F275C6"/>
    <w:rsid w:val="00F3398E"/>
    <w:rsid w:val="00F408E2"/>
    <w:rsid w:val="00F4109F"/>
    <w:rsid w:val="00F43D76"/>
    <w:rsid w:val="00F440C6"/>
    <w:rsid w:val="00F4535B"/>
    <w:rsid w:val="00F45A8A"/>
    <w:rsid w:val="00F45B42"/>
    <w:rsid w:val="00F467A1"/>
    <w:rsid w:val="00F468CE"/>
    <w:rsid w:val="00F52145"/>
    <w:rsid w:val="00F52E5E"/>
    <w:rsid w:val="00F52EE5"/>
    <w:rsid w:val="00F54240"/>
    <w:rsid w:val="00F54805"/>
    <w:rsid w:val="00F54E55"/>
    <w:rsid w:val="00F55423"/>
    <w:rsid w:val="00F55C1C"/>
    <w:rsid w:val="00F56134"/>
    <w:rsid w:val="00F613FF"/>
    <w:rsid w:val="00F61D4E"/>
    <w:rsid w:val="00F628C2"/>
    <w:rsid w:val="00F62A59"/>
    <w:rsid w:val="00F662C6"/>
    <w:rsid w:val="00F66925"/>
    <w:rsid w:val="00F70417"/>
    <w:rsid w:val="00F70594"/>
    <w:rsid w:val="00F7076A"/>
    <w:rsid w:val="00F70D5E"/>
    <w:rsid w:val="00F722F5"/>
    <w:rsid w:val="00F74622"/>
    <w:rsid w:val="00F7477A"/>
    <w:rsid w:val="00F76560"/>
    <w:rsid w:val="00F76DCB"/>
    <w:rsid w:val="00F8004A"/>
    <w:rsid w:val="00F81303"/>
    <w:rsid w:val="00F8261B"/>
    <w:rsid w:val="00F85BB9"/>
    <w:rsid w:val="00F86213"/>
    <w:rsid w:val="00F8644A"/>
    <w:rsid w:val="00F91768"/>
    <w:rsid w:val="00F917F0"/>
    <w:rsid w:val="00F91EDB"/>
    <w:rsid w:val="00F93D43"/>
    <w:rsid w:val="00F9526D"/>
    <w:rsid w:val="00F962E4"/>
    <w:rsid w:val="00F96DC6"/>
    <w:rsid w:val="00FA05BF"/>
    <w:rsid w:val="00FA07B1"/>
    <w:rsid w:val="00FA0CE9"/>
    <w:rsid w:val="00FA2B58"/>
    <w:rsid w:val="00FA3ADE"/>
    <w:rsid w:val="00FA416F"/>
    <w:rsid w:val="00FA4309"/>
    <w:rsid w:val="00FA7B81"/>
    <w:rsid w:val="00FA7EBA"/>
    <w:rsid w:val="00FA7F20"/>
    <w:rsid w:val="00FB113E"/>
    <w:rsid w:val="00FB12C2"/>
    <w:rsid w:val="00FB19AA"/>
    <w:rsid w:val="00FB208C"/>
    <w:rsid w:val="00FB3250"/>
    <w:rsid w:val="00FB5624"/>
    <w:rsid w:val="00FB5826"/>
    <w:rsid w:val="00FB5C2E"/>
    <w:rsid w:val="00FB63E8"/>
    <w:rsid w:val="00FB6DDC"/>
    <w:rsid w:val="00FB7361"/>
    <w:rsid w:val="00FC0628"/>
    <w:rsid w:val="00FC07D6"/>
    <w:rsid w:val="00FC0AE5"/>
    <w:rsid w:val="00FC1002"/>
    <w:rsid w:val="00FC1B40"/>
    <w:rsid w:val="00FC2F76"/>
    <w:rsid w:val="00FC3515"/>
    <w:rsid w:val="00FC390B"/>
    <w:rsid w:val="00FC4640"/>
    <w:rsid w:val="00FD040F"/>
    <w:rsid w:val="00FD10F8"/>
    <w:rsid w:val="00FD124A"/>
    <w:rsid w:val="00FD195A"/>
    <w:rsid w:val="00FD1E9B"/>
    <w:rsid w:val="00FD1EB9"/>
    <w:rsid w:val="00FD38D6"/>
    <w:rsid w:val="00FD62EC"/>
    <w:rsid w:val="00FD686E"/>
    <w:rsid w:val="00FD6E4F"/>
    <w:rsid w:val="00FD7255"/>
    <w:rsid w:val="00FD7443"/>
    <w:rsid w:val="00FE03C5"/>
    <w:rsid w:val="00FE0813"/>
    <w:rsid w:val="00FE0C76"/>
    <w:rsid w:val="00FE1525"/>
    <w:rsid w:val="00FE1EE2"/>
    <w:rsid w:val="00FE245B"/>
    <w:rsid w:val="00FE2B84"/>
    <w:rsid w:val="00FE3A09"/>
    <w:rsid w:val="00FE48DA"/>
    <w:rsid w:val="00FE66A5"/>
    <w:rsid w:val="00FE7184"/>
    <w:rsid w:val="00FF2202"/>
    <w:rsid w:val="00FF34AE"/>
    <w:rsid w:val="00FF3D80"/>
    <w:rsid w:val="00FF4F65"/>
    <w:rsid w:val="00FF552F"/>
    <w:rsid w:val="00FF5F1B"/>
    <w:rsid w:val="00FF68FD"/>
    <w:rsid w:val="00FF6BA6"/>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C18313"/>
  <w15:docId w15:val="{A16AFD9A-D783-4382-A8E9-03FFEB42F9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annotation reference" w:uiPriority="99"/>
    <w:lsdException w:name="List Bullet" w:uiPriority="99"/>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D195A"/>
    <w:rPr>
      <w:lang w:val="en-GB"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
    <w:name w:val="1"/>
    <w:basedOn w:val="Normal"/>
    <w:rsid w:val="00712727"/>
    <w:pPr>
      <w:tabs>
        <w:tab w:val="left" w:pos="709"/>
      </w:tabs>
    </w:pPr>
    <w:rPr>
      <w:rFonts w:ascii="Tahoma" w:hAnsi="Tahoma"/>
      <w:lang w:val="pl-PL" w:eastAsia="pl-PL"/>
    </w:rPr>
  </w:style>
  <w:style w:type="paragraph" w:styleId="Header">
    <w:name w:val="header"/>
    <w:basedOn w:val="Normal"/>
    <w:rsid w:val="00712727"/>
    <w:pPr>
      <w:tabs>
        <w:tab w:val="center" w:pos="4536"/>
        <w:tab w:val="right" w:pos="9072"/>
      </w:tabs>
    </w:pPr>
  </w:style>
  <w:style w:type="table" w:styleId="TableGrid">
    <w:name w:val="Table Grid"/>
    <w:basedOn w:val="TableNormal"/>
    <w:rsid w:val="007127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712727"/>
    <w:pPr>
      <w:tabs>
        <w:tab w:val="center" w:pos="4536"/>
        <w:tab w:val="right" w:pos="9072"/>
      </w:tabs>
    </w:pPr>
  </w:style>
  <w:style w:type="paragraph" w:customStyle="1" w:styleId="CharChar1Char">
    <w:name w:val="Char Char1 Char"/>
    <w:basedOn w:val="Normal"/>
    <w:rsid w:val="00D602E3"/>
    <w:pPr>
      <w:tabs>
        <w:tab w:val="left" w:pos="709"/>
      </w:tabs>
    </w:pPr>
    <w:rPr>
      <w:rFonts w:ascii="Tahoma" w:hAnsi="Tahoma"/>
      <w:lang w:val="pl-PL" w:eastAsia="pl-PL"/>
    </w:rPr>
  </w:style>
  <w:style w:type="paragraph" w:styleId="ListParagraph">
    <w:name w:val="List Paragraph"/>
    <w:basedOn w:val="Normal"/>
    <w:uiPriority w:val="34"/>
    <w:qFormat/>
    <w:rsid w:val="0092090D"/>
    <w:pPr>
      <w:spacing w:after="200" w:line="276" w:lineRule="auto"/>
      <w:ind w:left="720"/>
      <w:contextualSpacing/>
    </w:pPr>
    <w:rPr>
      <w:rFonts w:ascii="Calibri" w:eastAsia="Calibri" w:hAnsi="Calibri"/>
      <w:sz w:val="22"/>
      <w:szCs w:val="22"/>
      <w:lang w:val="en-US" w:eastAsia="en-US"/>
    </w:rPr>
  </w:style>
  <w:style w:type="character" w:customStyle="1" w:styleId="FooterChar">
    <w:name w:val="Footer Char"/>
    <w:link w:val="Footer"/>
    <w:uiPriority w:val="99"/>
    <w:rsid w:val="00D865AE"/>
    <w:rPr>
      <w:lang w:val="en-GB" w:eastAsia="fr-FR"/>
    </w:rPr>
  </w:style>
  <w:style w:type="paragraph" w:styleId="BalloonText">
    <w:name w:val="Balloon Text"/>
    <w:basedOn w:val="Normal"/>
    <w:link w:val="BalloonTextChar"/>
    <w:rsid w:val="00024145"/>
    <w:rPr>
      <w:rFonts w:ascii="Tahoma" w:hAnsi="Tahoma"/>
      <w:sz w:val="16"/>
      <w:szCs w:val="16"/>
    </w:rPr>
  </w:style>
  <w:style w:type="character" w:customStyle="1" w:styleId="BalloonTextChar">
    <w:name w:val="Balloon Text Char"/>
    <w:link w:val="BalloonText"/>
    <w:rsid w:val="00024145"/>
    <w:rPr>
      <w:rFonts w:ascii="Tahoma" w:hAnsi="Tahoma" w:cs="Tahoma"/>
      <w:sz w:val="16"/>
      <w:szCs w:val="16"/>
      <w:lang w:val="en-GB" w:eastAsia="fr-FR"/>
    </w:rPr>
  </w:style>
  <w:style w:type="character" w:styleId="CommentReference">
    <w:name w:val="annotation reference"/>
    <w:uiPriority w:val="99"/>
    <w:rsid w:val="00A56FAD"/>
    <w:rPr>
      <w:sz w:val="16"/>
      <w:szCs w:val="16"/>
    </w:rPr>
  </w:style>
  <w:style w:type="paragraph" w:styleId="CommentText">
    <w:name w:val="annotation text"/>
    <w:basedOn w:val="Normal"/>
    <w:link w:val="CommentTextChar"/>
    <w:rsid w:val="00A56FAD"/>
  </w:style>
  <w:style w:type="character" w:customStyle="1" w:styleId="CommentTextChar">
    <w:name w:val="Comment Text Char"/>
    <w:link w:val="CommentText"/>
    <w:rsid w:val="00A56FAD"/>
    <w:rPr>
      <w:lang w:val="en-GB" w:eastAsia="fr-FR"/>
    </w:rPr>
  </w:style>
  <w:style w:type="paragraph" w:styleId="CommentSubject">
    <w:name w:val="annotation subject"/>
    <w:basedOn w:val="CommentText"/>
    <w:next w:val="CommentText"/>
    <w:link w:val="CommentSubjectChar"/>
    <w:rsid w:val="00A56FAD"/>
    <w:rPr>
      <w:b/>
      <w:bCs/>
    </w:rPr>
  </w:style>
  <w:style w:type="character" w:customStyle="1" w:styleId="CommentSubjectChar">
    <w:name w:val="Comment Subject Char"/>
    <w:link w:val="CommentSubject"/>
    <w:rsid w:val="00A56FAD"/>
    <w:rPr>
      <w:b/>
      <w:bCs/>
      <w:lang w:val="en-GB" w:eastAsia="fr-FR"/>
    </w:rPr>
  </w:style>
  <w:style w:type="character" w:styleId="Hyperlink">
    <w:name w:val="Hyperlink"/>
    <w:rsid w:val="00A44878"/>
    <w:rPr>
      <w:color w:val="0000FF"/>
      <w:u w:val="single"/>
    </w:rPr>
  </w:style>
  <w:style w:type="paragraph" w:styleId="FootnoteText">
    <w:name w:val="footnote text"/>
    <w:basedOn w:val="Normal"/>
    <w:link w:val="FootnoteTextChar"/>
    <w:rsid w:val="00816C69"/>
  </w:style>
  <w:style w:type="character" w:customStyle="1" w:styleId="FootnoteTextChar">
    <w:name w:val="Footnote Text Char"/>
    <w:link w:val="FootnoteText"/>
    <w:rsid w:val="00816C69"/>
    <w:rPr>
      <w:lang w:val="en-GB" w:eastAsia="fr-FR"/>
    </w:rPr>
  </w:style>
  <w:style w:type="character" w:styleId="FootnoteReference">
    <w:name w:val="footnote reference"/>
    <w:rsid w:val="00816C69"/>
    <w:rPr>
      <w:vertAlign w:val="superscript"/>
    </w:rPr>
  </w:style>
  <w:style w:type="paragraph" w:customStyle="1" w:styleId="CharChar1CharChar">
    <w:name w:val="Char Char1 Char Char"/>
    <w:basedOn w:val="Normal"/>
    <w:semiHidden/>
    <w:rsid w:val="008E0FCF"/>
    <w:pPr>
      <w:tabs>
        <w:tab w:val="left" w:pos="709"/>
      </w:tabs>
    </w:pPr>
    <w:rPr>
      <w:rFonts w:ascii="Futura Bk" w:hAnsi="Futura Bk"/>
      <w:sz w:val="24"/>
      <w:szCs w:val="24"/>
      <w:lang w:val="pl-PL" w:eastAsia="pl-PL"/>
    </w:rPr>
  </w:style>
  <w:style w:type="paragraph" w:styleId="Revision">
    <w:name w:val="Revision"/>
    <w:hidden/>
    <w:uiPriority w:val="99"/>
    <w:semiHidden/>
    <w:rsid w:val="00FD040F"/>
    <w:rPr>
      <w:lang w:val="en-GB" w:eastAsia="fr-FR"/>
    </w:rPr>
  </w:style>
  <w:style w:type="paragraph" w:styleId="EndnoteText">
    <w:name w:val="endnote text"/>
    <w:basedOn w:val="Normal"/>
    <w:link w:val="EndnoteTextChar"/>
    <w:rsid w:val="00604700"/>
  </w:style>
  <w:style w:type="character" w:customStyle="1" w:styleId="EndnoteTextChar">
    <w:name w:val="Endnote Text Char"/>
    <w:link w:val="EndnoteText"/>
    <w:rsid w:val="00604700"/>
    <w:rPr>
      <w:lang w:val="en-GB" w:eastAsia="fr-FR"/>
    </w:rPr>
  </w:style>
  <w:style w:type="character" w:styleId="EndnoteReference">
    <w:name w:val="endnote reference"/>
    <w:rsid w:val="00604700"/>
    <w:rPr>
      <w:vertAlign w:val="superscript"/>
    </w:rPr>
  </w:style>
  <w:style w:type="paragraph" w:styleId="ListBullet">
    <w:name w:val="List Bullet"/>
    <w:basedOn w:val="Normal"/>
    <w:uiPriority w:val="99"/>
    <w:rsid w:val="00204DE6"/>
    <w:pPr>
      <w:numPr>
        <w:numId w:val="1"/>
      </w:numPr>
      <w:spacing w:before="120" w:after="120"/>
      <w:contextualSpacing/>
      <w:jc w:val="both"/>
    </w:pPr>
    <w:rPr>
      <w:rFonts w:eastAsia="Calibri"/>
      <w:sz w:val="24"/>
      <w:lang w:val="bg-BG" w:eastAsia="en-GB"/>
    </w:rPr>
  </w:style>
  <w:style w:type="paragraph" w:customStyle="1" w:styleId="Default">
    <w:name w:val="Default"/>
    <w:rsid w:val="00E87328"/>
    <w:pPr>
      <w:autoSpaceDE w:val="0"/>
      <w:autoSpaceDN w:val="0"/>
      <w:adjustRightInd w:val="0"/>
    </w:pPr>
    <w:rPr>
      <w:rFonts w:ascii="EUAlbertina" w:hAnsi="EUAlbertina" w:cs="EUAlbertina"/>
      <w:color w:val="000000"/>
      <w:sz w:val="24"/>
      <w:szCs w:val="24"/>
    </w:rPr>
  </w:style>
  <w:style w:type="paragraph" w:styleId="NormalWeb">
    <w:name w:val="Normal (Web)"/>
    <w:basedOn w:val="Normal"/>
    <w:uiPriority w:val="99"/>
    <w:unhideWhenUsed/>
    <w:rsid w:val="0072369A"/>
    <w:pPr>
      <w:spacing w:before="100" w:beforeAutospacing="1" w:after="100" w:afterAutospacing="1"/>
    </w:pPr>
    <w:rPr>
      <w:sz w:val="24"/>
      <w:szCs w:val="24"/>
      <w:lang w:val="bg-BG" w:eastAsia="bg-BG"/>
    </w:rPr>
  </w:style>
  <w:style w:type="character" w:styleId="UnresolvedMention">
    <w:name w:val="Unresolved Mention"/>
    <w:uiPriority w:val="99"/>
    <w:semiHidden/>
    <w:unhideWhenUsed/>
    <w:rsid w:val="007907E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027650">
      <w:bodyDiv w:val="1"/>
      <w:marLeft w:val="0"/>
      <w:marRight w:val="0"/>
      <w:marTop w:val="0"/>
      <w:marBottom w:val="0"/>
      <w:divBdr>
        <w:top w:val="none" w:sz="0" w:space="0" w:color="auto"/>
        <w:left w:val="none" w:sz="0" w:space="0" w:color="auto"/>
        <w:bottom w:val="none" w:sz="0" w:space="0" w:color="auto"/>
        <w:right w:val="none" w:sz="0" w:space="0" w:color="auto"/>
      </w:divBdr>
    </w:div>
    <w:div w:id="271059135">
      <w:bodyDiv w:val="1"/>
      <w:marLeft w:val="0"/>
      <w:marRight w:val="0"/>
      <w:marTop w:val="0"/>
      <w:marBottom w:val="0"/>
      <w:divBdr>
        <w:top w:val="none" w:sz="0" w:space="0" w:color="auto"/>
        <w:left w:val="none" w:sz="0" w:space="0" w:color="auto"/>
        <w:bottom w:val="none" w:sz="0" w:space="0" w:color="auto"/>
        <w:right w:val="none" w:sz="0" w:space="0" w:color="auto"/>
      </w:divBdr>
    </w:div>
    <w:div w:id="1137988149">
      <w:bodyDiv w:val="1"/>
      <w:marLeft w:val="0"/>
      <w:marRight w:val="0"/>
      <w:marTop w:val="0"/>
      <w:marBottom w:val="0"/>
      <w:divBdr>
        <w:top w:val="none" w:sz="0" w:space="0" w:color="auto"/>
        <w:left w:val="none" w:sz="0" w:space="0" w:color="auto"/>
        <w:bottom w:val="none" w:sz="0" w:space="0" w:color="auto"/>
        <w:right w:val="none" w:sz="0" w:space="0" w:color="auto"/>
      </w:divBdr>
    </w:div>
    <w:div w:id="1956786320">
      <w:bodyDiv w:val="1"/>
      <w:marLeft w:val="0"/>
      <w:marRight w:val="0"/>
      <w:marTop w:val="0"/>
      <w:marBottom w:val="0"/>
      <w:divBdr>
        <w:top w:val="none" w:sz="0" w:space="0" w:color="auto"/>
        <w:left w:val="none" w:sz="0" w:space="0" w:color="auto"/>
        <w:bottom w:val="none" w:sz="0" w:space="0" w:color="auto"/>
        <w:right w:val="none" w:sz="0" w:space="0" w:color="auto"/>
      </w:divBdr>
    </w:div>
    <w:div w:id="2040088133">
      <w:bodyDiv w:val="1"/>
      <w:marLeft w:val="0"/>
      <w:marRight w:val="0"/>
      <w:marTop w:val="0"/>
      <w:marBottom w:val="0"/>
      <w:divBdr>
        <w:top w:val="none" w:sz="0" w:space="0" w:color="auto"/>
        <w:left w:val="none" w:sz="0" w:space="0" w:color="auto"/>
        <w:bottom w:val="none" w:sz="0" w:space="0" w:color="auto"/>
        <w:right w:val="none" w:sz="0" w:space="0" w:color="auto"/>
      </w:divBdr>
    </w:div>
    <w:div w:id="2075659975">
      <w:bodyDiv w:val="1"/>
      <w:marLeft w:val="0"/>
      <w:marRight w:val="0"/>
      <w:marTop w:val="0"/>
      <w:marBottom w:val="0"/>
      <w:divBdr>
        <w:top w:val="none" w:sz="0" w:space="0" w:color="auto"/>
        <w:left w:val="none" w:sz="0" w:space="0" w:color="auto"/>
        <w:bottom w:val="none" w:sz="0" w:space="0" w:color="auto"/>
        <w:right w:val="none" w:sz="0" w:space="0" w:color="auto"/>
      </w:divBdr>
    </w:div>
    <w:div w:id="2137677014">
      <w:bodyDiv w:val="1"/>
      <w:marLeft w:val="0"/>
      <w:marRight w:val="0"/>
      <w:marTop w:val="0"/>
      <w:marBottom w:val="0"/>
      <w:divBdr>
        <w:top w:val="none" w:sz="0" w:space="0" w:color="auto"/>
        <w:left w:val="none" w:sz="0" w:space="0" w:color="auto"/>
        <w:bottom w:val="none" w:sz="0" w:space="0" w:color="auto"/>
        <w:right w:val="none" w:sz="0" w:space="0" w:color="auto"/>
      </w:divBdr>
      <w:divsChild>
        <w:div w:id="694889759">
          <w:marLeft w:val="547"/>
          <w:marRight w:val="0"/>
          <w:marTop w:val="0"/>
          <w:marBottom w:val="0"/>
          <w:divBdr>
            <w:top w:val="none" w:sz="0" w:space="0" w:color="auto"/>
            <w:left w:val="none" w:sz="0" w:space="0" w:color="auto"/>
            <w:bottom w:val="none" w:sz="0" w:space="0" w:color="auto"/>
            <w:right w:val="none" w:sz="0" w:space="0" w:color="auto"/>
          </w:divBdr>
        </w:div>
        <w:div w:id="986514349">
          <w:marLeft w:val="547"/>
          <w:marRight w:val="0"/>
          <w:marTop w:val="0"/>
          <w:marBottom w:val="0"/>
          <w:divBdr>
            <w:top w:val="none" w:sz="0" w:space="0" w:color="auto"/>
            <w:left w:val="none" w:sz="0" w:space="0" w:color="auto"/>
            <w:bottom w:val="none" w:sz="0" w:space="0" w:color="auto"/>
            <w:right w:val="none" w:sz="0" w:space="0" w:color="auto"/>
          </w:divBdr>
        </w:div>
        <w:div w:id="1768116453">
          <w:marLeft w:val="547"/>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6E9002BC-7EDA-426B-BFD3-CA2334EDC0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11</Pages>
  <Words>3700</Words>
  <Characters>21096</Characters>
  <Application>Microsoft Office Word</Application>
  <DocSecurity>0</DocSecurity>
  <Lines>175</Lines>
  <Paragraphs>49</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lpstr> </vt:lpstr>
    </vt:vector>
  </TitlesOfParts>
  <Company>MOEW</Company>
  <LinksUpToDate>false</LinksUpToDate>
  <CharactersWithSpaces>24747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userdtk</dc:creator>
  <cp:keywords/>
  <dc:description/>
  <cp:lastModifiedBy>OPOS BG60</cp:lastModifiedBy>
  <cp:revision>9</cp:revision>
  <cp:lastPrinted>2022-12-16T08:28:00Z</cp:lastPrinted>
  <dcterms:created xsi:type="dcterms:W3CDTF">2024-05-16T09:57:00Z</dcterms:created>
  <dcterms:modified xsi:type="dcterms:W3CDTF">2024-05-20T14:11:00Z</dcterms:modified>
</cp:coreProperties>
</file>