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73D6D" w14:textId="77777777" w:rsidR="0044251A" w:rsidRDefault="0044251A">
      <w:pPr>
        <w:jc w:val="center"/>
        <w:rPr>
          <w:b/>
          <w:sz w:val="24"/>
          <w:szCs w:val="24"/>
          <w:lang w:val="bg-BG"/>
        </w:rPr>
      </w:pPr>
    </w:p>
    <w:tbl>
      <w:tblPr>
        <w:tblW w:w="54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7480"/>
      </w:tblGrid>
      <w:tr w:rsidR="0044251A" w:rsidRPr="007B3E4C" w14:paraId="3730FD3A" w14:textId="77777777">
        <w:trPr>
          <w:jc w:val="center"/>
        </w:trPr>
        <w:tc>
          <w:tcPr>
            <w:tcW w:w="5000" w:type="pct"/>
            <w:gridSpan w:val="2"/>
            <w:shd w:val="clear" w:color="auto" w:fill="BFBFBF"/>
          </w:tcPr>
          <w:p w14:paraId="587C64B9" w14:textId="77777777" w:rsidR="0044251A" w:rsidRDefault="00802EDE">
            <w:pPr>
              <w:jc w:val="center"/>
              <w:rPr>
                <w:rFonts w:eastAsia="Calibri"/>
                <w:b/>
                <w:sz w:val="24"/>
                <w:szCs w:val="24"/>
                <w:lang w:val="ru-RU" w:eastAsia="en-US"/>
              </w:rPr>
            </w:pPr>
            <w:r>
              <w:rPr>
                <w:b/>
                <w:sz w:val="24"/>
                <w:szCs w:val="24"/>
                <w:lang w:val="bg-BG"/>
              </w:rPr>
              <w:t xml:space="preserve">ОБЩА ИНФОРМАЦИЯ ЗА ПРОЕКТНО ПРЕДЛОЖЕНИЕ ПО </w:t>
            </w:r>
            <w:r>
              <w:rPr>
                <w:rFonts w:eastAsia="Calibri"/>
                <w:b/>
                <w:sz w:val="24"/>
                <w:szCs w:val="24"/>
                <w:lang w:val="bg-BG" w:eastAsia="en-US"/>
              </w:rPr>
              <w:t>ПРОЦЕДУРА ЗА ДИРЕКТНО ПРЕДОСТАВЯНЕ НА БЕЗВЪЗМЕЗДНА ФИНАНСОВА ПОМОЩ „МОНИТОРИНГ НА ПОПУЛАЦИЯТА НА ВИДА КАФЯВА МЕЧКА“ ПО ПРИОРИТЕТ 3 „БИОЛОГИЧНО РАЗНООБРАЗИЕ“ НА ПРОГРАМА „ОКОЛНА СРЕДА“ 2021-2027 г.</w:t>
            </w:r>
            <w:r>
              <w:rPr>
                <w:rFonts w:eastAsia="Calibri"/>
                <w:b/>
                <w:sz w:val="24"/>
                <w:szCs w:val="24"/>
                <w:lang w:val="ru-RU" w:eastAsia="en-US"/>
              </w:rPr>
              <w:t xml:space="preserve"> </w:t>
            </w:r>
          </w:p>
        </w:tc>
      </w:tr>
      <w:tr w:rsidR="0044251A" w14:paraId="19FA7150" w14:textId="77777777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6DC3DAED" w14:textId="748FDA89" w:rsidR="0044251A" w:rsidRDefault="00802EDE">
            <w:pPr>
              <w:spacing w:before="120" w:after="120"/>
              <w:rPr>
                <w:i/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Приоритет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0DB2A897" w14:textId="77777777" w:rsidR="0044251A" w:rsidRDefault="00802EDE">
            <w:pPr>
              <w:spacing w:before="120" w:after="12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Приоритет 3 “Биологично разнообразие”</w:t>
            </w:r>
          </w:p>
        </w:tc>
      </w:tr>
      <w:tr w:rsidR="0044251A" w:rsidRPr="007B3E4C" w14:paraId="21BA2A09" w14:textId="77777777">
        <w:trPr>
          <w:trHeight w:val="361"/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37D9D657" w14:textId="1ED67B16" w:rsidR="0044251A" w:rsidRDefault="00802EDE">
            <w:pPr>
              <w:spacing w:before="120" w:after="12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Специфична цел на приоритет</w:t>
            </w:r>
            <w:r w:rsidR="000951DD">
              <w:rPr>
                <w:sz w:val="24"/>
                <w:szCs w:val="24"/>
                <w:lang w:val="bg-BG"/>
              </w:rPr>
              <w:t>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3B009E00" w14:textId="77777777" w:rsidR="0044251A" w:rsidRDefault="00802EDE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RSO 2.7. Подобряване на защитата и опазването на природата, биологичното разнообразие и екологосъобразната инфраструктура, включително в градските райони, и намаляване на всички форми на замърсяване.</w:t>
            </w:r>
          </w:p>
        </w:tc>
      </w:tr>
      <w:tr w:rsidR="0044251A" w:rsidRPr="007B3E4C" w14:paraId="1EA2DD97" w14:textId="77777777" w:rsidTr="00646687">
        <w:trPr>
          <w:trHeight w:val="1041"/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4C910980" w14:textId="2B7855DB" w:rsidR="0044251A" w:rsidRDefault="00802EDE">
            <w:pPr>
              <w:spacing w:before="120" w:after="120"/>
              <w:rPr>
                <w:i/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Наименование на процедурата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732647F1" w14:textId="77777777" w:rsidR="0044251A" w:rsidRDefault="00802EDE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Мониторинг на популацията на вида кафява мечка</w:t>
            </w:r>
          </w:p>
        </w:tc>
      </w:tr>
      <w:tr w:rsidR="0044251A" w:rsidRPr="007B3E4C" w14:paraId="0967B4F1" w14:textId="77777777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691BB934" w14:textId="77777777" w:rsidR="0044251A" w:rsidRDefault="00802EDE">
            <w:pPr>
              <w:spacing w:before="120" w:after="12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Вид на процедурата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679CE770" w14:textId="77777777" w:rsidR="0044251A" w:rsidRDefault="00802EDE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Процедура чрез директно предоставяне на безвъзмездна финансова помощ.</w:t>
            </w:r>
          </w:p>
        </w:tc>
      </w:tr>
      <w:tr w:rsidR="0044251A" w:rsidRPr="007B3E4C" w14:paraId="32AAAF28" w14:textId="77777777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7B05E95B" w14:textId="28778B66" w:rsidR="0044251A" w:rsidRDefault="00802EDE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Териториален обхват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2CD641E5" w14:textId="77777777" w:rsidR="0044251A" w:rsidRDefault="00802EDE">
            <w:pPr>
              <w:spacing w:before="120" w:after="120"/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Проектът по процедурата ще бъде изпълняван на територията на Република България.</w:t>
            </w:r>
          </w:p>
        </w:tc>
      </w:tr>
      <w:tr w:rsidR="0044251A" w:rsidRPr="007B3E4C" w14:paraId="492E3F79" w14:textId="77777777">
        <w:trPr>
          <w:trHeight w:val="1728"/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16402F75" w14:textId="50B48A8D" w:rsidR="0044251A" w:rsidRDefault="00802EDE">
            <w:pPr>
              <w:spacing w:before="120" w:after="12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Цели и обхват на процедурата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37696070" w14:textId="77777777" w:rsidR="0044251A" w:rsidRDefault="00802EDE">
            <w:pPr>
              <w:tabs>
                <w:tab w:val="left" w:pos="183"/>
              </w:tabs>
              <w:spacing w:after="24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Допълване и надграждане на мониторинга на популацията на кафява мечка на територията на България в съответствие с Плана за действие за опазване на кафява мечка (</w:t>
            </w:r>
            <w:r>
              <w:rPr>
                <w:i/>
                <w:sz w:val="24"/>
                <w:szCs w:val="24"/>
                <w:lang w:val="bg-BG"/>
              </w:rPr>
              <w:t>Ursus arctos</w:t>
            </w:r>
            <w:r>
              <w:rPr>
                <w:sz w:val="24"/>
                <w:szCs w:val="24"/>
                <w:lang w:val="bg-BG"/>
              </w:rPr>
              <w:t xml:space="preserve"> Linnaeus, 1758) в България 2024-2033 г. чрез извършване на първоначален генетичен мониторинг на вида на цялата територия на разпространението му, както и установяване размера на популацията в България.</w:t>
            </w:r>
          </w:p>
          <w:p w14:paraId="60A586B9" w14:textId="77777777" w:rsidR="0044251A" w:rsidRDefault="00802EDE">
            <w:pPr>
              <w:tabs>
                <w:tab w:val="left" w:pos="183"/>
              </w:tabs>
              <w:spacing w:after="24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Мярката не касае изпълнението на ангажиментите на България по чл. 17 от Директива 92/43/ЕИО/ от 21 май 1992 г. за опазване на естествените местообитания и на дивата флора и фауна.</w:t>
            </w:r>
          </w:p>
        </w:tc>
      </w:tr>
      <w:tr w:rsidR="0044251A" w:rsidRPr="007B3E4C" w14:paraId="28B95F2D" w14:textId="77777777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2958CB98" w14:textId="1621283A" w:rsidR="0044251A" w:rsidRDefault="00802EDE">
            <w:pPr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Очаквани резултати от процедурата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4E874C93" w14:textId="77777777" w:rsidR="0044251A" w:rsidRDefault="00802EDE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Проведено теренно проучване за събиране на генетичен материал от кафява мечка на цялата територия на разпространението на вида в България;</w:t>
            </w:r>
          </w:p>
          <w:p w14:paraId="379192BF" w14:textId="77777777" w:rsidR="0044251A" w:rsidRDefault="00802EDE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Проведени генетични лабораторни изследвания;</w:t>
            </w:r>
          </w:p>
          <w:p w14:paraId="66B78014" w14:textId="77777777" w:rsidR="0044251A" w:rsidRDefault="00802EDE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Анализ на данните и оценка на популацията на вида.</w:t>
            </w:r>
          </w:p>
        </w:tc>
      </w:tr>
      <w:tr w:rsidR="0044251A" w:rsidRPr="007B3E4C" w14:paraId="59AA26AC" w14:textId="77777777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0C90F338" w14:textId="5C5B8398" w:rsidR="0044251A" w:rsidRDefault="00802EDE" w:rsidP="00164D6B">
            <w:pPr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Индикатор</w:t>
            </w:r>
            <w:r w:rsidR="00164D6B">
              <w:rPr>
                <w:sz w:val="24"/>
                <w:szCs w:val="24"/>
                <w:lang w:val="bg-BG"/>
              </w:rPr>
              <w:t>и (показатели)</w:t>
            </w:r>
            <w:r>
              <w:rPr>
                <w:sz w:val="24"/>
                <w:szCs w:val="24"/>
                <w:lang w:val="bg-BG"/>
              </w:rPr>
              <w:t xml:space="preserve"> за резултат </w:t>
            </w:r>
            <w:r w:rsidR="00164D6B">
              <w:rPr>
                <w:sz w:val="24"/>
                <w:szCs w:val="24"/>
                <w:lang w:val="bg-BG"/>
              </w:rPr>
              <w:t xml:space="preserve">и за краен продукт 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07094FF1" w14:textId="123C030B" w:rsidR="00164D6B" w:rsidRDefault="00164D6B">
            <w:pPr>
              <w:spacing w:before="120" w:after="120"/>
              <w:jc w:val="both"/>
              <w:rPr>
                <w:b/>
                <w:bCs/>
                <w:sz w:val="24"/>
                <w:szCs w:val="24"/>
                <w:lang w:val="bg-BG"/>
              </w:rPr>
            </w:pPr>
            <w:r>
              <w:rPr>
                <w:b/>
                <w:bCs/>
                <w:sz w:val="24"/>
                <w:szCs w:val="24"/>
                <w:lang w:val="bg-BG"/>
              </w:rPr>
              <w:t>Индикатор (показател) за резултат</w:t>
            </w:r>
          </w:p>
          <w:p w14:paraId="1666483F" w14:textId="35C41AE5" w:rsidR="00046D32" w:rsidRDefault="00046D32" w:rsidP="00046D32">
            <w:pPr>
              <w:spacing w:before="120" w:after="120"/>
              <w:jc w:val="both"/>
              <w:rPr>
                <w:b/>
                <w:bCs/>
                <w:sz w:val="24"/>
                <w:szCs w:val="24"/>
                <w:lang w:val="bg-BG"/>
              </w:rPr>
            </w:pPr>
            <w:r>
              <w:rPr>
                <w:b/>
                <w:bCs/>
                <w:sz w:val="24"/>
                <w:szCs w:val="24"/>
                <w:lang w:val="bg-BG"/>
              </w:rPr>
              <w:t>1. Анализирани проби - брой</w:t>
            </w:r>
          </w:p>
          <w:p w14:paraId="6CEE59B3" w14:textId="77777777" w:rsidR="00046D32" w:rsidRDefault="00046D32" w:rsidP="00046D32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- Целева стойност за региона в преход – брой;</w:t>
            </w:r>
          </w:p>
          <w:p w14:paraId="0EF40671" w14:textId="77777777" w:rsidR="00046D32" w:rsidRDefault="00046D32" w:rsidP="00046D32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 - Целева стойност за по-слабо развитите региони – брой;</w:t>
            </w:r>
          </w:p>
          <w:p w14:paraId="42A7CB6E" w14:textId="77777777" w:rsidR="00046D32" w:rsidRDefault="00046D32" w:rsidP="00046D32">
            <w:pPr>
              <w:spacing w:before="120" w:after="120"/>
              <w:jc w:val="both"/>
              <w:rPr>
                <w:i/>
                <w:iCs/>
                <w:sz w:val="24"/>
                <w:szCs w:val="24"/>
                <w:lang w:val="bg-BG"/>
              </w:rPr>
            </w:pPr>
            <w:r>
              <w:rPr>
                <w:i/>
                <w:iCs/>
                <w:sz w:val="24"/>
                <w:szCs w:val="24"/>
                <w:lang w:val="bg-BG"/>
              </w:rPr>
              <w:t>За базова стойност кандидатът посочва „0“, а като целева – броят проби, които ще бъдат анализирани в резултат от изпълнението на проекта.</w:t>
            </w:r>
          </w:p>
          <w:p w14:paraId="234D86E1" w14:textId="77777777" w:rsidR="00164D6B" w:rsidRDefault="00164D6B">
            <w:pPr>
              <w:spacing w:before="120" w:after="120"/>
              <w:jc w:val="both"/>
              <w:rPr>
                <w:b/>
                <w:bCs/>
                <w:sz w:val="24"/>
                <w:szCs w:val="24"/>
                <w:lang w:val="bg-BG"/>
              </w:rPr>
            </w:pPr>
          </w:p>
          <w:p w14:paraId="2FCF718E" w14:textId="3E02A88F" w:rsidR="0044251A" w:rsidRDefault="00802EDE">
            <w:pPr>
              <w:spacing w:before="120" w:after="120"/>
              <w:jc w:val="both"/>
              <w:rPr>
                <w:b/>
                <w:bCs/>
                <w:sz w:val="24"/>
                <w:szCs w:val="24"/>
                <w:lang w:val="bg-BG"/>
              </w:rPr>
            </w:pPr>
            <w:r>
              <w:rPr>
                <w:b/>
                <w:bCs/>
                <w:sz w:val="24"/>
                <w:szCs w:val="24"/>
                <w:lang w:val="bg-BG"/>
              </w:rPr>
              <w:lastRenderedPageBreak/>
              <w:t>Индикатор (показател) за краен продукт</w:t>
            </w:r>
          </w:p>
          <w:p w14:paraId="44440FA1" w14:textId="18AF1E26" w:rsidR="0044251A" w:rsidRDefault="00802EDE">
            <w:pPr>
              <w:spacing w:before="120" w:after="120"/>
              <w:jc w:val="both"/>
              <w:rPr>
                <w:b/>
                <w:bCs/>
                <w:sz w:val="24"/>
                <w:szCs w:val="24"/>
                <w:lang w:val="bg-BG"/>
              </w:rPr>
            </w:pPr>
            <w:r>
              <w:rPr>
                <w:b/>
                <w:bCs/>
                <w:sz w:val="24"/>
                <w:szCs w:val="24"/>
                <w:lang w:val="bg-BG"/>
              </w:rPr>
              <w:t>1. Инвестиции за подкрепа на мерки извън Натура 2000 – евро</w:t>
            </w:r>
          </w:p>
          <w:p w14:paraId="0218726D" w14:textId="77777777" w:rsidR="0044251A" w:rsidRDefault="00802EDE">
            <w:pPr>
              <w:spacing w:before="120" w:after="120"/>
              <w:ind w:hanging="185"/>
              <w:jc w:val="both"/>
              <w:rPr>
                <w:sz w:val="24"/>
                <w:szCs w:val="24"/>
                <w:lang w:val="bg-BG"/>
              </w:rPr>
            </w:pPr>
            <w:r>
              <w:rPr>
                <w:b/>
                <w:bCs/>
                <w:sz w:val="24"/>
                <w:szCs w:val="24"/>
                <w:lang w:val="bg-BG"/>
              </w:rPr>
              <w:tab/>
            </w:r>
            <w:r>
              <w:rPr>
                <w:sz w:val="24"/>
                <w:szCs w:val="24"/>
                <w:lang w:val="bg-BG"/>
              </w:rPr>
              <w:t>- За региона в преход (ЮЗРП) – евро</w:t>
            </w:r>
          </w:p>
          <w:p w14:paraId="7EEA7864" w14:textId="77777777" w:rsidR="0044251A" w:rsidRDefault="00802EDE">
            <w:pPr>
              <w:spacing w:before="120" w:after="120"/>
              <w:ind w:hanging="185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ab/>
              <w:t>- За по-слабо развити региони – евро</w:t>
            </w:r>
          </w:p>
          <w:p w14:paraId="04198866" w14:textId="77777777" w:rsidR="0044251A" w:rsidRDefault="00802EDE">
            <w:pPr>
              <w:spacing w:before="120" w:after="120"/>
              <w:jc w:val="both"/>
              <w:rPr>
                <w:i/>
                <w:iCs/>
                <w:sz w:val="24"/>
                <w:szCs w:val="24"/>
                <w:lang w:val="bg-BG"/>
              </w:rPr>
            </w:pPr>
            <w:r>
              <w:rPr>
                <w:i/>
                <w:iCs/>
                <w:sz w:val="24"/>
                <w:szCs w:val="24"/>
                <w:lang w:val="bg-BG"/>
              </w:rPr>
              <w:t>За базова стойност се посочва 0 евро, а за целева еквивалентната стойност в евро на безмъзмездната финансова помощ, която се заявява с проектното предложение.</w:t>
            </w:r>
          </w:p>
          <w:p w14:paraId="4BBEE21A" w14:textId="452D78FD" w:rsidR="0044251A" w:rsidRDefault="0044251A" w:rsidP="00046D32">
            <w:pPr>
              <w:spacing w:before="120" w:after="120"/>
              <w:jc w:val="both"/>
              <w:rPr>
                <w:i/>
                <w:iCs/>
                <w:sz w:val="24"/>
                <w:szCs w:val="24"/>
                <w:lang w:val="bg-BG"/>
              </w:rPr>
            </w:pPr>
          </w:p>
          <w:p w14:paraId="74F4C9FF" w14:textId="7C875A66" w:rsidR="0044251A" w:rsidRDefault="00046D32">
            <w:pPr>
              <w:spacing w:before="120" w:after="120"/>
              <w:jc w:val="both"/>
              <w:rPr>
                <w:b/>
                <w:bCs/>
                <w:sz w:val="24"/>
                <w:szCs w:val="24"/>
                <w:lang w:val="bg-BG"/>
              </w:rPr>
            </w:pPr>
            <w:r>
              <w:rPr>
                <w:b/>
                <w:bCs/>
                <w:sz w:val="24"/>
                <w:szCs w:val="24"/>
                <w:lang w:val="bg-BG"/>
              </w:rPr>
              <w:t>2</w:t>
            </w:r>
            <w:r w:rsidR="00802EDE">
              <w:rPr>
                <w:b/>
                <w:bCs/>
                <w:sz w:val="24"/>
                <w:szCs w:val="24"/>
                <w:lang w:val="bg-BG"/>
              </w:rPr>
              <w:t xml:space="preserve">. Брой обследвани </w:t>
            </w:r>
            <w:r w:rsidR="00802EDE">
              <w:rPr>
                <w:b/>
                <w:bCs/>
                <w:sz w:val="24"/>
                <w:szCs w:val="24"/>
                <w:lang w:val="en-US"/>
              </w:rPr>
              <w:t>ETRS</w:t>
            </w:r>
            <w:r w:rsidR="00802EDE">
              <w:rPr>
                <w:b/>
                <w:bCs/>
                <w:sz w:val="24"/>
                <w:szCs w:val="24"/>
                <w:lang w:val="bg-BG"/>
              </w:rPr>
              <w:t xml:space="preserve"> квадрати 10х10 км - </w:t>
            </w:r>
            <w:r w:rsidR="00802EDE">
              <w:rPr>
                <w:bCs/>
                <w:sz w:val="24"/>
                <w:szCs w:val="24"/>
                <w:lang w:val="bg-BG"/>
              </w:rPr>
              <w:t>брой</w:t>
            </w:r>
            <w:r w:rsidR="00802EDE">
              <w:rPr>
                <w:b/>
                <w:bCs/>
                <w:sz w:val="24"/>
                <w:szCs w:val="24"/>
                <w:lang w:val="bg-BG"/>
              </w:rPr>
              <w:t>:</w:t>
            </w:r>
          </w:p>
          <w:p w14:paraId="6DF63192" w14:textId="77777777" w:rsidR="0044251A" w:rsidRDefault="00802EDE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>
              <w:rPr>
                <w:b/>
                <w:bCs/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- Целева стойност за региона в преход – бр.</w:t>
            </w:r>
          </w:p>
          <w:p w14:paraId="18D8AAA6" w14:textId="77777777" w:rsidR="0044251A" w:rsidRDefault="00802EDE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 - Целева стойност за по-слабо развитите региони – бр.</w:t>
            </w:r>
          </w:p>
          <w:p w14:paraId="4B17587A" w14:textId="77777777" w:rsidR="0044251A" w:rsidRDefault="00802EDE">
            <w:pPr>
              <w:spacing w:before="120" w:after="120"/>
              <w:jc w:val="both"/>
              <w:rPr>
                <w:b/>
                <w:bCs/>
                <w:iCs/>
                <w:sz w:val="24"/>
                <w:szCs w:val="24"/>
                <w:lang w:val="bg-BG"/>
              </w:rPr>
            </w:pPr>
            <w:r>
              <w:rPr>
                <w:i/>
                <w:iCs/>
                <w:sz w:val="24"/>
                <w:szCs w:val="24"/>
                <w:lang w:val="bg-BG"/>
              </w:rPr>
              <w:t>За базова стойност кандидатът посочва „0 бр.“, а като целева – броят на ETRS квадратите 10х10 км, които ще бъдат обследвани за събиране на генетичен материал от вида кафява мечка.</w:t>
            </w:r>
          </w:p>
        </w:tc>
      </w:tr>
      <w:tr w:rsidR="0044251A" w14:paraId="1D831844" w14:textId="77777777" w:rsidTr="004B659F">
        <w:trPr>
          <w:trHeight w:val="706"/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6F9A72F7" w14:textId="77777777" w:rsidR="0044251A" w:rsidRDefault="00802EDE">
            <w:pPr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lastRenderedPageBreak/>
              <w:t>Дата на обявяване на процедурата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13396FCF" w14:textId="77777777" w:rsidR="0044251A" w:rsidRDefault="00802EDE">
            <w:pPr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2024 г.</w:t>
            </w:r>
          </w:p>
        </w:tc>
      </w:tr>
      <w:tr w:rsidR="0044251A" w:rsidRPr="007B3E4C" w14:paraId="4BF2B872" w14:textId="77777777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4946A7CB" w14:textId="77777777" w:rsidR="0044251A" w:rsidRDefault="0044251A">
            <w:pPr>
              <w:rPr>
                <w:sz w:val="24"/>
                <w:szCs w:val="24"/>
                <w:lang w:val="bg-BG"/>
              </w:rPr>
            </w:pPr>
          </w:p>
          <w:p w14:paraId="3087400C" w14:textId="6FA3E8BF" w:rsidR="0044251A" w:rsidRDefault="00802EDE" w:rsidP="008A354B">
            <w:pPr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Бюджет на процедурата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4FB0C7ED" w14:textId="7E24E497" w:rsidR="0044251A" w:rsidRDefault="00802EDE">
            <w:pPr>
              <w:tabs>
                <w:tab w:val="left" w:pos="317"/>
              </w:tabs>
              <w:spacing w:before="80" w:after="8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Общ бюджет по процедурата – 1 </w:t>
            </w:r>
            <w:r w:rsidR="00423616" w:rsidRPr="00B22B55">
              <w:rPr>
                <w:sz w:val="24"/>
                <w:szCs w:val="24"/>
                <w:lang w:val="bg-BG"/>
              </w:rPr>
              <w:t>6</w:t>
            </w:r>
            <w:r>
              <w:rPr>
                <w:sz w:val="24"/>
                <w:szCs w:val="24"/>
                <w:lang w:val="bg-BG"/>
              </w:rPr>
              <w:t xml:space="preserve">00 000 лв. </w:t>
            </w:r>
          </w:p>
        </w:tc>
      </w:tr>
      <w:tr w:rsidR="0044251A" w:rsidRPr="007B3E4C" w14:paraId="3576F005" w14:textId="77777777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399AD617" w14:textId="77777777" w:rsidR="0044251A" w:rsidRDefault="00802EDE">
            <w:pPr>
              <w:spacing w:before="120" w:after="12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Минимален и максимален размер на БФП за проект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041400AF" w14:textId="77777777" w:rsidR="0044251A" w:rsidRDefault="00802EDE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По процедурата няма определен минимален размер на БФП за проект. </w:t>
            </w:r>
          </w:p>
          <w:p w14:paraId="0E6AE243" w14:textId="686262C6" w:rsidR="0044251A" w:rsidRDefault="00802EDE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Максималният размер на БФП за проектното предложение е 1 </w:t>
            </w:r>
            <w:r w:rsidR="00EA56A9" w:rsidRPr="00B22B55">
              <w:rPr>
                <w:sz w:val="24"/>
                <w:szCs w:val="24"/>
                <w:lang w:val="bg-BG"/>
              </w:rPr>
              <w:t>6</w:t>
            </w:r>
            <w:r>
              <w:rPr>
                <w:sz w:val="24"/>
                <w:szCs w:val="24"/>
                <w:lang w:val="bg-BG"/>
              </w:rPr>
              <w:t xml:space="preserve">00 000 лв.  </w:t>
            </w:r>
          </w:p>
        </w:tc>
      </w:tr>
      <w:tr w:rsidR="0044251A" w:rsidRPr="007B3E4C" w14:paraId="6EBF5383" w14:textId="77777777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2EE2B4D4" w14:textId="77777777" w:rsidR="0044251A" w:rsidRDefault="00802EDE">
            <w:pPr>
              <w:spacing w:before="120" w:after="12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Съфинансиране от страна на бенефициента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4A3FE7A8" w14:textId="77777777" w:rsidR="0044251A" w:rsidRDefault="00802EDE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По процедурата могат да се предоставят до 100% от максималния размер на допустимите разходи. </w:t>
            </w:r>
          </w:p>
          <w:p w14:paraId="10A6EC2E" w14:textId="77777777" w:rsidR="0044251A" w:rsidRDefault="00802EDE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Допустимо е съфинансиране от страна на бенефициента, като няма ограничение на неговия дял.</w:t>
            </w:r>
          </w:p>
        </w:tc>
      </w:tr>
      <w:tr w:rsidR="0044251A" w:rsidRPr="007B3E4C" w14:paraId="7F936E94" w14:textId="77777777">
        <w:trPr>
          <w:trHeight w:val="732"/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3CF3A846" w14:textId="77777777" w:rsidR="0044251A" w:rsidRDefault="00802EDE" w:rsidP="00145C04">
            <w:pPr>
              <w:spacing w:before="120" w:after="120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Допустими бенефициенти по процедурата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6A8B5D9E" w14:textId="77777777" w:rsidR="0044251A" w:rsidRDefault="00802EDE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Изпълнителна агенция по околна среда (ИАОС)</w:t>
            </w:r>
          </w:p>
        </w:tc>
      </w:tr>
      <w:tr w:rsidR="0044251A" w:rsidRPr="007B3E4C" w14:paraId="20C236C9" w14:textId="77777777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56063174" w14:textId="77777777" w:rsidR="0044251A" w:rsidRDefault="00802EDE" w:rsidP="00145C04">
            <w:pPr>
              <w:spacing w:before="120" w:after="120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Допустими партньори по процедурата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46A41B90" w14:textId="77777777" w:rsidR="0044251A" w:rsidRDefault="00802EDE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Структури на/към Министерство на земеделието и храните</w:t>
            </w:r>
          </w:p>
        </w:tc>
      </w:tr>
      <w:tr w:rsidR="0044251A" w:rsidRPr="007B3E4C" w14:paraId="4637744F" w14:textId="77777777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55BC7DD5" w14:textId="77777777" w:rsidR="0044251A" w:rsidRDefault="00802EDE">
            <w:pPr>
              <w:spacing w:before="120" w:after="12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Допустими дейности по процедурата</w:t>
            </w:r>
          </w:p>
          <w:p w14:paraId="3B3432CA" w14:textId="77777777" w:rsidR="0044251A" w:rsidRDefault="0044251A">
            <w:pPr>
              <w:spacing w:before="120" w:after="120"/>
              <w:rPr>
                <w:i/>
                <w:sz w:val="24"/>
                <w:szCs w:val="24"/>
                <w:lang w:val="bg-BG"/>
              </w:rPr>
            </w:pPr>
          </w:p>
        </w:tc>
        <w:tc>
          <w:tcPr>
            <w:tcW w:w="3651" w:type="pct"/>
            <w:shd w:val="clear" w:color="auto" w:fill="auto"/>
            <w:vAlign w:val="center"/>
          </w:tcPr>
          <w:p w14:paraId="5C8D4420" w14:textId="77777777" w:rsidR="0044251A" w:rsidRDefault="00802EDE">
            <w:pPr>
              <w:tabs>
                <w:tab w:val="left" w:pos="183"/>
              </w:tabs>
              <w:spacing w:before="120"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- Подготовка на проектното предложение – в т.ч. проучвания и анализ за определяне на </w:t>
            </w:r>
            <w:r>
              <w:rPr>
                <w:rFonts w:eastAsia="Calibri"/>
                <w:bCs/>
                <w:sz w:val="24"/>
                <w:szCs w:val="24"/>
                <w:lang w:val="en-US" w:eastAsia="en-US"/>
              </w:rPr>
              <w:t>ETRS</w:t>
            </w:r>
            <w:r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 квадратите, в които ще се извърши обследването;</w:t>
            </w:r>
          </w:p>
          <w:p w14:paraId="327B6A2D" w14:textId="77777777" w:rsidR="0044251A" w:rsidRDefault="00802EDE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- Провеждане на теренно проучване за събиране на генетичен материал от кафява мечка на цялата територия на разпространението на вида в България;</w:t>
            </w:r>
          </w:p>
          <w:p w14:paraId="43A4FF10" w14:textId="03C8405D" w:rsidR="0044251A" w:rsidRDefault="00802EDE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- Провеждане на генетични лабораторни изследвания;</w:t>
            </w:r>
          </w:p>
          <w:p w14:paraId="2BD9E3ED" w14:textId="77777777" w:rsidR="0044251A" w:rsidRDefault="00802EDE">
            <w:pPr>
              <w:tabs>
                <w:tab w:val="left" w:pos="183"/>
              </w:tabs>
              <w:spacing w:before="120"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>
              <w:rPr>
                <w:rFonts w:eastAsia="Calibri"/>
                <w:bCs/>
                <w:sz w:val="24"/>
                <w:szCs w:val="24"/>
                <w:lang w:val="bg-BG" w:eastAsia="en-US"/>
              </w:rPr>
              <w:t>-</w:t>
            </w:r>
            <w:r>
              <w:rPr>
                <w:rFonts w:eastAsia="Calibri"/>
                <w:bCs/>
                <w:sz w:val="24"/>
                <w:szCs w:val="24"/>
                <w:lang w:val="bg-BG" w:eastAsia="en-US"/>
              </w:rPr>
              <w:tab/>
              <w:t xml:space="preserve">Извършване на ДНК анализ за оценка на популацията на кафява мечка на територията на България (в съответствие с обхвата на  мярка </w:t>
            </w:r>
            <w:r>
              <w:rPr>
                <w:rFonts w:eastAsia="Calibri"/>
                <w:bCs/>
                <w:sz w:val="24"/>
                <w:szCs w:val="24"/>
                <w:lang w:val="bg-BG" w:eastAsia="en-US"/>
              </w:rPr>
              <w:lastRenderedPageBreak/>
              <w:t>7.3.4. от „Плана за действие за опазване на кафява мечка (</w:t>
            </w:r>
            <w:r>
              <w:rPr>
                <w:rFonts w:eastAsia="Calibri"/>
                <w:bCs/>
                <w:i/>
                <w:sz w:val="24"/>
                <w:szCs w:val="24"/>
                <w:lang w:val="bg-BG" w:eastAsia="en-US"/>
              </w:rPr>
              <w:t>Ursus arctos</w:t>
            </w:r>
            <w:r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 Linnaeus, 1758) в България 2024-2033 г.</w:t>
            </w:r>
          </w:p>
          <w:p w14:paraId="6109D024" w14:textId="7D9454C9" w:rsidR="0044251A" w:rsidRDefault="00802EDE">
            <w:pPr>
              <w:tabs>
                <w:tab w:val="left" w:pos="183"/>
              </w:tabs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 xml:space="preserve">- Сравнителен анализ на </w:t>
            </w:r>
            <w:proofErr w:type="spellStart"/>
            <w:r>
              <w:rPr>
                <w:bCs/>
                <w:sz w:val="24"/>
                <w:szCs w:val="24"/>
                <w:lang w:val="bg-BG"/>
              </w:rPr>
              <w:t>резултатит</w:t>
            </w:r>
            <w:proofErr w:type="spellEnd"/>
            <w:r w:rsidR="00E14A2E">
              <w:rPr>
                <w:bCs/>
                <w:sz w:val="24"/>
                <w:szCs w:val="24"/>
                <w:lang w:val="en-US"/>
              </w:rPr>
              <w:t>e</w:t>
            </w:r>
            <w:r w:rsidR="00E14A2E" w:rsidRPr="007B3E4C">
              <w:rPr>
                <w:bCs/>
                <w:sz w:val="24"/>
                <w:szCs w:val="24"/>
                <w:lang w:val="bg-BG"/>
              </w:rPr>
              <w:t>,</w:t>
            </w:r>
            <w:r>
              <w:rPr>
                <w:bCs/>
                <w:sz w:val="24"/>
                <w:szCs w:val="24"/>
                <w:lang w:val="bg-BG"/>
              </w:rPr>
              <w:t xml:space="preserve"> получени от ДНК анализа  с резултатите, получени по утвърдената методика към </w:t>
            </w:r>
            <w:r>
              <w:rPr>
                <w:bCs/>
                <w:i/>
                <w:sz w:val="24"/>
                <w:szCs w:val="24"/>
                <w:lang w:val="bg-BG"/>
              </w:rPr>
              <w:t>Националната система за мониторинг на състоянието на биологичното разнообразие</w:t>
            </w:r>
            <w:r>
              <w:rPr>
                <w:bCs/>
                <w:sz w:val="24"/>
                <w:szCs w:val="24"/>
                <w:lang w:val="bg-BG"/>
              </w:rPr>
              <w:t xml:space="preserve"> (НСМСБР) (базирана на следи от жизнената дейност). </w:t>
            </w:r>
          </w:p>
          <w:p w14:paraId="5082D523" w14:textId="77777777" w:rsidR="0044251A" w:rsidRDefault="00802EDE">
            <w:pPr>
              <w:tabs>
                <w:tab w:val="left" w:pos="183"/>
              </w:tabs>
              <w:spacing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>
              <w:rPr>
                <w:rFonts w:eastAsia="Calibri"/>
                <w:bCs/>
                <w:sz w:val="24"/>
                <w:szCs w:val="24"/>
                <w:lang w:val="bg-BG" w:eastAsia="en-US"/>
              </w:rPr>
              <w:t>-</w:t>
            </w:r>
            <w:r>
              <w:rPr>
                <w:rFonts w:eastAsia="Calibri"/>
                <w:bCs/>
                <w:sz w:val="24"/>
                <w:szCs w:val="24"/>
                <w:lang w:val="bg-BG" w:eastAsia="en-US"/>
              </w:rPr>
              <w:tab/>
              <w:t xml:space="preserve"> Организация и управление, комуникация и видимост и подготовка на документации за възлагане на обществени поръчки.</w:t>
            </w:r>
          </w:p>
        </w:tc>
      </w:tr>
      <w:tr w:rsidR="0044251A" w:rsidRPr="007B3E4C" w14:paraId="2181ED1B" w14:textId="77777777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3BD1DF05" w14:textId="224F7F92" w:rsidR="0044251A" w:rsidRDefault="00802EDE">
            <w:pPr>
              <w:spacing w:before="120" w:after="12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lastRenderedPageBreak/>
              <w:t>Индикативни допустими разходи по процедурата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7D659D2D" w14:textId="77777777" w:rsidR="0044251A" w:rsidRDefault="00802EDE" w:rsidP="00FE21E2">
            <w:pPr>
              <w:tabs>
                <w:tab w:val="left" w:pos="183"/>
              </w:tabs>
              <w:spacing w:before="120"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>
              <w:rPr>
                <w:rFonts w:eastAsia="Calibri"/>
                <w:bCs/>
                <w:sz w:val="24"/>
                <w:szCs w:val="24"/>
                <w:lang w:val="bg-BG" w:eastAsia="en-US"/>
              </w:rPr>
              <w:t>-</w:t>
            </w:r>
            <w:r>
              <w:rPr>
                <w:rFonts w:eastAsia="Calibri"/>
                <w:bCs/>
                <w:sz w:val="24"/>
                <w:szCs w:val="24"/>
                <w:lang w:val="bg-BG" w:eastAsia="en-US"/>
              </w:rPr>
              <w:tab/>
              <w:t>Разходи за услуги;</w:t>
            </w:r>
          </w:p>
          <w:p w14:paraId="3E4BC9CC" w14:textId="77777777" w:rsidR="0044251A" w:rsidRDefault="00802EDE" w:rsidP="00FE21E2">
            <w:pPr>
              <w:tabs>
                <w:tab w:val="left" w:pos="183"/>
              </w:tabs>
              <w:spacing w:before="120"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>
              <w:rPr>
                <w:rFonts w:eastAsia="Calibri"/>
                <w:bCs/>
                <w:sz w:val="24"/>
                <w:szCs w:val="24"/>
                <w:lang w:val="bg-BG" w:eastAsia="en-US"/>
              </w:rPr>
              <w:t>-</w:t>
            </w:r>
            <w:r>
              <w:rPr>
                <w:rFonts w:eastAsia="Calibri"/>
                <w:bCs/>
                <w:sz w:val="24"/>
                <w:szCs w:val="24"/>
                <w:lang w:val="bg-BG" w:eastAsia="en-US"/>
              </w:rPr>
              <w:tab/>
              <w:t>Разходи за персонал;</w:t>
            </w:r>
          </w:p>
          <w:p w14:paraId="7C897A16" w14:textId="77777777" w:rsidR="0044251A" w:rsidRDefault="00802EDE" w:rsidP="00FE21E2">
            <w:pPr>
              <w:tabs>
                <w:tab w:val="left" w:pos="183"/>
              </w:tabs>
              <w:spacing w:before="120"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>
              <w:rPr>
                <w:rFonts w:eastAsia="Calibri"/>
                <w:bCs/>
                <w:sz w:val="24"/>
                <w:szCs w:val="24"/>
                <w:lang w:val="bg-BG" w:eastAsia="en-US"/>
              </w:rPr>
              <w:t>-</w:t>
            </w:r>
            <w:r>
              <w:rPr>
                <w:rFonts w:eastAsia="Calibri"/>
                <w:bCs/>
                <w:sz w:val="24"/>
                <w:szCs w:val="24"/>
                <w:lang w:val="bg-BG" w:eastAsia="en-US"/>
              </w:rPr>
              <w:tab/>
              <w:t>Разходи за такси;</w:t>
            </w:r>
          </w:p>
          <w:p w14:paraId="411D9C2C" w14:textId="77777777" w:rsidR="0044251A" w:rsidRDefault="00802EDE" w:rsidP="00FE21E2">
            <w:pPr>
              <w:tabs>
                <w:tab w:val="left" w:pos="183"/>
              </w:tabs>
              <w:spacing w:before="120"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>
              <w:rPr>
                <w:rFonts w:eastAsia="Calibri"/>
                <w:bCs/>
                <w:sz w:val="24"/>
                <w:szCs w:val="24"/>
                <w:lang w:val="bg-BG" w:eastAsia="en-US"/>
              </w:rPr>
              <w:t>-</w:t>
            </w:r>
            <w:r>
              <w:rPr>
                <w:rFonts w:eastAsia="Calibri"/>
                <w:bCs/>
                <w:sz w:val="24"/>
                <w:szCs w:val="24"/>
                <w:lang w:val="bg-BG" w:eastAsia="en-US"/>
              </w:rPr>
              <w:tab/>
              <w:t xml:space="preserve">Разходи за материали; </w:t>
            </w:r>
          </w:p>
          <w:p w14:paraId="27FD1954" w14:textId="77777777" w:rsidR="0044251A" w:rsidRDefault="00802EDE" w:rsidP="00FE21E2">
            <w:pPr>
              <w:tabs>
                <w:tab w:val="left" w:pos="183"/>
              </w:tabs>
              <w:spacing w:before="120"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>
              <w:rPr>
                <w:rFonts w:eastAsia="Calibri"/>
                <w:bCs/>
                <w:sz w:val="24"/>
                <w:szCs w:val="24"/>
                <w:lang w:val="bg-BG" w:eastAsia="en-US"/>
              </w:rPr>
              <w:t>-</w:t>
            </w:r>
            <w:r>
              <w:rPr>
                <w:rFonts w:eastAsia="Calibri"/>
                <w:bCs/>
                <w:sz w:val="24"/>
                <w:szCs w:val="24"/>
                <w:lang w:val="bg-BG" w:eastAsia="en-US"/>
              </w:rPr>
              <w:tab/>
              <w:t>Разходи за провеждане и участие в мероприятия;</w:t>
            </w:r>
          </w:p>
          <w:p w14:paraId="33C18116" w14:textId="77777777" w:rsidR="0044251A" w:rsidRDefault="00802EDE" w:rsidP="00FE21E2">
            <w:pPr>
              <w:tabs>
                <w:tab w:val="left" w:pos="183"/>
              </w:tabs>
              <w:spacing w:before="120"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>
              <w:rPr>
                <w:rFonts w:eastAsia="Calibri"/>
                <w:bCs/>
                <w:sz w:val="24"/>
                <w:szCs w:val="24"/>
                <w:lang w:val="bg-BG" w:eastAsia="en-US"/>
              </w:rPr>
              <w:t>-</w:t>
            </w:r>
            <w:r>
              <w:rPr>
                <w:rFonts w:eastAsia="Calibri"/>
                <w:bCs/>
                <w:sz w:val="24"/>
                <w:szCs w:val="24"/>
                <w:lang w:val="bg-BG" w:eastAsia="en-US"/>
              </w:rPr>
              <w:tab/>
              <w:t>Непреки разходи – в т.ч. разходи за организация и управление, комуникация и видимост на проекта и разработване на тръжни документи.</w:t>
            </w:r>
          </w:p>
        </w:tc>
      </w:tr>
      <w:tr w:rsidR="0044251A" w14:paraId="2509D6F6" w14:textId="77777777">
        <w:trPr>
          <w:trHeight w:val="786"/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1071DC8F" w14:textId="77777777" w:rsidR="0044251A" w:rsidRDefault="00802EDE">
            <w:pPr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Максимален срок за изпълнение на проекта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7B2712D1" w14:textId="77777777" w:rsidR="0044251A" w:rsidRDefault="00802EDE">
            <w:pPr>
              <w:tabs>
                <w:tab w:val="left" w:pos="317"/>
              </w:tabs>
              <w:spacing w:before="80" w:after="8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24 месеца</w:t>
            </w:r>
          </w:p>
        </w:tc>
      </w:tr>
      <w:tr w:rsidR="0044251A" w:rsidRPr="007B3E4C" w14:paraId="37868609" w14:textId="77777777">
        <w:trPr>
          <w:trHeight w:val="872"/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058858BD" w14:textId="77777777" w:rsidR="0044251A" w:rsidRDefault="00802EDE">
            <w:pPr>
              <w:spacing w:before="120" w:after="12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Начин на подаване на проектните предложения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5AC0F511" w14:textId="77777777" w:rsidR="0044251A" w:rsidRDefault="00802EDE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Попълване на уеб базиран формуляр за кандидатстване и подаването му с електронен подпис чрез системата ИСУН.</w:t>
            </w:r>
          </w:p>
        </w:tc>
      </w:tr>
      <w:tr w:rsidR="0044251A" w:rsidRPr="007B3E4C" w14:paraId="168E36B8" w14:textId="77777777">
        <w:trPr>
          <w:trHeight w:val="604"/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6E44A1BF" w14:textId="0FC7A280" w:rsidR="0044251A" w:rsidRDefault="00802EDE" w:rsidP="00145C04">
            <w:pPr>
              <w:spacing w:before="120" w:after="12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Краен срок за подаване на </w:t>
            </w:r>
            <w:proofErr w:type="spellStart"/>
            <w:r>
              <w:rPr>
                <w:sz w:val="24"/>
                <w:szCs w:val="24"/>
                <w:lang w:val="bg-BG"/>
              </w:rPr>
              <w:t>проектн</w:t>
            </w:r>
            <w:proofErr w:type="spellEnd"/>
            <w:r>
              <w:rPr>
                <w:sz w:val="24"/>
                <w:szCs w:val="24"/>
                <w:lang w:val="en-US"/>
              </w:rPr>
              <w:t>o</w:t>
            </w:r>
            <w:r>
              <w:rPr>
                <w:sz w:val="24"/>
                <w:szCs w:val="24"/>
                <w:lang w:val="bg-BG"/>
              </w:rPr>
              <w:t xml:space="preserve"> предложени</w:t>
            </w:r>
            <w:r>
              <w:rPr>
                <w:sz w:val="24"/>
                <w:szCs w:val="24"/>
                <w:lang w:val="en-US"/>
              </w:rPr>
              <w:t>e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031D4FE2" w14:textId="4E764E83" w:rsidR="0044251A" w:rsidRDefault="00802EDE">
            <w:pPr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До 3 месеца от датата на  публикуване на обявата.</w:t>
            </w:r>
          </w:p>
        </w:tc>
      </w:tr>
    </w:tbl>
    <w:p w14:paraId="68D5EB5D" w14:textId="77777777" w:rsidR="0044251A" w:rsidRDefault="0044251A">
      <w:pPr>
        <w:rPr>
          <w:b/>
          <w:sz w:val="24"/>
          <w:szCs w:val="24"/>
          <w:lang w:val="bg-BG"/>
        </w:rPr>
      </w:pPr>
    </w:p>
    <w:p w14:paraId="71B33A4E" w14:textId="77777777" w:rsidR="0044251A" w:rsidRDefault="0044251A">
      <w:pPr>
        <w:jc w:val="both"/>
        <w:rPr>
          <w:b/>
          <w:sz w:val="24"/>
          <w:szCs w:val="24"/>
          <w:lang w:val="bg-BG"/>
        </w:rPr>
      </w:pPr>
    </w:p>
    <w:sectPr w:rsidR="0044251A" w:rsidSect="00F422D5">
      <w:footerReference w:type="default" r:id="rId8"/>
      <w:headerReference w:type="first" r:id="rId9"/>
      <w:footerReference w:type="first" r:id="rId10"/>
      <w:pgSz w:w="11906" w:h="16838"/>
      <w:pgMar w:top="1418" w:right="1286" w:bottom="1135" w:left="1260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21F33" w14:textId="77777777" w:rsidR="009401B8" w:rsidRDefault="00802EDE">
      <w:r>
        <w:separator/>
      </w:r>
    </w:p>
  </w:endnote>
  <w:endnote w:type="continuationSeparator" w:id="0">
    <w:p w14:paraId="3104729A" w14:textId="77777777" w:rsidR="009401B8" w:rsidRDefault="00802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48AA9" w14:textId="77777777" w:rsidR="0044251A" w:rsidRDefault="00802EDE">
    <w:pPr>
      <w:pStyle w:val="Footer"/>
      <w:jc w:val="right"/>
    </w:pPr>
    <w:r>
      <w:rPr>
        <w:lang w:val="bg-BG"/>
      </w:rPr>
      <w:t>Стр.</w:t>
    </w:r>
    <w: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</w:t>
    </w:r>
    <w:r>
      <w:rPr>
        <w:lang w:val="bg-BG"/>
      </w:rPr>
      <w:t>от</w:t>
    </w:r>
    <w: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14:paraId="57E82DD0" w14:textId="77777777" w:rsidR="0044251A" w:rsidRDefault="004425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CE4AA" w14:textId="77777777" w:rsidR="0044251A" w:rsidRDefault="00802EDE">
    <w:pPr>
      <w:pStyle w:val="Footer"/>
      <w:jc w:val="right"/>
    </w:pPr>
    <w:r>
      <w:rPr>
        <w:lang w:val="bg-BG"/>
      </w:rPr>
      <w:t>Стр.</w:t>
    </w:r>
    <w: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</w:t>
    </w:r>
    <w:r>
      <w:rPr>
        <w:lang w:val="bg-BG"/>
      </w:rPr>
      <w:t>от</w:t>
    </w:r>
    <w: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0B548" w14:textId="77777777" w:rsidR="009401B8" w:rsidRDefault="00802EDE">
      <w:r>
        <w:separator/>
      </w:r>
    </w:p>
  </w:footnote>
  <w:footnote w:type="continuationSeparator" w:id="0">
    <w:p w14:paraId="0CA9B653" w14:textId="77777777" w:rsidR="009401B8" w:rsidRDefault="00802E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3456"/>
      <w:gridCol w:w="2622"/>
      <w:gridCol w:w="3282"/>
    </w:tblGrid>
    <w:tr w:rsidR="0044251A" w14:paraId="4FF60B8A" w14:textId="77777777">
      <w:tc>
        <w:tcPr>
          <w:tcW w:w="1694" w:type="pct"/>
          <w:shd w:val="clear" w:color="auto" w:fill="auto"/>
        </w:tcPr>
        <w:p w14:paraId="08D193C0" w14:textId="77777777" w:rsidR="0044251A" w:rsidRDefault="00802EDE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22"/>
              <w:szCs w:val="22"/>
              <w:lang w:val="bg-BG"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659C625A" wp14:editId="3B7615B3">
                <wp:extent cx="2057400" cy="428625"/>
                <wp:effectExtent l="0" t="0" r="0" b="0"/>
                <wp:docPr id="5" name="Pictur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/>
                      </pic:nvPicPr>
                      <pic:blipFill>
                        <a:blip r:embed="rId1" cstate="print"/>
                        <a:srcRect/>
                        <a:stretch/>
                      </pic:blipFill>
                      <pic:spPr>
                        <a:xfrm>
                          <a:off x="0" y="0"/>
                          <a:ext cx="2057400" cy="4286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77" w:type="pct"/>
          <w:shd w:val="clear" w:color="auto" w:fill="auto"/>
        </w:tcPr>
        <w:p w14:paraId="6B1DED56" w14:textId="77777777" w:rsidR="0044251A" w:rsidRDefault="0044251A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val="bg-BG" w:eastAsia="en-US"/>
            </w:rPr>
          </w:pPr>
        </w:p>
      </w:tc>
      <w:tc>
        <w:tcPr>
          <w:tcW w:w="1829" w:type="pct"/>
          <w:shd w:val="clear" w:color="auto" w:fill="auto"/>
        </w:tcPr>
        <w:p w14:paraId="7626F79C" w14:textId="77777777" w:rsidR="0044251A" w:rsidRDefault="00802EDE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22"/>
              <w:szCs w:val="22"/>
              <w:lang w:val="bg-BG"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3C2B494C" wp14:editId="63A7B735">
                <wp:extent cx="1409700" cy="504824"/>
                <wp:effectExtent l="0" t="0" r="0" b="0"/>
                <wp:docPr id="6" name="Pictur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8"/>
                        <pic:cNvPicPr/>
                      </pic:nvPicPr>
                      <pic:blipFill>
                        <a:blip r:embed="rId2" cstate="print"/>
                        <a:srcRect/>
                        <a:stretch/>
                      </pic:blipFill>
                      <pic:spPr>
                        <a:xfrm>
                          <a:off x="0" y="0"/>
                          <a:ext cx="1409700" cy="50482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D258E51" w14:textId="77777777" w:rsidR="0044251A" w:rsidRDefault="004425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BB786E4C"/>
    <w:lvl w:ilvl="0" w:tplc="6B725650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8FC877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8050E71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hybridMultilevel"/>
    <w:tmpl w:val="FC34E454"/>
    <w:lvl w:ilvl="0" w:tplc="6B96CC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05"/>
    <w:multiLevelType w:val="hybridMultilevel"/>
    <w:tmpl w:val="4E40785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000006"/>
    <w:multiLevelType w:val="hybridMultilevel"/>
    <w:tmpl w:val="6F78E2B8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000007"/>
    <w:multiLevelType w:val="hybridMultilevel"/>
    <w:tmpl w:val="F5181E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0000008"/>
    <w:multiLevelType w:val="hybridMultilevel"/>
    <w:tmpl w:val="B4AA88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D03D2D"/>
    <w:multiLevelType w:val="hybridMultilevel"/>
    <w:tmpl w:val="F62E0C96"/>
    <w:lvl w:ilvl="0" w:tplc="6B96CC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849435">
    <w:abstractNumId w:val="1"/>
  </w:num>
  <w:num w:numId="2" w16cid:durableId="1637485628">
    <w:abstractNumId w:val="7"/>
  </w:num>
  <w:num w:numId="3" w16cid:durableId="1083841625">
    <w:abstractNumId w:val="6"/>
  </w:num>
  <w:num w:numId="4" w16cid:durableId="905338856">
    <w:abstractNumId w:val="2"/>
  </w:num>
  <w:num w:numId="5" w16cid:durableId="1247154843">
    <w:abstractNumId w:val="0"/>
  </w:num>
  <w:num w:numId="6" w16cid:durableId="834342233">
    <w:abstractNumId w:val="8"/>
  </w:num>
  <w:num w:numId="7" w16cid:durableId="2019885658">
    <w:abstractNumId w:val="3"/>
  </w:num>
  <w:num w:numId="8" w16cid:durableId="1875265420">
    <w:abstractNumId w:val="4"/>
  </w:num>
  <w:num w:numId="9" w16cid:durableId="8437383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51A"/>
    <w:rsid w:val="00046D32"/>
    <w:rsid w:val="000951DD"/>
    <w:rsid w:val="00145C04"/>
    <w:rsid w:val="00164D6B"/>
    <w:rsid w:val="00215864"/>
    <w:rsid w:val="0032602F"/>
    <w:rsid w:val="00423616"/>
    <w:rsid w:val="0044251A"/>
    <w:rsid w:val="004B659F"/>
    <w:rsid w:val="005B24EA"/>
    <w:rsid w:val="00646687"/>
    <w:rsid w:val="00796EF5"/>
    <w:rsid w:val="007B3E4C"/>
    <w:rsid w:val="00802EDE"/>
    <w:rsid w:val="008A354B"/>
    <w:rsid w:val="009401B8"/>
    <w:rsid w:val="00A01D64"/>
    <w:rsid w:val="00B22B55"/>
    <w:rsid w:val="00E14A2E"/>
    <w:rsid w:val="00EA56A9"/>
    <w:rsid w:val="00ED4C8A"/>
    <w:rsid w:val="00F422D5"/>
    <w:rsid w:val="00FE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A61492"/>
  <w15:docId w15:val="{97D643D7-D98D-4082-B700-392E1BB9C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1"/>
    <w:basedOn w:val="Normal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customStyle="1" w:styleId="CharChar1Char">
    <w:name w:val="Char Char1 Char"/>
    <w:basedOn w:val="Normal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oterChar">
    <w:name w:val="Footer Char"/>
    <w:link w:val="Footer"/>
    <w:uiPriority w:val="99"/>
    <w:rPr>
      <w:lang w:val="en-GB" w:eastAsia="fr-FR"/>
    </w:rPr>
  </w:style>
  <w:style w:type="paragraph" w:styleId="BalloonText">
    <w:name w:val="Balloon Text"/>
    <w:basedOn w:val="Normal"/>
    <w:link w:val="BalloonTextChar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Pr>
      <w:rFonts w:ascii="Tahoma" w:hAnsi="Tahoma" w:cs="Tahoma"/>
      <w:sz w:val="16"/>
      <w:szCs w:val="16"/>
      <w:lang w:val="en-GB" w:eastAsia="fr-FR"/>
    </w:rPr>
  </w:style>
  <w:style w:type="character" w:styleId="CommentReference">
    <w:name w:val="annotation reference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</w:style>
  <w:style w:type="character" w:customStyle="1" w:styleId="CommentTextChar">
    <w:name w:val="Comment Text Char"/>
    <w:link w:val="CommentText"/>
    <w:rPr>
      <w:lang w:val="en-GB" w:eastAsia="fr-FR"/>
    </w:rPr>
  </w:style>
  <w:style w:type="paragraph" w:styleId="CommentSubject">
    <w:name w:val="annotation subject"/>
    <w:basedOn w:val="CommentText"/>
    <w:next w:val="CommentText"/>
    <w:link w:val="CommentSubjectChar"/>
    <w:rPr>
      <w:b/>
      <w:bCs/>
    </w:rPr>
  </w:style>
  <w:style w:type="character" w:customStyle="1" w:styleId="CommentSubjectChar">
    <w:name w:val="Comment Subject Char"/>
    <w:link w:val="CommentSubject"/>
    <w:rPr>
      <w:b/>
      <w:bCs/>
      <w:lang w:val="en-GB" w:eastAsia="fr-FR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</w:style>
  <w:style w:type="character" w:customStyle="1" w:styleId="FootnoteTextChar">
    <w:name w:val="Footnote Text Char"/>
    <w:link w:val="FootnoteText"/>
    <w:rPr>
      <w:lang w:val="en-GB" w:eastAsia="fr-FR"/>
    </w:rPr>
  </w:style>
  <w:style w:type="character" w:styleId="FootnoteReference">
    <w:name w:val="footnote reference"/>
    <w:rPr>
      <w:vertAlign w:val="superscript"/>
    </w:rPr>
  </w:style>
  <w:style w:type="paragraph" w:customStyle="1" w:styleId="CharChar1CharChar">
    <w:name w:val="Char Char1 Char Char"/>
    <w:basedOn w:val="Normal"/>
    <w:pPr>
      <w:tabs>
        <w:tab w:val="left" w:pos="709"/>
      </w:tabs>
    </w:pPr>
    <w:rPr>
      <w:rFonts w:ascii="Futura Bk" w:hAnsi="Futura Bk"/>
      <w:sz w:val="24"/>
      <w:szCs w:val="24"/>
      <w:lang w:val="pl-PL" w:eastAsia="pl-PL"/>
    </w:rPr>
  </w:style>
  <w:style w:type="paragraph" w:styleId="Revision">
    <w:name w:val="Revision"/>
    <w:uiPriority w:val="99"/>
    <w:rPr>
      <w:lang w:val="en-GB" w:eastAsia="fr-FR"/>
    </w:rPr>
  </w:style>
  <w:style w:type="paragraph" w:styleId="EndnoteText">
    <w:name w:val="endnote text"/>
    <w:basedOn w:val="Normal"/>
    <w:link w:val="EndnoteTextChar"/>
  </w:style>
  <w:style w:type="character" w:customStyle="1" w:styleId="EndnoteTextChar">
    <w:name w:val="Endnote Text Char"/>
    <w:link w:val="EndnoteText"/>
    <w:rPr>
      <w:lang w:val="en-GB" w:eastAsia="fr-FR"/>
    </w:rPr>
  </w:style>
  <w:style w:type="character" w:styleId="EndnoteReference">
    <w:name w:val="endnote reference"/>
    <w:rPr>
      <w:vertAlign w:val="superscript"/>
    </w:rPr>
  </w:style>
  <w:style w:type="character" w:customStyle="1" w:styleId="HeaderChar">
    <w:name w:val="Header Char"/>
    <w:link w:val="Header"/>
    <w:rPr>
      <w:lang w:val="en-GB" w:eastAsia="fr-FR"/>
    </w:rPr>
  </w:style>
  <w:style w:type="table" w:customStyle="1" w:styleId="TableGrid1">
    <w:name w:val="Table Grid1"/>
    <w:basedOn w:val="TableNormal"/>
    <w:next w:val="TableGrid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DC3B7E7D-E0C6-4C1F-B3C7-90BF851E5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724</Words>
  <Characters>4239</Characters>
  <Application>Microsoft Office Word</Application>
  <DocSecurity>0</DocSecurity>
  <Lines>35</Lines>
  <Paragraphs>9</Paragraphs>
  <ScaleCrop>false</ScaleCrop>
  <Company>MOEW</Company>
  <LinksUpToDate>false</LinksUpToDate>
  <CharactersWithSpaces>4954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userdtk</dc:creator>
  <cp:lastModifiedBy>OPOS</cp:lastModifiedBy>
  <cp:revision>19</cp:revision>
  <cp:lastPrinted>2024-04-22T08:24:00Z</cp:lastPrinted>
  <dcterms:created xsi:type="dcterms:W3CDTF">2024-05-31T07:20:00Z</dcterms:created>
  <dcterms:modified xsi:type="dcterms:W3CDTF">2024-06-28T08:45:00Z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080dcabcb8fe492da1d8fc6a9b59db45</vt:lpwstr>
  </property>
</Properties>
</file>