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2672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E44D31" w:rsidRPr="00055808" w14:paraId="39DEB5A5" w14:textId="77777777" w:rsidTr="00A40A6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04EAAC40" w14:textId="72D37E0F" w:rsidR="00E44D31" w:rsidRPr="0036150F" w:rsidRDefault="00E44D31" w:rsidP="0036150F">
            <w:pPr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ПРОЦЕДУР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А ЧРЕЗ ПОДБОР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РАЗРАБОТВАНЕ</w:t>
            </w:r>
            <w:r w:rsidR="007628DE">
              <w:rPr>
                <w:rFonts w:eastAsia="Calibri"/>
                <w:b/>
                <w:sz w:val="24"/>
                <w:szCs w:val="24"/>
                <w:lang w:val="bg-BG" w:eastAsia="en-US"/>
              </w:rPr>
              <w:t>/АКТУАЛИЗИРАНЕ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НА ПЛАНОВЕ ЗА УПРАВЛЕНИЕ НА ЗАЩИТЕНИ ТЕРИТОРИИ“ ПО ПРИОРИТЕТ </w:t>
            </w:r>
            <w:r w:rsidR="0036150F" w:rsidRPr="00113A0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3 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„БИОЛОГИЧНО РАЗНООБРАЗИЕ“ НА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ПРОГРАМА 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ОКОЛНА СРЕДА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“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36150F">
              <w:rPr>
                <w:rFonts w:eastAsia="Calibri"/>
                <w:b/>
                <w:sz w:val="24"/>
                <w:szCs w:val="24"/>
                <w:lang w:val="en-US" w:eastAsia="en-US"/>
              </w:rPr>
              <w:t>2021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-202</w:t>
            </w:r>
            <w:r w:rsidR="0036150F">
              <w:rPr>
                <w:rFonts w:eastAsia="Calibri"/>
                <w:b/>
                <w:sz w:val="24"/>
                <w:szCs w:val="24"/>
                <w:lang w:val="en-US" w:eastAsia="en-US"/>
              </w:rPr>
              <w:t>7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г.</w:t>
            </w:r>
            <w:r w:rsidR="0036150F" w:rsidRPr="007367E0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:rsidR="00E44D31" w:rsidRPr="00055808" w14:paraId="5BE2F08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1EFF01" w14:textId="3C12A62F" w:rsidR="00E41FEC" w:rsidRPr="007628DE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E29926B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275456" w14:paraId="34C0057F" w14:textId="77777777" w:rsidTr="00A40A65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C326D32" w14:textId="267255FC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C3444C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593DE33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275456" w14:paraId="5FB9356A" w14:textId="77777777" w:rsidTr="00A8575B">
        <w:trPr>
          <w:trHeight w:val="104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A5A15BA" w14:textId="0A152C00" w:rsidR="00D40AEE" w:rsidRPr="00A8575B" w:rsidRDefault="00D40AEE" w:rsidP="00D40AE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D004DE6" w14:textId="7EEA3D86" w:rsidR="00D40AEE" w:rsidRPr="00DB24F9" w:rsidRDefault="00DB24F9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Разработване/актуализиране на планове за управление на защитени територии</w:t>
            </w:r>
            <w:r w:rsidR="00975E52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055808" w14:paraId="68B1DECC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F42FA9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793B5CA" w14:textId="06DA4734" w:rsidR="00107C25" w:rsidRPr="00254F2A" w:rsidRDefault="00F022D2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F022D2">
              <w:rPr>
                <w:sz w:val="24"/>
                <w:szCs w:val="24"/>
                <w:lang w:val="bg-BG"/>
              </w:rPr>
              <w:t xml:space="preserve">Процедура чрез </w:t>
            </w:r>
            <w:r w:rsidR="00DB24F9">
              <w:rPr>
                <w:sz w:val="24"/>
                <w:szCs w:val="24"/>
                <w:lang w:val="bg-BG"/>
              </w:rPr>
              <w:t>подбор</w:t>
            </w:r>
            <w:r w:rsidR="00975E52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75456" w14:paraId="001F8529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454D2B5" w14:textId="6945A356" w:rsidR="00ED3126" w:rsidRPr="00055808" w:rsidRDefault="00E44D31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9F96835" w14:textId="3C5B234D" w:rsidR="001448B2" w:rsidRPr="00DB24F9" w:rsidRDefault="00B446CA" w:rsidP="009C5035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C07A96">
              <w:rPr>
                <w:sz w:val="24"/>
                <w:szCs w:val="24"/>
                <w:lang w:val="bg-BG"/>
              </w:rPr>
              <w:t>ите</w:t>
            </w:r>
            <w:r w:rsidR="00D63D8E"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C07A96">
              <w:rPr>
                <w:sz w:val="24"/>
                <w:szCs w:val="24"/>
                <w:lang w:val="bg-BG"/>
              </w:rPr>
              <w:t xml:space="preserve">ат </w:t>
            </w:r>
            <w:r w:rsidRPr="00B446CA">
              <w:rPr>
                <w:sz w:val="24"/>
                <w:szCs w:val="24"/>
                <w:lang w:val="bg-BG"/>
              </w:rPr>
              <w:t>изпълняван</w:t>
            </w:r>
            <w:r w:rsidR="00C07A96">
              <w:rPr>
                <w:sz w:val="24"/>
                <w:szCs w:val="24"/>
                <w:lang w:val="bg-BG"/>
              </w:rPr>
              <w:t>и</w:t>
            </w:r>
            <w:r w:rsidRPr="00B446CA">
              <w:rPr>
                <w:sz w:val="24"/>
                <w:szCs w:val="24"/>
                <w:lang w:val="bg-BG"/>
              </w:rPr>
              <w:t xml:space="preserve"> в Република България</w:t>
            </w:r>
            <w:r w:rsidR="00DB24F9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75456" w14:paraId="4E9579D4" w14:textId="77777777" w:rsidTr="004A6DF7">
        <w:trPr>
          <w:trHeight w:val="693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5F6D30E" w14:textId="2F9801F2" w:rsidR="00ED3126" w:rsidRPr="007C3CFC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2F869CE" w14:textId="1F50FFB8" w:rsidR="00DB24F9" w:rsidRDefault="00DB24F9" w:rsidP="00DB24F9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bookmarkStart w:id="0" w:name="_Hlk163833308"/>
            <w:r>
              <w:rPr>
                <w:sz w:val="24"/>
                <w:szCs w:val="24"/>
                <w:lang w:val="bg-BG"/>
              </w:rPr>
              <w:t>Да се подкрепи изпълнението на ангажиментите по ЗЗТ и постигането на Н</w:t>
            </w:r>
            <w:r w:rsidRPr="00DB24F9">
              <w:rPr>
                <w:sz w:val="24"/>
                <w:szCs w:val="24"/>
                <w:lang w:val="bg-BG"/>
              </w:rPr>
              <w:t>ационална цел 2</w:t>
            </w:r>
            <w:r>
              <w:rPr>
                <w:sz w:val="24"/>
                <w:szCs w:val="24"/>
                <w:lang w:val="bg-BG"/>
              </w:rPr>
              <w:t xml:space="preserve"> от проекта на </w:t>
            </w:r>
            <w:r w:rsidRPr="00DB24F9">
              <w:rPr>
                <w:sz w:val="24"/>
                <w:szCs w:val="24"/>
                <w:lang w:val="bg-BG"/>
              </w:rPr>
              <w:t>Стратегия за биологичното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DB24F9">
              <w:rPr>
                <w:sz w:val="24"/>
                <w:szCs w:val="24"/>
                <w:lang w:val="bg-BG"/>
              </w:rPr>
              <w:t>разнообразие в Република България</w:t>
            </w:r>
            <w:r w:rsidR="00EC3C44">
              <w:rPr>
                <w:sz w:val="24"/>
                <w:szCs w:val="24"/>
                <w:lang w:val="bg-BG"/>
              </w:rPr>
              <w:t xml:space="preserve"> чрез разработване/ актуализиране на Планове за управление на за</w:t>
            </w:r>
            <w:r w:rsidR="002C0816">
              <w:rPr>
                <w:sz w:val="24"/>
                <w:szCs w:val="24"/>
                <w:lang w:val="bg-BG"/>
              </w:rPr>
              <w:t>щ</w:t>
            </w:r>
            <w:r w:rsidR="00EC3C44">
              <w:rPr>
                <w:sz w:val="24"/>
                <w:szCs w:val="24"/>
                <w:lang w:val="bg-BG"/>
              </w:rPr>
              <w:t>итени</w:t>
            </w:r>
            <w:r w:rsidR="002C0816">
              <w:rPr>
                <w:sz w:val="24"/>
                <w:szCs w:val="24"/>
                <w:lang w:val="bg-BG"/>
              </w:rPr>
              <w:t xml:space="preserve"> </w:t>
            </w:r>
            <w:r w:rsidR="00EC3C44">
              <w:rPr>
                <w:sz w:val="24"/>
                <w:szCs w:val="24"/>
                <w:lang w:val="bg-BG"/>
              </w:rPr>
              <w:t>територии.</w:t>
            </w:r>
          </w:p>
          <w:bookmarkEnd w:id="0"/>
          <w:p w14:paraId="0FAC3C8A" w14:textId="7EFFCF5C" w:rsidR="00DB24F9" w:rsidRPr="00DB24F9" w:rsidRDefault="00DB24F9" w:rsidP="008F39B4">
            <w:pPr>
              <w:tabs>
                <w:tab w:val="left" w:pos="183"/>
              </w:tabs>
              <w:spacing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 w:rsidRPr="00DB24F9">
              <w:rPr>
                <w:i/>
                <w:iCs/>
                <w:sz w:val="24"/>
                <w:szCs w:val="24"/>
                <w:lang w:val="bg-BG"/>
              </w:rPr>
              <w:t xml:space="preserve">Национална цел 2 съответства на трите основни ангажимента за опазване на природата от Стратегията на ЕС, а именно: </w:t>
            </w:r>
          </w:p>
          <w:p w14:paraId="3C4D36BA" w14:textId="11DF06F9" w:rsidR="00DB24F9" w:rsidRPr="00DB24F9" w:rsidRDefault="00DB24F9" w:rsidP="008F39B4">
            <w:pPr>
              <w:tabs>
                <w:tab w:val="left" w:pos="183"/>
              </w:tabs>
              <w:spacing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 w:rsidRPr="00DB24F9">
              <w:rPr>
                <w:i/>
                <w:iCs/>
                <w:sz w:val="24"/>
                <w:szCs w:val="24"/>
                <w:lang w:val="bg-BG"/>
              </w:rPr>
              <w:t>1. Да се предостави защита, при ефективен режим на управление, на най-малко 30% от сухоземната територията (пропорционално на горите) и на 30% от морските територии, и да се осигури интегриране на екологичните коридори в рамките на ефективно действаща трансевропейска мрежа за защита на природата;</w:t>
            </w:r>
          </w:p>
          <w:p w14:paraId="4E121654" w14:textId="22BFDB58" w:rsidR="00DB24F9" w:rsidRPr="00DB24F9" w:rsidRDefault="00DB24F9" w:rsidP="008F39B4">
            <w:pPr>
              <w:tabs>
                <w:tab w:val="left" w:pos="183"/>
              </w:tabs>
              <w:spacing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 w:rsidRPr="00DB24F9">
              <w:rPr>
                <w:i/>
                <w:iCs/>
                <w:sz w:val="24"/>
                <w:szCs w:val="24"/>
                <w:lang w:val="bg-BG"/>
              </w:rPr>
              <w:t>2. Да се предостави строга защита на най-малко 10% от горите (10% от всички гори, не само на тези, разположени в натура 2000 мрежата), включително защита на всички останали първични гори (гори във фаза на старост);</w:t>
            </w:r>
          </w:p>
          <w:p w14:paraId="40759C1B" w14:textId="77777777" w:rsidR="00B10D1B" w:rsidRDefault="00DB24F9" w:rsidP="008F39B4">
            <w:pPr>
              <w:tabs>
                <w:tab w:val="left" w:pos="183"/>
              </w:tabs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DB24F9">
              <w:rPr>
                <w:i/>
                <w:iCs/>
                <w:sz w:val="24"/>
                <w:szCs w:val="24"/>
                <w:lang w:val="bg-BG"/>
              </w:rPr>
              <w:t>3. Да се осигури ефективно управление на всички територии, обект на защита, като се определят ясни природозащитни цели и мерки и се извършва подходящ мониторинг.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790BA3BD" w14:textId="682DB086" w:rsidR="006F3CFE" w:rsidRPr="00975E52" w:rsidRDefault="006F3CFE" w:rsidP="00400271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По процедурата е допустимо разработване/актуализиране на планове за управление на природни паркове </w:t>
            </w:r>
            <w:r w:rsidRPr="006F3CFE">
              <w:rPr>
                <w:sz w:val="24"/>
                <w:szCs w:val="24"/>
                <w:lang w:val="bg-BG"/>
              </w:rPr>
              <w:t>„Врачански Балкан“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6F3CFE">
              <w:rPr>
                <w:sz w:val="24"/>
                <w:szCs w:val="24"/>
                <w:lang w:val="bg-BG"/>
              </w:rPr>
              <w:t>„Златни пясъци“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6F3CFE">
              <w:rPr>
                <w:sz w:val="24"/>
                <w:szCs w:val="24"/>
                <w:lang w:val="bg-BG"/>
              </w:rPr>
              <w:t>„Шуменско плато“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6F3CFE">
              <w:rPr>
                <w:sz w:val="24"/>
                <w:szCs w:val="24"/>
                <w:lang w:val="bg-BG"/>
              </w:rPr>
              <w:t>„Рилски манастир“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6F3CFE">
              <w:rPr>
                <w:sz w:val="24"/>
                <w:szCs w:val="24"/>
                <w:lang w:val="bg-BG"/>
              </w:rPr>
              <w:t>„Странджа“</w:t>
            </w:r>
            <w:r>
              <w:rPr>
                <w:sz w:val="24"/>
                <w:szCs w:val="24"/>
                <w:lang w:val="bg-BG"/>
              </w:rPr>
              <w:t xml:space="preserve"> и </w:t>
            </w:r>
            <w:r w:rsidRPr="006F3CFE">
              <w:rPr>
                <w:sz w:val="24"/>
                <w:szCs w:val="24"/>
                <w:lang w:val="bg-BG"/>
              </w:rPr>
              <w:t>„Сините камъни</w:t>
            </w:r>
            <w:r>
              <w:rPr>
                <w:sz w:val="24"/>
                <w:szCs w:val="24"/>
                <w:lang w:val="bg-BG"/>
              </w:rPr>
              <w:t xml:space="preserve">“ и резервати: </w:t>
            </w:r>
            <w:r w:rsidR="006508C0" w:rsidRPr="006508C0">
              <w:rPr>
                <w:sz w:val="24"/>
                <w:szCs w:val="24"/>
                <w:lang w:val="bg-BG"/>
              </w:rPr>
              <w:t>Р „Камчия“</w:t>
            </w:r>
            <w:r w:rsidR="006508C0">
              <w:rPr>
                <w:sz w:val="24"/>
                <w:szCs w:val="24"/>
                <w:lang w:val="bg-BG"/>
              </w:rPr>
              <w:t xml:space="preserve">, </w:t>
            </w:r>
            <w:r w:rsidR="006508C0" w:rsidRPr="006508C0">
              <w:rPr>
                <w:sz w:val="24"/>
                <w:szCs w:val="24"/>
                <w:lang w:val="bg-BG"/>
              </w:rPr>
              <w:t>Р „Кастраклий“</w:t>
            </w:r>
            <w:r w:rsidR="00400271">
              <w:rPr>
                <w:sz w:val="24"/>
                <w:szCs w:val="24"/>
                <w:lang w:val="bg-BG"/>
              </w:rPr>
              <w:t xml:space="preserve">, </w:t>
            </w:r>
            <w:r w:rsidR="006508C0" w:rsidRPr="006508C0">
              <w:rPr>
                <w:sz w:val="24"/>
                <w:szCs w:val="24"/>
                <w:lang w:val="bg-BG"/>
              </w:rPr>
              <w:t>Р „Казаните“</w:t>
            </w:r>
            <w:r w:rsidR="006508C0">
              <w:rPr>
                <w:sz w:val="24"/>
                <w:szCs w:val="24"/>
                <w:lang w:val="bg-BG"/>
              </w:rPr>
              <w:t xml:space="preserve">, </w:t>
            </w:r>
            <w:r w:rsidR="006508C0" w:rsidRPr="006508C0">
              <w:rPr>
                <w:sz w:val="24"/>
                <w:szCs w:val="24"/>
                <w:lang w:val="bg-BG"/>
              </w:rPr>
              <w:t>Р „</w:t>
            </w:r>
            <w:proofErr w:type="spellStart"/>
            <w:r w:rsidR="006508C0" w:rsidRPr="006508C0">
              <w:rPr>
                <w:sz w:val="24"/>
                <w:szCs w:val="24"/>
                <w:lang w:val="bg-BG"/>
              </w:rPr>
              <w:t>Сосковчето</w:t>
            </w:r>
            <w:proofErr w:type="spellEnd"/>
            <w:r w:rsidR="006508C0" w:rsidRPr="006508C0">
              <w:rPr>
                <w:sz w:val="24"/>
                <w:szCs w:val="24"/>
                <w:lang w:val="bg-BG"/>
              </w:rPr>
              <w:t>“</w:t>
            </w:r>
            <w:r w:rsidR="006508C0">
              <w:rPr>
                <w:sz w:val="24"/>
                <w:szCs w:val="24"/>
                <w:lang w:val="bg-BG"/>
              </w:rPr>
              <w:t>,</w:t>
            </w:r>
            <w:r w:rsidR="003666E6" w:rsidRPr="00975E52">
              <w:rPr>
                <w:sz w:val="24"/>
                <w:szCs w:val="24"/>
                <w:lang w:val="bg-BG"/>
              </w:rPr>
              <w:t xml:space="preserve"> Р „</w:t>
            </w:r>
            <w:proofErr w:type="spellStart"/>
            <w:r w:rsidR="003666E6" w:rsidRPr="00975E52">
              <w:rPr>
                <w:sz w:val="24"/>
                <w:szCs w:val="24"/>
                <w:lang w:val="bg-BG"/>
              </w:rPr>
              <w:t>Калиакра“,Р</w:t>
            </w:r>
            <w:proofErr w:type="spellEnd"/>
            <w:r w:rsidR="003666E6" w:rsidRPr="00975E52">
              <w:rPr>
                <w:sz w:val="24"/>
                <w:szCs w:val="24"/>
                <w:lang w:val="bg-BG"/>
              </w:rPr>
              <w:t xml:space="preserve"> „Църна река“,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3666E6" w:rsidRPr="00975E52">
              <w:rPr>
                <w:sz w:val="24"/>
                <w:szCs w:val="24"/>
                <w:lang w:val="bg-BG"/>
              </w:rPr>
              <w:t xml:space="preserve">ПР “Острица”, </w:t>
            </w:r>
            <w:r w:rsidR="00400271" w:rsidRPr="00975E52">
              <w:rPr>
                <w:sz w:val="24"/>
                <w:szCs w:val="24"/>
                <w:lang w:val="bg-BG"/>
              </w:rPr>
              <w:t xml:space="preserve">ПР </w:t>
            </w:r>
            <w:r w:rsidR="003666E6" w:rsidRPr="00975E52">
              <w:rPr>
                <w:sz w:val="24"/>
                <w:szCs w:val="24"/>
                <w:lang w:val="bg-BG"/>
              </w:rPr>
              <w:t>“Габра”, ПР “</w:t>
            </w:r>
            <w:proofErr w:type="spellStart"/>
            <w:r w:rsidR="003666E6" w:rsidRPr="00975E52">
              <w:rPr>
                <w:sz w:val="24"/>
                <w:szCs w:val="24"/>
                <w:lang w:val="bg-BG"/>
              </w:rPr>
              <w:t>Балтата</w:t>
            </w:r>
            <w:proofErr w:type="spellEnd"/>
            <w:r w:rsidR="003666E6" w:rsidRPr="00975E52">
              <w:rPr>
                <w:sz w:val="24"/>
                <w:szCs w:val="24"/>
                <w:lang w:val="bg-BG"/>
              </w:rPr>
              <w:t>”, ПР “</w:t>
            </w:r>
            <w:proofErr w:type="spellStart"/>
            <w:r w:rsidR="003666E6" w:rsidRPr="00975E52">
              <w:rPr>
                <w:sz w:val="24"/>
                <w:szCs w:val="24"/>
                <w:lang w:val="bg-BG"/>
              </w:rPr>
              <w:t>Момчиловски</w:t>
            </w:r>
            <w:proofErr w:type="spellEnd"/>
            <w:r w:rsidR="003666E6" w:rsidRPr="00975E52">
              <w:rPr>
                <w:sz w:val="24"/>
                <w:szCs w:val="24"/>
                <w:lang w:val="bg-BG"/>
              </w:rPr>
              <w:t xml:space="preserve"> дол”</w:t>
            </w:r>
            <w:r w:rsidR="00400271" w:rsidRPr="00975E52">
              <w:rPr>
                <w:sz w:val="24"/>
                <w:szCs w:val="24"/>
                <w:lang w:val="bg-BG"/>
              </w:rPr>
              <w:t>,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3666E6" w:rsidRPr="00975E52">
              <w:rPr>
                <w:sz w:val="24"/>
                <w:szCs w:val="24"/>
                <w:lang w:val="bg-BG"/>
              </w:rPr>
              <w:t>ПР “</w:t>
            </w:r>
            <w:proofErr w:type="spellStart"/>
            <w:r w:rsidR="003666E6" w:rsidRPr="00975E52">
              <w:rPr>
                <w:sz w:val="24"/>
                <w:szCs w:val="24"/>
                <w:lang w:val="bg-BG"/>
              </w:rPr>
              <w:t>Шабаница</w:t>
            </w:r>
            <w:proofErr w:type="spellEnd"/>
            <w:r w:rsidR="003666E6" w:rsidRPr="00975E52">
              <w:rPr>
                <w:sz w:val="24"/>
                <w:szCs w:val="24"/>
                <w:lang w:val="bg-BG"/>
              </w:rPr>
              <w:t>”, ПР “Тъмната гора”, ПР “Конски дол”, ПР „</w:t>
            </w:r>
            <w:proofErr w:type="spellStart"/>
            <w:r w:rsidR="003666E6" w:rsidRPr="00975E52">
              <w:rPr>
                <w:sz w:val="24"/>
                <w:szCs w:val="24"/>
                <w:lang w:val="bg-BG"/>
              </w:rPr>
              <w:t>Патлейна</w:t>
            </w:r>
            <w:proofErr w:type="spellEnd"/>
            <w:r w:rsidR="003666E6" w:rsidRPr="00975E52">
              <w:rPr>
                <w:sz w:val="24"/>
                <w:szCs w:val="24"/>
                <w:lang w:val="bg-BG"/>
              </w:rPr>
              <w:t>“,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3666E6" w:rsidRPr="00975E52">
              <w:rPr>
                <w:sz w:val="24"/>
                <w:szCs w:val="24"/>
                <w:lang w:val="bg-BG"/>
              </w:rPr>
              <w:t xml:space="preserve">ПР </w:t>
            </w:r>
            <w:r w:rsidR="003666E6" w:rsidRPr="00975E52">
              <w:rPr>
                <w:sz w:val="24"/>
                <w:szCs w:val="24"/>
                <w:lang w:val="bg-BG"/>
              </w:rPr>
              <w:lastRenderedPageBreak/>
              <w:t>„Дервиша“, ПР „Момин град“,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9D1EEE" w:rsidRPr="00975E52">
              <w:rPr>
                <w:sz w:val="24"/>
                <w:szCs w:val="24"/>
                <w:lang w:val="bg-BG"/>
              </w:rPr>
              <w:t>ПР „Вълчи проход“,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9D1EEE" w:rsidRPr="00975E52">
              <w:rPr>
                <w:sz w:val="24"/>
                <w:szCs w:val="24"/>
                <w:lang w:val="bg-BG"/>
              </w:rPr>
              <w:t xml:space="preserve">ПР „Киров </w:t>
            </w:r>
            <w:proofErr w:type="spellStart"/>
            <w:r w:rsidR="009D1EEE" w:rsidRPr="00975E52">
              <w:rPr>
                <w:sz w:val="24"/>
                <w:szCs w:val="24"/>
                <w:lang w:val="bg-BG"/>
              </w:rPr>
              <w:t>дол“,ПР</w:t>
            </w:r>
            <w:proofErr w:type="spellEnd"/>
            <w:r w:rsidR="009D1EEE" w:rsidRPr="00975E52">
              <w:rPr>
                <w:sz w:val="24"/>
                <w:szCs w:val="24"/>
                <w:lang w:val="bg-BG"/>
              </w:rPr>
              <w:t xml:space="preserve"> „Върбов дол“,</w:t>
            </w:r>
            <w:r w:rsidR="0079072D" w:rsidRPr="00975E52">
              <w:rPr>
                <w:sz w:val="24"/>
                <w:szCs w:val="24"/>
                <w:lang w:val="bg-BG"/>
              </w:rPr>
              <w:t xml:space="preserve"> ПР „Хайдушки чукар“</w:t>
            </w:r>
            <w:r w:rsidR="00D50185">
              <w:rPr>
                <w:sz w:val="24"/>
                <w:szCs w:val="24"/>
                <w:lang w:val="bg-BG"/>
              </w:rPr>
              <w:t>, ПР „</w:t>
            </w:r>
            <w:proofErr w:type="spellStart"/>
            <w:r w:rsidR="00D50185">
              <w:rPr>
                <w:sz w:val="24"/>
                <w:szCs w:val="24"/>
                <w:lang w:val="bg-BG"/>
              </w:rPr>
              <w:t>Амзово</w:t>
            </w:r>
            <w:proofErr w:type="spellEnd"/>
            <w:r w:rsidR="00D50185">
              <w:rPr>
                <w:sz w:val="24"/>
                <w:szCs w:val="24"/>
                <w:lang w:val="bg-BG"/>
              </w:rPr>
              <w:t>“</w:t>
            </w:r>
            <w:r w:rsidR="00400271" w:rsidRPr="00975E52">
              <w:rPr>
                <w:sz w:val="24"/>
                <w:szCs w:val="24"/>
                <w:lang w:val="bg-BG"/>
              </w:rPr>
              <w:t xml:space="preserve"> и </w:t>
            </w:r>
            <w:r w:rsidR="0079072D" w:rsidRPr="00975E52">
              <w:rPr>
                <w:sz w:val="24"/>
                <w:szCs w:val="24"/>
                <w:lang w:val="bg-BG"/>
              </w:rPr>
              <w:t>ПР „Калфата“</w:t>
            </w:r>
            <w:r w:rsidR="004A6DF7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75456" w14:paraId="4DDA0E70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E0F4FA9" w14:textId="084EE3FE" w:rsidR="005C3D8C" w:rsidRPr="00055808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lastRenderedPageBreak/>
              <w:t>Очаквани резултати от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C6FF36A" w14:textId="7EA31AA6" w:rsidR="005E18FB" w:rsidRPr="00226F28" w:rsidRDefault="00DB24F9" w:rsidP="0040027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Разработени/ актуализирани и приети планове за управление на </w:t>
            </w:r>
            <w:r w:rsidRPr="00A211EF">
              <w:rPr>
                <w:sz w:val="24"/>
                <w:szCs w:val="24"/>
                <w:lang w:val="bg-BG"/>
              </w:rPr>
              <w:t>природни паркове</w:t>
            </w:r>
            <w:r w:rsidR="0016009F" w:rsidRPr="00A211EF">
              <w:rPr>
                <w:sz w:val="24"/>
                <w:szCs w:val="24"/>
                <w:lang w:val="bg-BG"/>
              </w:rPr>
              <w:t>:</w:t>
            </w:r>
            <w:r w:rsidR="0016009F" w:rsidRPr="00A211EF">
              <w:rPr>
                <w:lang w:val="bg-BG"/>
              </w:rPr>
              <w:t xml:space="preserve"> </w:t>
            </w:r>
            <w:r w:rsidR="0016009F" w:rsidRPr="00A211EF">
              <w:rPr>
                <w:sz w:val="24"/>
                <w:szCs w:val="24"/>
                <w:lang w:val="bg-BG"/>
              </w:rPr>
              <w:t xml:space="preserve">Врачански Балкан, Златни пясъци, Шуменско плато, Рилски манастир, Странджа и Сините камъни, </w:t>
            </w:r>
            <w:r w:rsidRPr="00A211EF">
              <w:rPr>
                <w:sz w:val="24"/>
                <w:szCs w:val="24"/>
                <w:lang w:val="bg-BG"/>
              </w:rPr>
              <w:t>и резервати</w:t>
            </w:r>
            <w:r w:rsidR="0016009F" w:rsidRPr="00A211EF">
              <w:rPr>
                <w:sz w:val="24"/>
                <w:szCs w:val="24"/>
                <w:lang w:val="bg-BG"/>
              </w:rPr>
              <w:t xml:space="preserve">: </w:t>
            </w:r>
            <w:r w:rsidR="00743C52" w:rsidRPr="00A211EF">
              <w:rPr>
                <w:sz w:val="24"/>
                <w:szCs w:val="24"/>
                <w:lang w:val="bg-BG"/>
              </w:rPr>
              <w:t>Р „Камчия“, Р „Кастраклий“, Р „Казаните“, Р „</w:t>
            </w:r>
            <w:proofErr w:type="spellStart"/>
            <w:r w:rsidR="00743C52" w:rsidRPr="00A211EF">
              <w:rPr>
                <w:sz w:val="24"/>
                <w:szCs w:val="24"/>
                <w:lang w:val="bg-BG"/>
              </w:rPr>
              <w:t>Сосковчето</w:t>
            </w:r>
            <w:proofErr w:type="spellEnd"/>
            <w:r w:rsidR="00743C52" w:rsidRPr="00A211EF">
              <w:rPr>
                <w:sz w:val="24"/>
                <w:szCs w:val="24"/>
                <w:lang w:val="bg-BG"/>
              </w:rPr>
              <w:t>“, Р „</w:t>
            </w:r>
            <w:proofErr w:type="spellStart"/>
            <w:r w:rsidR="00743C52" w:rsidRPr="00A211EF">
              <w:rPr>
                <w:sz w:val="24"/>
                <w:szCs w:val="24"/>
                <w:lang w:val="bg-BG"/>
              </w:rPr>
              <w:t>Калиакра“,Р</w:t>
            </w:r>
            <w:proofErr w:type="spellEnd"/>
            <w:r w:rsidR="00743C52" w:rsidRPr="00A211EF">
              <w:rPr>
                <w:sz w:val="24"/>
                <w:szCs w:val="24"/>
                <w:lang w:val="bg-BG"/>
              </w:rPr>
              <w:t xml:space="preserve"> „Църна </w:t>
            </w:r>
            <w:proofErr w:type="spellStart"/>
            <w:r w:rsidR="00743C52" w:rsidRPr="00A211EF">
              <w:rPr>
                <w:sz w:val="24"/>
                <w:szCs w:val="24"/>
                <w:lang w:val="bg-BG"/>
              </w:rPr>
              <w:t>река“,ПР</w:t>
            </w:r>
            <w:proofErr w:type="spellEnd"/>
            <w:r w:rsidR="00743C52" w:rsidRPr="00A211EF">
              <w:rPr>
                <w:sz w:val="24"/>
                <w:szCs w:val="24"/>
                <w:lang w:val="bg-BG"/>
              </w:rPr>
              <w:t xml:space="preserve"> “Острица”, ПР “Габра”, ПР “Балтата”, ПР “Момчиловски дол”, ПР “Шабаница”, ПР “Тъмната гора”, ПР “Конски дол”, ПР „</w:t>
            </w:r>
            <w:proofErr w:type="spellStart"/>
            <w:r w:rsidR="00743C52" w:rsidRPr="00A211EF">
              <w:rPr>
                <w:sz w:val="24"/>
                <w:szCs w:val="24"/>
                <w:lang w:val="bg-BG"/>
              </w:rPr>
              <w:t>Патлейна</w:t>
            </w:r>
            <w:proofErr w:type="spellEnd"/>
            <w:r w:rsidR="00743C52" w:rsidRPr="00743C52">
              <w:rPr>
                <w:sz w:val="24"/>
                <w:szCs w:val="24"/>
                <w:lang w:val="bg-BG"/>
              </w:rPr>
              <w:t xml:space="preserve">“,ПР „Дервиша“, ПР „Момин </w:t>
            </w:r>
            <w:proofErr w:type="spellStart"/>
            <w:r w:rsidR="00743C52" w:rsidRPr="00743C52">
              <w:rPr>
                <w:sz w:val="24"/>
                <w:szCs w:val="24"/>
                <w:lang w:val="bg-BG"/>
              </w:rPr>
              <w:t>град“,ПР</w:t>
            </w:r>
            <w:proofErr w:type="spellEnd"/>
            <w:r w:rsidR="00743C52" w:rsidRPr="00743C52">
              <w:rPr>
                <w:sz w:val="24"/>
                <w:szCs w:val="24"/>
                <w:lang w:val="bg-BG"/>
              </w:rPr>
              <w:t xml:space="preserve"> „Вълчи </w:t>
            </w:r>
            <w:proofErr w:type="spellStart"/>
            <w:r w:rsidR="00743C52" w:rsidRPr="00743C52">
              <w:rPr>
                <w:sz w:val="24"/>
                <w:szCs w:val="24"/>
                <w:lang w:val="bg-BG"/>
              </w:rPr>
              <w:t>проход“,ПР</w:t>
            </w:r>
            <w:proofErr w:type="spellEnd"/>
            <w:r w:rsidR="00743C52" w:rsidRPr="00743C52">
              <w:rPr>
                <w:sz w:val="24"/>
                <w:szCs w:val="24"/>
                <w:lang w:val="bg-BG"/>
              </w:rPr>
              <w:t xml:space="preserve"> „Киров </w:t>
            </w:r>
            <w:proofErr w:type="spellStart"/>
            <w:r w:rsidR="00743C52" w:rsidRPr="00743C52">
              <w:rPr>
                <w:sz w:val="24"/>
                <w:szCs w:val="24"/>
                <w:lang w:val="bg-BG"/>
              </w:rPr>
              <w:t>дол“,ПР</w:t>
            </w:r>
            <w:proofErr w:type="spellEnd"/>
            <w:r w:rsidR="00743C52" w:rsidRPr="00743C52">
              <w:rPr>
                <w:sz w:val="24"/>
                <w:szCs w:val="24"/>
                <w:lang w:val="bg-BG"/>
              </w:rPr>
              <w:t xml:space="preserve"> „Въ</w:t>
            </w:r>
            <w:r w:rsidR="00400271">
              <w:rPr>
                <w:sz w:val="24"/>
                <w:szCs w:val="24"/>
                <w:lang w:val="bg-BG"/>
              </w:rPr>
              <w:t>рбов дол“, ПР „Хайдушки чукар“</w:t>
            </w:r>
            <w:r w:rsidR="00D50185">
              <w:rPr>
                <w:sz w:val="24"/>
                <w:szCs w:val="24"/>
                <w:lang w:val="bg-BG"/>
              </w:rPr>
              <w:t xml:space="preserve"> , ПР „</w:t>
            </w:r>
            <w:proofErr w:type="spellStart"/>
            <w:r w:rsidR="00D50185">
              <w:rPr>
                <w:sz w:val="24"/>
                <w:szCs w:val="24"/>
                <w:lang w:val="bg-BG"/>
              </w:rPr>
              <w:t>Амзово</w:t>
            </w:r>
            <w:proofErr w:type="spellEnd"/>
            <w:r w:rsidR="00D50185">
              <w:rPr>
                <w:sz w:val="24"/>
                <w:szCs w:val="24"/>
                <w:lang w:val="bg-BG"/>
              </w:rPr>
              <w:t xml:space="preserve">“ </w:t>
            </w:r>
            <w:r w:rsidR="00556E6A">
              <w:rPr>
                <w:sz w:val="24"/>
                <w:szCs w:val="24"/>
                <w:lang w:val="bg-BG"/>
              </w:rPr>
              <w:t xml:space="preserve"> и</w:t>
            </w:r>
            <w:r w:rsidR="00400271">
              <w:rPr>
                <w:sz w:val="24"/>
                <w:szCs w:val="24"/>
                <w:lang w:val="bg-BG"/>
              </w:rPr>
              <w:t xml:space="preserve"> </w:t>
            </w:r>
            <w:r w:rsidR="00743C52" w:rsidRPr="00743C52">
              <w:rPr>
                <w:sz w:val="24"/>
                <w:szCs w:val="24"/>
                <w:lang w:val="bg-BG"/>
              </w:rPr>
              <w:t>ПР „Калфата“</w:t>
            </w:r>
            <w:r w:rsidR="00201C69">
              <w:rPr>
                <w:sz w:val="24"/>
                <w:szCs w:val="24"/>
                <w:lang w:val="bg-BG"/>
              </w:rPr>
              <w:t>.</w:t>
            </w:r>
          </w:p>
        </w:tc>
      </w:tr>
      <w:tr w:rsidR="00594543" w:rsidRPr="00275456" w14:paraId="3A11C2CC" w14:textId="77777777" w:rsidTr="00594543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168ABDD" w14:textId="10CCB16B" w:rsidR="00594543" w:rsidRPr="00594543" w:rsidRDefault="001A2B3B" w:rsidP="00594543">
            <w:pPr>
              <w:rPr>
                <w:sz w:val="24"/>
                <w:szCs w:val="24"/>
                <w:lang w:val="bg-BG"/>
              </w:rPr>
            </w:pPr>
            <w:r w:rsidRPr="001A2B3B">
              <w:rPr>
                <w:sz w:val="24"/>
                <w:szCs w:val="24"/>
                <w:lang w:val="bg-BG"/>
              </w:rPr>
              <w:t>Индикатор</w:t>
            </w:r>
            <w:r w:rsidR="00275456">
              <w:rPr>
                <w:sz w:val="24"/>
                <w:szCs w:val="24"/>
                <w:lang w:val="bg-BG"/>
              </w:rPr>
              <w:t>и (показатели)</w:t>
            </w:r>
            <w:r w:rsidRPr="001A2B3B">
              <w:rPr>
                <w:sz w:val="24"/>
                <w:szCs w:val="24"/>
                <w:lang w:val="bg-BG"/>
              </w:rPr>
              <w:t xml:space="preserve"> за резултат</w:t>
            </w:r>
            <w:r w:rsidR="00275456">
              <w:rPr>
                <w:sz w:val="24"/>
                <w:szCs w:val="24"/>
                <w:lang w:val="bg-BG"/>
              </w:rPr>
              <w:t xml:space="preserve"> и за краен продукт</w:t>
            </w:r>
            <w:r w:rsidRPr="001A2B3B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DFB4223" w14:textId="7F95E4B5" w:rsidR="00A60C34" w:rsidRPr="00A60C34" w:rsidRDefault="00A60C34" w:rsidP="00A60C3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bookmarkStart w:id="1" w:name="_Hlk163828178"/>
            <w:bookmarkStart w:id="2" w:name="_Hlk163828104"/>
            <w:r w:rsidRPr="00A60C34">
              <w:rPr>
                <w:bCs/>
                <w:sz w:val="24"/>
                <w:szCs w:val="24"/>
                <w:lang w:val="bg-BG"/>
              </w:rPr>
              <w:t>Индикатор</w:t>
            </w:r>
            <w:r w:rsidR="008615E7">
              <w:rPr>
                <w:bCs/>
                <w:sz w:val="24"/>
                <w:szCs w:val="24"/>
                <w:lang w:val="bg-BG"/>
              </w:rPr>
              <w:t>и</w:t>
            </w:r>
            <w:r w:rsidRPr="00A60C34">
              <w:rPr>
                <w:bCs/>
                <w:sz w:val="24"/>
                <w:szCs w:val="24"/>
                <w:lang w:val="bg-BG"/>
              </w:rPr>
              <w:t xml:space="preserve"> за резултат</w:t>
            </w:r>
            <w:r w:rsidR="008F5921">
              <w:rPr>
                <w:bCs/>
                <w:sz w:val="24"/>
                <w:szCs w:val="24"/>
                <w:lang w:val="bg-BG"/>
              </w:rPr>
              <w:t>,</w:t>
            </w:r>
            <w:r w:rsidRPr="00A60C34">
              <w:rPr>
                <w:bCs/>
                <w:sz w:val="24"/>
                <w:szCs w:val="24"/>
                <w:lang w:val="bg-BG"/>
              </w:rPr>
              <w:t xml:space="preserve"> специфич</w:t>
            </w:r>
            <w:r w:rsidR="008615E7">
              <w:rPr>
                <w:bCs/>
                <w:sz w:val="24"/>
                <w:szCs w:val="24"/>
                <w:lang w:val="bg-BG"/>
              </w:rPr>
              <w:t>ни</w:t>
            </w:r>
            <w:r w:rsidRPr="00A60C34">
              <w:rPr>
                <w:bCs/>
                <w:sz w:val="24"/>
                <w:szCs w:val="24"/>
                <w:lang w:val="bg-BG"/>
              </w:rPr>
              <w:t xml:space="preserve"> за процедурата</w:t>
            </w:r>
            <w:r>
              <w:rPr>
                <w:bCs/>
                <w:sz w:val="24"/>
                <w:szCs w:val="24"/>
                <w:lang w:val="bg-BG"/>
              </w:rPr>
              <w:t>:</w:t>
            </w:r>
          </w:p>
          <w:p w14:paraId="78950542" w14:textId="1C67E535" w:rsidR="00A60C34" w:rsidRPr="00975E52" w:rsidRDefault="00A60C34" w:rsidP="00A60C34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1738FD">
              <w:rPr>
                <w:b/>
                <w:sz w:val="24"/>
                <w:szCs w:val="24"/>
                <w:lang w:val="bg-BG"/>
              </w:rPr>
              <w:t>Разработени/ актуализирани и приети</w:t>
            </w:r>
            <w:r>
              <w:rPr>
                <w:b/>
                <w:sz w:val="24"/>
                <w:szCs w:val="24"/>
                <w:lang w:val="bg-BG"/>
              </w:rPr>
              <w:t xml:space="preserve"> от ВЕЕС</w:t>
            </w:r>
            <w:r w:rsidRPr="001738FD">
              <w:rPr>
                <w:b/>
                <w:sz w:val="24"/>
                <w:szCs w:val="24"/>
                <w:lang w:val="bg-BG"/>
              </w:rPr>
              <w:t xml:space="preserve"> планове за управление на природни паркове </w:t>
            </w:r>
            <w:r>
              <w:rPr>
                <w:b/>
                <w:sz w:val="24"/>
                <w:szCs w:val="24"/>
                <w:lang w:val="bg-BG"/>
              </w:rPr>
              <w:t>с отразени бележки</w:t>
            </w:r>
            <w:r w:rsidRPr="001738FD">
              <w:rPr>
                <w:b/>
                <w:sz w:val="24"/>
                <w:szCs w:val="24"/>
                <w:lang w:val="bg-BG"/>
              </w:rPr>
              <w:t>.</w:t>
            </w:r>
            <w:bookmarkEnd w:id="1"/>
            <w:r w:rsidRPr="00975E52">
              <w:rPr>
                <w:b/>
                <w:sz w:val="24"/>
                <w:szCs w:val="24"/>
                <w:lang w:val="bg-BG"/>
              </w:rPr>
              <w:t xml:space="preserve"> </w:t>
            </w:r>
          </w:p>
          <w:p w14:paraId="41DADAE5" w14:textId="77777777" w:rsidR="00A60C34" w:rsidRDefault="00A60C34" w:rsidP="00A60C34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bookmarkStart w:id="3" w:name="_Hlk163828211"/>
            <w:r>
              <w:rPr>
                <w:bCs/>
                <w:sz w:val="24"/>
                <w:szCs w:val="24"/>
                <w:lang w:val="bg-BG"/>
              </w:rPr>
              <w:t>Целева стойност за по-слабо развитите региони</w:t>
            </w:r>
            <w:r w:rsidRPr="00F53280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– бр;</w:t>
            </w:r>
          </w:p>
          <w:p w14:paraId="3F3C57F4" w14:textId="08324313" w:rsidR="00A60C34" w:rsidRDefault="00A60C34" w:rsidP="00A60C34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bookmarkStart w:id="4" w:name="_Hlk163828278"/>
            <w:bookmarkEnd w:id="3"/>
            <w:r w:rsidRPr="00354F31">
              <w:rPr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</w:t>
            </w:r>
            <w:r>
              <w:rPr>
                <w:i/>
                <w:iCs/>
                <w:sz w:val="24"/>
                <w:szCs w:val="24"/>
                <w:lang w:val="bg-BG"/>
              </w:rPr>
              <w:t>бр. на плановете за управление</w:t>
            </w:r>
            <w:r w:rsidRPr="00354F31">
              <w:rPr>
                <w:i/>
                <w:iCs/>
                <w:sz w:val="24"/>
                <w:szCs w:val="24"/>
                <w:lang w:val="bg-BG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bg-BG"/>
              </w:rPr>
              <w:t>които ще бъдат разработени/ актуализирани в рамките на проекта. Предвид ограничението за включване на само един план в един проект, кандидатите следва да заложат целева стойност 1 бр.</w:t>
            </w:r>
            <w:bookmarkEnd w:id="4"/>
          </w:p>
          <w:p w14:paraId="0B43EAB9" w14:textId="4581F49A" w:rsidR="008615E7" w:rsidRDefault="008615E7" w:rsidP="00A60C34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8615E7">
              <w:rPr>
                <w:b/>
                <w:sz w:val="24"/>
                <w:szCs w:val="24"/>
                <w:lang w:val="bg-BG"/>
              </w:rPr>
              <w:t xml:space="preserve">Разработени/ актуализирани и </w:t>
            </w:r>
            <w:r>
              <w:rPr>
                <w:b/>
                <w:sz w:val="24"/>
                <w:szCs w:val="24"/>
                <w:lang w:val="bg-BG"/>
              </w:rPr>
              <w:t xml:space="preserve">утвърдени от министъра на околната среда и водите </w:t>
            </w:r>
            <w:r w:rsidRPr="001738FD">
              <w:rPr>
                <w:b/>
                <w:sz w:val="24"/>
                <w:szCs w:val="24"/>
                <w:lang w:val="bg-BG"/>
              </w:rPr>
              <w:t>планове за управление на</w:t>
            </w:r>
            <w:r>
              <w:rPr>
                <w:b/>
                <w:sz w:val="24"/>
                <w:szCs w:val="24"/>
                <w:lang w:val="bg-BG"/>
              </w:rPr>
              <w:t xml:space="preserve"> резервати и поддържани резервати</w:t>
            </w:r>
          </w:p>
          <w:p w14:paraId="06EADF42" w14:textId="77777777" w:rsidR="008615E7" w:rsidRDefault="008615E7" w:rsidP="008615E7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Целева стойност за региона в преход – бр;</w:t>
            </w:r>
          </w:p>
          <w:p w14:paraId="7B83A161" w14:textId="77777777" w:rsidR="008615E7" w:rsidRDefault="008615E7" w:rsidP="008615E7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Целева стойност за по-слабо развитите региони</w:t>
            </w:r>
            <w:r w:rsidRPr="00F53280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– бр;</w:t>
            </w:r>
          </w:p>
          <w:p w14:paraId="03D309DB" w14:textId="77777777" w:rsidR="008615E7" w:rsidRDefault="008615E7" w:rsidP="008615E7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 w:rsidRPr="00354F31">
              <w:rPr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</w:t>
            </w:r>
            <w:r>
              <w:rPr>
                <w:i/>
                <w:iCs/>
                <w:sz w:val="24"/>
                <w:szCs w:val="24"/>
                <w:lang w:val="bg-BG"/>
              </w:rPr>
              <w:t>бр. на плановете за управление</w:t>
            </w:r>
            <w:r w:rsidRPr="00354F31">
              <w:rPr>
                <w:i/>
                <w:iCs/>
                <w:sz w:val="24"/>
                <w:szCs w:val="24"/>
                <w:lang w:val="bg-BG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bg-BG"/>
              </w:rPr>
              <w:t>които ще бъдат разработени/ актуализирани в рамките на проекта. Предвид ограничението за включване на само един план в един проект, кандидатите следва да заложат целева стойност 1 бр.</w:t>
            </w:r>
          </w:p>
          <w:p w14:paraId="6D7087AD" w14:textId="3BD9EE86" w:rsidR="00A60C34" w:rsidRPr="00A60C34" w:rsidRDefault="00A60C34" w:rsidP="00A60C3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A60C34">
              <w:rPr>
                <w:bCs/>
                <w:sz w:val="24"/>
                <w:szCs w:val="24"/>
                <w:lang w:val="bg-BG"/>
              </w:rPr>
              <w:t xml:space="preserve">Индикатор за </w:t>
            </w:r>
            <w:r>
              <w:rPr>
                <w:bCs/>
                <w:sz w:val="24"/>
                <w:szCs w:val="24"/>
                <w:lang w:val="bg-BG"/>
              </w:rPr>
              <w:t>краен продукт (програмен показател):</w:t>
            </w:r>
          </w:p>
          <w:p w14:paraId="1BC0CFC2" w14:textId="0A264056" w:rsidR="00245CC0" w:rsidRPr="00975E52" w:rsidRDefault="00245CC0" w:rsidP="00A60C34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245CC0">
              <w:rPr>
                <w:b/>
                <w:sz w:val="24"/>
                <w:szCs w:val="24"/>
                <w:lang w:val="bg-BG"/>
              </w:rPr>
              <w:t>Инвестиции за подкрепа на мерки извън Натура 2000</w:t>
            </w:r>
            <w:r w:rsidR="00287712">
              <w:rPr>
                <w:b/>
                <w:sz w:val="24"/>
                <w:szCs w:val="24"/>
                <w:lang w:val="bg-BG"/>
              </w:rPr>
              <w:t xml:space="preserve"> – евро.</w:t>
            </w:r>
            <w:r w:rsidR="007A7695">
              <w:rPr>
                <w:b/>
                <w:sz w:val="24"/>
                <w:szCs w:val="24"/>
                <w:lang w:val="bg-BG"/>
              </w:rPr>
              <w:t xml:space="preserve"> </w:t>
            </w:r>
          </w:p>
          <w:p w14:paraId="492CC40D" w14:textId="4DDC2B3B" w:rsidR="00245CC0" w:rsidRPr="00245CC0" w:rsidRDefault="00245CC0" w:rsidP="00245CC0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bookmarkStart w:id="5" w:name="_Hlk163828142"/>
            <w:bookmarkStart w:id="6" w:name="_Hlk163828119"/>
            <w:bookmarkEnd w:id="2"/>
            <w:r w:rsidRPr="00245CC0">
              <w:rPr>
                <w:bCs/>
                <w:sz w:val="24"/>
                <w:szCs w:val="24"/>
                <w:lang w:val="bg-BG"/>
              </w:rPr>
              <w:t xml:space="preserve">Целева стойност за региона в преход – </w:t>
            </w:r>
            <w:r>
              <w:rPr>
                <w:bCs/>
                <w:sz w:val="24"/>
                <w:szCs w:val="24"/>
                <w:lang w:val="bg-BG"/>
              </w:rPr>
              <w:t>евро</w:t>
            </w:r>
            <w:bookmarkEnd w:id="5"/>
            <w:r w:rsidRPr="00245CC0">
              <w:rPr>
                <w:bCs/>
                <w:sz w:val="24"/>
                <w:szCs w:val="24"/>
                <w:lang w:val="bg-BG"/>
              </w:rPr>
              <w:t>;</w:t>
            </w:r>
          </w:p>
          <w:p w14:paraId="221641C7" w14:textId="1105BD21" w:rsidR="00245CC0" w:rsidRPr="00245CC0" w:rsidRDefault="00245CC0" w:rsidP="00245CC0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bookmarkStart w:id="7" w:name="_Hlk163828153"/>
            <w:r w:rsidRPr="00245CC0">
              <w:rPr>
                <w:bCs/>
                <w:sz w:val="24"/>
                <w:szCs w:val="24"/>
                <w:lang w:val="bg-BG"/>
              </w:rPr>
              <w:t xml:space="preserve">Целева стойност за по-слабо развитите региони – </w:t>
            </w:r>
            <w:r>
              <w:rPr>
                <w:bCs/>
                <w:sz w:val="24"/>
                <w:szCs w:val="24"/>
                <w:lang w:val="bg-BG"/>
              </w:rPr>
              <w:t>евро</w:t>
            </w:r>
            <w:bookmarkEnd w:id="7"/>
            <w:r w:rsidRPr="00245CC0">
              <w:rPr>
                <w:bCs/>
                <w:sz w:val="24"/>
                <w:szCs w:val="24"/>
                <w:lang w:val="bg-BG"/>
              </w:rPr>
              <w:t>;</w:t>
            </w:r>
          </w:p>
          <w:p w14:paraId="4543188D" w14:textId="0D000CE9" w:rsidR="00594543" w:rsidRPr="00354F31" w:rsidRDefault="00245CC0" w:rsidP="001738FD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bookmarkStart w:id="8" w:name="_Hlk163828165"/>
            <w:r w:rsidRPr="00245CC0">
              <w:rPr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</w:t>
            </w:r>
            <w:r>
              <w:rPr>
                <w:i/>
                <w:iCs/>
                <w:sz w:val="24"/>
                <w:szCs w:val="24"/>
                <w:lang w:val="bg-BG"/>
              </w:rPr>
              <w:t xml:space="preserve">размера </w:t>
            </w:r>
            <w:r w:rsidR="00D94897">
              <w:rPr>
                <w:i/>
                <w:iCs/>
                <w:sz w:val="24"/>
                <w:szCs w:val="24"/>
                <w:lang w:val="bg-BG"/>
              </w:rPr>
              <w:t xml:space="preserve"> на предоставяната БФП по програмата в евро</w:t>
            </w:r>
            <w:r w:rsidRPr="00245CC0">
              <w:rPr>
                <w:i/>
                <w:iCs/>
                <w:sz w:val="24"/>
                <w:szCs w:val="24"/>
                <w:lang w:val="bg-BG"/>
              </w:rPr>
              <w:t xml:space="preserve">. </w:t>
            </w:r>
            <w:bookmarkEnd w:id="6"/>
            <w:bookmarkEnd w:id="8"/>
          </w:p>
        </w:tc>
      </w:tr>
      <w:tr w:rsidR="002844B7" w:rsidRPr="00C56631" w14:paraId="4185DBA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E81BE93" w14:textId="77777777" w:rsidR="002844B7" w:rsidRPr="00C56631" w:rsidRDefault="002844B7" w:rsidP="004A6DF7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278DB68" w14:textId="53BD4B15" w:rsidR="002844B7" w:rsidRPr="000D5D6F" w:rsidRDefault="00642250" w:rsidP="00686A4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юли</w:t>
            </w:r>
            <w:r w:rsidRPr="000E50C1">
              <w:rPr>
                <w:sz w:val="24"/>
                <w:szCs w:val="24"/>
                <w:lang w:val="bg-BG"/>
              </w:rPr>
              <w:t xml:space="preserve"> </w:t>
            </w:r>
            <w:r w:rsidR="000E50C1" w:rsidRPr="000E50C1">
              <w:rPr>
                <w:sz w:val="24"/>
                <w:szCs w:val="24"/>
                <w:lang w:val="bg-BG"/>
              </w:rPr>
              <w:t>202</w:t>
            </w:r>
            <w:r w:rsidR="009226BA">
              <w:rPr>
                <w:sz w:val="24"/>
                <w:szCs w:val="24"/>
                <w:lang w:val="bg-BG"/>
              </w:rPr>
              <w:t>4</w:t>
            </w:r>
            <w:r w:rsidR="000E50C1" w:rsidRPr="000E50C1">
              <w:rPr>
                <w:sz w:val="24"/>
                <w:szCs w:val="24"/>
                <w:lang w:val="bg-BG"/>
              </w:rPr>
              <w:t xml:space="preserve"> г.</w:t>
            </w:r>
          </w:p>
        </w:tc>
      </w:tr>
      <w:tr w:rsidR="00E44D31" w:rsidRPr="00275456" w14:paraId="49EB64E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98E1E04" w14:textId="17E7DBDD" w:rsidR="00110F92" w:rsidRPr="001E3648" w:rsidRDefault="00E44D31" w:rsidP="004A6DF7">
            <w:pPr>
              <w:rPr>
                <w:sz w:val="24"/>
                <w:szCs w:val="24"/>
                <w:lang w:val="bg-BG"/>
              </w:rPr>
            </w:pPr>
            <w:r w:rsidRPr="001E3648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C1CFC05" w14:textId="7A498EFF" w:rsidR="006F3CFE" w:rsidRPr="003B065D" w:rsidRDefault="00F535D0" w:rsidP="001E3648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3B065D">
              <w:rPr>
                <w:sz w:val="24"/>
                <w:szCs w:val="24"/>
                <w:lang w:val="bg-BG"/>
              </w:rPr>
              <w:t xml:space="preserve">Общ бюджет по процедурата – </w:t>
            </w:r>
            <w:bookmarkStart w:id="9" w:name="_Hlk163828378"/>
            <w:r w:rsidR="00A60C34" w:rsidRPr="003B065D">
              <w:rPr>
                <w:sz w:val="24"/>
                <w:szCs w:val="24"/>
                <w:lang w:val="bg-BG"/>
              </w:rPr>
              <w:t>14 0</w:t>
            </w:r>
            <w:r w:rsidR="00EF05E7" w:rsidRPr="003B065D">
              <w:rPr>
                <w:sz w:val="24"/>
                <w:szCs w:val="24"/>
                <w:lang w:val="bg-BG"/>
              </w:rPr>
              <w:t>00</w:t>
            </w:r>
            <w:r w:rsidR="00287712" w:rsidRPr="003B065D">
              <w:rPr>
                <w:sz w:val="24"/>
                <w:szCs w:val="24"/>
                <w:lang w:val="bg-BG"/>
              </w:rPr>
              <w:t> </w:t>
            </w:r>
            <w:r w:rsidR="00EF05E7" w:rsidRPr="003B065D">
              <w:rPr>
                <w:sz w:val="24"/>
                <w:szCs w:val="24"/>
                <w:lang w:val="bg-BG"/>
              </w:rPr>
              <w:t>000</w:t>
            </w:r>
            <w:r w:rsidR="00287712" w:rsidRPr="003B065D">
              <w:rPr>
                <w:sz w:val="24"/>
                <w:szCs w:val="24"/>
                <w:lang w:val="bg-BG"/>
              </w:rPr>
              <w:t xml:space="preserve"> </w:t>
            </w:r>
            <w:r w:rsidR="009226BA" w:rsidRPr="003B065D">
              <w:rPr>
                <w:sz w:val="24"/>
                <w:szCs w:val="24"/>
                <w:lang w:val="bg-BG"/>
              </w:rPr>
              <w:t>лв</w:t>
            </w:r>
            <w:bookmarkEnd w:id="9"/>
            <w:r w:rsidR="00EF05E7" w:rsidRPr="003B065D">
              <w:rPr>
                <w:sz w:val="24"/>
                <w:szCs w:val="24"/>
                <w:lang w:val="bg-BG"/>
              </w:rPr>
              <w:t>.</w:t>
            </w:r>
          </w:p>
          <w:p w14:paraId="7C22462F" w14:textId="447D3174" w:rsidR="00E44D31" w:rsidRPr="003B065D" w:rsidRDefault="006F3CFE" w:rsidP="001E3648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3B065D">
              <w:rPr>
                <w:sz w:val="24"/>
                <w:szCs w:val="24"/>
                <w:lang w:val="bg-BG"/>
              </w:rPr>
              <w:lastRenderedPageBreak/>
              <w:t xml:space="preserve">Ограничение за </w:t>
            </w:r>
            <w:r w:rsidR="001E3648" w:rsidRPr="003B065D">
              <w:rPr>
                <w:sz w:val="24"/>
                <w:szCs w:val="24"/>
                <w:lang w:val="bg-BG"/>
              </w:rPr>
              <w:t xml:space="preserve">ЮЗР – </w:t>
            </w:r>
            <w:r w:rsidR="003C3A0B" w:rsidRPr="003B065D">
              <w:rPr>
                <w:sz w:val="24"/>
                <w:szCs w:val="24"/>
                <w:lang w:val="bg-BG"/>
              </w:rPr>
              <w:t>до 2 050 000 лв.</w:t>
            </w:r>
            <w:r w:rsidR="00A60C34" w:rsidRPr="003B065D">
              <w:rPr>
                <w:sz w:val="24"/>
                <w:szCs w:val="24"/>
                <w:lang w:val="bg-BG"/>
              </w:rPr>
              <w:t xml:space="preserve">, от които </w:t>
            </w:r>
            <w:r w:rsidR="00642250" w:rsidRPr="003B065D">
              <w:rPr>
                <w:sz w:val="24"/>
                <w:szCs w:val="24"/>
                <w:lang w:val="bg-BG"/>
              </w:rPr>
              <w:t xml:space="preserve">до </w:t>
            </w:r>
            <w:r w:rsidR="00A60C34" w:rsidRPr="003B065D">
              <w:rPr>
                <w:sz w:val="24"/>
                <w:szCs w:val="24"/>
                <w:lang w:val="bg-BG"/>
              </w:rPr>
              <w:t xml:space="preserve">550 000 лв. за  </w:t>
            </w:r>
            <w:r w:rsidR="00642250" w:rsidRPr="003B065D">
              <w:rPr>
                <w:sz w:val="24"/>
                <w:szCs w:val="24"/>
                <w:lang w:val="bg-BG"/>
              </w:rPr>
              <w:t xml:space="preserve">разработване на планове за управление на природни паркове </w:t>
            </w:r>
            <w:r w:rsidR="00A60C34" w:rsidRPr="003B065D">
              <w:rPr>
                <w:sz w:val="24"/>
                <w:szCs w:val="24"/>
                <w:lang w:val="bg-BG"/>
              </w:rPr>
              <w:t xml:space="preserve">и </w:t>
            </w:r>
            <w:r w:rsidR="00642250" w:rsidRPr="003B065D">
              <w:rPr>
                <w:sz w:val="24"/>
                <w:szCs w:val="24"/>
                <w:lang w:val="bg-BG"/>
              </w:rPr>
              <w:t xml:space="preserve">до </w:t>
            </w:r>
            <w:r w:rsidR="00A60C34" w:rsidRPr="003B065D">
              <w:rPr>
                <w:sz w:val="24"/>
                <w:szCs w:val="24"/>
                <w:lang w:val="bg-BG"/>
              </w:rPr>
              <w:t>1 500 000</w:t>
            </w:r>
            <w:r w:rsidR="00A60C34" w:rsidRPr="003B065D">
              <w:rPr>
                <w:lang w:val="bg-BG"/>
              </w:rPr>
              <w:t xml:space="preserve"> </w:t>
            </w:r>
            <w:r w:rsidR="00A60C34" w:rsidRPr="003B065D">
              <w:rPr>
                <w:sz w:val="24"/>
                <w:szCs w:val="24"/>
                <w:lang w:val="bg-BG"/>
              </w:rPr>
              <w:t>за разработване на планове за управление на резервати</w:t>
            </w:r>
            <w:r w:rsidR="00642250" w:rsidRPr="003B065D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75456" w14:paraId="48AA007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C6B8E3A" w14:textId="467D2201" w:rsidR="00662D53" w:rsidRPr="00D84AF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lastRenderedPageBreak/>
              <w:t xml:space="preserve">Минимален </w:t>
            </w:r>
            <w:r w:rsidR="00DE1E4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53C44B9" w14:textId="77777777" w:rsidR="00DE1E4B" w:rsidRDefault="00DE1E4B" w:rsidP="009062A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E1E4B">
              <w:rPr>
                <w:sz w:val="24"/>
                <w:szCs w:val="24"/>
                <w:lang w:val="bg-BG"/>
              </w:rPr>
              <w:t>По процедурата няма определен минимален размер на БФ</w:t>
            </w:r>
            <w:r w:rsidR="00ED198C"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6C2B70B4" w14:textId="77777777" w:rsidR="002C63C3" w:rsidRDefault="000E50C1" w:rsidP="00D62130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bookmarkStart w:id="10" w:name="_Hlk163830528"/>
            <w:r w:rsidRPr="000E50C1">
              <w:rPr>
                <w:sz w:val="24"/>
                <w:szCs w:val="24"/>
                <w:lang w:val="bg-BG"/>
              </w:rPr>
              <w:t xml:space="preserve">Максималният размер на БФП за </w:t>
            </w:r>
            <w:r w:rsidR="00864ACD">
              <w:rPr>
                <w:sz w:val="24"/>
                <w:szCs w:val="24"/>
                <w:lang w:val="bg-BG"/>
              </w:rPr>
              <w:t>отделен проект се определя от целевия обект</w:t>
            </w:r>
            <w:r w:rsidR="00642250">
              <w:rPr>
                <w:sz w:val="24"/>
                <w:szCs w:val="24"/>
                <w:lang w:val="bg-BG"/>
              </w:rPr>
              <w:t>,</w:t>
            </w:r>
            <w:r w:rsidR="00864ACD">
              <w:rPr>
                <w:sz w:val="24"/>
                <w:szCs w:val="24"/>
                <w:lang w:val="bg-BG"/>
              </w:rPr>
              <w:t xml:space="preserve"> за който </w:t>
            </w:r>
            <w:r w:rsidR="0016009F">
              <w:rPr>
                <w:sz w:val="24"/>
                <w:szCs w:val="24"/>
                <w:lang w:val="bg-BG"/>
              </w:rPr>
              <w:t>щ</w:t>
            </w:r>
            <w:r w:rsidR="00864ACD">
              <w:rPr>
                <w:sz w:val="24"/>
                <w:szCs w:val="24"/>
                <w:lang w:val="bg-BG"/>
              </w:rPr>
              <w:t>е бъде разработен план за управление</w:t>
            </w:r>
            <w:r w:rsidR="002C63C3">
              <w:rPr>
                <w:sz w:val="24"/>
                <w:szCs w:val="24"/>
                <w:lang w:val="bg-BG"/>
              </w:rPr>
              <w:t>.</w:t>
            </w:r>
          </w:p>
          <w:p w14:paraId="10D3E9D1" w14:textId="598F979C" w:rsidR="006F3CFE" w:rsidRDefault="00D62130" w:rsidP="00D62130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62130">
              <w:rPr>
                <w:sz w:val="24"/>
                <w:szCs w:val="24"/>
                <w:lang w:val="bg-BG"/>
              </w:rPr>
              <w:t xml:space="preserve">За всеки от целевите </w:t>
            </w:r>
            <w:r>
              <w:rPr>
                <w:sz w:val="24"/>
                <w:szCs w:val="24"/>
                <w:lang w:val="bg-BG"/>
              </w:rPr>
              <w:t>р</w:t>
            </w:r>
            <w:r w:rsidRPr="00D62130">
              <w:rPr>
                <w:sz w:val="24"/>
                <w:szCs w:val="24"/>
                <w:lang w:val="bg-BG"/>
              </w:rPr>
              <w:t xml:space="preserve">езервати </w:t>
            </w:r>
            <w:r w:rsidR="00EF05E7" w:rsidRPr="00975E52">
              <w:rPr>
                <w:sz w:val="24"/>
                <w:szCs w:val="24"/>
                <w:lang w:val="bg-BG"/>
              </w:rPr>
              <w:t>(</w:t>
            </w:r>
            <w:r w:rsidR="00EF05E7">
              <w:rPr>
                <w:sz w:val="24"/>
                <w:szCs w:val="24"/>
                <w:lang w:val="bg-BG"/>
              </w:rPr>
              <w:t>2</w:t>
            </w:r>
            <w:r w:rsidR="002F6A9A">
              <w:rPr>
                <w:sz w:val="24"/>
                <w:szCs w:val="24"/>
                <w:lang w:val="bg-BG"/>
              </w:rPr>
              <w:t>2</w:t>
            </w:r>
            <w:r w:rsidR="00EF05E7">
              <w:rPr>
                <w:sz w:val="24"/>
                <w:szCs w:val="24"/>
                <w:lang w:val="bg-BG"/>
              </w:rPr>
              <w:t xml:space="preserve"> бр.) </w:t>
            </w:r>
            <w:r>
              <w:rPr>
                <w:sz w:val="24"/>
                <w:szCs w:val="24"/>
                <w:lang w:val="bg-BG"/>
              </w:rPr>
              <w:t>м</w:t>
            </w:r>
            <w:r w:rsidRPr="00D62130">
              <w:rPr>
                <w:sz w:val="24"/>
                <w:szCs w:val="24"/>
                <w:lang w:val="bg-BG"/>
              </w:rPr>
              <w:t xml:space="preserve">аксималният размер на БФП за отделен проект </w:t>
            </w:r>
            <w:r w:rsidR="00642250">
              <w:rPr>
                <w:sz w:val="24"/>
                <w:szCs w:val="24"/>
                <w:lang w:val="bg-BG"/>
              </w:rPr>
              <w:t xml:space="preserve">е </w:t>
            </w:r>
            <w:r w:rsidR="00263374">
              <w:rPr>
                <w:sz w:val="24"/>
                <w:szCs w:val="24"/>
                <w:lang w:val="bg-BG"/>
              </w:rPr>
              <w:t>4</w:t>
            </w:r>
            <w:r w:rsidRPr="00D62130">
              <w:rPr>
                <w:sz w:val="24"/>
                <w:szCs w:val="24"/>
                <w:lang w:val="bg-BG"/>
              </w:rPr>
              <w:t>00 000 лв.</w:t>
            </w:r>
            <w:r w:rsidR="0034283C" w:rsidRPr="00975E52">
              <w:rPr>
                <w:sz w:val="24"/>
                <w:szCs w:val="24"/>
                <w:lang w:val="bg-BG"/>
              </w:rPr>
              <w:t xml:space="preserve"> </w:t>
            </w:r>
            <w:bookmarkEnd w:id="10"/>
          </w:p>
          <w:p w14:paraId="387D6D55" w14:textId="77777777" w:rsidR="00606908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62130">
              <w:rPr>
                <w:sz w:val="24"/>
                <w:szCs w:val="24"/>
                <w:lang w:val="bg-BG"/>
              </w:rPr>
              <w:t xml:space="preserve">За всеки от целевите </w:t>
            </w:r>
            <w:r>
              <w:rPr>
                <w:sz w:val="24"/>
                <w:szCs w:val="24"/>
                <w:lang w:val="bg-BG"/>
              </w:rPr>
              <w:t>природни паркове максималният размер на БФП за отделен проект е както следва:</w:t>
            </w:r>
          </w:p>
          <w:p w14:paraId="28742105" w14:textId="3ED8223B" w:rsidR="002C63C3" w:rsidRPr="002C63C3" w:rsidRDefault="002C63C3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="00606908">
              <w:rPr>
                <w:sz w:val="24"/>
                <w:szCs w:val="24"/>
                <w:lang w:val="bg-BG"/>
              </w:rPr>
              <w:t>„</w:t>
            </w:r>
            <w:r w:rsidRPr="002C63C3">
              <w:rPr>
                <w:sz w:val="24"/>
                <w:szCs w:val="24"/>
                <w:lang w:val="bg-BG"/>
              </w:rPr>
              <w:t>Врачански Балкан</w:t>
            </w:r>
            <w:r w:rsidR="00606908">
              <w:rPr>
                <w:sz w:val="24"/>
                <w:szCs w:val="24"/>
                <w:lang w:val="bg-BG"/>
              </w:rPr>
              <w:t>“</w:t>
            </w:r>
            <w:r w:rsidRPr="002C63C3">
              <w:rPr>
                <w:sz w:val="24"/>
                <w:szCs w:val="24"/>
                <w:lang w:val="bg-BG"/>
              </w:rPr>
              <w:t xml:space="preserve"> - 950 000 лв.</w:t>
            </w:r>
          </w:p>
          <w:p w14:paraId="0A239563" w14:textId="59660BE7" w:rsidR="002C63C3" w:rsidRPr="002C63C3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„</w:t>
            </w:r>
            <w:r w:rsidR="002C63C3" w:rsidRPr="002C63C3">
              <w:rPr>
                <w:sz w:val="24"/>
                <w:szCs w:val="24"/>
                <w:lang w:val="bg-BG"/>
              </w:rPr>
              <w:t>Златни пясъци</w:t>
            </w:r>
            <w:r>
              <w:rPr>
                <w:sz w:val="24"/>
                <w:szCs w:val="24"/>
                <w:lang w:val="bg-BG"/>
              </w:rPr>
              <w:t>“</w:t>
            </w:r>
            <w:r w:rsidR="002C63C3" w:rsidRPr="002C63C3">
              <w:rPr>
                <w:sz w:val="24"/>
                <w:szCs w:val="24"/>
                <w:lang w:val="bg-BG"/>
              </w:rPr>
              <w:t xml:space="preserve"> - 300 000 лв.</w:t>
            </w:r>
          </w:p>
          <w:p w14:paraId="12269EE8" w14:textId="2014E0E0" w:rsidR="002C63C3" w:rsidRPr="002C63C3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„</w:t>
            </w:r>
            <w:r w:rsidR="002C63C3" w:rsidRPr="002C63C3">
              <w:rPr>
                <w:sz w:val="24"/>
                <w:szCs w:val="24"/>
                <w:lang w:val="bg-BG"/>
              </w:rPr>
              <w:t>Шуменско плато</w:t>
            </w:r>
            <w:r>
              <w:rPr>
                <w:sz w:val="24"/>
                <w:szCs w:val="24"/>
                <w:lang w:val="bg-BG"/>
              </w:rPr>
              <w:t>“</w:t>
            </w:r>
            <w:r w:rsidR="002C63C3" w:rsidRPr="002C63C3">
              <w:rPr>
                <w:sz w:val="24"/>
                <w:szCs w:val="24"/>
                <w:lang w:val="bg-BG"/>
              </w:rPr>
              <w:t xml:space="preserve"> - 450 000 лв.</w:t>
            </w:r>
          </w:p>
          <w:p w14:paraId="6EAAD6A3" w14:textId="7A5A7664" w:rsidR="002C63C3" w:rsidRPr="002C63C3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„</w:t>
            </w:r>
            <w:r w:rsidR="002C63C3" w:rsidRPr="002C63C3">
              <w:rPr>
                <w:sz w:val="24"/>
                <w:szCs w:val="24"/>
                <w:lang w:val="bg-BG"/>
              </w:rPr>
              <w:t>Рилски манастир</w:t>
            </w:r>
            <w:r>
              <w:rPr>
                <w:sz w:val="24"/>
                <w:szCs w:val="24"/>
                <w:lang w:val="bg-BG"/>
              </w:rPr>
              <w:t>“</w:t>
            </w:r>
            <w:r w:rsidR="002C63C3" w:rsidRPr="002C63C3">
              <w:rPr>
                <w:sz w:val="24"/>
                <w:szCs w:val="24"/>
                <w:lang w:val="bg-BG"/>
              </w:rPr>
              <w:t xml:space="preserve"> - 550 000 лв.</w:t>
            </w:r>
          </w:p>
          <w:p w14:paraId="2AF91970" w14:textId="53C776D7" w:rsidR="002C63C3" w:rsidRPr="002C63C3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„</w:t>
            </w:r>
            <w:r w:rsidR="002C63C3" w:rsidRPr="002C63C3">
              <w:rPr>
                <w:sz w:val="24"/>
                <w:szCs w:val="24"/>
                <w:lang w:val="bg-BG"/>
              </w:rPr>
              <w:t>Странджа</w:t>
            </w:r>
            <w:r>
              <w:rPr>
                <w:sz w:val="24"/>
                <w:szCs w:val="24"/>
                <w:lang w:val="bg-BG"/>
              </w:rPr>
              <w:t>“</w:t>
            </w:r>
            <w:r w:rsidR="002C63C3" w:rsidRPr="002C63C3">
              <w:rPr>
                <w:sz w:val="24"/>
                <w:szCs w:val="24"/>
                <w:lang w:val="bg-BG"/>
              </w:rPr>
              <w:t xml:space="preserve"> - 2 100 000 лв.</w:t>
            </w:r>
          </w:p>
          <w:p w14:paraId="24255E93" w14:textId="4CCDA1B2" w:rsidR="002C63C3" w:rsidRPr="00975E52" w:rsidRDefault="00606908" w:rsidP="002C63C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2C63C3">
              <w:rPr>
                <w:sz w:val="24"/>
                <w:szCs w:val="24"/>
                <w:lang w:val="bg-BG"/>
              </w:rPr>
              <w:t>За ПУ на Природен парк</w:t>
            </w:r>
            <w:r>
              <w:rPr>
                <w:sz w:val="24"/>
                <w:szCs w:val="24"/>
                <w:lang w:val="bg-BG"/>
              </w:rPr>
              <w:t xml:space="preserve"> „</w:t>
            </w:r>
            <w:r w:rsidR="002C63C3" w:rsidRPr="002C63C3">
              <w:rPr>
                <w:sz w:val="24"/>
                <w:szCs w:val="24"/>
                <w:lang w:val="bg-BG"/>
              </w:rPr>
              <w:t>Сините камъни</w:t>
            </w:r>
            <w:r>
              <w:rPr>
                <w:sz w:val="24"/>
                <w:szCs w:val="24"/>
                <w:lang w:val="bg-BG"/>
              </w:rPr>
              <w:t>“</w:t>
            </w:r>
            <w:r w:rsidR="002C63C3" w:rsidRPr="002C63C3">
              <w:rPr>
                <w:sz w:val="24"/>
                <w:szCs w:val="24"/>
                <w:lang w:val="bg-BG"/>
              </w:rPr>
              <w:t xml:space="preserve"> - 1 250 000 лв.</w:t>
            </w:r>
          </w:p>
        </w:tc>
      </w:tr>
      <w:tr w:rsidR="00E44D31" w:rsidRPr="00275456" w14:paraId="5E42731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CE1F2D6" w14:textId="77777777" w:rsidR="00E37ECD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32DC865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4E6D9D90" w14:textId="77777777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</w:t>
            </w:r>
            <w:proofErr w:type="spellStart"/>
            <w:r w:rsidRPr="00055808">
              <w:rPr>
                <w:sz w:val="24"/>
                <w:szCs w:val="24"/>
                <w:lang w:val="bg-BG"/>
              </w:rPr>
              <w:t>съ</w:t>
            </w:r>
            <w:proofErr w:type="spellEnd"/>
            <w:r>
              <w:rPr>
                <w:sz w:val="24"/>
                <w:szCs w:val="24"/>
                <w:lang w:val="bg-BG"/>
              </w:rPr>
              <w:t>-</w:t>
            </w:r>
            <w:r w:rsidRPr="00055808">
              <w:rPr>
                <w:sz w:val="24"/>
                <w:szCs w:val="24"/>
                <w:lang w:val="bg-BG"/>
              </w:rPr>
              <w:t xml:space="preserve">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275456" w14:paraId="719C1C69" w14:textId="77777777" w:rsidTr="001307AF">
        <w:trPr>
          <w:trHeight w:val="73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646ABD3" w14:textId="61D94300" w:rsidR="00150181" w:rsidRPr="001307AF" w:rsidRDefault="00150181" w:rsidP="001307AF">
            <w:pPr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</w:t>
            </w:r>
            <w:r w:rsidR="006F3CFE">
              <w:rPr>
                <w:color w:val="000000"/>
                <w:sz w:val="24"/>
                <w:szCs w:val="24"/>
                <w:lang w:val="bg-BG"/>
              </w:rPr>
              <w:t>и</w:t>
            </w:r>
            <w:r w:rsidRPr="00114D3C">
              <w:rPr>
                <w:color w:val="000000"/>
                <w:sz w:val="24"/>
                <w:szCs w:val="24"/>
                <w:lang w:val="bg-BG"/>
              </w:rPr>
              <w:t xml:space="preserve"> бенефициенти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03A8F66" w14:textId="0DB43731" w:rsidR="00997C50" w:rsidRPr="00642250" w:rsidRDefault="00997C50" w:rsidP="00BA3DCC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Pr="00997C50">
              <w:rPr>
                <w:sz w:val="24"/>
                <w:szCs w:val="24"/>
                <w:lang w:val="bg-BG"/>
              </w:rPr>
              <w:t xml:space="preserve">ирекции на природни паркове, регионални инспекции по околна среда и водите, областни управители, общини и </w:t>
            </w:r>
            <w:r>
              <w:rPr>
                <w:sz w:val="24"/>
                <w:szCs w:val="24"/>
                <w:lang w:val="bg-BG"/>
              </w:rPr>
              <w:t>юридически лица с нестопанска цел</w:t>
            </w:r>
            <w:r w:rsidRPr="00997C50">
              <w:rPr>
                <w:sz w:val="24"/>
                <w:szCs w:val="24"/>
                <w:lang w:val="bg-BG"/>
              </w:rPr>
              <w:t>.</w:t>
            </w:r>
          </w:p>
        </w:tc>
      </w:tr>
      <w:tr w:rsidR="00606908" w:rsidRPr="00275456" w14:paraId="6605B29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CFAD89E" w14:textId="77777777" w:rsidR="00606908" w:rsidRPr="00114D3C" w:rsidRDefault="00606908" w:rsidP="00606908">
            <w:pPr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E54CB3E" w14:textId="287D9788" w:rsidR="00606908" w:rsidRPr="00606908" w:rsidRDefault="00606908" w:rsidP="00606908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Pr="00997C50">
              <w:rPr>
                <w:sz w:val="24"/>
                <w:szCs w:val="24"/>
                <w:lang w:val="bg-BG"/>
              </w:rPr>
              <w:t xml:space="preserve">ирекции на природни паркове, регионални инспекции по околна среда и водите, областни управители, общини и </w:t>
            </w:r>
            <w:r>
              <w:rPr>
                <w:sz w:val="24"/>
                <w:szCs w:val="24"/>
                <w:lang w:val="bg-BG"/>
              </w:rPr>
              <w:t>юридически лица с нестопанска цел</w:t>
            </w:r>
            <w:r w:rsidRPr="00997C50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275456" w14:paraId="40F262B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FA37312" w14:textId="5DD737D0" w:rsidR="00150181" w:rsidRPr="003C3B6E" w:rsidRDefault="00150181" w:rsidP="00150181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6C06A01" w14:textId="29C23331" w:rsidR="00302AF7" w:rsidRPr="00642250" w:rsidRDefault="00642250" w:rsidP="0064225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Анализ на налични данни и информация</w:t>
            </w:r>
            <w:r w:rsidR="0036150F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7F2BB27C" w14:textId="2DE26E21" w:rsidR="00864ACD" w:rsidRPr="00642250" w:rsidRDefault="00642250" w:rsidP="0064225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Теренни проучвания</w:t>
            </w:r>
            <w:r w:rsidR="0036150F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2582F9F5" w14:textId="543A67EF" w:rsidR="00864ACD" w:rsidRPr="00642250" w:rsidRDefault="00642250" w:rsidP="0064225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36150F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Провеждане на с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рещи, обществени обсъждания </w:t>
            </w:r>
            <w:r w:rsidR="0036150F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 други форми на включване на 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заинтересовани страни</w:t>
            </w:r>
            <w:r w:rsidR="0036150F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1B7FAF26" w14:textId="1013DBC4" w:rsidR="000F63F3" w:rsidRDefault="00642250" w:rsidP="0064225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0F63F3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Разработване</w:t>
            </w:r>
            <w:r w:rsidR="001A1219">
              <w:rPr>
                <w:rFonts w:eastAsia="Calibri"/>
                <w:bCs/>
                <w:sz w:val="24"/>
                <w:szCs w:val="24"/>
                <w:lang w:val="bg-BG" w:eastAsia="en-US"/>
              </w:rPr>
              <w:t>/актуализиране</w:t>
            </w:r>
            <w:r w:rsidR="000F63F3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на </w:t>
            </w:r>
            <w:r w:rsidR="00D84AF1">
              <w:rPr>
                <w:rFonts w:eastAsia="Calibri"/>
                <w:bCs/>
                <w:sz w:val="24"/>
                <w:szCs w:val="24"/>
                <w:lang w:val="bg-BG" w:eastAsia="en-US"/>
              </w:rPr>
              <w:t>П</w:t>
            </w:r>
            <w:r w:rsidR="00864ACD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лан</w:t>
            </w:r>
            <w:r w:rsidR="000F63F3" w:rsidRP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за управление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  <w:p w14:paraId="34FBF4FD" w14:textId="6066A82C" w:rsidR="006328DF" w:rsidRPr="00642250" w:rsidRDefault="006328DF" w:rsidP="006328DF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6328D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Организация и управление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, к</w:t>
            </w:r>
            <w:r w:rsidRPr="006328DF">
              <w:rPr>
                <w:rFonts w:eastAsia="Calibri"/>
                <w:bCs/>
                <w:sz w:val="24"/>
                <w:szCs w:val="24"/>
                <w:lang w:val="bg-BG" w:eastAsia="en-US"/>
              </w:rPr>
              <w:t>омуникация и видимост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, п</w:t>
            </w:r>
            <w:r w:rsidRPr="006328DF">
              <w:rPr>
                <w:rFonts w:eastAsia="Calibri"/>
                <w:bCs/>
                <w:sz w:val="24"/>
                <w:szCs w:val="24"/>
                <w:lang w:val="bg-BG" w:eastAsia="en-US"/>
              </w:rPr>
              <w:t>одготовка на документация за възлагане на обществени поръчки</w:t>
            </w:r>
          </w:p>
        </w:tc>
      </w:tr>
      <w:tr w:rsidR="00150181" w:rsidRPr="00275456" w14:paraId="0F3E09F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930BF4" w14:textId="46964EB2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3B37F06" w14:textId="77777777" w:rsidR="009C5035" w:rsidRP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услуги;</w:t>
            </w:r>
          </w:p>
          <w:p w14:paraId="281CDFA6" w14:textId="77777777" w:rsidR="009C5035" w:rsidRP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персонал;</w:t>
            </w:r>
          </w:p>
          <w:p w14:paraId="76BCAE4E" w14:textId="2982F36F" w:rsid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такси;</w:t>
            </w:r>
          </w:p>
          <w:p w14:paraId="1FC1BC92" w14:textId="4FC9FE49" w:rsidR="00D84AF1" w:rsidRPr="009C5035" w:rsidRDefault="00D84AF1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материали;</w:t>
            </w:r>
          </w:p>
          <w:p w14:paraId="74CE7992" w14:textId="2F0D861B" w:rsidR="009C5035" w:rsidRP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lastRenderedPageBreak/>
              <w:t xml:space="preserve">- </w:t>
            </w:r>
            <w:bookmarkStart w:id="11" w:name="_Hlk163833159"/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Разходи за провеждане и участие в мероприятия</w:t>
            </w:r>
            <w:bookmarkEnd w:id="11"/>
            <w:r w:rsid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301ACD2D" w14:textId="40B04D67" w:rsidR="00046B3A" w:rsidRPr="000A775B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="00EB2AE4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Непреки разходи – в т.ч. разходи за организация и управление, разходи за информация и комуникация на проекта</w:t>
            </w:r>
            <w:r w:rsidR="001E3648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, разходи за разработване на тръжни </w:t>
            </w:r>
            <w:r w:rsidR="00642250">
              <w:rPr>
                <w:rFonts w:eastAsia="Calibri"/>
                <w:bCs/>
                <w:sz w:val="24"/>
                <w:szCs w:val="24"/>
                <w:lang w:val="bg-BG" w:eastAsia="en-US"/>
              </w:rPr>
              <w:t>документи</w:t>
            </w: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tr w:rsidR="00885786" w:rsidRPr="00275456" w14:paraId="687A6E87" w14:textId="77777777" w:rsidTr="0076658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237D422" w14:textId="19F6C71C" w:rsidR="00885786" w:rsidRPr="00885786" w:rsidRDefault="00885786" w:rsidP="00ED475F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Други изи</w:t>
            </w:r>
            <w:r w:rsidR="003B065D">
              <w:rPr>
                <w:sz w:val="24"/>
                <w:szCs w:val="24"/>
                <w:lang w:val="bg-BG"/>
              </w:rPr>
              <w:t>с</w:t>
            </w:r>
            <w:r>
              <w:rPr>
                <w:sz w:val="24"/>
                <w:szCs w:val="24"/>
                <w:lang w:val="bg-BG"/>
              </w:rPr>
              <w:t>квания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C76D9E1" w14:textId="77777777" w:rsidR="00885786" w:rsidRDefault="00885786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Всички планове за управление по процедурата следва да бъдат разработени съгласно утвърдените от министъра на околната среда и водите задания (приложение към Условията за кандидатстване по процедурата)</w:t>
            </w:r>
            <w:r w:rsidR="00642250">
              <w:rPr>
                <w:sz w:val="24"/>
                <w:szCs w:val="24"/>
                <w:lang w:val="bg-BG"/>
              </w:rPr>
              <w:t>.</w:t>
            </w:r>
          </w:p>
          <w:p w14:paraId="22D1DF90" w14:textId="0271388E" w:rsidR="00690823" w:rsidRDefault="00642250" w:rsidP="00690823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Успешното приключване на проекта е обвързано с приемането на разработени</w:t>
            </w:r>
            <w:r w:rsidR="00690823">
              <w:rPr>
                <w:sz w:val="24"/>
                <w:szCs w:val="24"/>
                <w:lang w:val="bg-BG"/>
              </w:rPr>
              <w:t>те</w:t>
            </w:r>
            <w:r>
              <w:rPr>
                <w:sz w:val="24"/>
                <w:szCs w:val="24"/>
                <w:lang w:val="bg-BG"/>
              </w:rPr>
              <w:t xml:space="preserve"> план</w:t>
            </w:r>
            <w:r w:rsidR="00690823">
              <w:rPr>
                <w:sz w:val="24"/>
                <w:szCs w:val="24"/>
                <w:lang w:val="bg-BG"/>
              </w:rPr>
              <w:t>ове</w:t>
            </w:r>
            <w:r>
              <w:rPr>
                <w:sz w:val="24"/>
                <w:szCs w:val="24"/>
                <w:lang w:val="bg-BG"/>
              </w:rPr>
              <w:t xml:space="preserve"> за управление </w:t>
            </w:r>
            <w:r w:rsidR="00690823">
              <w:rPr>
                <w:sz w:val="24"/>
                <w:szCs w:val="24"/>
                <w:lang w:val="bg-BG"/>
              </w:rPr>
              <w:t xml:space="preserve">на природни паркове </w:t>
            </w:r>
            <w:r>
              <w:rPr>
                <w:sz w:val="24"/>
                <w:szCs w:val="24"/>
                <w:lang w:val="bg-BG"/>
              </w:rPr>
              <w:t>от Висшия екологичен експертен съвет и отразяването на получените бележки, което се удостоверява със становище на компетентната дирекция „Национална служба за защита на природата“ в МОСВ.</w:t>
            </w:r>
            <w:r w:rsidR="00434542">
              <w:rPr>
                <w:sz w:val="24"/>
                <w:szCs w:val="24"/>
                <w:lang w:val="bg-BG"/>
              </w:rPr>
              <w:t xml:space="preserve"> </w:t>
            </w:r>
            <w:r w:rsidR="00690823">
              <w:rPr>
                <w:sz w:val="24"/>
                <w:szCs w:val="24"/>
                <w:lang w:val="bg-BG"/>
              </w:rPr>
              <w:t>П</w:t>
            </w:r>
            <w:r w:rsidR="00690823" w:rsidRPr="00690823">
              <w:rPr>
                <w:sz w:val="24"/>
                <w:szCs w:val="24"/>
                <w:lang w:val="bg-BG"/>
              </w:rPr>
              <w:t>лановете за управление на резерватите и поддържаните резервати</w:t>
            </w:r>
            <w:r w:rsidR="00690823">
              <w:rPr>
                <w:sz w:val="24"/>
                <w:szCs w:val="24"/>
                <w:lang w:val="bg-BG"/>
              </w:rPr>
              <w:t xml:space="preserve"> не се разглеждат и приемат от ВЕЕС</w:t>
            </w:r>
            <w:r w:rsidR="00690823" w:rsidRPr="00690823">
              <w:rPr>
                <w:sz w:val="24"/>
                <w:szCs w:val="24"/>
                <w:lang w:val="bg-BG"/>
              </w:rPr>
              <w:t>,</w:t>
            </w:r>
            <w:r w:rsidR="00690823">
              <w:rPr>
                <w:sz w:val="24"/>
                <w:szCs w:val="24"/>
                <w:lang w:val="bg-BG"/>
              </w:rPr>
              <w:t xml:space="preserve"> поради което за тях успешното приключване на </w:t>
            </w:r>
            <w:proofErr w:type="spellStart"/>
            <w:r w:rsidR="00690823">
              <w:rPr>
                <w:sz w:val="24"/>
                <w:szCs w:val="24"/>
                <w:lang w:val="bg-BG"/>
              </w:rPr>
              <w:t>поректа</w:t>
            </w:r>
            <w:proofErr w:type="spellEnd"/>
            <w:r w:rsidR="00690823">
              <w:rPr>
                <w:sz w:val="24"/>
                <w:szCs w:val="24"/>
                <w:lang w:val="bg-BG"/>
              </w:rPr>
              <w:t xml:space="preserve"> е обвързано с издаването на заповед на </w:t>
            </w:r>
            <w:r w:rsidR="00690823" w:rsidRPr="00690823">
              <w:rPr>
                <w:sz w:val="24"/>
                <w:szCs w:val="24"/>
                <w:lang w:val="bg-BG"/>
              </w:rPr>
              <w:t xml:space="preserve">МОСВ за утвърждаване на плана. </w:t>
            </w:r>
          </w:p>
        </w:tc>
      </w:tr>
      <w:tr w:rsidR="00150181" w:rsidRPr="00055808" w14:paraId="4DC2FE12" w14:textId="77777777" w:rsidTr="0076658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A123C86" w14:textId="77777777" w:rsidR="00150181" w:rsidRPr="00CF190D" w:rsidRDefault="00150181" w:rsidP="00ED475F">
            <w:pPr>
              <w:rPr>
                <w:sz w:val="24"/>
                <w:szCs w:val="24"/>
                <w:lang w:val="bg-BG"/>
              </w:rPr>
            </w:pPr>
            <w:r w:rsidRPr="00CF190D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8A8C610" w14:textId="051F4C6A" w:rsidR="00150181" w:rsidRPr="00CF190D" w:rsidRDefault="00FA7075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36</w:t>
            </w:r>
            <w:r w:rsidR="002457E1" w:rsidRPr="00CF190D">
              <w:rPr>
                <w:sz w:val="24"/>
                <w:szCs w:val="24"/>
                <w:lang w:val="bg-BG"/>
              </w:rPr>
              <w:t xml:space="preserve"> </w:t>
            </w:r>
            <w:r w:rsidR="00B415BF" w:rsidRPr="00CF190D">
              <w:rPr>
                <w:sz w:val="24"/>
                <w:szCs w:val="24"/>
                <w:lang w:val="bg-BG"/>
              </w:rPr>
              <w:t>месеца</w:t>
            </w:r>
          </w:p>
        </w:tc>
      </w:tr>
      <w:tr w:rsidR="00150181" w:rsidRPr="00275456" w14:paraId="1D01A71C" w14:textId="77777777" w:rsidTr="001E3648">
        <w:trPr>
          <w:trHeight w:val="87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C99E376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6B8076C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275456" w14:paraId="79BF9554" w14:textId="77777777" w:rsidTr="00766587">
        <w:trPr>
          <w:trHeight w:val="60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96DE706" w14:textId="0F55DA2F" w:rsidR="00150181" w:rsidRPr="00055808" w:rsidRDefault="00150181" w:rsidP="003E60AB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proofErr w:type="spellEnd"/>
            <w:r w:rsidR="007D42D7">
              <w:rPr>
                <w:sz w:val="24"/>
                <w:szCs w:val="24"/>
                <w:lang w:val="en-US"/>
              </w:rPr>
              <w:t>o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 w:rsidR="007D42D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DF060D5" w14:textId="13FE61A9" w:rsidR="00CF190D" w:rsidRPr="00E46E55" w:rsidRDefault="005A0078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EB2AE4">
              <w:rPr>
                <w:sz w:val="24"/>
                <w:szCs w:val="24"/>
                <w:lang w:val="bg-BG"/>
              </w:rPr>
              <w:t>4</w:t>
            </w:r>
            <w:r w:rsidR="009E1F6B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месеца </w:t>
            </w:r>
            <w:r w:rsidR="004500CA">
              <w:rPr>
                <w:sz w:val="24"/>
                <w:szCs w:val="24"/>
                <w:lang w:val="bg-BG"/>
              </w:rPr>
              <w:t>от</w:t>
            </w:r>
            <w:r w:rsidR="004500CA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датата на </w:t>
            </w:r>
            <w:r w:rsidR="00EE2087">
              <w:rPr>
                <w:sz w:val="24"/>
                <w:szCs w:val="24"/>
                <w:lang w:val="bg-BG"/>
              </w:rPr>
              <w:t xml:space="preserve"> </w:t>
            </w:r>
            <w:r w:rsidR="00A34777">
              <w:rPr>
                <w:sz w:val="24"/>
                <w:szCs w:val="24"/>
                <w:lang w:val="bg-BG"/>
              </w:rPr>
              <w:t xml:space="preserve">публикуване на </w:t>
            </w:r>
            <w:r w:rsidR="00EE2087">
              <w:rPr>
                <w:sz w:val="24"/>
                <w:szCs w:val="24"/>
                <w:lang w:val="bg-BG"/>
              </w:rPr>
              <w:t>обявата</w:t>
            </w:r>
            <w:r w:rsidR="00ED475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45D0C26F" w14:textId="77777777" w:rsidR="000B5481" w:rsidRPr="000B5481" w:rsidRDefault="000B5481" w:rsidP="000B5481">
      <w:pPr>
        <w:rPr>
          <w:b/>
          <w:sz w:val="24"/>
          <w:szCs w:val="24"/>
          <w:lang w:val="bg-BG"/>
        </w:rPr>
      </w:pPr>
    </w:p>
    <w:p w14:paraId="74BFED2B" w14:textId="77777777" w:rsidR="00C43636" w:rsidRDefault="00C43636" w:rsidP="006B424A">
      <w:pPr>
        <w:jc w:val="both"/>
        <w:rPr>
          <w:b/>
          <w:sz w:val="24"/>
          <w:szCs w:val="24"/>
          <w:lang w:val="bg-BG"/>
        </w:rPr>
      </w:pPr>
    </w:p>
    <w:sectPr w:rsidR="00C43636" w:rsidSect="00604700">
      <w:footerReference w:type="default" r:id="rId8"/>
      <w:headerReference w:type="first" r:id="rId9"/>
      <w:footerReference w:type="first" r:id="rId10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DF01" w14:textId="77777777" w:rsidR="00A71E81" w:rsidRDefault="00A71E81">
      <w:r>
        <w:separator/>
      </w:r>
    </w:p>
  </w:endnote>
  <w:endnote w:type="continuationSeparator" w:id="0">
    <w:p w14:paraId="61EA513C" w14:textId="77777777" w:rsidR="00A71E81" w:rsidRDefault="00A7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A717" w14:textId="5B9D4E41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34283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34283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99CCE4A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FBFD" w14:textId="3E33325E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34283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34283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F312254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2B7C" w14:textId="77777777" w:rsidR="00A71E81" w:rsidRDefault="00A71E81">
      <w:r>
        <w:separator/>
      </w:r>
    </w:p>
  </w:footnote>
  <w:footnote w:type="continuationSeparator" w:id="0">
    <w:p w14:paraId="4528E10A" w14:textId="77777777" w:rsidR="00A71E81" w:rsidRDefault="00A71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551C931E" w14:textId="77777777" w:rsidTr="008A46FA">
      <w:tc>
        <w:tcPr>
          <w:tcW w:w="1694" w:type="pct"/>
          <w:shd w:val="clear" w:color="auto" w:fill="auto"/>
        </w:tcPr>
        <w:p w14:paraId="7AB2B4D4" w14:textId="3D720B20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15B5516" wp14:editId="1F3488D5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34D010DE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2D23E533" w14:textId="790331C1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7DBE4E4" wp14:editId="536F89B8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44CB94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4FD"/>
    <w:multiLevelType w:val="hybridMultilevel"/>
    <w:tmpl w:val="F62E0C96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70470"/>
    <w:multiLevelType w:val="hybridMultilevel"/>
    <w:tmpl w:val="BC0EFA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E5E64"/>
    <w:multiLevelType w:val="hybridMultilevel"/>
    <w:tmpl w:val="BB786E4C"/>
    <w:lvl w:ilvl="0" w:tplc="6B72565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05A6D"/>
    <w:multiLevelType w:val="hybridMultilevel"/>
    <w:tmpl w:val="960822C6"/>
    <w:lvl w:ilvl="0" w:tplc="779CF7C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AB474B"/>
    <w:multiLevelType w:val="hybridMultilevel"/>
    <w:tmpl w:val="8050E7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D0F06"/>
    <w:multiLevelType w:val="hybridMultilevel"/>
    <w:tmpl w:val="FC34E454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99921">
    <w:abstractNumId w:val="3"/>
  </w:num>
  <w:num w:numId="2" w16cid:durableId="1798135874">
    <w:abstractNumId w:val="8"/>
  </w:num>
  <w:num w:numId="3" w16cid:durableId="1732457041">
    <w:abstractNumId w:val="7"/>
  </w:num>
  <w:num w:numId="4" w16cid:durableId="853498659">
    <w:abstractNumId w:val="5"/>
  </w:num>
  <w:num w:numId="5" w16cid:durableId="772358968">
    <w:abstractNumId w:val="2"/>
  </w:num>
  <w:num w:numId="6" w16cid:durableId="105269714">
    <w:abstractNumId w:val="0"/>
  </w:num>
  <w:num w:numId="7" w16cid:durableId="1630286445">
    <w:abstractNumId w:val="6"/>
  </w:num>
  <w:num w:numId="8" w16cid:durableId="603000186">
    <w:abstractNumId w:val="1"/>
  </w:num>
  <w:num w:numId="9" w16cid:durableId="10079482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89C"/>
    <w:rsid w:val="00016BCD"/>
    <w:rsid w:val="00016EB6"/>
    <w:rsid w:val="00020A90"/>
    <w:rsid w:val="00021B6B"/>
    <w:rsid w:val="00021D8E"/>
    <w:rsid w:val="00024145"/>
    <w:rsid w:val="00025349"/>
    <w:rsid w:val="00025AA4"/>
    <w:rsid w:val="000270EE"/>
    <w:rsid w:val="00033472"/>
    <w:rsid w:val="00035678"/>
    <w:rsid w:val="000365B0"/>
    <w:rsid w:val="00037173"/>
    <w:rsid w:val="000377A6"/>
    <w:rsid w:val="00041F17"/>
    <w:rsid w:val="000428F0"/>
    <w:rsid w:val="00042C49"/>
    <w:rsid w:val="0004413A"/>
    <w:rsid w:val="00044566"/>
    <w:rsid w:val="000468BC"/>
    <w:rsid w:val="00046ADB"/>
    <w:rsid w:val="00046B3A"/>
    <w:rsid w:val="00046ECD"/>
    <w:rsid w:val="0004729F"/>
    <w:rsid w:val="00050CC7"/>
    <w:rsid w:val="00051168"/>
    <w:rsid w:val="00051BD7"/>
    <w:rsid w:val="00052DC6"/>
    <w:rsid w:val="00056BCE"/>
    <w:rsid w:val="000577AA"/>
    <w:rsid w:val="000579F7"/>
    <w:rsid w:val="00057ED7"/>
    <w:rsid w:val="000603D6"/>
    <w:rsid w:val="000608FF"/>
    <w:rsid w:val="0006114C"/>
    <w:rsid w:val="00062378"/>
    <w:rsid w:val="00063A6A"/>
    <w:rsid w:val="00064007"/>
    <w:rsid w:val="00065E60"/>
    <w:rsid w:val="00070B44"/>
    <w:rsid w:val="00070D87"/>
    <w:rsid w:val="00070DC3"/>
    <w:rsid w:val="00073EF0"/>
    <w:rsid w:val="00074643"/>
    <w:rsid w:val="000747D1"/>
    <w:rsid w:val="00074C3F"/>
    <w:rsid w:val="000762BD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481"/>
    <w:rsid w:val="000B5A2E"/>
    <w:rsid w:val="000B7A99"/>
    <w:rsid w:val="000C15C1"/>
    <w:rsid w:val="000C202A"/>
    <w:rsid w:val="000C35EB"/>
    <w:rsid w:val="000C4107"/>
    <w:rsid w:val="000C475E"/>
    <w:rsid w:val="000C47FC"/>
    <w:rsid w:val="000C4DC4"/>
    <w:rsid w:val="000C536A"/>
    <w:rsid w:val="000C63EA"/>
    <w:rsid w:val="000C6AF1"/>
    <w:rsid w:val="000D03C0"/>
    <w:rsid w:val="000D173D"/>
    <w:rsid w:val="000D1D58"/>
    <w:rsid w:val="000D2D90"/>
    <w:rsid w:val="000D3D8E"/>
    <w:rsid w:val="000D5B06"/>
    <w:rsid w:val="000D5D6F"/>
    <w:rsid w:val="000D66FF"/>
    <w:rsid w:val="000D6988"/>
    <w:rsid w:val="000D6A59"/>
    <w:rsid w:val="000D706C"/>
    <w:rsid w:val="000E3696"/>
    <w:rsid w:val="000E50C1"/>
    <w:rsid w:val="000E546D"/>
    <w:rsid w:val="000E5517"/>
    <w:rsid w:val="000E7979"/>
    <w:rsid w:val="000E7FE8"/>
    <w:rsid w:val="000F16D9"/>
    <w:rsid w:val="000F42E1"/>
    <w:rsid w:val="000F63F3"/>
    <w:rsid w:val="000F69E4"/>
    <w:rsid w:val="000F713C"/>
    <w:rsid w:val="0010086E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40B4"/>
    <w:rsid w:val="001142C9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AF"/>
    <w:rsid w:val="001307EE"/>
    <w:rsid w:val="001315DE"/>
    <w:rsid w:val="0013167F"/>
    <w:rsid w:val="00133462"/>
    <w:rsid w:val="00134223"/>
    <w:rsid w:val="00135340"/>
    <w:rsid w:val="00136A1F"/>
    <w:rsid w:val="00136FE9"/>
    <w:rsid w:val="001409A8"/>
    <w:rsid w:val="00141F09"/>
    <w:rsid w:val="0014327E"/>
    <w:rsid w:val="00143881"/>
    <w:rsid w:val="001448B2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009F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738FD"/>
    <w:rsid w:val="0018013C"/>
    <w:rsid w:val="001809CA"/>
    <w:rsid w:val="00180AB3"/>
    <w:rsid w:val="00180E0E"/>
    <w:rsid w:val="00180E8B"/>
    <w:rsid w:val="00182A94"/>
    <w:rsid w:val="00183CA6"/>
    <w:rsid w:val="001851CB"/>
    <w:rsid w:val="0018683B"/>
    <w:rsid w:val="00186A6C"/>
    <w:rsid w:val="00186A88"/>
    <w:rsid w:val="00187CAB"/>
    <w:rsid w:val="00191232"/>
    <w:rsid w:val="00191715"/>
    <w:rsid w:val="00192316"/>
    <w:rsid w:val="001929ED"/>
    <w:rsid w:val="00193577"/>
    <w:rsid w:val="00193965"/>
    <w:rsid w:val="00194023"/>
    <w:rsid w:val="0019427C"/>
    <w:rsid w:val="001947DC"/>
    <w:rsid w:val="0019773A"/>
    <w:rsid w:val="001A023D"/>
    <w:rsid w:val="001A0C43"/>
    <w:rsid w:val="001A0F91"/>
    <w:rsid w:val="001A1219"/>
    <w:rsid w:val="001A26BF"/>
    <w:rsid w:val="001A2B3B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3EF3"/>
    <w:rsid w:val="001B5815"/>
    <w:rsid w:val="001B6B85"/>
    <w:rsid w:val="001C06FE"/>
    <w:rsid w:val="001C1213"/>
    <w:rsid w:val="001C38F2"/>
    <w:rsid w:val="001C437C"/>
    <w:rsid w:val="001C50C9"/>
    <w:rsid w:val="001C52DA"/>
    <w:rsid w:val="001C65DC"/>
    <w:rsid w:val="001D0217"/>
    <w:rsid w:val="001D0652"/>
    <w:rsid w:val="001D2018"/>
    <w:rsid w:val="001D37D1"/>
    <w:rsid w:val="001D5765"/>
    <w:rsid w:val="001D6228"/>
    <w:rsid w:val="001D6CDE"/>
    <w:rsid w:val="001D7361"/>
    <w:rsid w:val="001E0B23"/>
    <w:rsid w:val="001E1128"/>
    <w:rsid w:val="001E1CFB"/>
    <w:rsid w:val="001E2660"/>
    <w:rsid w:val="001E3648"/>
    <w:rsid w:val="001E4F8F"/>
    <w:rsid w:val="001E5AB2"/>
    <w:rsid w:val="001E600D"/>
    <w:rsid w:val="001E6584"/>
    <w:rsid w:val="001E7DA7"/>
    <w:rsid w:val="001E7EAE"/>
    <w:rsid w:val="001F00B9"/>
    <w:rsid w:val="001F1D4C"/>
    <w:rsid w:val="001F57EE"/>
    <w:rsid w:val="001F5BA3"/>
    <w:rsid w:val="001F6052"/>
    <w:rsid w:val="001F6B1A"/>
    <w:rsid w:val="00201C69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0A6F"/>
    <w:rsid w:val="00222C09"/>
    <w:rsid w:val="00222CBE"/>
    <w:rsid w:val="00223A2C"/>
    <w:rsid w:val="002244F4"/>
    <w:rsid w:val="00224BA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9D1"/>
    <w:rsid w:val="00243AAA"/>
    <w:rsid w:val="00243D56"/>
    <w:rsid w:val="00243F72"/>
    <w:rsid w:val="0024477A"/>
    <w:rsid w:val="002457E1"/>
    <w:rsid w:val="00245B04"/>
    <w:rsid w:val="00245CC0"/>
    <w:rsid w:val="00247811"/>
    <w:rsid w:val="00250CEB"/>
    <w:rsid w:val="002519F5"/>
    <w:rsid w:val="00252D92"/>
    <w:rsid w:val="00254851"/>
    <w:rsid w:val="00254F2A"/>
    <w:rsid w:val="00255417"/>
    <w:rsid w:val="00255A20"/>
    <w:rsid w:val="00256D6E"/>
    <w:rsid w:val="00257E8B"/>
    <w:rsid w:val="002609C2"/>
    <w:rsid w:val="00260E2A"/>
    <w:rsid w:val="00263374"/>
    <w:rsid w:val="00263CD9"/>
    <w:rsid w:val="00265803"/>
    <w:rsid w:val="00265D7E"/>
    <w:rsid w:val="00267058"/>
    <w:rsid w:val="00267BFB"/>
    <w:rsid w:val="002723F9"/>
    <w:rsid w:val="00273D08"/>
    <w:rsid w:val="00275456"/>
    <w:rsid w:val="00275963"/>
    <w:rsid w:val="002775B4"/>
    <w:rsid w:val="002779A2"/>
    <w:rsid w:val="002810FD"/>
    <w:rsid w:val="00281B94"/>
    <w:rsid w:val="002844B7"/>
    <w:rsid w:val="002853CC"/>
    <w:rsid w:val="0028622A"/>
    <w:rsid w:val="00287712"/>
    <w:rsid w:val="002939EE"/>
    <w:rsid w:val="002957B4"/>
    <w:rsid w:val="002A564A"/>
    <w:rsid w:val="002A639E"/>
    <w:rsid w:val="002A6C3F"/>
    <w:rsid w:val="002B0C7D"/>
    <w:rsid w:val="002B1FA1"/>
    <w:rsid w:val="002B20F4"/>
    <w:rsid w:val="002B4429"/>
    <w:rsid w:val="002B4BA8"/>
    <w:rsid w:val="002B4C9A"/>
    <w:rsid w:val="002B6A73"/>
    <w:rsid w:val="002B7487"/>
    <w:rsid w:val="002B77C7"/>
    <w:rsid w:val="002B78C2"/>
    <w:rsid w:val="002C0816"/>
    <w:rsid w:val="002C1034"/>
    <w:rsid w:val="002C14AA"/>
    <w:rsid w:val="002C2452"/>
    <w:rsid w:val="002C2E15"/>
    <w:rsid w:val="002C4617"/>
    <w:rsid w:val="002C63C3"/>
    <w:rsid w:val="002C6E24"/>
    <w:rsid w:val="002C73BE"/>
    <w:rsid w:val="002D6543"/>
    <w:rsid w:val="002D73CE"/>
    <w:rsid w:val="002D7EA7"/>
    <w:rsid w:val="002E4120"/>
    <w:rsid w:val="002E413C"/>
    <w:rsid w:val="002E421F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A9A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237"/>
    <w:rsid w:val="00310445"/>
    <w:rsid w:val="0031083B"/>
    <w:rsid w:val="00310A78"/>
    <w:rsid w:val="00316625"/>
    <w:rsid w:val="00320EA9"/>
    <w:rsid w:val="00321AAA"/>
    <w:rsid w:val="00322505"/>
    <w:rsid w:val="00327908"/>
    <w:rsid w:val="00330297"/>
    <w:rsid w:val="003322D3"/>
    <w:rsid w:val="00333425"/>
    <w:rsid w:val="00333497"/>
    <w:rsid w:val="00334DD2"/>
    <w:rsid w:val="0033778E"/>
    <w:rsid w:val="0034133E"/>
    <w:rsid w:val="00341C5C"/>
    <w:rsid w:val="0034283C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4F31"/>
    <w:rsid w:val="00355C2C"/>
    <w:rsid w:val="00360390"/>
    <w:rsid w:val="0036150F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66E6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65D"/>
    <w:rsid w:val="003B0D0C"/>
    <w:rsid w:val="003B124B"/>
    <w:rsid w:val="003B2F5E"/>
    <w:rsid w:val="003B398F"/>
    <w:rsid w:val="003B506D"/>
    <w:rsid w:val="003C1BD6"/>
    <w:rsid w:val="003C32DB"/>
    <w:rsid w:val="003C35F7"/>
    <w:rsid w:val="003C3A0B"/>
    <w:rsid w:val="003C3B6E"/>
    <w:rsid w:val="003C3CE5"/>
    <w:rsid w:val="003C3EFC"/>
    <w:rsid w:val="003C63FC"/>
    <w:rsid w:val="003D4571"/>
    <w:rsid w:val="003D4EA5"/>
    <w:rsid w:val="003D6356"/>
    <w:rsid w:val="003D70E7"/>
    <w:rsid w:val="003E00AF"/>
    <w:rsid w:val="003E0266"/>
    <w:rsid w:val="003E0EB8"/>
    <w:rsid w:val="003E2673"/>
    <w:rsid w:val="003E2981"/>
    <w:rsid w:val="003E41D7"/>
    <w:rsid w:val="003E5FDD"/>
    <w:rsid w:val="003E60AB"/>
    <w:rsid w:val="003E640C"/>
    <w:rsid w:val="003E6EE1"/>
    <w:rsid w:val="003F1C65"/>
    <w:rsid w:val="003F53EE"/>
    <w:rsid w:val="003F53F8"/>
    <w:rsid w:val="003F585C"/>
    <w:rsid w:val="003F62A6"/>
    <w:rsid w:val="003F72D5"/>
    <w:rsid w:val="00400271"/>
    <w:rsid w:val="004005CC"/>
    <w:rsid w:val="00400B91"/>
    <w:rsid w:val="00400EBD"/>
    <w:rsid w:val="0040160A"/>
    <w:rsid w:val="00401B8C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63"/>
    <w:rsid w:val="004246C7"/>
    <w:rsid w:val="00424AC1"/>
    <w:rsid w:val="00426A07"/>
    <w:rsid w:val="00430CB3"/>
    <w:rsid w:val="00434542"/>
    <w:rsid w:val="00435316"/>
    <w:rsid w:val="004365D7"/>
    <w:rsid w:val="0043693A"/>
    <w:rsid w:val="0043698F"/>
    <w:rsid w:val="004375EA"/>
    <w:rsid w:val="00441F15"/>
    <w:rsid w:val="004469A4"/>
    <w:rsid w:val="0044798E"/>
    <w:rsid w:val="004500CA"/>
    <w:rsid w:val="004502DB"/>
    <w:rsid w:val="00450CF9"/>
    <w:rsid w:val="00452684"/>
    <w:rsid w:val="00453F55"/>
    <w:rsid w:val="00455349"/>
    <w:rsid w:val="00456A6E"/>
    <w:rsid w:val="00460A97"/>
    <w:rsid w:val="00461567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3D21"/>
    <w:rsid w:val="00484727"/>
    <w:rsid w:val="00485CE0"/>
    <w:rsid w:val="00486802"/>
    <w:rsid w:val="00486FE9"/>
    <w:rsid w:val="0049128F"/>
    <w:rsid w:val="004971B0"/>
    <w:rsid w:val="004A012F"/>
    <w:rsid w:val="004A04C4"/>
    <w:rsid w:val="004A08A4"/>
    <w:rsid w:val="004A172E"/>
    <w:rsid w:val="004A1978"/>
    <w:rsid w:val="004A1A46"/>
    <w:rsid w:val="004A2A65"/>
    <w:rsid w:val="004A2C81"/>
    <w:rsid w:val="004A4446"/>
    <w:rsid w:val="004A4C65"/>
    <w:rsid w:val="004A4CDF"/>
    <w:rsid w:val="004A625B"/>
    <w:rsid w:val="004A6DF7"/>
    <w:rsid w:val="004A7757"/>
    <w:rsid w:val="004A7ECB"/>
    <w:rsid w:val="004B0A8D"/>
    <w:rsid w:val="004B1B00"/>
    <w:rsid w:val="004B1DC4"/>
    <w:rsid w:val="004B379B"/>
    <w:rsid w:val="004B3820"/>
    <w:rsid w:val="004B4368"/>
    <w:rsid w:val="004B4C76"/>
    <w:rsid w:val="004B516D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5AFC"/>
    <w:rsid w:val="004E7864"/>
    <w:rsid w:val="004E7BA6"/>
    <w:rsid w:val="004F1470"/>
    <w:rsid w:val="004F1E41"/>
    <w:rsid w:val="004F3674"/>
    <w:rsid w:val="004F7532"/>
    <w:rsid w:val="005015AD"/>
    <w:rsid w:val="005018A0"/>
    <w:rsid w:val="00501967"/>
    <w:rsid w:val="005045F0"/>
    <w:rsid w:val="00504CC1"/>
    <w:rsid w:val="005058C2"/>
    <w:rsid w:val="00505A08"/>
    <w:rsid w:val="00506535"/>
    <w:rsid w:val="00512229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3017D"/>
    <w:rsid w:val="00530542"/>
    <w:rsid w:val="0053251F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6E6A"/>
    <w:rsid w:val="00557467"/>
    <w:rsid w:val="005615E9"/>
    <w:rsid w:val="00562C3C"/>
    <w:rsid w:val="0056318A"/>
    <w:rsid w:val="00563788"/>
    <w:rsid w:val="00564995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4C67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90319"/>
    <w:rsid w:val="00591854"/>
    <w:rsid w:val="00591AC0"/>
    <w:rsid w:val="00593126"/>
    <w:rsid w:val="0059345D"/>
    <w:rsid w:val="00593A5D"/>
    <w:rsid w:val="00594543"/>
    <w:rsid w:val="005948B8"/>
    <w:rsid w:val="00594F85"/>
    <w:rsid w:val="005953B4"/>
    <w:rsid w:val="00595CFE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C0AD5"/>
    <w:rsid w:val="005C1290"/>
    <w:rsid w:val="005C1F65"/>
    <w:rsid w:val="005C3D8C"/>
    <w:rsid w:val="005C4DF4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4AAD"/>
    <w:rsid w:val="005E7231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908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8DF"/>
    <w:rsid w:val="00632BC6"/>
    <w:rsid w:val="00634D02"/>
    <w:rsid w:val="006364B3"/>
    <w:rsid w:val="00640A91"/>
    <w:rsid w:val="00640B3C"/>
    <w:rsid w:val="00641EA1"/>
    <w:rsid w:val="00642043"/>
    <w:rsid w:val="00642250"/>
    <w:rsid w:val="0064253C"/>
    <w:rsid w:val="00642920"/>
    <w:rsid w:val="00643FB5"/>
    <w:rsid w:val="0064420D"/>
    <w:rsid w:val="0064478C"/>
    <w:rsid w:val="006461CA"/>
    <w:rsid w:val="00646400"/>
    <w:rsid w:val="006471E6"/>
    <w:rsid w:val="00647640"/>
    <w:rsid w:val="006508C0"/>
    <w:rsid w:val="0065137C"/>
    <w:rsid w:val="006525B7"/>
    <w:rsid w:val="0065442E"/>
    <w:rsid w:val="006569B3"/>
    <w:rsid w:val="00660DC4"/>
    <w:rsid w:val="00662D53"/>
    <w:rsid w:val="006668DB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823"/>
    <w:rsid w:val="00690F1C"/>
    <w:rsid w:val="006924E7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A96"/>
    <w:rsid w:val="006E6F1A"/>
    <w:rsid w:val="006E732E"/>
    <w:rsid w:val="006E747C"/>
    <w:rsid w:val="006E7FE1"/>
    <w:rsid w:val="006F0119"/>
    <w:rsid w:val="006F091F"/>
    <w:rsid w:val="006F207B"/>
    <w:rsid w:val="006F27AA"/>
    <w:rsid w:val="006F3402"/>
    <w:rsid w:val="006F3CFE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60EB"/>
    <w:rsid w:val="007373E7"/>
    <w:rsid w:val="00737546"/>
    <w:rsid w:val="00740459"/>
    <w:rsid w:val="00743C52"/>
    <w:rsid w:val="00744625"/>
    <w:rsid w:val="00745946"/>
    <w:rsid w:val="00746187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28DE"/>
    <w:rsid w:val="00763BEB"/>
    <w:rsid w:val="00763D69"/>
    <w:rsid w:val="00765AA6"/>
    <w:rsid w:val="00765D30"/>
    <w:rsid w:val="00766587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5D58"/>
    <w:rsid w:val="007863B2"/>
    <w:rsid w:val="0079001A"/>
    <w:rsid w:val="0079072D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A7695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2175"/>
    <w:rsid w:val="00845F35"/>
    <w:rsid w:val="008524A9"/>
    <w:rsid w:val="008531A6"/>
    <w:rsid w:val="00854AF4"/>
    <w:rsid w:val="00860E77"/>
    <w:rsid w:val="00861386"/>
    <w:rsid w:val="008615B5"/>
    <w:rsid w:val="008615E7"/>
    <w:rsid w:val="008621FE"/>
    <w:rsid w:val="008637BC"/>
    <w:rsid w:val="00864ACD"/>
    <w:rsid w:val="00864B5F"/>
    <w:rsid w:val="00865940"/>
    <w:rsid w:val="00866CAC"/>
    <w:rsid w:val="008767BB"/>
    <w:rsid w:val="008811D2"/>
    <w:rsid w:val="008814B8"/>
    <w:rsid w:val="0088561B"/>
    <w:rsid w:val="00885786"/>
    <w:rsid w:val="00886D5F"/>
    <w:rsid w:val="00891348"/>
    <w:rsid w:val="008913B9"/>
    <w:rsid w:val="00892B05"/>
    <w:rsid w:val="00892C55"/>
    <w:rsid w:val="00893311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F96"/>
    <w:rsid w:val="008B0288"/>
    <w:rsid w:val="008B0916"/>
    <w:rsid w:val="008B1BE0"/>
    <w:rsid w:val="008B3509"/>
    <w:rsid w:val="008B50BE"/>
    <w:rsid w:val="008B5199"/>
    <w:rsid w:val="008B51EA"/>
    <w:rsid w:val="008B579F"/>
    <w:rsid w:val="008B748A"/>
    <w:rsid w:val="008C1A1D"/>
    <w:rsid w:val="008C44DD"/>
    <w:rsid w:val="008C67E0"/>
    <w:rsid w:val="008C6894"/>
    <w:rsid w:val="008C7351"/>
    <w:rsid w:val="008D0B55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9B4"/>
    <w:rsid w:val="008F3B5C"/>
    <w:rsid w:val="008F4131"/>
    <w:rsid w:val="008F4C37"/>
    <w:rsid w:val="008F52AA"/>
    <w:rsid w:val="008F5921"/>
    <w:rsid w:val="008F6110"/>
    <w:rsid w:val="008F63E3"/>
    <w:rsid w:val="008F6DF6"/>
    <w:rsid w:val="008F7A72"/>
    <w:rsid w:val="00900815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26BA"/>
    <w:rsid w:val="00924E5A"/>
    <w:rsid w:val="009252B7"/>
    <w:rsid w:val="0093020A"/>
    <w:rsid w:val="0093043A"/>
    <w:rsid w:val="00930670"/>
    <w:rsid w:val="009308AF"/>
    <w:rsid w:val="0093364A"/>
    <w:rsid w:val="009336E5"/>
    <w:rsid w:val="009344B0"/>
    <w:rsid w:val="00934922"/>
    <w:rsid w:val="009365E7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0C1A"/>
    <w:rsid w:val="00952C22"/>
    <w:rsid w:val="00953E19"/>
    <w:rsid w:val="00957C96"/>
    <w:rsid w:val="0096241E"/>
    <w:rsid w:val="009624D8"/>
    <w:rsid w:val="00962635"/>
    <w:rsid w:val="009655A5"/>
    <w:rsid w:val="009658E6"/>
    <w:rsid w:val="00965A3E"/>
    <w:rsid w:val="0096753E"/>
    <w:rsid w:val="009679D7"/>
    <w:rsid w:val="00967B36"/>
    <w:rsid w:val="00967FDB"/>
    <w:rsid w:val="00972FFB"/>
    <w:rsid w:val="00975E52"/>
    <w:rsid w:val="00976345"/>
    <w:rsid w:val="00977746"/>
    <w:rsid w:val="00982D32"/>
    <w:rsid w:val="009838BF"/>
    <w:rsid w:val="009859B5"/>
    <w:rsid w:val="00985D2C"/>
    <w:rsid w:val="00985E1C"/>
    <w:rsid w:val="00993E17"/>
    <w:rsid w:val="00995268"/>
    <w:rsid w:val="0099608C"/>
    <w:rsid w:val="009967A7"/>
    <w:rsid w:val="009968C4"/>
    <w:rsid w:val="00996E40"/>
    <w:rsid w:val="00997A01"/>
    <w:rsid w:val="00997C50"/>
    <w:rsid w:val="009A110F"/>
    <w:rsid w:val="009A19AE"/>
    <w:rsid w:val="009A1F1F"/>
    <w:rsid w:val="009A36FB"/>
    <w:rsid w:val="009A4709"/>
    <w:rsid w:val="009A4944"/>
    <w:rsid w:val="009A4D60"/>
    <w:rsid w:val="009A681F"/>
    <w:rsid w:val="009A6874"/>
    <w:rsid w:val="009A75C5"/>
    <w:rsid w:val="009B028E"/>
    <w:rsid w:val="009B0636"/>
    <w:rsid w:val="009B1591"/>
    <w:rsid w:val="009B1FAB"/>
    <w:rsid w:val="009B5F91"/>
    <w:rsid w:val="009C17A8"/>
    <w:rsid w:val="009C3E4D"/>
    <w:rsid w:val="009C5035"/>
    <w:rsid w:val="009C54D5"/>
    <w:rsid w:val="009C5C3E"/>
    <w:rsid w:val="009C6E08"/>
    <w:rsid w:val="009C7765"/>
    <w:rsid w:val="009C7ECA"/>
    <w:rsid w:val="009D1EEE"/>
    <w:rsid w:val="009D2455"/>
    <w:rsid w:val="009D4CC7"/>
    <w:rsid w:val="009D5DBE"/>
    <w:rsid w:val="009D7746"/>
    <w:rsid w:val="009E1F6B"/>
    <w:rsid w:val="009E2A2C"/>
    <w:rsid w:val="009E74DD"/>
    <w:rsid w:val="009F146D"/>
    <w:rsid w:val="009F51E9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FED"/>
    <w:rsid w:val="00A211EF"/>
    <w:rsid w:val="00A2238E"/>
    <w:rsid w:val="00A23D34"/>
    <w:rsid w:val="00A23E08"/>
    <w:rsid w:val="00A25E38"/>
    <w:rsid w:val="00A31907"/>
    <w:rsid w:val="00A327DE"/>
    <w:rsid w:val="00A34777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47B33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0C34"/>
    <w:rsid w:val="00A61129"/>
    <w:rsid w:val="00A6135F"/>
    <w:rsid w:val="00A65112"/>
    <w:rsid w:val="00A65288"/>
    <w:rsid w:val="00A65352"/>
    <w:rsid w:val="00A70F47"/>
    <w:rsid w:val="00A71E81"/>
    <w:rsid w:val="00A73E7F"/>
    <w:rsid w:val="00A75218"/>
    <w:rsid w:val="00A75348"/>
    <w:rsid w:val="00A75D8D"/>
    <w:rsid w:val="00A77C34"/>
    <w:rsid w:val="00A804F8"/>
    <w:rsid w:val="00A818FD"/>
    <w:rsid w:val="00A8292B"/>
    <w:rsid w:val="00A8335A"/>
    <w:rsid w:val="00A83B86"/>
    <w:rsid w:val="00A84CFA"/>
    <w:rsid w:val="00A85203"/>
    <w:rsid w:val="00A8575B"/>
    <w:rsid w:val="00A85B82"/>
    <w:rsid w:val="00A866E7"/>
    <w:rsid w:val="00A86B0F"/>
    <w:rsid w:val="00A87B6A"/>
    <w:rsid w:val="00A91003"/>
    <w:rsid w:val="00A91C4F"/>
    <w:rsid w:val="00A91D9A"/>
    <w:rsid w:val="00A92394"/>
    <w:rsid w:val="00A93B7F"/>
    <w:rsid w:val="00A93F0F"/>
    <w:rsid w:val="00A94210"/>
    <w:rsid w:val="00A9533B"/>
    <w:rsid w:val="00A957C2"/>
    <w:rsid w:val="00A959DF"/>
    <w:rsid w:val="00A9631B"/>
    <w:rsid w:val="00A9665F"/>
    <w:rsid w:val="00A96E59"/>
    <w:rsid w:val="00AA1DDD"/>
    <w:rsid w:val="00AA24C6"/>
    <w:rsid w:val="00AA4518"/>
    <w:rsid w:val="00AA484E"/>
    <w:rsid w:val="00AA5EB2"/>
    <w:rsid w:val="00AA6C3A"/>
    <w:rsid w:val="00AA7099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4AA8"/>
    <w:rsid w:val="00AD5166"/>
    <w:rsid w:val="00AD5F98"/>
    <w:rsid w:val="00AD660A"/>
    <w:rsid w:val="00AD7E50"/>
    <w:rsid w:val="00AE0A64"/>
    <w:rsid w:val="00AE41CD"/>
    <w:rsid w:val="00AE5741"/>
    <w:rsid w:val="00AE5BC9"/>
    <w:rsid w:val="00AE6395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07172"/>
    <w:rsid w:val="00B104E9"/>
    <w:rsid w:val="00B10D1B"/>
    <w:rsid w:val="00B10DDE"/>
    <w:rsid w:val="00B11FA8"/>
    <w:rsid w:val="00B1289F"/>
    <w:rsid w:val="00B14151"/>
    <w:rsid w:val="00B14618"/>
    <w:rsid w:val="00B172A0"/>
    <w:rsid w:val="00B20391"/>
    <w:rsid w:val="00B209BE"/>
    <w:rsid w:val="00B21492"/>
    <w:rsid w:val="00B23E8B"/>
    <w:rsid w:val="00B24D36"/>
    <w:rsid w:val="00B30738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5BF"/>
    <w:rsid w:val="00B417A9"/>
    <w:rsid w:val="00B431B3"/>
    <w:rsid w:val="00B446CA"/>
    <w:rsid w:val="00B45B86"/>
    <w:rsid w:val="00B4612E"/>
    <w:rsid w:val="00B46498"/>
    <w:rsid w:val="00B474B0"/>
    <w:rsid w:val="00B477E6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159E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3DCC"/>
    <w:rsid w:val="00BA427D"/>
    <w:rsid w:val="00BA4382"/>
    <w:rsid w:val="00BA46B5"/>
    <w:rsid w:val="00BA5074"/>
    <w:rsid w:val="00BB1397"/>
    <w:rsid w:val="00BB15BB"/>
    <w:rsid w:val="00BB1D2B"/>
    <w:rsid w:val="00BB303F"/>
    <w:rsid w:val="00BB329E"/>
    <w:rsid w:val="00BB3D63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3493"/>
    <w:rsid w:val="00BD38D3"/>
    <w:rsid w:val="00BD4841"/>
    <w:rsid w:val="00BD52FD"/>
    <w:rsid w:val="00BD6395"/>
    <w:rsid w:val="00BD63E0"/>
    <w:rsid w:val="00BE34EF"/>
    <w:rsid w:val="00BE3DE4"/>
    <w:rsid w:val="00BE622F"/>
    <w:rsid w:val="00BE653E"/>
    <w:rsid w:val="00BE6EF5"/>
    <w:rsid w:val="00BE7008"/>
    <w:rsid w:val="00BF1A55"/>
    <w:rsid w:val="00BF2BAB"/>
    <w:rsid w:val="00BF4A7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07A96"/>
    <w:rsid w:val="00C1227E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2BA9"/>
    <w:rsid w:val="00C32C8A"/>
    <w:rsid w:val="00C33059"/>
    <w:rsid w:val="00C33207"/>
    <w:rsid w:val="00C3444C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255E"/>
    <w:rsid w:val="00C632CB"/>
    <w:rsid w:val="00C63792"/>
    <w:rsid w:val="00C64D47"/>
    <w:rsid w:val="00C651F1"/>
    <w:rsid w:val="00C65E76"/>
    <w:rsid w:val="00C67E48"/>
    <w:rsid w:val="00C67E64"/>
    <w:rsid w:val="00C70A8A"/>
    <w:rsid w:val="00C7145A"/>
    <w:rsid w:val="00C7177A"/>
    <w:rsid w:val="00C71A8A"/>
    <w:rsid w:val="00C7296D"/>
    <w:rsid w:val="00C75083"/>
    <w:rsid w:val="00C75596"/>
    <w:rsid w:val="00C76C1D"/>
    <w:rsid w:val="00C805BE"/>
    <w:rsid w:val="00C80BF3"/>
    <w:rsid w:val="00C82FA7"/>
    <w:rsid w:val="00C841D5"/>
    <w:rsid w:val="00C86647"/>
    <w:rsid w:val="00C8690D"/>
    <w:rsid w:val="00C86AF7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1F4B"/>
    <w:rsid w:val="00CD472C"/>
    <w:rsid w:val="00CD5534"/>
    <w:rsid w:val="00CD58B4"/>
    <w:rsid w:val="00CD66CC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190D"/>
    <w:rsid w:val="00CF3D07"/>
    <w:rsid w:val="00CF41A5"/>
    <w:rsid w:val="00CF4347"/>
    <w:rsid w:val="00D00287"/>
    <w:rsid w:val="00D01B1C"/>
    <w:rsid w:val="00D01B69"/>
    <w:rsid w:val="00D033DC"/>
    <w:rsid w:val="00D03D5A"/>
    <w:rsid w:val="00D03FB0"/>
    <w:rsid w:val="00D0553F"/>
    <w:rsid w:val="00D06AAC"/>
    <w:rsid w:val="00D06B9E"/>
    <w:rsid w:val="00D06D7B"/>
    <w:rsid w:val="00D1039A"/>
    <w:rsid w:val="00D11742"/>
    <w:rsid w:val="00D11D2F"/>
    <w:rsid w:val="00D1220F"/>
    <w:rsid w:val="00D1260A"/>
    <w:rsid w:val="00D13EB8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5D80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2773"/>
    <w:rsid w:val="00D43067"/>
    <w:rsid w:val="00D440A2"/>
    <w:rsid w:val="00D447B7"/>
    <w:rsid w:val="00D456A0"/>
    <w:rsid w:val="00D47F9A"/>
    <w:rsid w:val="00D50185"/>
    <w:rsid w:val="00D51BB9"/>
    <w:rsid w:val="00D5297D"/>
    <w:rsid w:val="00D53481"/>
    <w:rsid w:val="00D539E1"/>
    <w:rsid w:val="00D55E44"/>
    <w:rsid w:val="00D571AB"/>
    <w:rsid w:val="00D60235"/>
    <w:rsid w:val="00D602E3"/>
    <w:rsid w:val="00D62130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6EF0"/>
    <w:rsid w:val="00D77010"/>
    <w:rsid w:val="00D81DF7"/>
    <w:rsid w:val="00D822D4"/>
    <w:rsid w:val="00D82421"/>
    <w:rsid w:val="00D8417E"/>
    <w:rsid w:val="00D84283"/>
    <w:rsid w:val="00D84AF1"/>
    <w:rsid w:val="00D85656"/>
    <w:rsid w:val="00D865AE"/>
    <w:rsid w:val="00D937B3"/>
    <w:rsid w:val="00D94897"/>
    <w:rsid w:val="00D952C7"/>
    <w:rsid w:val="00DA13D4"/>
    <w:rsid w:val="00DA62F1"/>
    <w:rsid w:val="00DA6D12"/>
    <w:rsid w:val="00DA77DB"/>
    <w:rsid w:val="00DB0403"/>
    <w:rsid w:val="00DB0995"/>
    <w:rsid w:val="00DB24F9"/>
    <w:rsid w:val="00DB2D0D"/>
    <w:rsid w:val="00DB495D"/>
    <w:rsid w:val="00DB4C89"/>
    <w:rsid w:val="00DC21DB"/>
    <w:rsid w:val="00DC488E"/>
    <w:rsid w:val="00DC4D74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2279"/>
    <w:rsid w:val="00DE275C"/>
    <w:rsid w:val="00DE4450"/>
    <w:rsid w:val="00DE4597"/>
    <w:rsid w:val="00DE54B4"/>
    <w:rsid w:val="00DE5FF5"/>
    <w:rsid w:val="00DE6A06"/>
    <w:rsid w:val="00DF0763"/>
    <w:rsid w:val="00DF2271"/>
    <w:rsid w:val="00DF4173"/>
    <w:rsid w:val="00DF519B"/>
    <w:rsid w:val="00DF5371"/>
    <w:rsid w:val="00DF5A2B"/>
    <w:rsid w:val="00DF5CE7"/>
    <w:rsid w:val="00DF6B76"/>
    <w:rsid w:val="00DF7947"/>
    <w:rsid w:val="00E001CC"/>
    <w:rsid w:val="00E01482"/>
    <w:rsid w:val="00E01E10"/>
    <w:rsid w:val="00E01E46"/>
    <w:rsid w:val="00E02241"/>
    <w:rsid w:val="00E02AC8"/>
    <w:rsid w:val="00E036CC"/>
    <w:rsid w:val="00E03782"/>
    <w:rsid w:val="00E046B8"/>
    <w:rsid w:val="00E04E29"/>
    <w:rsid w:val="00E04F74"/>
    <w:rsid w:val="00E051B8"/>
    <w:rsid w:val="00E07337"/>
    <w:rsid w:val="00E10B90"/>
    <w:rsid w:val="00E1117B"/>
    <w:rsid w:val="00E11F6D"/>
    <w:rsid w:val="00E12C47"/>
    <w:rsid w:val="00E135C6"/>
    <w:rsid w:val="00E13A26"/>
    <w:rsid w:val="00E14254"/>
    <w:rsid w:val="00E144E1"/>
    <w:rsid w:val="00E146C1"/>
    <w:rsid w:val="00E15D7D"/>
    <w:rsid w:val="00E16E02"/>
    <w:rsid w:val="00E225D5"/>
    <w:rsid w:val="00E22CF4"/>
    <w:rsid w:val="00E239C0"/>
    <w:rsid w:val="00E24FFF"/>
    <w:rsid w:val="00E25FCE"/>
    <w:rsid w:val="00E31EA4"/>
    <w:rsid w:val="00E333F6"/>
    <w:rsid w:val="00E339EE"/>
    <w:rsid w:val="00E3450F"/>
    <w:rsid w:val="00E35609"/>
    <w:rsid w:val="00E36C5C"/>
    <w:rsid w:val="00E37369"/>
    <w:rsid w:val="00E373C0"/>
    <w:rsid w:val="00E37ECD"/>
    <w:rsid w:val="00E40483"/>
    <w:rsid w:val="00E406AC"/>
    <w:rsid w:val="00E41EF8"/>
    <w:rsid w:val="00E41FEC"/>
    <w:rsid w:val="00E44D31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57A4A"/>
    <w:rsid w:val="00E621EF"/>
    <w:rsid w:val="00E62CEA"/>
    <w:rsid w:val="00E63C75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501F"/>
    <w:rsid w:val="00E95B80"/>
    <w:rsid w:val="00EA06C9"/>
    <w:rsid w:val="00EA16FF"/>
    <w:rsid w:val="00EA3BCE"/>
    <w:rsid w:val="00EA3C98"/>
    <w:rsid w:val="00EA4273"/>
    <w:rsid w:val="00EA5B8E"/>
    <w:rsid w:val="00EA7383"/>
    <w:rsid w:val="00EA7AB1"/>
    <w:rsid w:val="00EB07FE"/>
    <w:rsid w:val="00EB22F0"/>
    <w:rsid w:val="00EB2AE4"/>
    <w:rsid w:val="00EB3C2A"/>
    <w:rsid w:val="00EB43BF"/>
    <w:rsid w:val="00EB58D8"/>
    <w:rsid w:val="00EB5AC4"/>
    <w:rsid w:val="00EB66BD"/>
    <w:rsid w:val="00EB6FF8"/>
    <w:rsid w:val="00EB796A"/>
    <w:rsid w:val="00EB7FF1"/>
    <w:rsid w:val="00EC01CE"/>
    <w:rsid w:val="00EC128D"/>
    <w:rsid w:val="00EC3A62"/>
    <w:rsid w:val="00EC3C44"/>
    <w:rsid w:val="00EC3DF6"/>
    <w:rsid w:val="00EC5B57"/>
    <w:rsid w:val="00EC7585"/>
    <w:rsid w:val="00ED0583"/>
    <w:rsid w:val="00ED198C"/>
    <w:rsid w:val="00ED1E56"/>
    <w:rsid w:val="00ED3126"/>
    <w:rsid w:val="00ED475F"/>
    <w:rsid w:val="00ED4EDC"/>
    <w:rsid w:val="00ED5521"/>
    <w:rsid w:val="00EE06EA"/>
    <w:rsid w:val="00EE1904"/>
    <w:rsid w:val="00EE2087"/>
    <w:rsid w:val="00EE214B"/>
    <w:rsid w:val="00EE2606"/>
    <w:rsid w:val="00EE6792"/>
    <w:rsid w:val="00EE7A4F"/>
    <w:rsid w:val="00EE7D35"/>
    <w:rsid w:val="00EF05E7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22D2"/>
    <w:rsid w:val="00F03216"/>
    <w:rsid w:val="00F03D42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83C"/>
    <w:rsid w:val="00F3312B"/>
    <w:rsid w:val="00F33BB4"/>
    <w:rsid w:val="00F408E2"/>
    <w:rsid w:val="00F43001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3280"/>
    <w:rsid w:val="00F535D0"/>
    <w:rsid w:val="00F54240"/>
    <w:rsid w:val="00F54E55"/>
    <w:rsid w:val="00F55423"/>
    <w:rsid w:val="00F56134"/>
    <w:rsid w:val="00F60CE7"/>
    <w:rsid w:val="00F613FF"/>
    <w:rsid w:val="00F61D4E"/>
    <w:rsid w:val="00F628C2"/>
    <w:rsid w:val="00F62A59"/>
    <w:rsid w:val="00F662C6"/>
    <w:rsid w:val="00F70D5E"/>
    <w:rsid w:val="00F722F5"/>
    <w:rsid w:val="00F7477A"/>
    <w:rsid w:val="00F74877"/>
    <w:rsid w:val="00F76560"/>
    <w:rsid w:val="00F8004A"/>
    <w:rsid w:val="00F81303"/>
    <w:rsid w:val="00F8261B"/>
    <w:rsid w:val="00F85BB9"/>
    <w:rsid w:val="00F8644A"/>
    <w:rsid w:val="00F91768"/>
    <w:rsid w:val="00F917F0"/>
    <w:rsid w:val="00F91C27"/>
    <w:rsid w:val="00F962E4"/>
    <w:rsid w:val="00FA05BF"/>
    <w:rsid w:val="00FA0CE9"/>
    <w:rsid w:val="00FA280B"/>
    <w:rsid w:val="00FA2B58"/>
    <w:rsid w:val="00FA416F"/>
    <w:rsid w:val="00FA7075"/>
    <w:rsid w:val="00FA7EBA"/>
    <w:rsid w:val="00FA7F20"/>
    <w:rsid w:val="00FB113E"/>
    <w:rsid w:val="00FB12C2"/>
    <w:rsid w:val="00FB19AA"/>
    <w:rsid w:val="00FB3250"/>
    <w:rsid w:val="00FB48D5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D040F"/>
    <w:rsid w:val="00FD048E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1620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4952B"/>
  <w15:chartTrackingRefBased/>
  <w15:docId w15:val="{D3C3FA86-AAAC-4C32-B066-C88089E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0C34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56FAD"/>
  </w:style>
  <w:style w:type="character" w:customStyle="1" w:styleId="CommentTextChar">
    <w:name w:val="Comment Text Char"/>
    <w:link w:val="CommentText"/>
    <w:uiPriority w:val="99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4E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B655B62-50DC-4E1F-8E0B-F137AC79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1138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</cp:lastModifiedBy>
  <cp:revision>7</cp:revision>
  <cp:lastPrinted>2024-04-17T12:09:00Z</cp:lastPrinted>
  <dcterms:created xsi:type="dcterms:W3CDTF">2024-05-31T07:17:00Z</dcterms:created>
  <dcterms:modified xsi:type="dcterms:W3CDTF">2024-06-28T08:15:00Z</dcterms:modified>
</cp:coreProperties>
</file>