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4899C" w14:textId="77777777" w:rsidR="00135C5E" w:rsidRDefault="003F21AC" w:rsidP="001B2C44">
      <w:pPr>
        <w:spacing w:before="120" w:after="120" w:line="300" w:lineRule="atLeast"/>
        <w:ind w:left="1069" w:hanging="360"/>
        <w:contextualSpacing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9C45D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Обосновка </w:t>
      </w:r>
    </w:p>
    <w:p w14:paraId="62118C45" w14:textId="2C7FFC08" w:rsidR="004D783E" w:rsidRPr="003B00B3" w:rsidRDefault="003F21AC" w:rsidP="001B2C44">
      <w:pPr>
        <w:spacing w:before="120" w:after="120" w:line="300" w:lineRule="atLeast"/>
        <w:ind w:left="1069" w:hanging="360"/>
        <w:contextualSpacing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C45D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към </w:t>
      </w:r>
      <w:r w:rsidR="003B00B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второ </w:t>
      </w:r>
      <w:r w:rsidRPr="009C45D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изменение на Индикативна годишна работна програма </w:t>
      </w:r>
      <w:r w:rsidR="00135C5E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(ИГРП) </w:t>
      </w:r>
      <w:r w:rsidRPr="009C45D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за 2024 г. на Програма „Околна среда“ 2021-2027 г. (ПОС 2021-2027 г.)</w:t>
      </w:r>
    </w:p>
    <w:p w14:paraId="563F1526" w14:textId="77777777" w:rsidR="004D783E" w:rsidRPr="009C45D5" w:rsidRDefault="004D783E" w:rsidP="001B2C44">
      <w:pPr>
        <w:pStyle w:val="ListParagraph"/>
        <w:spacing w:before="120" w:after="120" w:line="300" w:lineRule="atLeast"/>
        <w:ind w:left="1069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14:paraId="76E4E374" w14:textId="53DBD6A4" w:rsidR="001A4073" w:rsidRDefault="001A4073" w:rsidP="001A4073">
      <w:pPr>
        <w:pStyle w:val="ListParagraph"/>
        <w:numPr>
          <w:ilvl w:val="0"/>
          <w:numId w:val="13"/>
        </w:numPr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1E48B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Приоритет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1</w:t>
      </w:r>
      <w:r w:rsidRPr="001E48B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Води</w:t>
      </w:r>
      <w:r w:rsidRPr="001E48B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“</w:t>
      </w:r>
    </w:p>
    <w:p w14:paraId="33C64365" w14:textId="77777777" w:rsidR="001A4073" w:rsidRDefault="001A4073" w:rsidP="001A4073">
      <w:pPr>
        <w:pStyle w:val="ListParagraph"/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14:paraId="6850A089" w14:textId="216C33F2" w:rsidR="001A4073" w:rsidRDefault="001A4073" w:rsidP="001A4073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Ревизиране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обхвата на допустимите дейности</w:t>
      </w:r>
      <w:r w:rsidR="00EE0D5E">
        <w:rPr>
          <w:rFonts w:ascii="Times New Roman" w:hAnsi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r w:rsidR="00EE0D5E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по процедура </w:t>
      </w:r>
      <w:r w:rsidR="00EE0D5E" w:rsidRPr="00EE0D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„Модернизиране на органите на държавния здравен контрол за осъществяване на мониторинг на качеството на питейните води“</w:t>
      </w:r>
      <w:r w:rsidRPr="00A229BF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.</w:t>
      </w:r>
    </w:p>
    <w:p w14:paraId="593E01D1" w14:textId="2C3B5809" w:rsidR="001A4073" w:rsidRPr="00AC2B65" w:rsidRDefault="001A4073" w:rsidP="001A4073">
      <w:pPr>
        <w:spacing w:before="240" w:after="120" w:line="300" w:lineRule="atLeast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Предлаганите редакции са продиктувани от продължаващите консултации с конкретния бенефициент и необходимостта от последващи уточнения по отношение на целевите структури, към които ще бъде насочена доставката на активите, предмет на процедурата</w:t>
      </w:r>
      <w:r w:rsidR="00AC2B6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 както и получени коментари от членове на Комитета за наблюдение.</w:t>
      </w:r>
    </w:p>
    <w:p w14:paraId="440F3F56" w14:textId="77777777" w:rsidR="001A4073" w:rsidRDefault="001A4073" w:rsidP="001A4073">
      <w:pPr>
        <w:pStyle w:val="ListParagraph"/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14:paraId="4D1B23BA" w14:textId="41FDE38C" w:rsidR="004D783E" w:rsidRDefault="003F21AC" w:rsidP="001E48BF">
      <w:pPr>
        <w:pStyle w:val="ListParagraph"/>
        <w:numPr>
          <w:ilvl w:val="0"/>
          <w:numId w:val="13"/>
        </w:numPr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1E48B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Приоритет 2 „Отпадъци“</w:t>
      </w:r>
    </w:p>
    <w:p w14:paraId="2D68F413" w14:textId="77777777" w:rsidR="008D00A0" w:rsidRDefault="008D00A0" w:rsidP="008D00A0">
      <w:pPr>
        <w:pStyle w:val="ListParagraph"/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14:paraId="09196C57" w14:textId="3F939116" w:rsidR="00A229BF" w:rsidRPr="00A229BF" w:rsidRDefault="00A229BF" w:rsidP="00A229BF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8D00A0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Включване на нова процедура </w:t>
      </w:r>
      <w:r w:rsidRPr="00EE0D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„</w:t>
      </w:r>
      <w:r w:rsidRPr="008D00A0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Рекултивация на регионални депа/клетки на регионални депа за битови отпадъци</w:t>
      </w:r>
      <w:r w:rsidR="00A9562B" w:rsidRPr="00A9562B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 xml:space="preserve"> - втора</w:t>
      </w:r>
      <w:r w:rsidRPr="00EE0D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“</w:t>
      </w:r>
      <w:r w:rsidRPr="00A229B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A229BF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 бюджет 59 728 975,46 лв.</w:t>
      </w:r>
    </w:p>
    <w:p w14:paraId="5D981C79" w14:textId="2F8936B5" w:rsidR="00A9562B" w:rsidRPr="00A9562B" w:rsidRDefault="00A9562B" w:rsidP="001A4073">
      <w:pPr>
        <w:spacing w:before="240" w:after="120" w:line="300" w:lineRule="atLeast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Предлага се включването на процедурата предвид взетото от Комитета за наблюдение решение в рамките на процедура за неприсъствено вземане на решения, проведена в периода 07.07.-27.07.2023 г.: </w:t>
      </w:r>
    </w:p>
    <w:p w14:paraId="73FFA6C1" w14:textId="6CFF3D59" w:rsidR="008D00A0" w:rsidRPr="00A9562B" w:rsidRDefault="00A229BF" w:rsidP="008A0793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Процедура</w:t>
      </w:r>
      <w:r w:rsidRPr="00A9562B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A9562B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BG16FFPR002-2.002 „Рекултивация на регионални депа / клетки на регионални депа за битови отпадъци“</w:t>
      </w:r>
      <w:r w:rsidRPr="00A9562B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приключи на 15.04.2024 г. с подадени </w:t>
      </w:r>
      <w:r w:rsidR="006A4B36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общо 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14 проектни предложения</w:t>
      </w:r>
      <w:r w:rsidR="006A4B36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 като за 2 от тях оценката е прекратена, тъй като предмет на рекултивация са общински депа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. </w:t>
      </w:r>
      <w:r w:rsidR="00324479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ъгласно решение на Комитета за наблюдение на ПОС 2021-2027 г. от процедура</w:t>
      </w:r>
      <w:r w:rsidR="00A9562B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та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за</w:t>
      </w:r>
      <w:r w:rsidR="00324479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неприсъствено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вземане на решения</w:t>
      </w:r>
      <w:r w:rsidR="00A9562B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(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07.07-27.07.2023 г.</w:t>
      </w:r>
      <w:r w:rsidR="00A9562B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)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 бяха оставени два срока за подаване на проектни предложения</w:t>
      </w:r>
      <w:r w:rsidRPr="00A9562B">
        <w:rPr>
          <w:rFonts w:ascii="Times New Roman" w:hAnsi="Times New Roman"/>
          <w:noProof/>
          <w:sz w:val="24"/>
          <w:szCs w:val="24"/>
          <w:lang w:val="bg-BG" w:eastAsia="fr-FR"/>
        </w:rPr>
        <w:t xml:space="preserve"> </w:t>
      </w:r>
      <w:r w:rsidR="00324479" w:rsidRPr="00A9562B">
        <w:rPr>
          <w:rFonts w:ascii="Times New Roman" w:hAnsi="Times New Roman"/>
          <w:noProof/>
          <w:sz w:val="24"/>
          <w:szCs w:val="24"/>
          <w:lang w:val="bg-BG" w:eastAsia="fr-FR"/>
        </w:rPr>
        <w:t xml:space="preserve">– 25.11.2023 г. и 15.04.2024 г. </w:t>
      </w:r>
      <w:r w:rsidRPr="00A9562B">
        <w:rPr>
          <w:rFonts w:ascii="Times New Roman" w:hAnsi="Times New Roman"/>
          <w:noProof/>
          <w:sz w:val="24"/>
          <w:szCs w:val="24"/>
          <w:lang w:val="bg-BG" w:eastAsia="fr-FR"/>
        </w:rPr>
        <w:t>и съответно беше ревизиран крайният срок за прекратяване на експлоатацията на регионалните депа/клетки на 15.04.2024 г. при условието за допустимост на кандидатите</w:t>
      </w:r>
      <w:r w:rsidR="00A9562B" w:rsidRPr="00A9562B">
        <w:rPr>
          <w:rFonts w:ascii="Times New Roman" w:hAnsi="Times New Roman"/>
          <w:noProof/>
          <w:sz w:val="24"/>
          <w:szCs w:val="24"/>
          <w:lang w:val="bg-BG" w:eastAsia="fr-FR"/>
        </w:rPr>
        <w:t xml:space="preserve">, като </w:t>
      </w:r>
      <w:r w:rsidRPr="00A9562B">
        <w:rPr>
          <w:rFonts w:ascii="Times New Roman" w:hAnsi="Times New Roman"/>
          <w:noProof/>
          <w:sz w:val="24"/>
          <w:szCs w:val="24"/>
          <w:lang w:val="bg-BG" w:eastAsia="fr-FR"/>
        </w:rPr>
        <w:t xml:space="preserve">Комитетът одобри </w:t>
      </w:r>
      <w:r w:rsidR="00A9562B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да бъде обявена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A9562B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и </w:t>
      </w: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нова процедура със същия обхват</w:t>
      </w:r>
      <w:r w:rsidR="00A9562B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в края на 2024 г. или началото на 2025 г.</w:t>
      </w:r>
    </w:p>
    <w:p w14:paraId="4B51C38E" w14:textId="25C761CA" w:rsidR="00ED6541" w:rsidRPr="00A9562B" w:rsidRDefault="00A9562B" w:rsidP="008A0793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В тази връзка </w:t>
      </w:r>
      <w:r w:rsidR="00ED6541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УО на ПОС предлага включването на нова процедура </w:t>
      </w:r>
      <w:r w:rsidR="00ED6541" w:rsidRPr="00A9562B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„</w:t>
      </w:r>
      <w:r w:rsidR="00ED6541" w:rsidRPr="00A9562B">
        <w:rPr>
          <w:rFonts w:ascii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bg-BG" w:eastAsia="bg-BG"/>
        </w:rPr>
        <w:t>Рекултивация на регионални депа/клетки на регионални депа за битови отпадъци</w:t>
      </w:r>
      <w:r w:rsidRPr="00A9562B">
        <w:rPr>
          <w:rFonts w:ascii="Times New Roman" w:hAnsi="Times New Roman"/>
          <w:b/>
          <w:bCs/>
          <w:i/>
          <w:iCs/>
          <w:sz w:val="24"/>
          <w:szCs w:val="24"/>
          <w:bdr w:val="none" w:sz="0" w:space="0" w:color="auto" w:frame="1"/>
          <w:lang w:val="bg-BG" w:eastAsia="bg-BG"/>
        </w:rPr>
        <w:t xml:space="preserve"> - втора</w:t>
      </w:r>
      <w:r w:rsidR="00ED6541" w:rsidRPr="00A9562B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“ </w:t>
      </w:r>
      <w:r w:rsidR="00ED6541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 бюджет 59 728 975,46 лв. в ИГРП за 2024 г.</w:t>
      </w:r>
      <w:r w:rsidR="005E3F9F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6B5BDD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Бюджетът на новата процедура е разликата между бюджета на първата процедура и общата стойност на заявеното финансиране /стойност</w:t>
      </w:r>
      <w:r w:rsidR="00CB550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та</w:t>
      </w:r>
      <w:r w:rsidR="006B5BDD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на БФП по сключените </w:t>
      </w:r>
      <w:r w:rsidR="00CB550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договори</w:t>
      </w:r>
      <w:r w:rsidR="006B5BDD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CB550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по</w:t>
      </w:r>
      <w:r w:rsidR="006B5BDD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подадените проектни предложения за рекултивация на клетки на регионални депа по първата процедура. </w:t>
      </w:r>
      <w:r w:rsidR="005E3F9F" w:rsidRPr="00A9562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Крайните срокове за подаване на проектни предложения са 15.04.2025 г., 15.04.2026 г. и 15.04.2027 г.</w:t>
      </w:r>
      <w:r w:rsidR="00CB550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(последната дата е съобразена с к</w:t>
      </w:r>
      <w:r w:rsidR="005E3F9F" w:rsidRPr="00A9562B">
        <w:rPr>
          <w:rFonts w:ascii="Times New Roman" w:hAnsi="Times New Roman"/>
          <w:noProof/>
          <w:sz w:val="24"/>
          <w:szCs w:val="24"/>
          <w:lang w:val="bg-BG" w:eastAsia="fr-FR"/>
        </w:rPr>
        <w:t>райния срок за прекратяване на експлоатацията на регионалните депа/клетки</w:t>
      </w:r>
      <w:r w:rsidR="00CB5505">
        <w:rPr>
          <w:rFonts w:ascii="Times New Roman" w:hAnsi="Times New Roman"/>
          <w:noProof/>
          <w:sz w:val="24"/>
          <w:szCs w:val="24"/>
          <w:lang w:val="bg-BG" w:eastAsia="fr-FR"/>
        </w:rPr>
        <w:t>)</w:t>
      </w:r>
      <w:r w:rsidR="005E3F9F" w:rsidRPr="00A9562B">
        <w:rPr>
          <w:rFonts w:ascii="Times New Roman" w:hAnsi="Times New Roman"/>
          <w:noProof/>
          <w:sz w:val="24"/>
          <w:szCs w:val="24"/>
          <w:lang w:val="bg-BG" w:eastAsia="fr-FR"/>
        </w:rPr>
        <w:t xml:space="preserve">.  </w:t>
      </w:r>
    </w:p>
    <w:p w14:paraId="1641283D" w14:textId="1331A7A7" w:rsidR="00DF17B9" w:rsidRDefault="00DF17B9" w:rsidP="00DF17B9">
      <w:pPr>
        <w:pStyle w:val="ListParagraph"/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72F97194" w14:textId="668738A5" w:rsidR="001A4073" w:rsidRDefault="001A4073" w:rsidP="00DF17B9">
      <w:pPr>
        <w:pStyle w:val="ListParagraph"/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0442D9C9" w14:textId="290C1EFC" w:rsidR="004D783E" w:rsidRDefault="003F21AC" w:rsidP="001E48BF">
      <w:pPr>
        <w:pStyle w:val="ListParagraph"/>
        <w:numPr>
          <w:ilvl w:val="0"/>
          <w:numId w:val="13"/>
        </w:numPr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1E48B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Приоритет 3 „Биоразнообразие“</w:t>
      </w:r>
    </w:p>
    <w:p w14:paraId="510D6C4F" w14:textId="77777777" w:rsidR="001A4073" w:rsidRDefault="001A4073" w:rsidP="001A4073">
      <w:pPr>
        <w:pStyle w:val="ListParagraph"/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14:paraId="00518601" w14:textId="5FC9061D" w:rsidR="00DD2299" w:rsidRDefault="00DD2299" w:rsidP="009076A6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DD2299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Промяна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в срока за кандидатстване по процедура „</w:t>
      </w:r>
      <w:r w:rsidRPr="00DD2299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Изпълнение на мярка 4 от Националната рамка за приоритетни действия за НАТУРА 2000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“</w:t>
      </w:r>
    </w:p>
    <w:p w14:paraId="3DFC7953" w14:textId="3CEEDF67" w:rsidR="00DD2299" w:rsidRDefault="00DD2299" w:rsidP="00DD2299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В резултат от получени коментари от конкретния бенефициент срокът се изменя от трето на четвърто тримесечие на 2024 г.</w:t>
      </w:r>
    </w:p>
    <w:p w14:paraId="32FD4298" w14:textId="77777777" w:rsidR="00DD2299" w:rsidRPr="00DD2299" w:rsidRDefault="00DD2299" w:rsidP="00DD2299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428B09E6" w14:textId="3C0754EB" w:rsidR="009076A6" w:rsidRDefault="009076A6" w:rsidP="009076A6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Ревизиране обхвата на допустимите кандидати </w:t>
      </w:r>
      <w:r w:rsidR="00962D8A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за изпълнение на мярка 70 от НРПД</w:t>
      </w:r>
      <w:r w:rsidR="00B1192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.</w:t>
      </w:r>
    </w:p>
    <w:p w14:paraId="333FDCEC" w14:textId="528CFFA6" w:rsidR="009076A6" w:rsidRDefault="009076A6" w:rsidP="009076A6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Проведени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са 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к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о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нсултации с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компетентната дирекция в МОСВ – „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Н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ационална служба за защита на природата“ (Н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СЗП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)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въз основа на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извършени допълнителни анализи относно обхвата на мерките по процедура</w:t>
      </w:r>
      <w:r w:rsidR="00962D8A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962D8A" w:rsidRPr="00B11925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„Изпълнение на мярка 70 от НРПД за НАТУРА 2000“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във връзка с резултатите от финансираните по ОПОС 2014-2020 г. процедури за изграждане на площадки за подхранване - BG16M1OP002-3.007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и BG16M1OP002-3.016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. 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Съгласно п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олучено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то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становище по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мярка 70 от НРПД ще се финансират само дейности по поддържане и подхранване на четири целеви вида хищни птици А079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Aegypius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monachus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, А404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Aquila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heliaca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, А078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Gyps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fulvus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, А077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Neophron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percnopterus</w:t>
      </w:r>
      <w:proofErr w:type="spellEnd"/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9076A6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на съществуващи площадки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,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като 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не се предвижда финансиране на дейности по изграждане на нови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такива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14:paraId="7E4925B8" w14:textId="4E79AE0A" w:rsidR="009076A6" w:rsidRDefault="009076A6" w:rsidP="006E054B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В тази връзка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се</w:t>
      </w:r>
      <w:r w:rsidRPr="009076A6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ревизира описанието в поле „Допустими кандидати“, като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се посочват „</w:t>
      </w:r>
      <w:r w:rsidR="006E054B" w:rsidRPr="006E054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Министерство на околната среда и водите (МОСВ) и регионалните му органи, структури на/към Министерство на земеделието и храните, други държавни органи (органи на централната и териториалната администрация), вкл. общини, областни администрации, както и физически и юридически лица, собственици на площадки за подхранване или такива, които разполагат със съгласие на собственика за извършване на дейностите по проекта</w:t>
      </w:r>
      <w:r w:rsidR="006E054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6E054B" w:rsidRPr="006E054B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(вкл. в партньорство)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“</w:t>
      </w:r>
      <w:r w:rsidR="00182A65" w:rsidRPr="00182A65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.</w:t>
      </w:r>
    </w:p>
    <w:p w14:paraId="2D16A68D" w14:textId="6EAB089F" w:rsidR="00751533" w:rsidRDefault="00751533" w:rsidP="006E054B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В допълнение, отново въз основа на разменената кореспонденция, се допълва обхватът на допустимите дейности с възможност за доставка и монтиране </w:t>
      </w:r>
      <w:r w:rsidRP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на полев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и</w:t>
      </w:r>
      <w:r w:rsidRP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камер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и</w:t>
      </w:r>
      <w:r w:rsidRP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и/или фотокапан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и.</w:t>
      </w:r>
    </w:p>
    <w:p w14:paraId="3276A99C" w14:textId="77777777" w:rsidR="00DD2299" w:rsidRDefault="00DD2299" w:rsidP="006E054B">
      <w:pPr>
        <w:spacing w:before="120" w:after="120" w:line="300" w:lineRule="atLeast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74066364" w14:textId="5779A9A1" w:rsidR="00DD2299" w:rsidRDefault="00DD2299" w:rsidP="00DD2299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Ревизиране допустимостта на партньорството по процедура „</w:t>
      </w:r>
      <w:r w:rsidRPr="00DD2299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Изпълнение на мярка 74 от Националната рамка за приоритетни действия за НАТУРА 2000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“ и допълване обхвата на допустимите дейности</w:t>
      </w:r>
      <w:r w:rsidR="00B82357">
        <w:rPr>
          <w:rFonts w:ascii="Times New Roman" w:hAnsi="Times New Roman"/>
          <w:sz w:val="24"/>
          <w:szCs w:val="24"/>
          <w:bdr w:val="none" w:sz="0" w:space="0" w:color="auto" w:frame="1"/>
          <w:lang w:eastAsia="bg-BG"/>
        </w:rPr>
        <w:t>.</w:t>
      </w:r>
    </w:p>
    <w:p w14:paraId="660E0834" w14:textId="2A41B3DE" w:rsidR="00DD2299" w:rsidRDefault="00DD2299" w:rsidP="00DD2299">
      <w:pPr>
        <w:pStyle w:val="ListParagraph"/>
        <w:spacing w:before="120" w:after="120" w:line="300" w:lineRule="atLeast"/>
        <w:ind w:left="0"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Във връзка с представени предложения на конкретния бенефициент дирекция НСЗП в МОСВ е предложено включване на структури на/към МОСВ (</w:t>
      </w:r>
      <w:r w:rsidRPr="00DD2299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РИОСВ и ДНП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), предвид факта, че същите </w:t>
      </w:r>
      <w:r w:rsidRPr="00DD2299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участват пряко при оценяването на щетите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, причинени от представителите на вида </w:t>
      </w:r>
      <w:r w:rsidRPr="00DD2299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Ursus </w:t>
      </w:r>
      <w:proofErr w:type="spellStart"/>
      <w:r w:rsidRPr="00DD2299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bg-BG"/>
        </w:rPr>
        <w:t>arctus</w:t>
      </w:r>
      <w:proofErr w:type="spellEnd"/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bg-BG"/>
        </w:rPr>
        <w:t>,</w:t>
      </w:r>
      <w:r w:rsidRPr="00DD2299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като част от комисиите за проверки.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Тези структури </w:t>
      </w:r>
      <w:r w:rsidRPr="00DD2299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координират и контролират прилагането на превантивните мерки за ограничаване на щети от кафява мечка и намаляването на конфликта мечка-човек и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в рамките на проекта по процедурата се предвижда да </w:t>
      </w:r>
      <w:r w:rsidRPr="00DD2299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следят за устойчивостта на мерките.</w:t>
      </w:r>
    </w:p>
    <w:p w14:paraId="359E1B60" w14:textId="77777777" w:rsidR="00DD2299" w:rsidRDefault="00DD2299" w:rsidP="00DD2299">
      <w:pPr>
        <w:pStyle w:val="ListParagraph"/>
        <w:spacing w:before="120" w:after="120" w:line="300" w:lineRule="atLeast"/>
        <w:ind w:left="0"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6DBE79E3" w14:textId="04036E5F" w:rsidR="009A0631" w:rsidRDefault="009A0631" w:rsidP="003A2903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Ревизиране бюджета на процедура „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Мониторинг на популацията на вида кафява мечка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“</w:t>
      </w:r>
    </w:p>
    <w:p w14:paraId="5E16D3D9" w14:textId="5C93E7DE" w:rsidR="009A0631" w:rsidRDefault="009A0631" w:rsidP="009A0631">
      <w:pPr>
        <w:spacing w:before="120" w:after="120" w:line="300" w:lineRule="atLeast"/>
        <w:ind w:firstLine="710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Въз основа на получено предложение от конкретния бенефициент Изпълнителна агенция по околна среда се увеличава размера на финансирането по процедурата – от 1 000 000 лв. на 1 600 000 лв. П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роведените предварителни проучвания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от ИАОС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показват,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че този ресурс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е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недостатъчен за изпълнение на предвидените дейности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по 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извършване на цялостен ДНК анализ на популацията на вида на територията на България съгласно обхвата на мярка 7.3.4. от „Плана за действие за опазване на кафява мечка (</w:t>
      </w:r>
      <w:proofErr w:type="spellStart"/>
      <w:r w:rsidRPr="009A06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Ursus</w:t>
      </w:r>
      <w:proofErr w:type="spellEnd"/>
      <w:r w:rsidRPr="009A06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9A06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arctos</w:t>
      </w:r>
      <w:proofErr w:type="spellEnd"/>
      <w:r w:rsidRPr="009A06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9A06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Linnaeus</w:t>
      </w:r>
      <w:proofErr w:type="spellEnd"/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1758) в България 2024-2033 г.“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– п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оради настъпилата инфлация, породена от КОВИД-19 и войната в Украйна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е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проведено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допълнително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проучване на цени за лабораторната работа и за събиране на необходимия брой проби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. Това, ведно с 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увеличените разходите за пробонабиране на територията на цялата страна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 предопределя необходимостта от увеличение на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сумата за изпълнение на дейностите по процедурата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на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до 1 600 000 (един милион и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шестстотин </w:t>
      </w:r>
      <w:r w:rsidRPr="009A0631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хиляди) лева. </w:t>
      </w:r>
    </w:p>
    <w:p w14:paraId="1E46BFE5" w14:textId="77777777" w:rsidR="009A0631" w:rsidRDefault="009A0631" w:rsidP="009A0631">
      <w:pPr>
        <w:spacing w:before="120" w:after="120" w:line="300" w:lineRule="atLeast"/>
        <w:ind w:firstLine="710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626CA135" w14:textId="3559A67A" w:rsidR="00622B71" w:rsidRPr="003A2903" w:rsidRDefault="00182A65" w:rsidP="003A2903">
      <w:pPr>
        <w:pStyle w:val="ListParagraph"/>
        <w:numPr>
          <w:ilvl w:val="0"/>
          <w:numId w:val="16"/>
        </w:numPr>
        <w:spacing w:before="120" w:after="120" w:line="300" w:lineRule="atLeast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Ревизиране обхвата на допустимите </w:t>
      </w:r>
      <w:r w:rsidR="00177D80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дейности по процедура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177D80" w:rsidRPr="00EE0D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„Разработване/</w:t>
      </w:r>
      <w:r w:rsidR="001A4073" w:rsidRPr="00EE0D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177D80" w:rsidRPr="00EE0D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актуализиране на планове за управление на защитени територии“</w:t>
      </w:r>
      <w:r w:rsidR="001F0C27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bg-BG" w:eastAsia="bg-BG"/>
        </w:rPr>
        <w:t>.</w:t>
      </w:r>
      <w:r w:rsidR="00177D80" w:rsidRPr="003A2903" w:rsidDel="00177D80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14:paraId="0BF37BEF" w14:textId="240A49B1" w:rsidR="001A4073" w:rsidRDefault="00177D80" w:rsidP="003A2903">
      <w:pPr>
        <w:spacing w:before="120" w:after="120" w:line="300" w:lineRule="atLeast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След п</w:t>
      </w:r>
      <w:r w:rsidR="00182A65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роведени  консултации с дирекция НСЗП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и разменена кореспонденция във връзка с</w:t>
      </w:r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броя на п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оддържани</w:t>
      </w:r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те резервати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eastAsia="bg-BG"/>
        </w:rPr>
        <w:t>,</w:t>
      </w:r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за които ще бъдат разработени/актуализирани плановете им за управление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,</w:t>
      </w:r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в обхвата на допустимите дейности 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в ИГРП за 2024 г. </w:t>
      </w:r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се включва 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поддържан</w:t>
      </w:r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резерват „</w:t>
      </w:r>
      <w:proofErr w:type="spellStart"/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Амзово</w:t>
      </w:r>
      <w:proofErr w:type="spellEnd"/>
      <w:r w:rsidR="001A4073" w:rsidRPr="003A290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“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. </w:t>
      </w:r>
      <w:r w:rsidR="00383E6C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В допълнение</w:t>
      </w:r>
      <w:r w:rsidR="001A407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се специфицира обхватът на допустимите бенефициенти и на партньорите по процедурата – </w:t>
      </w:r>
      <w:r w:rsidR="00751533"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>резерватите и поддържаните резервати са изключителна държавна собственост, а голяма част от територията на природните паркове се стопанисва и управлява от държавата и общините, като собствеността им е публична. Съгласно становището, качественото разработване на планове за управление на тези категории защитени територии изисква доказан капацитет и опит в подобен тип дейности, каквито притежават държавните и общински органи, както и неправителствените организации в сектора.</w:t>
      </w:r>
    </w:p>
    <w:p w14:paraId="39B9D482" w14:textId="291A4476" w:rsidR="00AC2B65" w:rsidRDefault="00AC2B65" w:rsidP="003A2903">
      <w:pPr>
        <w:spacing w:before="120" w:after="120" w:line="300" w:lineRule="atLeast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6FC13669" w14:textId="77777777" w:rsidR="00AC2B65" w:rsidRDefault="00AC2B65" w:rsidP="003A2903">
      <w:pPr>
        <w:spacing w:before="120" w:after="120" w:line="300" w:lineRule="atLeast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</w:p>
    <w:p w14:paraId="02FCE069" w14:textId="64413348" w:rsidR="004D783E" w:rsidRPr="00751533" w:rsidRDefault="001A4073" w:rsidP="00751533">
      <w:pPr>
        <w:spacing w:before="120" w:after="120" w:line="300" w:lineRule="atLeast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sectPr w:rsidR="004D783E" w:rsidRPr="00751533" w:rsidSect="00135C5E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AC6F2" w14:textId="77777777" w:rsidR="00DE4008" w:rsidRDefault="00DE4008">
      <w:pPr>
        <w:spacing w:after="0" w:line="240" w:lineRule="auto"/>
      </w:pPr>
      <w:r>
        <w:separator/>
      </w:r>
    </w:p>
  </w:endnote>
  <w:endnote w:type="continuationSeparator" w:id="0">
    <w:p w14:paraId="33A6744F" w14:textId="77777777" w:rsidR="00DE4008" w:rsidRDefault="00DE4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62B0" w14:textId="77777777" w:rsidR="004D783E" w:rsidRDefault="003F21AC">
    <w:pPr>
      <w:pStyle w:val="Footer"/>
      <w:jc w:val="right"/>
    </w:pPr>
    <w:r>
      <w:rPr>
        <w:rFonts w:ascii="Times New Roman" w:hAnsi="Times New Roman" w:cs="Times New Roman"/>
        <w:lang w:val="bg-BG"/>
      </w:rPr>
      <w:t>Стр.</w:t>
    </w: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fldChar w:fldCharType="begin"/>
    </w:r>
    <w:r>
      <w:rPr>
        <w:rFonts w:ascii="Times New Roman" w:hAnsi="Times New Roman" w:cs="Times New Roman"/>
        <w:b/>
        <w:bCs/>
      </w:rPr>
      <w:instrText xml:space="preserve"> PAGE </w:instrText>
    </w:r>
    <w:r>
      <w:rPr>
        <w:rFonts w:ascii="Times New Roman" w:hAnsi="Times New Roman" w:cs="Times New Roman"/>
        <w:b/>
        <w:bCs/>
        <w:sz w:val="24"/>
        <w:szCs w:val="24"/>
      </w:rPr>
      <w:fldChar w:fldCharType="separate"/>
    </w:r>
    <w:r>
      <w:rPr>
        <w:rFonts w:ascii="Times New Roman" w:hAnsi="Times New Roman" w:cs="Times New Roman"/>
        <w:b/>
        <w:bCs/>
        <w:noProof/>
      </w:rPr>
      <w:t>2</w:t>
    </w:r>
    <w:r>
      <w:rPr>
        <w:rFonts w:ascii="Times New Roman" w:hAnsi="Times New Roman" w:cs="Times New Roman"/>
        <w:b/>
        <w:bCs/>
        <w:sz w:val="24"/>
        <w:szCs w:val="24"/>
      </w:rPr>
      <w:fldChar w:fldCharType="end"/>
    </w: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lang w:val="bg-BG"/>
      </w:rPr>
      <w:t>от</w:t>
    </w: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fldChar w:fldCharType="begin"/>
    </w:r>
    <w:r>
      <w:rPr>
        <w:rFonts w:ascii="Times New Roman" w:hAnsi="Times New Roman" w:cs="Times New Roman"/>
        <w:b/>
        <w:bCs/>
      </w:rPr>
      <w:instrText xml:space="preserve"> NUMPAGES  </w:instrText>
    </w:r>
    <w:r>
      <w:rPr>
        <w:rFonts w:ascii="Times New Roman" w:hAnsi="Times New Roman" w:cs="Times New Roman"/>
        <w:b/>
        <w:bCs/>
        <w:sz w:val="24"/>
        <w:szCs w:val="24"/>
      </w:rPr>
      <w:fldChar w:fldCharType="separate"/>
    </w:r>
    <w:r>
      <w:rPr>
        <w:rFonts w:ascii="Times New Roman" w:hAnsi="Times New Roman" w:cs="Times New Roman"/>
        <w:b/>
        <w:bCs/>
        <w:noProof/>
      </w:rPr>
      <w:t>2</w:t>
    </w:r>
    <w:r>
      <w:rPr>
        <w:rFonts w:ascii="Times New Roman" w:hAnsi="Times New Roman" w:cs="Times New Roman"/>
        <w:b/>
        <w:bCs/>
        <w:sz w:val="24"/>
        <w:szCs w:val="24"/>
      </w:rPr>
      <w:fldChar w:fldCharType="end"/>
    </w:r>
  </w:p>
  <w:p w14:paraId="6ADBBF78" w14:textId="77777777" w:rsidR="004D783E" w:rsidRDefault="004D7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2D08" w14:textId="77777777" w:rsidR="00DE4008" w:rsidRDefault="00DE4008">
      <w:pPr>
        <w:spacing w:after="0" w:line="240" w:lineRule="auto"/>
      </w:pPr>
      <w:r>
        <w:separator/>
      </w:r>
    </w:p>
  </w:footnote>
  <w:footnote w:type="continuationSeparator" w:id="0">
    <w:p w14:paraId="672CA6A8" w14:textId="77777777" w:rsidR="00DE4008" w:rsidRDefault="00DE4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19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94"/>
      <w:gridCol w:w="5670"/>
      <w:gridCol w:w="2835"/>
    </w:tblGrid>
    <w:tr w:rsidR="004D783E" w14:paraId="73CBFCD1" w14:textId="77777777">
      <w:trPr>
        <w:trHeight w:val="1270"/>
        <w:jc w:val="center"/>
      </w:trPr>
      <w:tc>
        <w:tcPr>
          <w:tcW w:w="2694" w:type="dxa"/>
        </w:tcPr>
        <w:p w14:paraId="0B491739" w14:textId="77777777" w:rsidR="004D783E" w:rsidRDefault="003F21AC">
          <w:pPr>
            <w:ind w:left="-971" w:firstLine="291"/>
            <w:jc w:val="center"/>
          </w:pPr>
          <w:r>
            <w:rPr>
              <w:noProof/>
            </w:rPr>
            <w:drawing>
              <wp:inline distT="0" distB="0" distL="0" distR="0" wp14:anchorId="0D2ACF69" wp14:editId="3E63B20E">
                <wp:extent cx="914400" cy="926967"/>
                <wp:effectExtent l="0" t="0" r="0" b="6985"/>
                <wp:docPr id="7" name="Pictur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/>
                      </pic:nvPicPr>
                      <pic:blipFill>
                        <a:blip r:embed="rId1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914400" cy="9269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0CA074" w14:textId="77777777" w:rsidR="004D783E" w:rsidRDefault="003F21AC">
          <w:pPr>
            <w:tabs>
              <w:tab w:val="left" w:pos="3585"/>
            </w:tabs>
            <w:ind w:left="-971"/>
            <w:jc w:val="center"/>
          </w:pPr>
          <w:r>
            <w:rPr>
              <w:rFonts w:ascii="Times New Roman" w:hAnsi="Times New Roman" w:cs="Times New Roman"/>
              <w:noProof/>
              <w:color w:val="767171"/>
              <w:sz w:val="20"/>
              <w:szCs w:val="20"/>
              <w:lang w:val="bg-BG"/>
            </w:rPr>
            <mc:AlternateContent>
              <mc:Choice Requires="wps">
                <w:drawing>
                  <wp:anchor distT="0" distB="0" distL="0" distR="0" simplePos="0" relativeHeight="2" behindDoc="0" locked="0" layoutInCell="1" allowOverlap="1" wp14:anchorId="11B2A4CC" wp14:editId="0D68D432">
                    <wp:simplePos x="0" y="0"/>
                    <wp:positionH relativeFrom="column">
                      <wp:posOffset>-39370</wp:posOffset>
                    </wp:positionH>
                    <wp:positionV relativeFrom="paragraph">
                      <wp:posOffset>43180</wp:posOffset>
                    </wp:positionV>
                    <wp:extent cx="7134225" cy="0"/>
                    <wp:effectExtent l="0" t="0" r="0" b="0"/>
                    <wp:wrapNone/>
                    <wp:docPr id="4098" name="Straight Connector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V="1">
                              <a:off x="0" y="0"/>
                              <a:ext cx="713422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AEABAB"/>
                              </a:solidFill>
                              <a:prstDash val="solid"/>
                              <a:miter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psCustomData="http://www.wps.cn/officeDocument/2013/wpsCustomData">
                <w:pict>
                  <v:line id="4098" filled="f" stroked="t" from="-3.1000001pt,3.4pt" to="558.65pt,3.4pt" style="position:absolute;z-index:2;mso-position-horizontal-relative:text;mso-position-vertical-relative:text;mso-width-percent:0;mso-height-percent:0;mso-width-relative:margin;mso-height-relative:margin;mso-wrap-distance-left:0.0pt;mso-wrap-distance-right:0.0pt;visibility:visible;flip:y;">
                    <v:stroke joinstyle="miter" color="#aeabab" weight="0.5pt"/>
                    <v:fill/>
                  </v:line>
                </w:pict>
              </mc:Fallback>
            </mc:AlternateContent>
          </w:r>
        </w:p>
      </w:tc>
      <w:tc>
        <w:tcPr>
          <w:tcW w:w="5670" w:type="dxa"/>
        </w:tcPr>
        <w:p w14:paraId="15744534" w14:textId="77777777" w:rsidR="004D783E" w:rsidRDefault="004D783E">
          <w:pPr>
            <w:pStyle w:val="Header"/>
            <w:jc w:val="center"/>
            <w:rPr>
              <w:rFonts w:ascii="Arial Narrow" w:hAnsi="Arial Narrow" w:cs="Arial"/>
              <w:b/>
              <w:noProof/>
              <w:color w:val="767171"/>
              <w:spacing w:val="80"/>
              <w:lang w:eastAsia="bg-BG"/>
            </w:rPr>
          </w:pPr>
        </w:p>
        <w:p w14:paraId="288FA52C" w14:textId="77777777" w:rsidR="004D783E" w:rsidRDefault="004D783E">
          <w:pPr>
            <w:pStyle w:val="Header"/>
            <w:spacing w:line="276" w:lineRule="auto"/>
            <w:jc w:val="center"/>
            <w:rPr>
              <w:rFonts w:ascii="Arial" w:hAnsi="Arial" w:cs="Arial"/>
              <w:b/>
              <w:noProof/>
              <w:color w:val="767171"/>
              <w:spacing w:val="80"/>
              <w:lang w:eastAsia="bg-BG"/>
            </w:rPr>
          </w:pPr>
        </w:p>
        <w:p w14:paraId="29C05530" w14:textId="77777777" w:rsidR="004D783E" w:rsidRDefault="003F21AC">
          <w:pPr>
            <w:pStyle w:val="Header"/>
            <w:spacing w:line="276" w:lineRule="auto"/>
            <w:jc w:val="center"/>
            <w:rPr>
              <w:rFonts w:ascii="Arial" w:hAnsi="Arial" w:cs="Arial"/>
              <w:b/>
              <w:noProof/>
              <w:color w:val="767171"/>
              <w:spacing w:val="80"/>
              <w:lang w:eastAsia="bg-BG"/>
            </w:rPr>
          </w:pPr>
          <w:r>
            <w:rPr>
              <w:rFonts w:ascii="Arial" w:hAnsi="Arial" w:cs="Arial"/>
              <w:b/>
              <w:noProof/>
              <w:color w:val="767171"/>
              <w:spacing w:val="80"/>
              <w:lang w:eastAsia="bg-BG"/>
            </w:rPr>
            <w:t>ПРОГРАМА</w:t>
          </w:r>
        </w:p>
        <w:p w14:paraId="5290E1DC" w14:textId="77777777" w:rsidR="004D783E" w:rsidRDefault="003F21AC">
          <w:pPr>
            <w:pStyle w:val="Header"/>
            <w:spacing w:line="276" w:lineRule="auto"/>
            <w:jc w:val="center"/>
            <w:rPr>
              <w:rFonts w:ascii="Arial" w:hAnsi="Arial" w:cs="Arial"/>
              <w:b/>
              <w:noProof/>
              <w:color w:val="767171"/>
              <w:spacing w:val="80"/>
              <w:sz w:val="20"/>
              <w:szCs w:val="20"/>
              <w:lang w:eastAsia="bg-BG"/>
            </w:rPr>
          </w:pPr>
          <w:r>
            <w:rPr>
              <w:rFonts w:ascii="Arial" w:hAnsi="Arial" w:cs="Arial"/>
              <w:b/>
              <w:noProof/>
              <w:color w:val="767171"/>
              <w:spacing w:val="80"/>
              <w:lang w:eastAsia="bg-BG"/>
            </w:rPr>
            <w:t>„ОКОЛНА СРЕДА” 2021–20</w:t>
          </w:r>
          <w:r>
            <w:rPr>
              <w:rFonts w:ascii="Arial" w:hAnsi="Arial" w:cs="Arial"/>
              <w:b/>
              <w:noProof/>
              <w:color w:val="767171"/>
              <w:spacing w:val="80"/>
              <w:lang w:val="ru-RU" w:eastAsia="bg-BG"/>
            </w:rPr>
            <w:t>2</w:t>
          </w:r>
          <w:r>
            <w:rPr>
              <w:rFonts w:ascii="Arial" w:hAnsi="Arial" w:cs="Arial"/>
              <w:b/>
              <w:noProof/>
              <w:color w:val="767171"/>
              <w:spacing w:val="80"/>
              <w:lang w:eastAsia="bg-BG"/>
            </w:rPr>
            <w:t>7г.</w:t>
          </w:r>
        </w:p>
      </w:tc>
      <w:tc>
        <w:tcPr>
          <w:tcW w:w="2835" w:type="dxa"/>
          <w:vAlign w:val="center"/>
        </w:tcPr>
        <w:p w14:paraId="1B35A372" w14:textId="77777777" w:rsidR="004D783E" w:rsidRDefault="003F21AC">
          <w:pPr>
            <w:ind w:left="183"/>
            <w:jc w:val="right"/>
          </w:pPr>
          <w:r>
            <w:rPr>
              <w:noProof/>
            </w:rPr>
            <w:drawing>
              <wp:inline distT="0" distB="0" distL="0" distR="0" wp14:anchorId="09A12A7B" wp14:editId="06E75986">
                <wp:extent cx="1164590" cy="942129"/>
                <wp:effectExtent l="0" t="0" r="0" b="0"/>
                <wp:docPr id="8" name="Pictur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5"/>
                        <pic:cNvPicPr/>
                      </pic:nvPicPr>
                      <pic:blipFill>
                        <a:blip r:embed="rId2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1164590" cy="9421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AEC4CD" w14:textId="77777777" w:rsidR="004D783E" w:rsidRDefault="004D78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212A"/>
    <w:multiLevelType w:val="hybridMultilevel"/>
    <w:tmpl w:val="929E36D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CFF"/>
    <w:multiLevelType w:val="hybridMultilevel"/>
    <w:tmpl w:val="BA58501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D87665"/>
    <w:multiLevelType w:val="hybridMultilevel"/>
    <w:tmpl w:val="BA2E2F8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703D9"/>
    <w:multiLevelType w:val="hybridMultilevel"/>
    <w:tmpl w:val="555AEEE4"/>
    <w:lvl w:ilvl="0" w:tplc="0402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3C6E06B9"/>
    <w:multiLevelType w:val="hybridMultilevel"/>
    <w:tmpl w:val="22E4EE5C"/>
    <w:lvl w:ilvl="0" w:tplc="0402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2207FD3"/>
    <w:multiLevelType w:val="hybridMultilevel"/>
    <w:tmpl w:val="BFB4007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65329A"/>
    <w:multiLevelType w:val="hybridMultilevel"/>
    <w:tmpl w:val="BA58501A"/>
    <w:lvl w:ilvl="0" w:tplc="C972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1B68E6"/>
    <w:multiLevelType w:val="hybridMultilevel"/>
    <w:tmpl w:val="0D8E79D8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8C0B0A"/>
    <w:multiLevelType w:val="hybridMultilevel"/>
    <w:tmpl w:val="0CFC827A"/>
    <w:lvl w:ilvl="0" w:tplc="0402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69C43F4"/>
    <w:multiLevelType w:val="hybridMultilevel"/>
    <w:tmpl w:val="058AE79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3F13B2"/>
    <w:multiLevelType w:val="hybridMultilevel"/>
    <w:tmpl w:val="8C4A839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080D7C"/>
    <w:multiLevelType w:val="hybridMultilevel"/>
    <w:tmpl w:val="6BA4DE5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7E7F32"/>
    <w:multiLevelType w:val="hybridMultilevel"/>
    <w:tmpl w:val="CCB6E70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F24A7D"/>
    <w:multiLevelType w:val="hybridMultilevel"/>
    <w:tmpl w:val="929E36D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7815C9C"/>
    <w:multiLevelType w:val="hybridMultilevel"/>
    <w:tmpl w:val="2BCEFAB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F4DFE"/>
    <w:multiLevelType w:val="hybridMultilevel"/>
    <w:tmpl w:val="929E36D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C64093"/>
    <w:multiLevelType w:val="hybridMultilevel"/>
    <w:tmpl w:val="BA58501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6660392">
    <w:abstractNumId w:val="4"/>
  </w:num>
  <w:num w:numId="2" w16cid:durableId="1395589769">
    <w:abstractNumId w:val="6"/>
  </w:num>
  <w:num w:numId="3" w16cid:durableId="495995620">
    <w:abstractNumId w:val="5"/>
  </w:num>
  <w:num w:numId="4" w16cid:durableId="167991090">
    <w:abstractNumId w:val="0"/>
  </w:num>
  <w:num w:numId="5" w16cid:durableId="39326395">
    <w:abstractNumId w:val="16"/>
  </w:num>
  <w:num w:numId="6" w16cid:durableId="1518888887">
    <w:abstractNumId w:val="1"/>
  </w:num>
  <w:num w:numId="7" w16cid:durableId="143671154">
    <w:abstractNumId w:val="11"/>
  </w:num>
  <w:num w:numId="8" w16cid:durableId="984625334">
    <w:abstractNumId w:val="9"/>
  </w:num>
  <w:num w:numId="9" w16cid:durableId="25909395">
    <w:abstractNumId w:val="12"/>
  </w:num>
  <w:num w:numId="10" w16cid:durableId="1610770623">
    <w:abstractNumId w:val="13"/>
  </w:num>
  <w:num w:numId="11" w16cid:durableId="1003126173">
    <w:abstractNumId w:val="10"/>
  </w:num>
  <w:num w:numId="12" w16cid:durableId="1466384445">
    <w:abstractNumId w:val="15"/>
  </w:num>
  <w:num w:numId="13" w16cid:durableId="676494320">
    <w:abstractNumId w:val="2"/>
  </w:num>
  <w:num w:numId="14" w16cid:durableId="859392426">
    <w:abstractNumId w:val="7"/>
  </w:num>
  <w:num w:numId="15" w16cid:durableId="936327561">
    <w:abstractNumId w:val="14"/>
  </w:num>
  <w:num w:numId="16" w16cid:durableId="1107576582">
    <w:abstractNumId w:val="8"/>
  </w:num>
  <w:num w:numId="17" w16cid:durableId="2086830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3E"/>
    <w:rsid w:val="000064DF"/>
    <w:rsid w:val="00007A30"/>
    <w:rsid w:val="00052EA9"/>
    <w:rsid w:val="000E785F"/>
    <w:rsid w:val="00126E15"/>
    <w:rsid w:val="00135C5E"/>
    <w:rsid w:val="00177D80"/>
    <w:rsid w:val="00182A65"/>
    <w:rsid w:val="001A4073"/>
    <w:rsid w:val="001B2C44"/>
    <w:rsid w:val="001B72A8"/>
    <w:rsid w:val="001E309F"/>
    <w:rsid w:val="001E48BF"/>
    <w:rsid w:val="001F0C27"/>
    <w:rsid w:val="001F3184"/>
    <w:rsid w:val="002044F4"/>
    <w:rsid w:val="002173D9"/>
    <w:rsid w:val="002B5E20"/>
    <w:rsid w:val="002C2577"/>
    <w:rsid w:val="00324479"/>
    <w:rsid w:val="00383E6C"/>
    <w:rsid w:val="00394EFC"/>
    <w:rsid w:val="003A271B"/>
    <w:rsid w:val="003A2903"/>
    <w:rsid w:val="003B00B3"/>
    <w:rsid w:val="003F21AC"/>
    <w:rsid w:val="0041225B"/>
    <w:rsid w:val="00442D4B"/>
    <w:rsid w:val="0045554C"/>
    <w:rsid w:val="00456CCA"/>
    <w:rsid w:val="00470713"/>
    <w:rsid w:val="00477EAF"/>
    <w:rsid w:val="00491AEA"/>
    <w:rsid w:val="004C19E9"/>
    <w:rsid w:val="004C3767"/>
    <w:rsid w:val="004D783E"/>
    <w:rsid w:val="00537FE5"/>
    <w:rsid w:val="00567BF7"/>
    <w:rsid w:val="005A76DD"/>
    <w:rsid w:val="005C7312"/>
    <w:rsid w:val="005E3F9F"/>
    <w:rsid w:val="00616896"/>
    <w:rsid w:val="00622B71"/>
    <w:rsid w:val="0062547A"/>
    <w:rsid w:val="006530E8"/>
    <w:rsid w:val="00660BB1"/>
    <w:rsid w:val="006A4B36"/>
    <w:rsid w:val="006A7410"/>
    <w:rsid w:val="006B5BDD"/>
    <w:rsid w:val="006E054B"/>
    <w:rsid w:val="006F30F9"/>
    <w:rsid w:val="00751533"/>
    <w:rsid w:val="00773DC9"/>
    <w:rsid w:val="007D73F1"/>
    <w:rsid w:val="00827571"/>
    <w:rsid w:val="008A0793"/>
    <w:rsid w:val="008D00A0"/>
    <w:rsid w:val="009076A6"/>
    <w:rsid w:val="00962D8A"/>
    <w:rsid w:val="009A0631"/>
    <w:rsid w:val="009B2FC5"/>
    <w:rsid w:val="009C45D5"/>
    <w:rsid w:val="00A229BF"/>
    <w:rsid w:val="00A6474A"/>
    <w:rsid w:val="00A9562B"/>
    <w:rsid w:val="00AA3279"/>
    <w:rsid w:val="00AC2B65"/>
    <w:rsid w:val="00B11925"/>
    <w:rsid w:val="00B146BD"/>
    <w:rsid w:val="00B82357"/>
    <w:rsid w:val="00BF59B0"/>
    <w:rsid w:val="00C15CF0"/>
    <w:rsid w:val="00C479A6"/>
    <w:rsid w:val="00C565E7"/>
    <w:rsid w:val="00C607E6"/>
    <w:rsid w:val="00CB5505"/>
    <w:rsid w:val="00D56ED4"/>
    <w:rsid w:val="00DD2299"/>
    <w:rsid w:val="00DE4008"/>
    <w:rsid w:val="00DF17B9"/>
    <w:rsid w:val="00ED6541"/>
    <w:rsid w:val="00EE0D5E"/>
    <w:rsid w:val="00F10A18"/>
    <w:rsid w:val="00F36C18"/>
    <w:rsid w:val="00FC04BB"/>
    <w:rsid w:val="00F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B997"/>
  <w15:docId w15:val="{68AE8EBF-809C-4AFB-A180-2C27F71E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Pr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Revision">
    <w:name w:val="Revision"/>
    <w:uiPriority w:val="99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OPOS BG16</dc:creator>
  <cp:lastModifiedBy>OPOS</cp:lastModifiedBy>
  <cp:revision>46</cp:revision>
  <dcterms:created xsi:type="dcterms:W3CDTF">2024-03-11T15:24:00Z</dcterms:created>
  <dcterms:modified xsi:type="dcterms:W3CDTF">2024-06-28T08:42:00Z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96c4ef4024014a29be3f8de9f3299e1d</vt:lpwstr>
  </property>
</Properties>
</file>