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D6DC4" w14:textId="77777777" w:rsidR="00C21CE9" w:rsidRDefault="00C21CE9" w:rsidP="001A36D6">
      <w:pPr>
        <w:pStyle w:val="Header"/>
        <w:ind w:left="3545"/>
        <w:jc w:val="center"/>
        <w:rPr>
          <w:b/>
          <w:bCs/>
          <w:lang w:val="en-US"/>
        </w:rPr>
      </w:pPr>
    </w:p>
    <w:p w14:paraId="7FA0FD6C" w14:textId="0B31B3DA" w:rsidR="001A36D6" w:rsidRPr="003E1000" w:rsidRDefault="001A36D6" w:rsidP="001A36D6">
      <w:pPr>
        <w:pStyle w:val="Header"/>
        <w:ind w:left="3545"/>
        <w:jc w:val="center"/>
        <w:rPr>
          <w:b/>
          <w:bCs/>
          <w:lang w:eastAsia="fr-FR"/>
        </w:rPr>
      </w:pPr>
      <w:r w:rsidRPr="003E1000">
        <w:rPr>
          <w:b/>
          <w:bCs/>
        </w:rPr>
        <w:t xml:space="preserve">     </w:t>
      </w:r>
    </w:p>
    <w:p w14:paraId="5E272639" w14:textId="77777777" w:rsidR="00921644" w:rsidRPr="003E1000" w:rsidRDefault="00921644" w:rsidP="004012BA">
      <w:pPr>
        <w:ind w:left="11344"/>
        <w:jc w:val="both"/>
      </w:pPr>
    </w:p>
    <w:tbl>
      <w:tblPr>
        <w:tblW w:w="15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389"/>
        <w:gridCol w:w="6407"/>
        <w:gridCol w:w="3232"/>
        <w:gridCol w:w="1984"/>
      </w:tblGrid>
      <w:tr w:rsidR="00921644" w:rsidRPr="000D2B71" w14:paraId="0FCE2E1F" w14:textId="77777777" w:rsidTr="005642BC">
        <w:trPr>
          <w:trHeight w:val="2874"/>
        </w:trPr>
        <w:tc>
          <w:tcPr>
            <w:tcW w:w="2977" w:type="dxa"/>
            <w:gridSpan w:val="2"/>
            <w:shd w:val="clear" w:color="auto" w:fill="auto"/>
          </w:tcPr>
          <w:p w14:paraId="1EF23AA4" w14:textId="77777777" w:rsidR="004012BA" w:rsidRPr="003E1000" w:rsidRDefault="004012BA" w:rsidP="00F237AC">
            <w:pPr>
              <w:tabs>
                <w:tab w:val="left" w:pos="1315"/>
              </w:tabs>
              <w:rPr>
                <w:rFonts w:ascii="Verdana" w:hAnsi="Verdana"/>
                <w:sz w:val="22"/>
                <w:szCs w:val="22"/>
              </w:rPr>
            </w:pPr>
            <w:r w:rsidRPr="003E1000">
              <w:rPr>
                <w:rFonts w:ascii="Verdana" w:hAnsi="Verdana"/>
                <w:sz w:val="22"/>
                <w:szCs w:val="22"/>
              </w:rPr>
              <w:t xml:space="preserve">       </w:t>
            </w:r>
          </w:p>
          <w:p w14:paraId="4DC06890" w14:textId="77777777" w:rsidR="004012BA" w:rsidRPr="003E1000" w:rsidRDefault="004012BA" w:rsidP="00F237AC">
            <w:pPr>
              <w:tabs>
                <w:tab w:val="left" w:pos="1315"/>
              </w:tabs>
              <w:rPr>
                <w:rFonts w:ascii="Verdana" w:hAnsi="Verdana"/>
                <w:sz w:val="22"/>
                <w:szCs w:val="22"/>
              </w:rPr>
            </w:pPr>
          </w:p>
          <w:p w14:paraId="697844FC" w14:textId="4B267A88" w:rsidR="005828BB" w:rsidRPr="000D2B71" w:rsidRDefault="00894C54" w:rsidP="001C62E3">
            <w:pPr>
              <w:jc w:val="center"/>
              <w:rPr>
                <w:rFonts w:ascii="Verdana" w:hAnsi="Verdana"/>
                <w:sz w:val="22"/>
                <w:szCs w:val="22"/>
              </w:rPr>
            </w:pPr>
            <w:r w:rsidRPr="000D2B71">
              <w:rPr>
                <w:rFonts w:ascii="Verdana" w:hAnsi="Verdana"/>
                <w:noProof/>
                <w:sz w:val="22"/>
                <w:szCs w:val="22"/>
              </w:rPr>
              <w:drawing>
                <wp:inline distT="0" distB="0" distL="0" distR="0" wp14:anchorId="2B8EE182" wp14:editId="1261C099">
                  <wp:extent cx="890270"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914400"/>
                          </a:xfrm>
                          <a:prstGeom prst="rect">
                            <a:avLst/>
                          </a:prstGeom>
                          <a:noFill/>
                        </pic:spPr>
                      </pic:pic>
                    </a:graphicData>
                  </a:graphic>
                </wp:inline>
              </w:drawing>
            </w:r>
          </w:p>
        </w:tc>
        <w:tc>
          <w:tcPr>
            <w:tcW w:w="11028" w:type="dxa"/>
            <w:gridSpan w:val="3"/>
          </w:tcPr>
          <w:p w14:paraId="45FB6E3C" w14:textId="77777777" w:rsidR="00921644" w:rsidRPr="000D2B71" w:rsidRDefault="00921644" w:rsidP="00F237AC">
            <w:pPr>
              <w:pStyle w:val="TableContents"/>
              <w:tabs>
                <w:tab w:val="center" w:pos="1168"/>
                <w:tab w:val="right" w:pos="2336"/>
              </w:tabs>
              <w:spacing w:after="0"/>
              <w:jc w:val="right"/>
              <w:rPr>
                <w:b/>
                <w:sz w:val="20"/>
                <w:lang w:val="bg-BG"/>
              </w:rPr>
            </w:pPr>
          </w:p>
          <w:p w14:paraId="59C0C2D8" w14:textId="77777777" w:rsidR="00921644" w:rsidRPr="000D2B71" w:rsidRDefault="00921644" w:rsidP="00A4221D">
            <w:pPr>
              <w:pStyle w:val="TableContents"/>
              <w:tabs>
                <w:tab w:val="center" w:pos="1168"/>
                <w:tab w:val="right" w:pos="2336"/>
              </w:tabs>
              <w:spacing w:after="0"/>
              <w:rPr>
                <w:b/>
                <w:sz w:val="20"/>
                <w:lang w:val="bg-BG"/>
              </w:rPr>
            </w:pPr>
          </w:p>
          <w:p w14:paraId="52FFCA82" w14:textId="77777777" w:rsidR="00921644" w:rsidRPr="000D2B71" w:rsidRDefault="00921644" w:rsidP="00F237AC">
            <w:pPr>
              <w:pStyle w:val="TableContents"/>
              <w:tabs>
                <w:tab w:val="center" w:pos="1168"/>
                <w:tab w:val="right" w:pos="2336"/>
              </w:tabs>
              <w:spacing w:after="0"/>
              <w:jc w:val="center"/>
              <w:rPr>
                <w:b/>
                <w:sz w:val="20"/>
                <w:lang w:val="bg-BG"/>
              </w:rPr>
            </w:pPr>
            <w:r w:rsidRPr="000D2B71">
              <w:rPr>
                <w:b/>
                <w:sz w:val="20"/>
                <w:lang w:val="bg-BG"/>
              </w:rPr>
              <w:t>МИНИСТЕРСТВО НА ОКОЛНАТА СРЕДА И ВОДИТЕ</w:t>
            </w:r>
          </w:p>
          <w:p w14:paraId="3A08C899" w14:textId="77777777" w:rsidR="00921644" w:rsidRPr="000D2B71" w:rsidRDefault="00921644" w:rsidP="00893A9C">
            <w:pPr>
              <w:jc w:val="center"/>
              <w:rPr>
                <w:rFonts w:ascii="Verdana" w:hAnsi="Verdana"/>
                <w:sz w:val="22"/>
                <w:szCs w:val="22"/>
              </w:rPr>
            </w:pPr>
            <w:r w:rsidRPr="000D2B71">
              <w:rPr>
                <w:b/>
                <w:sz w:val="20"/>
              </w:rPr>
              <w:t xml:space="preserve">Главна дирекция „Оперативна програма „Околна среда“ – Управляващ орган на </w:t>
            </w:r>
            <w:r w:rsidR="001C62E3" w:rsidRPr="000D2B71">
              <w:rPr>
                <w:b/>
                <w:sz w:val="20"/>
              </w:rPr>
              <w:t>П</w:t>
            </w:r>
            <w:r w:rsidRPr="000D2B71">
              <w:rPr>
                <w:b/>
                <w:sz w:val="20"/>
              </w:rPr>
              <w:t>рограма „Околна среда</w:t>
            </w:r>
            <w:r w:rsidR="001C62E3" w:rsidRPr="000D2B71">
              <w:rPr>
                <w:b/>
                <w:sz w:val="20"/>
              </w:rPr>
              <w:t>“</w:t>
            </w:r>
            <w:r w:rsidRPr="000D2B71">
              <w:rPr>
                <w:b/>
                <w:sz w:val="20"/>
              </w:rPr>
              <w:t xml:space="preserve"> 20</w:t>
            </w:r>
            <w:r w:rsidR="001C62E3" w:rsidRPr="000D2B71">
              <w:rPr>
                <w:b/>
                <w:sz w:val="20"/>
              </w:rPr>
              <w:t>2</w:t>
            </w:r>
            <w:r w:rsidRPr="000D2B71">
              <w:rPr>
                <w:b/>
                <w:sz w:val="20"/>
              </w:rPr>
              <w:t>1-202</w:t>
            </w:r>
            <w:r w:rsidR="001C62E3" w:rsidRPr="000D2B71">
              <w:rPr>
                <w:b/>
                <w:sz w:val="20"/>
              </w:rPr>
              <w:t>7</w:t>
            </w:r>
            <w:r w:rsidRPr="000D2B71">
              <w:rPr>
                <w:b/>
                <w:sz w:val="20"/>
              </w:rPr>
              <w:t xml:space="preserve"> г. (ПОС 20</w:t>
            </w:r>
            <w:r w:rsidR="001C62E3" w:rsidRPr="000D2B71">
              <w:rPr>
                <w:b/>
                <w:sz w:val="20"/>
              </w:rPr>
              <w:t>2</w:t>
            </w:r>
            <w:r w:rsidRPr="000D2B71">
              <w:rPr>
                <w:b/>
                <w:sz w:val="20"/>
              </w:rPr>
              <w:t>1-202</w:t>
            </w:r>
            <w:r w:rsidR="001C62E3" w:rsidRPr="000D2B71">
              <w:rPr>
                <w:b/>
                <w:sz w:val="20"/>
              </w:rPr>
              <w:t>7</w:t>
            </w:r>
            <w:r w:rsidRPr="000D2B71">
              <w:rPr>
                <w:b/>
                <w:sz w:val="20"/>
              </w:rPr>
              <w:t xml:space="preserve"> г.)</w:t>
            </w:r>
          </w:p>
          <w:p w14:paraId="7E047A95" w14:textId="52DF6B4D" w:rsidR="00921644" w:rsidRPr="000D2B71" w:rsidRDefault="00921644" w:rsidP="00893A9C">
            <w:pPr>
              <w:pStyle w:val="TableContents"/>
              <w:tabs>
                <w:tab w:val="center" w:pos="1168"/>
                <w:tab w:val="right" w:pos="2336"/>
                <w:tab w:val="left" w:pos="2980"/>
              </w:tabs>
              <w:spacing w:after="0"/>
              <w:jc w:val="center"/>
              <w:rPr>
                <w:b/>
                <w:sz w:val="8"/>
                <w:szCs w:val="8"/>
                <w:lang w:val="bg-BG"/>
              </w:rPr>
            </w:pPr>
          </w:p>
          <w:p w14:paraId="0CDFA0A4" w14:textId="77777777" w:rsidR="00921644" w:rsidRPr="000D2B71" w:rsidRDefault="00921644" w:rsidP="00F237AC">
            <w:pPr>
              <w:pStyle w:val="TableContents"/>
              <w:tabs>
                <w:tab w:val="center" w:pos="1168"/>
                <w:tab w:val="right" w:pos="2336"/>
              </w:tabs>
              <w:spacing w:after="0"/>
              <w:jc w:val="center"/>
              <w:rPr>
                <w:b/>
                <w:szCs w:val="24"/>
                <w:lang w:val="bg-BG"/>
              </w:rPr>
            </w:pPr>
          </w:p>
          <w:p w14:paraId="7A226674" w14:textId="71C2E632" w:rsidR="00921644" w:rsidRPr="000D2B71" w:rsidRDefault="00921644" w:rsidP="006F033D">
            <w:pPr>
              <w:pStyle w:val="TableContents"/>
              <w:tabs>
                <w:tab w:val="center" w:pos="1168"/>
                <w:tab w:val="right" w:pos="2336"/>
              </w:tabs>
              <w:jc w:val="center"/>
              <w:rPr>
                <w:b/>
                <w:szCs w:val="24"/>
                <w:lang w:val="bg-BG"/>
              </w:rPr>
            </w:pPr>
            <w:r w:rsidRPr="000D2B71">
              <w:rPr>
                <w:b/>
                <w:szCs w:val="24"/>
                <w:lang w:val="bg-BG"/>
              </w:rPr>
              <w:t xml:space="preserve">Справка за </w:t>
            </w:r>
            <w:r w:rsidR="00C77B62" w:rsidRPr="000D2B71">
              <w:rPr>
                <w:b/>
                <w:szCs w:val="24"/>
                <w:lang w:val="bg-BG"/>
              </w:rPr>
              <w:t xml:space="preserve">получените </w:t>
            </w:r>
            <w:r w:rsidRPr="000D2B71">
              <w:rPr>
                <w:b/>
                <w:szCs w:val="24"/>
                <w:lang w:val="bg-BG"/>
              </w:rPr>
              <w:t xml:space="preserve">предложения и възражения на заинтересованите лица </w:t>
            </w:r>
            <w:r w:rsidRPr="000D2B71">
              <w:rPr>
                <w:b/>
                <w:noProof/>
                <w:szCs w:val="24"/>
                <w:lang w:val="bg-BG"/>
              </w:rPr>
              <w:t xml:space="preserve">по процедура </w:t>
            </w:r>
            <w:r w:rsidR="006F033D" w:rsidRPr="000D2B71">
              <w:rPr>
                <w:b/>
                <w:noProof/>
                <w:szCs w:val="24"/>
                <w:lang w:val="bg-BG"/>
              </w:rPr>
              <w:t xml:space="preserve">чрез подбор на проектни предложения № </w:t>
            </w:r>
            <w:r w:rsidR="00483BA1" w:rsidRPr="000D2B71">
              <w:rPr>
                <w:b/>
                <w:noProof/>
                <w:szCs w:val="24"/>
                <w:lang w:val="bg-BG"/>
              </w:rPr>
              <w:t xml:space="preserve">BG16FFPR002-3.011 </w:t>
            </w:r>
            <w:r w:rsidR="006F033D" w:rsidRPr="000D2B71">
              <w:rPr>
                <w:b/>
                <w:noProof/>
                <w:szCs w:val="24"/>
                <w:lang w:val="bg-BG"/>
              </w:rPr>
              <w:t>„Изпълнение на м</w:t>
            </w:r>
            <w:r w:rsidR="00A87E0B" w:rsidRPr="000D2B71">
              <w:rPr>
                <w:b/>
                <w:noProof/>
                <w:szCs w:val="24"/>
                <w:lang w:val="bg-BG"/>
              </w:rPr>
              <w:t>я</w:t>
            </w:r>
            <w:r w:rsidR="006F033D" w:rsidRPr="000D2B71">
              <w:rPr>
                <w:b/>
                <w:noProof/>
                <w:szCs w:val="24"/>
                <w:lang w:val="bg-BG"/>
              </w:rPr>
              <w:t>рк</w:t>
            </w:r>
            <w:r w:rsidR="00A87E0B" w:rsidRPr="000D2B71">
              <w:rPr>
                <w:b/>
                <w:noProof/>
                <w:szCs w:val="24"/>
                <w:lang w:val="bg-BG"/>
              </w:rPr>
              <w:t>а</w:t>
            </w:r>
            <w:r w:rsidR="006F033D" w:rsidRPr="000D2B71">
              <w:rPr>
                <w:b/>
                <w:noProof/>
                <w:szCs w:val="24"/>
                <w:lang w:val="bg-BG"/>
              </w:rPr>
              <w:t xml:space="preserve"> </w:t>
            </w:r>
            <w:r w:rsidR="00483BA1" w:rsidRPr="000D2B71">
              <w:rPr>
                <w:b/>
                <w:noProof/>
                <w:szCs w:val="24"/>
                <w:lang w:val="bg-BG"/>
              </w:rPr>
              <w:t>70</w:t>
            </w:r>
            <w:r w:rsidR="006F033D" w:rsidRPr="000D2B71">
              <w:rPr>
                <w:b/>
                <w:noProof/>
                <w:szCs w:val="24"/>
                <w:lang w:val="bg-BG"/>
              </w:rPr>
              <w:t xml:space="preserve"> от  Националната рамка за приоритетни действия за НАТУРА 2000“</w:t>
            </w:r>
            <w:r w:rsidR="001C62E3" w:rsidRPr="000D2B71">
              <w:rPr>
                <w:b/>
                <w:noProof/>
                <w:szCs w:val="24"/>
                <w:lang w:val="bg-BG"/>
              </w:rPr>
              <w:t xml:space="preserve"> </w:t>
            </w:r>
            <w:r w:rsidRPr="000D2B71">
              <w:rPr>
                <w:b/>
                <w:szCs w:val="24"/>
                <w:lang w:val="bg-BG"/>
              </w:rPr>
              <w:t xml:space="preserve">от управляващия орган на </w:t>
            </w:r>
            <w:r w:rsidR="001C62E3" w:rsidRPr="000D2B71">
              <w:rPr>
                <w:b/>
                <w:szCs w:val="24"/>
                <w:lang w:val="bg-BG"/>
              </w:rPr>
              <w:t>Програма</w:t>
            </w:r>
            <w:r w:rsidRPr="000D2B71">
              <w:rPr>
                <w:b/>
                <w:szCs w:val="24"/>
                <w:lang w:val="bg-BG"/>
              </w:rPr>
              <w:t xml:space="preserve"> „Околна среда</w:t>
            </w:r>
            <w:r w:rsidR="001C62E3" w:rsidRPr="000D2B71">
              <w:rPr>
                <w:b/>
                <w:szCs w:val="24"/>
                <w:lang w:val="bg-BG"/>
              </w:rPr>
              <w:t>“</w:t>
            </w:r>
            <w:r w:rsidRPr="000D2B71">
              <w:rPr>
                <w:b/>
                <w:szCs w:val="24"/>
                <w:lang w:val="bg-BG"/>
              </w:rPr>
              <w:t xml:space="preserve"> 20</w:t>
            </w:r>
            <w:r w:rsidR="001C62E3" w:rsidRPr="000D2B71">
              <w:rPr>
                <w:b/>
                <w:szCs w:val="24"/>
                <w:lang w:val="bg-BG"/>
              </w:rPr>
              <w:t>2</w:t>
            </w:r>
            <w:r w:rsidRPr="000D2B71">
              <w:rPr>
                <w:b/>
                <w:szCs w:val="24"/>
                <w:lang w:val="bg-BG"/>
              </w:rPr>
              <w:t>1-202</w:t>
            </w:r>
            <w:r w:rsidR="001C62E3" w:rsidRPr="000D2B71">
              <w:rPr>
                <w:b/>
                <w:szCs w:val="24"/>
                <w:lang w:val="bg-BG"/>
              </w:rPr>
              <w:t>7</w:t>
            </w:r>
            <w:r w:rsidRPr="000D2B71">
              <w:rPr>
                <w:b/>
                <w:szCs w:val="24"/>
                <w:lang w:val="bg-BG"/>
              </w:rPr>
              <w:t xml:space="preserve"> г. </w:t>
            </w:r>
          </w:p>
          <w:p w14:paraId="14C156CC" w14:textId="77777777" w:rsidR="00921644" w:rsidRPr="000D2B71" w:rsidRDefault="00921644" w:rsidP="00F237AC"/>
          <w:p w14:paraId="582B7DE4" w14:textId="77777777" w:rsidR="00921644" w:rsidRPr="000D2B71" w:rsidRDefault="00921644" w:rsidP="00F237AC">
            <w:pPr>
              <w:tabs>
                <w:tab w:val="left" w:pos="6186"/>
              </w:tabs>
              <w:rPr>
                <w:rFonts w:ascii="Verdana" w:hAnsi="Verdana"/>
                <w:sz w:val="22"/>
                <w:szCs w:val="22"/>
              </w:rPr>
            </w:pPr>
            <w:r w:rsidRPr="000D2B71">
              <w:tab/>
            </w:r>
          </w:p>
        </w:tc>
        <w:tc>
          <w:tcPr>
            <w:tcW w:w="1984" w:type="dxa"/>
          </w:tcPr>
          <w:p w14:paraId="17896CFF" w14:textId="77777777" w:rsidR="00921644" w:rsidRPr="000D2B71" w:rsidRDefault="00921644" w:rsidP="00F237AC">
            <w:pPr>
              <w:pStyle w:val="TableContents"/>
              <w:tabs>
                <w:tab w:val="center" w:pos="1168"/>
                <w:tab w:val="right" w:pos="2336"/>
              </w:tabs>
              <w:spacing w:after="0"/>
              <w:rPr>
                <w:b/>
                <w:sz w:val="20"/>
                <w:lang w:val="bg-BG"/>
              </w:rPr>
            </w:pPr>
          </w:p>
          <w:p w14:paraId="0E272BF6" w14:textId="4F4368C4" w:rsidR="005828BB" w:rsidRPr="000D2B71" w:rsidRDefault="00894C54" w:rsidP="00F237AC">
            <w:pPr>
              <w:jc w:val="center"/>
            </w:pPr>
            <w:r w:rsidRPr="000D2B71">
              <w:rPr>
                <w:noProof/>
              </w:rPr>
              <w:drawing>
                <wp:inline distT="0" distB="0" distL="0" distR="0" wp14:anchorId="4E81A153" wp14:editId="2D3B1939">
                  <wp:extent cx="1127760" cy="9086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760" cy="908685"/>
                          </a:xfrm>
                          <a:prstGeom prst="rect">
                            <a:avLst/>
                          </a:prstGeom>
                          <a:noFill/>
                        </pic:spPr>
                      </pic:pic>
                    </a:graphicData>
                  </a:graphic>
                </wp:inline>
              </w:drawing>
            </w:r>
          </w:p>
        </w:tc>
      </w:tr>
      <w:tr w:rsidR="00921644" w:rsidRPr="000D2B71" w14:paraId="33DC5032" w14:textId="77777777" w:rsidTr="0075454D">
        <w:trPr>
          <w:trHeight w:val="436"/>
        </w:trPr>
        <w:tc>
          <w:tcPr>
            <w:tcW w:w="426" w:type="dxa"/>
            <w:shd w:val="clear" w:color="auto" w:fill="F2F2F2"/>
          </w:tcPr>
          <w:p w14:paraId="73CC261D" w14:textId="77777777" w:rsidR="00921644" w:rsidRPr="000D2B71" w:rsidRDefault="00921644" w:rsidP="00F237AC">
            <w:pPr>
              <w:jc w:val="center"/>
              <w:rPr>
                <w:b/>
                <w:sz w:val="18"/>
                <w:szCs w:val="18"/>
              </w:rPr>
            </w:pPr>
            <w:r w:rsidRPr="000D2B71">
              <w:rPr>
                <w:b/>
                <w:sz w:val="18"/>
                <w:szCs w:val="18"/>
              </w:rPr>
              <w:t>№</w:t>
            </w:r>
          </w:p>
          <w:p w14:paraId="79DF11FB" w14:textId="77777777" w:rsidR="00921644" w:rsidRPr="000D2B71" w:rsidRDefault="00921644" w:rsidP="00F237AC">
            <w:pPr>
              <w:jc w:val="center"/>
              <w:rPr>
                <w:b/>
                <w:sz w:val="18"/>
                <w:szCs w:val="18"/>
              </w:rPr>
            </w:pPr>
          </w:p>
        </w:tc>
        <w:tc>
          <w:tcPr>
            <w:tcW w:w="2551" w:type="dxa"/>
            <w:shd w:val="clear" w:color="auto" w:fill="F2F2F2"/>
          </w:tcPr>
          <w:p w14:paraId="7DC1B64D" w14:textId="77777777" w:rsidR="00921644" w:rsidRPr="000D2B71" w:rsidRDefault="00921644" w:rsidP="00F237AC">
            <w:pPr>
              <w:rPr>
                <w:b/>
                <w:sz w:val="18"/>
                <w:szCs w:val="18"/>
              </w:rPr>
            </w:pPr>
            <w:r w:rsidRPr="000D2B71">
              <w:rPr>
                <w:b/>
                <w:sz w:val="18"/>
                <w:szCs w:val="18"/>
              </w:rPr>
              <w:t>Данни на подателя</w:t>
            </w:r>
          </w:p>
          <w:p w14:paraId="0B7BAC60" w14:textId="77777777" w:rsidR="00921644" w:rsidRPr="000D2B71" w:rsidRDefault="00921644" w:rsidP="00F237AC">
            <w:pPr>
              <w:rPr>
                <w:b/>
                <w:sz w:val="18"/>
                <w:szCs w:val="18"/>
              </w:rPr>
            </w:pPr>
            <w:r w:rsidRPr="000D2B71">
              <w:rPr>
                <w:b/>
                <w:sz w:val="18"/>
                <w:szCs w:val="18"/>
              </w:rPr>
              <w:t>Име/Наименование</w:t>
            </w:r>
          </w:p>
        </w:tc>
        <w:tc>
          <w:tcPr>
            <w:tcW w:w="1389" w:type="dxa"/>
            <w:tcBorders>
              <w:bottom w:val="single" w:sz="4" w:space="0" w:color="auto"/>
            </w:tcBorders>
            <w:shd w:val="clear" w:color="auto" w:fill="F2F2F2"/>
          </w:tcPr>
          <w:p w14:paraId="229090DB" w14:textId="77777777" w:rsidR="00921644" w:rsidRPr="000D2B71" w:rsidRDefault="00921644" w:rsidP="00F237AC">
            <w:pPr>
              <w:jc w:val="center"/>
              <w:rPr>
                <w:b/>
                <w:sz w:val="18"/>
                <w:szCs w:val="18"/>
              </w:rPr>
            </w:pPr>
            <w:r w:rsidRPr="000D2B71">
              <w:rPr>
                <w:b/>
                <w:sz w:val="18"/>
                <w:szCs w:val="18"/>
              </w:rPr>
              <w:t>Дата на получаване</w:t>
            </w:r>
          </w:p>
          <w:p w14:paraId="1F11DAF5" w14:textId="77777777" w:rsidR="00921644" w:rsidRPr="000D2B71" w:rsidRDefault="00921644" w:rsidP="00F237AC">
            <w:pPr>
              <w:jc w:val="center"/>
              <w:rPr>
                <w:b/>
                <w:sz w:val="18"/>
                <w:szCs w:val="18"/>
              </w:rPr>
            </w:pPr>
          </w:p>
        </w:tc>
        <w:tc>
          <w:tcPr>
            <w:tcW w:w="6407" w:type="dxa"/>
            <w:shd w:val="clear" w:color="auto" w:fill="F2F2F2"/>
          </w:tcPr>
          <w:p w14:paraId="0B09A1BA" w14:textId="77777777" w:rsidR="00921644" w:rsidRPr="000D2B71" w:rsidRDefault="00921644" w:rsidP="00F237AC">
            <w:pPr>
              <w:pStyle w:val="TableContents"/>
              <w:spacing w:after="0"/>
              <w:jc w:val="center"/>
              <w:rPr>
                <w:b/>
                <w:sz w:val="18"/>
                <w:szCs w:val="18"/>
                <w:lang w:val="bg-BG"/>
              </w:rPr>
            </w:pPr>
            <w:r w:rsidRPr="000D2B71">
              <w:rPr>
                <w:b/>
                <w:sz w:val="18"/>
                <w:szCs w:val="18"/>
                <w:lang w:val="bg-BG"/>
              </w:rPr>
              <w:t>Предложение/Възражение</w:t>
            </w:r>
          </w:p>
        </w:tc>
        <w:tc>
          <w:tcPr>
            <w:tcW w:w="5216" w:type="dxa"/>
            <w:gridSpan w:val="2"/>
            <w:shd w:val="clear" w:color="auto" w:fill="F2F2F2"/>
          </w:tcPr>
          <w:p w14:paraId="0B8E234E" w14:textId="77777777" w:rsidR="00921644" w:rsidRPr="000D2B71" w:rsidRDefault="00921644" w:rsidP="00F237AC">
            <w:pPr>
              <w:pStyle w:val="TableContents"/>
              <w:spacing w:after="0"/>
              <w:jc w:val="center"/>
              <w:rPr>
                <w:b/>
                <w:sz w:val="18"/>
                <w:szCs w:val="18"/>
                <w:lang w:val="bg-BG"/>
              </w:rPr>
            </w:pPr>
            <w:r w:rsidRPr="000D2B71">
              <w:rPr>
                <w:b/>
                <w:sz w:val="18"/>
                <w:szCs w:val="18"/>
                <w:lang w:val="bg-BG"/>
              </w:rPr>
              <w:t xml:space="preserve"> </w:t>
            </w:r>
            <w:r w:rsidR="0073440C" w:rsidRPr="000D2B71">
              <w:rPr>
                <w:b/>
                <w:sz w:val="18"/>
                <w:szCs w:val="18"/>
                <w:lang w:val="bg-BG"/>
              </w:rPr>
              <w:t xml:space="preserve"> М</w:t>
            </w:r>
            <w:r w:rsidRPr="000D2B71">
              <w:rPr>
                <w:b/>
                <w:sz w:val="18"/>
                <w:szCs w:val="18"/>
                <w:lang w:val="bg-BG"/>
              </w:rPr>
              <w:t xml:space="preserve">отиви </w:t>
            </w:r>
            <w:r w:rsidR="0073440C" w:rsidRPr="000D2B71">
              <w:rPr>
                <w:b/>
                <w:sz w:val="18"/>
                <w:szCs w:val="18"/>
                <w:lang w:val="bg-BG"/>
              </w:rPr>
              <w:t>УО на ПОС 20</w:t>
            </w:r>
            <w:r w:rsidR="001C62E3" w:rsidRPr="000D2B71">
              <w:rPr>
                <w:b/>
                <w:sz w:val="18"/>
                <w:szCs w:val="18"/>
                <w:lang w:val="bg-BG"/>
              </w:rPr>
              <w:t>2</w:t>
            </w:r>
            <w:r w:rsidR="0073440C" w:rsidRPr="000D2B71">
              <w:rPr>
                <w:b/>
                <w:sz w:val="18"/>
                <w:szCs w:val="18"/>
                <w:lang w:val="bg-BG"/>
              </w:rPr>
              <w:t>1-202</w:t>
            </w:r>
            <w:r w:rsidR="001C62E3" w:rsidRPr="000D2B71">
              <w:rPr>
                <w:b/>
                <w:sz w:val="18"/>
                <w:szCs w:val="18"/>
                <w:lang w:val="bg-BG"/>
              </w:rPr>
              <w:t>7 г.</w:t>
            </w:r>
            <w:r w:rsidR="0073440C" w:rsidRPr="000D2B71">
              <w:rPr>
                <w:b/>
                <w:sz w:val="18"/>
                <w:szCs w:val="18"/>
                <w:lang w:val="bg-BG"/>
              </w:rPr>
              <w:t xml:space="preserve"> </w:t>
            </w:r>
            <w:r w:rsidRPr="000D2B71">
              <w:rPr>
                <w:b/>
                <w:sz w:val="18"/>
                <w:szCs w:val="18"/>
                <w:lang w:val="bg-BG"/>
              </w:rPr>
              <w:t>за неприетите предложения/възражения</w:t>
            </w:r>
          </w:p>
          <w:p w14:paraId="66ED2CCB" w14:textId="77777777" w:rsidR="00921644" w:rsidRPr="000D2B71" w:rsidRDefault="00921644" w:rsidP="00F237AC">
            <w:pPr>
              <w:pStyle w:val="TableContents"/>
              <w:spacing w:after="0"/>
              <w:jc w:val="center"/>
              <w:rPr>
                <w:b/>
                <w:sz w:val="18"/>
                <w:szCs w:val="18"/>
                <w:lang w:val="bg-BG"/>
              </w:rPr>
            </w:pPr>
          </w:p>
        </w:tc>
      </w:tr>
      <w:tr w:rsidR="005C2312" w:rsidRPr="000D2B71" w14:paraId="419C7D32" w14:textId="77777777" w:rsidTr="006E0E69">
        <w:trPr>
          <w:trHeight w:val="436"/>
        </w:trPr>
        <w:tc>
          <w:tcPr>
            <w:tcW w:w="426" w:type="dxa"/>
            <w:shd w:val="clear" w:color="auto" w:fill="auto"/>
          </w:tcPr>
          <w:p w14:paraId="79160165" w14:textId="2C81A500" w:rsidR="005C2312" w:rsidRPr="000D2B71" w:rsidRDefault="005C2312" w:rsidP="005C2312">
            <w:pPr>
              <w:jc w:val="center"/>
              <w:rPr>
                <w:b/>
                <w:sz w:val="18"/>
                <w:szCs w:val="18"/>
              </w:rPr>
            </w:pPr>
            <w:r w:rsidRPr="000D2B71">
              <w:rPr>
                <w:lang w:val="en-US"/>
              </w:rPr>
              <w:t>1.</w:t>
            </w:r>
          </w:p>
        </w:tc>
        <w:tc>
          <w:tcPr>
            <w:tcW w:w="2551" w:type="dxa"/>
            <w:shd w:val="clear" w:color="auto" w:fill="auto"/>
          </w:tcPr>
          <w:p w14:paraId="5C407FBE" w14:textId="4C325EB0" w:rsidR="005C2312" w:rsidRPr="000D2B71" w:rsidRDefault="00893A9C" w:rsidP="005C2312">
            <w:pPr>
              <w:rPr>
                <w:bCs/>
                <w:sz w:val="18"/>
                <w:szCs w:val="18"/>
              </w:rPr>
            </w:pPr>
            <w:r w:rsidRPr="000D2B71">
              <w:rPr>
                <w:bCs/>
                <w:sz w:val="18"/>
                <w:szCs w:val="18"/>
              </w:rPr>
              <w:t>office@slrb.org</w:t>
            </w:r>
          </w:p>
        </w:tc>
        <w:tc>
          <w:tcPr>
            <w:tcW w:w="1389" w:type="dxa"/>
            <w:shd w:val="clear" w:color="auto" w:fill="auto"/>
          </w:tcPr>
          <w:p w14:paraId="31718633" w14:textId="2F58697D" w:rsidR="005C2312" w:rsidRPr="000D2B71" w:rsidRDefault="00893A9C" w:rsidP="005C2312">
            <w:pPr>
              <w:jc w:val="center"/>
              <w:rPr>
                <w:bCs/>
                <w:sz w:val="18"/>
                <w:szCs w:val="18"/>
              </w:rPr>
            </w:pPr>
            <w:r w:rsidRPr="000D2B71">
              <w:rPr>
                <w:bCs/>
                <w:sz w:val="18"/>
                <w:szCs w:val="18"/>
                <w:lang w:val="en-US"/>
              </w:rPr>
              <w:t xml:space="preserve">31.10.2024 </w:t>
            </w:r>
            <w:r w:rsidRPr="000D2B71">
              <w:rPr>
                <w:bCs/>
                <w:sz w:val="18"/>
                <w:szCs w:val="18"/>
              </w:rPr>
              <w:t>г.</w:t>
            </w:r>
          </w:p>
        </w:tc>
        <w:tc>
          <w:tcPr>
            <w:tcW w:w="6407" w:type="dxa"/>
            <w:shd w:val="clear" w:color="auto" w:fill="auto"/>
          </w:tcPr>
          <w:p w14:paraId="1E89283F" w14:textId="77777777" w:rsidR="00893A9C" w:rsidRPr="000D2B71" w:rsidRDefault="00893A9C" w:rsidP="00893A9C">
            <w:pPr>
              <w:pStyle w:val="TableContents"/>
              <w:jc w:val="both"/>
              <w:rPr>
                <w:bCs/>
                <w:sz w:val="22"/>
                <w:szCs w:val="22"/>
                <w:lang w:val="bg-BG"/>
              </w:rPr>
            </w:pPr>
            <w:r w:rsidRPr="000D2B71">
              <w:rPr>
                <w:bCs/>
                <w:sz w:val="22"/>
                <w:szCs w:val="22"/>
                <w:lang w:val="bg-BG"/>
              </w:rPr>
              <w:t>По т.13 от УСЛОВИЯ ЗА КАНДИДАТСТВАНЕ</w:t>
            </w:r>
          </w:p>
          <w:p w14:paraId="0ED9BB6D" w14:textId="77777777" w:rsidR="00893A9C" w:rsidRPr="000D2B71" w:rsidRDefault="00893A9C" w:rsidP="00893A9C">
            <w:pPr>
              <w:pStyle w:val="TableContents"/>
              <w:jc w:val="both"/>
              <w:rPr>
                <w:bCs/>
                <w:sz w:val="22"/>
                <w:szCs w:val="22"/>
                <w:lang w:val="bg-BG"/>
              </w:rPr>
            </w:pPr>
            <w:r w:rsidRPr="000D2B71">
              <w:rPr>
                <w:bCs/>
                <w:sz w:val="22"/>
                <w:szCs w:val="22"/>
                <w:lang w:val="bg-BG"/>
              </w:rPr>
              <w:t>Предложеният текст</w:t>
            </w:r>
          </w:p>
          <w:p w14:paraId="51F80376" w14:textId="77777777" w:rsidR="00893A9C" w:rsidRPr="000D2B71" w:rsidRDefault="00893A9C" w:rsidP="00893A9C">
            <w:pPr>
              <w:pStyle w:val="TableContents"/>
              <w:jc w:val="both"/>
              <w:rPr>
                <w:bCs/>
                <w:sz w:val="22"/>
                <w:szCs w:val="22"/>
                <w:lang w:val="bg-BG"/>
              </w:rPr>
            </w:pPr>
            <w:r w:rsidRPr="000D2B71">
              <w:rPr>
                <w:bCs/>
                <w:sz w:val="22"/>
                <w:szCs w:val="22"/>
                <w:lang w:val="bg-BG"/>
              </w:rPr>
              <w:t>13. Дейности, допустими за финансиране, изречение второ</w:t>
            </w:r>
          </w:p>
          <w:p w14:paraId="32A9AEEB" w14:textId="77777777" w:rsidR="00893A9C" w:rsidRPr="000D2B71" w:rsidRDefault="00893A9C" w:rsidP="00893A9C">
            <w:pPr>
              <w:pStyle w:val="TableContents"/>
              <w:jc w:val="both"/>
              <w:rPr>
                <w:bCs/>
                <w:sz w:val="22"/>
                <w:szCs w:val="22"/>
                <w:lang w:val="bg-BG"/>
              </w:rPr>
            </w:pPr>
            <w:r w:rsidRPr="000D2B71">
              <w:rPr>
                <w:bCs/>
                <w:sz w:val="22"/>
                <w:szCs w:val="22"/>
                <w:lang w:val="bg-BG"/>
              </w:rPr>
              <w:t>При стартиране изпълнението на дейности по процедурата преди сключване на АДБФП/издаване на заповед за предоставяне на БФП (ЗБФП)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32A83A2C" w14:textId="77777777" w:rsidR="00893A9C" w:rsidRPr="000D2B71" w:rsidRDefault="00893A9C" w:rsidP="00893A9C">
            <w:pPr>
              <w:pStyle w:val="TableContents"/>
              <w:jc w:val="both"/>
              <w:rPr>
                <w:bCs/>
                <w:sz w:val="22"/>
                <w:szCs w:val="22"/>
                <w:lang w:val="bg-BG"/>
              </w:rPr>
            </w:pPr>
            <w:r w:rsidRPr="000D2B71">
              <w:rPr>
                <w:bCs/>
                <w:sz w:val="22"/>
                <w:szCs w:val="22"/>
                <w:lang w:val="bg-BG"/>
              </w:rPr>
              <w:t>Да бъде редактиран по следния начин:</w:t>
            </w:r>
          </w:p>
          <w:p w14:paraId="7ACC8ACA" w14:textId="77777777" w:rsidR="00893A9C" w:rsidRPr="000D2B71" w:rsidRDefault="00893A9C" w:rsidP="00893A9C">
            <w:pPr>
              <w:pStyle w:val="TableContents"/>
              <w:jc w:val="both"/>
              <w:rPr>
                <w:bCs/>
                <w:sz w:val="22"/>
                <w:szCs w:val="22"/>
                <w:lang w:val="bg-BG"/>
              </w:rPr>
            </w:pPr>
            <w:r w:rsidRPr="000D2B71">
              <w:rPr>
                <w:bCs/>
                <w:sz w:val="22"/>
                <w:szCs w:val="22"/>
                <w:lang w:val="bg-BG"/>
              </w:rPr>
              <w:t xml:space="preserve">13. Дейности, допустими за финансиране, изречение второ </w:t>
            </w:r>
          </w:p>
          <w:p w14:paraId="13F55B4D" w14:textId="77777777" w:rsidR="00893A9C" w:rsidRPr="000D2B71" w:rsidRDefault="00893A9C" w:rsidP="00893A9C">
            <w:pPr>
              <w:pStyle w:val="TableContents"/>
              <w:jc w:val="both"/>
              <w:rPr>
                <w:bCs/>
                <w:sz w:val="22"/>
                <w:szCs w:val="22"/>
                <w:lang w:val="bg-BG"/>
              </w:rPr>
            </w:pPr>
            <w:r w:rsidRPr="000D2B71">
              <w:rPr>
                <w:bCs/>
                <w:sz w:val="22"/>
                <w:szCs w:val="22"/>
                <w:lang w:val="bg-BG"/>
              </w:rPr>
              <w:t>При изпълнението на дейностите по процедурата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46BC4C73" w14:textId="77777777" w:rsidR="00893A9C" w:rsidRPr="000D2B71" w:rsidRDefault="00893A9C" w:rsidP="00893A9C">
            <w:pPr>
              <w:pStyle w:val="TableContents"/>
              <w:jc w:val="both"/>
              <w:rPr>
                <w:bCs/>
                <w:sz w:val="22"/>
                <w:szCs w:val="22"/>
                <w:lang w:val="bg-BG"/>
              </w:rPr>
            </w:pPr>
            <w:r w:rsidRPr="000D2B71">
              <w:rPr>
                <w:bCs/>
                <w:sz w:val="22"/>
                <w:szCs w:val="22"/>
                <w:lang w:val="bg-BG"/>
              </w:rPr>
              <w:t>Мотиви:</w:t>
            </w:r>
          </w:p>
          <w:p w14:paraId="6B3614C3" w14:textId="4FE1364B" w:rsidR="005C2312" w:rsidRPr="000D2B71" w:rsidRDefault="00893A9C" w:rsidP="006E0E69">
            <w:pPr>
              <w:pStyle w:val="TableContents"/>
              <w:jc w:val="both"/>
              <w:rPr>
                <w:b/>
                <w:sz w:val="18"/>
                <w:szCs w:val="18"/>
                <w:lang w:val="bg-BG"/>
              </w:rPr>
            </w:pPr>
            <w:r w:rsidRPr="000D2B71">
              <w:rPr>
                <w:bCs/>
                <w:sz w:val="22"/>
                <w:szCs w:val="22"/>
                <w:lang w:val="bg-BG"/>
              </w:rPr>
              <w:t xml:space="preserve">Мерките за видимост, прозрачност и комуникация, заложени в Дял IV, глава III „Видимост, прозрачност и комуникация“ на Регламент (ЕС) 2021/1060 предвиждат отговорности на бенефициентите, а не на кандидатите по процедурата. Едва след </w:t>
            </w:r>
            <w:r w:rsidRPr="000D2B71">
              <w:rPr>
                <w:bCs/>
                <w:sz w:val="22"/>
                <w:szCs w:val="22"/>
                <w:lang w:val="bg-BG"/>
              </w:rPr>
              <w:lastRenderedPageBreak/>
              <w:t>сключване на АДБФП/издаване на заповед за предоставяне на БФП (ЗБФП) кандидатът по процедурата се определя като бенефициент и поема съответните отговорности и задължения по изпълняване на мерките за видимост, прозрачност и комуникация.</w:t>
            </w:r>
          </w:p>
        </w:tc>
        <w:tc>
          <w:tcPr>
            <w:tcW w:w="5216" w:type="dxa"/>
            <w:gridSpan w:val="2"/>
            <w:shd w:val="clear" w:color="auto" w:fill="auto"/>
          </w:tcPr>
          <w:p w14:paraId="63B1B8A6" w14:textId="77777777" w:rsidR="0075454D" w:rsidRPr="000D2B71" w:rsidRDefault="001A6FFF" w:rsidP="005C2312">
            <w:pPr>
              <w:pStyle w:val="TableContents"/>
              <w:spacing w:after="0"/>
              <w:jc w:val="both"/>
              <w:rPr>
                <w:bCs/>
                <w:sz w:val="22"/>
                <w:szCs w:val="22"/>
                <w:lang w:val="bg-BG"/>
              </w:rPr>
            </w:pPr>
            <w:r w:rsidRPr="000D2B71">
              <w:rPr>
                <w:bCs/>
                <w:sz w:val="22"/>
                <w:szCs w:val="22"/>
                <w:lang w:val="bg-BG"/>
              </w:rPr>
              <w:lastRenderedPageBreak/>
              <w:t xml:space="preserve">Приема се по принцип. </w:t>
            </w:r>
          </w:p>
          <w:p w14:paraId="628CABF0" w14:textId="32F08BB6" w:rsidR="009A4D2F" w:rsidRPr="000D2B71" w:rsidRDefault="001A6FFF" w:rsidP="001A6FFF">
            <w:pPr>
              <w:pStyle w:val="TableContents"/>
              <w:spacing w:after="0"/>
              <w:jc w:val="both"/>
              <w:rPr>
                <w:bCs/>
                <w:sz w:val="22"/>
                <w:szCs w:val="22"/>
                <w:lang w:val="bg-BG"/>
              </w:rPr>
            </w:pPr>
            <w:r w:rsidRPr="000D2B71">
              <w:rPr>
                <w:bCs/>
                <w:sz w:val="22"/>
                <w:szCs w:val="22"/>
                <w:lang w:val="bg-BG"/>
              </w:rPr>
              <w:t>Цитираният текст има за предназначение да обърне внимание на кандидатите, че същите следва да изпълняват мерките за видимост, прозрачност и комуникация съгласно изискванията на  Регламент (ЕС) 2021/1060, и по отношение на дейности, чието изпълнение вече е започнало на етапа на кандидатстване и преди о</w:t>
            </w:r>
            <w:r w:rsidR="002C4C56" w:rsidRPr="000D2B71">
              <w:rPr>
                <w:bCs/>
                <w:sz w:val="22"/>
                <w:szCs w:val="22"/>
                <w:lang w:val="bg-BG"/>
              </w:rPr>
              <w:t>д</w:t>
            </w:r>
            <w:r w:rsidRPr="000D2B71">
              <w:rPr>
                <w:bCs/>
                <w:sz w:val="22"/>
                <w:szCs w:val="22"/>
                <w:lang w:val="bg-BG"/>
              </w:rPr>
              <w:t>о</w:t>
            </w:r>
            <w:r w:rsidR="002C4C56" w:rsidRPr="000D2B71">
              <w:rPr>
                <w:bCs/>
                <w:sz w:val="22"/>
                <w:szCs w:val="22"/>
                <w:lang w:val="bg-BG"/>
              </w:rPr>
              <w:t>б</w:t>
            </w:r>
            <w:r w:rsidRPr="000D2B71">
              <w:rPr>
                <w:bCs/>
                <w:sz w:val="22"/>
                <w:szCs w:val="22"/>
                <w:lang w:val="bg-BG"/>
              </w:rPr>
              <w:t xml:space="preserve">рението на съответното проектно предложение. </w:t>
            </w:r>
            <w:r w:rsidR="009A4D2F" w:rsidRPr="000D2B71">
              <w:rPr>
                <w:bCs/>
                <w:sz w:val="22"/>
                <w:szCs w:val="22"/>
                <w:lang w:val="bg-BG"/>
              </w:rPr>
              <w:t xml:space="preserve">По този начин кандидатите са уведомени и какво следва да бъде съобразено, когато пристъпват към планирането на мерките за видимост, прозрачност и комуникация. </w:t>
            </w:r>
          </w:p>
          <w:p w14:paraId="14C76C90" w14:textId="42995C7D" w:rsidR="001A6FFF" w:rsidRPr="000D2B71" w:rsidRDefault="001A6FFF" w:rsidP="001A6FFF">
            <w:pPr>
              <w:pStyle w:val="TableContents"/>
              <w:spacing w:after="0"/>
              <w:jc w:val="both"/>
              <w:rPr>
                <w:bCs/>
                <w:sz w:val="22"/>
                <w:szCs w:val="22"/>
                <w:lang w:val="bg-BG"/>
              </w:rPr>
            </w:pPr>
            <w:r w:rsidRPr="000D2B71">
              <w:rPr>
                <w:bCs/>
                <w:sz w:val="22"/>
                <w:szCs w:val="22"/>
                <w:lang w:val="bg-BG"/>
              </w:rPr>
              <w:t xml:space="preserve">След одобрението на проекта, с подписването на АДБФП/издаването на ЗБФП, по силата на чл. 22 от условията за изпълнение, бенефициентът ще поеме задължение да изпълнява мерките за видимост, прозрачност и комуникация съгласно изискванията на  Регламент (ЕС) 2021/1060. </w:t>
            </w:r>
          </w:p>
        </w:tc>
      </w:tr>
      <w:tr w:rsidR="006E0E69" w:rsidRPr="000D2B71" w14:paraId="47009104" w14:textId="77777777" w:rsidTr="006E0E69">
        <w:trPr>
          <w:trHeight w:val="436"/>
        </w:trPr>
        <w:tc>
          <w:tcPr>
            <w:tcW w:w="426" w:type="dxa"/>
            <w:shd w:val="clear" w:color="auto" w:fill="auto"/>
          </w:tcPr>
          <w:p w14:paraId="28704476" w14:textId="77777777" w:rsidR="006E0E69" w:rsidRPr="000D2B71" w:rsidRDefault="006E0E69" w:rsidP="005C2312">
            <w:pPr>
              <w:jc w:val="center"/>
            </w:pPr>
          </w:p>
        </w:tc>
        <w:tc>
          <w:tcPr>
            <w:tcW w:w="2551" w:type="dxa"/>
            <w:shd w:val="clear" w:color="auto" w:fill="auto"/>
          </w:tcPr>
          <w:p w14:paraId="75FF392E" w14:textId="77777777" w:rsidR="006E0E69" w:rsidRPr="000D2B71" w:rsidRDefault="006E0E69" w:rsidP="005C2312">
            <w:pPr>
              <w:rPr>
                <w:bCs/>
                <w:sz w:val="18"/>
                <w:szCs w:val="18"/>
              </w:rPr>
            </w:pPr>
          </w:p>
        </w:tc>
        <w:tc>
          <w:tcPr>
            <w:tcW w:w="1389" w:type="dxa"/>
            <w:shd w:val="clear" w:color="auto" w:fill="auto"/>
          </w:tcPr>
          <w:p w14:paraId="5B41A381" w14:textId="77777777" w:rsidR="006E0E69" w:rsidRPr="000D2B71" w:rsidRDefault="006E0E69" w:rsidP="005C2312">
            <w:pPr>
              <w:jc w:val="center"/>
              <w:rPr>
                <w:bCs/>
                <w:sz w:val="18"/>
                <w:szCs w:val="18"/>
              </w:rPr>
            </w:pPr>
          </w:p>
        </w:tc>
        <w:tc>
          <w:tcPr>
            <w:tcW w:w="6407" w:type="dxa"/>
            <w:shd w:val="clear" w:color="auto" w:fill="auto"/>
          </w:tcPr>
          <w:p w14:paraId="6C4DDB58" w14:textId="77777777" w:rsidR="006E0E69" w:rsidRPr="000D2B71" w:rsidRDefault="006E0E69" w:rsidP="006E0E69">
            <w:pPr>
              <w:pStyle w:val="TableContents"/>
              <w:jc w:val="both"/>
              <w:rPr>
                <w:bCs/>
                <w:sz w:val="22"/>
                <w:szCs w:val="22"/>
                <w:lang w:val="bg-BG"/>
              </w:rPr>
            </w:pPr>
            <w:r w:rsidRPr="000D2B71">
              <w:rPr>
                <w:bCs/>
                <w:sz w:val="22"/>
                <w:szCs w:val="22"/>
                <w:lang w:val="bg-BG"/>
              </w:rPr>
              <w:t>По т.13.4 от УСЛОВИЯ ЗА КАНДИДАТСТВАНЕ</w:t>
            </w:r>
          </w:p>
          <w:p w14:paraId="01E4B5BC" w14:textId="77777777" w:rsidR="006E0E69" w:rsidRPr="000D2B71" w:rsidRDefault="006E0E69" w:rsidP="006E0E69">
            <w:pPr>
              <w:pStyle w:val="TableContents"/>
              <w:jc w:val="both"/>
              <w:rPr>
                <w:bCs/>
                <w:sz w:val="22"/>
                <w:szCs w:val="22"/>
                <w:lang w:val="bg-BG"/>
              </w:rPr>
            </w:pPr>
            <w:r w:rsidRPr="000D2B71">
              <w:rPr>
                <w:bCs/>
                <w:sz w:val="22"/>
                <w:szCs w:val="22"/>
                <w:lang w:val="bg-BG"/>
              </w:rPr>
              <w:t>Предложеният текст в т.13.4, тире 11/единадесето/ да отпадне</w:t>
            </w:r>
          </w:p>
          <w:p w14:paraId="3E1C9D07" w14:textId="77777777" w:rsidR="006E0E69" w:rsidRPr="000D2B71" w:rsidRDefault="006E0E69" w:rsidP="006E0E69">
            <w:pPr>
              <w:pStyle w:val="TableContents"/>
              <w:jc w:val="both"/>
              <w:rPr>
                <w:bCs/>
                <w:sz w:val="22"/>
                <w:szCs w:val="22"/>
                <w:lang w:val="bg-BG"/>
              </w:rPr>
            </w:pPr>
            <w:r w:rsidRPr="000D2B71">
              <w:rPr>
                <w:bCs/>
                <w:sz w:val="22"/>
                <w:szCs w:val="22"/>
                <w:lang w:val="bg-BG"/>
              </w:rPr>
              <w:t xml:space="preserve">13.4 Видове недопустими дейности </w:t>
            </w:r>
          </w:p>
          <w:p w14:paraId="6AC0E411" w14:textId="77777777" w:rsidR="006E0E69" w:rsidRPr="000D2B71" w:rsidRDefault="006E0E69" w:rsidP="006E0E69">
            <w:pPr>
              <w:pStyle w:val="TableContents"/>
              <w:jc w:val="both"/>
              <w:rPr>
                <w:bCs/>
                <w:sz w:val="22"/>
                <w:szCs w:val="22"/>
                <w:lang w:val="bg-BG"/>
              </w:rPr>
            </w:pPr>
            <w:r w:rsidRPr="000D2B71">
              <w:rPr>
                <w:bCs/>
                <w:sz w:val="22"/>
                <w:szCs w:val="22"/>
                <w:lang w:val="bg-BG"/>
              </w:rPr>
              <w:t>- дейности за подхранване на целевите видове птици с месо или СЖП, произведени в животновъдни обекти за отглеждане на диви животни, собственост на кандидата или партньора.</w:t>
            </w:r>
          </w:p>
          <w:p w14:paraId="04FA5ECF" w14:textId="77777777" w:rsidR="006E0E69" w:rsidRPr="000D2B71" w:rsidRDefault="006E0E69" w:rsidP="006E0E69">
            <w:pPr>
              <w:pStyle w:val="TableContents"/>
              <w:jc w:val="both"/>
              <w:rPr>
                <w:bCs/>
                <w:sz w:val="22"/>
                <w:szCs w:val="22"/>
                <w:lang w:val="bg-BG"/>
              </w:rPr>
            </w:pPr>
            <w:r w:rsidRPr="000D2B71">
              <w:rPr>
                <w:bCs/>
                <w:sz w:val="22"/>
                <w:szCs w:val="22"/>
                <w:lang w:val="bg-BG"/>
              </w:rPr>
              <w:t>Мотиви:</w:t>
            </w:r>
          </w:p>
          <w:p w14:paraId="002A6735" w14:textId="2DB1B7BB" w:rsidR="006E0E69" w:rsidRPr="000D2B71" w:rsidRDefault="006E0E69" w:rsidP="006E0E69">
            <w:pPr>
              <w:pStyle w:val="TableContents"/>
              <w:jc w:val="both"/>
              <w:rPr>
                <w:bCs/>
                <w:sz w:val="22"/>
                <w:szCs w:val="22"/>
                <w:lang w:val="bg-BG"/>
              </w:rPr>
            </w:pPr>
            <w:r w:rsidRPr="000D2B71">
              <w:rPr>
                <w:bCs/>
                <w:sz w:val="22"/>
                <w:szCs w:val="22"/>
                <w:lang w:val="bg-BG"/>
              </w:rPr>
              <w:t>Закупуването на СЖП е недопустимо по процедурата. Дейността по подхранване на целевите видове птици с месо или СЖП, независимо от къде са доставени нямат търговски и/или друг характер, генериращи печалба за кандидата и/или партньорите, нещо повече дейностите по подхранването трябва да се изпълняват при спазване принципите на ефективност и ефикасност, което означава и  осигуряване на месо и СЖП от места, в непосредствена близост до площадките.</w:t>
            </w:r>
          </w:p>
        </w:tc>
        <w:tc>
          <w:tcPr>
            <w:tcW w:w="5216" w:type="dxa"/>
            <w:gridSpan w:val="2"/>
            <w:shd w:val="clear" w:color="auto" w:fill="auto"/>
          </w:tcPr>
          <w:p w14:paraId="256F8CE0" w14:textId="77777777" w:rsidR="006E0E69" w:rsidRPr="000D2B71" w:rsidRDefault="00957A3B" w:rsidP="005C2312">
            <w:pPr>
              <w:pStyle w:val="TableContents"/>
              <w:spacing w:after="0"/>
              <w:jc w:val="both"/>
              <w:rPr>
                <w:bCs/>
                <w:sz w:val="22"/>
                <w:szCs w:val="22"/>
                <w:lang w:val="bg-BG"/>
              </w:rPr>
            </w:pPr>
            <w:r w:rsidRPr="000D2B71">
              <w:rPr>
                <w:bCs/>
                <w:sz w:val="22"/>
                <w:szCs w:val="22"/>
                <w:lang w:val="bg-BG"/>
              </w:rPr>
              <w:t>Не се приема.</w:t>
            </w:r>
          </w:p>
          <w:p w14:paraId="75C5F979" w14:textId="41C9EF0E" w:rsidR="00957A3B" w:rsidRPr="000D2B71" w:rsidRDefault="00957A3B" w:rsidP="00A50425">
            <w:pPr>
              <w:pStyle w:val="TableContents"/>
              <w:spacing w:after="0"/>
              <w:jc w:val="both"/>
              <w:rPr>
                <w:b/>
                <w:sz w:val="18"/>
                <w:szCs w:val="18"/>
                <w:lang w:val="bg-BG"/>
              </w:rPr>
            </w:pPr>
            <w:r w:rsidRPr="000D2B71">
              <w:rPr>
                <w:bCs/>
                <w:sz w:val="22"/>
                <w:szCs w:val="22"/>
                <w:lang w:val="bg-BG"/>
              </w:rPr>
              <w:t xml:space="preserve">При извършването на преценка относно икономическия характер на дадена дейност се взимат предвид както генерираните печалби, така и спестените разходи. Животновъдните обекти за отглеждане на диви животни </w:t>
            </w:r>
            <w:r w:rsidR="00A50425" w:rsidRPr="000D2B71">
              <w:rPr>
                <w:bCs/>
                <w:sz w:val="22"/>
                <w:szCs w:val="22"/>
                <w:lang w:val="bg-BG"/>
              </w:rPr>
              <w:t xml:space="preserve">следва да предадат получените в резултат от дейността им странични животински продукти за обезвреждане, съгласно предвиденото в Закона за ветеринарномедицинската дейност. В този смисъл, транспортирането на СЖП от животновъдния обект </w:t>
            </w:r>
            <w:r w:rsidR="004F47DA" w:rsidRPr="000D2B71">
              <w:rPr>
                <w:bCs/>
                <w:sz w:val="22"/>
                <w:szCs w:val="22"/>
                <w:lang w:val="bg-BG"/>
              </w:rPr>
              <w:t>до</w:t>
            </w:r>
            <w:r w:rsidR="00A50425" w:rsidRPr="000D2B71">
              <w:rPr>
                <w:bCs/>
                <w:sz w:val="22"/>
                <w:szCs w:val="22"/>
                <w:lang w:val="bg-BG"/>
              </w:rPr>
              <w:t xml:space="preserve"> площадката за подхранване на хищни птици, би </w:t>
            </w:r>
            <w:r w:rsidR="00B83577" w:rsidRPr="000D2B71">
              <w:rPr>
                <w:bCs/>
                <w:sz w:val="22"/>
                <w:szCs w:val="22"/>
                <w:lang w:val="bg-BG"/>
              </w:rPr>
              <w:t xml:space="preserve">могло да </w:t>
            </w:r>
            <w:r w:rsidR="00A50425" w:rsidRPr="000D2B71">
              <w:rPr>
                <w:bCs/>
                <w:sz w:val="22"/>
                <w:szCs w:val="22"/>
                <w:lang w:val="bg-BG"/>
              </w:rPr>
              <w:t>дове</w:t>
            </w:r>
            <w:r w:rsidR="00B83577" w:rsidRPr="000D2B71">
              <w:rPr>
                <w:bCs/>
                <w:sz w:val="22"/>
                <w:szCs w:val="22"/>
                <w:lang w:val="bg-BG"/>
              </w:rPr>
              <w:t>де</w:t>
            </w:r>
            <w:r w:rsidR="00A50425" w:rsidRPr="000D2B71">
              <w:rPr>
                <w:bCs/>
                <w:sz w:val="22"/>
                <w:szCs w:val="22"/>
                <w:lang w:val="bg-BG"/>
              </w:rPr>
              <w:t xml:space="preserve"> до спестяване на разходи на собственика на животновъдния обект за т</w:t>
            </w:r>
            <w:r w:rsidR="004F47DA" w:rsidRPr="000D2B71">
              <w:rPr>
                <w:bCs/>
                <w:sz w:val="22"/>
                <w:szCs w:val="22"/>
                <w:lang w:val="bg-BG"/>
              </w:rPr>
              <w:t>я</w:t>
            </w:r>
            <w:r w:rsidR="00A50425" w:rsidRPr="000D2B71">
              <w:rPr>
                <w:bCs/>
                <w:sz w:val="22"/>
                <w:szCs w:val="22"/>
                <w:lang w:val="bg-BG"/>
              </w:rPr>
              <w:t>хното обезвреждане</w:t>
            </w:r>
            <w:r w:rsidR="00B83577" w:rsidRPr="000D2B71">
              <w:rPr>
                <w:bCs/>
                <w:sz w:val="22"/>
                <w:szCs w:val="22"/>
                <w:lang w:val="bg-BG"/>
              </w:rPr>
              <w:t>, което да се счете за „икономическо предимство“ в контекста на неправомерна държавна помощ</w:t>
            </w:r>
            <w:r w:rsidR="00A50425" w:rsidRPr="000D2B71">
              <w:rPr>
                <w:bCs/>
                <w:sz w:val="22"/>
                <w:szCs w:val="22"/>
                <w:lang w:val="bg-BG"/>
              </w:rPr>
              <w:t xml:space="preserve">. </w:t>
            </w:r>
          </w:p>
        </w:tc>
      </w:tr>
      <w:tr w:rsidR="006E0E69" w:rsidRPr="000D2B71" w14:paraId="535EBDD2" w14:textId="77777777" w:rsidTr="006E0E69">
        <w:trPr>
          <w:trHeight w:val="436"/>
        </w:trPr>
        <w:tc>
          <w:tcPr>
            <w:tcW w:w="426" w:type="dxa"/>
            <w:shd w:val="clear" w:color="auto" w:fill="auto"/>
          </w:tcPr>
          <w:p w14:paraId="4F88FDE5" w14:textId="77777777" w:rsidR="006E0E69" w:rsidRPr="000D2B71" w:rsidRDefault="006E0E69" w:rsidP="005C2312">
            <w:pPr>
              <w:jc w:val="center"/>
            </w:pPr>
          </w:p>
        </w:tc>
        <w:tc>
          <w:tcPr>
            <w:tcW w:w="2551" w:type="dxa"/>
            <w:shd w:val="clear" w:color="auto" w:fill="auto"/>
          </w:tcPr>
          <w:p w14:paraId="55812A48" w14:textId="77777777" w:rsidR="006E0E69" w:rsidRPr="000D2B71" w:rsidRDefault="006E0E69" w:rsidP="005C2312">
            <w:pPr>
              <w:rPr>
                <w:bCs/>
                <w:sz w:val="18"/>
                <w:szCs w:val="18"/>
              </w:rPr>
            </w:pPr>
          </w:p>
        </w:tc>
        <w:tc>
          <w:tcPr>
            <w:tcW w:w="1389" w:type="dxa"/>
            <w:shd w:val="clear" w:color="auto" w:fill="auto"/>
          </w:tcPr>
          <w:p w14:paraId="5740022B" w14:textId="77777777" w:rsidR="006E0E69" w:rsidRPr="000D2B71" w:rsidRDefault="006E0E69" w:rsidP="005C2312">
            <w:pPr>
              <w:jc w:val="center"/>
              <w:rPr>
                <w:bCs/>
                <w:sz w:val="18"/>
                <w:szCs w:val="18"/>
              </w:rPr>
            </w:pPr>
          </w:p>
        </w:tc>
        <w:tc>
          <w:tcPr>
            <w:tcW w:w="6407" w:type="dxa"/>
            <w:shd w:val="clear" w:color="auto" w:fill="auto"/>
          </w:tcPr>
          <w:p w14:paraId="7B2537F2" w14:textId="77777777" w:rsidR="006E0E69" w:rsidRPr="000D2B71" w:rsidRDefault="006E0E69" w:rsidP="006E0E69">
            <w:pPr>
              <w:pStyle w:val="TableContents"/>
              <w:jc w:val="both"/>
              <w:rPr>
                <w:bCs/>
                <w:sz w:val="22"/>
                <w:szCs w:val="22"/>
                <w:lang w:val="bg-BG"/>
              </w:rPr>
            </w:pPr>
            <w:r w:rsidRPr="000D2B71">
              <w:rPr>
                <w:bCs/>
                <w:sz w:val="22"/>
                <w:szCs w:val="22"/>
                <w:lang w:val="bg-BG"/>
              </w:rPr>
              <w:t>По т. 14.2.2.  от УСЛОВИЯ ЗА КАНДИДАТСТВАНЕ</w:t>
            </w:r>
          </w:p>
          <w:p w14:paraId="5DE02F88" w14:textId="77777777" w:rsidR="006E0E69" w:rsidRPr="000D2B71" w:rsidRDefault="006E0E69" w:rsidP="006E0E69">
            <w:pPr>
              <w:pStyle w:val="TableContents"/>
              <w:jc w:val="both"/>
              <w:rPr>
                <w:bCs/>
                <w:sz w:val="22"/>
                <w:szCs w:val="22"/>
                <w:lang w:val="bg-BG"/>
              </w:rPr>
            </w:pPr>
            <w:r w:rsidRPr="000D2B71">
              <w:rPr>
                <w:bCs/>
                <w:sz w:val="22"/>
                <w:szCs w:val="22"/>
                <w:lang w:val="bg-BG"/>
              </w:rPr>
              <w:t>14.2.2. Предвидени ограничения в размера/стойността на определени категории разходи</w:t>
            </w:r>
          </w:p>
          <w:p w14:paraId="7C8C4E8B" w14:textId="77777777" w:rsidR="006E0E69" w:rsidRPr="000D2B71" w:rsidRDefault="006E0E69" w:rsidP="006E0E69">
            <w:pPr>
              <w:pStyle w:val="TableContents"/>
              <w:jc w:val="both"/>
              <w:rPr>
                <w:bCs/>
                <w:sz w:val="22"/>
                <w:szCs w:val="22"/>
                <w:lang w:val="bg-BG"/>
              </w:rPr>
            </w:pPr>
            <w:r w:rsidRPr="000D2B71">
              <w:rPr>
                <w:bCs/>
                <w:sz w:val="22"/>
                <w:szCs w:val="22"/>
                <w:lang w:val="bg-BG"/>
              </w:rPr>
              <w:t>г) Непреките разходи са в ограниченията съгласно процента на единна ставка към допустимите преки разходи по проекта, определени по реда на т. 14.2 от настоящите условия за кандидатстване, както следва:</w:t>
            </w:r>
          </w:p>
          <w:p w14:paraId="2DAE180B" w14:textId="77777777" w:rsidR="006E0E69" w:rsidRPr="000D2B71" w:rsidRDefault="006E0E69" w:rsidP="006E0E69">
            <w:pPr>
              <w:pStyle w:val="TableContents"/>
              <w:jc w:val="both"/>
              <w:rPr>
                <w:bCs/>
                <w:sz w:val="22"/>
                <w:szCs w:val="22"/>
                <w:lang w:val="bg-BG"/>
              </w:rPr>
            </w:pPr>
            <w:r w:rsidRPr="000D2B71">
              <w:rPr>
                <w:bCs/>
                <w:sz w:val="22"/>
                <w:szCs w:val="22"/>
                <w:lang w:val="bg-BG"/>
              </w:rPr>
              <w:t>- за група със стойност на БФП под 400 000 лв. – 14%.</w:t>
            </w:r>
          </w:p>
          <w:p w14:paraId="0ADD270E" w14:textId="77777777" w:rsidR="006E0E69" w:rsidRPr="000D2B71" w:rsidRDefault="006E0E69" w:rsidP="006E0E69">
            <w:pPr>
              <w:pStyle w:val="TableContents"/>
              <w:jc w:val="both"/>
              <w:rPr>
                <w:bCs/>
                <w:sz w:val="22"/>
                <w:szCs w:val="22"/>
                <w:lang w:val="bg-BG"/>
              </w:rPr>
            </w:pPr>
            <w:r w:rsidRPr="000D2B71">
              <w:rPr>
                <w:bCs/>
                <w:sz w:val="22"/>
                <w:szCs w:val="22"/>
                <w:lang w:val="bg-BG"/>
              </w:rPr>
              <w:t>Да се прецизира по следния начин:</w:t>
            </w:r>
          </w:p>
          <w:p w14:paraId="612FFB62" w14:textId="77777777" w:rsidR="006E0E69" w:rsidRPr="000D2B71" w:rsidRDefault="006E0E69" w:rsidP="006E0E69">
            <w:pPr>
              <w:pStyle w:val="TableContents"/>
              <w:jc w:val="both"/>
              <w:rPr>
                <w:bCs/>
                <w:sz w:val="22"/>
                <w:szCs w:val="22"/>
                <w:lang w:val="bg-BG"/>
              </w:rPr>
            </w:pPr>
            <w:r w:rsidRPr="000D2B71">
              <w:rPr>
                <w:bCs/>
                <w:sz w:val="22"/>
                <w:szCs w:val="22"/>
                <w:lang w:val="bg-BG"/>
              </w:rPr>
              <w:t>г) Непреките разходи са в ограниченията съгласно процента на единна ставка към допустимите преки разходи по проекта, определени по реда на т. 14.2 от настоящите условия за кандидатстване, както следва:</w:t>
            </w:r>
          </w:p>
          <w:p w14:paraId="08CBBA64" w14:textId="77777777" w:rsidR="006E0E69" w:rsidRPr="000D2B71" w:rsidRDefault="006E0E69" w:rsidP="006E0E69">
            <w:pPr>
              <w:pStyle w:val="TableContents"/>
              <w:jc w:val="both"/>
              <w:rPr>
                <w:bCs/>
                <w:sz w:val="22"/>
                <w:szCs w:val="22"/>
                <w:lang w:val="bg-BG"/>
              </w:rPr>
            </w:pPr>
            <w:r w:rsidRPr="000D2B71">
              <w:rPr>
                <w:bCs/>
                <w:sz w:val="22"/>
                <w:szCs w:val="22"/>
                <w:lang w:val="bg-BG"/>
              </w:rPr>
              <w:t>- за проектни предложения /проекти със стойност на БФП под 400 000 лв. – 14%.</w:t>
            </w:r>
          </w:p>
          <w:p w14:paraId="4DA008AE" w14:textId="772B7F46" w:rsidR="006E0E69" w:rsidRPr="000D2B71" w:rsidRDefault="006E0E69" w:rsidP="006E0E69">
            <w:pPr>
              <w:pStyle w:val="TableContents"/>
              <w:jc w:val="both"/>
              <w:rPr>
                <w:bCs/>
                <w:sz w:val="22"/>
                <w:szCs w:val="22"/>
                <w:lang w:val="bg-BG"/>
              </w:rPr>
            </w:pPr>
            <w:r w:rsidRPr="000D2B71">
              <w:rPr>
                <w:bCs/>
                <w:sz w:val="22"/>
                <w:szCs w:val="22"/>
                <w:lang w:val="bg-BG"/>
              </w:rPr>
              <w:t xml:space="preserve"> Мотиви: Техническа грешка</w:t>
            </w:r>
          </w:p>
        </w:tc>
        <w:tc>
          <w:tcPr>
            <w:tcW w:w="5216" w:type="dxa"/>
            <w:gridSpan w:val="2"/>
            <w:shd w:val="clear" w:color="auto" w:fill="auto"/>
          </w:tcPr>
          <w:p w14:paraId="7804A393" w14:textId="77777777" w:rsidR="00BF14C5" w:rsidRPr="000D2B71" w:rsidRDefault="00BF14C5" w:rsidP="00BF14C5">
            <w:pPr>
              <w:pStyle w:val="TableContents"/>
              <w:spacing w:after="0"/>
              <w:jc w:val="both"/>
              <w:rPr>
                <w:bCs/>
                <w:sz w:val="22"/>
                <w:szCs w:val="22"/>
                <w:lang w:val="bg-BG"/>
              </w:rPr>
            </w:pPr>
            <w:r w:rsidRPr="000D2B71">
              <w:rPr>
                <w:bCs/>
                <w:sz w:val="22"/>
                <w:szCs w:val="22"/>
                <w:lang w:val="bg-BG"/>
              </w:rPr>
              <w:t>Не се приема.</w:t>
            </w:r>
          </w:p>
          <w:p w14:paraId="0F79EBFB" w14:textId="44887514" w:rsidR="006E0E69" w:rsidRPr="000D2B71" w:rsidRDefault="002C4C56" w:rsidP="002C4C56">
            <w:pPr>
              <w:pStyle w:val="TableContents"/>
              <w:spacing w:after="0"/>
              <w:jc w:val="both"/>
              <w:rPr>
                <w:bCs/>
                <w:sz w:val="22"/>
                <w:szCs w:val="22"/>
                <w:lang w:val="bg-BG"/>
              </w:rPr>
            </w:pPr>
            <w:r w:rsidRPr="000D2B71">
              <w:rPr>
                <w:bCs/>
                <w:sz w:val="22"/>
                <w:szCs w:val="22"/>
                <w:lang w:val="bg-BG"/>
              </w:rPr>
              <w:t>Текстът съответства на Методология за определяне на размерите на единна ставка за финансиране на дейности за организация и управление на проекти по ОПОС 2014 - 2020 г., съфинансирани от Европейските структурни фондове и Кохезионния фонд (</w:t>
            </w:r>
            <w:hyperlink r:id="rId10" w:history="1">
              <w:r w:rsidR="00B83577" w:rsidRPr="000D2B71">
                <w:rPr>
                  <w:rStyle w:val="Hyperlink"/>
                  <w:bCs/>
                  <w:sz w:val="22"/>
                  <w:szCs w:val="22"/>
                  <w:lang w:val="bg-BG"/>
                </w:rPr>
                <w:t>https://www.eufunds.bg/bg/opos/node/925</w:t>
              </w:r>
            </w:hyperlink>
            <w:r w:rsidRPr="000D2B71">
              <w:rPr>
                <w:bCs/>
                <w:sz w:val="22"/>
                <w:szCs w:val="22"/>
                <w:lang w:val="bg-BG"/>
              </w:rPr>
              <w:t>)</w:t>
            </w:r>
            <w:r w:rsidR="00B83577" w:rsidRPr="000D2B71">
              <w:rPr>
                <w:bCs/>
                <w:sz w:val="22"/>
                <w:szCs w:val="22"/>
                <w:lang w:val="bg-BG"/>
              </w:rPr>
              <w:t xml:space="preserve"> в изпълнение на Националната методология, в която се реферира към „групи проекти“.</w:t>
            </w:r>
          </w:p>
        </w:tc>
      </w:tr>
      <w:tr w:rsidR="006E0E69" w:rsidRPr="000D2B71" w14:paraId="45221B20" w14:textId="77777777" w:rsidTr="006E0E69">
        <w:trPr>
          <w:trHeight w:val="436"/>
        </w:trPr>
        <w:tc>
          <w:tcPr>
            <w:tcW w:w="426" w:type="dxa"/>
            <w:shd w:val="clear" w:color="auto" w:fill="auto"/>
          </w:tcPr>
          <w:p w14:paraId="20205CF9" w14:textId="77777777" w:rsidR="006E0E69" w:rsidRPr="000D2B71" w:rsidRDefault="006E0E69" w:rsidP="005C2312">
            <w:pPr>
              <w:jc w:val="center"/>
              <w:rPr>
                <w:lang w:val="en-US"/>
              </w:rPr>
            </w:pPr>
          </w:p>
        </w:tc>
        <w:tc>
          <w:tcPr>
            <w:tcW w:w="2551" w:type="dxa"/>
            <w:shd w:val="clear" w:color="auto" w:fill="auto"/>
          </w:tcPr>
          <w:p w14:paraId="149B757B" w14:textId="77777777" w:rsidR="006E0E69" w:rsidRPr="000D2B71" w:rsidRDefault="006E0E69" w:rsidP="005C2312">
            <w:pPr>
              <w:rPr>
                <w:bCs/>
                <w:sz w:val="18"/>
                <w:szCs w:val="18"/>
              </w:rPr>
            </w:pPr>
          </w:p>
        </w:tc>
        <w:tc>
          <w:tcPr>
            <w:tcW w:w="1389" w:type="dxa"/>
            <w:shd w:val="clear" w:color="auto" w:fill="auto"/>
          </w:tcPr>
          <w:p w14:paraId="2AF6ABED" w14:textId="77777777" w:rsidR="006E0E69" w:rsidRPr="000D2B71" w:rsidRDefault="006E0E69" w:rsidP="005C2312">
            <w:pPr>
              <w:jc w:val="center"/>
              <w:rPr>
                <w:bCs/>
                <w:sz w:val="18"/>
                <w:szCs w:val="18"/>
                <w:lang w:val="en-US"/>
              </w:rPr>
            </w:pPr>
          </w:p>
        </w:tc>
        <w:tc>
          <w:tcPr>
            <w:tcW w:w="6407" w:type="dxa"/>
            <w:shd w:val="clear" w:color="auto" w:fill="auto"/>
          </w:tcPr>
          <w:p w14:paraId="330B77A0" w14:textId="77777777" w:rsidR="006E0E69" w:rsidRPr="000D2B71" w:rsidRDefault="006E0E69" w:rsidP="006E0E69">
            <w:pPr>
              <w:pStyle w:val="TableContents"/>
              <w:jc w:val="both"/>
              <w:rPr>
                <w:bCs/>
                <w:sz w:val="22"/>
                <w:szCs w:val="22"/>
                <w:lang w:val="bg-BG"/>
              </w:rPr>
            </w:pPr>
            <w:r w:rsidRPr="000D2B71">
              <w:rPr>
                <w:bCs/>
                <w:sz w:val="22"/>
                <w:szCs w:val="22"/>
                <w:lang w:val="bg-BG"/>
              </w:rPr>
              <w:t>По т. 14.4  от УСЛОВИЯ ЗА КАНДИДАТСТВАНЕ, тире 3,4 и 5</w:t>
            </w:r>
          </w:p>
          <w:p w14:paraId="59F916FB" w14:textId="77777777" w:rsidR="006E0E69" w:rsidRPr="000D2B71" w:rsidRDefault="006E0E69" w:rsidP="006E0E69">
            <w:pPr>
              <w:pStyle w:val="TableContents"/>
              <w:jc w:val="both"/>
              <w:rPr>
                <w:bCs/>
                <w:sz w:val="22"/>
                <w:szCs w:val="22"/>
                <w:lang w:val="bg-BG"/>
              </w:rPr>
            </w:pPr>
            <w:r w:rsidRPr="000D2B71">
              <w:rPr>
                <w:bCs/>
                <w:sz w:val="22"/>
                <w:szCs w:val="22"/>
                <w:lang w:val="bg-BG"/>
              </w:rPr>
              <w:t>14.4.</w:t>
            </w:r>
            <w:r w:rsidRPr="000D2B71">
              <w:rPr>
                <w:bCs/>
                <w:sz w:val="22"/>
                <w:szCs w:val="22"/>
                <w:lang w:val="bg-BG"/>
              </w:rPr>
              <w:tab/>
              <w:t>Недопустими разходи</w:t>
            </w:r>
          </w:p>
          <w:p w14:paraId="43F37D91" w14:textId="77777777" w:rsidR="006E0E69" w:rsidRPr="000D2B71" w:rsidRDefault="006E0E69" w:rsidP="006E0E69">
            <w:pPr>
              <w:pStyle w:val="TableContents"/>
              <w:jc w:val="both"/>
              <w:rPr>
                <w:bCs/>
                <w:sz w:val="22"/>
                <w:szCs w:val="22"/>
                <w:lang w:val="bg-BG"/>
              </w:rPr>
            </w:pPr>
            <w:r w:rsidRPr="000D2B71">
              <w:rPr>
                <w:bCs/>
                <w:sz w:val="22"/>
                <w:szCs w:val="22"/>
                <w:lang w:val="bg-BG"/>
              </w:rPr>
              <w:t>По процедурата не са допустими следните разходи:</w:t>
            </w:r>
          </w:p>
          <w:p w14:paraId="6F24EA1B" w14:textId="77777777" w:rsidR="006E0E69" w:rsidRPr="000D2B71" w:rsidRDefault="006E0E69" w:rsidP="006E0E69">
            <w:pPr>
              <w:pStyle w:val="TableContents"/>
              <w:jc w:val="both"/>
              <w:rPr>
                <w:bCs/>
                <w:sz w:val="22"/>
                <w:szCs w:val="22"/>
                <w:lang w:val="bg-BG"/>
              </w:rPr>
            </w:pPr>
            <w:r w:rsidRPr="000D2B71">
              <w:rPr>
                <w:bCs/>
                <w:sz w:val="22"/>
                <w:szCs w:val="22"/>
                <w:lang w:val="bg-BG"/>
              </w:rPr>
              <w:t>– разходи за подхранване с месо или СЖП, произведени в животновъдни обекти за отглеждане на диви животни, собственост на кандидата или партньора;</w:t>
            </w:r>
          </w:p>
          <w:p w14:paraId="7636041E" w14:textId="77777777" w:rsidR="006E0E69" w:rsidRPr="000D2B71" w:rsidRDefault="006E0E69" w:rsidP="006E0E69">
            <w:pPr>
              <w:pStyle w:val="TableContents"/>
              <w:jc w:val="both"/>
              <w:rPr>
                <w:bCs/>
                <w:sz w:val="22"/>
                <w:szCs w:val="22"/>
                <w:lang w:val="bg-BG"/>
              </w:rPr>
            </w:pPr>
            <w:r w:rsidRPr="000D2B71">
              <w:rPr>
                <w:bCs/>
                <w:sz w:val="22"/>
                <w:szCs w:val="22"/>
                <w:lang w:val="bg-BG"/>
              </w:rPr>
              <w:t xml:space="preserve">– разходи за събиране, транспортиране, съхранение и обезвреждане на умрели животни от животновъдни обекти, регистрирани по реда на чл. 137, ал. 1 от ЗВМД, на животни и/или на обекти по чл. 141 от ЗВМД ;  </w:t>
            </w:r>
          </w:p>
          <w:p w14:paraId="1148EBE9" w14:textId="77777777" w:rsidR="006E0E69" w:rsidRPr="000D2B71" w:rsidRDefault="006E0E69" w:rsidP="006E0E69">
            <w:pPr>
              <w:pStyle w:val="TableContents"/>
              <w:jc w:val="both"/>
              <w:rPr>
                <w:bCs/>
                <w:sz w:val="22"/>
                <w:szCs w:val="22"/>
                <w:lang w:val="bg-BG"/>
              </w:rPr>
            </w:pPr>
            <w:r w:rsidRPr="000D2B71">
              <w:rPr>
                <w:bCs/>
                <w:sz w:val="22"/>
                <w:szCs w:val="22"/>
                <w:lang w:val="bg-BG"/>
              </w:rPr>
              <w:t>– разходи за събиране, транспортиране, съхранение и обезвреждане на умрели животни и на странични животински продукти, добити при клане на животни в регистрирани животновъдни обекти – лични стопанства ;</w:t>
            </w:r>
          </w:p>
          <w:p w14:paraId="358F0A9C" w14:textId="77777777" w:rsidR="006E0E69" w:rsidRPr="000D2B71" w:rsidRDefault="006E0E69" w:rsidP="006E0E69">
            <w:pPr>
              <w:pStyle w:val="TableContents"/>
              <w:jc w:val="both"/>
              <w:rPr>
                <w:bCs/>
                <w:sz w:val="22"/>
                <w:szCs w:val="22"/>
                <w:lang w:val="bg-BG"/>
              </w:rPr>
            </w:pPr>
            <w:r w:rsidRPr="000D2B71">
              <w:rPr>
                <w:bCs/>
                <w:sz w:val="22"/>
                <w:szCs w:val="22"/>
                <w:lang w:val="bg-BG"/>
              </w:rPr>
              <w:t>Предложение: да отпаднат</w:t>
            </w:r>
          </w:p>
          <w:p w14:paraId="4B96C8A8" w14:textId="77777777" w:rsidR="006E0E69" w:rsidRPr="000D2B71" w:rsidRDefault="006E0E69" w:rsidP="006E0E69">
            <w:pPr>
              <w:pStyle w:val="TableContents"/>
              <w:jc w:val="both"/>
              <w:rPr>
                <w:bCs/>
                <w:sz w:val="22"/>
                <w:szCs w:val="22"/>
                <w:lang w:val="bg-BG"/>
              </w:rPr>
            </w:pPr>
            <w:r w:rsidRPr="000D2B71">
              <w:rPr>
                <w:bCs/>
                <w:sz w:val="22"/>
                <w:szCs w:val="22"/>
                <w:lang w:val="bg-BG"/>
              </w:rPr>
              <w:t>Мотиви:</w:t>
            </w:r>
          </w:p>
          <w:p w14:paraId="3A8A97C9" w14:textId="77777777" w:rsidR="006E0E69" w:rsidRPr="000D2B71" w:rsidRDefault="006E0E69" w:rsidP="006E0E69">
            <w:pPr>
              <w:pStyle w:val="TableContents"/>
              <w:jc w:val="both"/>
              <w:rPr>
                <w:bCs/>
                <w:sz w:val="22"/>
                <w:szCs w:val="22"/>
                <w:lang w:val="bg-BG"/>
              </w:rPr>
            </w:pPr>
            <w:r w:rsidRPr="000D2B71">
              <w:rPr>
                <w:bCs/>
                <w:sz w:val="22"/>
                <w:szCs w:val="22"/>
                <w:lang w:val="bg-BG"/>
              </w:rPr>
              <w:t>Подхранването на целевите видове птици се осъществява с месо, СЖП, трупове на животни и дивеч, чието закупуване е недопустимо по процедурата, т.е.  няма наличие на двойно финансиране. СЖП и/или трупове на умрели животни не се закупуват от обектите посочени в т.14.4., а се получават безвъзмездно. Дейността по подхранване няма търговски и/или друг характер, генериращи печалба за кандидата и/или партньорите. При положение, че СЖП за подхранване НЕ СЕ ЗАКУПУВАТ, то не трябва да има ограничения за обектите от които те ще сте доставят, още повече че тези ограничения са в противоречие с принципите на ефективност и ефикасност на разходите по процедурата. Всеки оператор на площадка за подхранване е длъжен  да има Разрешително за ползване на СЖП на площадката,  издадено на основание чл. 271 от Закона за ветеринарномедицинската дейност и подлежи на контрол от съответните ветеринарни органи и това е достатъчно ограничаващо условие, което да гарантира както  безопасното функциониране на площадките и недопускане разпространение на болести, така и ограничаващо условие за обектите, от които се осигурява СЖП</w:t>
            </w:r>
          </w:p>
          <w:p w14:paraId="542E7E6F" w14:textId="1946572A" w:rsidR="00B83577" w:rsidRPr="000D2B71" w:rsidRDefault="00B83577" w:rsidP="006E0E69">
            <w:pPr>
              <w:pStyle w:val="TableContents"/>
              <w:jc w:val="both"/>
              <w:rPr>
                <w:bCs/>
                <w:sz w:val="22"/>
                <w:szCs w:val="22"/>
                <w:lang w:val="bg-BG"/>
              </w:rPr>
            </w:pPr>
          </w:p>
        </w:tc>
        <w:tc>
          <w:tcPr>
            <w:tcW w:w="5216" w:type="dxa"/>
            <w:gridSpan w:val="2"/>
            <w:shd w:val="clear" w:color="auto" w:fill="auto"/>
          </w:tcPr>
          <w:p w14:paraId="371AA88E" w14:textId="7AE4B5BD" w:rsidR="006E0E69" w:rsidRPr="000D2B71" w:rsidRDefault="00B83577" w:rsidP="005C2312">
            <w:pPr>
              <w:pStyle w:val="TableContents"/>
              <w:spacing w:after="0"/>
              <w:jc w:val="both"/>
              <w:rPr>
                <w:bCs/>
                <w:sz w:val="22"/>
                <w:szCs w:val="22"/>
                <w:lang w:val="bg-BG"/>
              </w:rPr>
            </w:pPr>
            <w:r w:rsidRPr="000D2B71">
              <w:rPr>
                <w:bCs/>
                <w:sz w:val="22"/>
                <w:szCs w:val="22"/>
                <w:lang w:val="bg-BG"/>
              </w:rPr>
              <w:t>Не се приема</w:t>
            </w:r>
            <w:r w:rsidR="00636B0C" w:rsidRPr="000D2B71">
              <w:rPr>
                <w:bCs/>
                <w:sz w:val="22"/>
                <w:szCs w:val="22"/>
                <w:lang w:val="bg-BG"/>
              </w:rPr>
              <w:t xml:space="preserve">. </w:t>
            </w:r>
            <w:r w:rsidR="00AE0D9A" w:rsidRPr="000D2B71">
              <w:rPr>
                <w:bCs/>
                <w:sz w:val="22"/>
                <w:szCs w:val="22"/>
                <w:lang w:val="bg-BG"/>
              </w:rPr>
              <w:t xml:space="preserve"> </w:t>
            </w:r>
          </w:p>
          <w:p w14:paraId="00640E43" w14:textId="77777777" w:rsidR="00A67F64" w:rsidRPr="000D2B71" w:rsidRDefault="00A67F64" w:rsidP="005C2312">
            <w:pPr>
              <w:pStyle w:val="TableContents"/>
              <w:spacing w:after="0"/>
              <w:jc w:val="both"/>
              <w:rPr>
                <w:bCs/>
                <w:sz w:val="22"/>
                <w:szCs w:val="22"/>
                <w:lang w:val="bg-BG"/>
              </w:rPr>
            </w:pPr>
          </w:p>
          <w:p w14:paraId="0E8AB5FC" w14:textId="00E23050" w:rsidR="00636B0C" w:rsidRPr="000D2B71" w:rsidRDefault="00636B0C" w:rsidP="005C2312">
            <w:pPr>
              <w:pStyle w:val="TableContents"/>
              <w:spacing w:after="0"/>
              <w:jc w:val="both"/>
              <w:rPr>
                <w:bCs/>
                <w:sz w:val="22"/>
                <w:szCs w:val="22"/>
                <w:lang w:val="bg-BG"/>
              </w:rPr>
            </w:pPr>
            <w:r w:rsidRPr="000D2B71">
              <w:rPr>
                <w:bCs/>
                <w:sz w:val="22"/>
                <w:szCs w:val="22"/>
                <w:lang w:val="bg-BG"/>
              </w:rPr>
              <w:t xml:space="preserve">Мотиви относно неприемането на текста </w:t>
            </w:r>
            <w:r w:rsidRPr="000D2B71">
              <w:rPr>
                <w:bCs/>
                <w:i/>
                <w:iCs/>
                <w:sz w:val="22"/>
                <w:szCs w:val="22"/>
                <w:lang w:val="bg-BG"/>
              </w:rPr>
              <w:t>„разходи за подхранване с месо или СЖП, произведени в животновъдни обекти за отглеждане на диви животни, собственост на кандидата или партньора;</w:t>
            </w:r>
            <w:r w:rsidRPr="000D2B71">
              <w:rPr>
                <w:bCs/>
                <w:sz w:val="22"/>
                <w:szCs w:val="22"/>
                <w:lang w:val="bg-BG"/>
              </w:rPr>
              <w:t>“ са дадени по-горе</w:t>
            </w:r>
            <w:r w:rsidR="00A67F64" w:rsidRPr="000D2B71">
              <w:rPr>
                <w:bCs/>
                <w:sz w:val="22"/>
                <w:szCs w:val="22"/>
                <w:lang w:val="bg-BG"/>
              </w:rPr>
              <w:t xml:space="preserve"> в текста</w:t>
            </w:r>
            <w:r w:rsidRPr="000D2B71">
              <w:rPr>
                <w:bCs/>
                <w:sz w:val="22"/>
                <w:szCs w:val="22"/>
                <w:lang w:val="bg-BG"/>
              </w:rPr>
              <w:t>.</w:t>
            </w:r>
          </w:p>
          <w:p w14:paraId="6E511967" w14:textId="77777777" w:rsidR="00A67F64" w:rsidRPr="000D2B71" w:rsidRDefault="00A67F64" w:rsidP="00636B0C">
            <w:pPr>
              <w:pStyle w:val="TableContents"/>
              <w:spacing w:after="0"/>
              <w:jc w:val="both"/>
              <w:rPr>
                <w:bCs/>
                <w:sz w:val="22"/>
                <w:szCs w:val="22"/>
                <w:lang w:val="bg-BG"/>
              </w:rPr>
            </w:pPr>
          </w:p>
          <w:p w14:paraId="476F4054" w14:textId="6D3F552C" w:rsidR="00636B0C" w:rsidRPr="000D2B71" w:rsidRDefault="00636B0C" w:rsidP="00636B0C">
            <w:pPr>
              <w:pStyle w:val="TableContents"/>
              <w:spacing w:after="0"/>
              <w:jc w:val="both"/>
              <w:rPr>
                <w:bCs/>
                <w:sz w:val="22"/>
                <w:szCs w:val="22"/>
                <w:lang w:val="bg-BG"/>
              </w:rPr>
            </w:pPr>
            <w:r w:rsidRPr="000D2B71">
              <w:rPr>
                <w:bCs/>
                <w:sz w:val="22"/>
                <w:szCs w:val="22"/>
                <w:lang w:val="bg-BG"/>
              </w:rPr>
              <w:t xml:space="preserve">По отношение на другите две цитирани категории разходи, в </w:t>
            </w:r>
            <w:r w:rsidR="00A67F64" w:rsidRPr="000D2B71">
              <w:rPr>
                <w:bCs/>
                <w:sz w:val="22"/>
                <w:szCs w:val="22"/>
                <w:lang w:val="bg-BG"/>
              </w:rPr>
              <w:t xml:space="preserve">проекта на насоки за кандидатстване, част условия за кандидатстване, в </w:t>
            </w:r>
            <w:r w:rsidRPr="000D2B71">
              <w:rPr>
                <w:bCs/>
                <w:sz w:val="22"/>
                <w:szCs w:val="22"/>
                <w:lang w:val="bg-BG"/>
              </w:rPr>
              <w:t xml:space="preserve">бележка под черта е направено уточнението, че същите са недопустими, когато се финансират с държавна помощ чрез Държавен фонд „Земеделие“ (при условията по чл. 275, ал. 4, във връзка с чл. 275, ал. 6 от ЗВМД) и когато се финансират за смета на бюджета на БАБХ (при условията по чл. 275, ал. 6 от ЗВМД). </w:t>
            </w:r>
            <w:r w:rsidR="00403799" w:rsidRPr="000D2B71">
              <w:rPr>
                <w:bCs/>
                <w:sz w:val="22"/>
                <w:szCs w:val="22"/>
                <w:lang w:val="bg-BG"/>
              </w:rPr>
              <w:t xml:space="preserve">По този начин се избягва двойно финансиране на описаните категории разходи. </w:t>
            </w:r>
          </w:p>
          <w:p w14:paraId="16B55247" w14:textId="78123317" w:rsidR="00636B0C" w:rsidRPr="000D2B71" w:rsidRDefault="00636B0C" w:rsidP="00636B0C">
            <w:pPr>
              <w:pStyle w:val="TableContents"/>
              <w:spacing w:after="0"/>
              <w:jc w:val="both"/>
              <w:rPr>
                <w:bCs/>
                <w:sz w:val="22"/>
                <w:szCs w:val="22"/>
                <w:lang w:val="bg-BG"/>
              </w:rPr>
            </w:pPr>
          </w:p>
        </w:tc>
      </w:tr>
      <w:tr w:rsidR="006E0E69" w:rsidRPr="000D2B71" w14:paraId="1D739BC4" w14:textId="77777777" w:rsidTr="006E0E69">
        <w:trPr>
          <w:trHeight w:val="436"/>
        </w:trPr>
        <w:tc>
          <w:tcPr>
            <w:tcW w:w="426" w:type="dxa"/>
            <w:shd w:val="clear" w:color="auto" w:fill="auto"/>
          </w:tcPr>
          <w:p w14:paraId="36062491" w14:textId="77777777" w:rsidR="006E0E69" w:rsidRPr="000D2B71" w:rsidRDefault="006E0E69" w:rsidP="005C2312">
            <w:pPr>
              <w:jc w:val="center"/>
            </w:pPr>
          </w:p>
        </w:tc>
        <w:tc>
          <w:tcPr>
            <w:tcW w:w="2551" w:type="dxa"/>
            <w:shd w:val="clear" w:color="auto" w:fill="auto"/>
          </w:tcPr>
          <w:p w14:paraId="24B5920A" w14:textId="77777777" w:rsidR="006E0E69" w:rsidRPr="000D2B71" w:rsidRDefault="006E0E69" w:rsidP="005C2312">
            <w:pPr>
              <w:rPr>
                <w:bCs/>
                <w:sz w:val="18"/>
                <w:szCs w:val="18"/>
              </w:rPr>
            </w:pPr>
          </w:p>
        </w:tc>
        <w:tc>
          <w:tcPr>
            <w:tcW w:w="1389" w:type="dxa"/>
            <w:shd w:val="clear" w:color="auto" w:fill="auto"/>
          </w:tcPr>
          <w:p w14:paraId="64B0486C" w14:textId="77777777" w:rsidR="006E0E69" w:rsidRPr="000D2B71" w:rsidRDefault="006E0E69" w:rsidP="005C2312">
            <w:pPr>
              <w:jc w:val="center"/>
              <w:rPr>
                <w:bCs/>
                <w:sz w:val="18"/>
                <w:szCs w:val="18"/>
              </w:rPr>
            </w:pPr>
          </w:p>
        </w:tc>
        <w:tc>
          <w:tcPr>
            <w:tcW w:w="6407" w:type="dxa"/>
            <w:shd w:val="clear" w:color="auto" w:fill="auto"/>
          </w:tcPr>
          <w:p w14:paraId="2956E9F9" w14:textId="77777777" w:rsidR="006E0E69" w:rsidRPr="000D2B71" w:rsidRDefault="006E0E69" w:rsidP="006E0E69">
            <w:pPr>
              <w:pStyle w:val="TableContents"/>
              <w:jc w:val="both"/>
              <w:rPr>
                <w:bCs/>
                <w:sz w:val="22"/>
                <w:szCs w:val="22"/>
                <w:lang w:val="bg-BG"/>
              </w:rPr>
            </w:pPr>
            <w:r w:rsidRPr="000D2B71">
              <w:rPr>
                <w:bCs/>
                <w:sz w:val="22"/>
                <w:szCs w:val="22"/>
                <w:lang w:val="bg-BG"/>
              </w:rPr>
              <w:t>По т. 21  от УСЛОВИЯ ЗА КАНДИДАТСТВАНЕ</w:t>
            </w:r>
          </w:p>
          <w:p w14:paraId="065AB214" w14:textId="77777777" w:rsidR="006E0E69" w:rsidRPr="000D2B71" w:rsidRDefault="006E0E69" w:rsidP="006E0E69">
            <w:pPr>
              <w:pStyle w:val="TableContents"/>
              <w:jc w:val="both"/>
              <w:rPr>
                <w:bCs/>
                <w:sz w:val="22"/>
                <w:szCs w:val="22"/>
                <w:lang w:val="bg-BG"/>
              </w:rPr>
            </w:pPr>
            <w:r w:rsidRPr="000D2B71">
              <w:rPr>
                <w:bCs/>
                <w:sz w:val="22"/>
                <w:szCs w:val="22"/>
                <w:lang w:val="bg-BG"/>
              </w:rPr>
              <w:t>Т.21. Ред за оценяване на проектните предложения</w:t>
            </w:r>
          </w:p>
          <w:p w14:paraId="606E5AB7" w14:textId="77777777" w:rsidR="006E0E69" w:rsidRPr="000D2B71" w:rsidRDefault="006E0E69" w:rsidP="006E0E69">
            <w:pPr>
              <w:pStyle w:val="TableContents"/>
              <w:jc w:val="both"/>
              <w:rPr>
                <w:bCs/>
                <w:sz w:val="22"/>
                <w:szCs w:val="22"/>
                <w:lang w:val="bg-BG"/>
              </w:rPr>
            </w:pPr>
            <w:r w:rsidRPr="000D2B71">
              <w:rPr>
                <w:bCs/>
                <w:sz w:val="22"/>
                <w:szCs w:val="22"/>
                <w:lang w:val="bg-BG"/>
              </w:rPr>
              <w:t>КРИТЕРИЙ ЗА ОЦЕНКА, IV. Финансов капацитет на кандидата</w:t>
            </w:r>
          </w:p>
          <w:p w14:paraId="049B1A31" w14:textId="77777777" w:rsidR="006E0E69" w:rsidRPr="000D2B71" w:rsidRDefault="006E0E69" w:rsidP="006E0E69">
            <w:pPr>
              <w:pStyle w:val="TableContents"/>
              <w:jc w:val="both"/>
              <w:rPr>
                <w:bCs/>
                <w:sz w:val="22"/>
                <w:szCs w:val="22"/>
                <w:lang w:val="bg-BG"/>
              </w:rPr>
            </w:pPr>
            <w:r w:rsidRPr="000D2B71">
              <w:rPr>
                <w:bCs/>
                <w:sz w:val="22"/>
                <w:szCs w:val="22"/>
                <w:lang w:val="bg-BG"/>
              </w:rPr>
              <w:t xml:space="preserve">Текстът в т.4 „…..за минимум 20% от стойността на заявената БФП“ </w:t>
            </w:r>
          </w:p>
          <w:p w14:paraId="4D487901" w14:textId="77777777" w:rsidR="006E0E69" w:rsidRPr="000D2B71" w:rsidRDefault="006E0E69" w:rsidP="006E0E69">
            <w:pPr>
              <w:pStyle w:val="TableContents"/>
              <w:jc w:val="both"/>
              <w:rPr>
                <w:bCs/>
                <w:sz w:val="22"/>
                <w:szCs w:val="22"/>
                <w:lang w:val="bg-BG"/>
              </w:rPr>
            </w:pPr>
            <w:r w:rsidRPr="000D2B71">
              <w:rPr>
                <w:bCs/>
                <w:sz w:val="22"/>
                <w:szCs w:val="22"/>
                <w:lang w:val="bg-BG"/>
              </w:rPr>
              <w:t>Да се коригира така</w:t>
            </w:r>
          </w:p>
          <w:p w14:paraId="705705D5" w14:textId="77777777" w:rsidR="006E0E69" w:rsidRPr="000D2B71" w:rsidRDefault="006E0E69" w:rsidP="006E0E69">
            <w:pPr>
              <w:pStyle w:val="TableContents"/>
              <w:jc w:val="both"/>
              <w:rPr>
                <w:bCs/>
                <w:sz w:val="22"/>
                <w:szCs w:val="22"/>
                <w:lang w:val="bg-BG"/>
              </w:rPr>
            </w:pPr>
            <w:r w:rsidRPr="000D2B71">
              <w:rPr>
                <w:bCs/>
                <w:sz w:val="22"/>
                <w:szCs w:val="22"/>
                <w:lang w:val="bg-BG"/>
              </w:rPr>
              <w:t>„…..за минимум 10% от стойността на заявената БФП“</w:t>
            </w:r>
          </w:p>
          <w:p w14:paraId="59D73950" w14:textId="39F59AB9" w:rsidR="006E0E69" w:rsidRPr="000D2B71" w:rsidRDefault="006E0E69" w:rsidP="006E0E69">
            <w:pPr>
              <w:pStyle w:val="TableContents"/>
              <w:jc w:val="both"/>
              <w:rPr>
                <w:bCs/>
                <w:sz w:val="22"/>
                <w:szCs w:val="22"/>
                <w:lang w:val="bg-BG"/>
              </w:rPr>
            </w:pPr>
            <w:r w:rsidRPr="000D2B71">
              <w:rPr>
                <w:bCs/>
                <w:sz w:val="22"/>
                <w:szCs w:val="22"/>
                <w:lang w:val="bg-BG"/>
              </w:rPr>
              <w:t>Мотиви: Противоречие между текстовете на документа.</w:t>
            </w:r>
          </w:p>
        </w:tc>
        <w:tc>
          <w:tcPr>
            <w:tcW w:w="5216" w:type="dxa"/>
            <w:gridSpan w:val="2"/>
            <w:shd w:val="clear" w:color="auto" w:fill="auto"/>
          </w:tcPr>
          <w:p w14:paraId="1386A2E7" w14:textId="77777777" w:rsidR="006E0E69" w:rsidRPr="000D2B71" w:rsidRDefault="00E466B3" w:rsidP="005C2312">
            <w:pPr>
              <w:pStyle w:val="TableContents"/>
              <w:spacing w:after="0"/>
              <w:jc w:val="both"/>
              <w:rPr>
                <w:bCs/>
                <w:sz w:val="22"/>
                <w:szCs w:val="22"/>
                <w:lang w:val="bg-BG"/>
              </w:rPr>
            </w:pPr>
            <w:r w:rsidRPr="000D2B71">
              <w:rPr>
                <w:bCs/>
                <w:sz w:val="22"/>
                <w:szCs w:val="22"/>
                <w:lang w:val="bg-BG"/>
              </w:rPr>
              <w:t xml:space="preserve">Не се приема. </w:t>
            </w:r>
          </w:p>
          <w:p w14:paraId="6F418D7B" w14:textId="74058BC4" w:rsidR="00E466B3" w:rsidRPr="000D2B71" w:rsidRDefault="00E466B3" w:rsidP="005C2312">
            <w:pPr>
              <w:pStyle w:val="TableContents"/>
              <w:spacing w:after="0"/>
              <w:jc w:val="both"/>
              <w:rPr>
                <w:bCs/>
                <w:sz w:val="22"/>
                <w:szCs w:val="22"/>
                <w:lang w:val="bg-BG"/>
              </w:rPr>
            </w:pPr>
            <w:r w:rsidRPr="000D2B71">
              <w:rPr>
                <w:bCs/>
                <w:sz w:val="22"/>
                <w:szCs w:val="22"/>
                <w:lang w:val="bg-BG"/>
              </w:rPr>
              <w:t>Изискването за допустимост на кандидатите – юридически лица с нестопанска цел, е да представят доказателства за кумулативен размер на оборота на ЮЛНЦ от 10% от стойността на заявената безвъзмездна финансова помощ, съгласно посоченото в текста на условия за кандидатстване (раздели 11 и 24 от същите). При непредставяне на такива доказателства, кандидатът ще получи „Не“ на критерий 2 „</w:t>
            </w:r>
            <w:r w:rsidRPr="000D2B71">
              <w:rPr>
                <w:bCs/>
                <w:i/>
                <w:iCs/>
                <w:sz w:val="22"/>
                <w:szCs w:val="22"/>
                <w:lang w:val="bg-BG"/>
              </w:rPr>
              <w:t>Кандидатът е допустим съгласно условията за кандидатстване и проектното предложение е подадено от лице, което го представлява, или от упълномощено/ оправомощено от него лице</w:t>
            </w:r>
            <w:r w:rsidRPr="000D2B71">
              <w:rPr>
                <w:bCs/>
                <w:sz w:val="22"/>
                <w:szCs w:val="22"/>
                <w:lang w:val="bg-BG"/>
              </w:rPr>
              <w:t xml:space="preserve">.“ От оценката на административно съответствие и допустимостта (раздел 21 от условията за кандидатстване). </w:t>
            </w:r>
          </w:p>
          <w:p w14:paraId="1A6CAA1D" w14:textId="77777777" w:rsidR="00E466B3" w:rsidRPr="000D2B71" w:rsidRDefault="00E466B3" w:rsidP="005C2312">
            <w:pPr>
              <w:pStyle w:val="TableContents"/>
              <w:spacing w:after="0"/>
              <w:jc w:val="both"/>
              <w:rPr>
                <w:bCs/>
                <w:sz w:val="22"/>
                <w:szCs w:val="22"/>
                <w:lang w:val="bg-BG"/>
              </w:rPr>
            </w:pPr>
            <w:r w:rsidRPr="000D2B71">
              <w:rPr>
                <w:bCs/>
                <w:sz w:val="22"/>
                <w:szCs w:val="22"/>
                <w:lang w:val="bg-BG"/>
              </w:rPr>
              <w:t xml:space="preserve">В случай че кандидатите - юридически лица с нестопанска цел представят доказателства за 20% и повече процента кумулативен размер на оборот от стойността на заявената безвъзмездна финансова помощ, на тях ще бъдат присъдени 5 точки по критерий IV. </w:t>
            </w:r>
            <w:r w:rsidRPr="000D2B71">
              <w:rPr>
                <w:bCs/>
                <w:i/>
                <w:iCs/>
                <w:sz w:val="22"/>
                <w:szCs w:val="22"/>
                <w:lang w:val="bg-BG"/>
              </w:rPr>
              <w:t>Финансов капацитет на кандидат</w:t>
            </w:r>
            <w:r w:rsidRPr="000D2B71">
              <w:rPr>
                <w:bCs/>
                <w:sz w:val="22"/>
                <w:szCs w:val="22"/>
                <w:lang w:val="bg-BG"/>
              </w:rPr>
              <w:t xml:space="preserve">а от Техническата и финансова оценка на проектните предложения (раздел 21 от условията за кандидатстване). При представяне на доказателства кумулативен размер на оборота от минимум 10%, но по-малко от 20% от стойността на заявената безвъзмездна финансова помощ, кандидатът – юридическо лице с нестопанска цел, ще получи по посочения критерий 1 точка. </w:t>
            </w:r>
          </w:p>
          <w:p w14:paraId="30BEA959" w14:textId="6636C702" w:rsidR="00B83577" w:rsidRPr="000D2B71" w:rsidRDefault="00B83577" w:rsidP="005C2312">
            <w:pPr>
              <w:pStyle w:val="TableContents"/>
              <w:spacing w:after="0"/>
              <w:jc w:val="both"/>
              <w:rPr>
                <w:bCs/>
                <w:sz w:val="22"/>
                <w:szCs w:val="22"/>
                <w:lang w:val="bg-BG"/>
              </w:rPr>
            </w:pPr>
            <w:r w:rsidRPr="000D2B71">
              <w:rPr>
                <w:bCs/>
                <w:sz w:val="22"/>
                <w:szCs w:val="22"/>
                <w:lang w:val="bg-BG"/>
              </w:rPr>
              <w:t>В допълнение, обръщаме внимание, че критериите за оценка са одобрени от Комитета за наблюдение на програмата и на настоящия етап не подлежат на ревизия.</w:t>
            </w:r>
          </w:p>
        </w:tc>
      </w:tr>
      <w:tr w:rsidR="006E0E69" w:rsidRPr="000D2B71" w14:paraId="0849E872" w14:textId="77777777" w:rsidTr="006E0E69">
        <w:trPr>
          <w:trHeight w:val="436"/>
        </w:trPr>
        <w:tc>
          <w:tcPr>
            <w:tcW w:w="426" w:type="dxa"/>
            <w:shd w:val="clear" w:color="auto" w:fill="auto"/>
          </w:tcPr>
          <w:p w14:paraId="7F66AB43" w14:textId="77777777" w:rsidR="006E0E69" w:rsidRPr="000D2B71" w:rsidRDefault="006E0E69" w:rsidP="005C2312">
            <w:pPr>
              <w:jc w:val="center"/>
            </w:pPr>
          </w:p>
        </w:tc>
        <w:tc>
          <w:tcPr>
            <w:tcW w:w="2551" w:type="dxa"/>
            <w:shd w:val="clear" w:color="auto" w:fill="auto"/>
          </w:tcPr>
          <w:p w14:paraId="20C51923" w14:textId="77777777" w:rsidR="006E0E69" w:rsidRPr="000D2B71" w:rsidRDefault="006E0E69" w:rsidP="005C2312">
            <w:pPr>
              <w:rPr>
                <w:bCs/>
                <w:sz w:val="18"/>
                <w:szCs w:val="18"/>
              </w:rPr>
            </w:pPr>
          </w:p>
        </w:tc>
        <w:tc>
          <w:tcPr>
            <w:tcW w:w="1389" w:type="dxa"/>
            <w:shd w:val="clear" w:color="auto" w:fill="auto"/>
          </w:tcPr>
          <w:p w14:paraId="4462077E" w14:textId="77777777" w:rsidR="006E0E69" w:rsidRPr="000D2B71" w:rsidRDefault="006E0E69" w:rsidP="005C2312">
            <w:pPr>
              <w:jc w:val="center"/>
              <w:rPr>
                <w:bCs/>
                <w:sz w:val="18"/>
                <w:szCs w:val="18"/>
              </w:rPr>
            </w:pPr>
          </w:p>
        </w:tc>
        <w:tc>
          <w:tcPr>
            <w:tcW w:w="6407" w:type="dxa"/>
            <w:shd w:val="clear" w:color="auto" w:fill="auto"/>
          </w:tcPr>
          <w:p w14:paraId="37DFAB62" w14:textId="77777777" w:rsidR="006E0E69" w:rsidRPr="000D2B71" w:rsidRDefault="006E0E69" w:rsidP="006E0E69">
            <w:pPr>
              <w:pStyle w:val="TableContents"/>
              <w:jc w:val="both"/>
              <w:rPr>
                <w:bCs/>
                <w:sz w:val="22"/>
                <w:szCs w:val="22"/>
                <w:lang w:val="bg-BG"/>
              </w:rPr>
            </w:pPr>
            <w:r w:rsidRPr="000D2B71">
              <w:rPr>
                <w:bCs/>
                <w:sz w:val="22"/>
                <w:szCs w:val="22"/>
                <w:lang w:val="bg-BG"/>
              </w:rPr>
              <w:t>По т. 25  от УСЛОВИЯ ЗА КАНДИДАТСТВАНЕ</w:t>
            </w:r>
          </w:p>
          <w:p w14:paraId="1ABE9EDA" w14:textId="77777777" w:rsidR="006E0E69" w:rsidRPr="000D2B71" w:rsidRDefault="006E0E69" w:rsidP="006E0E69">
            <w:pPr>
              <w:pStyle w:val="TableContents"/>
              <w:jc w:val="both"/>
              <w:rPr>
                <w:bCs/>
                <w:sz w:val="22"/>
                <w:szCs w:val="22"/>
                <w:lang w:val="bg-BG"/>
              </w:rPr>
            </w:pPr>
            <w:r w:rsidRPr="000D2B71">
              <w:rPr>
                <w:bCs/>
                <w:sz w:val="22"/>
                <w:szCs w:val="22"/>
                <w:lang w:val="bg-BG"/>
              </w:rPr>
              <w:t xml:space="preserve">25. Краен срок за подаване на проектните предложения: </w:t>
            </w:r>
          </w:p>
          <w:p w14:paraId="1DE0D947" w14:textId="77777777" w:rsidR="006E0E69" w:rsidRPr="000D2B71" w:rsidRDefault="006E0E69" w:rsidP="006E0E69">
            <w:pPr>
              <w:pStyle w:val="TableContents"/>
              <w:jc w:val="both"/>
              <w:rPr>
                <w:bCs/>
                <w:sz w:val="22"/>
                <w:szCs w:val="22"/>
                <w:lang w:val="bg-BG"/>
              </w:rPr>
            </w:pPr>
            <w:r w:rsidRPr="000D2B71">
              <w:rPr>
                <w:bCs/>
                <w:sz w:val="22"/>
                <w:szCs w:val="22"/>
                <w:lang w:val="bg-BG"/>
              </w:rPr>
              <w:t>07.01.2025 г.</w:t>
            </w:r>
          </w:p>
          <w:p w14:paraId="55FC4897" w14:textId="77777777" w:rsidR="006E0E69" w:rsidRPr="000D2B71" w:rsidRDefault="006E0E69" w:rsidP="006E0E69">
            <w:pPr>
              <w:pStyle w:val="TableContents"/>
              <w:jc w:val="both"/>
              <w:rPr>
                <w:bCs/>
                <w:sz w:val="22"/>
                <w:szCs w:val="22"/>
                <w:lang w:val="bg-BG"/>
              </w:rPr>
            </w:pPr>
            <w:r w:rsidRPr="000D2B71">
              <w:rPr>
                <w:bCs/>
                <w:sz w:val="22"/>
                <w:szCs w:val="22"/>
                <w:lang w:val="bg-BG"/>
              </w:rPr>
              <w:t>Да се промени така:</w:t>
            </w:r>
          </w:p>
          <w:p w14:paraId="4EA53767" w14:textId="09BC075A" w:rsidR="006E0E69" w:rsidRPr="000D2B71" w:rsidRDefault="006E0E69" w:rsidP="006E0E69">
            <w:pPr>
              <w:pStyle w:val="TableContents"/>
              <w:jc w:val="both"/>
              <w:rPr>
                <w:bCs/>
                <w:sz w:val="22"/>
                <w:szCs w:val="22"/>
                <w:lang w:val="bg-BG"/>
              </w:rPr>
            </w:pPr>
            <w:r w:rsidRPr="000D2B71">
              <w:rPr>
                <w:bCs/>
                <w:sz w:val="22"/>
                <w:szCs w:val="22"/>
                <w:lang w:val="bg-BG"/>
              </w:rPr>
              <w:t xml:space="preserve">25. Краен срок за подаване на проектните предложения: </w:t>
            </w:r>
          </w:p>
          <w:p w14:paraId="334B478E" w14:textId="77777777" w:rsidR="006E0E69" w:rsidRPr="000D2B71" w:rsidRDefault="006E0E69" w:rsidP="006E0E69">
            <w:pPr>
              <w:pStyle w:val="TableContents"/>
              <w:jc w:val="both"/>
              <w:rPr>
                <w:bCs/>
                <w:sz w:val="22"/>
                <w:szCs w:val="22"/>
                <w:lang w:val="bg-BG"/>
              </w:rPr>
            </w:pPr>
            <w:r w:rsidRPr="000D2B71">
              <w:rPr>
                <w:bCs/>
                <w:sz w:val="22"/>
                <w:szCs w:val="22"/>
                <w:lang w:val="bg-BG"/>
              </w:rPr>
              <w:t>07.02.2025 г.</w:t>
            </w:r>
          </w:p>
          <w:p w14:paraId="6A04E3F5" w14:textId="77777777" w:rsidR="006E0E69" w:rsidRPr="000D2B71" w:rsidRDefault="006E0E69" w:rsidP="006E0E69">
            <w:pPr>
              <w:pStyle w:val="TableContents"/>
              <w:jc w:val="both"/>
              <w:rPr>
                <w:bCs/>
                <w:sz w:val="22"/>
                <w:szCs w:val="22"/>
                <w:lang w:val="bg-BG"/>
              </w:rPr>
            </w:pPr>
            <w:r w:rsidRPr="000D2B71">
              <w:rPr>
                <w:bCs/>
                <w:sz w:val="22"/>
                <w:szCs w:val="22"/>
                <w:lang w:val="bg-BG"/>
              </w:rPr>
              <w:t>Мотиви:</w:t>
            </w:r>
          </w:p>
          <w:p w14:paraId="7FC633F4" w14:textId="7DF20796" w:rsidR="006E0E69" w:rsidRPr="000D2B71" w:rsidRDefault="006E0E69" w:rsidP="006E0E69">
            <w:pPr>
              <w:pStyle w:val="TableContents"/>
              <w:jc w:val="both"/>
              <w:rPr>
                <w:bCs/>
                <w:sz w:val="22"/>
                <w:szCs w:val="22"/>
                <w:lang w:val="bg-BG"/>
              </w:rPr>
            </w:pPr>
            <w:r w:rsidRPr="000D2B71">
              <w:rPr>
                <w:bCs/>
                <w:sz w:val="22"/>
                <w:szCs w:val="22"/>
                <w:lang w:val="bg-BG"/>
              </w:rPr>
              <w:t>Реалистично за осъществяване на всички предварителни дейности, допустими по процедурата са необходими два пълни месеци. Предвид това, че през месец декември има поредица от празнични и почивни дни, а спомагателните дейности обхващат освен изготвяне на проектното предложение, така и документацията по екологичното законодателство, то определянето на 7 февруари 2025 г. като краен срок за подаване на проектните предложения е наложително.</w:t>
            </w:r>
          </w:p>
        </w:tc>
        <w:tc>
          <w:tcPr>
            <w:tcW w:w="5216" w:type="dxa"/>
            <w:gridSpan w:val="2"/>
            <w:shd w:val="clear" w:color="auto" w:fill="auto"/>
          </w:tcPr>
          <w:p w14:paraId="422A50A9" w14:textId="77777777" w:rsidR="00BF14C5" w:rsidRPr="000D2B71" w:rsidRDefault="00BF14C5" w:rsidP="005C2312">
            <w:pPr>
              <w:pStyle w:val="TableContents"/>
              <w:spacing w:after="0"/>
              <w:jc w:val="both"/>
              <w:rPr>
                <w:bCs/>
                <w:sz w:val="22"/>
                <w:szCs w:val="22"/>
                <w:lang w:val="bg-BG"/>
              </w:rPr>
            </w:pPr>
            <w:r w:rsidRPr="000D2B71">
              <w:rPr>
                <w:bCs/>
                <w:sz w:val="22"/>
                <w:szCs w:val="22"/>
                <w:lang w:val="bg-BG"/>
              </w:rPr>
              <w:t>Приема се.</w:t>
            </w:r>
          </w:p>
          <w:p w14:paraId="71C406E8" w14:textId="27273B57" w:rsidR="006E0E69" w:rsidRPr="000D2B71" w:rsidRDefault="00BF14C5" w:rsidP="005C2312">
            <w:pPr>
              <w:pStyle w:val="TableContents"/>
              <w:spacing w:after="0"/>
              <w:jc w:val="both"/>
              <w:rPr>
                <w:bCs/>
                <w:sz w:val="22"/>
                <w:szCs w:val="22"/>
                <w:lang w:val="bg-BG"/>
              </w:rPr>
            </w:pPr>
            <w:r w:rsidRPr="000D2B71">
              <w:rPr>
                <w:bCs/>
                <w:sz w:val="22"/>
                <w:szCs w:val="22"/>
                <w:lang w:val="bg-BG"/>
              </w:rPr>
              <w:t>Предвиден е срок за кандидатстване от три месеца, като датата   07.01.2025 г. ще бъде коригирана спрямо датата на обявяване на процедурата.</w:t>
            </w:r>
          </w:p>
        </w:tc>
      </w:tr>
      <w:tr w:rsidR="006E0E69" w:rsidRPr="000D2B71" w14:paraId="518EE037" w14:textId="77777777" w:rsidTr="006E0E69">
        <w:trPr>
          <w:trHeight w:val="436"/>
        </w:trPr>
        <w:tc>
          <w:tcPr>
            <w:tcW w:w="426" w:type="dxa"/>
            <w:shd w:val="clear" w:color="auto" w:fill="auto"/>
          </w:tcPr>
          <w:p w14:paraId="7DB05F81" w14:textId="77777777" w:rsidR="006E0E69" w:rsidRPr="000D2B71" w:rsidRDefault="006E0E69" w:rsidP="005C2312">
            <w:pPr>
              <w:jc w:val="center"/>
            </w:pPr>
          </w:p>
        </w:tc>
        <w:tc>
          <w:tcPr>
            <w:tcW w:w="2551" w:type="dxa"/>
            <w:shd w:val="clear" w:color="auto" w:fill="auto"/>
          </w:tcPr>
          <w:p w14:paraId="724CDA9C" w14:textId="77777777" w:rsidR="006E0E69" w:rsidRPr="000D2B71" w:rsidRDefault="006E0E69" w:rsidP="005C2312">
            <w:pPr>
              <w:rPr>
                <w:bCs/>
                <w:sz w:val="18"/>
                <w:szCs w:val="18"/>
              </w:rPr>
            </w:pPr>
          </w:p>
        </w:tc>
        <w:tc>
          <w:tcPr>
            <w:tcW w:w="1389" w:type="dxa"/>
            <w:shd w:val="clear" w:color="auto" w:fill="auto"/>
          </w:tcPr>
          <w:p w14:paraId="096B9187" w14:textId="77777777" w:rsidR="006E0E69" w:rsidRPr="000D2B71" w:rsidRDefault="006E0E69" w:rsidP="005C2312">
            <w:pPr>
              <w:jc w:val="center"/>
              <w:rPr>
                <w:bCs/>
                <w:sz w:val="18"/>
                <w:szCs w:val="18"/>
              </w:rPr>
            </w:pPr>
          </w:p>
        </w:tc>
        <w:tc>
          <w:tcPr>
            <w:tcW w:w="6407" w:type="dxa"/>
            <w:shd w:val="clear" w:color="auto" w:fill="auto"/>
          </w:tcPr>
          <w:p w14:paraId="1C0A0C89" w14:textId="77777777" w:rsidR="006E0E69" w:rsidRPr="000D2B71" w:rsidRDefault="006E0E69" w:rsidP="006E0E69">
            <w:pPr>
              <w:pStyle w:val="TableContents"/>
              <w:jc w:val="both"/>
              <w:rPr>
                <w:bCs/>
                <w:sz w:val="22"/>
                <w:szCs w:val="22"/>
                <w:lang w:val="bg-BG"/>
              </w:rPr>
            </w:pPr>
            <w:r w:rsidRPr="000D2B71">
              <w:rPr>
                <w:bCs/>
                <w:sz w:val="22"/>
                <w:szCs w:val="22"/>
                <w:lang w:val="bg-BG"/>
              </w:rPr>
              <w:t>Следните линкове  водят към сайтове с грешки:</w:t>
            </w:r>
          </w:p>
          <w:p w14:paraId="488F9526" w14:textId="0974B62A" w:rsidR="006E0E69" w:rsidRPr="000D2B71" w:rsidRDefault="006E0E69" w:rsidP="00B83577">
            <w:pPr>
              <w:pStyle w:val="TableContents"/>
              <w:spacing w:after="0"/>
              <w:jc w:val="both"/>
              <w:rPr>
                <w:bCs/>
                <w:sz w:val="22"/>
                <w:szCs w:val="22"/>
                <w:lang w:val="bg-BG"/>
              </w:rPr>
            </w:pPr>
            <w:r w:rsidRPr="000D2B71">
              <w:rPr>
                <w:bCs/>
                <w:sz w:val="22"/>
                <w:szCs w:val="22"/>
                <w:lang w:val="bg-BG"/>
              </w:rPr>
              <w:t>http://ec.europa.eu/competition/elojade/isef/index.cfm?clear=1&amp;policy_area_id=3</w:t>
            </w:r>
          </w:p>
          <w:p w14:paraId="54893B66"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https://food.bfsa.bg/odbh-user/r3/index.xhtm</w:t>
            </w:r>
          </w:p>
          <w:p w14:paraId="2FB8A228"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https://bfsa.egov.bg/wps/portal/bfsa-web/registers/reg%20transport%20szp</w:t>
            </w:r>
          </w:p>
          <w:p w14:paraId="593193CC"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 xml:space="preserve">Ръководство за потребителя за модул „Е-кандидатстване”  </w:t>
            </w:r>
          </w:p>
          <w:p w14:paraId="3A23D723"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ПРЕДЛАГАМЕ В ДОКУМЕНТА УСЛОВИЯ ЗА КАНДИДАТСТВАНЕ</w:t>
            </w:r>
          </w:p>
          <w:p w14:paraId="0C012C37"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ДА БЪДАТ ПОСОЧЕНИ СЛЕДНИТЕ РАБОТЕЩИ КЪМ МОМЕНТА ЛИКОВЕ:</w:t>
            </w:r>
          </w:p>
          <w:p w14:paraId="2409ECEF"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 xml:space="preserve">Регистърът на операторите, обектите и предприятията, боравещи със СЖП и производни продукти е достъпен на следния линк -  </w:t>
            </w:r>
          </w:p>
          <w:p w14:paraId="2BD35415"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https://iisr.egov.bg/BABHRegsExt/pagesPublic/registers/register44.xhtml?locale=bg</w:t>
            </w:r>
          </w:p>
          <w:p w14:paraId="683B1577" w14:textId="77777777" w:rsidR="006E0E69" w:rsidRPr="000D2B71" w:rsidRDefault="006E0E69" w:rsidP="00B83577">
            <w:pPr>
              <w:pStyle w:val="TableContents"/>
              <w:spacing w:after="0"/>
              <w:jc w:val="both"/>
              <w:rPr>
                <w:bCs/>
                <w:sz w:val="22"/>
                <w:szCs w:val="22"/>
                <w:lang w:val="bg-BG"/>
              </w:rPr>
            </w:pPr>
            <w:r w:rsidRPr="000D2B71">
              <w:rPr>
                <w:bCs/>
                <w:sz w:val="22"/>
                <w:szCs w:val="22"/>
                <w:lang w:val="bg-BG"/>
              </w:rPr>
              <w:t xml:space="preserve">Регистърът на транспортните средства за превоз на СЖП и производни продукти е публикуван на следния линк – </w:t>
            </w:r>
          </w:p>
          <w:p w14:paraId="7EBAAF72" w14:textId="3DB35AA3" w:rsidR="006E0E69" w:rsidRPr="000D2B71" w:rsidRDefault="006E0E69" w:rsidP="00B83577">
            <w:pPr>
              <w:pStyle w:val="TableContents"/>
              <w:spacing w:after="0"/>
              <w:jc w:val="both"/>
              <w:rPr>
                <w:bCs/>
                <w:sz w:val="22"/>
                <w:szCs w:val="22"/>
                <w:lang w:val="bg-BG"/>
              </w:rPr>
            </w:pPr>
            <w:r w:rsidRPr="000D2B71">
              <w:rPr>
                <w:bCs/>
                <w:sz w:val="22"/>
                <w:szCs w:val="22"/>
                <w:lang w:val="bg-BG"/>
              </w:rPr>
              <w:t>https://iisr.egov.bg/BABHRegsExt/pagesPublic/registers/register43.xhtml?locale=bg</w:t>
            </w:r>
          </w:p>
        </w:tc>
        <w:tc>
          <w:tcPr>
            <w:tcW w:w="5216" w:type="dxa"/>
            <w:gridSpan w:val="2"/>
            <w:shd w:val="clear" w:color="auto" w:fill="auto"/>
          </w:tcPr>
          <w:p w14:paraId="5F8FB6A3" w14:textId="30073BBE" w:rsidR="006E0E69" w:rsidRPr="000D2B71" w:rsidRDefault="00EF48D9" w:rsidP="005C2312">
            <w:pPr>
              <w:pStyle w:val="TableContents"/>
              <w:spacing w:after="0"/>
              <w:jc w:val="both"/>
              <w:rPr>
                <w:bCs/>
                <w:sz w:val="22"/>
                <w:szCs w:val="22"/>
                <w:lang w:val="bg-BG"/>
              </w:rPr>
            </w:pPr>
            <w:r w:rsidRPr="000D2B71">
              <w:rPr>
                <w:bCs/>
                <w:sz w:val="22"/>
                <w:szCs w:val="22"/>
                <w:lang w:val="bg-BG"/>
              </w:rPr>
              <w:t>Приема се. Извършена е поправка като са посочени съответните линкове, а именно:</w:t>
            </w:r>
          </w:p>
          <w:p w14:paraId="40634614" w14:textId="0686F308" w:rsidR="00EF48D9" w:rsidRPr="000D2B71" w:rsidRDefault="00EF48D9" w:rsidP="005C2312">
            <w:pPr>
              <w:pStyle w:val="TableContents"/>
              <w:spacing w:after="0"/>
              <w:jc w:val="both"/>
              <w:rPr>
                <w:bCs/>
                <w:sz w:val="22"/>
                <w:szCs w:val="22"/>
                <w:lang w:val="bg-BG"/>
              </w:rPr>
            </w:pPr>
          </w:p>
          <w:bookmarkStart w:id="0" w:name="_Hlk181364584"/>
          <w:p w14:paraId="2A68862D" w14:textId="77240EA0" w:rsidR="00EF48D9" w:rsidRPr="000D2B71" w:rsidRDefault="00EF48D9" w:rsidP="005C2312">
            <w:pPr>
              <w:pStyle w:val="TableContents"/>
              <w:spacing w:after="0"/>
              <w:jc w:val="both"/>
              <w:rPr>
                <w:bCs/>
                <w:sz w:val="22"/>
                <w:szCs w:val="22"/>
                <w:lang w:val="bg-BG"/>
              </w:rPr>
            </w:pPr>
            <w:r w:rsidRPr="000D2B71">
              <w:rPr>
                <w:bCs/>
                <w:sz w:val="22"/>
                <w:szCs w:val="22"/>
                <w:lang w:val="bg-BG"/>
              </w:rPr>
              <w:fldChar w:fldCharType="begin"/>
            </w:r>
            <w:r w:rsidRPr="000D2B71">
              <w:rPr>
                <w:bCs/>
                <w:sz w:val="22"/>
                <w:szCs w:val="22"/>
                <w:lang w:val="bg-BG"/>
              </w:rPr>
              <w:instrText>HYPERLINK "https://competition-cases.ec.europa.eu/search"</w:instrText>
            </w:r>
            <w:r w:rsidRPr="000D2B71">
              <w:rPr>
                <w:bCs/>
                <w:sz w:val="22"/>
                <w:szCs w:val="22"/>
                <w:lang w:val="bg-BG"/>
              </w:rPr>
            </w:r>
            <w:r w:rsidRPr="000D2B71">
              <w:rPr>
                <w:bCs/>
                <w:sz w:val="22"/>
                <w:szCs w:val="22"/>
                <w:lang w:val="bg-BG"/>
              </w:rPr>
              <w:fldChar w:fldCharType="separate"/>
            </w:r>
            <w:r w:rsidRPr="000D2B71">
              <w:rPr>
                <w:rStyle w:val="Hyperlink"/>
                <w:bCs/>
                <w:sz w:val="22"/>
                <w:szCs w:val="22"/>
                <w:lang w:val="bg-BG"/>
              </w:rPr>
              <w:t>https://competition-cases.ec.europa.eu/search</w:t>
            </w:r>
            <w:r w:rsidRPr="000D2B71">
              <w:rPr>
                <w:bCs/>
                <w:sz w:val="22"/>
                <w:szCs w:val="22"/>
                <w:lang w:val="bg-BG"/>
              </w:rPr>
              <w:fldChar w:fldCharType="end"/>
            </w:r>
          </w:p>
          <w:p w14:paraId="6109D4B1" w14:textId="77777777" w:rsidR="00EF48D9" w:rsidRPr="000D2B71" w:rsidRDefault="00EF48D9" w:rsidP="005C2312">
            <w:pPr>
              <w:pStyle w:val="TableContents"/>
              <w:spacing w:after="0"/>
              <w:jc w:val="both"/>
              <w:rPr>
                <w:bCs/>
                <w:sz w:val="22"/>
                <w:szCs w:val="22"/>
                <w:lang w:val="bg-BG"/>
              </w:rPr>
            </w:pPr>
          </w:p>
          <w:p w14:paraId="0F255948" w14:textId="144A9EF6" w:rsidR="00EF48D9" w:rsidRPr="000D2B71" w:rsidRDefault="00EA6337" w:rsidP="005C2312">
            <w:pPr>
              <w:pStyle w:val="TableContents"/>
              <w:spacing w:after="0"/>
              <w:jc w:val="both"/>
              <w:rPr>
                <w:bCs/>
                <w:sz w:val="22"/>
                <w:szCs w:val="22"/>
                <w:lang w:val="bg-BG"/>
              </w:rPr>
            </w:pPr>
            <w:hyperlink r:id="rId11" w:history="1">
              <w:r w:rsidR="00EF48D9" w:rsidRPr="000D2B71">
                <w:rPr>
                  <w:rStyle w:val="Hyperlink"/>
                  <w:bCs/>
                  <w:sz w:val="22"/>
                  <w:szCs w:val="22"/>
                  <w:lang w:val="bg-BG"/>
                </w:rPr>
                <w:t>https://iisr.egov.bg/BABHRegsExt/pagesPublic/registers/register44.xhtml?locale=bg</w:t>
              </w:r>
            </w:hyperlink>
          </w:p>
          <w:p w14:paraId="02C077AE" w14:textId="77777777" w:rsidR="00EF48D9" w:rsidRPr="000D2B71" w:rsidRDefault="00EF48D9" w:rsidP="005C2312">
            <w:pPr>
              <w:pStyle w:val="TableContents"/>
              <w:spacing w:after="0"/>
              <w:jc w:val="both"/>
              <w:rPr>
                <w:bCs/>
                <w:sz w:val="22"/>
                <w:szCs w:val="22"/>
                <w:lang w:val="bg-BG"/>
              </w:rPr>
            </w:pPr>
          </w:p>
          <w:p w14:paraId="7059DCCA" w14:textId="3D82E513" w:rsidR="00EF48D9" w:rsidRPr="000D2B71" w:rsidRDefault="00EA6337" w:rsidP="005C2312">
            <w:pPr>
              <w:pStyle w:val="TableContents"/>
              <w:spacing w:after="0"/>
              <w:jc w:val="both"/>
              <w:rPr>
                <w:bCs/>
                <w:sz w:val="22"/>
                <w:szCs w:val="22"/>
                <w:lang w:val="bg-BG"/>
              </w:rPr>
            </w:pPr>
            <w:hyperlink r:id="rId12" w:history="1">
              <w:r w:rsidR="00EF48D9" w:rsidRPr="000D2B71">
                <w:rPr>
                  <w:rStyle w:val="Hyperlink"/>
                  <w:bCs/>
                  <w:sz w:val="22"/>
                  <w:szCs w:val="22"/>
                  <w:lang w:val="bg-BG"/>
                </w:rPr>
                <w:t>https://iisr.egov.bg/BABHRegsExt/pagesPublic/registers/register43.xhtml?locale=bg</w:t>
              </w:r>
            </w:hyperlink>
          </w:p>
          <w:p w14:paraId="42F99AF4" w14:textId="77777777" w:rsidR="00EF48D9" w:rsidRPr="000D2B71" w:rsidRDefault="00EF48D9" w:rsidP="005C2312">
            <w:pPr>
              <w:pStyle w:val="TableContents"/>
              <w:spacing w:after="0"/>
              <w:jc w:val="both"/>
              <w:rPr>
                <w:bCs/>
                <w:sz w:val="22"/>
                <w:szCs w:val="22"/>
                <w:lang w:val="bg-BG"/>
              </w:rPr>
            </w:pPr>
          </w:p>
          <w:p w14:paraId="07A0C503" w14:textId="77777777" w:rsidR="00EF48D9" w:rsidRPr="000D2B71" w:rsidRDefault="00EF48D9" w:rsidP="005C2312">
            <w:pPr>
              <w:pStyle w:val="TableContents"/>
              <w:spacing w:after="0"/>
              <w:jc w:val="both"/>
              <w:rPr>
                <w:bCs/>
                <w:sz w:val="22"/>
                <w:szCs w:val="22"/>
                <w:lang w:val="bg-BG"/>
              </w:rPr>
            </w:pPr>
          </w:p>
          <w:p w14:paraId="36644174" w14:textId="77777777" w:rsidR="00EF48D9" w:rsidRPr="000D2B71" w:rsidRDefault="00EF48D9" w:rsidP="005C2312">
            <w:pPr>
              <w:pStyle w:val="TableContents"/>
              <w:spacing w:after="0"/>
              <w:jc w:val="both"/>
              <w:rPr>
                <w:bCs/>
                <w:sz w:val="22"/>
                <w:szCs w:val="22"/>
                <w:lang w:val="bg-BG"/>
              </w:rPr>
            </w:pPr>
          </w:p>
          <w:bookmarkEnd w:id="0"/>
          <w:p w14:paraId="5AE9AC96" w14:textId="4C53A810" w:rsidR="00EF48D9" w:rsidRPr="000D2B71" w:rsidRDefault="00EF48D9" w:rsidP="005C2312">
            <w:pPr>
              <w:pStyle w:val="TableContents"/>
              <w:spacing w:after="0"/>
              <w:jc w:val="both"/>
              <w:rPr>
                <w:b/>
                <w:sz w:val="18"/>
                <w:szCs w:val="18"/>
                <w:lang w:val="bg-BG"/>
              </w:rPr>
            </w:pPr>
          </w:p>
        </w:tc>
      </w:tr>
    </w:tbl>
    <w:p w14:paraId="34C052D2" w14:textId="77777777" w:rsidR="00BD7FA6" w:rsidRPr="000D2B71" w:rsidRDefault="00BD7FA6" w:rsidP="004E2862">
      <w:pPr>
        <w:ind w:left="567"/>
        <w:jc w:val="both"/>
        <w:rPr>
          <w:rFonts w:ascii="Verdana" w:hAnsi="Verdana" w:cs="Tahoma"/>
        </w:rPr>
      </w:pPr>
    </w:p>
    <w:p w14:paraId="5136232C" w14:textId="77777777" w:rsidR="00DD12A7" w:rsidRPr="000D2B71" w:rsidRDefault="00DD12A7" w:rsidP="004012BA">
      <w:pPr>
        <w:ind w:left="9217" w:firstLine="709"/>
        <w:jc w:val="both"/>
      </w:pPr>
    </w:p>
    <w:p w14:paraId="24F02381" w14:textId="3A51400C" w:rsidR="00DD12A7" w:rsidRPr="003E1000" w:rsidRDefault="00EA6337" w:rsidP="00473ADF">
      <w:pPr>
        <w:ind w:left="1418"/>
        <w:jc w:val="both"/>
      </w:pPr>
      <w:r>
        <w:pict w14:anchorId="5A12C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25pt;height:93.75pt">
            <v:imagedata r:id="rId13" o:title=""/>
            <o:lock v:ext="edit" ungrouping="t" rotation="t" cropping="t" verticies="t" text="t" grouping="t"/>
            <o:signatureline v:ext="edit" id="{A7D06777-3BD2-4CB7-B913-D26D6FDACFD5}" provid="{00000000-0000-0000-0000-000000000000}" o:suggestedsigner="Галина Симеонова" o:suggestedsigner2="Ръководител на УО на ПОС 2021-2027 г." issignatureline="t"/>
          </v:shape>
        </w:pict>
      </w:r>
    </w:p>
    <w:sectPr w:rsidR="00DD12A7" w:rsidRPr="003E1000" w:rsidSect="004012BA">
      <w:headerReference w:type="default" r:id="rId14"/>
      <w:footerReference w:type="default" r:id="rId15"/>
      <w:pgSz w:w="16838" w:h="11906" w:orient="landscape"/>
      <w:pgMar w:top="568" w:right="567" w:bottom="284" w:left="56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A4D52" w14:textId="77777777" w:rsidR="008E4A86" w:rsidRDefault="008E4A86">
      <w:r>
        <w:separator/>
      </w:r>
    </w:p>
  </w:endnote>
  <w:endnote w:type="continuationSeparator" w:id="0">
    <w:p w14:paraId="764BE63B" w14:textId="77777777" w:rsidR="008E4A86" w:rsidRDefault="008E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B457D" w14:textId="77777777" w:rsidR="00576BFA" w:rsidRPr="00C76DF0" w:rsidRDefault="00576BFA" w:rsidP="00576BFA">
    <w:pPr>
      <w:pStyle w:val="Footer"/>
      <w:pBdr>
        <w:top w:val="single" w:sz="4" w:space="1" w:color="D9D9D9"/>
      </w:pBdr>
      <w:jc w:val="right"/>
      <w:rPr>
        <w:sz w:val="16"/>
        <w:szCs w:val="16"/>
      </w:rPr>
    </w:pPr>
    <w:r w:rsidRPr="00874787">
      <w:rPr>
        <w:sz w:val="16"/>
        <w:szCs w:val="16"/>
      </w:rPr>
      <w:fldChar w:fldCharType="begin"/>
    </w:r>
    <w:r w:rsidRPr="00874787">
      <w:rPr>
        <w:sz w:val="16"/>
        <w:szCs w:val="16"/>
      </w:rPr>
      <w:instrText xml:space="preserve"> PAGE   \* MERGEFORMAT </w:instrText>
    </w:r>
    <w:r w:rsidRPr="00874787">
      <w:rPr>
        <w:sz w:val="16"/>
        <w:szCs w:val="16"/>
      </w:rPr>
      <w:fldChar w:fldCharType="separate"/>
    </w:r>
    <w:r w:rsidR="00E00251">
      <w:rPr>
        <w:noProof/>
        <w:sz w:val="16"/>
        <w:szCs w:val="16"/>
      </w:rPr>
      <w:t>1</w:t>
    </w:r>
    <w:r w:rsidRPr="00874787">
      <w:rPr>
        <w:noProof/>
        <w:sz w:val="16"/>
        <w:szCs w:val="16"/>
      </w:rPr>
      <w:fldChar w:fldCharType="end"/>
    </w:r>
    <w:r w:rsidRPr="00874787">
      <w:rPr>
        <w:sz w:val="16"/>
        <w:szCs w:val="16"/>
      </w:rPr>
      <w:t xml:space="preserve"> | </w:t>
    </w:r>
    <w:r w:rsidR="00C76DF0">
      <w:rPr>
        <w:sz w:val="16"/>
        <w:szCs w:val="16"/>
      </w:rPr>
      <w:t>2</w:t>
    </w:r>
  </w:p>
  <w:p w14:paraId="3485C3B2" w14:textId="77777777" w:rsidR="00F4740D" w:rsidRPr="00576BFA" w:rsidRDefault="00F4740D" w:rsidP="00874787">
    <w:pPr>
      <w:pStyle w:val="Footer"/>
      <w:tabs>
        <w:tab w:val="clear" w:pos="4536"/>
        <w:tab w:val="clear" w:pos="9072"/>
        <w:tab w:val="left" w:pos="100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E711B" w14:textId="77777777" w:rsidR="008E4A86" w:rsidRDefault="008E4A86">
      <w:r>
        <w:separator/>
      </w:r>
    </w:p>
  </w:footnote>
  <w:footnote w:type="continuationSeparator" w:id="0">
    <w:p w14:paraId="056CEEEB" w14:textId="77777777" w:rsidR="008E4A86" w:rsidRDefault="008E4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ACF4E" w14:textId="77777777" w:rsidR="00921644" w:rsidRDefault="00921644" w:rsidP="00921644">
    <w:pPr>
      <w:pStyle w:val="Header"/>
      <w:tabs>
        <w:tab w:val="clear" w:pos="4536"/>
        <w:tab w:val="clear" w:pos="9072"/>
        <w:tab w:val="left" w:pos="85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90CB7"/>
    <w:multiLevelType w:val="multilevel"/>
    <w:tmpl w:val="12F47058"/>
    <w:lvl w:ilvl="0">
      <w:start w:val="3"/>
      <w:numFmt w:val="decimal"/>
      <w:pStyle w:val="style2manual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810177"/>
    <w:multiLevelType w:val="hybridMultilevel"/>
    <w:tmpl w:val="8032A31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6153B3"/>
    <w:multiLevelType w:val="hybridMultilevel"/>
    <w:tmpl w:val="A02E9B8E"/>
    <w:lvl w:ilvl="0" w:tplc="CB2A9806">
      <w:start w:val="1"/>
      <w:numFmt w:val="bullet"/>
      <w:lvlText w:val=""/>
      <w:lvlJc w:val="left"/>
      <w:pPr>
        <w:tabs>
          <w:tab w:val="num" w:pos="720"/>
        </w:tabs>
        <w:ind w:left="720" w:hanging="360"/>
      </w:pPr>
      <w:rPr>
        <w:rFonts w:ascii="Wingdings" w:hAnsi="Wingdings" w:hint="default"/>
      </w:rPr>
    </w:lvl>
    <w:lvl w:ilvl="1" w:tplc="90245E88">
      <w:start w:val="3"/>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586546"/>
    <w:multiLevelType w:val="hybridMultilevel"/>
    <w:tmpl w:val="5E985CCE"/>
    <w:lvl w:ilvl="0" w:tplc="04020011">
      <w:start w:val="1"/>
      <w:numFmt w:val="decimal"/>
      <w:lvlText w:val="%1)"/>
      <w:lvlJc w:val="left"/>
      <w:pPr>
        <w:tabs>
          <w:tab w:val="num" w:pos="360"/>
        </w:tabs>
        <w:ind w:left="360" w:hanging="360"/>
      </w:pPr>
      <w:rPr>
        <w:rFonts w:hint="default"/>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660"/>
        </w:tabs>
        <w:ind w:left="660" w:hanging="660"/>
      </w:pPr>
      <w:rPr>
        <w:rFonts w:ascii="Wingdings" w:eastAsia="Times New Roman" w:hAnsi="Wingdings" w:cs="MS Mincho"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9EE007A"/>
    <w:multiLevelType w:val="hybridMultilevel"/>
    <w:tmpl w:val="F72875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67634D"/>
    <w:multiLevelType w:val="hybridMultilevel"/>
    <w:tmpl w:val="5556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6089E"/>
    <w:multiLevelType w:val="hybridMultilevel"/>
    <w:tmpl w:val="B57246DA"/>
    <w:lvl w:ilvl="0" w:tplc="CF7C7408">
      <w:start w:val="80"/>
      <w:numFmt w:val="bullet"/>
      <w:lvlText w:val="-"/>
      <w:lvlJc w:val="left"/>
      <w:pPr>
        <w:tabs>
          <w:tab w:val="num" w:pos="720"/>
        </w:tabs>
        <w:ind w:left="720" w:hanging="360"/>
      </w:pPr>
      <w:rPr>
        <w:rFonts w:ascii="Times New Roman" w:eastAsia="Times New Roman" w:hAnsi="Times New Roman" w:cs="Times New Roman"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b/>
        <w:i w:val="0"/>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1F5E60"/>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F3ACD"/>
    <w:multiLevelType w:val="hybridMultilevel"/>
    <w:tmpl w:val="A8C29284"/>
    <w:lvl w:ilvl="0" w:tplc="0FC2CB4C">
      <w:start w:val="4"/>
      <w:numFmt w:val="bullet"/>
      <w:lvlText w:val="-"/>
      <w:lvlJc w:val="left"/>
      <w:pPr>
        <w:ind w:left="720" w:hanging="360"/>
      </w:pPr>
      <w:rPr>
        <w:rFonts w:ascii="Times New Roman" w:eastAsia="HG Mincho Light J"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D48EF"/>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C2284"/>
    <w:multiLevelType w:val="hybridMultilevel"/>
    <w:tmpl w:val="9846640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4D590997"/>
    <w:multiLevelType w:val="hybridMultilevel"/>
    <w:tmpl w:val="2D84AF82"/>
    <w:lvl w:ilvl="0" w:tplc="0D9C685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Wingdings"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Wingdings"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34FEB"/>
    <w:multiLevelType w:val="hybridMultilevel"/>
    <w:tmpl w:val="4C885FCE"/>
    <w:lvl w:ilvl="0" w:tplc="04020001">
      <w:start w:val="1"/>
      <w:numFmt w:val="bullet"/>
      <w:lvlText w:val=""/>
      <w:lvlJc w:val="left"/>
      <w:pPr>
        <w:tabs>
          <w:tab w:val="num" w:pos="915"/>
        </w:tabs>
        <w:ind w:left="915" w:hanging="360"/>
      </w:pPr>
      <w:rPr>
        <w:rFonts w:ascii="Symbol" w:hAnsi="Symbol" w:hint="default"/>
        <w:b/>
        <w:i w:val="0"/>
      </w:rPr>
    </w:lvl>
    <w:lvl w:ilvl="1" w:tplc="04020003" w:tentative="1">
      <w:start w:val="1"/>
      <w:numFmt w:val="bullet"/>
      <w:lvlText w:val="o"/>
      <w:lvlJc w:val="left"/>
      <w:pPr>
        <w:tabs>
          <w:tab w:val="num" w:pos="1635"/>
        </w:tabs>
        <w:ind w:left="1635" w:hanging="360"/>
      </w:pPr>
      <w:rPr>
        <w:rFonts w:ascii="Courier New" w:hAnsi="Courier New" w:cs="Courier New" w:hint="default"/>
      </w:rPr>
    </w:lvl>
    <w:lvl w:ilvl="2" w:tplc="04020005" w:tentative="1">
      <w:start w:val="1"/>
      <w:numFmt w:val="bullet"/>
      <w:lvlText w:val=""/>
      <w:lvlJc w:val="left"/>
      <w:pPr>
        <w:tabs>
          <w:tab w:val="num" w:pos="2355"/>
        </w:tabs>
        <w:ind w:left="2355" w:hanging="360"/>
      </w:pPr>
      <w:rPr>
        <w:rFonts w:ascii="Wingdings" w:hAnsi="Wingdings" w:hint="default"/>
      </w:rPr>
    </w:lvl>
    <w:lvl w:ilvl="3" w:tplc="04020001">
      <w:start w:val="1"/>
      <w:numFmt w:val="bullet"/>
      <w:lvlText w:val=""/>
      <w:lvlJc w:val="left"/>
      <w:pPr>
        <w:tabs>
          <w:tab w:val="num" w:pos="3075"/>
        </w:tabs>
        <w:ind w:left="3075" w:hanging="360"/>
      </w:pPr>
      <w:rPr>
        <w:rFonts w:ascii="Symbol" w:hAnsi="Symbol" w:hint="default"/>
        <w:b/>
        <w:i w:val="0"/>
      </w:rPr>
    </w:lvl>
    <w:lvl w:ilvl="4" w:tplc="04020003" w:tentative="1">
      <w:start w:val="1"/>
      <w:numFmt w:val="bullet"/>
      <w:lvlText w:val="o"/>
      <w:lvlJc w:val="left"/>
      <w:pPr>
        <w:tabs>
          <w:tab w:val="num" w:pos="3795"/>
        </w:tabs>
        <w:ind w:left="3795" w:hanging="360"/>
      </w:pPr>
      <w:rPr>
        <w:rFonts w:ascii="Courier New" w:hAnsi="Courier New" w:cs="Courier New" w:hint="default"/>
      </w:rPr>
    </w:lvl>
    <w:lvl w:ilvl="5" w:tplc="04020005" w:tentative="1">
      <w:start w:val="1"/>
      <w:numFmt w:val="bullet"/>
      <w:lvlText w:val=""/>
      <w:lvlJc w:val="left"/>
      <w:pPr>
        <w:tabs>
          <w:tab w:val="num" w:pos="4515"/>
        </w:tabs>
        <w:ind w:left="4515" w:hanging="360"/>
      </w:pPr>
      <w:rPr>
        <w:rFonts w:ascii="Wingdings" w:hAnsi="Wingdings" w:hint="default"/>
      </w:rPr>
    </w:lvl>
    <w:lvl w:ilvl="6" w:tplc="04020001" w:tentative="1">
      <w:start w:val="1"/>
      <w:numFmt w:val="bullet"/>
      <w:lvlText w:val=""/>
      <w:lvlJc w:val="left"/>
      <w:pPr>
        <w:tabs>
          <w:tab w:val="num" w:pos="5235"/>
        </w:tabs>
        <w:ind w:left="5235" w:hanging="360"/>
      </w:pPr>
      <w:rPr>
        <w:rFonts w:ascii="Symbol" w:hAnsi="Symbol" w:hint="default"/>
      </w:rPr>
    </w:lvl>
    <w:lvl w:ilvl="7" w:tplc="04020003" w:tentative="1">
      <w:start w:val="1"/>
      <w:numFmt w:val="bullet"/>
      <w:lvlText w:val="o"/>
      <w:lvlJc w:val="left"/>
      <w:pPr>
        <w:tabs>
          <w:tab w:val="num" w:pos="5955"/>
        </w:tabs>
        <w:ind w:left="5955" w:hanging="360"/>
      </w:pPr>
      <w:rPr>
        <w:rFonts w:ascii="Courier New" w:hAnsi="Courier New" w:cs="Courier New" w:hint="default"/>
      </w:rPr>
    </w:lvl>
    <w:lvl w:ilvl="8" w:tplc="04020005" w:tentative="1">
      <w:start w:val="1"/>
      <w:numFmt w:val="bullet"/>
      <w:lvlText w:val=""/>
      <w:lvlJc w:val="left"/>
      <w:pPr>
        <w:tabs>
          <w:tab w:val="num" w:pos="6675"/>
        </w:tabs>
        <w:ind w:left="6675" w:hanging="360"/>
      </w:pPr>
      <w:rPr>
        <w:rFonts w:ascii="Wingdings" w:hAnsi="Wingdings" w:hint="default"/>
      </w:rPr>
    </w:lvl>
  </w:abstractNum>
  <w:abstractNum w:abstractNumId="14" w15:restartNumberingAfterBreak="0">
    <w:nsid w:val="52B230A0"/>
    <w:multiLevelType w:val="hybridMultilevel"/>
    <w:tmpl w:val="E4EA8D02"/>
    <w:lvl w:ilvl="0" w:tplc="0402000F">
      <w:start w:val="6"/>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D422CA"/>
    <w:multiLevelType w:val="hybridMultilevel"/>
    <w:tmpl w:val="205CD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502032"/>
    <w:multiLevelType w:val="hybridMultilevel"/>
    <w:tmpl w:val="16C8771E"/>
    <w:lvl w:ilvl="0" w:tplc="0402000F">
      <w:start w:val="1"/>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Wingdings" w:hint="default"/>
      </w:rPr>
    </w:lvl>
    <w:lvl w:ilvl="2" w:tplc="0402001B">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8A7A35"/>
    <w:multiLevelType w:val="hybridMultilevel"/>
    <w:tmpl w:val="5556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111193"/>
    <w:multiLevelType w:val="hybridMultilevel"/>
    <w:tmpl w:val="7F9ADE04"/>
    <w:lvl w:ilvl="0" w:tplc="7EF87EA8">
      <w:start w:val="4"/>
      <w:numFmt w:val="bullet"/>
      <w:lvlText w:val="-"/>
      <w:lvlJc w:val="left"/>
      <w:pPr>
        <w:ind w:left="720" w:hanging="360"/>
      </w:pPr>
      <w:rPr>
        <w:rFonts w:ascii="Times New Roman" w:eastAsia="HG Mincho Light J"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9C7A88"/>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55195"/>
    <w:multiLevelType w:val="hybridMultilevel"/>
    <w:tmpl w:val="D548BE58"/>
    <w:lvl w:ilvl="0" w:tplc="04020009">
      <w:start w:val="1"/>
      <w:numFmt w:val="bullet"/>
      <w:pStyle w:val="ListBullet2"/>
      <w:lvlText w:val=""/>
      <w:lvlJc w:val="left"/>
      <w:pPr>
        <w:tabs>
          <w:tab w:val="num" w:pos="1003"/>
        </w:tabs>
        <w:ind w:left="1003" w:hanging="283"/>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16cid:durableId="323752268">
    <w:abstractNumId w:val="12"/>
  </w:num>
  <w:num w:numId="2" w16cid:durableId="1297832138">
    <w:abstractNumId w:val="15"/>
  </w:num>
  <w:num w:numId="3" w16cid:durableId="405690345">
    <w:abstractNumId w:val="16"/>
  </w:num>
  <w:num w:numId="4" w16cid:durableId="1448701439">
    <w:abstractNumId w:val="4"/>
  </w:num>
  <w:num w:numId="5" w16cid:durableId="768696911">
    <w:abstractNumId w:val="3"/>
  </w:num>
  <w:num w:numId="6" w16cid:durableId="1071586754">
    <w:abstractNumId w:val="1"/>
  </w:num>
  <w:num w:numId="7" w16cid:durableId="1340503874">
    <w:abstractNumId w:val="11"/>
  </w:num>
  <w:num w:numId="8" w16cid:durableId="1722754272">
    <w:abstractNumId w:val="20"/>
  </w:num>
  <w:num w:numId="9" w16cid:durableId="1678534333">
    <w:abstractNumId w:val="7"/>
  </w:num>
  <w:num w:numId="10" w16cid:durableId="531116455">
    <w:abstractNumId w:val="13"/>
  </w:num>
  <w:num w:numId="11" w16cid:durableId="124276721">
    <w:abstractNumId w:val="14"/>
  </w:num>
  <w:num w:numId="12" w16cid:durableId="650523334">
    <w:abstractNumId w:val="0"/>
  </w:num>
  <w:num w:numId="13" w16cid:durableId="243799794">
    <w:abstractNumId w:val="17"/>
  </w:num>
  <w:num w:numId="14" w16cid:durableId="2126774386">
    <w:abstractNumId w:val="6"/>
  </w:num>
  <w:num w:numId="15" w16cid:durableId="853226086">
    <w:abstractNumId w:val="10"/>
  </w:num>
  <w:num w:numId="16" w16cid:durableId="914585292">
    <w:abstractNumId w:val="19"/>
  </w:num>
  <w:num w:numId="17" w16cid:durableId="1289551947">
    <w:abstractNumId w:val="8"/>
  </w:num>
  <w:num w:numId="18" w16cid:durableId="1683358767">
    <w:abstractNumId w:val="18"/>
  </w:num>
  <w:num w:numId="19" w16cid:durableId="744381105">
    <w:abstractNumId w:val="9"/>
  </w:num>
  <w:num w:numId="20" w16cid:durableId="1802260448">
    <w:abstractNumId w:val="5"/>
  </w:num>
  <w:num w:numId="21" w16cid:durableId="21175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C2"/>
    <w:rsid w:val="000003EC"/>
    <w:rsid w:val="00002B22"/>
    <w:rsid w:val="0000402A"/>
    <w:rsid w:val="00005DB6"/>
    <w:rsid w:val="000075B0"/>
    <w:rsid w:val="00012665"/>
    <w:rsid w:val="000136D6"/>
    <w:rsid w:val="00013A3C"/>
    <w:rsid w:val="000144CD"/>
    <w:rsid w:val="000173B5"/>
    <w:rsid w:val="00017F11"/>
    <w:rsid w:val="000216F3"/>
    <w:rsid w:val="0003334B"/>
    <w:rsid w:val="00034673"/>
    <w:rsid w:val="000367ED"/>
    <w:rsid w:val="00041472"/>
    <w:rsid w:val="000426CE"/>
    <w:rsid w:val="00042FAA"/>
    <w:rsid w:val="0004322D"/>
    <w:rsid w:val="00043E8F"/>
    <w:rsid w:val="00045D8F"/>
    <w:rsid w:val="000472C3"/>
    <w:rsid w:val="0005254B"/>
    <w:rsid w:val="000536CF"/>
    <w:rsid w:val="00063706"/>
    <w:rsid w:val="0006415A"/>
    <w:rsid w:val="00064E85"/>
    <w:rsid w:val="0006577D"/>
    <w:rsid w:val="0006613A"/>
    <w:rsid w:val="00067DE9"/>
    <w:rsid w:val="00072DB1"/>
    <w:rsid w:val="0008378F"/>
    <w:rsid w:val="000862D7"/>
    <w:rsid w:val="000969EE"/>
    <w:rsid w:val="0009751E"/>
    <w:rsid w:val="000A01E6"/>
    <w:rsid w:val="000A3D32"/>
    <w:rsid w:val="000A4F6C"/>
    <w:rsid w:val="000A50E8"/>
    <w:rsid w:val="000A7497"/>
    <w:rsid w:val="000B1E03"/>
    <w:rsid w:val="000C1A6A"/>
    <w:rsid w:val="000C6778"/>
    <w:rsid w:val="000D2B71"/>
    <w:rsid w:val="000D41B9"/>
    <w:rsid w:val="000D52AE"/>
    <w:rsid w:val="000E009D"/>
    <w:rsid w:val="000E3E02"/>
    <w:rsid w:val="000E6F46"/>
    <w:rsid w:val="000F0FA5"/>
    <w:rsid w:val="000F5452"/>
    <w:rsid w:val="00100B67"/>
    <w:rsid w:val="001070C2"/>
    <w:rsid w:val="00112269"/>
    <w:rsid w:val="00112B2B"/>
    <w:rsid w:val="001161DC"/>
    <w:rsid w:val="001249AF"/>
    <w:rsid w:val="001302DD"/>
    <w:rsid w:val="00133E64"/>
    <w:rsid w:val="00134E24"/>
    <w:rsid w:val="00135675"/>
    <w:rsid w:val="001368AC"/>
    <w:rsid w:val="00137403"/>
    <w:rsid w:val="0013771B"/>
    <w:rsid w:val="00140548"/>
    <w:rsid w:val="0014653B"/>
    <w:rsid w:val="00152543"/>
    <w:rsid w:val="0015692D"/>
    <w:rsid w:val="00160F33"/>
    <w:rsid w:val="00161B04"/>
    <w:rsid w:val="001629C9"/>
    <w:rsid w:val="00162A12"/>
    <w:rsid w:val="0016327A"/>
    <w:rsid w:val="00164592"/>
    <w:rsid w:val="00171FD6"/>
    <w:rsid w:val="0017293A"/>
    <w:rsid w:val="0017321D"/>
    <w:rsid w:val="001767EE"/>
    <w:rsid w:val="001771E4"/>
    <w:rsid w:val="00177467"/>
    <w:rsid w:val="00177A8A"/>
    <w:rsid w:val="00180BED"/>
    <w:rsid w:val="00181151"/>
    <w:rsid w:val="00181B7E"/>
    <w:rsid w:val="001821D6"/>
    <w:rsid w:val="00187DF8"/>
    <w:rsid w:val="00194659"/>
    <w:rsid w:val="0019551A"/>
    <w:rsid w:val="001961DC"/>
    <w:rsid w:val="00196405"/>
    <w:rsid w:val="00197136"/>
    <w:rsid w:val="0019750E"/>
    <w:rsid w:val="001A1192"/>
    <w:rsid w:val="001A36D6"/>
    <w:rsid w:val="001A6FFF"/>
    <w:rsid w:val="001A7C98"/>
    <w:rsid w:val="001B2F92"/>
    <w:rsid w:val="001B3040"/>
    <w:rsid w:val="001B4011"/>
    <w:rsid w:val="001B4E81"/>
    <w:rsid w:val="001C2DD0"/>
    <w:rsid w:val="001C354A"/>
    <w:rsid w:val="001C42B7"/>
    <w:rsid w:val="001C43C1"/>
    <w:rsid w:val="001C62C9"/>
    <w:rsid w:val="001C62E3"/>
    <w:rsid w:val="001D0339"/>
    <w:rsid w:val="001D06FC"/>
    <w:rsid w:val="001D12B8"/>
    <w:rsid w:val="001D3AB0"/>
    <w:rsid w:val="001D3B95"/>
    <w:rsid w:val="001D4C5E"/>
    <w:rsid w:val="001D5258"/>
    <w:rsid w:val="001D55FF"/>
    <w:rsid w:val="001D79F7"/>
    <w:rsid w:val="001E0E90"/>
    <w:rsid w:val="001E403D"/>
    <w:rsid w:val="001E4C30"/>
    <w:rsid w:val="001E5070"/>
    <w:rsid w:val="001E55F3"/>
    <w:rsid w:val="001E7152"/>
    <w:rsid w:val="001F116D"/>
    <w:rsid w:val="001F4DDD"/>
    <w:rsid w:val="00200C47"/>
    <w:rsid w:val="00200DD0"/>
    <w:rsid w:val="0020163C"/>
    <w:rsid w:val="00201DA5"/>
    <w:rsid w:val="00202752"/>
    <w:rsid w:val="0020621E"/>
    <w:rsid w:val="00210931"/>
    <w:rsid w:val="002138A1"/>
    <w:rsid w:val="002164A9"/>
    <w:rsid w:val="0022347B"/>
    <w:rsid w:val="0022706C"/>
    <w:rsid w:val="002271CA"/>
    <w:rsid w:val="0022724C"/>
    <w:rsid w:val="00227B5B"/>
    <w:rsid w:val="00230989"/>
    <w:rsid w:val="002337CB"/>
    <w:rsid w:val="00234569"/>
    <w:rsid w:val="002361CD"/>
    <w:rsid w:val="0023736D"/>
    <w:rsid w:val="002442B0"/>
    <w:rsid w:val="002454A8"/>
    <w:rsid w:val="00246607"/>
    <w:rsid w:val="00246C7E"/>
    <w:rsid w:val="0024739B"/>
    <w:rsid w:val="002511B0"/>
    <w:rsid w:val="002536E0"/>
    <w:rsid w:val="00255A24"/>
    <w:rsid w:val="00257727"/>
    <w:rsid w:val="00257FFC"/>
    <w:rsid w:val="00263B6C"/>
    <w:rsid w:val="0026460A"/>
    <w:rsid w:val="00267B0E"/>
    <w:rsid w:val="00270D0A"/>
    <w:rsid w:val="002714AF"/>
    <w:rsid w:val="00271716"/>
    <w:rsid w:val="00280DA5"/>
    <w:rsid w:val="002907ED"/>
    <w:rsid w:val="0029229D"/>
    <w:rsid w:val="00292503"/>
    <w:rsid w:val="002928E7"/>
    <w:rsid w:val="002958CF"/>
    <w:rsid w:val="00297A79"/>
    <w:rsid w:val="002A40C9"/>
    <w:rsid w:val="002A454E"/>
    <w:rsid w:val="002A6929"/>
    <w:rsid w:val="002A719C"/>
    <w:rsid w:val="002B1900"/>
    <w:rsid w:val="002B72CD"/>
    <w:rsid w:val="002B7853"/>
    <w:rsid w:val="002B7A1D"/>
    <w:rsid w:val="002C1D42"/>
    <w:rsid w:val="002C4815"/>
    <w:rsid w:val="002C4C56"/>
    <w:rsid w:val="002C6A33"/>
    <w:rsid w:val="002C6EB5"/>
    <w:rsid w:val="002C6EC2"/>
    <w:rsid w:val="002C7E9D"/>
    <w:rsid w:val="002D1BCB"/>
    <w:rsid w:val="002D342A"/>
    <w:rsid w:val="002D7AE5"/>
    <w:rsid w:val="002E2AD6"/>
    <w:rsid w:val="002E5F13"/>
    <w:rsid w:val="002F0E42"/>
    <w:rsid w:val="002F7FD2"/>
    <w:rsid w:val="003004D2"/>
    <w:rsid w:val="00323CFE"/>
    <w:rsid w:val="00325AF2"/>
    <w:rsid w:val="00327F2B"/>
    <w:rsid w:val="00333464"/>
    <w:rsid w:val="00334FA0"/>
    <w:rsid w:val="0033532D"/>
    <w:rsid w:val="00337BA8"/>
    <w:rsid w:val="00343F36"/>
    <w:rsid w:val="0034457D"/>
    <w:rsid w:val="00344B2C"/>
    <w:rsid w:val="00351C5F"/>
    <w:rsid w:val="00353D47"/>
    <w:rsid w:val="003551C6"/>
    <w:rsid w:val="00356DEA"/>
    <w:rsid w:val="00361250"/>
    <w:rsid w:val="00362FC8"/>
    <w:rsid w:val="00366601"/>
    <w:rsid w:val="00370ADD"/>
    <w:rsid w:val="00370AE2"/>
    <w:rsid w:val="00370BB4"/>
    <w:rsid w:val="00370F4C"/>
    <w:rsid w:val="00372999"/>
    <w:rsid w:val="003762F4"/>
    <w:rsid w:val="00382217"/>
    <w:rsid w:val="00383E4E"/>
    <w:rsid w:val="00384EC7"/>
    <w:rsid w:val="003862D9"/>
    <w:rsid w:val="003922F8"/>
    <w:rsid w:val="003926BF"/>
    <w:rsid w:val="00392B54"/>
    <w:rsid w:val="00393120"/>
    <w:rsid w:val="00394352"/>
    <w:rsid w:val="00394A18"/>
    <w:rsid w:val="00394E62"/>
    <w:rsid w:val="00396472"/>
    <w:rsid w:val="003A4CA3"/>
    <w:rsid w:val="003A5EF4"/>
    <w:rsid w:val="003A6211"/>
    <w:rsid w:val="003A6485"/>
    <w:rsid w:val="003A768E"/>
    <w:rsid w:val="003B0C1B"/>
    <w:rsid w:val="003B16A6"/>
    <w:rsid w:val="003B2DEA"/>
    <w:rsid w:val="003B3E69"/>
    <w:rsid w:val="003B4994"/>
    <w:rsid w:val="003B5A8B"/>
    <w:rsid w:val="003C0BAC"/>
    <w:rsid w:val="003C4287"/>
    <w:rsid w:val="003C6BFC"/>
    <w:rsid w:val="003C7709"/>
    <w:rsid w:val="003D080A"/>
    <w:rsid w:val="003D1CE1"/>
    <w:rsid w:val="003D338E"/>
    <w:rsid w:val="003E0C7C"/>
    <w:rsid w:val="003E1000"/>
    <w:rsid w:val="003E3F39"/>
    <w:rsid w:val="003E67F4"/>
    <w:rsid w:val="003E6F68"/>
    <w:rsid w:val="003F0760"/>
    <w:rsid w:val="003F0D8E"/>
    <w:rsid w:val="003F233C"/>
    <w:rsid w:val="003F26F9"/>
    <w:rsid w:val="00400B5D"/>
    <w:rsid w:val="004012BA"/>
    <w:rsid w:val="0040220D"/>
    <w:rsid w:val="0040225F"/>
    <w:rsid w:val="00403799"/>
    <w:rsid w:val="00405565"/>
    <w:rsid w:val="00405C94"/>
    <w:rsid w:val="00406911"/>
    <w:rsid w:val="0040733C"/>
    <w:rsid w:val="0041052C"/>
    <w:rsid w:val="00411FDA"/>
    <w:rsid w:val="00412AD5"/>
    <w:rsid w:val="004145C4"/>
    <w:rsid w:val="00414F10"/>
    <w:rsid w:val="00417E90"/>
    <w:rsid w:val="00431341"/>
    <w:rsid w:val="00431505"/>
    <w:rsid w:val="004343CD"/>
    <w:rsid w:val="00436167"/>
    <w:rsid w:val="00441677"/>
    <w:rsid w:val="00443D87"/>
    <w:rsid w:val="004508E3"/>
    <w:rsid w:val="00452B14"/>
    <w:rsid w:val="00453311"/>
    <w:rsid w:val="00453355"/>
    <w:rsid w:val="004542FF"/>
    <w:rsid w:val="00454723"/>
    <w:rsid w:val="00460B07"/>
    <w:rsid w:val="00462B80"/>
    <w:rsid w:val="00463089"/>
    <w:rsid w:val="004645FC"/>
    <w:rsid w:val="004673F6"/>
    <w:rsid w:val="00471F35"/>
    <w:rsid w:val="00473ADF"/>
    <w:rsid w:val="0047492C"/>
    <w:rsid w:val="00475076"/>
    <w:rsid w:val="004764BC"/>
    <w:rsid w:val="00476742"/>
    <w:rsid w:val="00476CB9"/>
    <w:rsid w:val="00477883"/>
    <w:rsid w:val="0047796C"/>
    <w:rsid w:val="00483BA1"/>
    <w:rsid w:val="00485F7A"/>
    <w:rsid w:val="00486011"/>
    <w:rsid w:val="004866D6"/>
    <w:rsid w:val="0049143B"/>
    <w:rsid w:val="004921A8"/>
    <w:rsid w:val="00492D34"/>
    <w:rsid w:val="00494B55"/>
    <w:rsid w:val="00494BEC"/>
    <w:rsid w:val="00496161"/>
    <w:rsid w:val="00496E57"/>
    <w:rsid w:val="0049748D"/>
    <w:rsid w:val="004A001B"/>
    <w:rsid w:val="004A0EB1"/>
    <w:rsid w:val="004A7F39"/>
    <w:rsid w:val="004B13CD"/>
    <w:rsid w:val="004B1E89"/>
    <w:rsid w:val="004B4915"/>
    <w:rsid w:val="004B51DD"/>
    <w:rsid w:val="004B580A"/>
    <w:rsid w:val="004B5FEC"/>
    <w:rsid w:val="004C2492"/>
    <w:rsid w:val="004C3653"/>
    <w:rsid w:val="004C3A6C"/>
    <w:rsid w:val="004C5BBD"/>
    <w:rsid w:val="004C67F1"/>
    <w:rsid w:val="004D2CE3"/>
    <w:rsid w:val="004D4EDE"/>
    <w:rsid w:val="004E2862"/>
    <w:rsid w:val="004E5101"/>
    <w:rsid w:val="004E5551"/>
    <w:rsid w:val="004E7E5B"/>
    <w:rsid w:val="004F0A7B"/>
    <w:rsid w:val="004F13B4"/>
    <w:rsid w:val="004F286C"/>
    <w:rsid w:val="004F38AD"/>
    <w:rsid w:val="004F47DA"/>
    <w:rsid w:val="00501E46"/>
    <w:rsid w:val="00501F3F"/>
    <w:rsid w:val="0050285D"/>
    <w:rsid w:val="00505169"/>
    <w:rsid w:val="005060FD"/>
    <w:rsid w:val="0051175E"/>
    <w:rsid w:val="00511810"/>
    <w:rsid w:val="005122D4"/>
    <w:rsid w:val="00513E0D"/>
    <w:rsid w:val="005142A6"/>
    <w:rsid w:val="0052243D"/>
    <w:rsid w:val="005231C8"/>
    <w:rsid w:val="00524E33"/>
    <w:rsid w:val="00525583"/>
    <w:rsid w:val="00534E33"/>
    <w:rsid w:val="00534F26"/>
    <w:rsid w:val="00536287"/>
    <w:rsid w:val="005401B0"/>
    <w:rsid w:val="00542024"/>
    <w:rsid w:val="0054380D"/>
    <w:rsid w:val="005460F0"/>
    <w:rsid w:val="005466CF"/>
    <w:rsid w:val="0055260D"/>
    <w:rsid w:val="005526D3"/>
    <w:rsid w:val="005552A4"/>
    <w:rsid w:val="00560CBF"/>
    <w:rsid w:val="00561E4C"/>
    <w:rsid w:val="005626BA"/>
    <w:rsid w:val="005642BC"/>
    <w:rsid w:val="005662BB"/>
    <w:rsid w:val="005672E4"/>
    <w:rsid w:val="00571A5F"/>
    <w:rsid w:val="00572DB9"/>
    <w:rsid w:val="00573312"/>
    <w:rsid w:val="005739A4"/>
    <w:rsid w:val="00576BFA"/>
    <w:rsid w:val="005828BB"/>
    <w:rsid w:val="00585284"/>
    <w:rsid w:val="00587794"/>
    <w:rsid w:val="00587D24"/>
    <w:rsid w:val="00592DCF"/>
    <w:rsid w:val="00593998"/>
    <w:rsid w:val="005A1326"/>
    <w:rsid w:val="005B13FA"/>
    <w:rsid w:val="005B3167"/>
    <w:rsid w:val="005C2312"/>
    <w:rsid w:val="005C3417"/>
    <w:rsid w:val="005C4711"/>
    <w:rsid w:val="005C4733"/>
    <w:rsid w:val="005C6D94"/>
    <w:rsid w:val="005C7575"/>
    <w:rsid w:val="005D156F"/>
    <w:rsid w:val="005D33E9"/>
    <w:rsid w:val="005D5913"/>
    <w:rsid w:val="005D5D05"/>
    <w:rsid w:val="005D6F83"/>
    <w:rsid w:val="005E10AB"/>
    <w:rsid w:val="005E67AC"/>
    <w:rsid w:val="005E7373"/>
    <w:rsid w:val="005F0842"/>
    <w:rsid w:val="005F12E4"/>
    <w:rsid w:val="005F214A"/>
    <w:rsid w:val="005F3D30"/>
    <w:rsid w:val="005F5D8A"/>
    <w:rsid w:val="006028EA"/>
    <w:rsid w:val="00603DFA"/>
    <w:rsid w:val="00614F4A"/>
    <w:rsid w:val="006155B9"/>
    <w:rsid w:val="006160F6"/>
    <w:rsid w:val="00616B2E"/>
    <w:rsid w:val="00621CA6"/>
    <w:rsid w:val="0062493D"/>
    <w:rsid w:val="00626493"/>
    <w:rsid w:val="00630857"/>
    <w:rsid w:val="00632585"/>
    <w:rsid w:val="00636599"/>
    <w:rsid w:val="00636B0C"/>
    <w:rsid w:val="00653421"/>
    <w:rsid w:val="00655F77"/>
    <w:rsid w:val="00656737"/>
    <w:rsid w:val="00657D0A"/>
    <w:rsid w:val="00661D0E"/>
    <w:rsid w:val="00663AC7"/>
    <w:rsid w:val="00666371"/>
    <w:rsid w:val="00667332"/>
    <w:rsid w:val="00672F2F"/>
    <w:rsid w:val="006750CA"/>
    <w:rsid w:val="00677534"/>
    <w:rsid w:val="006777B9"/>
    <w:rsid w:val="00677E7B"/>
    <w:rsid w:val="00680C38"/>
    <w:rsid w:val="006815DA"/>
    <w:rsid w:val="00681805"/>
    <w:rsid w:val="00681ED8"/>
    <w:rsid w:val="00684C7C"/>
    <w:rsid w:val="00685A79"/>
    <w:rsid w:val="0069032E"/>
    <w:rsid w:val="00695FBA"/>
    <w:rsid w:val="006961BB"/>
    <w:rsid w:val="00696407"/>
    <w:rsid w:val="00696447"/>
    <w:rsid w:val="006A120D"/>
    <w:rsid w:val="006A1B26"/>
    <w:rsid w:val="006A1F2F"/>
    <w:rsid w:val="006A6690"/>
    <w:rsid w:val="006B20C5"/>
    <w:rsid w:val="006B2D76"/>
    <w:rsid w:val="006B3763"/>
    <w:rsid w:val="006B54D9"/>
    <w:rsid w:val="006C3D95"/>
    <w:rsid w:val="006D1586"/>
    <w:rsid w:val="006D1691"/>
    <w:rsid w:val="006D60E1"/>
    <w:rsid w:val="006E0E69"/>
    <w:rsid w:val="006E0FF6"/>
    <w:rsid w:val="006E1462"/>
    <w:rsid w:val="006E2142"/>
    <w:rsid w:val="006E39F0"/>
    <w:rsid w:val="006F033D"/>
    <w:rsid w:val="006F6A00"/>
    <w:rsid w:val="00702034"/>
    <w:rsid w:val="00705670"/>
    <w:rsid w:val="00707668"/>
    <w:rsid w:val="0072030D"/>
    <w:rsid w:val="00720402"/>
    <w:rsid w:val="007229B9"/>
    <w:rsid w:val="00724FDD"/>
    <w:rsid w:val="00725533"/>
    <w:rsid w:val="00726A86"/>
    <w:rsid w:val="00726B7B"/>
    <w:rsid w:val="00726D23"/>
    <w:rsid w:val="0073260A"/>
    <w:rsid w:val="0073440C"/>
    <w:rsid w:val="007356FF"/>
    <w:rsid w:val="007425B4"/>
    <w:rsid w:val="00743EBF"/>
    <w:rsid w:val="00744096"/>
    <w:rsid w:val="00750DED"/>
    <w:rsid w:val="007525A0"/>
    <w:rsid w:val="0075454D"/>
    <w:rsid w:val="00760142"/>
    <w:rsid w:val="00763BE2"/>
    <w:rsid w:val="007651E7"/>
    <w:rsid w:val="00770266"/>
    <w:rsid w:val="007707EF"/>
    <w:rsid w:val="00770BF3"/>
    <w:rsid w:val="0077264B"/>
    <w:rsid w:val="00780350"/>
    <w:rsid w:val="00786B8E"/>
    <w:rsid w:val="00787431"/>
    <w:rsid w:val="00790C7A"/>
    <w:rsid w:val="00791071"/>
    <w:rsid w:val="0079327A"/>
    <w:rsid w:val="0079374F"/>
    <w:rsid w:val="00796CE2"/>
    <w:rsid w:val="007A1D88"/>
    <w:rsid w:val="007A357E"/>
    <w:rsid w:val="007A62BF"/>
    <w:rsid w:val="007B2057"/>
    <w:rsid w:val="007B7AB8"/>
    <w:rsid w:val="007C0AAE"/>
    <w:rsid w:val="007C11B4"/>
    <w:rsid w:val="007C6250"/>
    <w:rsid w:val="007C710B"/>
    <w:rsid w:val="007D132A"/>
    <w:rsid w:val="007D6B15"/>
    <w:rsid w:val="007E0AFB"/>
    <w:rsid w:val="007E0B23"/>
    <w:rsid w:val="007E1624"/>
    <w:rsid w:val="007F35C3"/>
    <w:rsid w:val="007F391F"/>
    <w:rsid w:val="007F7647"/>
    <w:rsid w:val="00803B47"/>
    <w:rsid w:val="008043FD"/>
    <w:rsid w:val="00804AFC"/>
    <w:rsid w:val="00805278"/>
    <w:rsid w:val="00807CDA"/>
    <w:rsid w:val="008171E4"/>
    <w:rsid w:val="00821048"/>
    <w:rsid w:val="008218A5"/>
    <w:rsid w:val="00824E58"/>
    <w:rsid w:val="00825169"/>
    <w:rsid w:val="00830486"/>
    <w:rsid w:val="0083072E"/>
    <w:rsid w:val="00831541"/>
    <w:rsid w:val="00833479"/>
    <w:rsid w:val="00835206"/>
    <w:rsid w:val="00842064"/>
    <w:rsid w:val="00842962"/>
    <w:rsid w:val="00842B5C"/>
    <w:rsid w:val="0084688C"/>
    <w:rsid w:val="0084702E"/>
    <w:rsid w:val="00851F4F"/>
    <w:rsid w:val="00852CE9"/>
    <w:rsid w:val="00853A07"/>
    <w:rsid w:val="008546E7"/>
    <w:rsid w:val="00854774"/>
    <w:rsid w:val="00855ACD"/>
    <w:rsid w:val="00861691"/>
    <w:rsid w:val="00861B2C"/>
    <w:rsid w:val="008623D4"/>
    <w:rsid w:val="0086380F"/>
    <w:rsid w:val="00864DC7"/>
    <w:rsid w:val="00865391"/>
    <w:rsid w:val="00872B68"/>
    <w:rsid w:val="008746C3"/>
    <w:rsid w:val="00874787"/>
    <w:rsid w:val="00877530"/>
    <w:rsid w:val="0088182E"/>
    <w:rsid w:val="00881A6A"/>
    <w:rsid w:val="0088461B"/>
    <w:rsid w:val="00884A24"/>
    <w:rsid w:val="00887331"/>
    <w:rsid w:val="00887561"/>
    <w:rsid w:val="008902EB"/>
    <w:rsid w:val="008927FE"/>
    <w:rsid w:val="00892B41"/>
    <w:rsid w:val="0089395F"/>
    <w:rsid w:val="00893A9C"/>
    <w:rsid w:val="00894C54"/>
    <w:rsid w:val="0089710B"/>
    <w:rsid w:val="008A435B"/>
    <w:rsid w:val="008A7643"/>
    <w:rsid w:val="008B46FC"/>
    <w:rsid w:val="008B7EC8"/>
    <w:rsid w:val="008C2224"/>
    <w:rsid w:val="008C3020"/>
    <w:rsid w:val="008C507A"/>
    <w:rsid w:val="008C5C97"/>
    <w:rsid w:val="008D43A4"/>
    <w:rsid w:val="008D5D8F"/>
    <w:rsid w:val="008D5FE3"/>
    <w:rsid w:val="008D6783"/>
    <w:rsid w:val="008D7029"/>
    <w:rsid w:val="008D7D66"/>
    <w:rsid w:val="008E023C"/>
    <w:rsid w:val="008E1205"/>
    <w:rsid w:val="008E4A86"/>
    <w:rsid w:val="008E5E9A"/>
    <w:rsid w:val="008E5ED9"/>
    <w:rsid w:val="009022D9"/>
    <w:rsid w:val="00906D65"/>
    <w:rsid w:val="009079D8"/>
    <w:rsid w:val="00911684"/>
    <w:rsid w:val="00911E6C"/>
    <w:rsid w:val="00912F98"/>
    <w:rsid w:val="00916CDC"/>
    <w:rsid w:val="009178F3"/>
    <w:rsid w:val="00921644"/>
    <w:rsid w:val="00924E8D"/>
    <w:rsid w:val="009278C9"/>
    <w:rsid w:val="009332DF"/>
    <w:rsid w:val="00933CD9"/>
    <w:rsid w:val="00940359"/>
    <w:rsid w:val="00941379"/>
    <w:rsid w:val="00944E0D"/>
    <w:rsid w:val="009474BC"/>
    <w:rsid w:val="00947C84"/>
    <w:rsid w:val="0095230F"/>
    <w:rsid w:val="00955675"/>
    <w:rsid w:val="00957A3B"/>
    <w:rsid w:val="00957ED5"/>
    <w:rsid w:val="00960DBA"/>
    <w:rsid w:val="009624F8"/>
    <w:rsid w:val="0096443B"/>
    <w:rsid w:val="00964644"/>
    <w:rsid w:val="00966776"/>
    <w:rsid w:val="00966FA3"/>
    <w:rsid w:val="0096742E"/>
    <w:rsid w:val="00967EF1"/>
    <w:rsid w:val="00970145"/>
    <w:rsid w:val="00982B5D"/>
    <w:rsid w:val="00982D3C"/>
    <w:rsid w:val="009835EB"/>
    <w:rsid w:val="00984821"/>
    <w:rsid w:val="00984F00"/>
    <w:rsid w:val="009A0053"/>
    <w:rsid w:val="009A091B"/>
    <w:rsid w:val="009A0B0D"/>
    <w:rsid w:val="009A3AFE"/>
    <w:rsid w:val="009A4587"/>
    <w:rsid w:val="009A4D2F"/>
    <w:rsid w:val="009A788B"/>
    <w:rsid w:val="009C4A5A"/>
    <w:rsid w:val="009C7C49"/>
    <w:rsid w:val="009D2FCA"/>
    <w:rsid w:val="009D4358"/>
    <w:rsid w:val="009D5959"/>
    <w:rsid w:val="009D7540"/>
    <w:rsid w:val="009E0181"/>
    <w:rsid w:val="009E02E6"/>
    <w:rsid w:val="009E4C13"/>
    <w:rsid w:val="009E7874"/>
    <w:rsid w:val="009F0361"/>
    <w:rsid w:val="009F2462"/>
    <w:rsid w:val="009F40EA"/>
    <w:rsid w:val="009F59EB"/>
    <w:rsid w:val="009F7EED"/>
    <w:rsid w:val="00A00604"/>
    <w:rsid w:val="00A0320A"/>
    <w:rsid w:val="00A03341"/>
    <w:rsid w:val="00A04887"/>
    <w:rsid w:val="00A04F8D"/>
    <w:rsid w:val="00A057C7"/>
    <w:rsid w:val="00A05EEC"/>
    <w:rsid w:val="00A0757A"/>
    <w:rsid w:val="00A111FF"/>
    <w:rsid w:val="00A116B0"/>
    <w:rsid w:val="00A12CB3"/>
    <w:rsid w:val="00A140AC"/>
    <w:rsid w:val="00A1484D"/>
    <w:rsid w:val="00A17692"/>
    <w:rsid w:val="00A2333A"/>
    <w:rsid w:val="00A268BE"/>
    <w:rsid w:val="00A31284"/>
    <w:rsid w:val="00A335E4"/>
    <w:rsid w:val="00A33D2A"/>
    <w:rsid w:val="00A35858"/>
    <w:rsid w:val="00A35C73"/>
    <w:rsid w:val="00A365B3"/>
    <w:rsid w:val="00A37EE9"/>
    <w:rsid w:val="00A40FD7"/>
    <w:rsid w:val="00A41EFC"/>
    <w:rsid w:val="00A4221D"/>
    <w:rsid w:val="00A450D3"/>
    <w:rsid w:val="00A50425"/>
    <w:rsid w:val="00A53A9B"/>
    <w:rsid w:val="00A54EAB"/>
    <w:rsid w:val="00A61BE0"/>
    <w:rsid w:val="00A61D39"/>
    <w:rsid w:val="00A65EF1"/>
    <w:rsid w:val="00A67B4C"/>
    <w:rsid w:val="00A67F64"/>
    <w:rsid w:val="00A7140B"/>
    <w:rsid w:val="00A72FCB"/>
    <w:rsid w:val="00A76429"/>
    <w:rsid w:val="00A85C97"/>
    <w:rsid w:val="00A8756D"/>
    <w:rsid w:val="00A87E0B"/>
    <w:rsid w:val="00AA0781"/>
    <w:rsid w:val="00AA52AE"/>
    <w:rsid w:val="00AA5D7C"/>
    <w:rsid w:val="00AB2F07"/>
    <w:rsid w:val="00AB322A"/>
    <w:rsid w:val="00AB4692"/>
    <w:rsid w:val="00AB5931"/>
    <w:rsid w:val="00AB7EA0"/>
    <w:rsid w:val="00AC250E"/>
    <w:rsid w:val="00AC51CE"/>
    <w:rsid w:val="00AC7B2B"/>
    <w:rsid w:val="00AD08B6"/>
    <w:rsid w:val="00AD38C1"/>
    <w:rsid w:val="00AD7AED"/>
    <w:rsid w:val="00AE0D9A"/>
    <w:rsid w:val="00AE407E"/>
    <w:rsid w:val="00AE43AF"/>
    <w:rsid w:val="00AE467E"/>
    <w:rsid w:val="00AF00BB"/>
    <w:rsid w:val="00AF112B"/>
    <w:rsid w:val="00AF3225"/>
    <w:rsid w:val="00AF438A"/>
    <w:rsid w:val="00AF561C"/>
    <w:rsid w:val="00AF6F1C"/>
    <w:rsid w:val="00AF7FF3"/>
    <w:rsid w:val="00B00DD4"/>
    <w:rsid w:val="00B04340"/>
    <w:rsid w:val="00B056E5"/>
    <w:rsid w:val="00B05DFC"/>
    <w:rsid w:val="00B065F7"/>
    <w:rsid w:val="00B0796E"/>
    <w:rsid w:val="00B10160"/>
    <w:rsid w:val="00B12690"/>
    <w:rsid w:val="00B17CAB"/>
    <w:rsid w:val="00B20E3A"/>
    <w:rsid w:val="00B22313"/>
    <w:rsid w:val="00B229D4"/>
    <w:rsid w:val="00B2644B"/>
    <w:rsid w:val="00B32D6D"/>
    <w:rsid w:val="00B3327A"/>
    <w:rsid w:val="00B346AF"/>
    <w:rsid w:val="00B3525D"/>
    <w:rsid w:val="00B40661"/>
    <w:rsid w:val="00B41016"/>
    <w:rsid w:val="00B4441C"/>
    <w:rsid w:val="00B577EC"/>
    <w:rsid w:val="00B57B46"/>
    <w:rsid w:val="00B617F0"/>
    <w:rsid w:val="00B61D2E"/>
    <w:rsid w:val="00B62900"/>
    <w:rsid w:val="00B6434F"/>
    <w:rsid w:val="00B651C7"/>
    <w:rsid w:val="00B66C7D"/>
    <w:rsid w:val="00B70635"/>
    <w:rsid w:val="00B70CEB"/>
    <w:rsid w:val="00B733C2"/>
    <w:rsid w:val="00B7467B"/>
    <w:rsid w:val="00B746EC"/>
    <w:rsid w:val="00B747D1"/>
    <w:rsid w:val="00B76F69"/>
    <w:rsid w:val="00B815AF"/>
    <w:rsid w:val="00B83397"/>
    <w:rsid w:val="00B83577"/>
    <w:rsid w:val="00B836E8"/>
    <w:rsid w:val="00B84D20"/>
    <w:rsid w:val="00B90E8D"/>
    <w:rsid w:val="00B9165F"/>
    <w:rsid w:val="00B92933"/>
    <w:rsid w:val="00B937EC"/>
    <w:rsid w:val="00B9689A"/>
    <w:rsid w:val="00B975F9"/>
    <w:rsid w:val="00B9765A"/>
    <w:rsid w:val="00BA4C95"/>
    <w:rsid w:val="00BA576D"/>
    <w:rsid w:val="00BA5828"/>
    <w:rsid w:val="00BB454A"/>
    <w:rsid w:val="00BB480D"/>
    <w:rsid w:val="00BB4D20"/>
    <w:rsid w:val="00BB5233"/>
    <w:rsid w:val="00BC27CE"/>
    <w:rsid w:val="00BC6B48"/>
    <w:rsid w:val="00BC6D3E"/>
    <w:rsid w:val="00BC7D9C"/>
    <w:rsid w:val="00BD1846"/>
    <w:rsid w:val="00BD228A"/>
    <w:rsid w:val="00BD332B"/>
    <w:rsid w:val="00BD7FA6"/>
    <w:rsid w:val="00BE2E9E"/>
    <w:rsid w:val="00BF14C5"/>
    <w:rsid w:val="00BF4A4A"/>
    <w:rsid w:val="00C00008"/>
    <w:rsid w:val="00C02B1C"/>
    <w:rsid w:val="00C06651"/>
    <w:rsid w:val="00C11CAF"/>
    <w:rsid w:val="00C21CE9"/>
    <w:rsid w:val="00C24F0B"/>
    <w:rsid w:val="00C25D47"/>
    <w:rsid w:val="00C261E1"/>
    <w:rsid w:val="00C26F32"/>
    <w:rsid w:val="00C27FD7"/>
    <w:rsid w:val="00C3177A"/>
    <w:rsid w:val="00C3387D"/>
    <w:rsid w:val="00C36628"/>
    <w:rsid w:val="00C36EB0"/>
    <w:rsid w:val="00C44AC5"/>
    <w:rsid w:val="00C45B04"/>
    <w:rsid w:val="00C46715"/>
    <w:rsid w:val="00C50C99"/>
    <w:rsid w:val="00C52603"/>
    <w:rsid w:val="00C52F10"/>
    <w:rsid w:val="00C537BA"/>
    <w:rsid w:val="00C53E63"/>
    <w:rsid w:val="00C64A1C"/>
    <w:rsid w:val="00C65CA2"/>
    <w:rsid w:val="00C6754F"/>
    <w:rsid w:val="00C71326"/>
    <w:rsid w:val="00C7514B"/>
    <w:rsid w:val="00C758C1"/>
    <w:rsid w:val="00C75EFE"/>
    <w:rsid w:val="00C76879"/>
    <w:rsid w:val="00C76DF0"/>
    <w:rsid w:val="00C77B62"/>
    <w:rsid w:val="00C81DBB"/>
    <w:rsid w:val="00C81F31"/>
    <w:rsid w:val="00C958A4"/>
    <w:rsid w:val="00C96B47"/>
    <w:rsid w:val="00CA12CD"/>
    <w:rsid w:val="00CA209E"/>
    <w:rsid w:val="00CA327E"/>
    <w:rsid w:val="00CA374E"/>
    <w:rsid w:val="00CB25F7"/>
    <w:rsid w:val="00CB418A"/>
    <w:rsid w:val="00CB418F"/>
    <w:rsid w:val="00CB510D"/>
    <w:rsid w:val="00CB6F89"/>
    <w:rsid w:val="00CB72A8"/>
    <w:rsid w:val="00CB7544"/>
    <w:rsid w:val="00CC52B0"/>
    <w:rsid w:val="00CC7398"/>
    <w:rsid w:val="00CD360D"/>
    <w:rsid w:val="00CD7E2D"/>
    <w:rsid w:val="00CE125D"/>
    <w:rsid w:val="00CE2E80"/>
    <w:rsid w:val="00CE45DA"/>
    <w:rsid w:val="00CE50B7"/>
    <w:rsid w:val="00CE7785"/>
    <w:rsid w:val="00CF33C2"/>
    <w:rsid w:val="00CF6542"/>
    <w:rsid w:val="00D010D5"/>
    <w:rsid w:val="00D032A7"/>
    <w:rsid w:val="00D04740"/>
    <w:rsid w:val="00D06DA6"/>
    <w:rsid w:val="00D07EE2"/>
    <w:rsid w:val="00D141CC"/>
    <w:rsid w:val="00D17263"/>
    <w:rsid w:val="00D21C30"/>
    <w:rsid w:val="00D2290C"/>
    <w:rsid w:val="00D234FE"/>
    <w:rsid w:val="00D36F6F"/>
    <w:rsid w:val="00D40651"/>
    <w:rsid w:val="00D4149C"/>
    <w:rsid w:val="00D41A6A"/>
    <w:rsid w:val="00D42AF6"/>
    <w:rsid w:val="00D4352A"/>
    <w:rsid w:val="00D4447D"/>
    <w:rsid w:val="00D45643"/>
    <w:rsid w:val="00D4662E"/>
    <w:rsid w:val="00D46D06"/>
    <w:rsid w:val="00D47474"/>
    <w:rsid w:val="00D535CD"/>
    <w:rsid w:val="00D537A5"/>
    <w:rsid w:val="00D54152"/>
    <w:rsid w:val="00D56E44"/>
    <w:rsid w:val="00D60417"/>
    <w:rsid w:val="00D62DE2"/>
    <w:rsid w:val="00D66CDB"/>
    <w:rsid w:val="00D6702E"/>
    <w:rsid w:val="00D70579"/>
    <w:rsid w:val="00D70DDA"/>
    <w:rsid w:val="00D748AF"/>
    <w:rsid w:val="00D75F93"/>
    <w:rsid w:val="00D76D52"/>
    <w:rsid w:val="00D81812"/>
    <w:rsid w:val="00D840CF"/>
    <w:rsid w:val="00D8488F"/>
    <w:rsid w:val="00D90FDB"/>
    <w:rsid w:val="00DA0192"/>
    <w:rsid w:val="00DA05B5"/>
    <w:rsid w:val="00DA0746"/>
    <w:rsid w:val="00DA3806"/>
    <w:rsid w:val="00DA6C73"/>
    <w:rsid w:val="00DB0B81"/>
    <w:rsid w:val="00DB12C3"/>
    <w:rsid w:val="00DB19E9"/>
    <w:rsid w:val="00DB388A"/>
    <w:rsid w:val="00DC231F"/>
    <w:rsid w:val="00DD12A7"/>
    <w:rsid w:val="00DD2AAE"/>
    <w:rsid w:val="00DD4FF3"/>
    <w:rsid w:val="00DD7FDA"/>
    <w:rsid w:val="00DE2B40"/>
    <w:rsid w:val="00DE34C1"/>
    <w:rsid w:val="00DE5492"/>
    <w:rsid w:val="00DF1187"/>
    <w:rsid w:val="00DF567F"/>
    <w:rsid w:val="00DF59A0"/>
    <w:rsid w:val="00DF6072"/>
    <w:rsid w:val="00DF71A5"/>
    <w:rsid w:val="00E00251"/>
    <w:rsid w:val="00E00451"/>
    <w:rsid w:val="00E052FE"/>
    <w:rsid w:val="00E05DD6"/>
    <w:rsid w:val="00E07D40"/>
    <w:rsid w:val="00E10A71"/>
    <w:rsid w:val="00E10C62"/>
    <w:rsid w:val="00E123A2"/>
    <w:rsid w:val="00E12FC7"/>
    <w:rsid w:val="00E1683C"/>
    <w:rsid w:val="00E16B2C"/>
    <w:rsid w:val="00E2302D"/>
    <w:rsid w:val="00E27A6D"/>
    <w:rsid w:val="00E34385"/>
    <w:rsid w:val="00E34F09"/>
    <w:rsid w:val="00E41AB4"/>
    <w:rsid w:val="00E41AC1"/>
    <w:rsid w:val="00E440C6"/>
    <w:rsid w:val="00E466B3"/>
    <w:rsid w:val="00E46F52"/>
    <w:rsid w:val="00E47CB3"/>
    <w:rsid w:val="00E5070D"/>
    <w:rsid w:val="00E51D89"/>
    <w:rsid w:val="00E52A56"/>
    <w:rsid w:val="00E53EE7"/>
    <w:rsid w:val="00E55BDD"/>
    <w:rsid w:val="00E64965"/>
    <w:rsid w:val="00E6686C"/>
    <w:rsid w:val="00E70FDE"/>
    <w:rsid w:val="00E721E9"/>
    <w:rsid w:val="00E757CA"/>
    <w:rsid w:val="00E80A5A"/>
    <w:rsid w:val="00E80C74"/>
    <w:rsid w:val="00E82E90"/>
    <w:rsid w:val="00E8486A"/>
    <w:rsid w:val="00E857AA"/>
    <w:rsid w:val="00E879AD"/>
    <w:rsid w:val="00E90035"/>
    <w:rsid w:val="00E92C52"/>
    <w:rsid w:val="00E93E33"/>
    <w:rsid w:val="00EA0DBD"/>
    <w:rsid w:val="00EA1E28"/>
    <w:rsid w:val="00EA33C8"/>
    <w:rsid w:val="00EA4263"/>
    <w:rsid w:val="00EA5125"/>
    <w:rsid w:val="00EA5D24"/>
    <w:rsid w:val="00EA6337"/>
    <w:rsid w:val="00EA6BC2"/>
    <w:rsid w:val="00EB19FE"/>
    <w:rsid w:val="00EB348E"/>
    <w:rsid w:val="00EB35C8"/>
    <w:rsid w:val="00EB6261"/>
    <w:rsid w:val="00EB74A1"/>
    <w:rsid w:val="00EB7A97"/>
    <w:rsid w:val="00EC0A35"/>
    <w:rsid w:val="00EC1404"/>
    <w:rsid w:val="00EC2703"/>
    <w:rsid w:val="00EC7295"/>
    <w:rsid w:val="00ED3F34"/>
    <w:rsid w:val="00ED3F7E"/>
    <w:rsid w:val="00ED7921"/>
    <w:rsid w:val="00ED7FD9"/>
    <w:rsid w:val="00EE07F8"/>
    <w:rsid w:val="00EE5A2C"/>
    <w:rsid w:val="00EF08EE"/>
    <w:rsid w:val="00EF17B1"/>
    <w:rsid w:val="00EF1DD8"/>
    <w:rsid w:val="00EF26BB"/>
    <w:rsid w:val="00EF48D9"/>
    <w:rsid w:val="00F0067A"/>
    <w:rsid w:val="00F006BA"/>
    <w:rsid w:val="00F0188E"/>
    <w:rsid w:val="00F06DFF"/>
    <w:rsid w:val="00F13059"/>
    <w:rsid w:val="00F145E6"/>
    <w:rsid w:val="00F237AC"/>
    <w:rsid w:val="00F418D5"/>
    <w:rsid w:val="00F42CFE"/>
    <w:rsid w:val="00F436D7"/>
    <w:rsid w:val="00F46D9B"/>
    <w:rsid w:val="00F4740D"/>
    <w:rsid w:val="00F50E78"/>
    <w:rsid w:val="00F51B4A"/>
    <w:rsid w:val="00F561C6"/>
    <w:rsid w:val="00F6020D"/>
    <w:rsid w:val="00F61885"/>
    <w:rsid w:val="00F70C7E"/>
    <w:rsid w:val="00F73CDC"/>
    <w:rsid w:val="00F76DAF"/>
    <w:rsid w:val="00F76EF5"/>
    <w:rsid w:val="00F80949"/>
    <w:rsid w:val="00F83790"/>
    <w:rsid w:val="00F97B45"/>
    <w:rsid w:val="00FA02E1"/>
    <w:rsid w:val="00FA544A"/>
    <w:rsid w:val="00FA6D58"/>
    <w:rsid w:val="00FB38EC"/>
    <w:rsid w:val="00FB3951"/>
    <w:rsid w:val="00FB6AC6"/>
    <w:rsid w:val="00FC29B6"/>
    <w:rsid w:val="00FC3665"/>
    <w:rsid w:val="00FC3F10"/>
    <w:rsid w:val="00FC424F"/>
    <w:rsid w:val="00FC59B8"/>
    <w:rsid w:val="00FC6014"/>
    <w:rsid w:val="00FC61DB"/>
    <w:rsid w:val="00FD1C2D"/>
    <w:rsid w:val="00FD3472"/>
    <w:rsid w:val="00FD56A5"/>
    <w:rsid w:val="00FD5CC7"/>
    <w:rsid w:val="00FE14D3"/>
    <w:rsid w:val="00FF026A"/>
    <w:rsid w:val="00FF176E"/>
    <w:rsid w:val="00FF1FBE"/>
    <w:rsid w:val="00FF6491"/>
    <w:rsid w:val="00FF6F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C3F68F6"/>
  <w15:chartTrackingRefBased/>
  <w15:docId w15:val="{ABB28E2B-F81F-4250-822E-E4385F73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151"/>
    <w:rPr>
      <w:sz w:val="24"/>
      <w:szCs w:val="24"/>
    </w:rPr>
  </w:style>
  <w:style w:type="paragraph" w:styleId="Heading1">
    <w:name w:val="heading 1"/>
    <w:basedOn w:val="Normal"/>
    <w:next w:val="Normal"/>
    <w:link w:val="Heading1Char"/>
    <w:qFormat/>
    <w:rsid w:val="007545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qFormat/>
    <w:rsid w:val="00366601"/>
    <w:pPr>
      <w:keepNext/>
      <w:spacing w:before="240" w:after="60"/>
      <w:outlineLvl w:val="1"/>
    </w:pPr>
    <w:rPr>
      <w:b/>
      <w:snapToGrid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C6EC2"/>
    <w:rPr>
      <w:sz w:val="16"/>
      <w:szCs w:val="16"/>
    </w:rPr>
  </w:style>
  <w:style w:type="paragraph" w:styleId="CommentText">
    <w:name w:val="annotation text"/>
    <w:basedOn w:val="Normal"/>
    <w:semiHidden/>
    <w:rsid w:val="002C6EC2"/>
    <w:rPr>
      <w:snapToGrid w:val="0"/>
      <w:sz w:val="20"/>
      <w:szCs w:val="20"/>
      <w:lang w:val="en-GB" w:eastAsia="en-US"/>
    </w:rPr>
  </w:style>
  <w:style w:type="paragraph" w:styleId="BalloonText">
    <w:name w:val="Balloon Text"/>
    <w:basedOn w:val="Normal"/>
    <w:semiHidden/>
    <w:rsid w:val="002C6EC2"/>
    <w:rPr>
      <w:rFonts w:ascii="Tahoma" w:hAnsi="Tahoma" w:cs="Tahoma"/>
      <w:sz w:val="16"/>
      <w:szCs w:val="16"/>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C6EC2"/>
    <w:pPr>
      <w:widowControl w:val="0"/>
      <w:tabs>
        <w:tab w:val="left" w:pos="-720"/>
      </w:tabs>
      <w:suppressAutoHyphens/>
      <w:jc w:val="both"/>
    </w:pPr>
    <w:rPr>
      <w:snapToGrid w:val="0"/>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2C6EC2"/>
    <w:rPr>
      <w:snapToGrid w:val="0"/>
      <w:spacing w:val="-2"/>
      <w:lang w:val="en-GB" w:eastAsia="en-US" w:bidi="ar-SA"/>
    </w:rPr>
  </w:style>
  <w:style w:type="character" w:styleId="FootnoteReference">
    <w:name w:val="footnote reference"/>
    <w:aliases w:val="Footnote symbol"/>
    <w:uiPriority w:val="99"/>
    <w:semiHidden/>
    <w:rsid w:val="00571A5F"/>
    <w:rPr>
      <w:rFonts w:ascii="Times New Roman" w:hAnsi="Times New Roman"/>
      <w:noProof w:val="0"/>
      <w:sz w:val="27"/>
      <w:vertAlign w:val="superscript"/>
      <w:lang w:val="en-US"/>
    </w:rPr>
  </w:style>
  <w:style w:type="paragraph" w:customStyle="1" w:styleId="GfAheading1">
    <w:name w:val="GfA heading 1"/>
    <w:basedOn w:val="Normal"/>
    <w:rsid w:val="00436167"/>
    <w:pPr>
      <w:numPr>
        <w:numId w:val="6"/>
      </w:numPr>
    </w:pPr>
    <w:rPr>
      <w:b/>
      <w:snapToGrid w:val="0"/>
      <w:lang w:eastAsia="en-US"/>
    </w:rPr>
  </w:style>
  <w:style w:type="paragraph" w:customStyle="1" w:styleId="CharChar">
    <w:name w:val="Char Char"/>
    <w:basedOn w:val="Normal"/>
    <w:rsid w:val="004C5BBD"/>
    <w:pPr>
      <w:tabs>
        <w:tab w:val="left" w:pos="709"/>
      </w:tabs>
    </w:pPr>
    <w:rPr>
      <w:rFonts w:ascii="Tahoma" w:hAnsi="Tahoma"/>
      <w:lang w:val="pl-PL" w:eastAsia="pl-PL"/>
    </w:rPr>
  </w:style>
  <w:style w:type="paragraph" w:customStyle="1" w:styleId="CharCharCharCharChar">
    <w:name w:val="Char Char Char Char Знак Char"/>
    <w:basedOn w:val="Normal"/>
    <w:rsid w:val="00486011"/>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786B8E"/>
    <w:pPr>
      <w:tabs>
        <w:tab w:val="left" w:pos="709"/>
      </w:tabs>
    </w:pPr>
    <w:rPr>
      <w:rFonts w:ascii="Tahoma" w:hAnsi="Tahoma"/>
      <w:lang w:val="pl-PL" w:eastAsia="pl-PL"/>
    </w:rPr>
  </w:style>
  <w:style w:type="paragraph" w:customStyle="1" w:styleId="Char">
    <w:name w:val="Char"/>
    <w:basedOn w:val="Normal"/>
    <w:semiHidden/>
    <w:rsid w:val="00DD2AAE"/>
    <w:pPr>
      <w:tabs>
        <w:tab w:val="left" w:pos="709"/>
      </w:tabs>
    </w:pPr>
    <w:rPr>
      <w:rFonts w:ascii="Tahoma" w:hAnsi="Tahoma"/>
      <w:lang w:val="pl-PL" w:eastAsia="pl-PL"/>
    </w:rPr>
  </w:style>
  <w:style w:type="character" w:styleId="Hyperlink">
    <w:name w:val="Hyperlink"/>
    <w:rsid w:val="00DD2AAE"/>
    <w:rPr>
      <w:color w:val="0000FF"/>
      <w:u w:val="single"/>
    </w:rPr>
  </w:style>
  <w:style w:type="paragraph" w:styleId="BodyText">
    <w:name w:val="Body Text"/>
    <w:basedOn w:val="Normal"/>
    <w:rsid w:val="00DD2AAE"/>
    <w:pPr>
      <w:spacing w:after="120"/>
    </w:pPr>
    <w:rPr>
      <w:lang w:val="en-GB" w:eastAsia="en-US"/>
    </w:rPr>
  </w:style>
  <w:style w:type="paragraph" w:styleId="ListBullet2">
    <w:name w:val="List Bullet 2"/>
    <w:basedOn w:val="Normal"/>
    <w:rsid w:val="00DD2AAE"/>
    <w:pPr>
      <w:numPr>
        <w:numId w:val="8"/>
      </w:numPr>
    </w:pPr>
    <w:rPr>
      <w:snapToGrid w:val="0"/>
      <w:szCs w:val="20"/>
      <w:lang w:val="en-GB" w:eastAsia="en-US"/>
    </w:rPr>
  </w:style>
  <w:style w:type="paragraph" w:styleId="Header">
    <w:name w:val="header"/>
    <w:basedOn w:val="Normal"/>
    <w:link w:val="HeaderChar"/>
    <w:uiPriority w:val="99"/>
    <w:rsid w:val="00560CBF"/>
    <w:pPr>
      <w:tabs>
        <w:tab w:val="center" w:pos="4536"/>
        <w:tab w:val="right" w:pos="9072"/>
      </w:tabs>
    </w:pPr>
  </w:style>
  <w:style w:type="paragraph" w:styleId="Footer">
    <w:name w:val="footer"/>
    <w:basedOn w:val="Normal"/>
    <w:link w:val="FooterChar"/>
    <w:uiPriority w:val="99"/>
    <w:rsid w:val="00560CBF"/>
    <w:pPr>
      <w:tabs>
        <w:tab w:val="center" w:pos="4536"/>
        <w:tab w:val="right" w:pos="9072"/>
      </w:tabs>
    </w:pPr>
  </w:style>
  <w:style w:type="paragraph" w:customStyle="1" w:styleId="CharChar4Char1">
    <w:name w:val="Char Char4 Char1"/>
    <w:basedOn w:val="Normal"/>
    <w:rsid w:val="00560CBF"/>
    <w:pPr>
      <w:tabs>
        <w:tab w:val="left" w:pos="709"/>
      </w:tabs>
    </w:pPr>
    <w:rPr>
      <w:rFonts w:ascii="Tahoma" w:hAnsi="Tahoma"/>
      <w:lang w:val="pl-PL" w:eastAsia="pl-PL"/>
    </w:rPr>
  </w:style>
  <w:style w:type="paragraph" w:customStyle="1" w:styleId="Index">
    <w:name w:val="Index"/>
    <w:basedOn w:val="Normal"/>
    <w:rsid w:val="00560CBF"/>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560CBF"/>
    <w:pPr>
      <w:widowControl w:val="0"/>
      <w:suppressLineNumbers/>
      <w:suppressAutoHyphens/>
    </w:pPr>
    <w:rPr>
      <w:rFonts w:eastAsia="HG Mincho Light J"/>
      <w:color w:val="000000"/>
      <w:szCs w:val="20"/>
      <w:lang w:val="en-US" w:eastAsia="bg-BG"/>
    </w:rPr>
  </w:style>
  <w:style w:type="paragraph" w:customStyle="1" w:styleId="style2manualCharCharCharCharChar">
    <w:name w:val="style 2 manual Char Char Char Char Char Знак Знак"/>
    <w:basedOn w:val="Normal"/>
    <w:rsid w:val="00230989"/>
    <w:pPr>
      <w:numPr>
        <w:numId w:val="12"/>
      </w:numPr>
      <w:tabs>
        <w:tab w:val="left" w:pos="709"/>
      </w:tabs>
    </w:pPr>
    <w:rPr>
      <w:b/>
      <w:lang w:val="pl-PL" w:eastAsia="pl-PL"/>
    </w:rPr>
  </w:style>
  <w:style w:type="character" w:styleId="PageNumber">
    <w:name w:val="page number"/>
    <w:rsid w:val="002E5F13"/>
    <w:rPr>
      <w:b/>
      <w:sz w:val="24"/>
      <w:szCs w:val="24"/>
      <w:lang w:val="pl-PL" w:eastAsia="pl-PL" w:bidi="ar-SA"/>
    </w:rPr>
  </w:style>
  <w:style w:type="paragraph" w:styleId="ListParagraph">
    <w:name w:val="List Paragraph"/>
    <w:basedOn w:val="Normal"/>
    <w:qFormat/>
    <w:rsid w:val="00452B14"/>
    <w:pPr>
      <w:ind w:left="708"/>
    </w:pPr>
    <w:rPr>
      <w:lang w:val="de-DE" w:eastAsia="de-DE"/>
    </w:rPr>
  </w:style>
  <w:style w:type="paragraph" w:styleId="BodyText2">
    <w:name w:val="Body Text 2"/>
    <w:basedOn w:val="Normal"/>
    <w:link w:val="BodyText2Char"/>
    <w:rsid w:val="00906D65"/>
    <w:pPr>
      <w:spacing w:after="120" w:line="480" w:lineRule="auto"/>
    </w:pPr>
  </w:style>
  <w:style w:type="character" w:customStyle="1" w:styleId="BodyText2Char">
    <w:name w:val="Body Text 2 Char"/>
    <w:link w:val="BodyText2"/>
    <w:rsid w:val="00906D65"/>
    <w:rPr>
      <w:sz w:val="24"/>
      <w:szCs w:val="24"/>
      <w:lang w:val="bg-BG" w:eastAsia="bg-BG"/>
    </w:rPr>
  </w:style>
  <w:style w:type="paragraph" w:styleId="NormalWeb">
    <w:name w:val="Normal (Web)"/>
    <w:basedOn w:val="Normal"/>
    <w:unhideWhenUsed/>
    <w:rsid w:val="00906D65"/>
    <w:pPr>
      <w:spacing w:before="100" w:beforeAutospacing="1" w:after="100" w:afterAutospacing="1"/>
    </w:pPr>
  </w:style>
  <w:style w:type="character" w:customStyle="1" w:styleId="FooterChar">
    <w:name w:val="Footer Char"/>
    <w:link w:val="Footer"/>
    <w:uiPriority w:val="99"/>
    <w:rsid w:val="00576BFA"/>
    <w:rPr>
      <w:sz w:val="24"/>
      <w:szCs w:val="24"/>
      <w:lang w:val="bg-BG" w:eastAsia="bg-BG"/>
    </w:rPr>
  </w:style>
  <w:style w:type="character" w:styleId="FollowedHyperlink">
    <w:name w:val="FollowedHyperlink"/>
    <w:rsid w:val="00B76F69"/>
    <w:rPr>
      <w:color w:val="800080"/>
      <w:u w:val="single"/>
    </w:rPr>
  </w:style>
  <w:style w:type="character" w:customStyle="1" w:styleId="HeaderChar">
    <w:name w:val="Header Char"/>
    <w:link w:val="Header"/>
    <w:uiPriority w:val="99"/>
    <w:rsid w:val="00334FA0"/>
    <w:rPr>
      <w:sz w:val="24"/>
      <w:szCs w:val="24"/>
      <w:lang w:val="bg-BG" w:eastAsia="bg-BG"/>
    </w:rPr>
  </w:style>
  <w:style w:type="character" w:styleId="UnresolvedMention">
    <w:name w:val="Unresolved Mention"/>
    <w:uiPriority w:val="99"/>
    <w:semiHidden/>
    <w:unhideWhenUsed/>
    <w:rsid w:val="00DA05B5"/>
    <w:rPr>
      <w:color w:val="605E5C"/>
      <w:shd w:val="clear" w:color="auto" w:fill="E1DFDD"/>
    </w:rPr>
  </w:style>
  <w:style w:type="paragraph" w:styleId="Revision">
    <w:name w:val="Revision"/>
    <w:hidden/>
    <w:uiPriority w:val="99"/>
    <w:semiHidden/>
    <w:rsid w:val="0006415A"/>
    <w:rPr>
      <w:sz w:val="24"/>
      <w:szCs w:val="24"/>
    </w:rPr>
  </w:style>
  <w:style w:type="character" w:customStyle="1" w:styleId="Heading1Char">
    <w:name w:val="Heading 1 Char"/>
    <w:basedOn w:val="DefaultParagraphFont"/>
    <w:link w:val="Heading1"/>
    <w:rsid w:val="0075454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918907">
      <w:bodyDiv w:val="1"/>
      <w:marLeft w:val="0"/>
      <w:marRight w:val="0"/>
      <w:marTop w:val="0"/>
      <w:marBottom w:val="0"/>
      <w:divBdr>
        <w:top w:val="none" w:sz="0" w:space="0" w:color="auto"/>
        <w:left w:val="none" w:sz="0" w:space="0" w:color="auto"/>
        <w:bottom w:val="none" w:sz="0" w:space="0" w:color="auto"/>
        <w:right w:val="none" w:sz="0" w:space="0" w:color="auto"/>
      </w:divBdr>
      <w:divsChild>
        <w:div w:id="89742758">
          <w:marLeft w:val="0"/>
          <w:marRight w:val="0"/>
          <w:marTop w:val="0"/>
          <w:marBottom w:val="0"/>
          <w:divBdr>
            <w:top w:val="none" w:sz="0" w:space="0" w:color="auto"/>
            <w:left w:val="none" w:sz="0" w:space="0" w:color="auto"/>
            <w:bottom w:val="none" w:sz="0" w:space="0" w:color="auto"/>
            <w:right w:val="none" w:sz="0" w:space="0" w:color="auto"/>
          </w:divBdr>
        </w:div>
        <w:div w:id="89856543">
          <w:marLeft w:val="0"/>
          <w:marRight w:val="0"/>
          <w:marTop w:val="0"/>
          <w:marBottom w:val="0"/>
          <w:divBdr>
            <w:top w:val="none" w:sz="0" w:space="0" w:color="auto"/>
            <w:left w:val="none" w:sz="0" w:space="0" w:color="auto"/>
            <w:bottom w:val="none" w:sz="0" w:space="0" w:color="auto"/>
            <w:right w:val="none" w:sz="0" w:space="0" w:color="auto"/>
          </w:divBdr>
        </w:div>
        <w:div w:id="119811854">
          <w:marLeft w:val="0"/>
          <w:marRight w:val="0"/>
          <w:marTop w:val="0"/>
          <w:marBottom w:val="0"/>
          <w:divBdr>
            <w:top w:val="none" w:sz="0" w:space="0" w:color="auto"/>
            <w:left w:val="none" w:sz="0" w:space="0" w:color="auto"/>
            <w:bottom w:val="none" w:sz="0" w:space="0" w:color="auto"/>
            <w:right w:val="none" w:sz="0" w:space="0" w:color="auto"/>
          </w:divBdr>
        </w:div>
        <w:div w:id="290324922">
          <w:marLeft w:val="0"/>
          <w:marRight w:val="0"/>
          <w:marTop w:val="0"/>
          <w:marBottom w:val="0"/>
          <w:divBdr>
            <w:top w:val="none" w:sz="0" w:space="0" w:color="auto"/>
            <w:left w:val="none" w:sz="0" w:space="0" w:color="auto"/>
            <w:bottom w:val="none" w:sz="0" w:space="0" w:color="auto"/>
            <w:right w:val="none" w:sz="0" w:space="0" w:color="auto"/>
          </w:divBdr>
        </w:div>
        <w:div w:id="362249350">
          <w:marLeft w:val="0"/>
          <w:marRight w:val="0"/>
          <w:marTop w:val="0"/>
          <w:marBottom w:val="0"/>
          <w:divBdr>
            <w:top w:val="none" w:sz="0" w:space="0" w:color="auto"/>
            <w:left w:val="none" w:sz="0" w:space="0" w:color="auto"/>
            <w:bottom w:val="none" w:sz="0" w:space="0" w:color="auto"/>
            <w:right w:val="none" w:sz="0" w:space="0" w:color="auto"/>
          </w:divBdr>
        </w:div>
        <w:div w:id="418213576">
          <w:marLeft w:val="0"/>
          <w:marRight w:val="0"/>
          <w:marTop w:val="0"/>
          <w:marBottom w:val="0"/>
          <w:divBdr>
            <w:top w:val="none" w:sz="0" w:space="0" w:color="auto"/>
            <w:left w:val="none" w:sz="0" w:space="0" w:color="auto"/>
            <w:bottom w:val="none" w:sz="0" w:space="0" w:color="auto"/>
            <w:right w:val="none" w:sz="0" w:space="0" w:color="auto"/>
          </w:divBdr>
        </w:div>
        <w:div w:id="724181769">
          <w:marLeft w:val="0"/>
          <w:marRight w:val="0"/>
          <w:marTop w:val="0"/>
          <w:marBottom w:val="0"/>
          <w:divBdr>
            <w:top w:val="none" w:sz="0" w:space="0" w:color="auto"/>
            <w:left w:val="none" w:sz="0" w:space="0" w:color="auto"/>
            <w:bottom w:val="none" w:sz="0" w:space="0" w:color="auto"/>
            <w:right w:val="none" w:sz="0" w:space="0" w:color="auto"/>
          </w:divBdr>
        </w:div>
        <w:div w:id="1004168945">
          <w:marLeft w:val="0"/>
          <w:marRight w:val="0"/>
          <w:marTop w:val="0"/>
          <w:marBottom w:val="0"/>
          <w:divBdr>
            <w:top w:val="none" w:sz="0" w:space="0" w:color="auto"/>
            <w:left w:val="none" w:sz="0" w:space="0" w:color="auto"/>
            <w:bottom w:val="none" w:sz="0" w:space="0" w:color="auto"/>
            <w:right w:val="none" w:sz="0" w:space="0" w:color="auto"/>
          </w:divBdr>
        </w:div>
        <w:div w:id="1047489206">
          <w:marLeft w:val="0"/>
          <w:marRight w:val="0"/>
          <w:marTop w:val="0"/>
          <w:marBottom w:val="0"/>
          <w:divBdr>
            <w:top w:val="none" w:sz="0" w:space="0" w:color="auto"/>
            <w:left w:val="none" w:sz="0" w:space="0" w:color="auto"/>
            <w:bottom w:val="none" w:sz="0" w:space="0" w:color="auto"/>
            <w:right w:val="none" w:sz="0" w:space="0" w:color="auto"/>
          </w:divBdr>
        </w:div>
        <w:div w:id="1146236921">
          <w:marLeft w:val="0"/>
          <w:marRight w:val="0"/>
          <w:marTop w:val="0"/>
          <w:marBottom w:val="0"/>
          <w:divBdr>
            <w:top w:val="none" w:sz="0" w:space="0" w:color="auto"/>
            <w:left w:val="none" w:sz="0" w:space="0" w:color="auto"/>
            <w:bottom w:val="none" w:sz="0" w:space="0" w:color="auto"/>
            <w:right w:val="none" w:sz="0" w:space="0" w:color="auto"/>
          </w:divBdr>
        </w:div>
        <w:div w:id="1361777722">
          <w:marLeft w:val="0"/>
          <w:marRight w:val="0"/>
          <w:marTop w:val="0"/>
          <w:marBottom w:val="0"/>
          <w:divBdr>
            <w:top w:val="none" w:sz="0" w:space="0" w:color="auto"/>
            <w:left w:val="none" w:sz="0" w:space="0" w:color="auto"/>
            <w:bottom w:val="none" w:sz="0" w:space="0" w:color="auto"/>
            <w:right w:val="none" w:sz="0" w:space="0" w:color="auto"/>
          </w:divBdr>
        </w:div>
        <w:div w:id="1367751358">
          <w:marLeft w:val="0"/>
          <w:marRight w:val="0"/>
          <w:marTop w:val="0"/>
          <w:marBottom w:val="0"/>
          <w:divBdr>
            <w:top w:val="none" w:sz="0" w:space="0" w:color="auto"/>
            <w:left w:val="none" w:sz="0" w:space="0" w:color="auto"/>
            <w:bottom w:val="none" w:sz="0" w:space="0" w:color="auto"/>
            <w:right w:val="none" w:sz="0" w:space="0" w:color="auto"/>
          </w:divBdr>
        </w:div>
        <w:div w:id="1496451620">
          <w:marLeft w:val="0"/>
          <w:marRight w:val="0"/>
          <w:marTop w:val="0"/>
          <w:marBottom w:val="0"/>
          <w:divBdr>
            <w:top w:val="none" w:sz="0" w:space="0" w:color="auto"/>
            <w:left w:val="none" w:sz="0" w:space="0" w:color="auto"/>
            <w:bottom w:val="none" w:sz="0" w:space="0" w:color="auto"/>
            <w:right w:val="none" w:sz="0" w:space="0" w:color="auto"/>
          </w:divBdr>
        </w:div>
        <w:div w:id="1600790685">
          <w:marLeft w:val="0"/>
          <w:marRight w:val="0"/>
          <w:marTop w:val="0"/>
          <w:marBottom w:val="0"/>
          <w:divBdr>
            <w:top w:val="none" w:sz="0" w:space="0" w:color="auto"/>
            <w:left w:val="none" w:sz="0" w:space="0" w:color="auto"/>
            <w:bottom w:val="none" w:sz="0" w:space="0" w:color="auto"/>
            <w:right w:val="none" w:sz="0" w:space="0" w:color="auto"/>
          </w:divBdr>
        </w:div>
        <w:div w:id="1654487560">
          <w:marLeft w:val="0"/>
          <w:marRight w:val="0"/>
          <w:marTop w:val="0"/>
          <w:marBottom w:val="0"/>
          <w:divBdr>
            <w:top w:val="none" w:sz="0" w:space="0" w:color="auto"/>
            <w:left w:val="none" w:sz="0" w:space="0" w:color="auto"/>
            <w:bottom w:val="none" w:sz="0" w:space="0" w:color="auto"/>
            <w:right w:val="none" w:sz="0" w:space="0" w:color="auto"/>
          </w:divBdr>
        </w:div>
      </w:divsChild>
    </w:div>
    <w:div w:id="645863879">
      <w:bodyDiv w:val="1"/>
      <w:marLeft w:val="0"/>
      <w:marRight w:val="0"/>
      <w:marTop w:val="0"/>
      <w:marBottom w:val="0"/>
      <w:divBdr>
        <w:top w:val="none" w:sz="0" w:space="0" w:color="auto"/>
        <w:left w:val="none" w:sz="0" w:space="0" w:color="auto"/>
        <w:bottom w:val="none" w:sz="0" w:space="0" w:color="auto"/>
        <w:right w:val="none" w:sz="0" w:space="0" w:color="auto"/>
      </w:divBdr>
    </w:div>
    <w:div w:id="1010990803">
      <w:bodyDiv w:val="1"/>
      <w:marLeft w:val="0"/>
      <w:marRight w:val="0"/>
      <w:marTop w:val="0"/>
      <w:marBottom w:val="0"/>
      <w:divBdr>
        <w:top w:val="none" w:sz="0" w:space="0" w:color="auto"/>
        <w:left w:val="none" w:sz="0" w:space="0" w:color="auto"/>
        <w:bottom w:val="none" w:sz="0" w:space="0" w:color="auto"/>
        <w:right w:val="none" w:sz="0" w:space="0" w:color="auto"/>
      </w:divBdr>
    </w:div>
    <w:div w:id="1014115502">
      <w:bodyDiv w:val="1"/>
      <w:marLeft w:val="0"/>
      <w:marRight w:val="0"/>
      <w:marTop w:val="0"/>
      <w:marBottom w:val="0"/>
      <w:divBdr>
        <w:top w:val="none" w:sz="0" w:space="0" w:color="auto"/>
        <w:left w:val="none" w:sz="0" w:space="0" w:color="auto"/>
        <w:bottom w:val="none" w:sz="0" w:space="0" w:color="auto"/>
        <w:right w:val="none" w:sz="0" w:space="0" w:color="auto"/>
      </w:divBdr>
      <w:divsChild>
        <w:div w:id="546649510">
          <w:marLeft w:val="0"/>
          <w:marRight w:val="0"/>
          <w:marTop w:val="0"/>
          <w:marBottom w:val="0"/>
          <w:divBdr>
            <w:top w:val="none" w:sz="0" w:space="0" w:color="auto"/>
            <w:left w:val="none" w:sz="0" w:space="0" w:color="auto"/>
            <w:bottom w:val="none" w:sz="0" w:space="0" w:color="auto"/>
            <w:right w:val="none" w:sz="0" w:space="0" w:color="auto"/>
          </w:divBdr>
        </w:div>
        <w:div w:id="771245306">
          <w:marLeft w:val="0"/>
          <w:marRight w:val="0"/>
          <w:marTop w:val="0"/>
          <w:marBottom w:val="0"/>
          <w:divBdr>
            <w:top w:val="none" w:sz="0" w:space="0" w:color="auto"/>
            <w:left w:val="none" w:sz="0" w:space="0" w:color="auto"/>
            <w:bottom w:val="none" w:sz="0" w:space="0" w:color="auto"/>
            <w:right w:val="none" w:sz="0" w:space="0" w:color="auto"/>
          </w:divBdr>
        </w:div>
        <w:div w:id="984552881">
          <w:marLeft w:val="0"/>
          <w:marRight w:val="0"/>
          <w:marTop w:val="0"/>
          <w:marBottom w:val="0"/>
          <w:divBdr>
            <w:top w:val="none" w:sz="0" w:space="0" w:color="auto"/>
            <w:left w:val="none" w:sz="0" w:space="0" w:color="auto"/>
            <w:bottom w:val="none" w:sz="0" w:space="0" w:color="auto"/>
            <w:right w:val="none" w:sz="0" w:space="0" w:color="auto"/>
          </w:divBdr>
        </w:div>
        <w:div w:id="1001273392">
          <w:marLeft w:val="0"/>
          <w:marRight w:val="0"/>
          <w:marTop w:val="0"/>
          <w:marBottom w:val="0"/>
          <w:divBdr>
            <w:top w:val="none" w:sz="0" w:space="0" w:color="auto"/>
            <w:left w:val="none" w:sz="0" w:space="0" w:color="auto"/>
            <w:bottom w:val="none" w:sz="0" w:space="0" w:color="auto"/>
            <w:right w:val="none" w:sz="0" w:space="0" w:color="auto"/>
          </w:divBdr>
        </w:div>
      </w:divsChild>
    </w:div>
    <w:div w:id="1148008800">
      <w:bodyDiv w:val="1"/>
      <w:marLeft w:val="0"/>
      <w:marRight w:val="0"/>
      <w:marTop w:val="0"/>
      <w:marBottom w:val="0"/>
      <w:divBdr>
        <w:top w:val="none" w:sz="0" w:space="0" w:color="auto"/>
        <w:left w:val="none" w:sz="0" w:space="0" w:color="auto"/>
        <w:bottom w:val="none" w:sz="0" w:space="0" w:color="auto"/>
        <w:right w:val="none" w:sz="0" w:space="0" w:color="auto"/>
      </w:divBdr>
    </w:div>
    <w:div w:id="198994288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isr.egov.bg/BABHRegsExt/pagesPublic/registers/register43.xhtml?locale=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isr.egov.bg/BABHRegsExt/pagesPublic/registers/register44.xhtml?locale=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bg/opos/node/92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ggxHyqDgg45vwdEa5q5S1VsOvxOiQSzakzrBDjVpjxk=</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qs4oR4PGU7GptEp3z2r30j3nwR1+ZlGUG/ubrljIYr8=</DigestValue>
    </Reference>
  </SignedInfo>
  <SignatureValue>v5zjL/LxdH2QPyOMPMXpuaqtBgPe5yg5Y2+O4X0w0dICTawBLn/zDD7jX0OEulj3krD8neIR4KRG
QbZvQnhzj1NyB3QJEY9Y2eL8DlpcyLKdxUyjCIsaKqF7sgz0BiDSG9oBacKqT5ANlCi36OIuHLI8
dsPcBBAgx7EtuLJpsVQFzumgf7qNAtr7G9Ykfkfq4Le/oA/sG40vPL/6J9M+tLrfZrxF3HngTwci
dIAPvcATtUwoXjOLEj6z/LxB1T1GOm6CjFyA90iC9Yi40v1aaHSV7LP5x8gYYa9+Ps88UVppNLXb
A2wNc9MfwCRj841OiVxjRL2dBfuuna3jG8qB4Q==</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NpNkes21HKDKdwW6dRYbheq1e16Wm2zSo6UyvZubFc0=</DigestValue>
      </Reference>
      <Reference URI="/word/document.xml?ContentType=application/vnd.openxmlformats-officedocument.wordprocessingml.document.main+xml">
        <DigestMethod Algorithm="http://www.w3.org/2001/04/xmlenc#sha256"/>
        <DigestValue>xMxKSutJTKs7Hm47HtNVn5d60zmImruAloRCejNBauo=</DigestValue>
      </Reference>
      <Reference URI="/word/endnotes.xml?ContentType=application/vnd.openxmlformats-officedocument.wordprocessingml.endnotes+xml">
        <DigestMethod Algorithm="http://www.w3.org/2001/04/xmlenc#sha256"/>
        <DigestValue>KfkxCFdk1watClNZBy8QOQDfTKOOrtYrD/9AtL0apv4=</DigestValue>
      </Reference>
      <Reference URI="/word/fontTable.xml?ContentType=application/vnd.openxmlformats-officedocument.wordprocessingml.fontTable+xml">
        <DigestMethod Algorithm="http://www.w3.org/2001/04/xmlenc#sha256"/>
        <DigestValue>n+QpJcppQXT/+vzbMTD/0oNKP1XF/aOXjeX+wSXcfS4=</DigestValue>
      </Reference>
      <Reference URI="/word/footer1.xml?ContentType=application/vnd.openxmlformats-officedocument.wordprocessingml.footer+xml">
        <DigestMethod Algorithm="http://www.w3.org/2001/04/xmlenc#sha256"/>
        <DigestValue>Mx1MibZWVBuFVfaWy8Ggn3OL2kgbW7Pod621NJw8YGY=</DigestValue>
      </Reference>
      <Reference URI="/word/footnotes.xml?ContentType=application/vnd.openxmlformats-officedocument.wordprocessingml.footnotes+xml">
        <DigestMethod Algorithm="http://www.w3.org/2001/04/xmlenc#sha256"/>
        <DigestValue>GdOkHOUqYGeM3v4Wa7nAA7tk5SnuHz8fNLF028hhKQ4=</DigestValue>
      </Reference>
      <Reference URI="/word/header1.xml?ContentType=application/vnd.openxmlformats-officedocument.wordprocessingml.header+xml">
        <DigestMethod Algorithm="http://www.w3.org/2001/04/xmlenc#sha256"/>
        <DigestValue>Ze0Uw8LQ+aS/kvdsBJnWgeGd8Y9U+B7lujG+DccRZyU=</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6NFf/X53qKVhUQrrEL6yd7j6iWsrIErORP7hRswubDU=</DigestValue>
      </Reference>
      <Reference URI="/word/numbering.xml?ContentType=application/vnd.openxmlformats-officedocument.wordprocessingml.numbering+xml">
        <DigestMethod Algorithm="http://www.w3.org/2001/04/xmlenc#sha256"/>
        <DigestValue>xzMrU4umHSrLAdZo3ludi6uBEgo0dCVj4RBSwo0N4o0=</DigestValue>
      </Reference>
      <Reference URI="/word/settings.xml?ContentType=application/vnd.openxmlformats-officedocument.wordprocessingml.settings+xml">
        <DigestMethod Algorithm="http://www.w3.org/2001/04/xmlenc#sha256"/>
        <DigestValue>X8MsX8rdIIBTpVVt40w6m/RKxt7mTi24H/RqutXjtrY=</DigestValue>
      </Reference>
      <Reference URI="/word/styles.xml?ContentType=application/vnd.openxmlformats-officedocument.wordprocessingml.styles+xml">
        <DigestMethod Algorithm="http://www.w3.org/2001/04/xmlenc#sha256"/>
        <DigestValue>w5TD9/EOa5pSf0NcHjOuUxLbzh5z1LBuDihlP2qLKG4=</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jLJ81vVHrByvos4ecBVNVva/C4azkuTt4cqzgfgBw0k=</DigestValue>
      </Reference>
    </Manifest>
    <SignatureProperties>
      <SignatureProperty Id="idSignatureTime" Target="#idPackageSignature">
        <mdssi:SignatureTime xmlns:mdssi="http://schemas.openxmlformats.org/package/2006/digital-signature">
          <mdssi:Format>YYYY-MM-DDThh:mm:ssTZD</mdssi:Format>
          <mdssi:Value>2024-11-04T08:20:49Z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2024-11-04T08:20:49Z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Y+paWzMrUcgIjWU9GUXa8aMRFNP+UJrXG0Jwjr9CGLk=</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0Bj7gQ4FRJb9VkcjYgQjbAImftlSpUnMAvRaM/wnMXw=</DigestValue>
    </Reference>
  </SignedInfo>
  <SignatureValue>PVphM4ctbLpUqNchs5ewJqCHUkFDEmRQAv5+1aNyA7nvmmApvvyo0H6x+X4ofuG/WuiRdfUphztY
XsqeTyQOU/jouRusdD8weBEsm2cKOLiRxMxWj7yVdH89wCFrfufUXdDlOF79jLM3+4L80nTzD1kM
qJGU6D6hC9Npj0XSejI7COY15U0Xvl22o7mNluTUmbPhy5/6SEVY/wQD/Xq5kQ/smJ9QWcxlXfl5
1aKiaKJb9faEZChxVAJYvQUlGIxZtDP5lZ57tUuYWAAj7mv+Aa9CYdf99u6DRroF8gnprzIQ1uSl
OPsRt05G6rezPmqKdV3IgIcgph7Dkb8INmDJDA==</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NpNkes21HKDKdwW6dRYbheq1e16Wm2zSo6UyvZubFc0=</DigestValue>
      </Reference>
      <Reference URI="/word/document.xml?ContentType=application/vnd.openxmlformats-officedocument.wordprocessingml.document.main+xml">
        <DigestMethod Algorithm="http://www.w3.org/2001/04/xmlenc#sha256"/>
        <DigestValue>xMxKSutJTKs7Hm47HtNVn5d60zmImruAloRCejNBauo=</DigestValue>
      </Reference>
      <Reference URI="/word/endnotes.xml?ContentType=application/vnd.openxmlformats-officedocument.wordprocessingml.endnotes+xml">
        <DigestMethod Algorithm="http://www.w3.org/2001/04/xmlenc#sha256"/>
        <DigestValue>KfkxCFdk1watClNZBy8QOQDfTKOOrtYrD/9AtL0apv4=</DigestValue>
      </Reference>
      <Reference URI="/word/fontTable.xml?ContentType=application/vnd.openxmlformats-officedocument.wordprocessingml.fontTable+xml">
        <DigestMethod Algorithm="http://www.w3.org/2001/04/xmlenc#sha256"/>
        <DigestValue>n+QpJcppQXT/+vzbMTD/0oNKP1XF/aOXjeX+wSXcfS4=</DigestValue>
      </Reference>
      <Reference URI="/word/footer1.xml?ContentType=application/vnd.openxmlformats-officedocument.wordprocessingml.footer+xml">
        <DigestMethod Algorithm="http://www.w3.org/2001/04/xmlenc#sha256"/>
        <DigestValue>Mx1MibZWVBuFVfaWy8Ggn3OL2kgbW7Pod621NJw8YGY=</DigestValue>
      </Reference>
      <Reference URI="/word/footnotes.xml?ContentType=application/vnd.openxmlformats-officedocument.wordprocessingml.footnotes+xml">
        <DigestMethod Algorithm="http://www.w3.org/2001/04/xmlenc#sha256"/>
        <DigestValue>GdOkHOUqYGeM3v4Wa7nAA7tk5SnuHz8fNLF028hhKQ4=</DigestValue>
      </Reference>
      <Reference URI="/word/header1.xml?ContentType=application/vnd.openxmlformats-officedocument.wordprocessingml.header+xml">
        <DigestMethod Algorithm="http://www.w3.org/2001/04/xmlenc#sha256"/>
        <DigestValue>Ze0Uw8LQ+aS/kvdsBJnWgeGd8Y9U+B7lujG+DccRZyU=</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6NFf/X53qKVhUQrrEL6yd7j6iWsrIErORP7hRswubDU=</DigestValue>
      </Reference>
      <Reference URI="/word/numbering.xml?ContentType=application/vnd.openxmlformats-officedocument.wordprocessingml.numbering+xml">
        <DigestMethod Algorithm="http://www.w3.org/2001/04/xmlenc#sha256"/>
        <DigestValue>xzMrU4umHSrLAdZo3ludi6uBEgo0dCVj4RBSwo0N4o0=</DigestValue>
      </Reference>
      <Reference URI="/word/settings.xml?ContentType=application/vnd.openxmlformats-officedocument.wordprocessingml.settings+xml">
        <DigestMethod Algorithm="http://www.w3.org/2001/04/xmlenc#sha256"/>
        <DigestValue>X8MsX8rdIIBTpVVt40w6m/RKxt7mTi24H/RqutXjtrY=</DigestValue>
      </Reference>
      <Reference URI="/word/styles.xml?ContentType=application/vnd.openxmlformats-officedocument.wordprocessingml.styles+xml">
        <DigestMethod Algorithm="http://www.w3.org/2001/04/xmlenc#sha256"/>
        <DigestValue>w5TD9/EOa5pSf0NcHjOuUxLbzh5z1LBuDihlP2qLKG4=</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jLJ81vVHrByvos4ecBVNVva/C4azkuTt4cqzgfgBw0k=</DigestValue>
      </Reference>
    </Manifest>
    <SignatureProperties>
      <SignatureProperty Id="idSignatureTime" Target="#idPackageSignature">
        <mdssi:SignatureTime xmlns:mdssi="http://schemas.openxmlformats.org/package/2006/digital-signature">
          <mdssi:Format>YYYY-MM-DDThh:mm:ssTZD</mdssi:Format>
          <mdssi:Value>2024-11-04T08:24:39Z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2024-11-04T08:24:39Z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ezgHzUqIrl5QsBCzdAAGo0MySZ3EqIsLAFCwC1DBA0I=</DigestValue>
    </Reference>
    <Reference Type="http://www.w3.org/2000/09/xmldsig#Object" URI="#idOfficeObject">
      <DigestMethod Algorithm="http://www.w3.org/2001/04/xmlenc#sha256"/>
      <DigestValue>SsofUAJxTwoH3r+k+z+gkH6CEK04mbvwOU56Xl4WtY4=</DigestValue>
    </Reference>
    <Reference Type="http://uri.etsi.org/01903#SignedProperties" URI="#idSignedProperties">
      <Transforms>
        <Transform Algorithm="http://www.w3.org/TR/2001/REC-xml-c14n-20010315"/>
      </Transforms>
      <DigestMethod Algorithm="http://www.w3.org/2001/04/xmlenc#sha256"/>
      <DigestValue>yi0N+aKoBtU3+N05WvaIdUx1cKdwLhY5DN5aX9ciN2w=</DigestValue>
    </Reference>
    <Reference Type="http://www.w3.org/2000/09/xmldsig#Object" URI="#idValidSigLnImg">
      <DigestMethod Algorithm="http://www.w3.org/2001/04/xmlenc#sha256"/>
      <DigestValue>M36MLSBBOEbBFc5cSm9570jMH5YA5nCuhKBf31sIlMA=</DigestValue>
    </Reference>
    <Reference Type="http://www.w3.org/2000/09/xmldsig#Object" URI="#idInvalidSigLnImg">
      <DigestMethod Algorithm="http://www.w3.org/2001/04/xmlenc#sha256"/>
      <DigestValue>DR6S4FsqsfIZpVKc6Yz/CN/TwS58kRJ3IB7SewrGL5c=</DigestValue>
    </Reference>
  </SignedInfo>
  <SignatureValue>FarhkjI9xGuJz6bZIA2vTIGJnxKWCBx1MUjHlVHptIpusp+vS16gO6Z2+aGhlf24H+J+pjnQ5o9I
4eoYVbdYzYl0ydPYIspsFXRukmI1eaZ4EXaPxzh0SAeGYP5biAjCOfVh5ycWWLhO/Lxv5MVpkxvs
1mdmEXbrHQ7eE2pSQIha9f8xTQdMmmkMqDGxudTd0HQQHbAKq/cU72V096LFJifNJP2EBARYj2+U
lqGZuECNT38neuWfun4YY9FWVmoobsXmM0rUhB4je278vHTd8sVz3GjtuSqukJgn13Z+2/7u5bvN
eFTLNAhkWBnRPf7IqF3PVgemS3G/RLYuaCwvHA==</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NpNkes21HKDKdwW6dRYbheq1e16Wm2zSo6UyvZubFc0=</DigestValue>
      </Reference>
      <Reference URI="/word/document.xml?ContentType=application/vnd.openxmlformats-officedocument.wordprocessingml.document.main+xml">
        <DigestMethod Algorithm="http://www.w3.org/2001/04/xmlenc#sha256"/>
        <DigestValue>xMxKSutJTKs7Hm47HtNVn5d60zmImruAloRCejNBauo=</DigestValue>
      </Reference>
      <Reference URI="/word/endnotes.xml?ContentType=application/vnd.openxmlformats-officedocument.wordprocessingml.endnotes+xml">
        <DigestMethod Algorithm="http://www.w3.org/2001/04/xmlenc#sha256"/>
        <DigestValue>KfkxCFdk1watClNZBy8QOQDfTKOOrtYrD/9AtL0apv4=</DigestValue>
      </Reference>
      <Reference URI="/word/fontTable.xml?ContentType=application/vnd.openxmlformats-officedocument.wordprocessingml.fontTable+xml">
        <DigestMethod Algorithm="http://www.w3.org/2001/04/xmlenc#sha256"/>
        <DigestValue>n+QpJcppQXT/+vzbMTD/0oNKP1XF/aOXjeX+wSXcfS4=</DigestValue>
      </Reference>
      <Reference URI="/word/footer1.xml?ContentType=application/vnd.openxmlformats-officedocument.wordprocessingml.footer+xml">
        <DigestMethod Algorithm="http://www.w3.org/2001/04/xmlenc#sha256"/>
        <DigestValue>Mx1MibZWVBuFVfaWy8Ggn3OL2kgbW7Pod621NJw8YGY=</DigestValue>
      </Reference>
      <Reference URI="/word/footnotes.xml?ContentType=application/vnd.openxmlformats-officedocument.wordprocessingml.footnotes+xml">
        <DigestMethod Algorithm="http://www.w3.org/2001/04/xmlenc#sha256"/>
        <DigestValue>GdOkHOUqYGeM3v4Wa7nAA7tk5SnuHz8fNLF028hhKQ4=</DigestValue>
      </Reference>
      <Reference URI="/word/header1.xml?ContentType=application/vnd.openxmlformats-officedocument.wordprocessingml.header+xml">
        <DigestMethod Algorithm="http://www.w3.org/2001/04/xmlenc#sha256"/>
        <DigestValue>Ze0Uw8LQ+aS/kvdsBJnWgeGd8Y9U+B7lujG+DccRZyU=</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6NFf/X53qKVhUQrrEL6yd7j6iWsrIErORP7hRswubDU=</DigestValue>
      </Reference>
      <Reference URI="/word/numbering.xml?ContentType=application/vnd.openxmlformats-officedocument.wordprocessingml.numbering+xml">
        <DigestMethod Algorithm="http://www.w3.org/2001/04/xmlenc#sha256"/>
        <DigestValue>xzMrU4umHSrLAdZo3ludi6uBEgo0dCVj4RBSwo0N4o0=</DigestValue>
      </Reference>
      <Reference URI="/word/settings.xml?ContentType=application/vnd.openxmlformats-officedocument.wordprocessingml.settings+xml">
        <DigestMethod Algorithm="http://www.w3.org/2001/04/xmlenc#sha256"/>
        <DigestValue>X8MsX8rdIIBTpVVt40w6m/RKxt7mTi24H/RqutXjtrY=</DigestValue>
      </Reference>
      <Reference URI="/word/styles.xml?ContentType=application/vnd.openxmlformats-officedocument.wordprocessingml.styles+xml">
        <DigestMethod Algorithm="http://www.w3.org/2001/04/xmlenc#sha256"/>
        <DigestValue>w5TD9/EOa5pSf0NcHjOuUxLbzh5z1LBuDihlP2qLKG4=</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jLJ81vVHrByvos4ecBVNVva/C4azkuTt4cqzgfgBw0k=</DigestValue>
      </Reference>
    </Manifest>
    <SignatureProperties>
      <SignatureProperty Id="idSignatureTime" Target="#idPackageSignature">
        <mdssi:SignatureTime xmlns:mdssi="http://schemas.openxmlformats.org/package/2006/digital-signature">
          <mdssi:Format>YYYY-MM-DDThh:mm:ssTZD</mdssi:Format>
          <mdssi:Value>2024-11-04T13:22:26Z</mdssi:Value>
        </mdssi:SignatureTime>
      </SignatureProperty>
    </SignatureProperties>
  </Object>
  <Object Id="idOfficeObject">
    <SignatureProperties>
      <SignatureProperty Id="idOfficeV1Details" Target="#idPackageSignature">
        <SignatureInfoV1 xmlns="http://schemas.microsoft.com/office/2006/digsig">
          <SetupID>{A7D06777-3BD2-4CB7-B913-D26D6FDACFD5}</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2024-11-04T13:22:26Z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O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CndxDQFwFwf71ifn+9APaoXQAAAAAA7CYPATZgRmEGAAAADHWdRMDL1QMAAAAAu19GYQAAAACwBAAAAAAAAHC0jhMAAAAA27rCdgjdHQEAAAAAAAAAAISTJwGEwCsBAQAPAQEAAAABAAAACN0dAYSTJwEAAAAAhMArAQIEAAAAAA8BAAAAIAAAAAC8Iw8BhofUdwAAAAAAAAAAMAAAAAAIXQFkAAAA+PRGYZpHdrj0Iw8BjWbDdgAAp3foIw8BAAAAAAAAAADUr8J2MxoTYmAlDwEHAAAAYCUPAQAAAAABAAAAAdgAAAACAAAAAAAAAAAAAAAAAAAAAAAA0E21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gEgDQCEAAAAAM/6vZHcxg4B9FMdYqB9xQMovgQTCJWcRAIAAACcyA4Bj8hdYf////+oyA4BwFxIYUibnEQtAAAAgM0OAZhYSGGgfcUDAAAAAAAAAAAAAABAAAAAAAAAAEIBAAAAKFKcEwEAAAAIyQ4BwK/IEwAAAAAEyQ4BAAAAACAAAAAAAAAAW/u9AAgAAAAHAAAAKL4EE5SRjxwBAAAAKL4AABRRtwMYUbcDKCIiYvDHDgEovgQTJIgAAAAADgEJAAAAAAAAANSvwnbwxw4BpMgOAQkAAACkyA4BAAAAAAEAAAAB2AAAAAIAAAAAAAAAAAAA0E21A+DEq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3QAAAGwAAAABAAAAVZXbQV9C20EKAAAAYAAAACUAAABMAAAAAAAAAAAAAAAAAAAA//////////+YAAAAIARKBDoEPgQyBD4ENAQ4BEIENQQ7BCAAPQQwBCAAIwQeBCAAPQQwBCAAHwQeBCEEIAAyADAAMgAxAC0AMgAwADIANwAgADMELgAAAAYAAAAHAAAABgAAAAcAAAAGAAAABwAAAAYAAAAHAAAABQAAAAYAAAAGAAAAAwAAAAcAAAAGAAAAAwAAAAYAAAAJAAAAAwAAAAcAAAAG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F0rBgAAAAMAAAAHAAAABwAAAAYAAAAHAAAAAwAAAAcAAAAFAAAAAwAAAAMAAAAIAAAABwAAAAUAAAADAAAACAAAAAcAAAADAAAABgAAAAMAAAAKAAAABgAAAAkAAAAIAAAACQAAAAcAAAAHAAAAAwAAAAYAAAADAAAACgAAAAYAAAAJAAAACAAAAAkAAAAHAAAABwAAABYAAAAMAAAAAAAAACUAAAAMAAAAAgAAAA4AAAAUAAAAAAAAABAAAAAUAAAA</Object>
  <Object Id="idInvalidSigLnImg">AQAAAGwAAAAAAAAAAAAAAP8AAAB/AAAAAAAAAAAAAABzGwAAtQ0AACBFTUYAAAEA1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ijDwFw3OZ1YMQXAdKfvWICAAAAOpXUdwAAAAAAAAAAEAAAAAAAAAAAAAAAgISjEAAAAABoow8BnPWlEGCjDwGVVtR3HQAAACAAAAAcAAAAAAAXAWQAAAAAkAAAgISjEGDe8gMAAAAAAAAAACgAAAAACF0BZAAAAAIAAAAAAAAASG/wAwAAAAAAAAAAcsd2uFCjDwEDlNR3AAAAAAOU1HeAhKMQEAAAAAAAAAAAAAAAFsd2uICjDwGNZsN2AADjdQkAAAAAAAAA1K/CdgAAAACEpA8BCQAAAISkDwEAAAAAAQAAAAHYAAAAAgAAAAAAAAAAAADQTbUD4MSod2R2AAgAAAAAJQAAAAwAAAABAAAAGAAAAAwAAAD/AAAA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ndxDQFwFwf71ifn+9APaoXQAAAAAA7CYPATZgRmEGAAAADHWdRMDL1QMAAAAAu19GYQAAAACwBAAAAAAAAHC0jhMAAAAA27rCdgjdHQEAAAAAAAAAAISTJwGEwCsBAQAPAQEAAAABAAAACN0dAYSTJwEAAAAAhMArAQIEAAAAAA8BAAAAIAAAAAC8Iw8BhofUdwAAAAAAAAAAMAAAAAAIXQFkAAAA+PRGYZpHdrj0Iw8BjWbDdgAAp3foIw8BAAAAAAAAAADUr8J2MxoTYmAlDwEHAAAAYCUPAQAAAAABAAAAAdgAAAACAAAAAAAAAAAAAAAAAAAAAAAA0E21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0BBQAAAAIAAAACAAAAAAAXASgAAAAAAF0BzAFdASAAAADsHF0BAAAAAGiOjxzoHF0BAAAAAIDGDgH+U9R3AAAAAP5T1HcAAAAAAAAAACAAAAAUAAAAnMYOAQ0uzGIAABcBAAAAACAAAAAokOATQKzwE7DGDgGh10FhIAAAAAAAAAAPAAAAJMsOAVR7Q2GgDwAAxJicRAMAAADzekNhj8hdYQCVnETk0a1hFMcOASiQ4BP/////AAAAAL3mSmEAAAAAAAAAANSvwnZwyw4BGMgOAQYAAAAYyA4BAAAAAAEAAAAB2AAAAAIAAAAAAAAAAAAAAAAAAAAAAADQTbU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gEgDQCEAAAAAM/6vZHcxg4B9FMdYqB9xQMovgQTCJWcRAIAAACcyA4Bj8hdYf////+oyA4BwFxIYUibnEQtAAAAgM0OAZhYSGGgfcUDAAAAAAAAAAAAAABAAAAAAAAAAEIBAAAAKFKcEwEAAAAIyQ4BwK/IEwAAAAAEyQ4BAAAAACAAAAAAAAAAW/u9AAgAAAAHAAAAKL4EE5SRjxwBAAAAKL4AABRRtwMYUbcDKCIiYvDHDgEovgQTJIgAAAAADgEJAAAAAAAAANSvwnbwxw4BpMgOAQkAAACkyA4BAAAAAAEAAAAB2AAAAAIAAAAAAAAAAAAA0E21A+DEq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3QAAAGwAAAABAAAAVZXbQV9C20EKAAAAYAAAACUAAABMAAAAAAAAAAAAAAAAAAAA//////////+YAAAAIARKBDoEPgQyBD4ENAQ4BEIENQQ7BCAAPQQwBCAAIwQeBCAAPQQwBCAAHwQeBCEEIAAyADAAMgAxAC0AMgAwADIANwAgADMELgCD6gYAAAAHAAAABgAAAAcAAAAGAAAABwAAAAYAAAAHAAAABQAAAAYAAAAGAAAAAwAAAAcAAAAGAAAAAwAAAAYAAAAJAAAAAwAAAAcAAAAG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BoB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7735B-3A52-4A27-BDB8-ED8A9338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1579</Words>
  <Characters>10265</Characters>
  <Application>Microsoft Office Word</Application>
  <DocSecurity>4</DocSecurity>
  <Lines>85</Lines>
  <Paragraphs>23</Paragraphs>
  <ScaleCrop>false</ScaleCrop>
  <HeadingPairs>
    <vt:vector size="2" baseType="variant">
      <vt:variant>
        <vt:lpstr>Title</vt:lpstr>
      </vt:variant>
      <vt:variant>
        <vt:i4>1</vt:i4>
      </vt:variant>
    </vt:vector>
  </HeadingPairs>
  <TitlesOfParts>
    <vt:vector size="1" baseType="lpstr">
      <vt:lpstr>Текст в НК</vt:lpstr>
    </vt:vector>
  </TitlesOfParts>
  <Company>MEE</Company>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в НК</dc:title>
  <dc:subject/>
  <dc:creator>ME</dc:creator>
  <cp:keywords/>
  <cp:lastModifiedBy>OPOS BG33</cp:lastModifiedBy>
  <cp:revision>2</cp:revision>
  <cp:lastPrinted>2024-09-17T06:40:00Z</cp:lastPrinted>
  <dcterms:created xsi:type="dcterms:W3CDTF">2024-11-04T08:20:00Z</dcterms:created>
  <dcterms:modified xsi:type="dcterms:W3CDTF">2024-11-04T08:20:00Z</dcterms:modified>
</cp:coreProperties>
</file>