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1"/>
      </w:tblGrid>
      <w:tr w:rsidR="00D4758C" w:rsidRPr="00186682" w14:paraId="6910918E" w14:textId="77777777" w:rsidTr="000925C1">
        <w:tc>
          <w:tcPr>
            <w:tcW w:w="9771" w:type="dxa"/>
            <w:shd w:val="clear" w:color="auto" w:fill="D9D9D9" w:themeFill="background1" w:themeFillShade="D9"/>
          </w:tcPr>
          <w:p w14:paraId="3F659ACB" w14:textId="5F5C981D" w:rsidR="00D4758C" w:rsidRPr="00186682" w:rsidRDefault="000D5863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Съгласно Националната приоритетна рамка за действие за мрежата Натура 2000 на България за периода 2021-2027 г. </w:t>
            </w:r>
            <w:r w:rsidR="007643C1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(НРПД) ,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чрез Програма „Околна среда 2021-2027 г. </w:t>
            </w:r>
            <w:r w:rsidR="00251B4B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(ПОС)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следва да се осигури подкрепа за изпълнението на 37 от планираните мерки, както следва: 2, 3, 4, 5, 10, 12, 23, 24, 26, 27, 28, 29, 31, 33, 35, 36, 46, 47, 48, 49, 53, 54, 55, 56, 60, 61, 62, 63,64, 65, 67, 68, 69, 70, 71, </w:t>
            </w:r>
            <w:r w:rsidR="00251B4B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72 и 74. </w:t>
            </w:r>
          </w:p>
          <w:p w14:paraId="0F9C535C" w14:textId="77777777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02CC644" w14:textId="72CFFB4B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Чрез изпълнението на ПОС следва да се подобри природозащитното състояние на определени видове и местообитания, предмет на опазване в целевите за  програмата защитени зони от мрежата Натура 2000. Състоянието на видовете и местообитанията се докладва към ЕК  от България на всеки 6 години  съгласно чл. 17 от Директивата за местообитанията като оценките  се определят за всеки отделен  </w:t>
            </w:r>
            <w:proofErr w:type="spellStart"/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биогеоргафски</w:t>
            </w:r>
            <w:proofErr w:type="spellEnd"/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регион (за България Алпийски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ALP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Континентален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Черноморски 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BLS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Морски регион Черно море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MBLS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Един вид или едно местообитание може да има повече от една оценка, ако е разпространен/ разпространено в повече от един биогеографски регион.</w:t>
            </w:r>
          </w:p>
          <w:p w14:paraId="2150C140" w14:textId="3212658E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A0AEF3E" w14:textId="194E7625" w:rsidR="000F7781" w:rsidRPr="000F7781" w:rsidRDefault="007643C1" w:rsidP="000F778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 отношение на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защитените видове,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НРПД предвижда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оценки да бъдат подобрени (или поне да покажат положителна тенденция) на биогеографско ниво от общо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453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От тези оценки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49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се планира да бъдат подобрени (или поне да покажат положителна тенденция) чрез подкрепа от ПОС, което се равнява на 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10.8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% от общия брой. Тази стойност е заложена в програмата като целева по показател за резултат „</w:t>
            </w:r>
            <w:r w:rsidR="000F7781"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Специфичен за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F7781"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програмата</w:t>
            </w:r>
          </w:p>
          <w:p w14:paraId="06CEBFFF" w14:textId="7DCE1D3E" w:rsidR="00251B4B" w:rsidRPr="00186682" w:rsidRDefault="000F7781" w:rsidP="000F778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индикатор 3.2</w:t>
            </w:r>
            <w:r w:rsidR="007643C1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“. </w:t>
            </w:r>
          </w:p>
          <w:p w14:paraId="09009E7E" w14:textId="77777777" w:rsidR="00251B4B" w:rsidRPr="00824E34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F660FA2" w14:textId="2020502D" w:rsidR="009F6C52" w:rsidRPr="00186682" w:rsidRDefault="009F6C52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Ако чрез ПОС за даден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защитен вид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НРПД е планирано подобрение само в един биогеографски регион, чрез изпълнението само на една мярка, то при включване на всички 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целеви зони в които тази мярка следва да се изпълни в даден проект, то по този проект може да се отчете една подобрена оценка. Кандидатът следва да изчисли процентното изражение на тази една оценка спрямо заложените </w:t>
            </w:r>
            <w:r w:rsidR="00EE0345"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 програмата 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целеви 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%. Ако мярката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обхваща 2 или 3 биогеографски региона, то следва да се отчетат 2 или 3 подобрени оценки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3A02E3A4" w14:textId="77777777" w:rsidR="009F6C52" w:rsidRPr="00186682" w:rsidRDefault="009F6C52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CD383A2" w14:textId="14AA6313" w:rsidR="000F7781" w:rsidRDefault="000F7781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 процедура „Изпълнение на 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ярка 69 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 НРПД</w:t>
            </w:r>
            <w:r w:rsidR="00BB473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-2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 подкрепя защитен вид риби</w:t>
            </w:r>
            <w:r>
              <w:t xml:space="preserve"> </w:t>
            </w:r>
            <w:r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Виюн (</w:t>
            </w:r>
            <w:proofErr w:type="spellStart"/>
            <w:r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Misgurnus</w:t>
            </w:r>
            <w:proofErr w:type="spellEnd"/>
            <w:r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fossilis</w:t>
            </w:r>
            <w:proofErr w:type="spellEnd"/>
            <w:r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като не е въведено изискване за кандидатите да включат в обхвата на проектите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сивсички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целеви защитени зони за вид</w:t>
            </w:r>
            <w:r w:rsidR="00BB473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 мярката. </w:t>
            </w:r>
          </w:p>
          <w:p w14:paraId="54A7EAF5" w14:textId="77777777" w:rsidR="000F7781" w:rsidRDefault="000F7781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B9A0F9E" w14:textId="096DCEEC" w:rsidR="009F55C0" w:rsidRPr="00186682" w:rsidRDefault="009F55C0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Това налага определяне на единен подход при който всички кандидати, независимо от обхвата на техните проекти да могат сравнително лесно да определят приноса си за постигане на показателя за резултат.</w:t>
            </w:r>
          </w:p>
          <w:p w14:paraId="7754EE0E" w14:textId="77777777" w:rsidR="009F55C0" w:rsidRPr="00186682" w:rsidRDefault="009F55C0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5DC2C96" w14:textId="350144AB" w:rsidR="007643C1" w:rsidRPr="00186682" w:rsidRDefault="009F55C0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УО на ПОС 2021-20</w:t>
            </w:r>
            <w:r w:rsid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 г. </w:t>
            </w:r>
            <w:r w:rsidR="008965B4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разработи такъв подход на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база на обхвата на 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мярката</w:t>
            </w:r>
            <w:r w:rsidR="008965B4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както следва:</w:t>
            </w:r>
          </w:p>
          <w:p w14:paraId="2A2F0647" w14:textId="717E5051" w:rsidR="008965B4" w:rsidRPr="00186682" w:rsidRDefault="008965B4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64331" w:rsidRPr="00186682" w14:paraId="5AF68BA7" w14:textId="77777777" w:rsidTr="000925C1">
        <w:tc>
          <w:tcPr>
            <w:tcW w:w="9771" w:type="dxa"/>
            <w:shd w:val="clear" w:color="auto" w:fill="D9D9D9" w:themeFill="background1" w:themeFillShade="D9"/>
          </w:tcPr>
          <w:p w14:paraId="0635D9F0" w14:textId="4DC1B48D" w:rsidR="00964331" w:rsidRPr="00186682" w:rsidRDefault="00F85950" w:rsidP="009643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Целеви зони за вида Виюн (</w:t>
            </w:r>
            <w:proofErr w:type="spellStart"/>
            <w:r w:rsidRPr="00BB47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Misgurnus</w:t>
            </w:r>
            <w:proofErr w:type="spellEnd"/>
            <w:r w:rsidRPr="00BB47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B47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fossilis</w:t>
            </w:r>
            <w:proofErr w:type="spellEnd"/>
            <w:r w:rsidRPr="00F85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BB47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BB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процедурата</w:t>
            </w:r>
          </w:p>
        </w:tc>
      </w:tr>
      <w:tr w:rsidR="002C6E3E" w:rsidRPr="00186682" w14:paraId="1852EFA1" w14:textId="77777777" w:rsidTr="00031CDF">
        <w:tc>
          <w:tcPr>
            <w:tcW w:w="9771" w:type="dxa"/>
          </w:tcPr>
          <w:p w14:paraId="314AA970" w14:textId="3126B70F" w:rsidR="002C6E3E" w:rsidRPr="00186682" w:rsidRDefault="002C6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BG0000497, BG0000232, BG0000377, BG0000335, BG0000608, BG0000169, BG0000631, BG0000182, BG0000334, BG0000533, BG0000427, BG0000614, BG0000134, BG0000275</w:t>
            </w:r>
          </w:p>
        </w:tc>
      </w:tr>
    </w:tbl>
    <w:p w14:paraId="0D0687C4" w14:textId="41B5D22E" w:rsidR="00610B4D" w:rsidRPr="00186682" w:rsidRDefault="00610B4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2263"/>
        <w:gridCol w:w="1560"/>
        <w:gridCol w:w="2268"/>
        <w:gridCol w:w="3685"/>
      </w:tblGrid>
      <w:tr w:rsidR="000B53F1" w:rsidRPr="00186682" w14:paraId="18018778" w14:textId="77777777" w:rsidTr="00EE0345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0BC0459B" w14:textId="7F196CAE" w:rsidR="00E1191E" w:rsidRPr="00186682" w:rsidRDefault="002C6E3E" w:rsidP="00EE0345">
            <w:pPr>
              <w:pStyle w:val="ListParagraph"/>
              <w:ind w:left="22"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28405854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Защитен вид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A3B1423" w14:textId="4FE03840" w:rsidR="00E1191E" w:rsidRPr="00EE0345" w:rsidRDefault="00E1191E" w:rsidP="00EE0345">
            <w:pPr>
              <w:ind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на мярка от НРПД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78071D5" w14:textId="14DCD2EA" w:rsidR="00E1191E" w:rsidRPr="00EE0345" w:rsidRDefault="00E1191E" w:rsidP="00EE0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Биогеографски регион/ бр. оценки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159BE088" w14:textId="4D0CD7A7" w:rsidR="00E1191E" w:rsidRPr="00EE0345" w:rsidRDefault="00E1191E" w:rsidP="00EE0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Целеви защитени зони</w:t>
            </w:r>
          </w:p>
        </w:tc>
      </w:tr>
      <w:tr w:rsidR="00EE0345" w:rsidRPr="00186682" w14:paraId="1F0A00BB" w14:textId="77777777" w:rsidTr="00EE0345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5FA2E4CC" w14:textId="353890DB" w:rsidR="00EE0345" w:rsidRPr="00186682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176617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14:paraId="073044E6" w14:textId="5619E452" w:rsidR="00EE0345" w:rsidRPr="00EE0345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1CFD669" w14:textId="56585624" w:rsidR="00EE0345" w:rsidRPr="00EE0345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6A6A6" w:themeFill="background1" w:themeFillShade="A6"/>
            <w:vAlign w:val="center"/>
          </w:tcPr>
          <w:p w14:paraId="7D617672" w14:textId="15ED7953" w:rsidR="00EE0345" w:rsidRPr="00EE0345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bookmarkEnd w:id="1"/>
      <w:tr w:rsidR="000B53F1" w:rsidRPr="00186682" w14:paraId="59FAC8B4" w14:textId="77777777" w:rsidTr="00EE0345">
        <w:tc>
          <w:tcPr>
            <w:tcW w:w="2263" w:type="dxa"/>
            <w:vAlign w:val="center"/>
          </w:tcPr>
          <w:p w14:paraId="518A2430" w14:textId="0AEADFBC" w:rsidR="00F85950" w:rsidRPr="002C6E3E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Виюн (</w:t>
            </w:r>
            <w:proofErr w:type="spellStart"/>
            <w:r w:rsidRPr="002C6E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Misgurnus</w:t>
            </w:r>
            <w:proofErr w:type="spellEnd"/>
            <w:r w:rsidRPr="002C6E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E3A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fossilis</w:t>
            </w:r>
            <w:proofErr w:type="spellEnd"/>
            <w:r w:rsidRPr="002E3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3B9B2280" w14:textId="2BEB1617" w:rsidR="00E1191E" w:rsidRPr="002C6E3E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63,69</w:t>
            </w:r>
          </w:p>
        </w:tc>
        <w:tc>
          <w:tcPr>
            <w:tcW w:w="2268" w:type="dxa"/>
            <w:vAlign w:val="center"/>
          </w:tcPr>
          <w:p w14:paraId="498752E7" w14:textId="31FF7617" w:rsidR="00E1191E" w:rsidRPr="002C6E3E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бр.</w:t>
            </w:r>
          </w:p>
        </w:tc>
        <w:tc>
          <w:tcPr>
            <w:tcW w:w="3685" w:type="dxa"/>
            <w:vAlign w:val="center"/>
          </w:tcPr>
          <w:p w14:paraId="2D93854B" w14:textId="77777777" w:rsidR="00BB473C" w:rsidRPr="00BB473C" w:rsidRDefault="002C6E3E" w:rsidP="00BB4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Мярка 63:</w:t>
            </w:r>
            <w:r w:rsidR="008A2359">
              <w:t xml:space="preserve"> </w:t>
            </w:r>
            <w:r w:rsidR="00BB473C" w:rsidRPr="00BB473C">
              <w:rPr>
                <w:rFonts w:ascii="Times New Roman" w:hAnsi="Times New Roman" w:cs="Times New Roman"/>
                <w:sz w:val="24"/>
                <w:szCs w:val="24"/>
              </w:rPr>
              <w:t xml:space="preserve">BG0000497, BG0000232, BG0000377, BG0000335, BG0000608, </w:t>
            </w:r>
          </w:p>
          <w:p w14:paraId="6F79111D" w14:textId="5B5D4BBA" w:rsidR="00BB473C" w:rsidRPr="00BB473C" w:rsidRDefault="00BB473C" w:rsidP="00BB4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73C">
              <w:rPr>
                <w:rFonts w:ascii="Times New Roman" w:hAnsi="Times New Roman" w:cs="Times New Roman"/>
                <w:sz w:val="24"/>
                <w:szCs w:val="24"/>
              </w:rPr>
              <w:t xml:space="preserve">BG0000169, BG0000519, BG0000631, BG0000524, BG0000182, BG0000334, BG0000532, BG0000533, BG0000396, BG0000530, </w:t>
            </w:r>
          </w:p>
          <w:p w14:paraId="25922EB3" w14:textId="252EF317" w:rsidR="00BB473C" w:rsidRDefault="00BB473C" w:rsidP="00BB4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73C">
              <w:rPr>
                <w:rFonts w:ascii="Times New Roman" w:hAnsi="Times New Roman" w:cs="Times New Roman"/>
                <w:sz w:val="24"/>
                <w:szCs w:val="24"/>
              </w:rPr>
              <w:t>BG0000181, BG0000613, BG0000427, BG0000614, BG0000610, BG0000241, BG0000134, BG0000275</w:t>
            </w:r>
          </w:p>
          <w:p w14:paraId="02EABE15" w14:textId="77777777" w:rsidR="00BB473C" w:rsidRDefault="00BB473C" w:rsidP="00BB4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F8F9" w14:textId="7020E139" w:rsidR="00BB473C" w:rsidRPr="00BB473C" w:rsidRDefault="002C6E3E" w:rsidP="00BB4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Мярка 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>69:</w:t>
            </w:r>
            <w:r w:rsidR="00BB473C">
              <w:t xml:space="preserve"> </w:t>
            </w:r>
            <w:r w:rsidR="00BB473C" w:rsidRPr="00BB473C">
              <w:rPr>
                <w:rFonts w:ascii="Times New Roman" w:hAnsi="Times New Roman" w:cs="Times New Roman"/>
                <w:sz w:val="24"/>
                <w:szCs w:val="24"/>
              </w:rPr>
              <w:t xml:space="preserve">BG0000497, BG0000232, BG0000377, BG0000335, BG0000608, </w:t>
            </w:r>
          </w:p>
          <w:p w14:paraId="76D1B2E6" w14:textId="386D2811" w:rsidR="00BB473C" w:rsidRPr="00BB473C" w:rsidRDefault="00BB473C" w:rsidP="00BB4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73C">
              <w:rPr>
                <w:rFonts w:ascii="Times New Roman" w:hAnsi="Times New Roman" w:cs="Times New Roman"/>
                <w:sz w:val="24"/>
                <w:szCs w:val="24"/>
              </w:rPr>
              <w:t xml:space="preserve">BG0000169, BG0000631, BG0000524, BG0000182, BG0000334, BG0000532, BG0000533, BG0000530, BG0000181, BG0000427, </w:t>
            </w:r>
          </w:p>
          <w:p w14:paraId="67844FEB" w14:textId="65C921C1" w:rsidR="00E1191E" w:rsidRPr="00824E34" w:rsidRDefault="00BB473C" w:rsidP="00BB47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473C">
              <w:rPr>
                <w:rFonts w:ascii="Times New Roman" w:hAnsi="Times New Roman" w:cs="Times New Roman"/>
                <w:sz w:val="24"/>
                <w:szCs w:val="24"/>
              </w:rPr>
              <w:t>BG0000614, BG0000610, BG0000134, BG0000275</w:t>
            </w:r>
          </w:p>
        </w:tc>
      </w:tr>
      <w:bookmarkEnd w:id="0"/>
    </w:tbl>
    <w:p w14:paraId="3EDF595A" w14:textId="5D634B97" w:rsidR="00246EA7" w:rsidRPr="00186682" w:rsidRDefault="00246EA7">
      <w:pPr>
        <w:rPr>
          <w:rFonts w:ascii="Times New Roman" w:hAnsi="Times New Roman" w:cs="Times New Roman"/>
          <w:sz w:val="24"/>
          <w:szCs w:val="24"/>
        </w:rPr>
      </w:pPr>
    </w:p>
    <w:p w14:paraId="4557D93D" w14:textId="0BD84EC4" w:rsidR="00DC2382" w:rsidRDefault="00186682" w:rsidP="00AD0EBE">
      <w:pPr>
        <w:jc w:val="both"/>
        <w:rPr>
          <w:rFonts w:ascii="Times New Roman" w:hAnsi="Times New Roman" w:cs="Times New Roman"/>
          <w:sz w:val="24"/>
          <w:szCs w:val="24"/>
        </w:rPr>
      </w:pPr>
      <w:r w:rsidRPr="00186682">
        <w:rPr>
          <w:rFonts w:ascii="Times New Roman" w:hAnsi="Times New Roman" w:cs="Times New Roman"/>
          <w:sz w:val="24"/>
          <w:szCs w:val="24"/>
        </w:rPr>
        <w:t xml:space="preserve">Чрез ПОС 2021-2027 г. следва да бъдат подобрени общо </w:t>
      </w:r>
      <w:r w:rsidR="008A2359">
        <w:rPr>
          <w:rFonts w:ascii="Times New Roman" w:hAnsi="Times New Roman" w:cs="Times New Roman"/>
          <w:sz w:val="24"/>
          <w:szCs w:val="24"/>
        </w:rPr>
        <w:t>49</w:t>
      </w:r>
      <w:r w:rsidRPr="00186682">
        <w:rPr>
          <w:rFonts w:ascii="Times New Roman" w:hAnsi="Times New Roman" w:cs="Times New Roman"/>
          <w:sz w:val="24"/>
          <w:szCs w:val="24"/>
        </w:rPr>
        <w:t xml:space="preserve"> оценки на </w:t>
      </w:r>
      <w:r w:rsidR="008A2359">
        <w:rPr>
          <w:rFonts w:ascii="Times New Roman" w:hAnsi="Times New Roman" w:cs="Times New Roman"/>
          <w:sz w:val="24"/>
          <w:szCs w:val="24"/>
        </w:rPr>
        <w:t>защитени видове</w:t>
      </w:r>
      <w:r w:rsidRPr="00186682">
        <w:rPr>
          <w:rFonts w:ascii="Times New Roman" w:hAnsi="Times New Roman" w:cs="Times New Roman"/>
          <w:sz w:val="24"/>
          <w:szCs w:val="24"/>
        </w:rPr>
        <w:t>, с което ще се постигне целевата стойност по показател за резултат „3.</w:t>
      </w:r>
      <w:r w:rsidR="00AD0EBE">
        <w:rPr>
          <w:rFonts w:ascii="Times New Roman" w:hAnsi="Times New Roman" w:cs="Times New Roman"/>
          <w:sz w:val="24"/>
          <w:szCs w:val="24"/>
        </w:rPr>
        <w:t>2</w:t>
      </w:r>
      <w:r w:rsidRPr="00186682">
        <w:rPr>
          <w:rFonts w:ascii="Times New Roman" w:hAnsi="Times New Roman" w:cs="Times New Roman"/>
          <w:sz w:val="24"/>
          <w:szCs w:val="24"/>
        </w:rPr>
        <w:t xml:space="preserve">. </w:t>
      </w:r>
      <w:r w:rsidR="00AD0EBE" w:rsidRPr="00AD0EBE">
        <w:rPr>
          <w:rFonts w:ascii="Times New Roman" w:hAnsi="Times New Roman" w:cs="Times New Roman"/>
          <w:sz w:val="24"/>
          <w:szCs w:val="24"/>
        </w:rPr>
        <w:t>Видове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с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подобрен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природозащитен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статус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(или с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тенденция за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подобряване)</w:t>
      </w:r>
      <w:r w:rsidR="00AD0EBE">
        <w:rPr>
          <w:rFonts w:ascii="Times New Roman" w:hAnsi="Times New Roman" w:cs="Times New Roman"/>
          <w:sz w:val="24"/>
          <w:szCs w:val="24"/>
        </w:rPr>
        <w:t xml:space="preserve">“ </w:t>
      </w:r>
      <w:r w:rsidRPr="00186682">
        <w:rPr>
          <w:rFonts w:ascii="Times New Roman" w:hAnsi="Times New Roman" w:cs="Times New Roman"/>
          <w:sz w:val="24"/>
          <w:szCs w:val="24"/>
        </w:rPr>
        <w:t xml:space="preserve">- </w:t>
      </w:r>
      <w:r w:rsidR="00AD0EBE">
        <w:rPr>
          <w:rFonts w:ascii="Times New Roman" w:hAnsi="Times New Roman" w:cs="Times New Roman"/>
          <w:sz w:val="24"/>
          <w:szCs w:val="24"/>
        </w:rPr>
        <w:t>10</w:t>
      </w:r>
      <w:r w:rsidRPr="00186682">
        <w:rPr>
          <w:rFonts w:ascii="Times New Roman" w:hAnsi="Times New Roman" w:cs="Times New Roman"/>
          <w:sz w:val="24"/>
          <w:szCs w:val="24"/>
        </w:rPr>
        <w:t>,</w:t>
      </w:r>
      <w:r w:rsidR="00AD0EBE">
        <w:rPr>
          <w:rFonts w:ascii="Times New Roman" w:hAnsi="Times New Roman" w:cs="Times New Roman"/>
          <w:sz w:val="24"/>
          <w:szCs w:val="24"/>
        </w:rPr>
        <w:t>8</w:t>
      </w:r>
      <w:r w:rsidR="00EE0345">
        <w:rPr>
          <w:rFonts w:ascii="Times New Roman" w:hAnsi="Times New Roman" w:cs="Times New Roman"/>
          <w:sz w:val="24"/>
          <w:szCs w:val="24"/>
        </w:rPr>
        <w:t>%</w:t>
      </w:r>
      <w:r w:rsidRPr="00186682">
        <w:rPr>
          <w:rFonts w:ascii="Times New Roman" w:hAnsi="Times New Roman" w:cs="Times New Roman"/>
          <w:sz w:val="24"/>
          <w:szCs w:val="24"/>
        </w:rPr>
        <w:t>. Следователно една оценка се равнява на 0,</w:t>
      </w:r>
      <w:r w:rsidR="00AD0EBE">
        <w:rPr>
          <w:rFonts w:ascii="Times New Roman" w:hAnsi="Times New Roman" w:cs="Times New Roman"/>
          <w:sz w:val="24"/>
          <w:szCs w:val="24"/>
        </w:rPr>
        <w:t xml:space="preserve">2 </w:t>
      </w:r>
      <w:r w:rsidR="00EE0345">
        <w:rPr>
          <w:rFonts w:ascii="Times New Roman" w:hAnsi="Times New Roman" w:cs="Times New Roman"/>
          <w:sz w:val="24"/>
          <w:szCs w:val="24"/>
        </w:rPr>
        <w:t>%</w:t>
      </w:r>
      <w:r w:rsidRPr="00186682">
        <w:rPr>
          <w:rFonts w:ascii="Times New Roman" w:hAnsi="Times New Roman" w:cs="Times New Roman"/>
          <w:sz w:val="24"/>
          <w:szCs w:val="24"/>
        </w:rPr>
        <w:t xml:space="preserve">. </w:t>
      </w:r>
      <w:r w:rsidR="00DC2382" w:rsidRPr="00186682">
        <w:rPr>
          <w:rFonts w:ascii="Times New Roman" w:hAnsi="Times New Roman" w:cs="Times New Roman"/>
          <w:sz w:val="24"/>
          <w:szCs w:val="24"/>
        </w:rPr>
        <w:t>Предвид факта, че кандидатите могат да правят различни комбинации в проектните си предложения</w:t>
      </w:r>
      <w:r w:rsidRPr="00186682">
        <w:rPr>
          <w:rFonts w:ascii="Times New Roman" w:hAnsi="Times New Roman" w:cs="Times New Roman"/>
          <w:sz w:val="24"/>
          <w:szCs w:val="24"/>
        </w:rPr>
        <w:t xml:space="preserve"> и може да не „покрият“ изцяло необходимия обхват за подобряване на една оценка или 0,</w:t>
      </w:r>
      <w:r w:rsidR="00AD0EBE">
        <w:rPr>
          <w:rFonts w:ascii="Times New Roman" w:hAnsi="Times New Roman" w:cs="Times New Roman"/>
          <w:sz w:val="24"/>
          <w:szCs w:val="24"/>
        </w:rPr>
        <w:t xml:space="preserve">2 </w:t>
      </w:r>
      <w:r w:rsidR="00EE0345">
        <w:rPr>
          <w:rFonts w:ascii="Times New Roman" w:hAnsi="Times New Roman" w:cs="Times New Roman"/>
          <w:sz w:val="24"/>
          <w:szCs w:val="24"/>
        </w:rPr>
        <w:t>%</w:t>
      </w:r>
      <w:r w:rsidRPr="00186682">
        <w:rPr>
          <w:rFonts w:ascii="Times New Roman" w:hAnsi="Times New Roman" w:cs="Times New Roman"/>
          <w:sz w:val="24"/>
          <w:szCs w:val="24"/>
        </w:rPr>
        <w:t xml:space="preserve">, </w:t>
      </w:r>
      <w:r w:rsidR="00472292" w:rsidRPr="00186682">
        <w:rPr>
          <w:rFonts w:ascii="Times New Roman" w:hAnsi="Times New Roman" w:cs="Times New Roman"/>
          <w:sz w:val="24"/>
          <w:szCs w:val="24"/>
        </w:rPr>
        <w:t xml:space="preserve">следва да се оцени приносът на най-ниското </w:t>
      </w:r>
      <w:r w:rsidRPr="00186682">
        <w:rPr>
          <w:rFonts w:ascii="Times New Roman" w:hAnsi="Times New Roman" w:cs="Times New Roman"/>
          <w:sz w:val="24"/>
          <w:szCs w:val="24"/>
        </w:rPr>
        <w:t>възможно ниво</w:t>
      </w:r>
      <w:r w:rsidR="00472292" w:rsidRPr="00186682">
        <w:rPr>
          <w:rFonts w:ascii="Times New Roman" w:hAnsi="Times New Roman" w:cs="Times New Roman"/>
          <w:sz w:val="24"/>
          <w:szCs w:val="24"/>
        </w:rPr>
        <w:t xml:space="preserve"> – целева защитена зона по мярка</w:t>
      </w:r>
      <w:r w:rsidR="00AD0EBE">
        <w:rPr>
          <w:rFonts w:ascii="Times New Roman" w:hAnsi="Times New Roman" w:cs="Times New Roman"/>
          <w:sz w:val="24"/>
          <w:szCs w:val="24"/>
        </w:rPr>
        <w:t>та</w:t>
      </w:r>
      <w:r w:rsidR="00472292" w:rsidRPr="001866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този смисъл в</w:t>
      </w:r>
      <w:r w:rsidR="00DC2382" w:rsidRPr="00186682">
        <w:rPr>
          <w:rFonts w:ascii="Times New Roman" w:hAnsi="Times New Roman" w:cs="Times New Roman"/>
          <w:sz w:val="24"/>
          <w:szCs w:val="24"/>
        </w:rPr>
        <w:t xml:space="preserve">сяка </w:t>
      </w:r>
      <w:r w:rsidR="00797CD3" w:rsidRPr="00186682">
        <w:rPr>
          <w:rFonts w:ascii="Times New Roman" w:hAnsi="Times New Roman" w:cs="Times New Roman"/>
          <w:sz w:val="24"/>
          <w:szCs w:val="24"/>
        </w:rPr>
        <w:t xml:space="preserve">целева защитена зона </w:t>
      </w:r>
      <w:r w:rsidR="00E1191E" w:rsidRPr="00186682">
        <w:rPr>
          <w:rFonts w:ascii="Times New Roman" w:hAnsi="Times New Roman" w:cs="Times New Roman"/>
          <w:sz w:val="24"/>
          <w:szCs w:val="24"/>
        </w:rPr>
        <w:t xml:space="preserve">от колона № 4 </w:t>
      </w:r>
      <w:r w:rsidR="00797CD3" w:rsidRPr="00186682">
        <w:rPr>
          <w:rFonts w:ascii="Times New Roman" w:hAnsi="Times New Roman" w:cs="Times New Roman"/>
          <w:sz w:val="24"/>
          <w:szCs w:val="24"/>
        </w:rPr>
        <w:t>се разглежда като единица</w:t>
      </w:r>
      <w:r w:rsidR="00AC4033">
        <w:rPr>
          <w:rFonts w:ascii="Times New Roman" w:hAnsi="Times New Roman" w:cs="Times New Roman"/>
          <w:sz w:val="24"/>
          <w:szCs w:val="24"/>
        </w:rPr>
        <w:t>,</w:t>
      </w:r>
      <w:r w:rsidR="00797CD3" w:rsidRPr="00186682">
        <w:rPr>
          <w:rFonts w:ascii="Times New Roman" w:hAnsi="Times New Roman" w:cs="Times New Roman"/>
          <w:sz w:val="24"/>
          <w:szCs w:val="24"/>
        </w:rPr>
        <w:t xml:space="preserve"> допринасяща за подобряване </w:t>
      </w:r>
      <w:r w:rsidR="00E1191E" w:rsidRPr="00186682">
        <w:rPr>
          <w:rFonts w:ascii="Times New Roman" w:hAnsi="Times New Roman" w:cs="Times New Roman"/>
          <w:sz w:val="24"/>
          <w:szCs w:val="24"/>
        </w:rPr>
        <w:t>на о</w:t>
      </w:r>
      <w:r w:rsidR="00472292" w:rsidRPr="00186682">
        <w:rPr>
          <w:rFonts w:ascii="Times New Roman" w:hAnsi="Times New Roman" w:cs="Times New Roman"/>
          <w:sz w:val="24"/>
          <w:szCs w:val="24"/>
        </w:rPr>
        <w:t>ценката от колона № 3</w:t>
      </w:r>
      <w:r>
        <w:rPr>
          <w:rFonts w:ascii="Times New Roman" w:hAnsi="Times New Roman" w:cs="Times New Roman"/>
          <w:sz w:val="24"/>
          <w:szCs w:val="24"/>
        </w:rPr>
        <w:t xml:space="preserve"> и приносът на тази зона се изчислява като се съотнесе броят на всички целеви зони от колона № 4 към броя оценки от колона № 3. На тази база приносът на проекта се изчислява спрямо включените </w:t>
      </w:r>
      <w:r w:rsidR="00026D9F">
        <w:rPr>
          <w:rFonts w:ascii="Times New Roman" w:hAnsi="Times New Roman" w:cs="Times New Roman"/>
          <w:sz w:val="24"/>
          <w:szCs w:val="24"/>
        </w:rPr>
        <w:t xml:space="preserve">целеви за </w:t>
      </w:r>
      <w:r w:rsidR="00AC4033">
        <w:rPr>
          <w:rFonts w:ascii="Times New Roman" w:hAnsi="Times New Roman" w:cs="Times New Roman"/>
          <w:sz w:val="24"/>
          <w:szCs w:val="24"/>
        </w:rPr>
        <w:t>проекта</w:t>
      </w:r>
      <w:r w:rsidR="00026D9F">
        <w:rPr>
          <w:rFonts w:ascii="Times New Roman" w:hAnsi="Times New Roman" w:cs="Times New Roman"/>
          <w:sz w:val="24"/>
          <w:szCs w:val="24"/>
        </w:rPr>
        <w:t xml:space="preserve"> защитен</w:t>
      </w:r>
      <w:r w:rsidR="00AC4033">
        <w:rPr>
          <w:rFonts w:ascii="Times New Roman" w:hAnsi="Times New Roman" w:cs="Times New Roman"/>
          <w:sz w:val="24"/>
          <w:szCs w:val="24"/>
        </w:rPr>
        <w:t>и</w:t>
      </w:r>
      <w:r w:rsidR="00026D9F">
        <w:rPr>
          <w:rFonts w:ascii="Times New Roman" w:hAnsi="Times New Roman" w:cs="Times New Roman"/>
          <w:sz w:val="24"/>
          <w:szCs w:val="24"/>
        </w:rPr>
        <w:t xml:space="preserve"> зони</w:t>
      </w:r>
      <w:r w:rsidR="00AC4033">
        <w:rPr>
          <w:rFonts w:ascii="Times New Roman" w:hAnsi="Times New Roman" w:cs="Times New Roman"/>
          <w:sz w:val="24"/>
          <w:szCs w:val="24"/>
        </w:rPr>
        <w:t>,</w:t>
      </w:r>
      <w:r w:rsidR="00026D9F">
        <w:rPr>
          <w:rFonts w:ascii="Times New Roman" w:hAnsi="Times New Roman" w:cs="Times New Roman"/>
          <w:sz w:val="24"/>
          <w:szCs w:val="24"/>
        </w:rPr>
        <w:t xml:space="preserve"> като се сумират процентите за всяка включена в проекта </w:t>
      </w:r>
      <w:r w:rsidR="00AD0EBE">
        <w:rPr>
          <w:rFonts w:ascii="Times New Roman" w:hAnsi="Times New Roman" w:cs="Times New Roman"/>
          <w:sz w:val="24"/>
          <w:szCs w:val="24"/>
        </w:rPr>
        <w:t xml:space="preserve">зона </w:t>
      </w:r>
      <w:r w:rsidR="00026D9F">
        <w:rPr>
          <w:rFonts w:ascii="Times New Roman" w:hAnsi="Times New Roman" w:cs="Times New Roman"/>
          <w:sz w:val="24"/>
          <w:szCs w:val="24"/>
        </w:rPr>
        <w:t xml:space="preserve">от колона № 4 </w:t>
      </w:r>
      <w:r>
        <w:rPr>
          <w:rFonts w:ascii="Times New Roman" w:hAnsi="Times New Roman" w:cs="Times New Roman"/>
          <w:sz w:val="24"/>
          <w:szCs w:val="24"/>
        </w:rPr>
        <w:t>, съгласно следната таблица: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984"/>
        <w:gridCol w:w="4111"/>
      </w:tblGrid>
      <w:tr w:rsidR="00186682" w:rsidRPr="00BB0DBA" w14:paraId="452DF93F" w14:textId="77777777" w:rsidTr="00AC1609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5AD2628" w14:textId="77777777" w:rsidR="00186682" w:rsidRPr="00BB0DBA" w:rsidRDefault="00186682" w:rsidP="00EE0345">
            <w:pPr>
              <w:tabs>
                <w:tab w:val="left" w:pos="306"/>
              </w:tabs>
              <w:ind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на природно местообитание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E9DCBFC" w14:textId="33936050" w:rsidR="00186682" w:rsidRPr="00BB0DBA" w:rsidRDefault="000B53F1" w:rsidP="00AC1609">
            <w:pPr>
              <w:tabs>
                <w:tab w:val="left" w:pos="288"/>
              </w:tabs>
              <w:ind w:right="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186682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мярка от </w:t>
            </w:r>
            <w:r w:rsidR="00AC1609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186682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РПД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6A75B43" w14:textId="219F33CA" w:rsidR="00186682" w:rsidRPr="00BB0DBA" w:rsidRDefault="00EE0345" w:rsidP="00AC1609">
            <w:pPr>
              <w:pStyle w:val="ListParagraph"/>
              <w:tabs>
                <w:tab w:val="left" w:pos="317"/>
              </w:tabs>
              <w:ind w:left="2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="00186682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иогеографски регион/ бр. оценки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D64F594" w14:textId="77777777" w:rsidR="00186682" w:rsidRPr="00BB0DBA" w:rsidRDefault="00186682" w:rsidP="00EE0345">
            <w:pPr>
              <w:tabs>
                <w:tab w:val="left" w:pos="319"/>
              </w:tabs>
              <w:ind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Целеви защитени зони</w:t>
            </w:r>
          </w:p>
        </w:tc>
      </w:tr>
      <w:tr w:rsidR="00EE0345" w:rsidRPr="00BB0DBA" w14:paraId="6C5260BC" w14:textId="77777777" w:rsidTr="00AC1609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53C9D2B1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00A4C45E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C0E0B7C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14:paraId="51DB7CDF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0EBE" w:rsidRPr="000513FB" w14:paraId="01B42857" w14:textId="77777777" w:rsidTr="00AC1609">
        <w:tc>
          <w:tcPr>
            <w:tcW w:w="2263" w:type="dxa"/>
            <w:vAlign w:val="center"/>
          </w:tcPr>
          <w:p w14:paraId="40513DE3" w14:textId="4F549AE6" w:rsidR="00F85950" w:rsidRPr="00F6079E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Виюн (</w:t>
            </w:r>
            <w:proofErr w:type="spellStart"/>
            <w:r w:rsidRPr="000513FB">
              <w:rPr>
                <w:rFonts w:ascii="Times New Roman" w:hAnsi="Times New Roman" w:cs="Times New Roman"/>
                <w:sz w:val="24"/>
                <w:szCs w:val="24"/>
              </w:rPr>
              <w:t>Misgurnus</w:t>
            </w:r>
            <w:proofErr w:type="spellEnd"/>
            <w:r w:rsidRPr="00051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13FB">
              <w:rPr>
                <w:rFonts w:ascii="Times New Roman" w:hAnsi="Times New Roman" w:cs="Times New Roman"/>
                <w:sz w:val="24"/>
                <w:szCs w:val="24"/>
              </w:rPr>
              <w:t>fossilis</w:t>
            </w:r>
            <w:proofErr w:type="spellEnd"/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07BFF15B" w14:textId="1C39D51A" w:rsidR="00AD0EBE" w:rsidRPr="00AD0EBE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051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  <w:vAlign w:val="center"/>
          </w:tcPr>
          <w:p w14:paraId="699AD2E6" w14:textId="32E1ECB4" w:rsidR="00AD0EBE" w:rsidRPr="00F6079E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3FB">
              <w:rPr>
                <w:rFonts w:ascii="Times New Roman" w:hAnsi="Times New Roman" w:cs="Times New Roman"/>
                <w:sz w:val="24"/>
                <w:szCs w:val="24"/>
              </w:rPr>
              <w:t xml:space="preserve">CON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бр. (0,2%)</w:t>
            </w:r>
          </w:p>
        </w:tc>
        <w:tc>
          <w:tcPr>
            <w:tcW w:w="4111" w:type="dxa"/>
            <w:vAlign w:val="center"/>
          </w:tcPr>
          <w:p w14:paraId="167CB98B" w14:textId="77777777" w:rsidR="00AC4033" w:rsidRPr="00AC4033" w:rsidRDefault="00AC4033" w:rsidP="00AC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033">
              <w:rPr>
                <w:rFonts w:ascii="Times New Roman" w:hAnsi="Times New Roman" w:cs="Times New Roman"/>
                <w:sz w:val="24"/>
                <w:szCs w:val="24"/>
              </w:rPr>
              <w:t xml:space="preserve">Мярка 63: BG0000497, BG0000232, BG0000377, BG0000335, BG0000608, </w:t>
            </w:r>
          </w:p>
          <w:p w14:paraId="34EC429F" w14:textId="435A88A6" w:rsidR="00AC4033" w:rsidRPr="00AC4033" w:rsidRDefault="00AC4033" w:rsidP="00AC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033">
              <w:rPr>
                <w:rFonts w:ascii="Times New Roman" w:hAnsi="Times New Roman" w:cs="Times New Roman"/>
                <w:sz w:val="24"/>
                <w:szCs w:val="24"/>
              </w:rPr>
              <w:t>BG0000169, BG0000519, BG0000631, BG0000524, BG0000182, BG0000334, BG0000532, BG0000533, BG0000396, BG0000530, BG0000181, BG0000613, BG0000427, BG0000614, BG0000610, BG0000241, BG0000134, BG0000275</w:t>
            </w:r>
          </w:p>
          <w:p w14:paraId="66C491A5" w14:textId="77777777" w:rsidR="00AC4033" w:rsidRPr="00AC4033" w:rsidRDefault="00AC4033" w:rsidP="00AC4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45683" w14:textId="77777777" w:rsidR="00AC4033" w:rsidRPr="00AC4033" w:rsidRDefault="00AC4033" w:rsidP="00AC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033">
              <w:rPr>
                <w:rFonts w:ascii="Times New Roman" w:hAnsi="Times New Roman" w:cs="Times New Roman"/>
                <w:sz w:val="24"/>
                <w:szCs w:val="24"/>
              </w:rPr>
              <w:t xml:space="preserve">Мярка 69: BG0000497, BG0000232, BG0000377, BG0000335, BG0000608, </w:t>
            </w:r>
          </w:p>
          <w:p w14:paraId="427DD000" w14:textId="77777777" w:rsidR="00AD0EBE" w:rsidRDefault="00AC4033" w:rsidP="00AC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033">
              <w:rPr>
                <w:rFonts w:ascii="Times New Roman" w:hAnsi="Times New Roman" w:cs="Times New Roman"/>
                <w:sz w:val="24"/>
                <w:szCs w:val="24"/>
              </w:rPr>
              <w:t>BG0000169, BG0000631, BG0000524, BG0000182, BG0000334, BG0000532, BG0000533, BG0000530, BG0000181, BG0000427, BG0000614, BG0000610, BG0000134, BG0000275</w:t>
            </w:r>
          </w:p>
          <w:p w14:paraId="699484B6" w14:textId="61F434C8" w:rsidR="00AC4033" w:rsidRPr="000513FB" w:rsidRDefault="00AC4033" w:rsidP="00AC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3FB">
              <w:rPr>
                <w:rFonts w:ascii="Times New Roman" w:hAnsi="Times New Roman" w:cs="Times New Roman"/>
                <w:sz w:val="24"/>
                <w:szCs w:val="24"/>
              </w:rPr>
              <w:t>(една зона има 0,004</w:t>
            </w:r>
            <w:r w:rsidR="000513FB" w:rsidRPr="00051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13FB"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</w:tbl>
    <w:p w14:paraId="4C7B4B39" w14:textId="4DFCC1F2" w:rsidR="00186682" w:rsidRPr="00186682" w:rsidRDefault="00186682" w:rsidP="00051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F3D7D" w14:textId="5C5F29E3" w:rsidR="00472292" w:rsidRPr="00E77F69" w:rsidRDefault="00E77F6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77F69">
        <w:rPr>
          <w:rFonts w:ascii="Times New Roman" w:hAnsi="Times New Roman" w:cs="Times New Roman"/>
          <w:b/>
          <w:bCs/>
          <w:sz w:val="24"/>
          <w:szCs w:val="24"/>
        </w:rPr>
        <w:t>Пример:</w:t>
      </w:r>
    </w:p>
    <w:p w14:paraId="5733D199" w14:textId="6B2DC806" w:rsidR="00E77F69" w:rsidRDefault="00E77F69" w:rsidP="00E77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Ако дадено проектно предложение цели подобряване на природозащитното състояние </w:t>
      </w:r>
      <w:r w:rsidR="00A63A9F">
        <w:rPr>
          <w:rFonts w:ascii="Times New Roman" w:hAnsi="Times New Roman" w:cs="Times New Roman"/>
          <w:sz w:val="24"/>
          <w:szCs w:val="24"/>
        </w:rPr>
        <w:t xml:space="preserve">на вида </w:t>
      </w:r>
      <w:r w:rsidR="00F85950">
        <w:rPr>
          <w:rFonts w:ascii="Times New Roman" w:hAnsi="Times New Roman" w:cs="Times New Roman"/>
          <w:sz w:val="24"/>
          <w:szCs w:val="24"/>
        </w:rPr>
        <w:t xml:space="preserve">Виюн </w:t>
      </w:r>
      <w:r w:rsidR="00A63A9F">
        <w:rPr>
          <w:rFonts w:ascii="Times New Roman" w:hAnsi="Times New Roman" w:cs="Times New Roman"/>
          <w:sz w:val="24"/>
          <w:szCs w:val="24"/>
        </w:rPr>
        <w:t xml:space="preserve">в защитени зони </w:t>
      </w:r>
      <w:r w:rsidR="00A63A9F" w:rsidRPr="00A63A9F">
        <w:rPr>
          <w:rFonts w:ascii="Times New Roman" w:hAnsi="Times New Roman" w:cs="Times New Roman"/>
          <w:sz w:val="24"/>
          <w:szCs w:val="24"/>
        </w:rPr>
        <w:t>BG0000497, BG0000232</w:t>
      </w:r>
      <w:r w:rsidR="00AC4033">
        <w:rPr>
          <w:rFonts w:ascii="Times New Roman" w:hAnsi="Times New Roman" w:cs="Times New Roman"/>
          <w:sz w:val="24"/>
          <w:szCs w:val="24"/>
        </w:rPr>
        <w:t xml:space="preserve"> и </w:t>
      </w:r>
      <w:r w:rsidR="00A63A9F" w:rsidRPr="00A63A9F">
        <w:rPr>
          <w:rFonts w:ascii="Times New Roman" w:hAnsi="Times New Roman" w:cs="Times New Roman"/>
          <w:sz w:val="24"/>
          <w:szCs w:val="24"/>
        </w:rPr>
        <w:t>BG0000377</w:t>
      </w:r>
      <w:r w:rsidR="00FE1D4C">
        <w:rPr>
          <w:rFonts w:ascii="Times New Roman" w:hAnsi="Times New Roman" w:cs="Times New Roman"/>
          <w:sz w:val="24"/>
          <w:szCs w:val="24"/>
        </w:rPr>
        <w:t>, то целевата стойност на показателя за резултат се изчислява както следва:</w:t>
      </w:r>
    </w:p>
    <w:p w14:paraId="62E10650" w14:textId="77700CF6" w:rsidR="00E77F69" w:rsidRDefault="00A63A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13F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E1D4C" w:rsidRPr="000513FB">
        <w:rPr>
          <w:rFonts w:ascii="Times New Roman" w:hAnsi="Times New Roman" w:cs="Times New Roman"/>
          <w:b/>
          <w:bCs/>
          <w:sz w:val="24"/>
          <w:szCs w:val="24"/>
        </w:rPr>
        <w:t xml:space="preserve"> *</w:t>
      </w:r>
      <w:r w:rsidR="00E77F69" w:rsidRPr="000513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4033" w:rsidRPr="000513FB">
        <w:rPr>
          <w:rFonts w:ascii="Times New Roman" w:hAnsi="Times New Roman" w:cs="Times New Roman"/>
          <w:b/>
          <w:bCs/>
          <w:sz w:val="24"/>
          <w:szCs w:val="24"/>
        </w:rPr>
        <w:t>0,004</w:t>
      </w:r>
      <w:r w:rsidR="000513FB" w:rsidRPr="000513FB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="00AC4033" w:rsidRPr="000513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7F69" w:rsidRPr="000513FB">
        <w:rPr>
          <w:rFonts w:ascii="Times New Roman" w:hAnsi="Times New Roman" w:cs="Times New Roman"/>
          <w:b/>
          <w:bCs/>
          <w:sz w:val="24"/>
          <w:szCs w:val="24"/>
        </w:rPr>
        <w:t xml:space="preserve">% </w:t>
      </w:r>
      <w:r w:rsidR="00F92241" w:rsidRPr="000513FB">
        <w:rPr>
          <w:rFonts w:ascii="Times New Roman" w:hAnsi="Times New Roman" w:cs="Times New Roman"/>
          <w:b/>
          <w:bCs/>
          <w:sz w:val="24"/>
          <w:szCs w:val="24"/>
        </w:rPr>
        <w:t xml:space="preserve">= </w:t>
      </w:r>
      <w:r w:rsidR="000513FB" w:rsidRPr="000513FB">
        <w:rPr>
          <w:rFonts w:ascii="Times New Roman" w:hAnsi="Times New Roman" w:cs="Times New Roman"/>
          <w:b/>
          <w:bCs/>
          <w:sz w:val="24"/>
          <w:szCs w:val="24"/>
        </w:rPr>
        <w:t>0,0144</w:t>
      </w:r>
      <w:r w:rsidR="00FE1D4C" w:rsidRPr="000513FB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="00FE1D4C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5C452A1" w14:textId="1D1ACE96" w:rsidR="00A63A9F" w:rsidRPr="00A63A9F" w:rsidRDefault="00A63A9F" w:rsidP="00A63A9F">
      <w:pPr>
        <w:jc w:val="both"/>
        <w:rPr>
          <w:rFonts w:ascii="Times New Roman" w:hAnsi="Times New Roman" w:cs="Times New Roman"/>
          <w:sz w:val="24"/>
          <w:szCs w:val="24"/>
        </w:rPr>
      </w:pPr>
      <w:r w:rsidRPr="00A63A9F">
        <w:rPr>
          <w:rFonts w:ascii="Times New Roman" w:hAnsi="Times New Roman" w:cs="Times New Roman"/>
          <w:sz w:val="24"/>
          <w:szCs w:val="24"/>
        </w:rPr>
        <w:t>Целевата стойност се отнася съответно към по-слабо развит регион или регион в преход в зависимост от местоположението на целевите територии по проекта.</w:t>
      </w:r>
      <w:r>
        <w:rPr>
          <w:rFonts w:ascii="Times New Roman" w:hAnsi="Times New Roman" w:cs="Times New Roman"/>
          <w:sz w:val="24"/>
          <w:szCs w:val="24"/>
        </w:rPr>
        <w:t xml:space="preserve"> Ако целевите територии попадат едновременно в двете категории региони се прави разпределение спрямо налага процентното съотношение на площите.</w:t>
      </w:r>
    </w:p>
    <w:sectPr w:rsidR="00A63A9F" w:rsidRPr="00A63A9F" w:rsidSect="000B53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3" w:right="849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97069" w14:textId="77777777" w:rsidR="00F734DA" w:rsidRDefault="00F734DA" w:rsidP="00906C9E">
      <w:pPr>
        <w:spacing w:after="0" w:line="240" w:lineRule="auto"/>
      </w:pPr>
      <w:r>
        <w:separator/>
      </w:r>
    </w:p>
  </w:endnote>
  <w:endnote w:type="continuationSeparator" w:id="0">
    <w:p w14:paraId="3DDED8DC" w14:textId="77777777" w:rsidR="00F734DA" w:rsidRDefault="00F734DA" w:rsidP="0090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E3D51" w14:textId="77777777" w:rsidR="00EC5950" w:rsidRDefault="00EC59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57628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0B921F" w14:textId="055518FC" w:rsidR="000B53F1" w:rsidRDefault="000B53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C8FADD" w14:textId="77777777" w:rsidR="000B53F1" w:rsidRDefault="000B53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3D484" w14:textId="77777777" w:rsidR="00EC5950" w:rsidRDefault="00EC59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3F7F5" w14:textId="77777777" w:rsidR="00F734DA" w:rsidRDefault="00F734DA" w:rsidP="00906C9E">
      <w:pPr>
        <w:spacing w:after="0" w:line="240" w:lineRule="auto"/>
      </w:pPr>
      <w:r>
        <w:separator/>
      </w:r>
    </w:p>
  </w:footnote>
  <w:footnote w:type="continuationSeparator" w:id="0">
    <w:p w14:paraId="6F8A7347" w14:textId="77777777" w:rsidR="00F734DA" w:rsidRDefault="00F734DA" w:rsidP="0090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E2802" w14:textId="77777777" w:rsidR="00EC5950" w:rsidRDefault="00EC59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B8938" w14:textId="77777777" w:rsidR="00EC5950" w:rsidRDefault="00EC59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9"/>
      <w:gridCol w:w="3210"/>
      <w:gridCol w:w="3616"/>
    </w:tblGrid>
    <w:tr w:rsidR="006456BB" w14:paraId="7FE19A8E" w14:textId="77777777" w:rsidTr="006456BB">
      <w:tc>
        <w:tcPr>
          <w:tcW w:w="3239" w:type="dxa"/>
          <w:hideMark/>
        </w:tcPr>
        <w:p w14:paraId="7F1EB718" w14:textId="622DAEDC" w:rsidR="006456BB" w:rsidRDefault="006456BB" w:rsidP="006456BB">
          <w:pPr>
            <w:pStyle w:val="Header"/>
            <w:ind w:left="-247"/>
            <w:rPr>
              <w:rFonts w:ascii="Calibri" w:eastAsia="Calibri" w:hAnsi="Calibri" w:cs="Times New Roman"/>
              <w:b/>
              <w:sz w:val="20"/>
              <w:szCs w:val="20"/>
              <w:lang w:eastAsia="bg-BG"/>
            </w:rPr>
          </w:pPr>
          <w:r>
            <w:rPr>
              <w:rFonts w:ascii="Calibri" w:eastAsia="Calibri" w:hAnsi="Calibri"/>
              <w:b/>
              <w:noProof/>
              <w:sz w:val="20"/>
              <w:szCs w:val="20"/>
              <w:lang w:eastAsia="bg-BG"/>
            </w:rPr>
            <w:drawing>
              <wp:inline distT="0" distB="0" distL="0" distR="0" wp14:anchorId="4BFD0636" wp14:editId="43CB1D3E">
                <wp:extent cx="2066925" cy="4381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14:paraId="58631199" w14:textId="77777777" w:rsidR="006456BB" w:rsidRDefault="006456BB" w:rsidP="006456BB">
          <w:pPr>
            <w:pStyle w:val="Header"/>
            <w:rPr>
              <w:rFonts w:ascii="Calibri" w:eastAsia="Calibri" w:hAnsi="Calibri" w:cs="Times New Roman"/>
              <w:b/>
              <w:sz w:val="20"/>
              <w:szCs w:val="20"/>
              <w:lang w:eastAsia="bg-BG"/>
            </w:rPr>
          </w:pPr>
        </w:p>
      </w:tc>
      <w:tc>
        <w:tcPr>
          <w:tcW w:w="3616" w:type="dxa"/>
          <w:hideMark/>
        </w:tcPr>
        <w:p w14:paraId="6BA6FA6A" w14:textId="4E1FD5F4" w:rsidR="006456BB" w:rsidRDefault="006456BB" w:rsidP="006456BB">
          <w:pPr>
            <w:pStyle w:val="Header"/>
            <w:jc w:val="right"/>
            <w:rPr>
              <w:rFonts w:ascii="Calibri" w:eastAsia="Calibri" w:hAnsi="Calibri"/>
              <w:b/>
              <w:sz w:val="20"/>
              <w:szCs w:val="20"/>
              <w:lang w:eastAsia="bg-BG"/>
            </w:rPr>
          </w:pPr>
          <w:r>
            <w:rPr>
              <w:rFonts w:ascii="Calibri" w:eastAsia="Calibri" w:hAnsi="Calibri"/>
              <w:b/>
              <w:noProof/>
              <w:sz w:val="20"/>
              <w:szCs w:val="20"/>
              <w:lang w:eastAsia="bg-BG"/>
            </w:rPr>
            <w:drawing>
              <wp:inline distT="0" distB="0" distL="0" distR="0" wp14:anchorId="44E422FA" wp14:editId="11358AF0">
                <wp:extent cx="1676400" cy="523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5ECA5B" w14:textId="77777777" w:rsidR="006456BB" w:rsidRDefault="006456BB" w:rsidP="00494BF9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46A79F3E" w14:textId="6FB5867F" w:rsidR="00FD02A8" w:rsidRPr="00E605DE" w:rsidRDefault="00494BF9" w:rsidP="00FD02A8">
    <w:pPr>
      <w:pStyle w:val="Header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r w:rsidRPr="00AF2B0E">
      <w:rPr>
        <w:rFonts w:ascii="Times New Roman" w:hAnsi="Times New Roman" w:cs="Times New Roman"/>
        <w:b/>
        <w:bCs/>
        <w:i/>
        <w:iCs/>
        <w:sz w:val="24"/>
        <w:szCs w:val="24"/>
      </w:rPr>
      <w:t>Приложение №</w:t>
    </w:r>
    <w:r w:rsidR="00327600">
      <w:rPr>
        <w:rFonts w:ascii="Times New Roman" w:hAnsi="Times New Roman" w:cs="Times New Roman"/>
        <w:b/>
        <w:bCs/>
        <w:i/>
        <w:iCs/>
        <w:sz w:val="24"/>
        <w:szCs w:val="24"/>
      </w:rPr>
      <w:t xml:space="preserve"> 3</w:t>
    </w:r>
    <w:r w:rsidRPr="00AF2B0E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FD02A8" w:rsidRPr="00E605DE">
      <w:rPr>
        <w:rFonts w:ascii="Times New Roman" w:hAnsi="Times New Roman" w:cs="Times New Roman"/>
        <w:b/>
        <w:bCs/>
        <w:i/>
        <w:iCs/>
        <w:sz w:val="24"/>
        <w:szCs w:val="24"/>
      </w:rPr>
      <w:t xml:space="preserve">към Условия за кандидатстване по процедура </w:t>
    </w:r>
  </w:p>
  <w:p w14:paraId="3104BB1B" w14:textId="561FD95F" w:rsidR="006456BB" w:rsidRPr="00E605DE" w:rsidRDefault="00EC5950" w:rsidP="00FD02A8">
    <w:pPr>
      <w:pStyle w:val="Header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r w:rsidRPr="00EC5950">
      <w:rPr>
        <w:rFonts w:ascii="Times New Roman" w:hAnsi="Times New Roman" w:cs="Times New Roman"/>
        <w:b/>
        <w:bCs/>
        <w:i/>
        <w:iCs/>
        <w:sz w:val="24"/>
        <w:szCs w:val="24"/>
      </w:rPr>
      <w:t>BG16FFPR002-3.022</w:t>
    </w:r>
    <w:r w:rsidR="00FD02A8" w:rsidRPr="00E605DE">
      <w:rPr>
        <w:rFonts w:ascii="Times New Roman" w:hAnsi="Times New Roman" w:cs="Times New Roman"/>
        <w:b/>
        <w:bCs/>
        <w:i/>
        <w:iCs/>
        <w:sz w:val="24"/>
        <w:szCs w:val="24"/>
      </w:rPr>
      <w:t xml:space="preserve"> „Изпълнение на мярка 69 от Националната рамка за приоритетни действия за Натура 2000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en-US"/>
      </w:rPr>
      <w:t>-2</w:t>
    </w:r>
    <w:r w:rsidR="00FD02A8" w:rsidRPr="00E605DE">
      <w:rPr>
        <w:rFonts w:ascii="Times New Roman" w:hAnsi="Times New Roman" w:cs="Times New Roman"/>
        <w:b/>
        <w:bCs/>
        <w:i/>
        <w:iCs/>
        <w:sz w:val="24"/>
        <w:szCs w:val="24"/>
      </w:rPr>
      <w:t>“</w:t>
    </w:r>
  </w:p>
  <w:p w14:paraId="3209C0A3" w14:textId="77777777" w:rsidR="002943C1" w:rsidRDefault="002943C1" w:rsidP="002943C1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14:paraId="1EE49B48" w14:textId="4860A620" w:rsidR="00494BF9" w:rsidRPr="00AF2B0E" w:rsidRDefault="001C1B4B" w:rsidP="002943C1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УКАЗАНИЯ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 xml:space="preserve"> ЗА ИЗЧИСЛЯВАНЕ НА ЦЕЛЕВАТА СТОЙНОСТ</w:t>
    </w:r>
    <w:r w:rsidR="00AF2B0E" w:rsidRPr="00824E34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НА ИНДИКАТОР ЗА РЕЗУЛТАТ (ПОКАЗАТЕЛ ЗА РЕЗУЛТАТ):</w:t>
    </w:r>
    <w:r w:rsidR="00AF2B0E" w:rsidRPr="00824E34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„</w:t>
    </w:r>
    <w:r w:rsidR="0080206F" w:rsidRPr="0080206F">
      <w:rPr>
        <w:rFonts w:ascii="Times New Roman" w:hAnsi="Times New Roman" w:cs="Times New Roman"/>
        <w:b/>
        <w:bCs/>
        <w:sz w:val="24"/>
        <w:szCs w:val="24"/>
      </w:rPr>
      <w:t>ВИДОВЕ С ПОДОБРЕН ПРИРОДОЗАЩИТЕН СТАТУС (ИЛИ С ТЕНДЕНЦИЯ ЗА ПОДОБРЯВАНЕ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“</w:t>
    </w:r>
    <w:r w:rsidR="00AF2B0E" w:rsidRPr="00AF2B0E">
      <w:rPr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ПО ПРОЦЕДУРА ЧРЕЗ ПОДБОР</w:t>
    </w:r>
    <w:r w:rsidR="00AF2B0E" w:rsidRPr="00824E34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„</w:t>
    </w:r>
    <w:r w:rsidR="002A6A77" w:rsidRPr="002A6A77">
      <w:rPr>
        <w:rFonts w:ascii="Times New Roman" w:hAnsi="Times New Roman" w:cs="Times New Roman"/>
        <w:b/>
        <w:bCs/>
        <w:sz w:val="24"/>
        <w:szCs w:val="24"/>
      </w:rPr>
      <w:t xml:space="preserve">ИЗПЪЛНЕНИЕ НА </w:t>
    </w:r>
    <w:r w:rsidR="002B491B">
      <w:rPr>
        <w:rFonts w:ascii="Times New Roman" w:hAnsi="Times New Roman" w:cs="Times New Roman"/>
        <w:b/>
        <w:bCs/>
        <w:sz w:val="24"/>
        <w:szCs w:val="24"/>
      </w:rPr>
      <w:t>МЯРКА 69</w:t>
    </w:r>
    <w:r w:rsidR="002A6A77" w:rsidRPr="002A6A77">
      <w:rPr>
        <w:rFonts w:ascii="Times New Roman" w:hAnsi="Times New Roman" w:cs="Times New Roman"/>
        <w:b/>
        <w:bCs/>
        <w:sz w:val="24"/>
        <w:szCs w:val="24"/>
      </w:rPr>
      <w:t xml:space="preserve"> ОТ НАЦИОНАЛНАТА РАМКА ЗА ПРИОРИТЕТНИ ДЕЙСТВИЯ ЗА НАТУРА 2000</w:t>
    </w:r>
    <w:r w:rsidR="00BB473C">
      <w:rPr>
        <w:rFonts w:ascii="Times New Roman" w:hAnsi="Times New Roman" w:cs="Times New Roman"/>
        <w:b/>
        <w:bCs/>
        <w:sz w:val="24"/>
        <w:szCs w:val="24"/>
        <w:lang w:val="en-US"/>
      </w:rPr>
      <w:t>-2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“</w:t>
    </w:r>
  </w:p>
  <w:p w14:paraId="0373FD0B" w14:textId="4325D5A0" w:rsidR="00494BF9" w:rsidRPr="00494BF9" w:rsidRDefault="00494BF9" w:rsidP="00494BF9">
    <w:pPr>
      <w:pStyle w:val="Header"/>
      <w:jc w:val="right"/>
      <w:rPr>
        <w:rFonts w:ascii="Times New Roman" w:hAnsi="Times New Roman" w:cs="Times New Roman"/>
        <w:sz w:val="18"/>
        <w:szCs w:val="18"/>
      </w:rPr>
    </w:pPr>
  </w:p>
  <w:p w14:paraId="2E14EEB9" w14:textId="77777777" w:rsidR="00494BF9" w:rsidRPr="00494BF9" w:rsidRDefault="00494BF9" w:rsidP="00D4758C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</w:p>
  <w:p w14:paraId="448FE04D" w14:textId="77777777" w:rsidR="00D4758C" w:rsidRPr="00494BF9" w:rsidRDefault="00D4758C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008F7"/>
    <w:multiLevelType w:val="hybridMultilevel"/>
    <w:tmpl w:val="CD40CEB4"/>
    <w:lvl w:ilvl="0" w:tplc="81FC4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1065"/>
    <w:multiLevelType w:val="hybridMultilevel"/>
    <w:tmpl w:val="CD40C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026418">
    <w:abstractNumId w:val="0"/>
  </w:num>
  <w:num w:numId="2" w16cid:durableId="58249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72"/>
    <w:rsid w:val="00000C58"/>
    <w:rsid w:val="000212CF"/>
    <w:rsid w:val="00026D9F"/>
    <w:rsid w:val="0004486D"/>
    <w:rsid w:val="000513FB"/>
    <w:rsid w:val="000641F6"/>
    <w:rsid w:val="000742B5"/>
    <w:rsid w:val="000925C1"/>
    <w:rsid w:val="000B53F1"/>
    <w:rsid w:val="000B7716"/>
    <w:rsid w:val="000D5863"/>
    <w:rsid w:val="000F7781"/>
    <w:rsid w:val="00154566"/>
    <w:rsid w:val="00183BB6"/>
    <w:rsid w:val="00186682"/>
    <w:rsid w:val="001C1B4B"/>
    <w:rsid w:val="002421F7"/>
    <w:rsid w:val="00246EA7"/>
    <w:rsid w:val="00251B4B"/>
    <w:rsid w:val="00255407"/>
    <w:rsid w:val="002943C1"/>
    <w:rsid w:val="002A6A77"/>
    <w:rsid w:val="002B491B"/>
    <w:rsid w:val="002C6E3E"/>
    <w:rsid w:val="002E3AFF"/>
    <w:rsid w:val="00327600"/>
    <w:rsid w:val="003376C6"/>
    <w:rsid w:val="0038593D"/>
    <w:rsid w:val="00393EC2"/>
    <w:rsid w:val="003D6195"/>
    <w:rsid w:val="00465976"/>
    <w:rsid w:val="00472292"/>
    <w:rsid w:val="00494BF9"/>
    <w:rsid w:val="004A2834"/>
    <w:rsid w:val="004E749F"/>
    <w:rsid w:val="00516B84"/>
    <w:rsid w:val="00582DF2"/>
    <w:rsid w:val="00610B4D"/>
    <w:rsid w:val="006456BB"/>
    <w:rsid w:val="006A55B1"/>
    <w:rsid w:val="006A7A67"/>
    <w:rsid w:val="006E665E"/>
    <w:rsid w:val="006F3177"/>
    <w:rsid w:val="007643C1"/>
    <w:rsid w:val="00764ABA"/>
    <w:rsid w:val="00797CD3"/>
    <w:rsid w:val="0080206F"/>
    <w:rsid w:val="00824E34"/>
    <w:rsid w:val="008965B4"/>
    <w:rsid w:val="008A2359"/>
    <w:rsid w:val="00906C9E"/>
    <w:rsid w:val="00907742"/>
    <w:rsid w:val="00927B72"/>
    <w:rsid w:val="00932F4F"/>
    <w:rsid w:val="00956F51"/>
    <w:rsid w:val="00964331"/>
    <w:rsid w:val="009D0C0D"/>
    <w:rsid w:val="009E76AC"/>
    <w:rsid w:val="009F55C0"/>
    <w:rsid w:val="009F6C52"/>
    <w:rsid w:val="00A63A9F"/>
    <w:rsid w:val="00AC1609"/>
    <w:rsid w:val="00AC4033"/>
    <w:rsid w:val="00AD0EBE"/>
    <w:rsid w:val="00AF2B0E"/>
    <w:rsid w:val="00B3018D"/>
    <w:rsid w:val="00B36E8F"/>
    <w:rsid w:val="00B84D08"/>
    <w:rsid w:val="00B94EAB"/>
    <w:rsid w:val="00BA1E83"/>
    <w:rsid w:val="00BB0619"/>
    <w:rsid w:val="00BB0DBA"/>
    <w:rsid w:val="00BB473C"/>
    <w:rsid w:val="00C10BDE"/>
    <w:rsid w:val="00CC3ED6"/>
    <w:rsid w:val="00CE468A"/>
    <w:rsid w:val="00D203BE"/>
    <w:rsid w:val="00D33AEA"/>
    <w:rsid w:val="00D4758C"/>
    <w:rsid w:val="00D84C47"/>
    <w:rsid w:val="00DC2382"/>
    <w:rsid w:val="00DC5EFA"/>
    <w:rsid w:val="00E0707C"/>
    <w:rsid w:val="00E1191E"/>
    <w:rsid w:val="00E225B4"/>
    <w:rsid w:val="00E605DE"/>
    <w:rsid w:val="00E77B77"/>
    <w:rsid w:val="00E77F69"/>
    <w:rsid w:val="00EB24B3"/>
    <w:rsid w:val="00EC5950"/>
    <w:rsid w:val="00EE0345"/>
    <w:rsid w:val="00F6079E"/>
    <w:rsid w:val="00F72E40"/>
    <w:rsid w:val="00F734DA"/>
    <w:rsid w:val="00F85950"/>
    <w:rsid w:val="00F92241"/>
    <w:rsid w:val="00FD02A8"/>
    <w:rsid w:val="00FE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69C3"/>
  <w15:chartTrackingRefBased/>
  <w15:docId w15:val="{648FBECD-324D-4F21-89B1-F45150F5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4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43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90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06C9E"/>
  </w:style>
  <w:style w:type="paragraph" w:styleId="Footer">
    <w:name w:val="footer"/>
    <w:basedOn w:val="Normal"/>
    <w:link w:val="FooterChar"/>
    <w:uiPriority w:val="99"/>
    <w:unhideWhenUsed/>
    <w:rsid w:val="0090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C9E"/>
  </w:style>
  <w:style w:type="paragraph" w:styleId="ListParagraph">
    <w:name w:val="List Paragraph"/>
    <w:basedOn w:val="Normal"/>
    <w:uiPriority w:val="34"/>
    <w:qFormat/>
    <w:rsid w:val="00E1191E"/>
    <w:pPr>
      <w:ind w:left="720"/>
      <w:contextualSpacing/>
    </w:pPr>
  </w:style>
  <w:style w:type="paragraph" w:styleId="Revision">
    <w:name w:val="Revision"/>
    <w:hidden/>
    <w:uiPriority w:val="99"/>
    <w:semiHidden/>
    <w:rsid w:val="00F8595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82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2D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2D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D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6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CD01A-419C-467A-BDAD-6FFB53E2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46</cp:revision>
  <dcterms:created xsi:type="dcterms:W3CDTF">2023-03-09T11:05:00Z</dcterms:created>
  <dcterms:modified xsi:type="dcterms:W3CDTF">2025-05-15T11:43:00Z</dcterms:modified>
</cp:coreProperties>
</file>